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B59C7" w14:textId="1EB01ADE" w:rsidR="00F0236A" w:rsidRPr="00073574" w:rsidRDefault="00F0236A" w:rsidP="00F0236A">
      <w:pPr>
        <w:jc w:val="center"/>
        <w:rPr>
          <w:sz w:val="44"/>
        </w:rPr>
      </w:pPr>
      <w:r w:rsidRPr="00073574">
        <w:rPr>
          <w:sz w:val="44"/>
        </w:rPr>
        <w:t>WTSA-16 Action Plan, V</w:t>
      </w:r>
      <w:r w:rsidR="00E574FE" w:rsidRPr="00073574">
        <w:rPr>
          <w:sz w:val="44"/>
        </w:rPr>
        <w:t>1</w:t>
      </w:r>
      <w:r w:rsidRPr="00073574">
        <w:rPr>
          <w:sz w:val="44"/>
        </w:rPr>
        <w:t>.</w:t>
      </w:r>
      <w:r w:rsidR="00277CF8">
        <w:rPr>
          <w:sz w:val="44"/>
        </w:rPr>
        <w:t>1</w:t>
      </w:r>
    </w:p>
    <w:p w14:paraId="56F00FD1" w14:textId="0A18B97E" w:rsidR="00F0236A" w:rsidRPr="00073574" w:rsidRDefault="00F0236A" w:rsidP="006E2E16">
      <w:pPr>
        <w:jc w:val="center"/>
        <w:rPr>
          <w:sz w:val="44"/>
        </w:rPr>
      </w:pPr>
      <w:r w:rsidRPr="00073574">
        <w:rPr>
          <w:sz w:val="44"/>
        </w:rPr>
        <w:t>(</w:t>
      </w:r>
      <w:r w:rsidR="00BC4BF4" w:rsidRPr="00073574">
        <w:rPr>
          <w:sz w:val="44"/>
        </w:rPr>
        <w:t>1</w:t>
      </w:r>
      <w:r w:rsidR="007F55F6">
        <w:rPr>
          <w:sz w:val="44"/>
        </w:rPr>
        <w:t>8</w:t>
      </w:r>
      <w:r w:rsidR="008414D9" w:rsidRPr="00073574">
        <w:rPr>
          <w:sz w:val="44"/>
        </w:rPr>
        <w:t xml:space="preserve"> </w:t>
      </w:r>
      <w:r w:rsidR="007F55F6">
        <w:rPr>
          <w:sz w:val="44"/>
        </w:rPr>
        <w:t>January</w:t>
      </w:r>
      <w:r w:rsidR="00055D1D" w:rsidRPr="00073574">
        <w:rPr>
          <w:sz w:val="44"/>
        </w:rPr>
        <w:t xml:space="preserve"> </w:t>
      </w:r>
      <w:r w:rsidR="00AB7ACB" w:rsidRPr="00073574">
        <w:rPr>
          <w:sz w:val="44"/>
        </w:rPr>
        <w:t>20</w:t>
      </w:r>
      <w:r w:rsidR="001957FE" w:rsidRPr="00073574">
        <w:rPr>
          <w:sz w:val="44"/>
        </w:rPr>
        <w:t>2</w:t>
      </w:r>
      <w:r w:rsidR="007F55F6">
        <w:rPr>
          <w:sz w:val="44"/>
        </w:rPr>
        <w:t>2</w:t>
      </w:r>
      <w:r w:rsidRPr="00073574">
        <w:rPr>
          <w:sz w:val="44"/>
        </w:rPr>
        <w:t>)</w:t>
      </w:r>
    </w:p>
    <w:bookmarkStart w:id="0" w:name="_Section_I_-" w:displacedByCustomXml="next"/>
    <w:bookmarkEnd w:id="0" w:displacedByCustomXml="next"/>
    <w:bookmarkStart w:id="1" w:name="_Toc304236409" w:displacedByCustomXml="next"/>
    <w:bookmarkStart w:id="2" w:name="_Toc471715351" w:displacedByCustomXml="next"/>
    <w:sdt>
      <w:sdtPr>
        <w:rPr>
          <w:rFonts w:ascii="Times New Roman" w:eastAsiaTheme="minorEastAsia" w:hAnsi="Times New Roman"/>
          <w:b w:val="0"/>
          <w:bCs w:val="0"/>
          <w:color w:val="auto"/>
          <w:sz w:val="22"/>
          <w:szCs w:val="24"/>
          <w:shd w:val="clear" w:color="auto" w:fill="E6E6E6"/>
          <w:lang w:val="en-GB" w:eastAsia="ja-JP"/>
        </w:rPr>
        <w:id w:val="1944652221"/>
        <w:docPartObj>
          <w:docPartGallery w:val="Table of Contents"/>
          <w:docPartUnique/>
        </w:docPartObj>
      </w:sdtPr>
      <w:sdtEndPr/>
      <w:sdtContent>
        <w:p w14:paraId="727B26C8" w14:textId="77777777" w:rsidR="00F0236A" w:rsidRPr="00073574" w:rsidRDefault="00F0236A" w:rsidP="00821764">
          <w:pPr>
            <w:pStyle w:val="TOCHeading"/>
            <w:keepNext w:val="0"/>
            <w:keepLines w:val="0"/>
            <w:rPr>
              <w:lang w:val="en-GB"/>
            </w:rPr>
          </w:pPr>
          <w:r w:rsidRPr="00073574">
            <w:rPr>
              <w:lang w:val="en-GB"/>
            </w:rPr>
            <w:t>Contents</w:t>
          </w:r>
        </w:p>
        <w:p w14:paraId="3C517E59" w14:textId="72778901" w:rsidR="00C94B75" w:rsidRDefault="00F0236A">
          <w:pPr>
            <w:pStyle w:val="TOC1"/>
            <w:rPr>
              <w:rFonts w:asciiTheme="minorHAnsi" w:eastAsiaTheme="minorEastAsia" w:hAnsiTheme="minorHAnsi" w:cstheme="minorBidi"/>
              <w:szCs w:val="22"/>
              <w:lang w:eastAsia="en-GB"/>
            </w:rPr>
          </w:pPr>
          <w:r w:rsidRPr="00073574">
            <w:rPr>
              <w:noProof w:val="0"/>
              <w:color w:val="2B579A"/>
              <w:shd w:val="clear" w:color="auto" w:fill="E6E6E6"/>
            </w:rPr>
            <w:fldChar w:fldCharType="begin"/>
          </w:r>
          <w:r w:rsidRPr="00073574">
            <w:rPr>
              <w:noProof w:val="0"/>
            </w:rPr>
            <w:instrText xml:space="preserve"> TOC \o "1-3" \h \z \u </w:instrText>
          </w:r>
          <w:r w:rsidRPr="00073574">
            <w:rPr>
              <w:noProof w:val="0"/>
              <w:color w:val="2B579A"/>
              <w:shd w:val="clear" w:color="auto" w:fill="E6E6E6"/>
            </w:rPr>
            <w:fldChar w:fldCharType="separate"/>
          </w:r>
          <w:hyperlink w:anchor="_Toc93425237" w:history="1">
            <w:r w:rsidR="00C94B75" w:rsidRPr="00ED497F">
              <w:rPr>
                <w:rStyle w:val="Hyperlink"/>
              </w:rPr>
              <w:t>Section I - List of WTSA-16 Resolutions and Opinion, and executive summary of action plan for implementation of WTSA-16 Resolutions</w:t>
            </w:r>
            <w:r w:rsidR="00C94B75">
              <w:rPr>
                <w:webHidden/>
              </w:rPr>
              <w:tab/>
            </w:r>
            <w:r w:rsidR="00C94B75">
              <w:rPr>
                <w:webHidden/>
              </w:rPr>
              <w:fldChar w:fldCharType="begin"/>
            </w:r>
            <w:r w:rsidR="00C94B75">
              <w:rPr>
                <w:webHidden/>
              </w:rPr>
              <w:instrText xml:space="preserve"> PAGEREF _Toc93425237 \h </w:instrText>
            </w:r>
            <w:r w:rsidR="00C94B75">
              <w:rPr>
                <w:webHidden/>
              </w:rPr>
            </w:r>
            <w:r w:rsidR="00C94B75">
              <w:rPr>
                <w:webHidden/>
              </w:rPr>
              <w:fldChar w:fldCharType="separate"/>
            </w:r>
            <w:r w:rsidR="00C94B75">
              <w:rPr>
                <w:webHidden/>
              </w:rPr>
              <w:t>6</w:t>
            </w:r>
            <w:r w:rsidR="00C94B75">
              <w:rPr>
                <w:webHidden/>
              </w:rPr>
              <w:fldChar w:fldCharType="end"/>
            </w:r>
          </w:hyperlink>
        </w:p>
        <w:p w14:paraId="1D68FFFD" w14:textId="5CB9705B" w:rsidR="00C94B75" w:rsidRDefault="00C94B75">
          <w:pPr>
            <w:pStyle w:val="TOC1"/>
            <w:rPr>
              <w:rFonts w:asciiTheme="minorHAnsi" w:eastAsiaTheme="minorEastAsia" w:hAnsiTheme="minorHAnsi" w:cstheme="minorBidi"/>
              <w:szCs w:val="22"/>
              <w:lang w:eastAsia="en-GB"/>
            </w:rPr>
          </w:pPr>
          <w:hyperlink w:anchor="_Toc93425238" w:history="1">
            <w:r w:rsidRPr="00ED497F">
              <w:rPr>
                <w:rStyle w:val="Hyperlink"/>
              </w:rPr>
              <w:t>Section II - Progress reports on implementation of the WTSA-16 Resolutions and Opinion</w:t>
            </w:r>
            <w:r>
              <w:rPr>
                <w:webHidden/>
              </w:rPr>
              <w:tab/>
            </w:r>
            <w:r>
              <w:rPr>
                <w:webHidden/>
              </w:rPr>
              <w:fldChar w:fldCharType="begin"/>
            </w:r>
            <w:r>
              <w:rPr>
                <w:webHidden/>
              </w:rPr>
              <w:instrText xml:space="preserve"> PAGEREF _Toc93425238 \h </w:instrText>
            </w:r>
            <w:r>
              <w:rPr>
                <w:webHidden/>
              </w:rPr>
            </w:r>
            <w:r>
              <w:rPr>
                <w:webHidden/>
              </w:rPr>
              <w:fldChar w:fldCharType="separate"/>
            </w:r>
            <w:r>
              <w:rPr>
                <w:webHidden/>
              </w:rPr>
              <w:t>18</w:t>
            </w:r>
            <w:r>
              <w:rPr>
                <w:webHidden/>
              </w:rPr>
              <w:fldChar w:fldCharType="end"/>
            </w:r>
          </w:hyperlink>
        </w:p>
        <w:p w14:paraId="603156B6" w14:textId="0530654B" w:rsidR="00C94B75" w:rsidRDefault="00C94B75">
          <w:pPr>
            <w:pStyle w:val="TOC1"/>
            <w:rPr>
              <w:rFonts w:asciiTheme="minorHAnsi" w:eastAsiaTheme="minorEastAsia" w:hAnsiTheme="minorHAnsi" w:cstheme="minorBidi"/>
              <w:szCs w:val="22"/>
              <w:lang w:eastAsia="en-GB"/>
            </w:rPr>
          </w:pPr>
          <w:hyperlink w:anchor="_Toc93425239" w:history="1">
            <w:r w:rsidRPr="00ED497F">
              <w:rPr>
                <w:rStyle w:val="Hyperlink"/>
              </w:rPr>
              <w:t>1.</w:t>
            </w:r>
            <w:r>
              <w:rPr>
                <w:rFonts w:asciiTheme="minorHAnsi" w:eastAsiaTheme="minorEastAsia" w:hAnsiTheme="minorHAnsi" w:cstheme="minorBidi"/>
                <w:szCs w:val="22"/>
                <w:lang w:eastAsia="en-GB"/>
              </w:rPr>
              <w:tab/>
            </w:r>
            <w:r w:rsidRPr="00ED497F">
              <w:rPr>
                <w:rStyle w:val="Hyperlink"/>
              </w:rPr>
              <w:t>Resolution 1 - Rules of procedure of the ITU Telecommunication Standardization Sector</w:t>
            </w:r>
            <w:r>
              <w:rPr>
                <w:webHidden/>
              </w:rPr>
              <w:tab/>
            </w:r>
            <w:r>
              <w:rPr>
                <w:webHidden/>
              </w:rPr>
              <w:fldChar w:fldCharType="begin"/>
            </w:r>
            <w:r>
              <w:rPr>
                <w:webHidden/>
              </w:rPr>
              <w:instrText xml:space="preserve"> PAGEREF _Toc93425239 \h </w:instrText>
            </w:r>
            <w:r>
              <w:rPr>
                <w:webHidden/>
              </w:rPr>
            </w:r>
            <w:r>
              <w:rPr>
                <w:webHidden/>
              </w:rPr>
              <w:fldChar w:fldCharType="separate"/>
            </w:r>
            <w:r>
              <w:rPr>
                <w:webHidden/>
              </w:rPr>
              <w:t>18</w:t>
            </w:r>
            <w:r>
              <w:rPr>
                <w:webHidden/>
              </w:rPr>
              <w:fldChar w:fldCharType="end"/>
            </w:r>
          </w:hyperlink>
        </w:p>
        <w:p w14:paraId="5FD88119" w14:textId="0C6E0211" w:rsidR="00C94B75" w:rsidRDefault="00C94B75">
          <w:pPr>
            <w:pStyle w:val="TOC1"/>
            <w:rPr>
              <w:rFonts w:asciiTheme="minorHAnsi" w:eastAsiaTheme="minorEastAsia" w:hAnsiTheme="minorHAnsi" w:cstheme="minorBidi"/>
              <w:szCs w:val="22"/>
              <w:lang w:eastAsia="en-GB"/>
            </w:rPr>
          </w:pPr>
          <w:hyperlink w:anchor="_Toc93425240" w:history="1">
            <w:r w:rsidRPr="00ED497F">
              <w:rPr>
                <w:rStyle w:val="Hyperlink"/>
              </w:rPr>
              <w:t>2.</w:t>
            </w:r>
            <w:r>
              <w:rPr>
                <w:rFonts w:asciiTheme="minorHAnsi" w:eastAsiaTheme="minorEastAsia" w:hAnsiTheme="minorHAnsi" w:cstheme="minorBidi"/>
                <w:szCs w:val="22"/>
                <w:lang w:eastAsia="en-GB"/>
              </w:rPr>
              <w:tab/>
            </w:r>
            <w:r w:rsidRPr="00ED497F">
              <w:rPr>
                <w:rStyle w:val="Hyperlink"/>
              </w:rPr>
              <w:t>Resolution 2 - ITU Telecommunication Standardization Sector Study Group responsibility and mandates</w:t>
            </w:r>
            <w:r>
              <w:rPr>
                <w:webHidden/>
              </w:rPr>
              <w:tab/>
            </w:r>
            <w:r>
              <w:rPr>
                <w:webHidden/>
              </w:rPr>
              <w:fldChar w:fldCharType="begin"/>
            </w:r>
            <w:r>
              <w:rPr>
                <w:webHidden/>
              </w:rPr>
              <w:instrText xml:space="preserve"> PAGEREF _Toc93425240 \h </w:instrText>
            </w:r>
            <w:r>
              <w:rPr>
                <w:webHidden/>
              </w:rPr>
            </w:r>
            <w:r>
              <w:rPr>
                <w:webHidden/>
              </w:rPr>
              <w:fldChar w:fldCharType="separate"/>
            </w:r>
            <w:r>
              <w:rPr>
                <w:webHidden/>
              </w:rPr>
              <w:t>24</w:t>
            </w:r>
            <w:r>
              <w:rPr>
                <w:webHidden/>
              </w:rPr>
              <w:fldChar w:fldCharType="end"/>
            </w:r>
          </w:hyperlink>
        </w:p>
        <w:p w14:paraId="0FDD7506" w14:textId="5330F833" w:rsidR="00C94B75" w:rsidRDefault="00C94B75">
          <w:pPr>
            <w:pStyle w:val="TOC1"/>
            <w:rPr>
              <w:rFonts w:asciiTheme="minorHAnsi" w:eastAsiaTheme="minorEastAsia" w:hAnsiTheme="minorHAnsi" w:cstheme="minorBidi"/>
              <w:szCs w:val="22"/>
              <w:lang w:eastAsia="en-GB"/>
            </w:rPr>
          </w:pPr>
          <w:hyperlink w:anchor="_Toc93425241" w:history="1">
            <w:r w:rsidRPr="00ED497F">
              <w:rPr>
                <w:rStyle w:val="Hyperlink"/>
              </w:rPr>
              <w:t>3.</w:t>
            </w:r>
            <w:r>
              <w:rPr>
                <w:rFonts w:asciiTheme="minorHAnsi" w:eastAsiaTheme="minorEastAsia" w:hAnsiTheme="minorHAnsi" w:cstheme="minorBidi"/>
                <w:szCs w:val="22"/>
                <w:lang w:eastAsia="en-GB"/>
              </w:rPr>
              <w:tab/>
            </w:r>
            <w:r w:rsidRPr="00ED497F">
              <w:rPr>
                <w:rStyle w:val="Hyperlink"/>
              </w:rPr>
              <w:t>Resolution 7 - Collaboration with the International Organization for Standardization and the International Electrotechnical Commission</w:t>
            </w:r>
            <w:r>
              <w:rPr>
                <w:webHidden/>
              </w:rPr>
              <w:tab/>
            </w:r>
            <w:r>
              <w:rPr>
                <w:webHidden/>
              </w:rPr>
              <w:fldChar w:fldCharType="begin"/>
            </w:r>
            <w:r>
              <w:rPr>
                <w:webHidden/>
              </w:rPr>
              <w:instrText xml:space="preserve"> PAGEREF _Toc93425241 \h </w:instrText>
            </w:r>
            <w:r>
              <w:rPr>
                <w:webHidden/>
              </w:rPr>
            </w:r>
            <w:r>
              <w:rPr>
                <w:webHidden/>
              </w:rPr>
              <w:fldChar w:fldCharType="separate"/>
            </w:r>
            <w:r>
              <w:rPr>
                <w:webHidden/>
              </w:rPr>
              <w:t>26</w:t>
            </w:r>
            <w:r>
              <w:rPr>
                <w:webHidden/>
              </w:rPr>
              <w:fldChar w:fldCharType="end"/>
            </w:r>
          </w:hyperlink>
        </w:p>
        <w:p w14:paraId="3DDF31F5" w14:textId="39BC6DD0" w:rsidR="00C94B75" w:rsidRDefault="00C94B75">
          <w:pPr>
            <w:pStyle w:val="TOC1"/>
            <w:rPr>
              <w:rFonts w:asciiTheme="minorHAnsi" w:eastAsiaTheme="minorEastAsia" w:hAnsiTheme="minorHAnsi" w:cstheme="minorBidi"/>
              <w:szCs w:val="22"/>
              <w:lang w:eastAsia="en-GB"/>
            </w:rPr>
          </w:pPr>
          <w:hyperlink w:anchor="_Toc93425242" w:history="1">
            <w:r w:rsidRPr="00ED497F">
              <w:rPr>
                <w:rStyle w:val="Hyperlink"/>
              </w:rPr>
              <w:t>4.</w:t>
            </w:r>
            <w:r>
              <w:rPr>
                <w:rFonts w:asciiTheme="minorHAnsi" w:eastAsiaTheme="minorEastAsia" w:hAnsiTheme="minorHAnsi" w:cstheme="minorBidi"/>
                <w:szCs w:val="22"/>
                <w:lang w:eastAsia="en-GB"/>
              </w:rPr>
              <w:tab/>
            </w:r>
            <w:r w:rsidRPr="00ED497F">
              <w:rPr>
                <w:rStyle w:val="Hyperlink"/>
              </w:rPr>
              <w:t>Resolution 11 - Collaboration with the Postal Operations Council of the Universal Postal Union in the study of services concerning both the postal and the telecommunication sectors</w:t>
            </w:r>
            <w:r>
              <w:rPr>
                <w:webHidden/>
              </w:rPr>
              <w:tab/>
            </w:r>
            <w:r>
              <w:rPr>
                <w:webHidden/>
              </w:rPr>
              <w:fldChar w:fldCharType="begin"/>
            </w:r>
            <w:r>
              <w:rPr>
                <w:webHidden/>
              </w:rPr>
              <w:instrText xml:space="preserve"> PAGEREF _Toc93425242 \h </w:instrText>
            </w:r>
            <w:r>
              <w:rPr>
                <w:webHidden/>
              </w:rPr>
            </w:r>
            <w:r>
              <w:rPr>
                <w:webHidden/>
              </w:rPr>
              <w:fldChar w:fldCharType="separate"/>
            </w:r>
            <w:r>
              <w:rPr>
                <w:webHidden/>
              </w:rPr>
              <w:t>34</w:t>
            </w:r>
            <w:r>
              <w:rPr>
                <w:webHidden/>
              </w:rPr>
              <w:fldChar w:fldCharType="end"/>
            </w:r>
          </w:hyperlink>
        </w:p>
        <w:p w14:paraId="368C687C" w14:textId="2834C4C3" w:rsidR="00C94B75" w:rsidRDefault="00C94B75">
          <w:pPr>
            <w:pStyle w:val="TOC1"/>
            <w:rPr>
              <w:rFonts w:asciiTheme="minorHAnsi" w:eastAsiaTheme="minorEastAsia" w:hAnsiTheme="minorHAnsi" w:cstheme="minorBidi"/>
              <w:szCs w:val="22"/>
              <w:lang w:eastAsia="en-GB"/>
            </w:rPr>
          </w:pPr>
          <w:hyperlink w:anchor="_Toc93425243" w:history="1">
            <w:r w:rsidRPr="00ED497F">
              <w:rPr>
                <w:rStyle w:val="Hyperlink"/>
              </w:rPr>
              <w:t>5.</w:t>
            </w:r>
            <w:r>
              <w:rPr>
                <w:rFonts w:asciiTheme="minorHAnsi" w:eastAsiaTheme="minorEastAsia" w:hAnsiTheme="minorHAnsi" w:cstheme="minorBidi"/>
                <w:szCs w:val="22"/>
                <w:lang w:eastAsia="en-GB"/>
              </w:rPr>
              <w:tab/>
            </w:r>
            <w:r w:rsidRPr="00ED497F">
              <w:rPr>
                <w:rStyle w:val="Hyperlink"/>
              </w:rPr>
              <w:t>Resolution 18 - Principles and procedures for the allocation of work to, and strengthening coordination and cooperation among, ITU Radiocommunication, ITU Telecommunication Standardization and ITU Telecommunication Development Sectors</w:t>
            </w:r>
            <w:r>
              <w:rPr>
                <w:webHidden/>
              </w:rPr>
              <w:tab/>
            </w:r>
            <w:r>
              <w:rPr>
                <w:webHidden/>
              </w:rPr>
              <w:fldChar w:fldCharType="begin"/>
            </w:r>
            <w:r>
              <w:rPr>
                <w:webHidden/>
              </w:rPr>
              <w:instrText xml:space="preserve"> PAGEREF _Toc93425243 \h </w:instrText>
            </w:r>
            <w:r>
              <w:rPr>
                <w:webHidden/>
              </w:rPr>
            </w:r>
            <w:r>
              <w:rPr>
                <w:webHidden/>
              </w:rPr>
              <w:fldChar w:fldCharType="separate"/>
            </w:r>
            <w:r>
              <w:rPr>
                <w:webHidden/>
              </w:rPr>
              <w:t>35</w:t>
            </w:r>
            <w:r>
              <w:rPr>
                <w:webHidden/>
              </w:rPr>
              <w:fldChar w:fldCharType="end"/>
            </w:r>
          </w:hyperlink>
        </w:p>
        <w:p w14:paraId="439126C7" w14:textId="00C35295" w:rsidR="00C94B75" w:rsidRDefault="00C94B75">
          <w:pPr>
            <w:pStyle w:val="TOC1"/>
            <w:rPr>
              <w:rFonts w:asciiTheme="minorHAnsi" w:eastAsiaTheme="minorEastAsia" w:hAnsiTheme="minorHAnsi" w:cstheme="minorBidi"/>
              <w:szCs w:val="22"/>
              <w:lang w:eastAsia="en-GB"/>
            </w:rPr>
          </w:pPr>
          <w:hyperlink w:anchor="_Toc93425244" w:history="1">
            <w:r w:rsidRPr="00ED497F">
              <w:rPr>
                <w:rStyle w:val="Hyperlink"/>
              </w:rPr>
              <w:t>6.</w:t>
            </w:r>
            <w:r>
              <w:rPr>
                <w:rFonts w:asciiTheme="minorHAnsi" w:eastAsiaTheme="minorEastAsia" w:hAnsiTheme="minorHAnsi" w:cstheme="minorBidi"/>
                <w:szCs w:val="22"/>
                <w:lang w:eastAsia="en-GB"/>
              </w:rPr>
              <w:tab/>
            </w:r>
            <w:r w:rsidRPr="00ED497F">
              <w:rPr>
                <w:rStyle w:val="Hyperlink"/>
              </w:rPr>
              <w:t>Resolution 20 - Procedures for allocation and management of international telecommunication numbering, naming, addressing and identification resources</w:t>
            </w:r>
            <w:r>
              <w:rPr>
                <w:webHidden/>
              </w:rPr>
              <w:tab/>
            </w:r>
            <w:r>
              <w:rPr>
                <w:webHidden/>
              </w:rPr>
              <w:fldChar w:fldCharType="begin"/>
            </w:r>
            <w:r>
              <w:rPr>
                <w:webHidden/>
              </w:rPr>
              <w:instrText xml:space="preserve"> PAGEREF _Toc93425244 \h </w:instrText>
            </w:r>
            <w:r>
              <w:rPr>
                <w:webHidden/>
              </w:rPr>
            </w:r>
            <w:r>
              <w:rPr>
                <w:webHidden/>
              </w:rPr>
              <w:fldChar w:fldCharType="separate"/>
            </w:r>
            <w:r>
              <w:rPr>
                <w:webHidden/>
              </w:rPr>
              <w:t>40</w:t>
            </w:r>
            <w:r>
              <w:rPr>
                <w:webHidden/>
              </w:rPr>
              <w:fldChar w:fldCharType="end"/>
            </w:r>
          </w:hyperlink>
        </w:p>
        <w:p w14:paraId="32896FF1" w14:textId="659CFC94" w:rsidR="00C94B75" w:rsidRDefault="00C94B75">
          <w:pPr>
            <w:pStyle w:val="TOC1"/>
            <w:rPr>
              <w:rFonts w:asciiTheme="minorHAnsi" w:eastAsiaTheme="minorEastAsia" w:hAnsiTheme="minorHAnsi" w:cstheme="minorBidi"/>
              <w:szCs w:val="22"/>
              <w:lang w:eastAsia="en-GB"/>
            </w:rPr>
          </w:pPr>
          <w:hyperlink w:anchor="_Toc93425245" w:history="1">
            <w:r w:rsidRPr="00ED497F">
              <w:rPr>
                <w:rStyle w:val="Hyperlink"/>
              </w:rPr>
              <w:t>7.</w:t>
            </w:r>
            <w:r>
              <w:rPr>
                <w:rFonts w:asciiTheme="minorHAnsi" w:eastAsiaTheme="minorEastAsia" w:hAnsiTheme="minorHAnsi" w:cstheme="minorBidi"/>
                <w:szCs w:val="22"/>
                <w:lang w:eastAsia="en-GB"/>
              </w:rPr>
              <w:tab/>
            </w:r>
            <w:r w:rsidRPr="00ED497F">
              <w:rPr>
                <w:rStyle w:val="Hyperlink"/>
              </w:rPr>
              <w:t>Resolution 22 - Authorization for Telecommunication Standardization Advisory Group to act between world telecommunication standardization assemblies</w:t>
            </w:r>
            <w:r>
              <w:rPr>
                <w:webHidden/>
              </w:rPr>
              <w:tab/>
            </w:r>
            <w:r>
              <w:rPr>
                <w:webHidden/>
              </w:rPr>
              <w:fldChar w:fldCharType="begin"/>
            </w:r>
            <w:r>
              <w:rPr>
                <w:webHidden/>
              </w:rPr>
              <w:instrText xml:space="preserve"> PAGEREF _Toc93425245 \h </w:instrText>
            </w:r>
            <w:r>
              <w:rPr>
                <w:webHidden/>
              </w:rPr>
            </w:r>
            <w:r>
              <w:rPr>
                <w:webHidden/>
              </w:rPr>
              <w:fldChar w:fldCharType="separate"/>
            </w:r>
            <w:r>
              <w:rPr>
                <w:webHidden/>
              </w:rPr>
              <w:t>42</w:t>
            </w:r>
            <w:r>
              <w:rPr>
                <w:webHidden/>
              </w:rPr>
              <w:fldChar w:fldCharType="end"/>
            </w:r>
          </w:hyperlink>
        </w:p>
        <w:p w14:paraId="5D984D9C" w14:textId="73BA6312" w:rsidR="00C94B75" w:rsidRDefault="00C94B75">
          <w:pPr>
            <w:pStyle w:val="TOC1"/>
            <w:rPr>
              <w:rFonts w:asciiTheme="minorHAnsi" w:eastAsiaTheme="minorEastAsia" w:hAnsiTheme="minorHAnsi" w:cstheme="minorBidi"/>
              <w:szCs w:val="22"/>
              <w:lang w:eastAsia="en-GB"/>
            </w:rPr>
          </w:pPr>
          <w:hyperlink w:anchor="_Toc93425246" w:history="1">
            <w:r w:rsidRPr="00ED497F">
              <w:rPr>
                <w:rStyle w:val="Hyperlink"/>
              </w:rPr>
              <w:t>8.</w:t>
            </w:r>
            <w:r>
              <w:rPr>
                <w:rFonts w:asciiTheme="minorHAnsi" w:eastAsiaTheme="minorEastAsia" w:hAnsiTheme="minorHAnsi" w:cstheme="minorBidi"/>
                <w:szCs w:val="22"/>
                <w:lang w:eastAsia="en-GB"/>
              </w:rPr>
              <w:tab/>
            </w:r>
            <w:r w:rsidRPr="00ED497F">
              <w:rPr>
                <w:rStyle w:val="Hyperlink"/>
              </w:rPr>
              <w:t>Resolution 29 - Alternative calling procedures on international telecommunication networks</w:t>
            </w:r>
            <w:r>
              <w:rPr>
                <w:webHidden/>
              </w:rPr>
              <w:tab/>
            </w:r>
            <w:r>
              <w:rPr>
                <w:webHidden/>
              </w:rPr>
              <w:fldChar w:fldCharType="begin"/>
            </w:r>
            <w:r>
              <w:rPr>
                <w:webHidden/>
              </w:rPr>
              <w:instrText xml:space="preserve"> PAGEREF _Toc93425246 \h </w:instrText>
            </w:r>
            <w:r>
              <w:rPr>
                <w:webHidden/>
              </w:rPr>
            </w:r>
            <w:r>
              <w:rPr>
                <w:webHidden/>
              </w:rPr>
              <w:fldChar w:fldCharType="separate"/>
            </w:r>
            <w:r>
              <w:rPr>
                <w:webHidden/>
              </w:rPr>
              <w:t>47</w:t>
            </w:r>
            <w:r>
              <w:rPr>
                <w:webHidden/>
              </w:rPr>
              <w:fldChar w:fldCharType="end"/>
            </w:r>
          </w:hyperlink>
        </w:p>
        <w:p w14:paraId="36E64A71" w14:textId="193205BF" w:rsidR="00C94B75" w:rsidRDefault="00C94B75">
          <w:pPr>
            <w:pStyle w:val="TOC1"/>
            <w:rPr>
              <w:rFonts w:asciiTheme="minorHAnsi" w:eastAsiaTheme="minorEastAsia" w:hAnsiTheme="minorHAnsi" w:cstheme="minorBidi"/>
              <w:szCs w:val="22"/>
              <w:lang w:eastAsia="en-GB"/>
            </w:rPr>
          </w:pPr>
          <w:hyperlink w:anchor="_Toc93425247" w:history="1">
            <w:r w:rsidRPr="00ED497F">
              <w:rPr>
                <w:rStyle w:val="Hyperlink"/>
              </w:rPr>
              <w:t>9.</w:t>
            </w:r>
            <w:r>
              <w:rPr>
                <w:rFonts w:asciiTheme="minorHAnsi" w:eastAsiaTheme="minorEastAsia" w:hAnsiTheme="minorHAnsi" w:cstheme="minorBidi"/>
                <w:szCs w:val="22"/>
                <w:lang w:eastAsia="en-GB"/>
              </w:rPr>
              <w:tab/>
            </w:r>
            <w:r w:rsidRPr="00ED497F">
              <w:rPr>
                <w:rStyle w:val="Hyperlink"/>
              </w:rPr>
              <w:t>Resolution 31 - Admission of entities or organizations to participate as Associates in the work of the ITU-T Telecommunication Standardization Sector</w:t>
            </w:r>
            <w:r>
              <w:rPr>
                <w:webHidden/>
              </w:rPr>
              <w:tab/>
            </w:r>
            <w:r>
              <w:rPr>
                <w:webHidden/>
              </w:rPr>
              <w:fldChar w:fldCharType="begin"/>
            </w:r>
            <w:r>
              <w:rPr>
                <w:webHidden/>
              </w:rPr>
              <w:instrText xml:space="preserve"> PAGEREF _Toc93425247 \h </w:instrText>
            </w:r>
            <w:r>
              <w:rPr>
                <w:webHidden/>
              </w:rPr>
            </w:r>
            <w:r>
              <w:rPr>
                <w:webHidden/>
              </w:rPr>
              <w:fldChar w:fldCharType="separate"/>
            </w:r>
            <w:r>
              <w:rPr>
                <w:webHidden/>
              </w:rPr>
              <w:t>50</w:t>
            </w:r>
            <w:r>
              <w:rPr>
                <w:webHidden/>
              </w:rPr>
              <w:fldChar w:fldCharType="end"/>
            </w:r>
          </w:hyperlink>
        </w:p>
        <w:p w14:paraId="3BC292B0" w14:textId="66B92983" w:rsidR="00C94B75" w:rsidRDefault="00C94B75">
          <w:pPr>
            <w:pStyle w:val="TOC1"/>
            <w:rPr>
              <w:rFonts w:asciiTheme="minorHAnsi" w:eastAsiaTheme="minorEastAsia" w:hAnsiTheme="minorHAnsi" w:cstheme="minorBidi"/>
              <w:szCs w:val="22"/>
              <w:lang w:eastAsia="en-GB"/>
            </w:rPr>
          </w:pPr>
          <w:hyperlink w:anchor="_Toc93425248" w:history="1">
            <w:r w:rsidRPr="00ED497F">
              <w:rPr>
                <w:rStyle w:val="Hyperlink"/>
              </w:rPr>
              <w:t>10.</w:t>
            </w:r>
            <w:r>
              <w:rPr>
                <w:rFonts w:asciiTheme="minorHAnsi" w:eastAsiaTheme="minorEastAsia" w:hAnsiTheme="minorHAnsi" w:cstheme="minorBidi"/>
                <w:szCs w:val="22"/>
                <w:lang w:eastAsia="en-GB"/>
              </w:rPr>
              <w:tab/>
            </w:r>
            <w:r w:rsidRPr="00ED497F">
              <w:rPr>
                <w:rStyle w:val="Hyperlink"/>
              </w:rPr>
              <w:t>Resolution 32 - Strengthening electronic working methods for the work of the ITU-T Telecommunication Standardization Sector</w:t>
            </w:r>
            <w:r>
              <w:rPr>
                <w:webHidden/>
              </w:rPr>
              <w:tab/>
            </w:r>
            <w:r>
              <w:rPr>
                <w:webHidden/>
              </w:rPr>
              <w:fldChar w:fldCharType="begin"/>
            </w:r>
            <w:r>
              <w:rPr>
                <w:webHidden/>
              </w:rPr>
              <w:instrText xml:space="preserve"> PAGEREF _Toc93425248 \h </w:instrText>
            </w:r>
            <w:r>
              <w:rPr>
                <w:webHidden/>
              </w:rPr>
            </w:r>
            <w:r>
              <w:rPr>
                <w:webHidden/>
              </w:rPr>
              <w:fldChar w:fldCharType="separate"/>
            </w:r>
            <w:r>
              <w:rPr>
                <w:webHidden/>
              </w:rPr>
              <w:t>51</w:t>
            </w:r>
            <w:r>
              <w:rPr>
                <w:webHidden/>
              </w:rPr>
              <w:fldChar w:fldCharType="end"/>
            </w:r>
          </w:hyperlink>
        </w:p>
        <w:p w14:paraId="32824846" w14:textId="4BEC900B" w:rsidR="00C94B75" w:rsidRDefault="00C94B75">
          <w:pPr>
            <w:pStyle w:val="TOC1"/>
            <w:rPr>
              <w:rFonts w:asciiTheme="minorHAnsi" w:eastAsiaTheme="minorEastAsia" w:hAnsiTheme="minorHAnsi" w:cstheme="minorBidi"/>
              <w:szCs w:val="22"/>
              <w:lang w:eastAsia="en-GB"/>
            </w:rPr>
          </w:pPr>
          <w:hyperlink w:anchor="_Toc93425249" w:history="1">
            <w:r w:rsidRPr="00ED497F">
              <w:rPr>
                <w:rStyle w:val="Hyperlink"/>
              </w:rPr>
              <w:t>11.</w:t>
            </w:r>
            <w:r>
              <w:rPr>
                <w:rFonts w:asciiTheme="minorHAnsi" w:eastAsiaTheme="minorEastAsia" w:hAnsiTheme="minorHAnsi" w:cstheme="minorBidi"/>
                <w:szCs w:val="22"/>
                <w:lang w:eastAsia="en-GB"/>
              </w:rPr>
              <w:tab/>
            </w:r>
            <w:r w:rsidRPr="00ED497F">
              <w:rPr>
                <w:rStyle w:val="Hyperlink"/>
              </w:rPr>
              <w:t>Resolution 34 - Voluntary contributions</w:t>
            </w:r>
            <w:r>
              <w:rPr>
                <w:webHidden/>
              </w:rPr>
              <w:tab/>
            </w:r>
            <w:r>
              <w:rPr>
                <w:webHidden/>
              </w:rPr>
              <w:fldChar w:fldCharType="begin"/>
            </w:r>
            <w:r>
              <w:rPr>
                <w:webHidden/>
              </w:rPr>
              <w:instrText xml:space="preserve"> PAGEREF _Toc93425249 \h </w:instrText>
            </w:r>
            <w:r>
              <w:rPr>
                <w:webHidden/>
              </w:rPr>
            </w:r>
            <w:r>
              <w:rPr>
                <w:webHidden/>
              </w:rPr>
              <w:fldChar w:fldCharType="separate"/>
            </w:r>
            <w:r>
              <w:rPr>
                <w:webHidden/>
              </w:rPr>
              <w:t>59</w:t>
            </w:r>
            <w:r>
              <w:rPr>
                <w:webHidden/>
              </w:rPr>
              <w:fldChar w:fldCharType="end"/>
            </w:r>
          </w:hyperlink>
        </w:p>
        <w:p w14:paraId="4B1B7334" w14:textId="57AAFA7C" w:rsidR="00C94B75" w:rsidRDefault="00C94B75">
          <w:pPr>
            <w:pStyle w:val="TOC1"/>
            <w:rPr>
              <w:rFonts w:asciiTheme="minorHAnsi" w:eastAsiaTheme="minorEastAsia" w:hAnsiTheme="minorHAnsi" w:cstheme="minorBidi"/>
              <w:szCs w:val="22"/>
              <w:lang w:eastAsia="en-GB"/>
            </w:rPr>
          </w:pPr>
          <w:hyperlink w:anchor="_Toc93425250" w:history="1">
            <w:r w:rsidRPr="00ED497F">
              <w:rPr>
                <w:rStyle w:val="Hyperlink"/>
              </w:rPr>
              <w:t>12.</w:t>
            </w:r>
            <w:r>
              <w:rPr>
                <w:rFonts w:asciiTheme="minorHAnsi" w:eastAsiaTheme="minorEastAsia" w:hAnsiTheme="minorHAnsi" w:cstheme="minorBidi"/>
                <w:szCs w:val="22"/>
                <w:lang w:eastAsia="en-GB"/>
              </w:rPr>
              <w:tab/>
            </w:r>
            <w:r w:rsidRPr="00ED497F">
              <w:rPr>
                <w:rStyle w:val="Hyperlink"/>
              </w:rPr>
              <w:t>Resolution 35 - Appointment and maximum term of office for chairmen and vice chairmen of study groups of the Telecommunication Standardization Sector and of the Telecommunication Standardization Advisory Group</w:t>
            </w:r>
            <w:r>
              <w:rPr>
                <w:webHidden/>
              </w:rPr>
              <w:tab/>
            </w:r>
            <w:r>
              <w:rPr>
                <w:webHidden/>
              </w:rPr>
              <w:fldChar w:fldCharType="begin"/>
            </w:r>
            <w:r>
              <w:rPr>
                <w:webHidden/>
              </w:rPr>
              <w:instrText xml:space="preserve"> PAGEREF _Toc93425250 \h </w:instrText>
            </w:r>
            <w:r>
              <w:rPr>
                <w:webHidden/>
              </w:rPr>
            </w:r>
            <w:r>
              <w:rPr>
                <w:webHidden/>
              </w:rPr>
              <w:fldChar w:fldCharType="separate"/>
            </w:r>
            <w:r>
              <w:rPr>
                <w:webHidden/>
              </w:rPr>
              <w:t>60</w:t>
            </w:r>
            <w:r>
              <w:rPr>
                <w:webHidden/>
              </w:rPr>
              <w:fldChar w:fldCharType="end"/>
            </w:r>
          </w:hyperlink>
        </w:p>
        <w:p w14:paraId="771F808F" w14:textId="56B41B66" w:rsidR="00C94B75" w:rsidRDefault="00C94B75">
          <w:pPr>
            <w:pStyle w:val="TOC1"/>
            <w:rPr>
              <w:rFonts w:asciiTheme="minorHAnsi" w:eastAsiaTheme="minorEastAsia" w:hAnsiTheme="minorHAnsi" w:cstheme="minorBidi"/>
              <w:szCs w:val="22"/>
              <w:lang w:eastAsia="en-GB"/>
            </w:rPr>
          </w:pPr>
          <w:hyperlink w:anchor="_Toc93425251" w:history="1">
            <w:r w:rsidRPr="00ED497F">
              <w:rPr>
                <w:rStyle w:val="Hyperlink"/>
              </w:rPr>
              <w:t>13.</w:t>
            </w:r>
            <w:r>
              <w:rPr>
                <w:rFonts w:asciiTheme="minorHAnsi" w:eastAsiaTheme="minorEastAsia" w:hAnsiTheme="minorHAnsi" w:cstheme="minorBidi"/>
                <w:szCs w:val="22"/>
                <w:lang w:eastAsia="en-GB"/>
              </w:rPr>
              <w:tab/>
            </w:r>
            <w:r w:rsidRPr="00ED497F">
              <w:rPr>
                <w:rStyle w:val="Hyperlink"/>
              </w:rPr>
              <w:t>Resolution 40 - Regulatory aspects of work of the ITU Telecommunication Standardization Sector</w:t>
            </w:r>
            <w:r>
              <w:rPr>
                <w:webHidden/>
              </w:rPr>
              <w:tab/>
            </w:r>
            <w:r>
              <w:rPr>
                <w:webHidden/>
              </w:rPr>
              <w:fldChar w:fldCharType="begin"/>
            </w:r>
            <w:r>
              <w:rPr>
                <w:webHidden/>
              </w:rPr>
              <w:instrText xml:space="preserve"> PAGEREF _Toc93425251 \h </w:instrText>
            </w:r>
            <w:r>
              <w:rPr>
                <w:webHidden/>
              </w:rPr>
            </w:r>
            <w:r>
              <w:rPr>
                <w:webHidden/>
              </w:rPr>
              <w:fldChar w:fldCharType="separate"/>
            </w:r>
            <w:r>
              <w:rPr>
                <w:webHidden/>
              </w:rPr>
              <w:t>62</w:t>
            </w:r>
            <w:r>
              <w:rPr>
                <w:webHidden/>
              </w:rPr>
              <w:fldChar w:fldCharType="end"/>
            </w:r>
          </w:hyperlink>
        </w:p>
        <w:p w14:paraId="0E93D2A8" w14:textId="5108DCF5" w:rsidR="00C94B75" w:rsidRDefault="00C94B75">
          <w:pPr>
            <w:pStyle w:val="TOC1"/>
            <w:rPr>
              <w:rFonts w:asciiTheme="minorHAnsi" w:eastAsiaTheme="minorEastAsia" w:hAnsiTheme="minorHAnsi" w:cstheme="minorBidi"/>
              <w:szCs w:val="22"/>
              <w:lang w:eastAsia="en-GB"/>
            </w:rPr>
          </w:pPr>
          <w:hyperlink w:anchor="_Toc93425252" w:history="1">
            <w:r w:rsidRPr="00ED497F">
              <w:rPr>
                <w:rStyle w:val="Hyperlink"/>
              </w:rPr>
              <w:t>14.</w:t>
            </w:r>
            <w:r>
              <w:rPr>
                <w:rFonts w:asciiTheme="minorHAnsi" w:eastAsiaTheme="minorEastAsia" w:hAnsiTheme="minorHAnsi" w:cstheme="minorBidi"/>
                <w:szCs w:val="22"/>
                <w:lang w:eastAsia="en-GB"/>
              </w:rPr>
              <w:tab/>
            </w:r>
            <w:r w:rsidRPr="00ED497F">
              <w:rPr>
                <w:rStyle w:val="Hyperlink"/>
              </w:rPr>
              <w:t>Resolution 43 - Regional preparations for world telecommunication standardization assemblies</w:t>
            </w:r>
            <w:r>
              <w:rPr>
                <w:webHidden/>
              </w:rPr>
              <w:tab/>
            </w:r>
            <w:r>
              <w:rPr>
                <w:webHidden/>
              </w:rPr>
              <w:fldChar w:fldCharType="begin"/>
            </w:r>
            <w:r>
              <w:rPr>
                <w:webHidden/>
              </w:rPr>
              <w:instrText xml:space="preserve"> PAGEREF _Toc93425252 \h </w:instrText>
            </w:r>
            <w:r>
              <w:rPr>
                <w:webHidden/>
              </w:rPr>
            </w:r>
            <w:r>
              <w:rPr>
                <w:webHidden/>
              </w:rPr>
              <w:fldChar w:fldCharType="separate"/>
            </w:r>
            <w:r>
              <w:rPr>
                <w:webHidden/>
              </w:rPr>
              <w:t>64</w:t>
            </w:r>
            <w:r>
              <w:rPr>
                <w:webHidden/>
              </w:rPr>
              <w:fldChar w:fldCharType="end"/>
            </w:r>
          </w:hyperlink>
        </w:p>
        <w:p w14:paraId="58052F4D" w14:textId="76295604" w:rsidR="00C94B75" w:rsidRDefault="00C94B75">
          <w:pPr>
            <w:pStyle w:val="TOC1"/>
            <w:rPr>
              <w:rFonts w:asciiTheme="minorHAnsi" w:eastAsiaTheme="minorEastAsia" w:hAnsiTheme="minorHAnsi" w:cstheme="minorBidi"/>
              <w:szCs w:val="22"/>
              <w:lang w:eastAsia="en-GB"/>
            </w:rPr>
          </w:pPr>
          <w:hyperlink w:anchor="_Toc93425253" w:history="1">
            <w:r w:rsidRPr="00ED497F">
              <w:rPr>
                <w:rStyle w:val="Hyperlink"/>
              </w:rPr>
              <w:t>15.</w:t>
            </w:r>
            <w:r>
              <w:rPr>
                <w:rFonts w:asciiTheme="minorHAnsi" w:eastAsiaTheme="minorEastAsia" w:hAnsiTheme="minorHAnsi" w:cstheme="minorBidi"/>
                <w:szCs w:val="22"/>
                <w:lang w:eastAsia="en-GB"/>
              </w:rPr>
              <w:tab/>
            </w:r>
            <w:r w:rsidRPr="00ED497F">
              <w:rPr>
                <w:rStyle w:val="Hyperlink"/>
              </w:rPr>
              <w:t>Resolution 44 - Bridging the standardization gap between developing and developed countries</w:t>
            </w:r>
            <w:r>
              <w:rPr>
                <w:webHidden/>
              </w:rPr>
              <w:tab/>
            </w:r>
            <w:r>
              <w:rPr>
                <w:webHidden/>
              </w:rPr>
              <w:fldChar w:fldCharType="begin"/>
            </w:r>
            <w:r>
              <w:rPr>
                <w:webHidden/>
              </w:rPr>
              <w:instrText xml:space="preserve"> PAGEREF _Toc93425253 \h </w:instrText>
            </w:r>
            <w:r>
              <w:rPr>
                <w:webHidden/>
              </w:rPr>
            </w:r>
            <w:r>
              <w:rPr>
                <w:webHidden/>
              </w:rPr>
              <w:fldChar w:fldCharType="separate"/>
            </w:r>
            <w:r>
              <w:rPr>
                <w:webHidden/>
              </w:rPr>
              <w:t>68</w:t>
            </w:r>
            <w:r>
              <w:rPr>
                <w:webHidden/>
              </w:rPr>
              <w:fldChar w:fldCharType="end"/>
            </w:r>
          </w:hyperlink>
        </w:p>
        <w:p w14:paraId="59F4869F" w14:textId="26BA371A" w:rsidR="00C94B75" w:rsidRDefault="00C94B75">
          <w:pPr>
            <w:pStyle w:val="TOC1"/>
            <w:rPr>
              <w:rFonts w:asciiTheme="minorHAnsi" w:eastAsiaTheme="minorEastAsia" w:hAnsiTheme="minorHAnsi" w:cstheme="minorBidi"/>
              <w:szCs w:val="22"/>
              <w:lang w:eastAsia="en-GB"/>
            </w:rPr>
          </w:pPr>
          <w:hyperlink w:anchor="_Toc93425254" w:history="1">
            <w:r w:rsidRPr="00ED497F">
              <w:rPr>
                <w:rStyle w:val="Hyperlink"/>
              </w:rPr>
              <w:t>16.</w:t>
            </w:r>
            <w:r>
              <w:rPr>
                <w:rFonts w:asciiTheme="minorHAnsi" w:eastAsiaTheme="minorEastAsia" w:hAnsiTheme="minorHAnsi" w:cstheme="minorBidi"/>
                <w:szCs w:val="22"/>
                <w:lang w:eastAsia="en-GB"/>
              </w:rPr>
              <w:tab/>
            </w:r>
            <w:r w:rsidRPr="00ED497F">
              <w:rPr>
                <w:rStyle w:val="Hyperlink"/>
              </w:rPr>
              <w:t>Resolution 45 - Effective coordination of standardization work across study groups in the ITU Telecommunication Standardization Sector and the role of the ITU Telecommunication Standardization Advisory Group</w:t>
            </w:r>
            <w:r>
              <w:rPr>
                <w:webHidden/>
              </w:rPr>
              <w:tab/>
            </w:r>
            <w:r>
              <w:rPr>
                <w:webHidden/>
              </w:rPr>
              <w:fldChar w:fldCharType="begin"/>
            </w:r>
            <w:r>
              <w:rPr>
                <w:webHidden/>
              </w:rPr>
              <w:instrText xml:space="preserve"> PAGEREF _Toc93425254 \h </w:instrText>
            </w:r>
            <w:r>
              <w:rPr>
                <w:webHidden/>
              </w:rPr>
            </w:r>
            <w:r>
              <w:rPr>
                <w:webHidden/>
              </w:rPr>
              <w:fldChar w:fldCharType="separate"/>
            </w:r>
            <w:r>
              <w:rPr>
                <w:webHidden/>
              </w:rPr>
              <w:t>89</w:t>
            </w:r>
            <w:r>
              <w:rPr>
                <w:webHidden/>
              </w:rPr>
              <w:fldChar w:fldCharType="end"/>
            </w:r>
          </w:hyperlink>
        </w:p>
        <w:p w14:paraId="14DD5FF3" w14:textId="3869FBA3" w:rsidR="00C94B75" w:rsidRDefault="00C94B75">
          <w:pPr>
            <w:pStyle w:val="TOC1"/>
            <w:rPr>
              <w:rFonts w:asciiTheme="minorHAnsi" w:eastAsiaTheme="minorEastAsia" w:hAnsiTheme="minorHAnsi" w:cstheme="minorBidi"/>
              <w:szCs w:val="22"/>
              <w:lang w:eastAsia="en-GB"/>
            </w:rPr>
          </w:pPr>
          <w:hyperlink w:anchor="_Toc93425255" w:history="1">
            <w:r w:rsidRPr="00ED497F">
              <w:rPr>
                <w:rStyle w:val="Hyperlink"/>
              </w:rPr>
              <w:t>17.</w:t>
            </w:r>
            <w:r>
              <w:rPr>
                <w:rFonts w:asciiTheme="minorHAnsi" w:eastAsiaTheme="minorEastAsia" w:hAnsiTheme="minorHAnsi" w:cstheme="minorBidi"/>
                <w:szCs w:val="22"/>
                <w:lang w:eastAsia="en-GB"/>
              </w:rPr>
              <w:tab/>
            </w:r>
            <w:r w:rsidRPr="00ED497F">
              <w:rPr>
                <w:rStyle w:val="Hyperlink"/>
              </w:rPr>
              <w:t>Resolution 47 - Country code top-level domain names</w:t>
            </w:r>
            <w:r>
              <w:rPr>
                <w:webHidden/>
              </w:rPr>
              <w:tab/>
            </w:r>
            <w:r>
              <w:rPr>
                <w:webHidden/>
              </w:rPr>
              <w:fldChar w:fldCharType="begin"/>
            </w:r>
            <w:r>
              <w:rPr>
                <w:webHidden/>
              </w:rPr>
              <w:instrText xml:space="preserve"> PAGEREF _Toc93425255 \h </w:instrText>
            </w:r>
            <w:r>
              <w:rPr>
                <w:webHidden/>
              </w:rPr>
            </w:r>
            <w:r>
              <w:rPr>
                <w:webHidden/>
              </w:rPr>
              <w:fldChar w:fldCharType="separate"/>
            </w:r>
            <w:r>
              <w:rPr>
                <w:webHidden/>
              </w:rPr>
              <w:t>90</w:t>
            </w:r>
            <w:r>
              <w:rPr>
                <w:webHidden/>
              </w:rPr>
              <w:fldChar w:fldCharType="end"/>
            </w:r>
          </w:hyperlink>
        </w:p>
        <w:p w14:paraId="0BB6AD1F" w14:textId="7723CFC3" w:rsidR="00C94B75" w:rsidRDefault="00C94B75">
          <w:pPr>
            <w:pStyle w:val="TOC1"/>
            <w:rPr>
              <w:rFonts w:asciiTheme="minorHAnsi" w:eastAsiaTheme="minorEastAsia" w:hAnsiTheme="minorHAnsi" w:cstheme="minorBidi"/>
              <w:szCs w:val="22"/>
              <w:lang w:eastAsia="en-GB"/>
            </w:rPr>
          </w:pPr>
          <w:hyperlink w:anchor="_Toc93425256" w:history="1">
            <w:r w:rsidRPr="00ED497F">
              <w:rPr>
                <w:rStyle w:val="Hyperlink"/>
              </w:rPr>
              <w:t>18.</w:t>
            </w:r>
            <w:r>
              <w:rPr>
                <w:rFonts w:asciiTheme="minorHAnsi" w:eastAsiaTheme="minorEastAsia" w:hAnsiTheme="minorHAnsi" w:cstheme="minorBidi"/>
                <w:szCs w:val="22"/>
                <w:lang w:eastAsia="en-GB"/>
              </w:rPr>
              <w:tab/>
            </w:r>
            <w:r w:rsidRPr="00ED497F">
              <w:rPr>
                <w:rStyle w:val="Hyperlink"/>
              </w:rPr>
              <w:t>Resolution 48 - Internationalized (multilingual) domain names</w:t>
            </w:r>
            <w:r>
              <w:rPr>
                <w:webHidden/>
              </w:rPr>
              <w:tab/>
            </w:r>
            <w:r>
              <w:rPr>
                <w:webHidden/>
              </w:rPr>
              <w:fldChar w:fldCharType="begin"/>
            </w:r>
            <w:r>
              <w:rPr>
                <w:webHidden/>
              </w:rPr>
              <w:instrText xml:space="preserve"> PAGEREF _Toc93425256 \h </w:instrText>
            </w:r>
            <w:r>
              <w:rPr>
                <w:webHidden/>
              </w:rPr>
            </w:r>
            <w:r>
              <w:rPr>
                <w:webHidden/>
              </w:rPr>
              <w:fldChar w:fldCharType="separate"/>
            </w:r>
            <w:r>
              <w:rPr>
                <w:webHidden/>
              </w:rPr>
              <w:t>91</w:t>
            </w:r>
            <w:r>
              <w:rPr>
                <w:webHidden/>
              </w:rPr>
              <w:fldChar w:fldCharType="end"/>
            </w:r>
          </w:hyperlink>
        </w:p>
        <w:p w14:paraId="7A1C2871" w14:textId="67A6B54D" w:rsidR="00C94B75" w:rsidRDefault="00C94B75">
          <w:pPr>
            <w:pStyle w:val="TOC1"/>
            <w:rPr>
              <w:rFonts w:asciiTheme="minorHAnsi" w:eastAsiaTheme="minorEastAsia" w:hAnsiTheme="minorHAnsi" w:cstheme="minorBidi"/>
              <w:szCs w:val="22"/>
              <w:lang w:eastAsia="en-GB"/>
            </w:rPr>
          </w:pPr>
          <w:hyperlink w:anchor="_Toc93425257" w:history="1">
            <w:r w:rsidRPr="00ED497F">
              <w:rPr>
                <w:rStyle w:val="Hyperlink"/>
              </w:rPr>
              <w:t>19.</w:t>
            </w:r>
            <w:r>
              <w:rPr>
                <w:rFonts w:asciiTheme="minorHAnsi" w:eastAsiaTheme="minorEastAsia" w:hAnsiTheme="minorHAnsi" w:cstheme="minorBidi"/>
                <w:szCs w:val="22"/>
                <w:lang w:eastAsia="en-GB"/>
              </w:rPr>
              <w:tab/>
            </w:r>
            <w:r w:rsidRPr="00ED497F">
              <w:rPr>
                <w:rStyle w:val="Hyperlink"/>
              </w:rPr>
              <w:t>Resolution 49 - ENUM</w:t>
            </w:r>
            <w:r>
              <w:rPr>
                <w:webHidden/>
              </w:rPr>
              <w:tab/>
            </w:r>
            <w:r>
              <w:rPr>
                <w:webHidden/>
              </w:rPr>
              <w:fldChar w:fldCharType="begin"/>
            </w:r>
            <w:r>
              <w:rPr>
                <w:webHidden/>
              </w:rPr>
              <w:instrText xml:space="preserve"> PAGEREF _Toc93425257 \h </w:instrText>
            </w:r>
            <w:r>
              <w:rPr>
                <w:webHidden/>
              </w:rPr>
            </w:r>
            <w:r>
              <w:rPr>
                <w:webHidden/>
              </w:rPr>
              <w:fldChar w:fldCharType="separate"/>
            </w:r>
            <w:r>
              <w:rPr>
                <w:webHidden/>
              </w:rPr>
              <w:t>92</w:t>
            </w:r>
            <w:r>
              <w:rPr>
                <w:webHidden/>
              </w:rPr>
              <w:fldChar w:fldCharType="end"/>
            </w:r>
          </w:hyperlink>
        </w:p>
        <w:p w14:paraId="2548815F" w14:textId="5AC79BDB" w:rsidR="00C94B75" w:rsidRDefault="00C94B75">
          <w:pPr>
            <w:pStyle w:val="TOC1"/>
            <w:rPr>
              <w:rFonts w:asciiTheme="minorHAnsi" w:eastAsiaTheme="minorEastAsia" w:hAnsiTheme="minorHAnsi" w:cstheme="minorBidi"/>
              <w:szCs w:val="22"/>
              <w:lang w:eastAsia="en-GB"/>
            </w:rPr>
          </w:pPr>
          <w:hyperlink w:anchor="_Toc93425258" w:history="1">
            <w:r w:rsidRPr="00ED497F">
              <w:rPr>
                <w:rStyle w:val="Hyperlink"/>
              </w:rPr>
              <w:t>20.</w:t>
            </w:r>
            <w:r>
              <w:rPr>
                <w:rFonts w:asciiTheme="minorHAnsi" w:eastAsiaTheme="minorEastAsia" w:hAnsiTheme="minorHAnsi" w:cstheme="minorBidi"/>
                <w:szCs w:val="22"/>
                <w:lang w:eastAsia="en-GB"/>
              </w:rPr>
              <w:tab/>
            </w:r>
            <w:r w:rsidRPr="00ED497F">
              <w:rPr>
                <w:rStyle w:val="Hyperlink"/>
              </w:rPr>
              <w:t>Resolution 50 - Cybersecurity</w:t>
            </w:r>
            <w:r>
              <w:rPr>
                <w:webHidden/>
              </w:rPr>
              <w:tab/>
            </w:r>
            <w:r>
              <w:rPr>
                <w:webHidden/>
              </w:rPr>
              <w:fldChar w:fldCharType="begin"/>
            </w:r>
            <w:r>
              <w:rPr>
                <w:webHidden/>
              </w:rPr>
              <w:instrText xml:space="preserve"> PAGEREF _Toc93425258 \h </w:instrText>
            </w:r>
            <w:r>
              <w:rPr>
                <w:webHidden/>
              </w:rPr>
            </w:r>
            <w:r>
              <w:rPr>
                <w:webHidden/>
              </w:rPr>
              <w:fldChar w:fldCharType="separate"/>
            </w:r>
            <w:r>
              <w:rPr>
                <w:webHidden/>
              </w:rPr>
              <w:t>93</w:t>
            </w:r>
            <w:r>
              <w:rPr>
                <w:webHidden/>
              </w:rPr>
              <w:fldChar w:fldCharType="end"/>
            </w:r>
          </w:hyperlink>
        </w:p>
        <w:p w14:paraId="6997D8F9" w14:textId="0D2ADB27" w:rsidR="00C94B75" w:rsidRDefault="00C94B75">
          <w:pPr>
            <w:pStyle w:val="TOC1"/>
            <w:rPr>
              <w:rFonts w:asciiTheme="minorHAnsi" w:eastAsiaTheme="minorEastAsia" w:hAnsiTheme="minorHAnsi" w:cstheme="minorBidi"/>
              <w:szCs w:val="22"/>
              <w:lang w:eastAsia="en-GB"/>
            </w:rPr>
          </w:pPr>
          <w:hyperlink w:anchor="_Toc93425259" w:history="1">
            <w:r w:rsidRPr="00ED497F">
              <w:rPr>
                <w:rStyle w:val="Hyperlink"/>
              </w:rPr>
              <w:t>21.</w:t>
            </w:r>
            <w:r>
              <w:rPr>
                <w:rFonts w:asciiTheme="minorHAnsi" w:eastAsiaTheme="minorEastAsia" w:hAnsiTheme="minorHAnsi" w:cstheme="minorBidi"/>
                <w:szCs w:val="22"/>
                <w:lang w:eastAsia="en-GB"/>
              </w:rPr>
              <w:tab/>
            </w:r>
            <w:r w:rsidRPr="00ED497F">
              <w:rPr>
                <w:rStyle w:val="Hyperlink"/>
              </w:rPr>
              <w:t>Resolution 52 - Countering and combating spam</w:t>
            </w:r>
            <w:r>
              <w:rPr>
                <w:webHidden/>
              </w:rPr>
              <w:tab/>
            </w:r>
            <w:r>
              <w:rPr>
                <w:webHidden/>
              </w:rPr>
              <w:fldChar w:fldCharType="begin"/>
            </w:r>
            <w:r>
              <w:rPr>
                <w:webHidden/>
              </w:rPr>
              <w:instrText xml:space="preserve"> PAGEREF _Toc93425259 \h </w:instrText>
            </w:r>
            <w:r>
              <w:rPr>
                <w:webHidden/>
              </w:rPr>
            </w:r>
            <w:r>
              <w:rPr>
                <w:webHidden/>
              </w:rPr>
              <w:fldChar w:fldCharType="separate"/>
            </w:r>
            <w:r>
              <w:rPr>
                <w:webHidden/>
              </w:rPr>
              <w:t>100</w:t>
            </w:r>
            <w:r>
              <w:rPr>
                <w:webHidden/>
              </w:rPr>
              <w:fldChar w:fldCharType="end"/>
            </w:r>
          </w:hyperlink>
        </w:p>
        <w:p w14:paraId="016BC2E5" w14:textId="3DF4E112" w:rsidR="00C94B75" w:rsidRDefault="00C94B75">
          <w:pPr>
            <w:pStyle w:val="TOC1"/>
            <w:rPr>
              <w:rFonts w:asciiTheme="minorHAnsi" w:eastAsiaTheme="minorEastAsia" w:hAnsiTheme="minorHAnsi" w:cstheme="minorBidi"/>
              <w:szCs w:val="22"/>
              <w:lang w:eastAsia="en-GB"/>
            </w:rPr>
          </w:pPr>
          <w:hyperlink w:anchor="_Toc93425260" w:history="1">
            <w:r w:rsidRPr="00ED497F">
              <w:rPr>
                <w:rStyle w:val="Hyperlink"/>
              </w:rPr>
              <w:t>22.</w:t>
            </w:r>
            <w:r>
              <w:rPr>
                <w:rFonts w:asciiTheme="minorHAnsi" w:eastAsiaTheme="minorEastAsia" w:hAnsiTheme="minorHAnsi" w:cstheme="minorBidi"/>
                <w:szCs w:val="22"/>
                <w:lang w:eastAsia="en-GB"/>
              </w:rPr>
              <w:tab/>
            </w:r>
            <w:r w:rsidRPr="00ED497F">
              <w:rPr>
                <w:rStyle w:val="Hyperlink"/>
              </w:rPr>
              <w:t>Resolution 54 - Creation of, and assistance to, regional groups</w:t>
            </w:r>
            <w:r>
              <w:rPr>
                <w:webHidden/>
              </w:rPr>
              <w:tab/>
            </w:r>
            <w:r>
              <w:rPr>
                <w:webHidden/>
              </w:rPr>
              <w:fldChar w:fldCharType="begin"/>
            </w:r>
            <w:r>
              <w:rPr>
                <w:webHidden/>
              </w:rPr>
              <w:instrText xml:space="preserve"> PAGEREF _Toc93425260 \h </w:instrText>
            </w:r>
            <w:r>
              <w:rPr>
                <w:webHidden/>
              </w:rPr>
            </w:r>
            <w:r>
              <w:rPr>
                <w:webHidden/>
              </w:rPr>
              <w:fldChar w:fldCharType="separate"/>
            </w:r>
            <w:r>
              <w:rPr>
                <w:webHidden/>
              </w:rPr>
              <w:t>104</w:t>
            </w:r>
            <w:r>
              <w:rPr>
                <w:webHidden/>
              </w:rPr>
              <w:fldChar w:fldCharType="end"/>
            </w:r>
          </w:hyperlink>
        </w:p>
        <w:p w14:paraId="1E207707" w14:textId="080566C5" w:rsidR="00C94B75" w:rsidRDefault="00C94B75">
          <w:pPr>
            <w:pStyle w:val="TOC1"/>
            <w:rPr>
              <w:rFonts w:asciiTheme="minorHAnsi" w:eastAsiaTheme="minorEastAsia" w:hAnsiTheme="minorHAnsi" w:cstheme="minorBidi"/>
              <w:szCs w:val="22"/>
              <w:lang w:eastAsia="en-GB"/>
            </w:rPr>
          </w:pPr>
          <w:hyperlink w:anchor="_Toc93425261" w:history="1">
            <w:r w:rsidRPr="00ED497F">
              <w:rPr>
                <w:rStyle w:val="Hyperlink"/>
              </w:rPr>
              <w:t>23.</w:t>
            </w:r>
            <w:r>
              <w:rPr>
                <w:rFonts w:asciiTheme="minorHAnsi" w:eastAsiaTheme="minorEastAsia" w:hAnsiTheme="minorHAnsi" w:cstheme="minorBidi"/>
                <w:szCs w:val="22"/>
                <w:lang w:eastAsia="en-GB"/>
              </w:rPr>
              <w:tab/>
            </w:r>
            <w:r w:rsidRPr="00ED497F">
              <w:rPr>
                <w:rStyle w:val="Hyperlink"/>
              </w:rPr>
              <w:t>Resolution 55 – Promoting gender equality in ITU Telecommunication Standardization Sector activities</w:t>
            </w:r>
            <w:r>
              <w:rPr>
                <w:webHidden/>
              </w:rPr>
              <w:tab/>
            </w:r>
            <w:r>
              <w:rPr>
                <w:webHidden/>
              </w:rPr>
              <w:fldChar w:fldCharType="begin"/>
            </w:r>
            <w:r>
              <w:rPr>
                <w:webHidden/>
              </w:rPr>
              <w:instrText xml:space="preserve"> PAGEREF _Toc93425261 \h </w:instrText>
            </w:r>
            <w:r>
              <w:rPr>
                <w:webHidden/>
              </w:rPr>
            </w:r>
            <w:r>
              <w:rPr>
                <w:webHidden/>
              </w:rPr>
              <w:fldChar w:fldCharType="separate"/>
            </w:r>
            <w:r>
              <w:rPr>
                <w:webHidden/>
              </w:rPr>
              <w:t>113</w:t>
            </w:r>
            <w:r>
              <w:rPr>
                <w:webHidden/>
              </w:rPr>
              <w:fldChar w:fldCharType="end"/>
            </w:r>
          </w:hyperlink>
        </w:p>
        <w:p w14:paraId="5E8304FC" w14:textId="2C394684" w:rsidR="00C94B75" w:rsidRDefault="00C94B75">
          <w:pPr>
            <w:pStyle w:val="TOC1"/>
            <w:rPr>
              <w:rFonts w:asciiTheme="minorHAnsi" w:eastAsiaTheme="minorEastAsia" w:hAnsiTheme="minorHAnsi" w:cstheme="minorBidi"/>
              <w:szCs w:val="22"/>
              <w:lang w:eastAsia="en-GB"/>
            </w:rPr>
          </w:pPr>
          <w:hyperlink w:anchor="_Toc93425262" w:history="1">
            <w:r w:rsidRPr="00ED497F">
              <w:rPr>
                <w:rStyle w:val="Hyperlink"/>
              </w:rPr>
              <w:t>24.</w:t>
            </w:r>
            <w:r>
              <w:rPr>
                <w:rFonts w:asciiTheme="minorHAnsi" w:eastAsiaTheme="minorEastAsia" w:hAnsiTheme="minorHAnsi" w:cstheme="minorBidi"/>
                <w:szCs w:val="22"/>
                <w:lang w:eastAsia="en-GB"/>
              </w:rPr>
              <w:tab/>
            </w:r>
            <w:r w:rsidRPr="00ED497F">
              <w:rPr>
                <w:rStyle w:val="Hyperlink"/>
              </w:rPr>
              <w:t>Resolution 58 – Encourage the creation of national computer incident response teams, particularly for developing countries</w:t>
            </w:r>
            <w:r>
              <w:rPr>
                <w:webHidden/>
              </w:rPr>
              <w:tab/>
            </w:r>
            <w:r>
              <w:rPr>
                <w:webHidden/>
              </w:rPr>
              <w:fldChar w:fldCharType="begin"/>
            </w:r>
            <w:r>
              <w:rPr>
                <w:webHidden/>
              </w:rPr>
              <w:instrText xml:space="preserve"> PAGEREF _Toc93425262 \h </w:instrText>
            </w:r>
            <w:r>
              <w:rPr>
                <w:webHidden/>
              </w:rPr>
            </w:r>
            <w:r>
              <w:rPr>
                <w:webHidden/>
              </w:rPr>
              <w:fldChar w:fldCharType="separate"/>
            </w:r>
            <w:r>
              <w:rPr>
                <w:webHidden/>
              </w:rPr>
              <w:t>117</w:t>
            </w:r>
            <w:r>
              <w:rPr>
                <w:webHidden/>
              </w:rPr>
              <w:fldChar w:fldCharType="end"/>
            </w:r>
          </w:hyperlink>
        </w:p>
        <w:p w14:paraId="63631ACA" w14:textId="67E5BB4A" w:rsidR="00C94B75" w:rsidRDefault="00C94B75">
          <w:pPr>
            <w:pStyle w:val="TOC1"/>
            <w:rPr>
              <w:rFonts w:asciiTheme="minorHAnsi" w:eastAsiaTheme="minorEastAsia" w:hAnsiTheme="minorHAnsi" w:cstheme="minorBidi"/>
              <w:szCs w:val="22"/>
              <w:lang w:eastAsia="en-GB"/>
            </w:rPr>
          </w:pPr>
          <w:hyperlink w:anchor="_Toc93425263" w:history="1">
            <w:r w:rsidRPr="00ED497F">
              <w:rPr>
                <w:rStyle w:val="Hyperlink"/>
              </w:rPr>
              <w:t>25.</w:t>
            </w:r>
            <w:r>
              <w:rPr>
                <w:rFonts w:asciiTheme="minorHAnsi" w:eastAsiaTheme="minorEastAsia" w:hAnsiTheme="minorHAnsi" w:cstheme="minorBidi"/>
                <w:szCs w:val="22"/>
                <w:lang w:eastAsia="en-GB"/>
              </w:rPr>
              <w:tab/>
            </w:r>
            <w:r w:rsidRPr="00ED497F">
              <w:rPr>
                <w:rStyle w:val="Hyperlink"/>
              </w:rPr>
              <w:t>Resolution 59 – Enhancing participation of telecommunication operators from developing countries</w:t>
            </w:r>
            <w:r>
              <w:rPr>
                <w:webHidden/>
              </w:rPr>
              <w:tab/>
            </w:r>
            <w:r>
              <w:rPr>
                <w:webHidden/>
              </w:rPr>
              <w:fldChar w:fldCharType="begin"/>
            </w:r>
            <w:r>
              <w:rPr>
                <w:webHidden/>
              </w:rPr>
              <w:instrText xml:space="preserve"> PAGEREF _Toc93425263 \h </w:instrText>
            </w:r>
            <w:r>
              <w:rPr>
                <w:webHidden/>
              </w:rPr>
            </w:r>
            <w:r>
              <w:rPr>
                <w:webHidden/>
              </w:rPr>
              <w:fldChar w:fldCharType="separate"/>
            </w:r>
            <w:r>
              <w:rPr>
                <w:webHidden/>
              </w:rPr>
              <w:t>118</w:t>
            </w:r>
            <w:r>
              <w:rPr>
                <w:webHidden/>
              </w:rPr>
              <w:fldChar w:fldCharType="end"/>
            </w:r>
          </w:hyperlink>
        </w:p>
        <w:p w14:paraId="6C079471" w14:textId="1FA9F83B" w:rsidR="00C94B75" w:rsidRDefault="00C94B75">
          <w:pPr>
            <w:pStyle w:val="TOC1"/>
            <w:rPr>
              <w:rFonts w:asciiTheme="minorHAnsi" w:eastAsiaTheme="minorEastAsia" w:hAnsiTheme="minorHAnsi" w:cstheme="minorBidi"/>
              <w:szCs w:val="22"/>
              <w:lang w:eastAsia="en-GB"/>
            </w:rPr>
          </w:pPr>
          <w:hyperlink w:anchor="_Toc93425264" w:history="1">
            <w:r w:rsidRPr="00ED497F">
              <w:rPr>
                <w:rStyle w:val="Hyperlink"/>
              </w:rPr>
              <w:t>26.</w:t>
            </w:r>
            <w:r>
              <w:rPr>
                <w:rFonts w:asciiTheme="minorHAnsi" w:eastAsiaTheme="minorEastAsia" w:hAnsiTheme="minorHAnsi" w:cstheme="minorBidi"/>
                <w:szCs w:val="22"/>
                <w:lang w:eastAsia="en-GB"/>
              </w:rPr>
              <w:tab/>
            </w:r>
            <w:r w:rsidRPr="00ED497F">
              <w:rPr>
                <w:rStyle w:val="Hyperlink"/>
              </w:rPr>
              <w:t>Resolution 60 – Responding to the challenges of the evolution of the identification/numbering system and its convergence with IP-based systems / networks</w:t>
            </w:r>
            <w:r>
              <w:rPr>
                <w:webHidden/>
              </w:rPr>
              <w:tab/>
            </w:r>
            <w:r>
              <w:rPr>
                <w:webHidden/>
              </w:rPr>
              <w:fldChar w:fldCharType="begin"/>
            </w:r>
            <w:r>
              <w:rPr>
                <w:webHidden/>
              </w:rPr>
              <w:instrText xml:space="preserve"> PAGEREF _Toc93425264 \h </w:instrText>
            </w:r>
            <w:r>
              <w:rPr>
                <w:webHidden/>
              </w:rPr>
            </w:r>
            <w:r>
              <w:rPr>
                <w:webHidden/>
              </w:rPr>
              <w:fldChar w:fldCharType="separate"/>
            </w:r>
            <w:r>
              <w:rPr>
                <w:webHidden/>
              </w:rPr>
              <w:t>120</w:t>
            </w:r>
            <w:r>
              <w:rPr>
                <w:webHidden/>
              </w:rPr>
              <w:fldChar w:fldCharType="end"/>
            </w:r>
          </w:hyperlink>
        </w:p>
        <w:p w14:paraId="79D6A3D1" w14:textId="2918DA10" w:rsidR="00C94B75" w:rsidRDefault="00C94B75">
          <w:pPr>
            <w:pStyle w:val="TOC1"/>
            <w:rPr>
              <w:rFonts w:asciiTheme="minorHAnsi" w:eastAsiaTheme="minorEastAsia" w:hAnsiTheme="minorHAnsi" w:cstheme="minorBidi"/>
              <w:szCs w:val="22"/>
              <w:lang w:eastAsia="en-GB"/>
            </w:rPr>
          </w:pPr>
          <w:hyperlink w:anchor="_Toc93425265" w:history="1">
            <w:r w:rsidRPr="00ED497F">
              <w:rPr>
                <w:rStyle w:val="Hyperlink"/>
              </w:rPr>
              <w:t>27.</w:t>
            </w:r>
            <w:r>
              <w:rPr>
                <w:rFonts w:asciiTheme="minorHAnsi" w:eastAsiaTheme="minorEastAsia" w:hAnsiTheme="minorHAnsi" w:cstheme="minorBidi"/>
                <w:szCs w:val="22"/>
                <w:lang w:eastAsia="en-GB"/>
              </w:rPr>
              <w:tab/>
            </w:r>
            <w:r w:rsidRPr="00ED497F">
              <w:rPr>
                <w:rStyle w:val="Hyperlink"/>
              </w:rPr>
              <w:t>Resolution 61 – Countering and combating misappropriation and misuse of international telecommunication numbering resources</w:t>
            </w:r>
            <w:r>
              <w:rPr>
                <w:webHidden/>
              </w:rPr>
              <w:tab/>
            </w:r>
            <w:r>
              <w:rPr>
                <w:webHidden/>
              </w:rPr>
              <w:fldChar w:fldCharType="begin"/>
            </w:r>
            <w:r>
              <w:rPr>
                <w:webHidden/>
              </w:rPr>
              <w:instrText xml:space="preserve"> PAGEREF _Toc93425265 \h </w:instrText>
            </w:r>
            <w:r>
              <w:rPr>
                <w:webHidden/>
              </w:rPr>
            </w:r>
            <w:r>
              <w:rPr>
                <w:webHidden/>
              </w:rPr>
              <w:fldChar w:fldCharType="separate"/>
            </w:r>
            <w:r>
              <w:rPr>
                <w:webHidden/>
              </w:rPr>
              <w:t>121</w:t>
            </w:r>
            <w:r>
              <w:rPr>
                <w:webHidden/>
              </w:rPr>
              <w:fldChar w:fldCharType="end"/>
            </w:r>
          </w:hyperlink>
        </w:p>
        <w:p w14:paraId="3A577100" w14:textId="661461D1" w:rsidR="00C94B75" w:rsidRDefault="00C94B75">
          <w:pPr>
            <w:pStyle w:val="TOC1"/>
            <w:rPr>
              <w:rFonts w:asciiTheme="minorHAnsi" w:eastAsiaTheme="minorEastAsia" w:hAnsiTheme="minorHAnsi" w:cstheme="minorBidi"/>
              <w:szCs w:val="22"/>
              <w:lang w:eastAsia="en-GB"/>
            </w:rPr>
          </w:pPr>
          <w:hyperlink w:anchor="_Toc93425266" w:history="1">
            <w:r w:rsidRPr="00ED497F">
              <w:rPr>
                <w:rStyle w:val="Hyperlink"/>
              </w:rPr>
              <w:t>28.</w:t>
            </w:r>
            <w:r>
              <w:rPr>
                <w:rFonts w:asciiTheme="minorHAnsi" w:eastAsiaTheme="minorEastAsia" w:hAnsiTheme="minorHAnsi" w:cstheme="minorBidi"/>
                <w:szCs w:val="22"/>
                <w:lang w:eastAsia="en-GB"/>
              </w:rPr>
              <w:tab/>
            </w:r>
            <w:r w:rsidRPr="00ED497F">
              <w:rPr>
                <w:rStyle w:val="Hyperlink"/>
              </w:rPr>
              <w:t>Resolution 62 - Dispute settlement</w:t>
            </w:r>
            <w:r>
              <w:rPr>
                <w:webHidden/>
              </w:rPr>
              <w:tab/>
            </w:r>
            <w:r>
              <w:rPr>
                <w:webHidden/>
              </w:rPr>
              <w:fldChar w:fldCharType="begin"/>
            </w:r>
            <w:r>
              <w:rPr>
                <w:webHidden/>
              </w:rPr>
              <w:instrText xml:space="preserve"> PAGEREF _Toc93425266 \h </w:instrText>
            </w:r>
            <w:r>
              <w:rPr>
                <w:webHidden/>
              </w:rPr>
            </w:r>
            <w:r>
              <w:rPr>
                <w:webHidden/>
              </w:rPr>
              <w:fldChar w:fldCharType="separate"/>
            </w:r>
            <w:r>
              <w:rPr>
                <w:webHidden/>
              </w:rPr>
              <w:t>122</w:t>
            </w:r>
            <w:r>
              <w:rPr>
                <w:webHidden/>
              </w:rPr>
              <w:fldChar w:fldCharType="end"/>
            </w:r>
          </w:hyperlink>
        </w:p>
        <w:p w14:paraId="4796F261" w14:textId="4A5DCFA0" w:rsidR="00C94B75" w:rsidRDefault="00C94B75">
          <w:pPr>
            <w:pStyle w:val="TOC1"/>
            <w:rPr>
              <w:rFonts w:asciiTheme="minorHAnsi" w:eastAsiaTheme="minorEastAsia" w:hAnsiTheme="minorHAnsi" w:cstheme="minorBidi"/>
              <w:szCs w:val="22"/>
              <w:lang w:eastAsia="en-GB"/>
            </w:rPr>
          </w:pPr>
          <w:hyperlink w:anchor="_Toc93425267" w:history="1">
            <w:r w:rsidRPr="00ED497F">
              <w:rPr>
                <w:rStyle w:val="Hyperlink"/>
              </w:rPr>
              <w:t>29.</w:t>
            </w:r>
            <w:r>
              <w:rPr>
                <w:rFonts w:asciiTheme="minorHAnsi" w:eastAsiaTheme="minorEastAsia" w:hAnsiTheme="minorHAnsi" w:cstheme="minorBidi"/>
                <w:szCs w:val="22"/>
                <w:lang w:eastAsia="en-GB"/>
              </w:rPr>
              <w:tab/>
            </w:r>
            <w:r w:rsidRPr="00ED497F">
              <w:rPr>
                <w:rStyle w:val="Hyperlink"/>
              </w:rPr>
              <w:t>Resolution 64 - IP address allocation and facilitating the transition to and deployment of IPv6</w:t>
            </w:r>
            <w:r>
              <w:rPr>
                <w:webHidden/>
              </w:rPr>
              <w:tab/>
            </w:r>
            <w:r>
              <w:rPr>
                <w:webHidden/>
              </w:rPr>
              <w:fldChar w:fldCharType="begin"/>
            </w:r>
            <w:r>
              <w:rPr>
                <w:webHidden/>
              </w:rPr>
              <w:instrText xml:space="preserve"> PAGEREF _Toc93425267 \h </w:instrText>
            </w:r>
            <w:r>
              <w:rPr>
                <w:webHidden/>
              </w:rPr>
            </w:r>
            <w:r>
              <w:rPr>
                <w:webHidden/>
              </w:rPr>
              <w:fldChar w:fldCharType="separate"/>
            </w:r>
            <w:r>
              <w:rPr>
                <w:webHidden/>
              </w:rPr>
              <w:t>123</w:t>
            </w:r>
            <w:r>
              <w:rPr>
                <w:webHidden/>
              </w:rPr>
              <w:fldChar w:fldCharType="end"/>
            </w:r>
          </w:hyperlink>
        </w:p>
        <w:p w14:paraId="04DD43DD" w14:textId="7EB2E919" w:rsidR="00C94B75" w:rsidRDefault="00C94B75">
          <w:pPr>
            <w:pStyle w:val="TOC1"/>
            <w:rPr>
              <w:rFonts w:asciiTheme="minorHAnsi" w:eastAsiaTheme="minorEastAsia" w:hAnsiTheme="minorHAnsi" w:cstheme="minorBidi"/>
              <w:szCs w:val="22"/>
              <w:lang w:eastAsia="en-GB"/>
            </w:rPr>
          </w:pPr>
          <w:hyperlink w:anchor="_Toc93425268" w:history="1">
            <w:r w:rsidRPr="00ED497F">
              <w:rPr>
                <w:rStyle w:val="Hyperlink"/>
              </w:rPr>
              <w:t>30.</w:t>
            </w:r>
            <w:r>
              <w:rPr>
                <w:rFonts w:asciiTheme="minorHAnsi" w:eastAsiaTheme="minorEastAsia" w:hAnsiTheme="minorHAnsi" w:cstheme="minorBidi"/>
                <w:szCs w:val="22"/>
                <w:lang w:eastAsia="en-GB"/>
              </w:rPr>
              <w:tab/>
            </w:r>
            <w:r w:rsidRPr="00ED497F">
              <w:rPr>
                <w:rStyle w:val="Hyperlink"/>
              </w:rPr>
              <w:t>Resolution 65 - Calling party number delivery, calling line identification and origin identification information</w:t>
            </w:r>
            <w:r>
              <w:rPr>
                <w:webHidden/>
              </w:rPr>
              <w:tab/>
            </w:r>
            <w:r>
              <w:rPr>
                <w:webHidden/>
              </w:rPr>
              <w:fldChar w:fldCharType="begin"/>
            </w:r>
            <w:r>
              <w:rPr>
                <w:webHidden/>
              </w:rPr>
              <w:instrText xml:space="preserve"> PAGEREF _Toc93425268 \h </w:instrText>
            </w:r>
            <w:r>
              <w:rPr>
                <w:webHidden/>
              </w:rPr>
            </w:r>
            <w:r>
              <w:rPr>
                <w:webHidden/>
              </w:rPr>
              <w:fldChar w:fldCharType="separate"/>
            </w:r>
            <w:r>
              <w:rPr>
                <w:webHidden/>
              </w:rPr>
              <w:t>128</w:t>
            </w:r>
            <w:r>
              <w:rPr>
                <w:webHidden/>
              </w:rPr>
              <w:fldChar w:fldCharType="end"/>
            </w:r>
          </w:hyperlink>
        </w:p>
        <w:p w14:paraId="378139D8" w14:textId="0B96A529" w:rsidR="00C94B75" w:rsidRDefault="00C94B75">
          <w:pPr>
            <w:pStyle w:val="TOC1"/>
            <w:rPr>
              <w:rFonts w:asciiTheme="minorHAnsi" w:eastAsiaTheme="minorEastAsia" w:hAnsiTheme="minorHAnsi" w:cstheme="minorBidi"/>
              <w:szCs w:val="22"/>
              <w:lang w:eastAsia="en-GB"/>
            </w:rPr>
          </w:pPr>
          <w:hyperlink w:anchor="_Toc93425269" w:history="1">
            <w:r w:rsidRPr="00ED497F">
              <w:rPr>
                <w:rStyle w:val="Hyperlink"/>
              </w:rPr>
              <w:t>31.</w:t>
            </w:r>
            <w:r>
              <w:rPr>
                <w:rFonts w:asciiTheme="minorHAnsi" w:eastAsiaTheme="minorEastAsia" w:hAnsiTheme="minorHAnsi" w:cstheme="minorBidi"/>
                <w:szCs w:val="22"/>
                <w:lang w:eastAsia="en-GB"/>
              </w:rPr>
              <w:tab/>
            </w:r>
            <w:r w:rsidRPr="00ED497F">
              <w:rPr>
                <w:rStyle w:val="Hyperlink"/>
              </w:rPr>
              <w:t>Resolution 66 - Technology Watch in the Telecommunication Standardization Bureau</w:t>
            </w:r>
            <w:r>
              <w:rPr>
                <w:webHidden/>
              </w:rPr>
              <w:tab/>
            </w:r>
            <w:r>
              <w:rPr>
                <w:webHidden/>
              </w:rPr>
              <w:fldChar w:fldCharType="begin"/>
            </w:r>
            <w:r>
              <w:rPr>
                <w:webHidden/>
              </w:rPr>
              <w:instrText xml:space="preserve"> PAGEREF _Toc93425269 \h </w:instrText>
            </w:r>
            <w:r>
              <w:rPr>
                <w:webHidden/>
              </w:rPr>
            </w:r>
            <w:r>
              <w:rPr>
                <w:webHidden/>
              </w:rPr>
              <w:fldChar w:fldCharType="separate"/>
            </w:r>
            <w:r>
              <w:rPr>
                <w:webHidden/>
              </w:rPr>
              <w:t>131</w:t>
            </w:r>
            <w:r>
              <w:rPr>
                <w:webHidden/>
              </w:rPr>
              <w:fldChar w:fldCharType="end"/>
            </w:r>
          </w:hyperlink>
        </w:p>
        <w:p w14:paraId="7394F506" w14:textId="1DDF5CAE" w:rsidR="00C94B75" w:rsidRDefault="00C94B75">
          <w:pPr>
            <w:pStyle w:val="TOC1"/>
            <w:rPr>
              <w:rFonts w:asciiTheme="minorHAnsi" w:eastAsiaTheme="minorEastAsia" w:hAnsiTheme="minorHAnsi" w:cstheme="minorBidi"/>
              <w:szCs w:val="22"/>
              <w:lang w:eastAsia="en-GB"/>
            </w:rPr>
          </w:pPr>
          <w:hyperlink w:anchor="_Toc93425270" w:history="1">
            <w:r w:rsidRPr="00ED497F">
              <w:rPr>
                <w:rStyle w:val="Hyperlink"/>
              </w:rPr>
              <w:t>32.</w:t>
            </w:r>
            <w:r>
              <w:rPr>
                <w:rFonts w:asciiTheme="minorHAnsi" w:eastAsiaTheme="minorEastAsia" w:hAnsiTheme="minorHAnsi" w:cstheme="minorBidi"/>
                <w:szCs w:val="22"/>
                <w:lang w:eastAsia="en-GB"/>
              </w:rPr>
              <w:tab/>
            </w:r>
            <w:r w:rsidRPr="00ED497F">
              <w:rPr>
                <w:rStyle w:val="Hyperlink"/>
              </w:rPr>
              <w:t>Resolution 67 – Use in the ITU Telecommunication Standardization Sector of the languages of the Union on an equal footing</w:t>
            </w:r>
            <w:r>
              <w:rPr>
                <w:webHidden/>
              </w:rPr>
              <w:tab/>
            </w:r>
            <w:r>
              <w:rPr>
                <w:webHidden/>
              </w:rPr>
              <w:fldChar w:fldCharType="begin"/>
            </w:r>
            <w:r>
              <w:rPr>
                <w:webHidden/>
              </w:rPr>
              <w:instrText xml:space="preserve"> PAGEREF _Toc93425270 \h </w:instrText>
            </w:r>
            <w:r>
              <w:rPr>
                <w:webHidden/>
              </w:rPr>
            </w:r>
            <w:r>
              <w:rPr>
                <w:webHidden/>
              </w:rPr>
              <w:fldChar w:fldCharType="separate"/>
            </w:r>
            <w:r>
              <w:rPr>
                <w:webHidden/>
              </w:rPr>
              <w:t>132</w:t>
            </w:r>
            <w:r>
              <w:rPr>
                <w:webHidden/>
              </w:rPr>
              <w:fldChar w:fldCharType="end"/>
            </w:r>
          </w:hyperlink>
        </w:p>
        <w:p w14:paraId="3488D40D" w14:textId="3F13D5A3" w:rsidR="00C94B75" w:rsidRDefault="00C94B75">
          <w:pPr>
            <w:pStyle w:val="TOC1"/>
            <w:rPr>
              <w:rFonts w:asciiTheme="minorHAnsi" w:eastAsiaTheme="minorEastAsia" w:hAnsiTheme="minorHAnsi" w:cstheme="minorBidi"/>
              <w:szCs w:val="22"/>
              <w:lang w:eastAsia="en-GB"/>
            </w:rPr>
          </w:pPr>
          <w:hyperlink w:anchor="_Toc93425271" w:history="1">
            <w:r w:rsidRPr="00ED497F">
              <w:rPr>
                <w:rStyle w:val="Hyperlink"/>
              </w:rPr>
              <w:t>33.</w:t>
            </w:r>
            <w:r>
              <w:rPr>
                <w:rFonts w:asciiTheme="minorHAnsi" w:eastAsiaTheme="minorEastAsia" w:hAnsiTheme="minorHAnsi" w:cstheme="minorBidi"/>
                <w:szCs w:val="22"/>
                <w:lang w:eastAsia="en-GB"/>
              </w:rPr>
              <w:tab/>
            </w:r>
            <w:r w:rsidRPr="00ED497F">
              <w:rPr>
                <w:rStyle w:val="Hyperlink"/>
              </w:rPr>
              <w:t>Resolution 68 - Evolving role of industry in the ITU Telecommunication Standardization Sector</w:t>
            </w:r>
            <w:r>
              <w:rPr>
                <w:webHidden/>
              </w:rPr>
              <w:tab/>
            </w:r>
            <w:r>
              <w:rPr>
                <w:webHidden/>
              </w:rPr>
              <w:fldChar w:fldCharType="begin"/>
            </w:r>
            <w:r>
              <w:rPr>
                <w:webHidden/>
              </w:rPr>
              <w:instrText xml:space="preserve"> PAGEREF _Toc93425271 \h </w:instrText>
            </w:r>
            <w:r>
              <w:rPr>
                <w:webHidden/>
              </w:rPr>
            </w:r>
            <w:r>
              <w:rPr>
                <w:webHidden/>
              </w:rPr>
              <w:fldChar w:fldCharType="separate"/>
            </w:r>
            <w:r>
              <w:rPr>
                <w:webHidden/>
              </w:rPr>
              <w:t>135</w:t>
            </w:r>
            <w:r>
              <w:rPr>
                <w:webHidden/>
              </w:rPr>
              <w:fldChar w:fldCharType="end"/>
            </w:r>
          </w:hyperlink>
        </w:p>
        <w:p w14:paraId="003BCDB8" w14:textId="277ECEA2" w:rsidR="00C94B75" w:rsidRDefault="00C94B75">
          <w:pPr>
            <w:pStyle w:val="TOC1"/>
            <w:rPr>
              <w:rFonts w:asciiTheme="minorHAnsi" w:eastAsiaTheme="minorEastAsia" w:hAnsiTheme="minorHAnsi" w:cstheme="minorBidi"/>
              <w:szCs w:val="22"/>
              <w:lang w:eastAsia="en-GB"/>
            </w:rPr>
          </w:pPr>
          <w:hyperlink w:anchor="_Toc93425272" w:history="1">
            <w:r w:rsidRPr="00ED497F">
              <w:rPr>
                <w:rStyle w:val="Hyperlink"/>
              </w:rPr>
              <w:t>34.</w:t>
            </w:r>
            <w:r>
              <w:rPr>
                <w:rFonts w:asciiTheme="minorHAnsi" w:eastAsiaTheme="minorEastAsia" w:hAnsiTheme="minorHAnsi" w:cstheme="minorBidi"/>
                <w:szCs w:val="22"/>
                <w:lang w:eastAsia="en-GB"/>
              </w:rPr>
              <w:tab/>
            </w:r>
            <w:r w:rsidRPr="00ED497F">
              <w:rPr>
                <w:rStyle w:val="Hyperlink"/>
              </w:rPr>
              <w:t>Resolution 69 - Non discriminatory access and use of Internet resources and telecommunications/information and communication technologies</w:t>
            </w:r>
            <w:r>
              <w:rPr>
                <w:webHidden/>
              </w:rPr>
              <w:tab/>
            </w:r>
            <w:r>
              <w:rPr>
                <w:webHidden/>
              </w:rPr>
              <w:fldChar w:fldCharType="begin"/>
            </w:r>
            <w:r>
              <w:rPr>
                <w:webHidden/>
              </w:rPr>
              <w:instrText xml:space="preserve"> PAGEREF _Toc93425272 \h </w:instrText>
            </w:r>
            <w:r>
              <w:rPr>
                <w:webHidden/>
              </w:rPr>
            </w:r>
            <w:r>
              <w:rPr>
                <w:webHidden/>
              </w:rPr>
              <w:fldChar w:fldCharType="separate"/>
            </w:r>
            <w:r>
              <w:rPr>
                <w:webHidden/>
              </w:rPr>
              <w:t>140</w:t>
            </w:r>
            <w:r>
              <w:rPr>
                <w:webHidden/>
              </w:rPr>
              <w:fldChar w:fldCharType="end"/>
            </w:r>
          </w:hyperlink>
        </w:p>
        <w:p w14:paraId="114FBAE7" w14:textId="4FDE279E" w:rsidR="00C94B75" w:rsidRDefault="00C94B75">
          <w:pPr>
            <w:pStyle w:val="TOC1"/>
            <w:rPr>
              <w:rFonts w:asciiTheme="minorHAnsi" w:eastAsiaTheme="minorEastAsia" w:hAnsiTheme="minorHAnsi" w:cstheme="minorBidi"/>
              <w:szCs w:val="22"/>
              <w:lang w:eastAsia="en-GB"/>
            </w:rPr>
          </w:pPr>
          <w:hyperlink w:anchor="_Toc93425273" w:history="1">
            <w:r w:rsidRPr="00ED497F">
              <w:rPr>
                <w:rStyle w:val="Hyperlink"/>
              </w:rPr>
              <w:t>35.</w:t>
            </w:r>
            <w:r>
              <w:rPr>
                <w:rFonts w:asciiTheme="minorHAnsi" w:eastAsiaTheme="minorEastAsia" w:hAnsiTheme="minorHAnsi" w:cstheme="minorBidi"/>
                <w:szCs w:val="22"/>
                <w:lang w:eastAsia="en-GB"/>
              </w:rPr>
              <w:tab/>
            </w:r>
            <w:r w:rsidRPr="00ED497F">
              <w:rPr>
                <w:rStyle w:val="Hyperlink"/>
              </w:rPr>
              <w:t>Resolution 70 - Telecommunication/ information and communication technology accessibility for persons with disabilities and persons with specific needs</w:t>
            </w:r>
            <w:r>
              <w:rPr>
                <w:webHidden/>
              </w:rPr>
              <w:tab/>
            </w:r>
            <w:r>
              <w:rPr>
                <w:webHidden/>
              </w:rPr>
              <w:fldChar w:fldCharType="begin"/>
            </w:r>
            <w:r>
              <w:rPr>
                <w:webHidden/>
              </w:rPr>
              <w:instrText xml:space="preserve"> PAGEREF _Toc93425273 \h </w:instrText>
            </w:r>
            <w:r>
              <w:rPr>
                <w:webHidden/>
              </w:rPr>
            </w:r>
            <w:r>
              <w:rPr>
                <w:webHidden/>
              </w:rPr>
              <w:fldChar w:fldCharType="separate"/>
            </w:r>
            <w:r>
              <w:rPr>
                <w:webHidden/>
              </w:rPr>
              <w:t>142</w:t>
            </w:r>
            <w:r>
              <w:rPr>
                <w:webHidden/>
              </w:rPr>
              <w:fldChar w:fldCharType="end"/>
            </w:r>
          </w:hyperlink>
        </w:p>
        <w:p w14:paraId="3AC1E618" w14:textId="6714DC9D" w:rsidR="00C94B75" w:rsidRDefault="00C94B75">
          <w:pPr>
            <w:pStyle w:val="TOC1"/>
            <w:rPr>
              <w:rFonts w:asciiTheme="minorHAnsi" w:eastAsiaTheme="minorEastAsia" w:hAnsiTheme="minorHAnsi" w:cstheme="minorBidi"/>
              <w:szCs w:val="22"/>
              <w:lang w:eastAsia="en-GB"/>
            </w:rPr>
          </w:pPr>
          <w:hyperlink w:anchor="_Toc93425274" w:history="1">
            <w:r w:rsidRPr="00ED497F">
              <w:rPr>
                <w:rStyle w:val="Hyperlink"/>
              </w:rPr>
              <w:t>36.</w:t>
            </w:r>
            <w:r>
              <w:rPr>
                <w:rFonts w:asciiTheme="minorHAnsi" w:eastAsiaTheme="minorEastAsia" w:hAnsiTheme="minorHAnsi" w:cstheme="minorBidi"/>
                <w:szCs w:val="22"/>
                <w:lang w:eastAsia="en-GB"/>
              </w:rPr>
              <w:tab/>
            </w:r>
            <w:r w:rsidRPr="00ED497F">
              <w:rPr>
                <w:rStyle w:val="Hyperlink"/>
              </w:rPr>
              <w:t>Resolution 72 - Measurement and assessment concerns related to human exposure to electromagnetic fields</w:t>
            </w:r>
            <w:r>
              <w:rPr>
                <w:webHidden/>
              </w:rPr>
              <w:tab/>
            </w:r>
            <w:r>
              <w:rPr>
                <w:webHidden/>
              </w:rPr>
              <w:fldChar w:fldCharType="begin"/>
            </w:r>
            <w:r>
              <w:rPr>
                <w:webHidden/>
              </w:rPr>
              <w:instrText xml:space="preserve"> PAGEREF _Toc93425274 \h </w:instrText>
            </w:r>
            <w:r>
              <w:rPr>
                <w:webHidden/>
              </w:rPr>
            </w:r>
            <w:r>
              <w:rPr>
                <w:webHidden/>
              </w:rPr>
              <w:fldChar w:fldCharType="separate"/>
            </w:r>
            <w:r>
              <w:rPr>
                <w:webHidden/>
              </w:rPr>
              <w:t>148</w:t>
            </w:r>
            <w:r>
              <w:rPr>
                <w:webHidden/>
              </w:rPr>
              <w:fldChar w:fldCharType="end"/>
            </w:r>
          </w:hyperlink>
        </w:p>
        <w:p w14:paraId="3BA4F513" w14:textId="45539BC2" w:rsidR="00C94B75" w:rsidRDefault="00C94B75">
          <w:pPr>
            <w:pStyle w:val="TOC1"/>
            <w:rPr>
              <w:rFonts w:asciiTheme="minorHAnsi" w:eastAsiaTheme="minorEastAsia" w:hAnsiTheme="minorHAnsi" w:cstheme="minorBidi"/>
              <w:szCs w:val="22"/>
              <w:lang w:eastAsia="en-GB"/>
            </w:rPr>
          </w:pPr>
          <w:hyperlink w:anchor="_Toc93425275" w:history="1">
            <w:r w:rsidRPr="00ED497F">
              <w:rPr>
                <w:rStyle w:val="Hyperlink"/>
              </w:rPr>
              <w:t>37.</w:t>
            </w:r>
            <w:r>
              <w:rPr>
                <w:rFonts w:asciiTheme="minorHAnsi" w:eastAsiaTheme="minorEastAsia" w:hAnsiTheme="minorHAnsi" w:cstheme="minorBidi"/>
                <w:szCs w:val="22"/>
                <w:lang w:eastAsia="en-GB"/>
              </w:rPr>
              <w:tab/>
            </w:r>
            <w:r w:rsidRPr="00ED497F">
              <w:rPr>
                <w:rStyle w:val="Hyperlink"/>
              </w:rPr>
              <w:t>Resolution 73 - Information and communications technologies, environment and climate change</w:t>
            </w:r>
            <w:r>
              <w:rPr>
                <w:webHidden/>
              </w:rPr>
              <w:tab/>
            </w:r>
            <w:r>
              <w:rPr>
                <w:webHidden/>
              </w:rPr>
              <w:fldChar w:fldCharType="begin"/>
            </w:r>
            <w:r>
              <w:rPr>
                <w:webHidden/>
              </w:rPr>
              <w:instrText xml:space="preserve"> PAGEREF _Toc93425275 \h </w:instrText>
            </w:r>
            <w:r>
              <w:rPr>
                <w:webHidden/>
              </w:rPr>
            </w:r>
            <w:r>
              <w:rPr>
                <w:webHidden/>
              </w:rPr>
              <w:fldChar w:fldCharType="separate"/>
            </w:r>
            <w:r>
              <w:rPr>
                <w:webHidden/>
              </w:rPr>
              <w:t>152</w:t>
            </w:r>
            <w:r>
              <w:rPr>
                <w:webHidden/>
              </w:rPr>
              <w:fldChar w:fldCharType="end"/>
            </w:r>
          </w:hyperlink>
        </w:p>
        <w:p w14:paraId="425ABB76" w14:textId="01D135F3" w:rsidR="00C94B75" w:rsidRDefault="00C94B75">
          <w:pPr>
            <w:pStyle w:val="TOC1"/>
            <w:rPr>
              <w:rFonts w:asciiTheme="minorHAnsi" w:eastAsiaTheme="minorEastAsia" w:hAnsiTheme="minorHAnsi" w:cstheme="minorBidi"/>
              <w:szCs w:val="22"/>
              <w:lang w:eastAsia="en-GB"/>
            </w:rPr>
          </w:pPr>
          <w:hyperlink w:anchor="_Toc93425276" w:history="1">
            <w:r w:rsidRPr="00ED497F">
              <w:rPr>
                <w:rStyle w:val="Hyperlink"/>
              </w:rPr>
              <w:t>38.</w:t>
            </w:r>
            <w:r>
              <w:rPr>
                <w:rFonts w:asciiTheme="minorHAnsi" w:eastAsiaTheme="minorEastAsia" w:hAnsiTheme="minorHAnsi" w:cstheme="minorBidi"/>
                <w:szCs w:val="22"/>
                <w:lang w:eastAsia="en-GB"/>
              </w:rPr>
              <w:tab/>
            </w:r>
            <w:r w:rsidRPr="00ED497F">
              <w:rPr>
                <w:rStyle w:val="Hyperlink"/>
              </w:rPr>
              <w:t>Resolution 74 - Admission of Sector Members</w:t>
            </w:r>
            <w:r w:rsidRPr="00ED497F">
              <w:rPr>
                <w:rStyle w:val="Hyperlink"/>
                <w:i/>
                <w:iCs/>
              </w:rPr>
              <w:t>*</w:t>
            </w:r>
            <w:r w:rsidRPr="00ED497F">
              <w:rPr>
                <w:rStyle w:val="Hyperlink"/>
              </w:rPr>
              <w:t xml:space="preserve"> from developing countries in the work of the ITU Telecommunication Standardization Sector</w:t>
            </w:r>
            <w:r>
              <w:rPr>
                <w:webHidden/>
              </w:rPr>
              <w:tab/>
            </w:r>
            <w:r>
              <w:rPr>
                <w:webHidden/>
              </w:rPr>
              <w:fldChar w:fldCharType="begin"/>
            </w:r>
            <w:r>
              <w:rPr>
                <w:webHidden/>
              </w:rPr>
              <w:instrText xml:space="preserve"> PAGEREF _Toc93425276 \h </w:instrText>
            </w:r>
            <w:r>
              <w:rPr>
                <w:webHidden/>
              </w:rPr>
            </w:r>
            <w:r>
              <w:rPr>
                <w:webHidden/>
              </w:rPr>
              <w:fldChar w:fldCharType="separate"/>
            </w:r>
            <w:r>
              <w:rPr>
                <w:webHidden/>
              </w:rPr>
              <w:t>170</w:t>
            </w:r>
            <w:r>
              <w:rPr>
                <w:webHidden/>
              </w:rPr>
              <w:fldChar w:fldCharType="end"/>
            </w:r>
          </w:hyperlink>
        </w:p>
        <w:p w14:paraId="2DD66460" w14:textId="2D7CFCEE" w:rsidR="00C94B75" w:rsidRDefault="00C94B75">
          <w:pPr>
            <w:pStyle w:val="TOC1"/>
            <w:rPr>
              <w:rFonts w:asciiTheme="minorHAnsi" w:eastAsiaTheme="minorEastAsia" w:hAnsiTheme="minorHAnsi" w:cstheme="minorBidi"/>
              <w:szCs w:val="22"/>
              <w:lang w:eastAsia="en-GB"/>
            </w:rPr>
          </w:pPr>
          <w:hyperlink w:anchor="_Toc93425277" w:history="1">
            <w:r w:rsidRPr="00ED497F">
              <w:rPr>
                <w:rStyle w:val="Hyperlink"/>
              </w:rPr>
              <w:t>39.</w:t>
            </w:r>
            <w:r>
              <w:rPr>
                <w:rFonts w:asciiTheme="minorHAnsi" w:eastAsiaTheme="minorEastAsia" w:hAnsiTheme="minorHAnsi" w:cstheme="minorBidi"/>
                <w:szCs w:val="22"/>
                <w:lang w:eastAsia="en-GB"/>
              </w:rPr>
              <w:tab/>
            </w:r>
            <w:r w:rsidRPr="00ED497F">
              <w:rPr>
                <w:rStyle w:val="Hyperlink"/>
              </w:rPr>
              <w:t>Resolution 75 - The ITU Telecommunication Standardization Sector's contribution in implementing the outcomes of the World Summit on the Information Society, taking into account the 2030 Agenda for Sustainable Development</w:t>
            </w:r>
            <w:r>
              <w:rPr>
                <w:webHidden/>
              </w:rPr>
              <w:tab/>
            </w:r>
            <w:r>
              <w:rPr>
                <w:webHidden/>
              </w:rPr>
              <w:fldChar w:fldCharType="begin"/>
            </w:r>
            <w:r>
              <w:rPr>
                <w:webHidden/>
              </w:rPr>
              <w:instrText xml:space="preserve"> PAGEREF _Toc93425277 \h </w:instrText>
            </w:r>
            <w:r>
              <w:rPr>
                <w:webHidden/>
              </w:rPr>
            </w:r>
            <w:r>
              <w:rPr>
                <w:webHidden/>
              </w:rPr>
              <w:fldChar w:fldCharType="separate"/>
            </w:r>
            <w:r>
              <w:rPr>
                <w:webHidden/>
              </w:rPr>
              <w:t>171</w:t>
            </w:r>
            <w:r>
              <w:rPr>
                <w:webHidden/>
              </w:rPr>
              <w:fldChar w:fldCharType="end"/>
            </w:r>
          </w:hyperlink>
        </w:p>
        <w:p w14:paraId="14D58DCB" w14:textId="6D9FCD4F" w:rsidR="00C94B75" w:rsidRDefault="00C94B75">
          <w:pPr>
            <w:pStyle w:val="TOC1"/>
            <w:rPr>
              <w:rFonts w:asciiTheme="minorHAnsi" w:eastAsiaTheme="minorEastAsia" w:hAnsiTheme="minorHAnsi" w:cstheme="minorBidi"/>
              <w:szCs w:val="22"/>
              <w:lang w:eastAsia="en-GB"/>
            </w:rPr>
          </w:pPr>
          <w:hyperlink w:anchor="_Toc93425278" w:history="1">
            <w:r w:rsidRPr="00ED497F">
              <w:rPr>
                <w:rStyle w:val="Hyperlink"/>
              </w:rPr>
              <w:t>40.</w:t>
            </w:r>
            <w:r>
              <w:rPr>
                <w:rFonts w:asciiTheme="minorHAnsi" w:eastAsiaTheme="minorEastAsia" w:hAnsiTheme="minorHAnsi" w:cstheme="minorBidi"/>
                <w:szCs w:val="22"/>
                <w:lang w:eastAsia="en-GB"/>
              </w:rPr>
              <w:tab/>
            </w:r>
            <w:r w:rsidRPr="00ED497F">
              <w:rPr>
                <w:rStyle w:val="Hyperlink"/>
              </w:rPr>
              <w:t>Resolution 76 - Studies related to conformance and interoperability testing, assistance to developing countries, and a possible future ITU mark programme</w:t>
            </w:r>
            <w:r>
              <w:rPr>
                <w:webHidden/>
              </w:rPr>
              <w:tab/>
            </w:r>
            <w:r>
              <w:rPr>
                <w:webHidden/>
              </w:rPr>
              <w:fldChar w:fldCharType="begin"/>
            </w:r>
            <w:r>
              <w:rPr>
                <w:webHidden/>
              </w:rPr>
              <w:instrText xml:space="preserve"> PAGEREF _Toc93425278 \h </w:instrText>
            </w:r>
            <w:r>
              <w:rPr>
                <w:webHidden/>
              </w:rPr>
            </w:r>
            <w:r>
              <w:rPr>
                <w:webHidden/>
              </w:rPr>
              <w:fldChar w:fldCharType="separate"/>
            </w:r>
            <w:r>
              <w:rPr>
                <w:webHidden/>
              </w:rPr>
              <w:t>176</w:t>
            </w:r>
            <w:r>
              <w:rPr>
                <w:webHidden/>
              </w:rPr>
              <w:fldChar w:fldCharType="end"/>
            </w:r>
          </w:hyperlink>
        </w:p>
        <w:p w14:paraId="5FAD7332" w14:textId="347BD4EB" w:rsidR="00C94B75" w:rsidRDefault="00C94B75">
          <w:pPr>
            <w:pStyle w:val="TOC1"/>
            <w:rPr>
              <w:rFonts w:asciiTheme="minorHAnsi" w:eastAsiaTheme="minorEastAsia" w:hAnsiTheme="minorHAnsi" w:cstheme="minorBidi"/>
              <w:szCs w:val="22"/>
              <w:lang w:eastAsia="en-GB"/>
            </w:rPr>
          </w:pPr>
          <w:hyperlink w:anchor="_Toc93425279" w:history="1">
            <w:r w:rsidRPr="00ED497F">
              <w:rPr>
                <w:rStyle w:val="Hyperlink"/>
              </w:rPr>
              <w:t>41.</w:t>
            </w:r>
            <w:r>
              <w:rPr>
                <w:rFonts w:asciiTheme="minorHAnsi" w:eastAsiaTheme="minorEastAsia" w:hAnsiTheme="minorHAnsi" w:cstheme="minorBidi"/>
                <w:szCs w:val="22"/>
                <w:lang w:eastAsia="en-GB"/>
              </w:rPr>
              <w:tab/>
            </w:r>
            <w:r w:rsidRPr="00ED497F">
              <w:rPr>
                <w:rStyle w:val="Hyperlink"/>
              </w:rPr>
              <w:t>Resolution 77 – Enhancing the standardization work in the ITU Telecommunication Standardization Sector for software-defined networking</w:t>
            </w:r>
            <w:r>
              <w:rPr>
                <w:webHidden/>
              </w:rPr>
              <w:tab/>
            </w:r>
            <w:r>
              <w:rPr>
                <w:webHidden/>
              </w:rPr>
              <w:fldChar w:fldCharType="begin"/>
            </w:r>
            <w:r>
              <w:rPr>
                <w:webHidden/>
              </w:rPr>
              <w:instrText xml:space="preserve"> PAGEREF _Toc93425279 \h </w:instrText>
            </w:r>
            <w:r>
              <w:rPr>
                <w:webHidden/>
              </w:rPr>
            </w:r>
            <w:r>
              <w:rPr>
                <w:webHidden/>
              </w:rPr>
              <w:fldChar w:fldCharType="separate"/>
            </w:r>
            <w:r>
              <w:rPr>
                <w:webHidden/>
              </w:rPr>
              <w:t>187</w:t>
            </w:r>
            <w:r>
              <w:rPr>
                <w:webHidden/>
              </w:rPr>
              <w:fldChar w:fldCharType="end"/>
            </w:r>
          </w:hyperlink>
        </w:p>
        <w:p w14:paraId="1C2925D3" w14:textId="691F5215" w:rsidR="00C94B75" w:rsidRDefault="00C94B75">
          <w:pPr>
            <w:pStyle w:val="TOC1"/>
            <w:rPr>
              <w:rFonts w:asciiTheme="minorHAnsi" w:eastAsiaTheme="minorEastAsia" w:hAnsiTheme="minorHAnsi" w:cstheme="minorBidi"/>
              <w:szCs w:val="22"/>
              <w:lang w:eastAsia="en-GB"/>
            </w:rPr>
          </w:pPr>
          <w:hyperlink w:anchor="_Toc93425280" w:history="1">
            <w:r w:rsidRPr="00ED497F">
              <w:rPr>
                <w:rStyle w:val="Hyperlink"/>
              </w:rPr>
              <w:t>42.</w:t>
            </w:r>
            <w:r>
              <w:rPr>
                <w:rFonts w:asciiTheme="minorHAnsi" w:eastAsiaTheme="minorEastAsia" w:hAnsiTheme="minorHAnsi" w:cstheme="minorBidi"/>
                <w:szCs w:val="22"/>
                <w:lang w:eastAsia="en-GB"/>
              </w:rPr>
              <w:tab/>
            </w:r>
            <w:r w:rsidRPr="00ED497F">
              <w:rPr>
                <w:rStyle w:val="Hyperlink"/>
              </w:rPr>
              <w:t>Resolution 78 – Information and communication technology applications and standards for improved access to e-health services</w:t>
            </w:r>
            <w:r>
              <w:rPr>
                <w:webHidden/>
              </w:rPr>
              <w:tab/>
            </w:r>
            <w:r>
              <w:rPr>
                <w:webHidden/>
              </w:rPr>
              <w:fldChar w:fldCharType="begin"/>
            </w:r>
            <w:r>
              <w:rPr>
                <w:webHidden/>
              </w:rPr>
              <w:instrText xml:space="preserve"> PAGEREF _Toc93425280 \h </w:instrText>
            </w:r>
            <w:r>
              <w:rPr>
                <w:webHidden/>
              </w:rPr>
            </w:r>
            <w:r>
              <w:rPr>
                <w:webHidden/>
              </w:rPr>
              <w:fldChar w:fldCharType="separate"/>
            </w:r>
            <w:r>
              <w:rPr>
                <w:webHidden/>
              </w:rPr>
              <w:t>194</w:t>
            </w:r>
            <w:r>
              <w:rPr>
                <w:webHidden/>
              </w:rPr>
              <w:fldChar w:fldCharType="end"/>
            </w:r>
          </w:hyperlink>
        </w:p>
        <w:p w14:paraId="719CCF44" w14:textId="2195E9B0" w:rsidR="00C94B75" w:rsidRDefault="00C94B75">
          <w:pPr>
            <w:pStyle w:val="TOC1"/>
            <w:rPr>
              <w:rFonts w:asciiTheme="minorHAnsi" w:eastAsiaTheme="minorEastAsia" w:hAnsiTheme="minorHAnsi" w:cstheme="minorBidi"/>
              <w:szCs w:val="22"/>
              <w:lang w:eastAsia="en-GB"/>
            </w:rPr>
          </w:pPr>
          <w:hyperlink w:anchor="_Toc93425281" w:history="1">
            <w:r w:rsidRPr="00ED497F">
              <w:rPr>
                <w:rStyle w:val="Hyperlink"/>
              </w:rPr>
              <w:t>43.</w:t>
            </w:r>
            <w:r>
              <w:rPr>
                <w:rFonts w:asciiTheme="minorHAnsi" w:eastAsiaTheme="minorEastAsia" w:hAnsiTheme="minorHAnsi" w:cstheme="minorBidi"/>
                <w:szCs w:val="22"/>
                <w:lang w:eastAsia="en-GB"/>
              </w:rPr>
              <w:tab/>
            </w:r>
            <w:r w:rsidRPr="00ED497F">
              <w:rPr>
                <w:rStyle w:val="Hyperlink"/>
              </w:rPr>
              <w:t>Resolution 79 – The role of telecommunications/ information and communication technology in handling and controlling e-waste from telecommunication and information technology equipment and methods of treating it</w:t>
            </w:r>
            <w:r>
              <w:rPr>
                <w:webHidden/>
              </w:rPr>
              <w:tab/>
            </w:r>
            <w:r>
              <w:rPr>
                <w:webHidden/>
              </w:rPr>
              <w:fldChar w:fldCharType="begin"/>
            </w:r>
            <w:r>
              <w:rPr>
                <w:webHidden/>
              </w:rPr>
              <w:instrText xml:space="preserve"> PAGEREF _Toc93425281 \h </w:instrText>
            </w:r>
            <w:r>
              <w:rPr>
                <w:webHidden/>
              </w:rPr>
            </w:r>
            <w:r>
              <w:rPr>
                <w:webHidden/>
              </w:rPr>
              <w:fldChar w:fldCharType="separate"/>
            </w:r>
            <w:r>
              <w:rPr>
                <w:webHidden/>
              </w:rPr>
              <w:t>197</w:t>
            </w:r>
            <w:r>
              <w:rPr>
                <w:webHidden/>
              </w:rPr>
              <w:fldChar w:fldCharType="end"/>
            </w:r>
          </w:hyperlink>
        </w:p>
        <w:p w14:paraId="27C845B6" w14:textId="795A731B" w:rsidR="00C94B75" w:rsidRDefault="00C94B75">
          <w:pPr>
            <w:pStyle w:val="TOC1"/>
            <w:rPr>
              <w:rFonts w:asciiTheme="minorHAnsi" w:eastAsiaTheme="minorEastAsia" w:hAnsiTheme="minorHAnsi" w:cstheme="minorBidi"/>
              <w:szCs w:val="22"/>
              <w:lang w:eastAsia="en-GB"/>
            </w:rPr>
          </w:pPr>
          <w:hyperlink w:anchor="_Toc93425282" w:history="1">
            <w:r w:rsidRPr="00ED497F">
              <w:rPr>
                <w:rStyle w:val="Hyperlink"/>
              </w:rPr>
              <w:t>44.</w:t>
            </w:r>
            <w:r>
              <w:rPr>
                <w:rFonts w:asciiTheme="minorHAnsi" w:eastAsiaTheme="minorEastAsia" w:hAnsiTheme="minorHAnsi" w:cstheme="minorBidi"/>
                <w:szCs w:val="22"/>
                <w:lang w:eastAsia="en-GB"/>
              </w:rPr>
              <w:tab/>
            </w:r>
            <w:r w:rsidRPr="00ED497F">
              <w:rPr>
                <w:rStyle w:val="Hyperlink"/>
              </w:rPr>
              <w:t>Resolution 80 – Acknowledging the active involvement of the membership in the development of ITU Telecommunication Standardization Sector deliverables</w:t>
            </w:r>
            <w:r>
              <w:rPr>
                <w:webHidden/>
              </w:rPr>
              <w:tab/>
            </w:r>
            <w:r>
              <w:rPr>
                <w:webHidden/>
              </w:rPr>
              <w:fldChar w:fldCharType="begin"/>
            </w:r>
            <w:r>
              <w:rPr>
                <w:webHidden/>
              </w:rPr>
              <w:instrText xml:space="preserve"> PAGEREF _Toc93425282 \h </w:instrText>
            </w:r>
            <w:r>
              <w:rPr>
                <w:webHidden/>
              </w:rPr>
            </w:r>
            <w:r>
              <w:rPr>
                <w:webHidden/>
              </w:rPr>
              <w:fldChar w:fldCharType="separate"/>
            </w:r>
            <w:r>
              <w:rPr>
                <w:webHidden/>
              </w:rPr>
              <w:t>202</w:t>
            </w:r>
            <w:r>
              <w:rPr>
                <w:webHidden/>
              </w:rPr>
              <w:fldChar w:fldCharType="end"/>
            </w:r>
          </w:hyperlink>
        </w:p>
        <w:p w14:paraId="49272112" w14:textId="27FEF586" w:rsidR="00C94B75" w:rsidRDefault="00C94B75">
          <w:pPr>
            <w:pStyle w:val="TOC1"/>
            <w:rPr>
              <w:rFonts w:asciiTheme="minorHAnsi" w:eastAsiaTheme="minorEastAsia" w:hAnsiTheme="minorHAnsi" w:cstheme="minorBidi"/>
              <w:szCs w:val="22"/>
              <w:lang w:eastAsia="en-GB"/>
            </w:rPr>
          </w:pPr>
          <w:hyperlink w:anchor="_Toc93425283" w:history="1">
            <w:r w:rsidRPr="00ED497F">
              <w:rPr>
                <w:rStyle w:val="Hyperlink"/>
              </w:rPr>
              <w:t>45.</w:t>
            </w:r>
            <w:r>
              <w:rPr>
                <w:rFonts w:asciiTheme="minorHAnsi" w:eastAsiaTheme="minorEastAsia" w:hAnsiTheme="minorHAnsi" w:cstheme="minorBidi"/>
                <w:szCs w:val="22"/>
                <w:lang w:eastAsia="en-GB"/>
              </w:rPr>
              <w:tab/>
            </w:r>
            <w:r w:rsidRPr="00ED497F">
              <w:rPr>
                <w:rStyle w:val="Hyperlink"/>
              </w:rPr>
              <w:t>Resolution 83 – Evaluation of the implementation of resolutions of the World Telecommunication Standardization Assembly</w:t>
            </w:r>
            <w:r>
              <w:rPr>
                <w:webHidden/>
              </w:rPr>
              <w:tab/>
            </w:r>
            <w:r>
              <w:rPr>
                <w:webHidden/>
              </w:rPr>
              <w:fldChar w:fldCharType="begin"/>
            </w:r>
            <w:r>
              <w:rPr>
                <w:webHidden/>
              </w:rPr>
              <w:instrText xml:space="preserve"> PAGEREF _Toc93425283 \h </w:instrText>
            </w:r>
            <w:r>
              <w:rPr>
                <w:webHidden/>
              </w:rPr>
            </w:r>
            <w:r>
              <w:rPr>
                <w:webHidden/>
              </w:rPr>
              <w:fldChar w:fldCharType="separate"/>
            </w:r>
            <w:r>
              <w:rPr>
                <w:webHidden/>
              </w:rPr>
              <w:t>204</w:t>
            </w:r>
            <w:r>
              <w:rPr>
                <w:webHidden/>
              </w:rPr>
              <w:fldChar w:fldCharType="end"/>
            </w:r>
          </w:hyperlink>
        </w:p>
        <w:p w14:paraId="7D2C9417" w14:textId="5B7FAD76" w:rsidR="00C94B75" w:rsidRDefault="00C94B75">
          <w:pPr>
            <w:pStyle w:val="TOC1"/>
            <w:rPr>
              <w:rFonts w:asciiTheme="minorHAnsi" w:eastAsiaTheme="minorEastAsia" w:hAnsiTheme="minorHAnsi" w:cstheme="minorBidi"/>
              <w:szCs w:val="22"/>
              <w:lang w:eastAsia="en-GB"/>
            </w:rPr>
          </w:pPr>
          <w:hyperlink w:anchor="_Toc93425284" w:history="1">
            <w:r w:rsidRPr="00ED497F">
              <w:rPr>
                <w:rStyle w:val="Hyperlink"/>
              </w:rPr>
              <w:t>46.</w:t>
            </w:r>
            <w:r>
              <w:rPr>
                <w:rFonts w:asciiTheme="minorHAnsi" w:eastAsiaTheme="minorEastAsia" w:hAnsiTheme="minorHAnsi" w:cstheme="minorBidi"/>
                <w:szCs w:val="22"/>
                <w:lang w:eastAsia="en-GB"/>
              </w:rPr>
              <w:tab/>
            </w:r>
            <w:r w:rsidRPr="00ED497F">
              <w:rPr>
                <w:rStyle w:val="Hyperlink"/>
              </w:rPr>
              <w:t>Resolution 84 – Studies concerning the protection of users of telecommunication/information and communication technology services</w:t>
            </w:r>
            <w:r>
              <w:rPr>
                <w:webHidden/>
              </w:rPr>
              <w:tab/>
            </w:r>
            <w:r>
              <w:rPr>
                <w:webHidden/>
              </w:rPr>
              <w:fldChar w:fldCharType="begin"/>
            </w:r>
            <w:r>
              <w:rPr>
                <w:webHidden/>
              </w:rPr>
              <w:instrText xml:space="preserve"> PAGEREF _Toc93425284 \h </w:instrText>
            </w:r>
            <w:r>
              <w:rPr>
                <w:webHidden/>
              </w:rPr>
            </w:r>
            <w:r>
              <w:rPr>
                <w:webHidden/>
              </w:rPr>
              <w:fldChar w:fldCharType="separate"/>
            </w:r>
            <w:r>
              <w:rPr>
                <w:webHidden/>
              </w:rPr>
              <w:t>205</w:t>
            </w:r>
            <w:r>
              <w:rPr>
                <w:webHidden/>
              </w:rPr>
              <w:fldChar w:fldCharType="end"/>
            </w:r>
          </w:hyperlink>
        </w:p>
        <w:p w14:paraId="323A2D6B" w14:textId="2C1A1C4D" w:rsidR="00C94B75" w:rsidRDefault="00C94B75">
          <w:pPr>
            <w:pStyle w:val="TOC1"/>
            <w:rPr>
              <w:rFonts w:asciiTheme="minorHAnsi" w:eastAsiaTheme="minorEastAsia" w:hAnsiTheme="minorHAnsi" w:cstheme="minorBidi"/>
              <w:szCs w:val="22"/>
              <w:lang w:eastAsia="en-GB"/>
            </w:rPr>
          </w:pPr>
          <w:hyperlink w:anchor="_Toc93425285" w:history="1">
            <w:r w:rsidRPr="00ED497F">
              <w:rPr>
                <w:rStyle w:val="Hyperlink"/>
              </w:rPr>
              <w:t>47.</w:t>
            </w:r>
            <w:r>
              <w:rPr>
                <w:rFonts w:asciiTheme="minorHAnsi" w:eastAsiaTheme="minorEastAsia" w:hAnsiTheme="minorHAnsi" w:cstheme="minorBidi"/>
                <w:szCs w:val="22"/>
                <w:lang w:eastAsia="en-GB"/>
              </w:rPr>
              <w:tab/>
            </w:r>
            <w:r w:rsidRPr="00ED497F">
              <w:rPr>
                <w:rStyle w:val="Hyperlink"/>
              </w:rPr>
              <w:t>Resolution 85 - Strengthening and diversifying the resources of the ITU Telecommunication Standardization Sector</w:t>
            </w:r>
            <w:r>
              <w:rPr>
                <w:webHidden/>
              </w:rPr>
              <w:tab/>
            </w:r>
            <w:r>
              <w:rPr>
                <w:webHidden/>
              </w:rPr>
              <w:fldChar w:fldCharType="begin"/>
            </w:r>
            <w:r>
              <w:rPr>
                <w:webHidden/>
              </w:rPr>
              <w:instrText xml:space="preserve"> PAGEREF _Toc93425285 \h </w:instrText>
            </w:r>
            <w:r>
              <w:rPr>
                <w:webHidden/>
              </w:rPr>
            </w:r>
            <w:r>
              <w:rPr>
                <w:webHidden/>
              </w:rPr>
              <w:fldChar w:fldCharType="separate"/>
            </w:r>
            <w:r>
              <w:rPr>
                <w:webHidden/>
              </w:rPr>
              <w:t>207</w:t>
            </w:r>
            <w:r>
              <w:rPr>
                <w:webHidden/>
              </w:rPr>
              <w:fldChar w:fldCharType="end"/>
            </w:r>
          </w:hyperlink>
        </w:p>
        <w:p w14:paraId="7CED2D78" w14:textId="33AE9473" w:rsidR="00C94B75" w:rsidRDefault="00C94B75">
          <w:pPr>
            <w:pStyle w:val="TOC1"/>
            <w:rPr>
              <w:rFonts w:asciiTheme="minorHAnsi" w:eastAsiaTheme="minorEastAsia" w:hAnsiTheme="minorHAnsi" w:cstheme="minorBidi"/>
              <w:szCs w:val="22"/>
              <w:lang w:eastAsia="en-GB"/>
            </w:rPr>
          </w:pPr>
          <w:hyperlink w:anchor="_Toc93425286" w:history="1">
            <w:r w:rsidRPr="00ED497F">
              <w:rPr>
                <w:rStyle w:val="Hyperlink"/>
              </w:rPr>
              <w:t>48.</w:t>
            </w:r>
            <w:r>
              <w:rPr>
                <w:rFonts w:asciiTheme="minorHAnsi" w:eastAsiaTheme="minorEastAsia" w:hAnsiTheme="minorHAnsi" w:cstheme="minorBidi"/>
                <w:szCs w:val="22"/>
                <w:lang w:eastAsia="en-GB"/>
              </w:rPr>
              <w:tab/>
            </w:r>
            <w:r w:rsidRPr="00ED497F">
              <w:rPr>
                <w:rStyle w:val="Hyperlink"/>
              </w:rPr>
              <w:t>Resolution 86 - Facilitating the implementation of the Smart Africa Manifesto</w:t>
            </w:r>
            <w:r>
              <w:rPr>
                <w:webHidden/>
              </w:rPr>
              <w:tab/>
            </w:r>
            <w:r>
              <w:rPr>
                <w:webHidden/>
              </w:rPr>
              <w:fldChar w:fldCharType="begin"/>
            </w:r>
            <w:r>
              <w:rPr>
                <w:webHidden/>
              </w:rPr>
              <w:instrText xml:space="preserve"> PAGEREF _Toc93425286 \h </w:instrText>
            </w:r>
            <w:r>
              <w:rPr>
                <w:webHidden/>
              </w:rPr>
            </w:r>
            <w:r>
              <w:rPr>
                <w:webHidden/>
              </w:rPr>
              <w:fldChar w:fldCharType="separate"/>
            </w:r>
            <w:r>
              <w:rPr>
                <w:webHidden/>
              </w:rPr>
              <w:t>208</w:t>
            </w:r>
            <w:r>
              <w:rPr>
                <w:webHidden/>
              </w:rPr>
              <w:fldChar w:fldCharType="end"/>
            </w:r>
          </w:hyperlink>
        </w:p>
        <w:p w14:paraId="31F65F5D" w14:textId="55C3F3E3" w:rsidR="00C94B75" w:rsidRDefault="00C94B75">
          <w:pPr>
            <w:pStyle w:val="TOC1"/>
            <w:rPr>
              <w:rFonts w:asciiTheme="minorHAnsi" w:eastAsiaTheme="minorEastAsia" w:hAnsiTheme="minorHAnsi" w:cstheme="minorBidi"/>
              <w:szCs w:val="22"/>
              <w:lang w:eastAsia="en-GB"/>
            </w:rPr>
          </w:pPr>
          <w:hyperlink w:anchor="_Toc93425287" w:history="1">
            <w:r w:rsidRPr="00ED497F">
              <w:rPr>
                <w:rStyle w:val="Hyperlink"/>
              </w:rPr>
              <w:t>49.</w:t>
            </w:r>
            <w:r>
              <w:rPr>
                <w:rFonts w:asciiTheme="minorHAnsi" w:eastAsiaTheme="minorEastAsia" w:hAnsiTheme="minorHAnsi" w:cstheme="minorBidi"/>
                <w:szCs w:val="22"/>
                <w:lang w:eastAsia="en-GB"/>
              </w:rPr>
              <w:tab/>
            </w:r>
            <w:r w:rsidRPr="00ED497F">
              <w:rPr>
                <w:rStyle w:val="Hyperlink"/>
              </w:rPr>
              <w:t>Resolution 87 - Participation of the ITU Telecommunication Standardization Sector in the periodic review and revision of the International Telecommunication Regulations</w:t>
            </w:r>
            <w:r>
              <w:rPr>
                <w:webHidden/>
              </w:rPr>
              <w:tab/>
            </w:r>
            <w:r>
              <w:rPr>
                <w:webHidden/>
              </w:rPr>
              <w:fldChar w:fldCharType="begin"/>
            </w:r>
            <w:r>
              <w:rPr>
                <w:webHidden/>
              </w:rPr>
              <w:instrText xml:space="preserve"> PAGEREF _Toc93425287 \h </w:instrText>
            </w:r>
            <w:r>
              <w:rPr>
                <w:webHidden/>
              </w:rPr>
            </w:r>
            <w:r>
              <w:rPr>
                <w:webHidden/>
              </w:rPr>
              <w:fldChar w:fldCharType="separate"/>
            </w:r>
            <w:r>
              <w:rPr>
                <w:webHidden/>
              </w:rPr>
              <w:t>211</w:t>
            </w:r>
            <w:r>
              <w:rPr>
                <w:webHidden/>
              </w:rPr>
              <w:fldChar w:fldCharType="end"/>
            </w:r>
          </w:hyperlink>
        </w:p>
        <w:p w14:paraId="53B5358C" w14:textId="246CBFAE" w:rsidR="00C94B75" w:rsidRDefault="00C94B75">
          <w:pPr>
            <w:pStyle w:val="TOC1"/>
            <w:rPr>
              <w:rFonts w:asciiTheme="minorHAnsi" w:eastAsiaTheme="minorEastAsia" w:hAnsiTheme="minorHAnsi" w:cstheme="minorBidi"/>
              <w:szCs w:val="22"/>
              <w:lang w:eastAsia="en-GB"/>
            </w:rPr>
          </w:pPr>
          <w:hyperlink w:anchor="_Toc93425288" w:history="1">
            <w:r w:rsidRPr="00ED497F">
              <w:rPr>
                <w:rStyle w:val="Hyperlink"/>
              </w:rPr>
              <w:t>50.</w:t>
            </w:r>
            <w:r>
              <w:rPr>
                <w:rFonts w:asciiTheme="minorHAnsi" w:eastAsiaTheme="minorEastAsia" w:hAnsiTheme="minorHAnsi" w:cstheme="minorBidi"/>
                <w:szCs w:val="22"/>
                <w:lang w:eastAsia="en-GB"/>
              </w:rPr>
              <w:tab/>
            </w:r>
            <w:r w:rsidRPr="00ED497F">
              <w:rPr>
                <w:rStyle w:val="Hyperlink"/>
              </w:rPr>
              <w:t>Resolution 88 - International mobile roaming</w:t>
            </w:r>
            <w:r>
              <w:rPr>
                <w:webHidden/>
              </w:rPr>
              <w:tab/>
            </w:r>
            <w:r>
              <w:rPr>
                <w:webHidden/>
              </w:rPr>
              <w:fldChar w:fldCharType="begin"/>
            </w:r>
            <w:r>
              <w:rPr>
                <w:webHidden/>
              </w:rPr>
              <w:instrText xml:space="preserve"> PAGEREF _Toc93425288 \h </w:instrText>
            </w:r>
            <w:r>
              <w:rPr>
                <w:webHidden/>
              </w:rPr>
            </w:r>
            <w:r>
              <w:rPr>
                <w:webHidden/>
              </w:rPr>
              <w:fldChar w:fldCharType="separate"/>
            </w:r>
            <w:r>
              <w:rPr>
                <w:webHidden/>
              </w:rPr>
              <w:t>213</w:t>
            </w:r>
            <w:r>
              <w:rPr>
                <w:webHidden/>
              </w:rPr>
              <w:fldChar w:fldCharType="end"/>
            </w:r>
          </w:hyperlink>
        </w:p>
        <w:p w14:paraId="69D40FA1" w14:textId="52FAB220" w:rsidR="00C94B75" w:rsidRDefault="00C94B75">
          <w:pPr>
            <w:pStyle w:val="TOC1"/>
            <w:rPr>
              <w:rFonts w:asciiTheme="minorHAnsi" w:eastAsiaTheme="minorEastAsia" w:hAnsiTheme="minorHAnsi" w:cstheme="minorBidi"/>
              <w:szCs w:val="22"/>
              <w:lang w:eastAsia="en-GB"/>
            </w:rPr>
          </w:pPr>
          <w:hyperlink w:anchor="_Toc93425289" w:history="1">
            <w:r w:rsidRPr="00ED497F">
              <w:rPr>
                <w:rStyle w:val="Hyperlink"/>
              </w:rPr>
              <w:t>51.</w:t>
            </w:r>
            <w:r>
              <w:rPr>
                <w:rFonts w:asciiTheme="minorHAnsi" w:eastAsiaTheme="minorEastAsia" w:hAnsiTheme="minorHAnsi" w:cstheme="minorBidi"/>
                <w:szCs w:val="22"/>
                <w:lang w:eastAsia="en-GB"/>
              </w:rPr>
              <w:tab/>
            </w:r>
            <w:r w:rsidRPr="00ED497F">
              <w:rPr>
                <w:rStyle w:val="Hyperlink"/>
              </w:rPr>
              <w:t>Resolution 89 - Promoting the use of information and communication technologies to bridge the financial inclusion gap</w:t>
            </w:r>
            <w:r>
              <w:rPr>
                <w:webHidden/>
              </w:rPr>
              <w:tab/>
            </w:r>
            <w:r>
              <w:rPr>
                <w:webHidden/>
              </w:rPr>
              <w:fldChar w:fldCharType="begin"/>
            </w:r>
            <w:r>
              <w:rPr>
                <w:webHidden/>
              </w:rPr>
              <w:instrText xml:space="preserve"> PAGEREF _Toc93425289 \h </w:instrText>
            </w:r>
            <w:r>
              <w:rPr>
                <w:webHidden/>
              </w:rPr>
            </w:r>
            <w:r>
              <w:rPr>
                <w:webHidden/>
              </w:rPr>
              <w:fldChar w:fldCharType="separate"/>
            </w:r>
            <w:r>
              <w:rPr>
                <w:webHidden/>
              </w:rPr>
              <w:t>214</w:t>
            </w:r>
            <w:r>
              <w:rPr>
                <w:webHidden/>
              </w:rPr>
              <w:fldChar w:fldCharType="end"/>
            </w:r>
          </w:hyperlink>
        </w:p>
        <w:p w14:paraId="0768702E" w14:textId="21E93CE0" w:rsidR="00C94B75" w:rsidRDefault="00C94B75">
          <w:pPr>
            <w:pStyle w:val="TOC2"/>
            <w:rPr>
              <w:rFonts w:asciiTheme="minorHAnsi" w:eastAsiaTheme="minorEastAsia" w:hAnsiTheme="minorHAnsi" w:cstheme="minorBidi"/>
              <w:szCs w:val="22"/>
              <w:lang w:eastAsia="en-GB"/>
            </w:rPr>
          </w:pPr>
          <w:hyperlink w:anchor="_Toc93425290" w:history="1">
            <w:r w:rsidRPr="00ED497F">
              <w:rPr>
                <w:rStyle w:val="Hyperlink"/>
                <w:rFonts w:eastAsia="Times New Roman"/>
              </w:rPr>
              <w:t>Digital Currency Global Initiative</w:t>
            </w:r>
            <w:r>
              <w:rPr>
                <w:webHidden/>
              </w:rPr>
              <w:tab/>
            </w:r>
            <w:r>
              <w:rPr>
                <w:webHidden/>
              </w:rPr>
              <w:fldChar w:fldCharType="begin"/>
            </w:r>
            <w:r>
              <w:rPr>
                <w:webHidden/>
              </w:rPr>
              <w:instrText xml:space="preserve"> PAGEREF _Toc93425290 \h </w:instrText>
            </w:r>
            <w:r>
              <w:rPr>
                <w:webHidden/>
              </w:rPr>
            </w:r>
            <w:r>
              <w:rPr>
                <w:webHidden/>
              </w:rPr>
              <w:fldChar w:fldCharType="separate"/>
            </w:r>
            <w:r>
              <w:rPr>
                <w:webHidden/>
              </w:rPr>
              <w:t>225</w:t>
            </w:r>
            <w:r>
              <w:rPr>
                <w:webHidden/>
              </w:rPr>
              <w:fldChar w:fldCharType="end"/>
            </w:r>
          </w:hyperlink>
        </w:p>
        <w:p w14:paraId="4CA43C46" w14:textId="468BE7DA" w:rsidR="00C94B75" w:rsidRDefault="00C94B75">
          <w:pPr>
            <w:pStyle w:val="TOC1"/>
            <w:rPr>
              <w:rFonts w:asciiTheme="minorHAnsi" w:eastAsiaTheme="minorEastAsia" w:hAnsiTheme="minorHAnsi" w:cstheme="minorBidi"/>
              <w:szCs w:val="22"/>
              <w:lang w:eastAsia="en-GB"/>
            </w:rPr>
          </w:pPr>
          <w:hyperlink w:anchor="_Toc93425291" w:history="1">
            <w:r w:rsidRPr="00ED497F">
              <w:rPr>
                <w:rStyle w:val="Hyperlink"/>
              </w:rPr>
              <w:t>52.</w:t>
            </w:r>
            <w:r>
              <w:rPr>
                <w:rFonts w:asciiTheme="minorHAnsi" w:eastAsiaTheme="minorEastAsia" w:hAnsiTheme="minorHAnsi" w:cstheme="minorBidi"/>
                <w:szCs w:val="22"/>
                <w:lang w:eastAsia="en-GB"/>
              </w:rPr>
              <w:tab/>
            </w:r>
            <w:r w:rsidRPr="00ED497F">
              <w:rPr>
                <w:rStyle w:val="Hyperlink"/>
              </w:rPr>
              <w:t>Resolution 90 - Open source in the ITU Telecommunication Standardization Sector</w:t>
            </w:r>
            <w:r>
              <w:rPr>
                <w:webHidden/>
              </w:rPr>
              <w:tab/>
            </w:r>
            <w:r>
              <w:rPr>
                <w:webHidden/>
              </w:rPr>
              <w:fldChar w:fldCharType="begin"/>
            </w:r>
            <w:r>
              <w:rPr>
                <w:webHidden/>
              </w:rPr>
              <w:instrText xml:space="preserve"> PAGEREF _Toc93425291 \h </w:instrText>
            </w:r>
            <w:r>
              <w:rPr>
                <w:webHidden/>
              </w:rPr>
            </w:r>
            <w:r>
              <w:rPr>
                <w:webHidden/>
              </w:rPr>
              <w:fldChar w:fldCharType="separate"/>
            </w:r>
            <w:r>
              <w:rPr>
                <w:webHidden/>
              </w:rPr>
              <w:t>229</w:t>
            </w:r>
            <w:r>
              <w:rPr>
                <w:webHidden/>
              </w:rPr>
              <w:fldChar w:fldCharType="end"/>
            </w:r>
          </w:hyperlink>
        </w:p>
        <w:p w14:paraId="53A91FAC" w14:textId="641A705D" w:rsidR="00C94B75" w:rsidRDefault="00C94B75">
          <w:pPr>
            <w:pStyle w:val="TOC1"/>
            <w:rPr>
              <w:rFonts w:asciiTheme="minorHAnsi" w:eastAsiaTheme="minorEastAsia" w:hAnsiTheme="minorHAnsi" w:cstheme="minorBidi"/>
              <w:szCs w:val="22"/>
              <w:lang w:eastAsia="en-GB"/>
            </w:rPr>
          </w:pPr>
          <w:hyperlink w:anchor="_Toc93425292" w:history="1">
            <w:r w:rsidRPr="00ED497F">
              <w:rPr>
                <w:rStyle w:val="Hyperlink"/>
              </w:rPr>
              <w:t>53.</w:t>
            </w:r>
            <w:r>
              <w:rPr>
                <w:rFonts w:asciiTheme="minorHAnsi" w:eastAsiaTheme="minorEastAsia" w:hAnsiTheme="minorHAnsi" w:cstheme="minorBidi"/>
                <w:szCs w:val="22"/>
                <w:lang w:eastAsia="en-GB"/>
              </w:rPr>
              <w:tab/>
            </w:r>
            <w:r w:rsidRPr="00ED497F">
              <w:rPr>
                <w:rStyle w:val="Hyperlink"/>
              </w:rPr>
              <w:t>Resolution 91 - Enhancing access to an electronic repository of information on numbering plans published by the ITU Telecommunication Standardization Sector</w:t>
            </w:r>
            <w:r>
              <w:rPr>
                <w:webHidden/>
              </w:rPr>
              <w:tab/>
            </w:r>
            <w:r>
              <w:rPr>
                <w:webHidden/>
              </w:rPr>
              <w:fldChar w:fldCharType="begin"/>
            </w:r>
            <w:r>
              <w:rPr>
                <w:webHidden/>
              </w:rPr>
              <w:instrText xml:space="preserve"> PAGEREF _Toc93425292 \h </w:instrText>
            </w:r>
            <w:r>
              <w:rPr>
                <w:webHidden/>
              </w:rPr>
            </w:r>
            <w:r>
              <w:rPr>
                <w:webHidden/>
              </w:rPr>
              <w:fldChar w:fldCharType="separate"/>
            </w:r>
            <w:r>
              <w:rPr>
                <w:webHidden/>
              </w:rPr>
              <w:t>233</w:t>
            </w:r>
            <w:r>
              <w:rPr>
                <w:webHidden/>
              </w:rPr>
              <w:fldChar w:fldCharType="end"/>
            </w:r>
          </w:hyperlink>
        </w:p>
        <w:p w14:paraId="1A30E5F3" w14:textId="0BF53B63" w:rsidR="00C94B75" w:rsidRDefault="00C94B75">
          <w:pPr>
            <w:pStyle w:val="TOC1"/>
            <w:rPr>
              <w:rFonts w:asciiTheme="minorHAnsi" w:eastAsiaTheme="minorEastAsia" w:hAnsiTheme="minorHAnsi" w:cstheme="minorBidi"/>
              <w:szCs w:val="22"/>
              <w:lang w:eastAsia="en-GB"/>
            </w:rPr>
          </w:pPr>
          <w:hyperlink w:anchor="_Toc93425293" w:history="1">
            <w:r w:rsidRPr="00ED497F">
              <w:rPr>
                <w:rStyle w:val="Hyperlink"/>
              </w:rPr>
              <w:t>54.</w:t>
            </w:r>
            <w:r>
              <w:rPr>
                <w:rFonts w:asciiTheme="minorHAnsi" w:eastAsiaTheme="minorEastAsia" w:hAnsiTheme="minorHAnsi" w:cstheme="minorBidi"/>
                <w:szCs w:val="22"/>
                <w:lang w:eastAsia="en-GB"/>
              </w:rPr>
              <w:tab/>
            </w:r>
            <w:r w:rsidRPr="00ED497F">
              <w:rPr>
                <w:rStyle w:val="Hyperlink"/>
              </w:rPr>
              <w:t>Resolution 92 - Enhancing the standardization activities in the ITU Telecommunication Standardization Sector related to non-radio aspects of international mobile telecommunications</w:t>
            </w:r>
            <w:r>
              <w:rPr>
                <w:webHidden/>
              </w:rPr>
              <w:tab/>
            </w:r>
            <w:r>
              <w:rPr>
                <w:webHidden/>
              </w:rPr>
              <w:fldChar w:fldCharType="begin"/>
            </w:r>
            <w:r>
              <w:rPr>
                <w:webHidden/>
              </w:rPr>
              <w:instrText xml:space="preserve"> PAGEREF _Toc93425293 \h </w:instrText>
            </w:r>
            <w:r>
              <w:rPr>
                <w:webHidden/>
              </w:rPr>
            </w:r>
            <w:r>
              <w:rPr>
                <w:webHidden/>
              </w:rPr>
              <w:fldChar w:fldCharType="separate"/>
            </w:r>
            <w:r>
              <w:rPr>
                <w:webHidden/>
              </w:rPr>
              <w:t>235</w:t>
            </w:r>
            <w:r>
              <w:rPr>
                <w:webHidden/>
              </w:rPr>
              <w:fldChar w:fldCharType="end"/>
            </w:r>
          </w:hyperlink>
        </w:p>
        <w:p w14:paraId="60F2544C" w14:textId="12A80FA4" w:rsidR="00C94B75" w:rsidRDefault="00C94B75">
          <w:pPr>
            <w:pStyle w:val="TOC1"/>
            <w:rPr>
              <w:rFonts w:asciiTheme="minorHAnsi" w:eastAsiaTheme="minorEastAsia" w:hAnsiTheme="minorHAnsi" w:cstheme="minorBidi"/>
              <w:szCs w:val="22"/>
              <w:lang w:eastAsia="en-GB"/>
            </w:rPr>
          </w:pPr>
          <w:hyperlink w:anchor="_Toc93425294" w:history="1">
            <w:r w:rsidRPr="00ED497F">
              <w:rPr>
                <w:rStyle w:val="Hyperlink"/>
              </w:rPr>
              <w:t>55.</w:t>
            </w:r>
            <w:r>
              <w:rPr>
                <w:rFonts w:asciiTheme="minorHAnsi" w:eastAsiaTheme="minorEastAsia" w:hAnsiTheme="minorHAnsi" w:cstheme="minorBidi"/>
                <w:szCs w:val="22"/>
                <w:lang w:eastAsia="en-GB"/>
              </w:rPr>
              <w:tab/>
            </w:r>
            <w:r w:rsidRPr="00ED497F">
              <w:rPr>
                <w:rStyle w:val="Hyperlink"/>
              </w:rPr>
              <w:t>Resolution 93 - Interconnection of 4G, IMT-2020 networks and beyond</w:t>
            </w:r>
            <w:r>
              <w:rPr>
                <w:webHidden/>
              </w:rPr>
              <w:tab/>
            </w:r>
            <w:r>
              <w:rPr>
                <w:webHidden/>
              </w:rPr>
              <w:fldChar w:fldCharType="begin"/>
            </w:r>
            <w:r>
              <w:rPr>
                <w:webHidden/>
              </w:rPr>
              <w:instrText xml:space="preserve"> PAGEREF _Toc93425294 \h </w:instrText>
            </w:r>
            <w:r>
              <w:rPr>
                <w:webHidden/>
              </w:rPr>
            </w:r>
            <w:r>
              <w:rPr>
                <w:webHidden/>
              </w:rPr>
              <w:fldChar w:fldCharType="separate"/>
            </w:r>
            <w:r>
              <w:rPr>
                <w:webHidden/>
              </w:rPr>
              <w:t>243</w:t>
            </w:r>
            <w:r>
              <w:rPr>
                <w:webHidden/>
              </w:rPr>
              <w:fldChar w:fldCharType="end"/>
            </w:r>
          </w:hyperlink>
        </w:p>
        <w:p w14:paraId="4B98CA37" w14:textId="033109AE" w:rsidR="00C94B75" w:rsidRDefault="00C94B75">
          <w:pPr>
            <w:pStyle w:val="TOC1"/>
            <w:rPr>
              <w:rFonts w:asciiTheme="minorHAnsi" w:eastAsiaTheme="minorEastAsia" w:hAnsiTheme="minorHAnsi" w:cstheme="minorBidi"/>
              <w:szCs w:val="22"/>
              <w:lang w:eastAsia="en-GB"/>
            </w:rPr>
          </w:pPr>
          <w:hyperlink w:anchor="_Toc93425295" w:history="1">
            <w:r w:rsidRPr="00ED497F">
              <w:rPr>
                <w:rStyle w:val="Hyperlink"/>
              </w:rPr>
              <w:t>56.</w:t>
            </w:r>
            <w:r>
              <w:rPr>
                <w:rFonts w:asciiTheme="minorHAnsi" w:eastAsiaTheme="minorEastAsia" w:hAnsiTheme="minorHAnsi" w:cstheme="minorBidi"/>
                <w:szCs w:val="22"/>
                <w:lang w:eastAsia="en-GB"/>
              </w:rPr>
              <w:tab/>
            </w:r>
            <w:r w:rsidRPr="00ED497F">
              <w:rPr>
                <w:rStyle w:val="Hyperlink"/>
              </w:rPr>
              <w:t>Resolution 94 - Standardization work in the ITU Telecommunication Standardization Sector for cloud-based event data technology</w:t>
            </w:r>
            <w:r>
              <w:rPr>
                <w:webHidden/>
              </w:rPr>
              <w:tab/>
            </w:r>
            <w:r>
              <w:rPr>
                <w:webHidden/>
              </w:rPr>
              <w:fldChar w:fldCharType="begin"/>
            </w:r>
            <w:r>
              <w:rPr>
                <w:webHidden/>
              </w:rPr>
              <w:instrText xml:space="preserve"> PAGEREF _Toc93425295 \h </w:instrText>
            </w:r>
            <w:r>
              <w:rPr>
                <w:webHidden/>
              </w:rPr>
            </w:r>
            <w:r>
              <w:rPr>
                <w:webHidden/>
              </w:rPr>
              <w:fldChar w:fldCharType="separate"/>
            </w:r>
            <w:r>
              <w:rPr>
                <w:webHidden/>
              </w:rPr>
              <w:t>248</w:t>
            </w:r>
            <w:r>
              <w:rPr>
                <w:webHidden/>
              </w:rPr>
              <w:fldChar w:fldCharType="end"/>
            </w:r>
          </w:hyperlink>
        </w:p>
        <w:p w14:paraId="3F927B52" w14:textId="4A0323A9" w:rsidR="00C94B75" w:rsidRDefault="00C94B75">
          <w:pPr>
            <w:pStyle w:val="TOC1"/>
            <w:rPr>
              <w:rFonts w:asciiTheme="minorHAnsi" w:eastAsiaTheme="minorEastAsia" w:hAnsiTheme="minorHAnsi" w:cstheme="minorBidi"/>
              <w:szCs w:val="22"/>
              <w:lang w:eastAsia="en-GB"/>
            </w:rPr>
          </w:pPr>
          <w:hyperlink w:anchor="_Toc93425296" w:history="1">
            <w:r w:rsidRPr="00ED497F">
              <w:rPr>
                <w:rStyle w:val="Hyperlink"/>
              </w:rPr>
              <w:t>57.</w:t>
            </w:r>
            <w:r>
              <w:rPr>
                <w:rFonts w:asciiTheme="minorHAnsi" w:eastAsiaTheme="minorEastAsia" w:hAnsiTheme="minorHAnsi" w:cstheme="minorBidi"/>
                <w:szCs w:val="22"/>
                <w:lang w:eastAsia="en-GB"/>
              </w:rPr>
              <w:tab/>
            </w:r>
            <w:r w:rsidRPr="00ED497F">
              <w:rPr>
                <w:rStyle w:val="Hyperlink"/>
              </w:rPr>
              <w:t>Resolution 95 - ITU Telecommunication Standardization Sector initiatives to raise awareness on best practices and policies related to service quality</w:t>
            </w:r>
            <w:r>
              <w:rPr>
                <w:webHidden/>
              </w:rPr>
              <w:tab/>
            </w:r>
            <w:r>
              <w:rPr>
                <w:webHidden/>
              </w:rPr>
              <w:fldChar w:fldCharType="begin"/>
            </w:r>
            <w:r>
              <w:rPr>
                <w:webHidden/>
              </w:rPr>
              <w:instrText xml:space="preserve"> PAGEREF _Toc93425296 \h </w:instrText>
            </w:r>
            <w:r>
              <w:rPr>
                <w:webHidden/>
              </w:rPr>
            </w:r>
            <w:r>
              <w:rPr>
                <w:webHidden/>
              </w:rPr>
              <w:fldChar w:fldCharType="separate"/>
            </w:r>
            <w:r>
              <w:rPr>
                <w:webHidden/>
              </w:rPr>
              <w:t>251</w:t>
            </w:r>
            <w:r>
              <w:rPr>
                <w:webHidden/>
              </w:rPr>
              <w:fldChar w:fldCharType="end"/>
            </w:r>
          </w:hyperlink>
        </w:p>
        <w:p w14:paraId="7191BC5F" w14:textId="2B678315" w:rsidR="00C94B75" w:rsidRDefault="00C94B75">
          <w:pPr>
            <w:pStyle w:val="TOC1"/>
            <w:rPr>
              <w:rFonts w:asciiTheme="minorHAnsi" w:eastAsiaTheme="minorEastAsia" w:hAnsiTheme="minorHAnsi" w:cstheme="minorBidi"/>
              <w:szCs w:val="22"/>
              <w:lang w:eastAsia="en-GB"/>
            </w:rPr>
          </w:pPr>
          <w:hyperlink w:anchor="_Toc93425297" w:history="1">
            <w:r w:rsidRPr="00ED497F">
              <w:rPr>
                <w:rStyle w:val="Hyperlink"/>
              </w:rPr>
              <w:t>58.</w:t>
            </w:r>
            <w:r>
              <w:rPr>
                <w:rFonts w:asciiTheme="minorHAnsi" w:eastAsiaTheme="minorEastAsia" w:hAnsiTheme="minorHAnsi" w:cstheme="minorBidi"/>
                <w:szCs w:val="22"/>
                <w:lang w:eastAsia="en-GB"/>
              </w:rPr>
              <w:tab/>
            </w:r>
            <w:r w:rsidRPr="00ED497F">
              <w:rPr>
                <w:rStyle w:val="Hyperlink"/>
              </w:rPr>
              <w:t>Resolution 96 - ITU Telecommunication Standardization Sector studies for combating counterfeit telecommunication/information and communication technology devices</w:t>
            </w:r>
            <w:r>
              <w:rPr>
                <w:webHidden/>
              </w:rPr>
              <w:tab/>
            </w:r>
            <w:r>
              <w:rPr>
                <w:webHidden/>
              </w:rPr>
              <w:fldChar w:fldCharType="begin"/>
            </w:r>
            <w:r>
              <w:rPr>
                <w:webHidden/>
              </w:rPr>
              <w:instrText xml:space="preserve"> PAGEREF _Toc93425297 \h </w:instrText>
            </w:r>
            <w:r>
              <w:rPr>
                <w:webHidden/>
              </w:rPr>
            </w:r>
            <w:r>
              <w:rPr>
                <w:webHidden/>
              </w:rPr>
              <w:fldChar w:fldCharType="separate"/>
            </w:r>
            <w:r>
              <w:rPr>
                <w:webHidden/>
              </w:rPr>
              <w:t>257</w:t>
            </w:r>
            <w:r>
              <w:rPr>
                <w:webHidden/>
              </w:rPr>
              <w:fldChar w:fldCharType="end"/>
            </w:r>
          </w:hyperlink>
        </w:p>
        <w:p w14:paraId="7EF48291" w14:textId="4923CBE5" w:rsidR="00C94B75" w:rsidRDefault="00C94B75">
          <w:pPr>
            <w:pStyle w:val="TOC1"/>
            <w:rPr>
              <w:rFonts w:asciiTheme="minorHAnsi" w:eastAsiaTheme="minorEastAsia" w:hAnsiTheme="minorHAnsi" w:cstheme="minorBidi"/>
              <w:szCs w:val="22"/>
              <w:lang w:eastAsia="en-GB"/>
            </w:rPr>
          </w:pPr>
          <w:hyperlink w:anchor="_Toc93425298" w:history="1">
            <w:r w:rsidRPr="00ED497F">
              <w:rPr>
                <w:rStyle w:val="Hyperlink"/>
              </w:rPr>
              <w:t>59.</w:t>
            </w:r>
            <w:r>
              <w:rPr>
                <w:rFonts w:asciiTheme="minorHAnsi" w:eastAsiaTheme="minorEastAsia" w:hAnsiTheme="minorHAnsi" w:cstheme="minorBidi"/>
                <w:szCs w:val="22"/>
                <w:lang w:eastAsia="en-GB"/>
              </w:rPr>
              <w:tab/>
            </w:r>
            <w:r w:rsidRPr="00ED497F">
              <w:rPr>
                <w:rStyle w:val="Hyperlink"/>
              </w:rPr>
              <w:t>Resolution 97 - Combating mobile telecommunication device theft</w:t>
            </w:r>
            <w:r>
              <w:rPr>
                <w:webHidden/>
              </w:rPr>
              <w:tab/>
            </w:r>
            <w:r>
              <w:rPr>
                <w:webHidden/>
              </w:rPr>
              <w:fldChar w:fldCharType="begin"/>
            </w:r>
            <w:r>
              <w:rPr>
                <w:webHidden/>
              </w:rPr>
              <w:instrText xml:space="preserve"> PAGEREF _Toc93425298 \h </w:instrText>
            </w:r>
            <w:r>
              <w:rPr>
                <w:webHidden/>
              </w:rPr>
            </w:r>
            <w:r>
              <w:rPr>
                <w:webHidden/>
              </w:rPr>
              <w:fldChar w:fldCharType="separate"/>
            </w:r>
            <w:r>
              <w:rPr>
                <w:webHidden/>
              </w:rPr>
              <w:t>266</w:t>
            </w:r>
            <w:r>
              <w:rPr>
                <w:webHidden/>
              </w:rPr>
              <w:fldChar w:fldCharType="end"/>
            </w:r>
          </w:hyperlink>
        </w:p>
        <w:p w14:paraId="0541F0D6" w14:textId="2077C101" w:rsidR="00C94B75" w:rsidRDefault="00C94B75">
          <w:pPr>
            <w:pStyle w:val="TOC1"/>
            <w:rPr>
              <w:rFonts w:asciiTheme="minorHAnsi" w:eastAsiaTheme="minorEastAsia" w:hAnsiTheme="minorHAnsi" w:cstheme="minorBidi"/>
              <w:szCs w:val="22"/>
              <w:lang w:eastAsia="en-GB"/>
            </w:rPr>
          </w:pPr>
          <w:hyperlink w:anchor="_Toc93425299" w:history="1">
            <w:r w:rsidRPr="00ED497F">
              <w:rPr>
                <w:rStyle w:val="Hyperlink"/>
              </w:rPr>
              <w:t>60.</w:t>
            </w:r>
            <w:r>
              <w:rPr>
                <w:rFonts w:asciiTheme="minorHAnsi" w:eastAsiaTheme="minorEastAsia" w:hAnsiTheme="minorHAnsi" w:cstheme="minorBidi"/>
                <w:szCs w:val="22"/>
                <w:lang w:eastAsia="en-GB"/>
              </w:rPr>
              <w:tab/>
            </w:r>
            <w:r w:rsidRPr="00ED497F">
              <w:rPr>
                <w:rStyle w:val="Hyperlink"/>
              </w:rPr>
              <w:t>Resolution 98 - Enhancing the standardization of Internet of things and smart cities and communities for global development</w:t>
            </w:r>
            <w:r>
              <w:rPr>
                <w:webHidden/>
              </w:rPr>
              <w:tab/>
            </w:r>
            <w:r>
              <w:rPr>
                <w:webHidden/>
              </w:rPr>
              <w:fldChar w:fldCharType="begin"/>
            </w:r>
            <w:r>
              <w:rPr>
                <w:webHidden/>
              </w:rPr>
              <w:instrText xml:space="preserve"> PAGEREF _Toc93425299 \h </w:instrText>
            </w:r>
            <w:r>
              <w:rPr>
                <w:webHidden/>
              </w:rPr>
            </w:r>
            <w:r>
              <w:rPr>
                <w:webHidden/>
              </w:rPr>
              <w:fldChar w:fldCharType="separate"/>
            </w:r>
            <w:r>
              <w:rPr>
                <w:webHidden/>
              </w:rPr>
              <w:t>270</w:t>
            </w:r>
            <w:r>
              <w:rPr>
                <w:webHidden/>
              </w:rPr>
              <w:fldChar w:fldCharType="end"/>
            </w:r>
          </w:hyperlink>
        </w:p>
        <w:p w14:paraId="4DC0F478" w14:textId="7CC7E44B" w:rsidR="00C94B75" w:rsidRDefault="00C94B75">
          <w:pPr>
            <w:pStyle w:val="TOC1"/>
            <w:rPr>
              <w:rFonts w:asciiTheme="minorHAnsi" w:eastAsiaTheme="minorEastAsia" w:hAnsiTheme="minorHAnsi" w:cstheme="minorBidi"/>
              <w:szCs w:val="22"/>
              <w:lang w:eastAsia="en-GB"/>
            </w:rPr>
          </w:pPr>
          <w:hyperlink w:anchor="_Toc93425300" w:history="1">
            <w:r w:rsidRPr="00ED497F">
              <w:rPr>
                <w:rStyle w:val="Hyperlink"/>
              </w:rPr>
              <w:t>61.</w:t>
            </w:r>
            <w:r>
              <w:rPr>
                <w:rFonts w:asciiTheme="minorHAnsi" w:eastAsiaTheme="minorEastAsia" w:hAnsiTheme="minorHAnsi" w:cstheme="minorBidi"/>
                <w:szCs w:val="22"/>
                <w:lang w:eastAsia="en-GB"/>
              </w:rPr>
              <w:tab/>
            </w:r>
            <w:r w:rsidRPr="00ED497F">
              <w:rPr>
                <w:rStyle w:val="Hyperlink"/>
              </w:rPr>
              <w:t>Opinion 1 - Practical application of network externality premium</w:t>
            </w:r>
            <w:r>
              <w:rPr>
                <w:webHidden/>
              </w:rPr>
              <w:tab/>
            </w:r>
            <w:r>
              <w:rPr>
                <w:webHidden/>
              </w:rPr>
              <w:fldChar w:fldCharType="begin"/>
            </w:r>
            <w:r>
              <w:rPr>
                <w:webHidden/>
              </w:rPr>
              <w:instrText xml:space="preserve"> PAGEREF _Toc93425300 \h </w:instrText>
            </w:r>
            <w:r>
              <w:rPr>
                <w:webHidden/>
              </w:rPr>
            </w:r>
            <w:r>
              <w:rPr>
                <w:webHidden/>
              </w:rPr>
              <w:fldChar w:fldCharType="separate"/>
            </w:r>
            <w:r>
              <w:rPr>
                <w:webHidden/>
              </w:rPr>
              <w:t>292</w:t>
            </w:r>
            <w:r>
              <w:rPr>
                <w:webHidden/>
              </w:rPr>
              <w:fldChar w:fldCharType="end"/>
            </w:r>
          </w:hyperlink>
        </w:p>
        <w:p w14:paraId="7E6F784E" w14:textId="1F272707" w:rsidR="00C94B75" w:rsidRDefault="00C94B75">
          <w:pPr>
            <w:pStyle w:val="TOC1"/>
            <w:rPr>
              <w:rFonts w:asciiTheme="minorHAnsi" w:eastAsiaTheme="minorEastAsia" w:hAnsiTheme="minorHAnsi" w:cstheme="minorBidi"/>
              <w:szCs w:val="22"/>
              <w:lang w:eastAsia="en-GB"/>
            </w:rPr>
          </w:pPr>
          <w:hyperlink w:anchor="_Toc93425301" w:history="1">
            <w:r w:rsidRPr="00ED497F">
              <w:rPr>
                <w:rStyle w:val="Hyperlink"/>
              </w:rPr>
              <w:t>Appendix – Obsolete action items from WTSA-12 Action Plan</w:t>
            </w:r>
            <w:r>
              <w:rPr>
                <w:webHidden/>
              </w:rPr>
              <w:tab/>
            </w:r>
            <w:r>
              <w:rPr>
                <w:webHidden/>
              </w:rPr>
              <w:fldChar w:fldCharType="begin"/>
            </w:r>
            <w:r>
              <w:rPr>
                <w:webHidden/>
              </w:rPr>
              <w:instrText xml:space="preserve"> PAGEREF _Toc93425301 \h </w:instrText>
            </w:r>
            <w:r>
              <w:rPr>
                <w:webHidden/>
              </w:rPr>
            </w:r>
            <w:r>
              <w:rPr>
                <w:webHidden/>
              </w:rPr>
              <w:fldChar w:fldCharType="separate"/>
            </w:r>
            <w:r>
              <w:rPr>
                <w:webHidden/>
              </w:rPr>
              <w:t>294</w:t>
            </w:r>
            <w:r>
              <w:rPr>
                <w:webHidden/>
              </w:rPr>
              <w:fldChar w:fldCharType="end"/>
            </w:r>
          </w:hyperlink>
        </w:p>
        <w:p w14:paraId="58AC80F2" w14:textId="15674AF0" w:rsidR="00F0236A" w:rsidRPr="00073574" w:rsidRDefault="00F0236A" w:rsidP="00F0236A">
          <w:pPr>
            <w:rPr>
              <w:b/>
              <w:bCs/>
            </w:rPr>
          </w:pPr>
          <w:r w:rsidRPr="00073574">
            <w:rPr>
              <w:b/>
              <w:bCs/>
              <w:color w:val="2B579A"/>
              <w:shd w:val="clear" w:color="auto" w:fill="E6E6E6"/>
            </w:rPr>
            <w:fldChar w:fldCharType="end"/>
          </w:r>
        </w:p>
      </w:sdtContent>
    </w:sdt>
    <w:p w14:paraId="6CDBB9EC" w14:textId="20955D65" w:rsidR="00F0236A" w:rsidRPr="00073574" w:rsidRDefault="00F0236A" w:rsidP="00F0236A">
      <w:pPr>
        <w:pStyle w:val="Heading1"/>
        <w:keepNext/>
        <w:pageBreakBefore/>
        <w:numPr>
          <w:ilvl w:val="0"/>
          <w:numId w:val="0"/>
        </w:numPr>
        <w:rPr>
          <w:lang w:val="en-GB"/>
        </w:rPr>
      </w:pPr>
      <w:bookmarkStart w:id="3" w:name="_Toc93425237"/>
      <w:r w:rsidRPr="00073574">
        <w:rPr>
          <w:lang w:val="en-GB"/>
        </w:rPr>
        <w:lastRenderedPageBreak/>
        <w:t>Section I - List of WTSA-16 Resolutions</w:t>
      </w:r>
      <w:bookmarkEnd w:id="1"/>
      <w:r w:rsidRPr="00073574">
        <w:rPr>
          <w:lang w:val="en-GB"/>
        </w:rPr>
        <w:t xml:space="preserve"> and Opinion, and executive summary of action plan for implementation of WTSA-16 Resolutions</w:t>
      </w:r>
      <w:bookmarkEnd w:id="2"/>
      <w:bookmarkEnd w:id="3"/>
    </w:p>
    <w:p w14:paraId="44789629" w14:textId="77777777" w:rsidR="00F0236A" w:rsidRPr="00073574" w:rsidRDefault="00F0236A" w:rsidP="00F0236A">
      <w:pPr>
        <w:pStyle w:val="TableNotitle"/>
      </w:pPr>
      <w:r w:rsidRPr="00073574">
        <w:t>Table 1</w:t>
      </w:r>
      <w:r w:rsidRPr="00073574">
        <w:br/>
        <w:t>List of WTSA-16 Resolutions and Opinion, and executive summary of action plan for implementation of WTSA-16 Resolutions</w:t>
      </w:r>
    </w:p>
    <w:tbl>
      <w:tblPr>
        <w:tblW w:w="1438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89"/>
        <w:gridCol w:w="1060"/>
        <w:gridCol w:w="945"/>
        <w:gridCol w:w="937"/>
        <w:gridCol w:w="1333"/>
        <w:gridCol w:w="901"/>
        <w:gridCol w:w="901"/>
        <w:gridCol w:w="841"/>
        <w:gridCol w:w="811"/>
        <w:gridCol w:w="806"/>
        <w:gridCol w:w="900"/>
        <w:gridCol w:w="1077"/>
        <w:gridCol w:w="781"/>
      </w:tblGrid>
      <w:tr w:rsidR="00F0236A" w:rsidRPr="00073574" w14:paraId="527608C7" w14:textId="77777777" w:rsidTr="7277BFE4">
        <w:trPr>
          <w:cantSplit/>
          <w:tblHeader/>
          <w:jc w:val="center"/>
        </w:trPr>
        <w:tc>
          <w:tcPr>
            <w:tcW w:w="3073" w:type="dxa"/>
            <w:vMerge w:val="restart"/>
            <w:tcBorders>
              <w:top w:val="single" w:sz="12" w:space="0" w:color="auto"/>
              <w:right w:val="single" w:sz="12" w:space="0" w:color="auto"/>
            </w:tcBorders>
            <w:shd w:val="clear" w:color="auto" w:fill="DAEEF3" w:themeFill="accent5" w:themeFillTint="33"/>
            <w:vAlign w:val="center"/>
          </w:tcPr>
          <w:p w14:paraId="61256D72" w14:textId="77777777" w:rsidR="00F0236A" w:rsidRPr="00073574" w:rsidRDefault="00F0236A" w:rsidP="00DF36E1">
            <w:pPr>
              <w:pStyle w:val="Tablehea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4" w:after="64"/>
            </w:pPr>
            <w:r w:rsidRPr="00073574">
              <w:t>Resolution - Title**</w:t>
            </w:r>
          </w:p>
        </w:tc>
        <w:tc>
          <w:tcPr>
            <w:tcW w:w="5080" w:type="dxa"/>
            <w:gridSpan w:val="5"/>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14:paraId="73E4A459" w14:textId="77777777" w:rsidR="00F0236A" w:rsidRPr="00073574" w:rsidRDefault="00F0236A" w:rsidP="00DF36E1">
            <w:pPr>
              <w:pStyle w:val="Tablehea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4" w:after="64"/>
            </w:pPr>
            <w:r w:rsidRPr="00073574">
              <w:t>Action by</w:t>
            </w:r>
          </w:p>
        </w:tc>
        <w:tc>
          <w:tcPr>
            <w:tcW w:w="2555" w:type="dxa"/>
            <w:gridSpan w:val="3"/>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14:paraId="2581E6CA" w14:textId="77777777" w:rsidR="00F0236A" w:rsidRPr="00073574" w:rsidRDefault="00F0236A" w:rsidP="00DF36E1">
            <w:pPr>
              <w:pStyle w:val="Tablehea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4" w:after="64"/>
            </w:pPr>
            <w:r w:rsidRPr="00073574">
              <w:t>Collaboration with</w:t>
            </w:r>
          </w:p>
        </w:tc>
        <w:tc>
          <w:tcPr>
            <w:tcW w:w="3674" w:type="dxa"/>
            <w:gridSpan w:val="4"/>
            <w:tcBorders>
              <w:top w:val="single" w:sz="12" w:space="0" w:color="auto"/>
              <w:left w:val="single" w:sz="12" w:space="0" w:color="auto"/>
              <w:bottom w:val="single" w:sz="12" w:space="0" w:color="auto"/>
            </w:tcBorders>
            <w:shd w:val="clear" w:color="auto" w:fill="DAEEF3" w:themeFill="accent5" w:themeFillTint="33"/>
            <w:vAlign w:val="center"/>
          </w:tcPr>
          <w:p w14:paraId="037FA1FD" w14:textId="77777777" w:rsidR="00F0236A" w:rsidRPr="00073574" w:rsidRDefault="00F0236A" w:rsidP="00DF36E1">
            <w:pPr>
              <w:pStyle w:val="Tablehea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4" w:after="64"/>
            </w:pPr>
            <w:r w:rsidRPr="00073574">
              <w:t>Report to</w:t>
            </w:r>
          </w:p>
        </w:tc>
      </w:tr>
      <w:tr w:rsidR="00F0236A" w:rsidRPr="00073574" w14:paraId="6FB83454" w14:textId="77777777" w:rsidTr="7277BFE4">
        <w:trPr>
          <w:cantSplit/>
          <w:tblHeader/>
          <w:jc w:val="center"/>
        </w:trPr>
        <w:tc>
          <w:tcPr>
            <w:tcW w:w="3073" w:type="dxa"/>
            <w:vMerge/>
          </w:tcPr>
          <w:p w14:paraId="153B9808" w14:textId="77777777" w:rsidR="00F0236A" w:rsidRPr="00073574" w:rsidRDefault="00F0236A" w:rsidP="00DF36E1">
            <w:pPr>
              <w:pStyle w:val="Tablehea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4" w:after="64"/>
            </w:pPr>
          </w:p>
        </w:tc>
        <w:tc>
          <w:tcPr>
            <w:tcW w:w="991" w:type="dxa"/>
            <w:tcBorders>
              <w:top w:val="single" w:sz="12" w:space="0" w:color="auto"/>
              <w:left w:val="single" w:sz="12" w:space="0" w:color="auto"/>
              <w:bottom w:val="single" w:sz="12" w:space="0" w:color="auto"/>
            </w:tcBorders>
            <w:shd w:val="clear" w:color="auto" w:fill="DAEEF3" w:themeFill="accent5" w:themeFillTint="33"/>
            <w:vAlign w:val="center"/>
          </w:tcPr>
          <w:p w14:paraId="2A44274D" w14:textId="77777777" w:rsidR="00F0236A" w:rsidRPr="00073574" w:rsidRDefault="00F0236A" w:rsidP="00DF36E1">
            <w:pPr>
              <w:pStyle w:val="Tablehea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4" w:after="64"/>
            </w:pPr>
            <w:r w:rsidRPr="00073574">
              <w:t>SGs</w:t>
            </w:r>
          </w:p>
        </w:tc>
        <w:tc>
          <w:tcPr>
            <w:tcW w:w="984" w:type="dxa"/>
            <w:tcBorders>
              <w:top w:val="single" w:sz="12" w:space="0" w:color="auto"/>
              <w:bottom w:val="single" w:sz="12" w:space="0" w:color="auto"/>
            </w:tcBorders>
            <w:shd w:val="clear" w:color="auto" w:fill="DAEEF3" w:themeFill="accent5" w:themeFillTint="33"/>
            <w:vAlign w:val="center"/>
          </w:tcPr>
          <w:p w14:paraId="13A477E3" w14:textId="77777777" w:rsidR="00F0236A" w:rsidRPr="00073574" w:rsidRDefault="00F0236A" w:rsidP="00DF36E1">
            <w:pPr>
              <w:pStyle w:val="Tablehea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4" w:after="64"/>
            </w:pPr>
            <w:r w:rsidRPr="00073574">
              <w:t>TSAG</w:t>
            </w:r>
          </w:p>
        </w:tc>
        <w:tc>
          <w:tcPr>
            <w:tcW w:w="894" w:type="dxa"/>
            <w:tcBorders>
              <w:top w:val="single" w:sz="12" w:space="0" w:color="auto"/>
              <w:bottom w:val="single" w:sz="12" w:space="0" w:color="auto"/>
            </w:tcBorders>
            <w:shd w:val="clear" w:color="auto" w:fill="DAEEF3" w:themeFill="accent5" w:themeFillTint="33"/>
            <w:vAlign w:val="center"/>
          </w:tcPr>
          <w:p w14:paraId="2797FACF" w14:textId="77777777" w:rsidR="00F0236A" w:rsidRPr="00073574" w:rsidRDefault="00F0236A" w:rsidP="00DF36E1">
            <w:pPr>
              <w:pStyle w:val="Tablehea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4" w:after="64"/>
            </w:pPr>
            <w:r w:rsidRPr="00073574">
              <w:t>TSB</w:t>
            </w:r>
          </w:p>
        </w:tc>
        <w:tc>
          <w:tcPr>
            <w:tcW w:w="1339" w:type="dxa"/>
            <w:tcBorders>
              <w:top w:val="single" w:sz="12" w:space="0" w:color="auto"/>
              <w:bottom w:val="single" w:sz="12" w:space="0" w:color="auto"/>
              <w:right w:val="single" w:sz="4" w:space="0" w:color="auto"/>
            </w:tcBorders>
            <w:shd w:val="clear" w:color="auto" w:fill="DAEEF3" w:themeFill="accent5" w:themeFillTint="33"/>
            <w:vAlign w:val="center"/>
          </w:tcPr>
          <w:p w14:paraId="0C7DABA6" w14:textId="77777777" w:rsidR="00F0236A" w:rsidRPr="00073574" w:rsidRDefault="00F0236A" w:rsidP="00DF36E1">
            <w:pPr>
              <w:pStyle w:val="Tablehea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4" w:after="64"/>
            </w:pPr>
            <w:r w:rsidRPr="00073574">
              <w:t>Membership</w:t>
            </w:r>
          </w:p>
        </w:tc>
        <w:tc>
          <w:tcPr>
            <w:tcW w:w="872" w:type="dxa"/>
            <w:tcBorders>
              <w:top w:val="single" w:sz="12" w:space="0" w:color="auto"/>
              <w:left w:val="single" w:sz="4" w:space="0" w:color="auto"/>
              <w:bottom w:val="single" w:sz="12" w:space="0" w:color="auto"/>
              <w:right w:val="single" w:sz="12" w:space="0" w:color="auto"/>
            </w:tcBorders>
            <w:shd w:val="clear" w:color="auto" w:fill="DAEEF3" w:themeFill="accent5" w:themeFillTint="33"/>
            <w:vAlign w:val="center"/>
          </w:tcPr>
          <w:p w14:paraId="4C2EA79E" w14:textId="77777777" w:rsidR="00F0236A" w:rsidRPr="00073574" w:rsidRDefault="00F0236A" w:rsidP="00DF36E1">
            <w:pPr>
              <w:pStyle w:val="Tablehea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4" w:after="64"/>
            </w:pPr>
            <w:r w:rsidRPr="00073574">
              <w:t>GenSec</w:t>
            </w:r>
          </w:p>
        </w:tc>
        <w:tc>
          <w:tcPr>
            <w:tcW w:w="872" w:type="dxa"/>
            <w:tcBorders>
              <w:top w:val="single" w:sz="12" w:space="0" w:color="auto"/>
              <w:left w:val="single" w:sz="12" w:space="0" w:color="auto"/>
              <w:bottom w:val="single" w:sz="12" w:space="0" w:color="auto"/>
            </w:tcBorders>
            <w:shd w:val="clear" w:color="auto" w:fill="DAEEF3" w:themeFill="accent5" w:themeFillTint="33"/>
            <w:vAlign w:val="center"/>
          </w:tcPr>
          <w:p w14:paraId="34E12799" w14:textId="77777777" w:rsidR="00F0236A" w:rsidRPr="00073574" w:rsidRDefault="00F0236A" w:rsidP="00DF36E1">
            <w:pPr>
              <w:pStyle w:val="Tablehea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4" w:after="64"/>
            </w:pPr>
            <w:r w:rsidRPr="00073574">
              <w:t>GenSec</w:t>
            </w:r>
          </w:p>
        </w:tc>
        <w:tc>
          <w:tcPr>
            <w:tcW w:w="844" w:type="dxa"/>
            <w:tcBorders>
              <w:top w:val="single" w:sz="12" w:space="0" w:color="auto"/>
              <w:bottom w:val="single" w:sz="12" w:space="0" w:color="auto"/>
            </w:tcBorders>
            <w:shd w:val="clear" w:color="auto" w:fill="DAEEF3" w:themeFill="accent5" w:themeFillTint="33"/>
            <w:vAlign w:val="center"/>
          </w:tcPr>
          <w:p w14:paraId="3CB8F232" w14:textId="77777777" w:rsidR="00F0236A" w:rsidRPr="00073574" w:rsidRDefault="00F0236A" w:rsidP="00DF36E1">
            <w:pPr>
              <w:pStyle w:val="Tablehea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4" w:after="64"/>
            </w:pPr>
            <w:r w:rsidRPr="00073574">
              <w:t>BDT</w:t>
            </w:r>
            <w:r w:rsidRPr="00073574">
              <w:br/>
              <w:t>ITU-D</w:t>
            </w:r>
          </w:p>
        </w:tc>
        <w:tc>
          <w:tcPr>
            <w:tcW w:w="839" w:type="dxa"/>
            <w:tcBorders>
              <w:top w:val="single" w:sz="12" w:space="0" w:color="auto"/>
              <w:bottom w:val="single" w:sz="12" w:space="0" w:color="auto"/>
              <w:right w:val="single" w:sz="12" w:space="0" w:color="auto"/>
            </w:tcBorders>
            <w:shd w:val="clear" w:color="auto" w:fill="DAEEF3" w:themeFill="accent5" w:themeFillTint="33"/>
            <w:vAlign w:val="center"/>
          </w:tcPr>
          <w:p w14:paraId="1E304B4C" w14:textId="77777777" w:rsidR="00F0236A" w:rsidRPr="00073574" w:rsidRDefault="00F0236A" w:rsidP="00DF36E1">
            <w:pPr>
              <w:pStyle w:val="Tablehea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4" w:after="64"/>
            </w:pPr>
            <w:r w:rsidRPr="00073574">
              <w:t>BR</w:t>
            </w:r>
            <w:r w:rsidRPr="00073574">
              <w:br/>
              <w:t>ITU-R</w:t>
            </w:r>
          </w:p>
        </w:tc>
        <w:tc>
          <w:tcPr>
            <w:tcW w:w="816" w:type="dxa"/>
            <w:tcBorders>
              <w:top w:val="single" w:sz="12" w:space="0" w:color="auto"/>
              <w:left w:val="single" w:sz="12" w:space="0" w:color="auto"/>
              <w:bottom w:val="single" w:sz="12" w:space="0" w:color="auto"/>
            </w:tcBorders>
            <w:shd w:val="clear" w:color="auto" w:fill="DAEEF3" w:themeFill="accent5" w:themeFillTint="33"/>
            <w:vAlign w:val="center"/>
          </w:tcPr>
          <w:p w14:paraId="3DC56200" w14:textId="77777777" w:rsidR="00F0236A" w:rsidRPr="00073574" w:rsidRDefault="00F0236A" w:rsidP="00DF36E1">
            <w:pPr>
              <w:pStyle w:val="Tablehea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4" w:after="64"/>
            </w:pPr>
            <w:r w:rsidRPr="00073574">
              <w:t>TSAG</w:t>
            </w:r>
          </w:p>
        </w:tc>
        <w:tc>
          <w:tcPr>
            <w:tcW w:w="904" w:type="dxa"/>
            <w:tcBorders>
              <w:top w:val="single" w:sz="12" w:space="0" w:color="auto"/>
              <w:bottom w:val="single" w:sz="12" w:space="0" w:color="auto"/>
            </w:tcBorders>
            <w:shd w:val="clear" w:color="auto" w:fill="DAEEF3" w:themeFill="accent5" w:themeFillTint="33"/>
            <w:vAlign w:val="center"/>
          </w:tcPr>
          <w:p w14:paraId="584D671A" w14:textId="77777777" w:rsidR="00F0236A" w:rsidRPr="00073574" w:rsidRDefault="00F0236A" w:rsidP="00DF36E1">
            <w:pPr>
              <w:pStyle w:val="Tablehea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4" w:after="64"/>
            </w:pPr>
            <w:r w:rsidRPr="00073574">
              <w:t>Council</w:t>
            </w:r>
          </w:p>
        </w:tc>
        <w:tc>
          <w:tcPr>
            <w:tcW w:w="1120" w:type="dxa"/>
            <w:tcBorders>
              <w:top w:val="single" w:sz="12" w:space="0" w:color="auto"/>
              <w:bottom w:val="single" w:sz="12" w:space="0" w:color="auto"/>
            </w:tcBorders>
            <w:shd w:val="clear" w:color="auto" w:fill="DAEEF3" w:themeFill="accent5" w:themeFillTint="33"/>
            <w:vAlign w:val="center"/>
          </w:tcPr>
          <w:p w14:paraId="2C7926C4" w14:textId="77777777" w:rsidR="00F0236A" w:rsidRPr="00073574" w:rsidRDefault="00F0236A" w:rsidP="00DF36E1">
            <w:pPr>
              <w:pStyle w:val="Tablehea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4" w:after="64"/>
            </w:pPr>
            <w:r w:rsidRPr="00073574">
              <w:t>WTSA-20</w:t>
            </w:r>
          </w:p>
        </w:tc>
        <w:tc>
          <w:tcPr>
            <w:tcW w:w="834" w:type="dxa"/>
            <w:tcBorders>
              <w:top w:val="single" w:sz="12" w:space="0" w:color="auto"/>
              <w:bottom w:val="single" w:sz="12" w:space="0" w:color="auto"/>
            </w:tcBorders>
            <w:shd w:val="clear" w:color="auto" w:fill="DAEEF3" w:themeFill="accent5" w:themeFillTint="33"/>
            <w:vAlign w:val="center"/>
          </w:tcPr>
          <w:p w14:paraId="3ED0EA45" w14:textId="77777777" w:rsidR="00F0236A" w:rsidRPr="00073574" w:rsidRDefault="00F0236A" w:rsidP="00DF36E1">
            <w:pPr>
              <w:pStyle w:val="Tablehea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4" w:after="64"/>
            </w:pPr>
            <w:r w:rsidRPr="00073574">
              <w:t>PP-18</w:t>
            </w:r>
          </w:p>
        </w:tc>
      </w:tr>
      <w:tr w:rsidR="00F0236A" w:rsidRPr="00073574" w14:paraId="423D83C6" w14:textId="77777777" w:rsidTr="7277BFE4">
        <w:trPr>
          <w:cantSplit/>
          <w:jc w:val="center"/>
        </w:trPr>
        <w:tc>
          <w:tcPr>
            <w:tcW w:w="3073" w:type="dxa"/>
            <w:tcBorders>
              <w:top w:val="single" w:sz="12" w:space="0" w:color="auto"/>
              <w:right w:val="single" w:sz="12" w:space="0" w:color="auto"/>
            </w:tcBorders>
            <w:shd w:val="clear" w:color="auto" w:fill="auto"/>
          </w:tcPr>
          <w:p w14:paraId="08BC5D80" w14:textId="77777777" w:rsidR="00F0236A" w:rsidRPr="00073574" w:rsidRDefault="0053741E"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hyperlink w:anchor="Resolution_01" w:history="1">
              <w:r w:rsidR="00F0236A" w:rsidRPr="00073574">
                <w:rPr>
                  <w:rStyle w:val="Hyperlink"/>
                </w:rPr>
                <w:t>Resolution 1</w:t>
              </w:r>
            </w:hyperlink>
            <w:r w:rsidR="00F0236A" w:rsidRPr="00073574">
              <w:t xml:space="preserve"> – Rules of procedure of the ITU Telecommunication Standardization Sector</w:t>
            </w:r>
          </w:p>
        </w:tc>
        <w:tc>
          <w:tcPr>
            <w:tcW w:w="991" w:type="dxa"/>
            <w:tcBorders>
              <w:top w:val="single" w:sz="12" w:space="0" w:color="auto"/>
              <w:left w:val="single" w:sz="12" w:space="0" w:color="auto"/>
            </w:tcBorders>
          </w:tcPr>
          <w:p w14:paraId="3D5BA907"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all</w:t>
            </w:r>
          </w:p>
        </w:tc>
        <w:tc>
          <w:tcPr>
            <w:tcW w:w="984" w:type="dxa"/>
            <w:tcBorders>
              <w:top w:val="single" w:sz="12" w:space="0" w:color="auto"/>
            </w:tcBorders>
          </w:tcPr>
          <w:p w14:paraId="00704DDC"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894" w:type="dxa"/>
            <w:tcBorders>
              <w:top w:val="single" w:sz="12" w:space="0" w:color="auto"/>
            </w:tcBorders>
          </w:tcPr>
          <w:p w14:paraId="6F679C01"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1339" w:type="dxa"/>
            <w:tcBorders>
              <w:top w:val="single" w:sz="12" w:space="0" w:color="auto"/>
              <w:right w:val="single" w:sz="4" w:space="0" w:color="auto"/>
            </w:tcBorders>
          </w:tcPr>
          <w:p w14:paraId="74D8BD36"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72" w:type="dxa"/>
            <w:tcBorders>
              <w:top w:val="single" w:sz="12" w:space="0" w:color="auto"/>
              <w:left w:val="single" w:sz="4" w:space="0" w:color="auto"/>
              <w:right w:val="single" w:sz="12" w:space="0" w:color="auto"/>
            </w:tcBorders>
          </w:tcPr>
          <w:p w14:paraId="39DFA6BF"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72" w:type="dxa"/>
            <w:tcBorders>
              <w:top w:val="single" w:sz="12" w:space="0" w:color="auto"/>
              <w:left w:val="single" w:sz="12" w:space="0" w:color="auto"/>
            </w:tcBorders>
          </w:tcPr>
          <w:p w14:paraId="540CB70A"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44" w:type="dxa"/>
            <w:tcBorders>
              <w:top w:val="single" w:sz="12" w:space="0" w:color="auto"/>
            </w:tcBorders>
          </w:tcPr>
          <w:p w14:paraId="06D6E9AE"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39" w:type="dxa"/>
            <w:tcBorders>
              <w:top w:val="single" w:sz="12" w:space="0" w:color="auto"/>
              <w:right w:val="single" w:sz="12" w:space="0" w:color="auto"/>
            </w:tcBorders>
          </w:tcPr>
          <w:p w14:paraId="7DCF7307"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16" w:type="dxa"/>
            <w:tcBorders>
              <w:top w:val="single" w:sz="12" w:space="0" w:color="auto"/>
              <w:left w:val="single" w:sz="12" w:space="0" w:color="auto"/>
            </w:tcBorders>
          </w:tcPr>
          <w:p w14:paraId="1A7CC3F0"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904" w:type="dxa"/>
            <w:tcBorders>
              <w:top w:val="single" w:sz="12" w:space="0" w:color="auto"/>
            </w:tcBorders>
          </w:tcPr>
          <w:p w14:paraId="3F759359"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1120" w:type="dxa"/>
            <w:tcBorders>
              <w:top w:val="single" w:sz="12" w:space="0" w:color="auto"/>
            </w:tcBorders>
          </w:tcPr>
          <w:p w14:paraId="1CA289E9"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834" w:type="dxa"/>
            <w:tcBorders>
              <w:top w:val="single" w:sz="12" w:space="0" w:color="auto"/>
            </w:tcBorders>
          </w:tcPr>
          <w:p w14:paraId="22917B8D"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r>
      <w:tr w:rsidR="00F0236A" w:rsidRPr="00073574" w14:paraId="5095DDB6" w14:textId="77777777" w:rsidTr="7277BFE4">
        <w:trPr>
          <w:cantSplit/>
          <w:jc w:val="center"/>
        </w:trPr>
        <w:tc>
          <w:tcPr>
            <w:tcW w:w="3073" w:type="dxa"/>
            <w:tcBorders>
              <w:right w:val="single" w:sz="12" w:space="0" w:color="auto"/>
            </w:tcBorders>
            <w:shd w:val="clear" w:color="auto" w:fill="auto"/>
          </w:tcPr>
          <w:p w14:paraId="4CF51B92" w14:textId="77777777" w:rsidR="00F0236A" w:rsidRPr="00073574" w:rsidRDefault="0053741E"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hyperlink w:anchor="Resolution_02" w:history="1">
              <w:r w:rsidR="00F0236A" w:rsidRPr="00073574">
                <w:rPr>
                  <w:rStyle w:val="Hyperlink"/>
                </w:rPr>
                <w:t>Resolution 2</w:t>
              </w:r>
            </w:hyperlink>
            <w:r w:rsidR="00F0236A" w:rsidRPr="00073574">
              <w:t xml:space="preserve"> – ITU Telecommunication Standardization Sector study group responsibility and mandates</w:t>
            </w:r>
          </w:p>
        </w:tc>
        <w:tc>
          <w:tcPr>
            <w:tcW w:w="991" w:type="dxa"/>
            <w:tcBorders>
              <w:left w:val="single" w:sz="12" w:space="0" w:color="auto"/>
            </w:tcBorders>
          </w:tcPr>
          <w:p w14:paraId="722F854E"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all</w:t>
            </w:r>
          </w:p>
        </w:tc>
        <w:tc>
          <w:tcPr>
            <w:tcW w:w="984" w:type="dxa"/>
          </w:tcPr>
          <w:p w14:paraId="2419F64D"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94" w:type="dxa"/>
          </w:tcPr>
          <w:p w14:paraId="130AB048"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1339" w:type="dxa"/>
            <w:tcBorders>
              <w:right w:val="single" w:sz="4" w:space="0" w:color="auto"/>
            </w:tcBorders>
          </w:tcPr>
          <w:p w14:paraId="1C197880"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72" w:type="dxa"/>
            <w:tcBorders>
              <w:left w:val="single" w:sz="4" w:space="0" w:color="auto"/>
              <w:right w:val="single" w:sz="12" w:space="0" w:color="auto"/>
            </w:tcBorders>
          </w:tcPr>
          <w:p w14:paraId="18307EC6"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72" w:type="dxa"/>
            <w:tcBorders>
              <w:left w:val="single" w:sz="12" w:space="0" w:color="auto"/>
            </w:tcBorders>
          </w:tcPr>
          <w:p w14:paraId="177C3538"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44" w:type="dxa"/>
          </w:tcPr>
          <w:p w14:paraId="13125D2B"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839" w:type="dxa"/>
            <w:tcBorders>
              <w:right w:val="single" w:sz="12" w:space="0" w:color="auto"/>
            </w:tcBorders>
          </w:tcPr>
          <w:p w14:paraId="428CFA76"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16" w:type="dxa"/>
            <w:tcBorders>
              <w:left w:val="single" w:sz="12" w:space="0" w:color="auto"/>
            </w:tcBorders>
          </w:tcPr>
          <w:p w14:paraId="3571516B"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904" w:type="dxa"/>
          </w:tcPr>
          <w:p w14:paraId="574D3376"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1120" w:type="dxa"/>
          </w:tcPr>
          <w:p w14:paraId="47BC1B8B"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34" w:type="dxa"/>
          </w:tcPr>
          <w:p w14:paraId="16798FFF"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r>
      <w:tr w:rsidR="00F0236A" w:rsidRPr="00073574" w14:paraId="53DC84B5" w14:textId="77777777" w:rsidTr="7277BFE4">
        <w:trPr>
          <w:cantSplit/>
          <w:jc w:val="center"/>
        </w:trPr>
        <w:tc>
          <w:tcPr>
            <w:tcW w:w="3073" w:type="dxa"/>
            <w:tcBorders>
              <w:right w:val="single" w:sz="12" w:space="0" w:color="auto"/>
            </w:tcBorders>
            <w:shd w:val="clear" w:color="auto" w:fill="auto"/>
          </w:tcPr>
          <w:p w14:paraId="2067722D" w14:textId="77777777" w:rsidR="00F0236A" w:rsidRPr="00073574" w:rsidRDefault="0053741E"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hyperlink w:anchor="Resolution_07" w:history="1">
              <w:r w:rsidR="00F0236A" w:rsidRPr="00073574">
                <w:rPr>
                  <w:rStyle w:val="Hyperlink"/>
                </w:rPr>
                <w:t>Resolution 7</w:t>
              </w:r>
            </w:hyperlink>
            <w:r w:rsidR="00F0236A" w:rsidRPr="00073574">
              <w:t xml:space="preserve"> – Collaboration with the International Organization for Standardization and the International Electrotechnical Commission</w:t>
            </w:r>
          </w:p>
        </w:tc>
        <w:tc>
          <w:tcPr>
            <w:tcW w:w="991" w:type="dxa"/>
            <w:tcBorders>
              <w:left w:val="single" w:sz="12" w:space="0" w:color="auto"/>
            </w:tcBorders>
          </w:tcPr>
          <w:p w14:paraId="3B93E0C5"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all</w:t>
            </w:r>
          </w:p>
        </w:tc>
        <w:tc>
          <w:tcPr>
            <w:tcW w:w="984" w:type="dxa"/>
          </w:tcPr>
          <w:p w14:paraId="3322B6CA"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894" w:type="dxa"/>
          </w:tcPr>
          <w:p w14:paraId="55CB3953"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1339" w:type="dxa"/>
            <w:tcBorders>
              <w:right w:val="single" w:sz="4" w:space="0" w:color="auto"/>
            </w:tcBorders>
          </w:tcPr>
          <w:p w14:paraId="70630C1A"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MSs</w:t>
            </w:r>
          </w:p>
        </w:tc>
        <w:tc>
          <w:tcPr>
            <w:tcW w:w="872" w:type="dxa"/>
            <w:tcBorders>
              <w:left w:val="single" w:sz="4" w:space="0" w:color="auto"/>
              <w:right w:val="single" w:sz="12" w:space="0" w:color="auto"/>
            </w:tcBorders>
          </w:tcPr>
          <w:p w14:paraId="22D43151"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72" w:type="dxa"/>
            <w:tcBorders>
              <w:left w:val="single" w:sz="12" w:space="0" w:color="auto"/>
            </w:tcBorders>
          </w:tcPr>
          <w:p w14:paraId="4174AB3F"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44" w:type="dxa"/>
          </w:tcPr>
          <w:p w14:paraId="33DA59EB"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39" w:type="dxa"/>
            <w:tcBorders>
              <w:right w:val="single" w:sz="12" w:space="0" w:color="auto"/>
            </w:tcBorders>
          </w:tcPr>
          <w:p w14:paraId="5AB85187"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16" w:type="dxa"/>
            <w:tcBorders>
              <w:left w:val="single" w:sz="12" w:space="0" w:color="auto"/>
            </w:tcBorders>
          </w:tcPr>
          <w:p w14:paraId="6C1C9AFB"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904" w:type="dxa"/>
          </w:tcPr>
          <w:p w14:paraId="20728174"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1120" w:type="dxa"/>
          </w:tcPr>
          <w:p w14:paraId="63DCF2C4"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34" w:type="dxa"/>
          </w:tcPr>
          <w:p w14:paraId="2E5A28D0"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r>
      <w:tr w:rsidR="00F0236A" w:rsidRPr="00073574" w14:paraId="04E8BB0B" w14:textId="77777777" w:rsidTr="7277BFE4">
        <w:trPr>
          <w:cantSplit/>
          <w:jc w:val="center"/>
        </w:trPr>
        <w:tc>
          <w:tcPr>
            <w:tcW w:w="3073" w:type="dxa"/>
            <w:tcBorders>
              <w:right w:val="single" w:sz="12" w:space="0" w:color="auto"/>
            </w:tcBorders>
            <w:shd w:val="clear" w:color="auto" w:fill="auto"/>
          </w:tcPr>
          <w:p w14:paraId="4DDC0917" w14:textId="77777777" w:rsidR="00F0236A" w:rsidRPr="00073574" w:rsidRDefault="0053741E"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hyperlink w:anchor="Resolution_11" w:history="1">
              <w:r w:rsidR="00F0236A" w:rsidRPr="00073574">
                <w:rPr>
                  <w:rStyle w:val="Hyperlink"/>
                </w:rPr>
                <w:t>Resolution 11</w:t>
              </w:r>
            </w:hyperlink>
            <w:r w:rsidR="00F0236A" w:rsidRPr="00073574">
              <w:t xml:space="preserve"> – Collaboration with the Postal Operations Council of the Universal Postal Union in the study of services concerning both the postal and the telecommunication sectors</w:t>
            </w:r>
          </w:p>
        </w:tc>
        <w:tc>
          <w:tcPr>
            <w:tcW w:w="991" w:type="dxa"/>
            <w:tcBorders>
              <w:left w:val="single" w:sz="12" w:space="0" w:color="auto"/>
            </w:tcBorders>
          </w:tcPr>
          <w:p w14:paraId="0D55A26E"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SG3, SG12, SG17</w:t>
            </w:r>
          </w:p>
        </w:tc>
        <w:tc>
          <w:tcPr>
            <w:tcW w:w="984" w:type="dxa"/>
          </w:tcPr>
          <w:p w14:paraId="29451F18"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94" w:type="dxa"/>
          </w:tcPr>
          <w:p w14:paraId="5BC699FC"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1339" w:type="dxa"/>
            <w:tcBorders>
              <w:right w:val="single" w:sz="4" w:space="0" w:color="auto"/>
            </w:tcBorders>
          </w:tcPr>
          <w:p w14:paraId="6D0E3036"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72" w:type="dxa"/>
            <w:tcBorders>
              <w:left w:val="single" w:sz="4" w:space="0" w:color="auto"/>
              <w:right w:val="single" w:sz="12" w:space="0" w:color="auto"/>
            </w:tcBorders>
          </w:tcPr>
          <w:p w14:paraId="545C7563"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72" w:type="dxa"/>
            <w:tcBorders>
              <w:left w:val="single" w:sz="12" w:space="0" w:color="auto"/>
            </w:tcBorders>
          </w:tcPr>
          <w:p w14:paraId="7A1034D9"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44" w:type="dxa"/>
          </w:tcPr>
          <w:p w14:paraId="5AC85986"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39" w:type="dxa"/>
            <w:tcBorders>
              <w:right w:val="single" w:sz="12" w:space="0" w:color="auto"/>
            </w:tcBorders>
          </w:tcPr>
          <w:p w14:paraId="531F4AB6"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16" w:type="dxa"/>
            <w:tcBorders>
              <w:left w:val="single" w:sz="12" w:space="0" w:color="auto"/>
            </w:tcBorders>
          </w:tcPr>
          <w:p w14:paraId="72820A92"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904" w:type="dxa"/>
          </w:tcPr>
          <w:p w14:paraId="01DC76CF"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1120" w:type="dxa"/>
          </w:tcPr>
          <w:p w14:paraId="01C688BE"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34" w:type="dxa"/>
          </w:tcPr>
          <w:p w14:paraId="38789494"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r>
      <w:tr w:rsidR="00F0236A" w:rsidRPr="00073574" w14:paraId="12C6EF65" w14:textId="77777777" w:rsidTr="7277BFE4">
        <w:trPr>
          <w:cantSplit/>
          <w:jc w:val="center"/>
        </w:trPr>
        <w:tc>
          <w:tcPr>
            <w:tcW w:w="3073" w:type="dxa"/>
            <w:tcBorders>
              <w:right w:val="single" w:sz="12" w:space="0" w:color="auto"/>
            </w:tcBorders>
            <w:shd w:val="clear" w:color="auto" w:fill="auto"/>
          </w:tcPr>
          <w:p w14:paraId="6F5C598E" w14:textId="77777777" w:rsidR="00F0236A" w:rsidRPr="00073574" w:rsidRDefault="0053741E"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hyperlink w:anchor="Resolution_18" w:history="1">
              <w:r w:rsidR="00F0236A" w:rsidRPr="00073574">
                <w:rPr>
                  <w:rStyle w:val="Hyperlink"/>
                </w:rPr>
                <w:t>Resolution 18</w:t>
              </w:r>
            </w:hyperlink>
            <w:r w:rsidR="00F0236A" w:rsidRPr="00073574">
              <w:t xml:space="preserve"> – Principles and procedures for the allocation of work to, and strengthening coordination and cooperation among, the ITU Radiocommunication, ITU Telecommunication Standardization and ITU Telecommunication Development Sectors</w:t>
            </w:r>
          </w:p>
        </w:tc>
        <w:tc>
          <w:tcPr>
            <w:tcW w:w="991" w:type="dxa"/>
            <w:tcBorders>
              <w:left w:val="single" w:sz="12" w:space="0" w:color="auto"/>
            </w:tcBorders>
          </w:tcPr>
          <w:p w14:paraId="44E47E25"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All SGs</w:t>
            </w:r>
          </w:p>
        </w:tc>
        <w:tc>
          <w:tcPr>
            <w:tcW w:w="984" w:type="dxa"/>
          </w:tcPr>
          <w:p w14:paraId="0CC8181A"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894" w:type="dxa"/>
          </w:tcPr>
          <w:p w14:paraId="73515BEF"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1339" w:type="dxa"/>
            <w:tcBorders>
              <w:right w:val="single" w:sz="4" w:space="0" w:color="auto"/>
            </w:tcBorders>
          </w:tcPr>
          <w:p w14:paraId="1340CC66"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72" w:type="dxa"/>
            <w:tcBorders>
              <w:left w:val="single" w:sz="4" w:space="0" w:color="auto"/>
              <w:right w:val="single" w:sz="12" w:space="0" w:color="auto"/>
            </w:tcBorders>
          </w:tcPr>
          <w:p w14:paraId="37EE202D"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72" w:type="dxa"/>
            <w:tcBorders>
              <w:left w:val="single" w:sz="12" w:space="0" w:color="auto"/>
            </w:tcBorders>
          </w:tcPr>
          <w:p w14:paraId="45551DE3"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44" w:type="dxa"/>
          </w:tcPr>
          <w:p w14:paraId="6D686880"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p w14:paraId="597DEAF0"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TDAG</w:t>
            </w:r>
          </w:p>
        </w:tc>
        <w:tc>
          <w:tcPr>
            <w:tcW w:w="839" w:type="dxa"/>
            <w:tcBorders>
              <w:right w:val="single" w:sz="12" w:space="0" w:color="auto"/>
            </w:tcBorders>
          </w:tcPr>
          <w:p w14:paraId="4EAADD84"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p w14:paraId="0C00F31D"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RAG</w:t>
            </w:r>
          </w:p>
        </w:tc>
        <w:tc>
          <w:tcPr>
            <w:tcW w:w="816" w:type="dxa"/>
            <w:tcBorders>
              <w:left w:val="single" w:sz="12" w:space="0" w:color="auto"/>
            </w:tcBorders>
          </w:tcPr>
          <w:p w14:paraId="1B7B5111"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p w14:paraId="64E1AF1F"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ISCG</w:t>
            </w:r>
          </w:p>
          <w:p w14:paraId="41083013" w14:textId="441A86C5"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ISC</w:t>
            </w:r>
            <w:r w:rsidR="00EC0AE4" w:rsidRPr="00073574">
              <w:t>-</w:t>
            </w:r>
            <w:r w:rsidRPr="00073574">
              <w:t>TF</w:t>
            </w:r>
          </w:p>
        </w:tc>
        <w:tc>
          <w:tcPr>
            <w:tcW w:w="904" w:type="dxa"/>
          </w:tcPr>
          <w:p w14:paraId="72290D62"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1120" w:type="dxa"/>
          </w:tcPr>
          <w:p w14:paraId="2BF3698E"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34" w:type="dxa"/>
          </w:tcPr>
          <w:p w14:paraId="3425374A"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r>
      <w:tr w:rsidR="00F0236A" w:rsidRPr="00073574" w14:paraId="183BCE5F" w14:textId="77777777" w:rsidTr="7277BFE4">
        <w:trPr>
          <w:cantSplit/>
          <w:jc w:val="center"/>
        </w:trPr>
        <w:tc>
          <w:tcPr>
            <w:tcW w:w="3073" w:type="dxa"/>
            <w:tcBorders>
              <w:right w:val="single" w:sz="12" w:space="0" w:color="auto"/>
            </w:tcBorders>
            <w:shd w:val="clear" w:color="auto" w:fill="auto"/>
          </w:tcPr>
          <w:p w14:paraId="74DAC38A" w14:textId="77777777" w:rsidR="00F0236A" w:rsidRPr="00073574" w:rsidRDefault="0053741E"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hyperlink w:anchor="Resolution_20" w:history="1">
              <w:r w:rsidR="00F0236A" w:rsidRPr="00073574">
                <w:rPr>
                  <w:rStyle w:val="Hyperlink"/>
                </w:rPr>
                <w:t>Resolution 20</w:t>
              </w:r>
            </w:hyperlink>
            <w:r w:rsidR="00F0236A" w:rsidRPr="00073574">
              <w:t xml:space="preserve"> – Procedures for allocation and management of international telecommunication numbering, naming, addressing and identification resources</w:t>
            </w:r>
          </w:p>
        </w:tc>
        <w:tc>
          <w:tcPr>
            <w:tcW w:w="991" w:type="dxa"/>
            <w:tcBorders>
              <w:left w:val="single" w:sz="12" w:space="0" w:color="auto"/>
            </w:tcBorders>
          </w:tcPr>
          <w:p w14:paraId="078C7AC6"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SG2</w:t>
            </w:r>
          </w:p>
        </w:tc>
        <w:tc>
          <w:tcPr>
            <w:tcW w:w="984" w:type="dxa"/>
          </w:tcPr>
          <w:p w14:paraId="334EB84D"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94" w:type="dxa"/>
          </w:tcPr>
          <w:p w14:paraId="6E01288D"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1339" w:type="dxa"/>
            <w:tcBorders>
              <w:right w:val="single" w:sz="4" w:space="0" w:color="auto"/>
            </w:tcBorders>
          </w:tcPr>
          <w:p w14:paraId="3D7DAD79"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72" w:type="dxa"/>
            <w:tcBorders>
              <w:left w:val="single" w:sz="4" w:space="0" w:color="auto"/>
              <w:right w:val="single" w:sz="12" w:space="0" w:color="auto"/>
            </w:tcBorders>
          </w:tcPr>
          <w:p w14:paraId="1974C55D"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72" w:type="dxa"/>
            <w:tcBorders>
              <w:left w:val="single" w:sz="12" w:space="0" w:color="auto"/>
            </w:tcBorders>
          </w:tcPr>
          <w:p w14:paraId="2FC4426C"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44" w:type="dxa"/>
          </w:tcPr>
          <w:p w14:paraId="17350792"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39" w:type="dxa"/>
            <w:tcBorders>
              <w:right w:val="single" w:sz="12" w:space="0" w:color="auto"/>
            </w:tcBorders>
          </w:tcPr>
          <w:p w14:paraId="687039D0"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16" w:type="dxa"/>
            <w:tcBorders>
              <w:left w:val="single" w:sz="12" w:space="0" w:color="auto"/>
            </w:tcBorders>
          </w:tcPr>
          <w:p w14:paraId="3466CF3C"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904" w:type="dxa"/>
          </w:tcPr>
          <w:p w14:paraId="6728EF23"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1120" w:type="dxa"/>
          </w:tcPr>
          <w:p w14:paraId="286AF05A"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34" w:type="dxa"/>
          </w:tcPr>
          <w:p w14:paraId="29936FFC"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r>
      <w:tr w:rsidR="00F0236A" w:rsidRPr="00073574" w14:paraId="5537219F" w14:textId="77777777" w:rsidTr="7277BFE4">
        <w:trPr>
          <w:cantSplit/>
          <w:jc w:val="center"/>
        </w:trPr>
        <w:tc>
          <w:tcPr>
            <w:tcW w:w="3073" w:type="dxa"/>
            <w:tcBorders>
              <w:right w:val="single" w:sz="12" w:space="0" w:color="auto"/>
            </w:tcBorders>
            <w:shd w:val="clear" w:color="auto" w:fill="auto"/>
          </w:tcPr>
          <w:p w14:paraId="4968D25A" w14:textId="77777777" w:rsidR="00F0236A" w:rsidRPr="00073574" w:rsidRDefault="0053741E"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hyperlink w:anchor="Resolution_22" w:history="1">
              <w:r w:rsidR="00F0236A" w:rsidRPr="00073574">
                <w:rPr>
                  <w:rStyle w:val="Hyperlink"/>
                </w:rPr>
                <w:t>Resolution 22</w:t>
              </w:r>
            </w:hyperlink>
            <w:r w:rsidR="00F0236A" w:rsidRPr="00073574">
              <w:t xml:space="preserve"> – Authorization for Telecommunication Standardization Advisory Group to act between world telecommunication standardization assemblies</w:t>
            </w:r>
          </w:p>
        </w:tc>
        <w:tc>
          <w:tcPr>
            <w:tcW w:w="991" w:type="dxa"/>
            <w:tcBorders>
              <w:left w:val="single" w:sz="12" w:space="0" w:color="auto"/>
            </w:tcBorders>
          </w:tcPr>
          <w:p w14:paraId="555A973E"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984" w:type="dxa"/>
          </w:tcPr>
          <w:p w14:paraId="0F69097B"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894" w:type="dxa"/>
          </w:tcPr>
          <w:p w14:paraId="4B9D72FF"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1339" w:type="dxa"/>
            <w:tcBorders>
              <w:right w:val="single" w:sz="4" w:space="0" w:color="auto"/>
            </w:tcBorders>
          </w:tcPr>
          <w:p w14:paraId="72518D21"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72" w:type="dxa"/>
            <w:tcBorders>
              <w:left w:val="single" w:sz="4" w:space="0" w:color="auto"/>
              <w:right w:val="single" w:sz="12" w:space="0" w:color="auto"/>
            </w:tcBorders>
          </w:tcPr>
          <w:p w14:paraId="3DA02BCA"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72" w:type="dxa"/>
            <w:tcBorders>
              <w:left w:val="single" w:sz="12" w:space="0" w:color="auto"/>
            </w:tcBorders>
          </w:tcPr>
          <w:p w14:paraId="44BCC783"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44" w:type="dxa"/>
          </w:tcPr>
          <w:p w14:paraId="193ED258"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39" w:type="dxa"/>
            <w:tcBorders>
              <w:right w:val="single" w:sz="12" w:space="0" w:color="auto"/>
            </w:tcBorders>
          </w:tcPr>
          <w:p w14:paraId="1A184713"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16" w:type="dxa"/>
            <w:tcBorders>
              <w:left w:val="single" w:sz="12" w:space="0" w:color="auto"/>
            </w:tcBorders>
          </w:tcPr>
          <w:p w14:paraId="306B53DC"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904" w:type="dxa"/>
          </w:tcPr>
          <w:p w14:paraId="207CDBFE"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1120" w:type="dxa"/>
          </w:tcPr>
          <w:p w14:paraId="7110542C"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834" w:type="dxa"/>
          </w:tcPr>
          <w:p w14:paraId="1A79FEF8"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r>
      <w:tr w:rsidR="00F0236A" w:rsidRPr="00073574" w14:paraId="391FDB9A" w14:textId="77777777" w:rsidTr="7277BFE4">
        <w:trPr>
          <w:cantSplit/>
          <w:jc w:val="center"/>
        </w:trPr>
        <w:tc>
          <w:tcPr>
            <w:tcW w:w="3073" w:type="dxa"/>
            <w:tcBorders>
              <w:right w:val="single" w:sz="12" w:space="0" w:color="auto"/>
            </w:tcBorders>
            <w:shd w:val="clear" w:color="auto" w:fill="auto"/>
          </w:tcPr>
          <w:p w14:paraId="3F11AD13" w14:textId="77777777" w:rsidR="00F0236A" w:rsidRPr="00073574" w:rsidRDefault="0053741E"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hyperlink w:anchor="Resolution_29" w:history="1">
              <w:r w:rsidR="00F0236A" w:rsidRPr="00073574">
                <w:rPr>
                  <w:rStyle w:val="Hyperlink"/>
                </w:rPr>
                <w:t>Resolution 29</w:t>
              </w:r>
            </w:hyperlink>
            <w:r w:rsidR="00F0236A" w:rsidRPr="00073574">
              <w:t xml:space="preserve"> – Alternative calling procedures on international telecommunication networks</w:t>
            </w:r>
          </w:p>
        </w:tc>
        <w:tc>
          <w:tcPr>
            <w:tcW w:w="991" w:type="dxa"/>
            <w:tcBorders>
              <w:left w:val="single" w:sz="12" w:space="0" w:color="auto"/>
            </w:tcBorders>
          </w:tcPr>
          <w:p w14:paraId="2429835A"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SG2, SG3, SG12</w:t>
            </w:r>
          </w:p>
        </w:tc>
        <w:tc>
          <w:tcPr>
            <w:tcW w:w="984" w:type="dxa"/>
          </w:tcPr>
          <w:p w14:paraId="67A0D82D"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94" w:type="dxa"/>
          </w:tcPr>
          <w:p w14:paraId="2092374D"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1339" w:type="dxa"/>
            <w:tcBorders>
              <w:right w:val="single" w:sz="4" w:space="0" w:color="auto"/>
            </w:tcBorders>
          </w:tcPr>
          <w:p w14:paraId="24604F9A"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MSs</w:t>
            </w:r>
          </w:p>
        </w:tc>
        <w:tc>
          <w:tcPr>
            <w:tcW w:w="872" w:type="dxa"/>
            <w:tcBorders>
              <w:left w:val="single" w:sz="4" w:space="0" w:color="auto"/>
              <w:right w:val="single" w:sz="12" w:space="0" w:color="auto"/>
            </w:tcBorders>
          </w:tcPr>
          <w:p w14:paraId="1DDA9D7D"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72" w:type="dxa"/>
            <w:tcBorders>
              <w:left w:val="single" w:sz="12" w:space="0" w:color="auto"/>
            </w:tcBorders>
          </w:tcPr>
          <w:p w14:paraId="66D89661"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44" w:type="dxa"/>
          </w:tcPr>
          <w:p w14:paraId="1E0DFC81"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839" w:type="dxa"/>
            <w:tcBorders>
              <w:right w:val="single" w:sz="12" w:space="0" w:color="auto"/>
            </w:tcBorders>
          </w:tcPr>
          <w:p w14:paraId="199C9E9B"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16" w:type="dxa"/>
            <w:tcBorders>
              <w:left w:val="single" w:sz="12" w:space="0" w:color="auto"/>
            </w:tcBorders>
          </w:tcPr>
          <w:p w14:paraId="287D6D90"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904" w:type="dxa"/>
          </w:tcPr>
          <w:p w14:paraId="6EE0EB33"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1120" w:type="dxa"/>
          </w:tcPr>
          <w:p w14:paraId="45AC0514"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34" w:type="dxa"/>
          </w:tcPr>
          <w:p w14:paraId="734BAC5A"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r>
      <w:tr w:rsidR="00F0236A" w:rsidRPr="00073574" w14:paraId="011ED545" w14:textId="77777777" w:rsidTr="7277BFE4">
        <w:trPr>
          <w:cantSplit/>
          <w:jc w:val="center"/>
        </w:trPr>
        <w:tc>
          <w:tcPr>
            <w:tcW w:w="3073" w:type="dxa"/>
            <w:tcBorders>
              <w:right w:val="single" w:sz="12" w:space="0" w:color="auto"/>
            </w:tcBorders>
            <w:shd w:val="clear" w:color="auto" w:fill="auto"/>
          </w:tcPr>
          <w:p w14:paraId="163873CC" w14:textId="77777777" w:rsidR="00F0236A" w:rsidRPr="00073574" w:rsidRDefault="0053741E"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hyperlink w:anchor="Resolution_31" w:history="1">
              <w:r w:rsidR="00F0236A" w:rsidRPr="00073574">
                <w:rPr>
                  <w:rStyle w:val="Hyperlink"/>
                </w:rPr>
                <w:t>Resolution 31</w:t>
              </w:r>
            </w:hyperlink>
            <w:r w:rsidR="00F0236A" w:rsidRPr="00073574">
              <w:t xml:space="preserve"> – Admission of entities or organizations to participate as Associates in the work of the ITU Telecommunication Standardization Sector</w:t>
            </w:r>
          </w:p>
        </w:tc>
        <w:tc>
          <w:tcPr>
            <w:tcW w:w="991" w:type="dxa"/>
            <w:tcBorders>
              <w:left w:val="single" w:sz="12" w:space="0" w:color="auto"/>
            </w:tcBorders>
          </w:tcPr>
          <w:p w14:paraId="0EBF0C37"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984" w:type="dxa"/>
          </w:tcPr>
          <w:p w14:paraId="524448CF"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94" w:type="dxa"/>
          </w:tcPr>
          <w:p w14:paraId="20AA1B32"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1339" w:type="dxa"/>
            <w:tcBorders>
              <w:right w:val="single" w:sz="4" w:space="0" w:color="auto"/>
            </w:tcBorders>
          </w:tcPr>
          <w:p w14:paraId="38E21984"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72" w:type="dxa"/>
            <w:tcBorders>
              <w:left w:val="single" w:sz="4" w:space="0" w:color="auto"/>
              <w:right w:val="single" w:sz="12" w:space="0" w:color="auto"/>
            </w:tcBorders>
          </w:tcPr>
          <w:p w14:paraId="54F9BA50"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72" w:type="dxa"/>
            <w:tcBorders>
              <w:left w:val="single" w:sz="12" w:space="0" w:color="auto"/>
            </w:tcBorders>
          </w:tcPr>
          <w:p w14:paraId="0B6D7558"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44" w:type="dxa"/>
          </w:tcPr>
          <w:p w14:paraId="013B6220"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39" w:type="dxa"/>
            <w:tcBorders>
              <w:right w:val="single" w:sz="12" w:space="0" w:color="auto"/>
            </w:tcBorders>
          </w:tcPr>
          <w:p w14:paraId="5E301F18"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16" w:type="dxa"/>
            <w:tcBorders>
              <w:left w:val="single" w:sz="12" w:space="0" w:color="auto"/>
            </w:tcBorders>
          </w:tcPr>
          <w:p w14:paraId="7725C1C5"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904" w:type="dxa"/>
          </w:tcPr>
          <w:p w14:paraId="7E879700"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1120" w:type="dxa"/>
          </w:tcPr>
          <w:p w14:paraId="32B8E5B2"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34" w:type="dxa"/>
          </w:tcPr>
          <w:p w14:paraId="7A509987"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r>
      <w:tr w:rsidR="00F0236A" w:rsidRPr="00073574" w14:paraId="11A216BE" w14:textId="77777777" w:rsidTr="7277BFE4">
        <w:trPr>
          <w:cantSplit/>
          <w:jc w:val="center"/>
        </w:trPr>
        <w:tc>
          <w:tcPr>
            <w:tcW w:w="3073" w:type="dxa"/>
            <w:tcBorders>
              <w:right w:val="single" w:sz="12" w:space="0" w:color="auto"/>
            </w:tcBorders>
            <w:shd w:val="clear" w:color="auto" w:fill="auto"/>
          </w:tcPr>
          <w:p w14:paraId="16E86A0C" w14:textId="77777777" w:rsidR="00F0236A" w:rsidRPr="00073574" w:rsidRDefault="0053741E"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hyperlink w:anchor="Resolution_32" w:history="1">
              <w:r w:rsidR="00F0236A" w:rsidRPr="00073574">
                <w:rPr>
                  <w:rStyle w:val="Hyperlink"/>
                </w:rPr>
                <w:t>Resolution 32</w:t>
              </w:r>
            </w:hyperlink>
            <w:r w:rsidR="00F0236A" w:rsidRPr="00073574">
              <w:t xml:space="preserve"> – Strengthening electronic working methods for the work of the ITU Telecommunication Standardization Sector</w:t>
            </w:r>
          </w:p>
        </w:tc>
        <w:tc>
          <w:tcPr>
            <w:tcW w:w="991" w:type="dxa"/>
            <w:tcBorders>
              <w:left w:val="single" w:sz="12" w:space="0" w:color="auto"/>
            </w:tcBorders>
          </w:tcPr>
          <w:p w14:paraId="6D3907C1"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984" w:type="dxa"/>
          </w:tcPr>
          <w:p w14:paraId="3FEB61B3"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894" w:type="dxa"/>
          </w:tcPr>
          <w:p w14:paraId="440FE585"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1339" w:type="dxa"/>
            <w:tcBorders>
              <w:right w:val="single" w:sz="4" w:space="0" w:color="auto"/>
            </w:tcBorders>
          </w:tcPr>
          <w:p w14:paraId="30E502D3"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72" w:type="dxa"/>
            <w:tcBorders>
              <w:left w:val="single" w:sz="4" w:space="0" w:color="auto"/>
              <w:right w:val="single" w:sz="12" w:space="0" w:color="auto"/>
            </w:tcBorders>
          </w:tcPr>
          <w:p w14:paraId="5CAA1485"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72" w:type="dxa"/>
            <w:tcBorders>
              <w:left w:val="single" w:sz="12" w:space="0" w:color="auto"/>
            </w:tcBorders>
          </w:tcPr>
          <w:p w14:paraId="03E2112E"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44" w:type="dxa"/>
          </w:tcPr>
          <w:p w14:paraId="12B9C38B"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839" w:type="dxa"/>
            <w:tcBorders>
              <w:right w:val="single" w:sz="12" w:space="0" w:color="auto"/>
            </w:tcBorders>
          </w:tcPr>
          <w:p w14:paraId="7B8F56F4"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16" w:type="dxa"/>
            <w:tcBorders>
              <w:left w:val="single" w:sz="12" w:space="0" w:color="auto"/>
            </w:tcBorders>
          </w:tcPr>
          <w:p w14:paraId="4507B5F7"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904" w:type="dxa"/>
          </w:tcPr>
          <w:p w14:paraId="53DCB127"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1120" w:type="dxa"/>
          </w:tcPr>
          <w:p w14:paraId="5484F8A3"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34" w:type="dxa"/>
          </w:tcPr>
          <w:p w14:paraId="0C436C65"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r>
      <w:tr w:rsidR="00F0236A" w:rsidRPr="00073574" w14:paraId="40D6F757" w14:textId="77777777" w:rsidTr="7277BFE4">
        <w:trPr>
          <w:cantSplit/>
          <w:jc w:val="center"/>
        </w:trPr>
        <w:tc>
          <w:tcPr>
            <w:tcW w:w="3073" w:type="dxa"/>
            <w:tcBorders>
              <w:right w:val="single" w:sz="12" w:space="0" w:color="auto"/>
            </w:tcBorders>
            <w:shd w:val="clear" w:color="auto" w:fill="auto"/>
          </w:tcPr>
          <w:p w14:paraId="124F2568" w14:textId="77777777" w:rsidR="00F0236A" w:rsidRPr="00073574" w:rsidRDefault="0053741E"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hyperlink w:anchor="Resolution_34" w:history="1">
              <w:r w:rsidR="00F0236A" w:rsidRPr="00073574">
                <w:rPr>
                  <w:rStyle w:val="Hyperlink"/>
                </w:rPr>
                <w:t>Resolution 34</w:t>
              </w:r>
            </w:hyperlink>
            <w:r w:rsidR="00F0236A" w:rsidRPr="00073574">
              <w:t xml:space="preserve"> – Voluntary contributions</w:t>
            </w:r>
          </w:p>
        </w:tc>
        <w:tc>
          <w:tcPr>
            <w:tcW w:w="991" w:type="dxa"/>
            <w:tcBorders>
              <w:left w:val="single" w:sz="12" w:space="0" w:color="auto"/>
            </w:tcBorders>
          </w:tcPr>
          <w:p w14:paraId="015ACAF8"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984" w:type="dxa"/>
          </w:tcPr>
          <w:p w14:paraId="13294AD0"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94" w:type="dxa"/>
          </w:tcPr>
          <w:p w14:paraId="3227C250"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1339" w:type="dxa"/>
            <w:tcBorders>
              <w:right w:val="single" w:sz="4" w:space="0" w:color="auto"/>
            </w:tcBorders>
          </w:tcPr>
          <w:p w14:paraId="3A56579C"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MSs, SMs, Associates</w:t>
            </w:r>
          </w:p>
        </w:tc>
        <w:tc>
          <w:tcPr>
            <w:tcW w:w="872" w:type="dxa"/>
            <w:tcBorders>
              <w:left w:val="single" w:sz="4" w:space="0" w:color="auto"/>
              <w:right w:val="single" w:sz="12" w:space="0" w:color="auto"/>
            </w:tcBorders>
          </w:tcPr>
          <w:p w14:paraId="1D6BC404"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72" w:type="dxa"/>
            <w:tcBorders>
              <w:left w:val="single" w:sz="12" w:space="0" w:color="auto"/>
            </w:tcBorders>
          </w:tcPr>
          <w:p w14:paraId="4A4BA26C"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44" w:type="dxa"/>
          </w:tcPr>
          <w:p w14:paraId="52A2E253"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39" w:type="dxa"/>
            <w:tcBorders>
              <w:right w:val="single" w:sz="12" w:space="0" w:color="auto"/>
            </w:tcBorders>
          </w:tcPr>
          <w:p w14:paraId="4DD162DE"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16" w:type="dxa"/>
            <w:tcBorders>
              <w:left w:val="single" w:sz="12" w:space="0" w:color="auto"/>
            </w:tcBorders>
          </w:tcPr>
          <w:p w14:paraId="74CABAE2"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904" w:type="dxa"/>
          </w:tcPr>
          <w:p w14:paraId="207060F2"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1120" w:type="dxa"/>
          </w:tcPr>
          <w:p w14:paraId="1243ECAC"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34" w:type="dxa"/>
          </w:tcPr>
          <w:p w14:paraId="52DB4445"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r>
      <w:tr w:rsidR="00F0236A" w:rsidRPr="00073574" w14:paraId="4CC1AA9D" w14:textId="77777777" w:rsidTr="7277BFE4">
        <w:trPr>
          <w:cantSplit/>
          <w:jc w:val="center"/>
        </w:trPr>
        <w:tc>
          <w:tcPr>
            <w:tcW w:w="3073" w:type="dxa"/>
            <w:tcBorders>
              <w:right w:val="single" w:sz="12" w:space="0" w:color="auto"/>
            </w:tcBorders>
            <w:shd w:val="clear" w:color="auto" w:fill="auto"/>
          </w:tcPr>
          <w:p w14:paraId="11DB8A24" w14:textId="77777777" w:rsidR="00F0236A" w:rsidRPr="00073574" w:rsidRDefault="0053741E"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hyperlink w:anchor="Resolution_35" w:history="1">
              <w:r w:rsidR="00F0236A" w:rsidRPr="00073574">
                <w:rPr>
                  <w:rStyle w:val="Hyperlink"/>
                </w:rPr>
                <w:t>Resolution 35</w:t>
              </w:r>
            </w:hyperlink>
            <w:r w:rsidR="00F0236A" w:rsidRPr="00073574">
              <w:t xml:space="preserve"> – Appointment and maximum term of office for chairmen and vice-chairmen of study groups of the Telecommunication Standardization Sector and of Telecommunication Standardization Advisory Group</w:t>
            </w:r>
          </w:p>
        </w:tc>
        <w:tc>
          <w:tcPr>
            <w:tcW w:w="991" w:type="dxa"/>
            <w:tcBorders>
              <w:left w:val="single" w:sz="12" w:space="0" w:color="auto"/>
            </w:tcBorders>
          </w:tcPr>
          <w:p w14:paraId="2E4F5022"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984" w:type="dxa"/>
          </w:tcPr>
          <w:p w14:paraId="33C20603"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94" w:type="dxa"/>
          </w:tcPr>
          <w:p w14:paraId="356D7CE1"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1339" w:type="dxa"/>
            <w:tcBorders>
              <w:right w:val="single" w:sz="4" w:space="0" w:color="auto"/>
            </w:tcBorders>
          </w:tcPr>
          <w:p w14:paraId="445C8AC5"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MSs, SMs</w:t>
            </w:r>
          </w:p>
        </w:tc>
        <w:tc>
          <w:tcPr>
            <w:tcW w:w="872" w:type="dxa"/>
            <w:tcBorders>
              <w:left w:val="single" w:sz="4" w:space="0" w:color="auto"/>
              <w:right w:val="single" w:sz="12" w:space="0" w:color="auto"/>
            </w:tcBorders>
          </w:tcPr>
          <w:p w14:paraId="2D4488E6"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72" w:type="dxa"/>
            <w:tcBorders>
              <w:left w:val="single" w:sz="12" w:space="0" w:color="auto"/>
            </w:tcBorders>
          </w:tcPr>
          <w:p w14:paraId="3944B785"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44" w:type="dxa"/>
          </w:tcPr>
          <w:p w14:paraId="1C414C99"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39" w:type="dxa"/>
            <w:tcBorders>
              <w:right w:val="single" w:sz="12" w:space="0" w:color="auto"/>
            </w:tcBorders>
          </w:tcPr>
          <w:p w14:paraId="102456E9"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16" w:type="dxa"/>
            <w:tcBorders>
              <w:left w:val="single" w:sz="12" w:space="0" w:color="auto"/>
            </w:tcBorders>
          </w:tcPr>
          <w:p w14:paraId="5D26ED81"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904" w:type="dxa"/>
          </w:tcPr>
          <w:p w14:paraId="397244EE"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1120" w:type="dxa"/>
          </w:tcPr>
          <w:p w14:paraId="6FCB3AD8"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34" w:type="dxa"/>
          </w:tcPr>
          <w:p w14:paraId="629D6F3F"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r>
      <w:tr w:rsidR="00F0236A" w:rsidRPr="00073574" w14:paraId="15D0728F" w14:textId="77777777" w:rsidTr="7277BFE4">
        <w:trPr>
          <w:cantSplit/>
          <w:jc w:val="center"/>
        </w:trPr>
        <w:tc>
          <w:tcPr>
            <w:tcW w:w="3073" w:type="dxa"/>
            <w:tcBorders>
              <w:right w:val="single" w:sz="12" w:space="0" w:color="auto"/>
            </w:tcBorders>
            <w:shd w:val="clear" w:color="auto" w:fill="auto"/>
          </w:tcPr>
          <w:p w14:paraId="3CBB2400" w14:textId="77777777" w:rsidR="00F0236A" w:rsidRPr="00073574" w:rsidRDefault="0053741E"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hyperlink w:anchor="Resolution_40" w:history="1">
              <w:r w:rsidR="00F0236A" w:rsidRPr="00073574">
                <w:rPr>
                  <w:rStyle w:val="Hyperlink"/>
                </w:rPr>
                <w:t>Resolution 40</w:t>
              </w:r>
            </w:hyperlink>
            <w:r w:rsidR="00F0236A" w:rsidRPr="00073574">
              <w:t xml:space="preserve"> – Regulatory aspects of the work of the ITU Telecommunication Standardization Sector</w:t>
            </w:r>
          </w:p>
        </w:tc>
        <w:tc>
          <w:tcPr>
            <w:tcW w:w="991" w:type="dxa"/>
            <w:tcBorders>
              <w:left w:val="single" w:sz="12" w:space="0" w:color="auto"/>
            </w:tcBorders>
          </w:tcPr>
          <w:p w14:paraId="7260DB1B"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984" w:type="dxa"/>
          </w:tcPr>
          <w:p w14:paraId="08C2831D"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894" w:type="dxa"/>
          </w:tcPr>
          <w:p w14:paraId="292C9D05"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1339" w:type="dxa"/>
            <w:tcBorders>
              <w:right w:val="single" w:sz="4" w:space="0" w:color="auto"/>
            </w:tcBorders>
          </w:tcPr>
          <w:p w14:paraId="2F90861C"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MSs</w:t>
            </w:r>
          </w:p>
        </w:tc>
        <w:tc>
          <w:tcPr>
            <w:tcW w:w="872" w:type="dxa"/>
            <w:tcBorders>
              <w:left w:val="single" w:sz="4" w:space="0" w:color="auto"/>
              <w:right w:val="single" w:sz="12" w:space="0" w:color="auto"/>
            </w:tcBorders>
          </w:tcPr>
          <w:p w14:paraId="5675A9FA"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72" w:type="dxa"/>
            <w:tcBorders>
              <w:left w:val="single" w:sz="12" w:space="0" w:color="auto"/>
            </w:tcBorders>
          </w:tcPr>
          <w:p w14:paraId="7B06B26F"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SecGen</w:t>
            </w:r>
          </w:p>
        </w:tc>
        <w:tc>
          <w:tcPr>
            <w:tcW w:w="844" w:type="dxa"/>
          </w:tcPr>
          <w:p w14:paraId="4AF84BA1"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39" w:type="dxa"/>
            <w:tcBorders>
              <w:right w:val="single" w:sz="12" w:space="0" w:color="auto"/>
            </w:tcBorders>
          </w:tcPr>
          <w:p w14:paraId="327A2A58"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16" w:type="dxa"/>
            <w:tcBorders>
              <w:left w:val="single" w:sz="12" w:space="0" w:color="auto"/>
            </w:tcBorders>
          </w:tcPr>
          <w:p w14:paraId="13B7370E" w14:textId="4C27010E" w:rsidR="00F0236A" w:rsidRPr="00073574" w:rsidRDefault="00E92E4F"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904" w:type="dxa"/>
          </w:tcPr>
          <w:p w14:paraId="76C7D9B1"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1120" w:type="dxa"/>
          </w:tcPr>
          <w:p w14:paraId="6BF751AF"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rsidDel="00E92E4F">
              <w:t>X</w:t>
            </w:r>
          </w:p>
        </w:tc>
        <w:tc>
          <w:tcPr>
            <w:tcW w:w="834" w:type="dxa"/>
          </w:tcPr>
          <w:p w14:paraId="0A05A67B"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r>
      <w:tr w:rsidR="00F0236A" w:rsidRPr="00073574" w14:paraId="3E8E3C7D" w14:textId="77777777" w:rsidTr="7277BFE4">
        <w:trPr>
          <w:cantSplit/>
          <w:jc w:val="center"/>
        </w:trPr>
        <w:tc>
          <w:tcPr>
            <w:tcW w:w="3073" w:type="dxa"/>
            <w:tcBorders>
              <w:right w:val="single" w:sz="12" w:space="0" w:color="auto"/>
            </w:tcBorders>
            <w:shd w:val="clear" w:color="auto" w:fill="auto"/>
          </w:tcPr>
          <w:p w14:paraId="78C7A26D" w14:textId="77777777" w:rsidR="00F0236A" w:rsidRPr="00073574" w:rsidRDefault="0053741E"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hyperlink w:anchor="Resolution_43" w:history="1">
              <w:r w:rsidR="00F0236A" w:rsidRPr="00073574">
                <w:rPr>
                  <w:rStyle w:val="Hyperlink"/>
                </w:rPr>
                <w:t>Resolution 43</w:t>
              </w:r>
            </w:hyperlink>
            <w:r w:rsidR="00F0236A" w:rsidRPr="00073574">
              <w:t xml:space="preserve"> – Regional preparations for world telecommunication standardization assemblies</w:t>
            </w:r>
          </w:p>
        </w:tc>
        <w:tc>
          <w:tcPr>
            <w:tcW w:w="991" w:type="dxa"/>
            <w:tcBorders>
              <w:left w:val="single" w:sz="12" w:space="0" w:color="auto"/>
            </w:tcBorders>
          </w:tcPr>
          <w:p w14:paraId="1DAF1E92"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984" w:type="dxa"/>
          </w:tcPr>
          <w:p w14:paraId="62347AF6"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94" w:type="dxa"/>
          </w:tcPr>
          <w:p w14:paraId="125E2ADA"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1339" w:type="dxa"/>
            <w:tcBorders>
              <w:right w:val="single" w:sz="4" w:space="0" w:color="auto"/>
            </w:tcBorders>
          </w:tcPr>
          <w:p w14:paraId="419EADDC"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MS</w:t>
            </w:r>
          </w:p>
        </w:tc>
        <w:tc>
          <w:tcPr>
            <w:tcW w:w="872" w:type="dxa"/>
            <w:tcBorders>
              <w:left w:val="single" w:sz="4" w:space="0" w:color="auto"/>
              <w:right w:val="single" w:sz="12" w:space="0" w:color="auto"/>
            </w:tcBorders>
          </w:tcPr>
          <w:p w14:paraId="7F80A164"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SecGen</w:t>
            </w:r>
          </w:p>
        </w:tc>
        <w:tc>
          <w:tcPr>
            <w:tcW w:w="872" w:type="dxa"/>
            <w:tcBorders>
              <w:left w:val="single" w:sz="12" w:space="0" w:color="auto"/>
            </w:tcBorders>
          </w:tcPr>
          <w:p w14:paraId="04BC7CAE"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44" w:type="dxa"/>
          </w:tcPr>
          <w:p w14:paraId="4E07E2B9"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39" w:type="dxa"/>
            <w:tcBorders>
              <w:right w:val="single" w:sz="12" w:space="0" w:color="auto"/>
            </w:tcBorders>
          </w:tcPr>
          <w:p w14:paraId="1F919FF0"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16" w:type="dxa"/>
            <w:tcBorders>
              <w:left w:val="single" w:sz="12" w:space="0" w:color="auto"/>
            </w:tcBorders>
          </w:tcPr>
          <w:p w14:paraId="30B16DAA"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904" w:type="dxa"/>
          </w:tcPr>
          <w:p w14:paraId="21C8E46F"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1120" w:type="dxa"/>
          </w:tcPr>
          <w:p w14:paraId="32F0295A"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34" w:type="dxa"/>
          </w:tcPr>
          <w:p w14:paraId="426F2FEC"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r>
      <w:tr w:rsidR="00F0236A" w:rsidRPr="00073574" w14:paraId="76EBEE28" w14:textId="77777777" w:rsidTr="7277BFE4">
        <w:trPr>
          <w:cantSplit/>
          <w:jc w:val="center"/>
        </w:trPr>
        <w:tc>
          <w:tcPr>
            <w:tcW w:w="3073" w:type="dxa"/>
            <w:tcBorders>
              <w:right w:val="single" w:sz="12" w:space="0" w:color="auto"/>
            </w:tcBorders>
            <w:shd w:val="clear" w:color="auto" w:fill="auto"/>
          </w:tcPr>
          <w:p w14:paraId="71B35362" w14:textId="77777777" w:rsidR="00F0236A" w:rsidRPr="00073574" w:rsidRDefault="0053741E"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hyperlink w:anchor="Resolution_44" w:history="1">
              <w:r w:rsidR="00F0236A" w:rsidRPr="00073574">
                <w:rPr>
                  <w:rStyle w:val="Hyperlink"/>
                </w:rPr>
                <w:t>Resolution 44</w:t>
              </w:r>
            </w:hyperlink>
            <w:r w:rsidR="00F0236A" w:rsidRPr="00073574">
              <w:t xml:space="preserve"> – Bridging the standardization gap between developing and developed countries</w:t>
            </w:r>
          </w:p>
        </w:tc>
        <w:tc>
          <w:tcPr>
            <w:tcW w:w="991" w:type="dxa"/>
            <w:tcBorders>
              <w:left w:val="single" w:sz="12" w:space="0" w:color="auto"/>
            </w:tcBorders>
          </w:tcPr>
          <w:p w14:paraId="0792DDDA"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All SGs</w:t>
            </w:r>
          </w:p>
        </w:tc>
        <w:tc>
          <w:tcPr>
            <w:tcW w:w="984" w:type="dxa"/>
          </w:tcPr>
          <w:p w14:paraId="2855A26E"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894" w:type="dxa"/>
          </w:tcPr>
          <w:p w14:paraId="78450C35"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p w14:paraId="0BF23A94"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ITU regional offices</w:t>
            </w:r>
          </w:p>
        </w:tc>
        <w:tc>
          <w:tcPr>
            <w:tcW w:w="1339" w:type="dxa"/>
            <w:tcBorders>
              <w:right w:val="single" w:sz="4" w:space="0" w:color="auto"/>
            </w:tcBorders>
          </w:tcPr>
          <w:p w14:paraId="66BDF3D7"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MSs, SMs</w:t>
            </w:r>
          </w:p>
        </w:tc>
        <w:tc>
          <w:tcPr>
            <w:tcW w:w="872" w:type="dxa"/>
            <w:tcBorders>
              <w:left w:val="single" w:sz="4" w:space="0" w:color="auto"/>
              <w:right w:val="single" w:sz="12" w:space="0" w:color="auto"/>
            </w:tcBorders>
          </w:tcPr>
          <w:p w14:paraId="2040622A"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72" w:type="dxa"/>
            <w:tcBorders>
              <w:left w:val="single" w:sz="12" w:space="0" w:color="auto"/>
            </w:tcBorders>
          </w:tcPr>
          <w:p w14:paraId="61029DAD"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44" w:type="dxa"/>
          </w:tcPr>
          <w:p w14:paraId="3C67ED6F"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839" w:type="dxa"/>
            <w:tcBorders>
              <w:right w:val="single" w:sz="12" w:space="0" w:color="auto"/>
            </w:tcBorders>
          </w:tcPr>
          <w:p w14:paraId="7A0C9144"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816" w:type="dxa"/>
            <w:tcBorders>
              <w:left w:val="single" w:sz="12" w:space="0" w:color="auto"/>
            </w:tcBorders>
          </w:tcPr>
          <w:p w14:paraId="4F2DC4A7"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904" w:type="dxa"/>
          </w:tcPr>
          <w:p w14:paraId="29DE2AB0"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1120" w:type="dxa"/>
          </w:tcPr>
          <w:p w14:paraId="4B186A9E"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834" w:type="dxa"/>
          </w:tcPr>
          <w:p w14:paraId="02BF1096"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r>
      <w:tr w:rsidR="00F0236A" w:rsidRPr="00073574" w14:paraId="23F7F8B3" w14:textId="77777777" w:rsidTr="7277BFE4">
        <w:trPr>
          <w:cantSplit/>
          <w:jc w:val="center"/>
        </w:trPr>
        <w:tc>
          <w:tcPr>
            <w:tcW w:w="3073" w:type="dxa"/>
            <w:tcBorders>
              <w:right w:val="single" w:sz="12" w:space="0" w:color="auto"/>
            </w:tcBorders>
            <w:shd w:val="clear" w:color="auto" w:fill="auto"/>
          </w:tcPr>
          <w:p w14:paraId="541C600E" w14:textId="77777777" w:rsidR="00F0236A" w:rsidRPr="00073574" w:rsidRDefault="0053741E"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hyperlink w:anchor="Resolution_45" w:history="1">
              <w:r w:rsidR="00F0236A" w:rsidRPr="00073574">
                <w:rPr>
                  <w:rStyle w:val="Hyperlink"/>
                </w:rPr>
                <w:t>Resolution 45</w:t>
              </w:r>
            </w:hyperlink>
            <w:r w:rsidR="00F0236A" w:rsidRPr="00073574">
              <w:t xml:space="preserve"> – Effective coordination of standardization work across study groups in the ITU Telecommunication Standardization Sector and the role of Telecommunication Standardization Advisory Group</w:t>
            </w:r>
          </w:p>
        </w:tc>
        <w:tc>
          <w:tcPr>
            <w:tcW w:w="991" w:type="dxa"/>
            <w:tcBorders>
              <w:left w:val="single" w:sz="12" w:space="0" w:color="auto"/>
            </w:tcBorders>
          </w:tcPr>
          <w:p w14:paraId="5F9DDCAA"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All SGs,</w:t>
            </w:r>
          </w:p>
          <w:p w14:paraId="46274EF5"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All JCAs</w:t>
            </w:r>
          </w:p>
        </w:tc>
        <w:tc>
          <w:tcPr>
            <w:tcW w:w="984" w:type="dxa"/>
          </w:tcPr>
          <w:p w14:paraId="6D0CE7BD"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894" w:type="dxa"/>
          </w:tcPr>
          <w:p w14:paraId="23233C97"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1339" w:type="dxa"/>
            <w:tcBorders>
              <w:right w:val="single" w:sz="4" w:space="0" w:color="auto"/>
            </w:tcBorders>
          </w:tcPr>
          <w:p w14:paraId="19D83B4F"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72" w:type="dxa"/>
            <w:tcBorders>
              <w:left w:val="single" w:sz="4" w:space="0" w:color="auto"/>
              <w:right w:val="single" w:sz="12" w:space="0" w:color="auto"/>
            </w:tcBorders>
          </w:tcPr>
          <w:p w14:paraId="1767FFFF"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72" w:type="dxa"/>
            <w:tcBorders>
              <w:left w:val="single" w:sz="12" w:space="0" w:color="auto"/>
            </w:tcBorders>
          </w:tcPr>
          <w:p w14:paraId="0BD49941"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44" w:type="dxa"/>
          </w:tcPr>
          <w:p w14:paraId="76080E41"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839" w:type="dxa"/>
            <w:tcBorders>
              <w:right w:val="single" w:sz="12" w:space="0" w:color="auto"/>
            </w:tcBorders>
          </w:tcPr>
          <w:p w14:paraId="2E17C3EF"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816" w:type="dxa"/>
            <w:tcBorders>
              <w:left w:val="single" w:sz="12" w:space="0" w:color="auto"/>
            </w:tcBorders>
          </w:tcPr>
          <w:p w14:paraId="60C46617"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904" w:type="dxa"/>
          </w:tcPr>
          <w:p w14:paraId="698D5805"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1120" w:type="dxa"/>
          </w:tcPr>
          <w:p w14:paraId="6E76A595"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34" w:type="dxa"/>
          </w:tcPr>
          <w:p w14:paraId="58BB494D"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r>
      <w:tr w:rsidR="00F0236A" w:rsidRPr="00073574" w14:paraId="4146A6F2" w14:textId="77777777" w:rsidTr="7277BFE4">
        <w:trPr>
          <w:cantSplit/>
          <w:jc w:val="center"/>
        </w:trPr>
        <w:tc>
          <w:tcPr>
            <w:tcW w:w="3073" w:type="dxa"/>
            <w:tcBorders>
              <w:right w:val="single" w:sz="12" w:space="0" w:color="auto"/>
            </w:tcBorders>
            <w:shd w:val="clear" w:color="auto" w:fill="auto"/>
          </w:tcPr>
          <w:p w14:paraId="7B0CA9D0" w14:textId="77777777" w:rsidR="00F0236A" w:rsidRPr="00073574" w:rsidRDefault="0053741E"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hyperlink w:anchor="Resolution_47" w:history="1">
              <w:r w:rsidR="00F0236A" w:rsidRPr="00073574">
                <w:rPr>
                  <w:rStyle w:val="Hyperlink"/>
                </w:rPr>
                <w:t>Resolution 47</w:t>
              </w:r>
            </w:hyperlink>
            <w:r w:rsidR="00F0236A" w:rsidRPr="00073574">
              <w:t xml:space="preserve"> – Country code top-level domain names</w:t>
            </w:r>
          </w:p>
        </w:tc>
        <w:tc>
          <w:tcPr>
            <w:tcW w:w="991" w:type="dxa"/>
            <w:tcBorders>
              <w:left w:val="single" w:sz="12" w:space="0" w:color="auto"/>
            </w:tcBorders>
          </w:tcPr>
          <w:p w14:paraId="2FDB9902"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SG2</w:t>
            </w:r>
          </w:p>
        </w:tc>
        <w:tc>
          <w:tcPr>
            <w:tcW w:w="984" w:type="dxa"/>
          </w:tcPr>
          <w:p w14:paraId="1689B2BA"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94" w:type="dxa"/>
          </w:tcPr>
          <w:p w14:paraId="3B9A4A9C"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1339" w:type="dxa"/>
            <w:tcBorders>
              <w:right w:val="single" w:sz="4" w:space="0" w:color="auto"/>
            </w:tcBorders>
          </w:tcPr>
          <w:p w14:paraId="292D0FA0"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MSs</w:t>
            </w:r>
          </w:p>
        </w:tc>
        <w:tc>
          <w:tcPr>
            <w:tcW w:w="872" w:type="dxa"/>
            <w:tcBorders>
              <w:left w:val="single" w:sz="4" w:space="0" w:color="auto"/>
              <w:right w:val="single" w:sz="12" w:space="0" w:color="auto"/>
            </w:tcBorders>
          </w:tcPr>
          <w:p w14:paraId="40BD3582"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72" w:type="dxa"/>
            <w:tcBorders>
              <w:left w:val="single" w:sz="12" w:space="0" w:color="auto"/>
            </w:tcBorders>
          </w:tcPr>
          <w:p w14:paraId="35BA8189"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44" w:type="dxa"/>
          </w:tcPr>
          <w:p w14:paraId="4F083F48"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39" w:type="dxa"/>
            <w:tcBorders>
              <w:right w:val="single" w:sz="12" w:space="0" w:color="auto"/>
            </w:tcBorders>
          </w:tcPr>
          <w:p w14:paraId="0A70972F"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16" w:type="dxa"/>
            <w:tcBorders>
              <w:left w:val="single" w:sz="12" w:space="0" w:color="auto"/>
            </w:tcBorders>
          </w:tcPr>
          <w:p w14:paraId="1C649A60"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904" w:type="dxa"/>
          </w:tcPr>
          <w:p w14:paraId="5A832678"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1120" w:type="dxa"/>
          </w:tcPr>
          <w:p w14:paraId="7467C260"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34" w:type="dxa"/>
          </w:tcPr>
          <w:p w14:paraId="4B98D596"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r>
      <w:tr w:rsidR="00F0236A" w:rsidRPr="00073574" w14:paraId="69EEEF40" w14:textId="77777777" w:rsidTr="7277BFE4">
        <w:trPr>
          <w:cantSplit/>
          <w:jc w:val="center"/>
        </w:trPr>
        <w:tc>
          <w:tcPr>
            <w:tcW w:w="3073" w:type="dxa"/>
            <w:tcBorders>
              <w:right w:val="single" w:sz="12" w:space="0" w:color="auto"/>
            </w:tcBorders>
            <w:shd w:val="clear" w:color="auto" w:fill="auto"/>
          </w:tcPr>
          <w:p w14:paraId="4E7F6861" w14:textId="77777777" w:rsidR="00F0236A" w:rsidRPr="00073574" w:rsidRDefault="0053741E"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hyperlink w:anchor="Resolution_48" w:history="1">
              <w:r w:rsidR="00F0236A" w:rsidRPr="00073574">
                <w:rPr>
                  <w:rStyle w:val="Hyperlink"/>
                </w:rPr>
                <w:t>Resolution 48</w:t>
              </w:r>
            </w:hyperlink>
            <w:r w:rsidR="00F0236A" w:rsidRPr="00073574">
              <w:t xml:space="preserve"> – Internationalized (multilingual) domain names</w:t>
            </w:r>
          </w:p>
        </w:tc>
        <w:tc>
          <w:tcPr>
            <w:tcW w:w="991" w:type="dxa"/>
            <w:tcBorders>
              <w:left w:val="single" w:sz="12" w:space="0" w:color="auto"/>
            </w:tcBorders>
          </w:tcPr>
          <w:p w14:paraId="08D4429C"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SG16, regional groups</w:t>
            </w:r>
          </w:p>
        </w:tc>
        <w:tc>
          <w:tcPr>
            <w:tcW w:w="984" w:type="dxa"/>
          </w:tcPr>
          <w:p w14:paraId="520C0754"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94" w:type="dxa"/>
          </w:tcPr>
          <w:p w14:paraId="3282053F"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1339" w:type="dxa"/>
            <w:tcBorders>
              <w:right w:val="single" w:sz="4" w:space="0" w:color="auto"/>
            </w:tcBorders>
          </w:tcPr>
          <w:p w14:paraId="411012A9"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MSs, SMs</w:t>
            </w:r>
          </w:p>
        </w:tc>
        <w:tc>
          <w:tcPr>
            <w:tcW w:w="872" w:type="dxa"/>
            <w:tcBorders>
              <w:left w:val="single" w:sz="4" w:space="0" w:color="auto"/>
              <w:right w:val="single" w:sz="12" w:space="0" w:color="auto"/>
            </w:tcBorders>
          </w:tcPr>
          <w:p w14:paraId="20A8AFE5"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72" w:type="dxa"/>
            <w:tcBorders>
              <w:left w:val="single" w:sz="12" w:space="0" w:color="auto"/>
            </w:tcBorders>
          </w:tcPr>
          <w:p w14:paraId="02709726"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44" w:type="dxa"/>
          </w:tcPr>
          <w:p w14:paraId="34632DB3"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39" w:type="dxa"/>
            <w:tcBorders>
              <w:right w:val="single" w:sz="12" w:space="0" w:color="auto"/>
            </w:tcBorders>
          </w:tcPr>
          <w:p w14:paraId="5BDCFBE7"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16" w:type="dxa"/>
            <w:tcBorders>
              <w:left w:val="single" w:sz="12" w:space="0" w:color="auto"/>
            </w:tcBorders>
          </w:tcPr>
          <w:p w14:paraId="47B8AF86"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904" w:type="dxa"/>
          </w:tcPr>
          <w:p w14:paraId="13328305"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1120" w:type="dxa"/>
          </w:tcPr>
          <w:p w14:paraId="13D91A68"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34" w:type="dxa"/>
          </w:tcPr>
          <w:p w14:paraId="0AD6B51E"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r>
      <w:tr w:rsidR="00F0236A" w:rsidRPr="00073574" w14:paraId="678E2D03" w14:textId="77777777" w:rsidTr="7277BFE4">
        <w:trPr>
          <w:cantSplit/>
          <w:jc w:val="center"/>
        </w:trPr>
        <w:tc>
          <w:tcPr>
            <w:tcW w:w="3073" w:type="dxa"/>
            <w:tcBorders>
              <w:right w:val="single" w:sz="12" w:space="0" w:color="auto"/>
            </w:tcBorders>
            <w:shd w:val="clear" w:color="auto" w:fill="auto"/>
          </w:tcPr>
          <w:p w14:paraId="0E5D62AA" w14:textId="77777777" w:rsidR="00F0236A" w:rsidRPr="00073574" w:rsidRDefault="0053741E"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hyperlink w:anchor="Resolution_49" w:history="1">
              <w:r w:rsidR="00F0236A" w:rsidRPr="00073574">
                <w:rPr>
                  <w:rStyle w:val="Hyperlink"/>
                </w:rPr>
                <w:t>Resolution 49</w:t>
              </w:r>
            </w:hyperlink>
            <w:r w:rsidR="00F0236A" w:rsidRPr="00073574">
              <w:t xml:space="preserve"> – ENUM</w:t>
            </w:r>
          </w:p>
        </w:tc>
        <w:tc>
          <w:tcPr>
            <w:tcW w:w="991" w:type="dxa"/>
            <w:tcBorders>
              <w:left w:val="single" w:sz="12" w:space="0" w:color="auto"/>
            </w:tcBorders>
          </w:tcPr>
          <w:p w14:paraId="2F9EC344"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SG2</w:t>
            </w:r>
          </w:p>
        </w:tc>
        <w:tc>
          <w:tcPr>
            <w:tcW w:w="984" w:type="dxa"/>
          </w:tcPr>
          <w:p w14:paraId="78B5C152"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94" w:type="dxa"/>
          </w:tcPr>
          <w:p w14:paraId="6FC65AC7"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1339" w:type="dxa"/>
            <w:tcBorders>
              <w:right w:val="single" w:sz="4" w:space="0" w:color="auto"/>
            </w:tcBorders>
          </w:tcPr>
          <w:p w14:paraId="27956507"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MSs</w:t>
            </w:r>
          </w:p>
        </w:tc>
        <w:tc>
          <w:tcPr>
            <w:tcW w:w="872" w:type="dxa"/>
            <w:tcBorders>
              <w:left w:val="single" w:sz="4" w:space="0" w:color="auto"/>
              <w:right w:val="single" w:sz="12" w:space="0" w:color="auto"/>
            </w:tcBorders>
          </w:tcPr>
          <w:p w14:paraId="29518434"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72" w:type="dxa"/>
            <w:tcBorders>
              <w:left w:val="single" w:sz="12" w:space="0" w:color="auto"/>
            </w:tcBorders>
          </w:tcPr>
          <w:p w14:paraId="37497D62"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44" w:type="dxa"/>
          </w:tcPr>
          <w:p w14:paraId="195BDED0"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39" w:type="dxa"/>
            <w:tcBorders>
              <w:right w:val="single" w:sz="12" w:space="0" w:color="auto"/>
            </w:tcBorders>
          </w:tcPr>
          <w:p w14:paraId="747F8C9A"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16" w:type="dxa"/>
            <w:tcBorders>
              <w:left w:val="single" w:sz="12" w:space="0" w:color="auto"/>
            </w:tcBorders>
          </w:tcPr>
          <w:p w14:paraId="5C41F53E"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904" w:type="dxa"/>
          </w:tcPr>
          <w:p w14:paraId="696A2AC1"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1120" w:type="dxa"/>
          </w:tcPr>
          <w:p w14:paraId="28F72926"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34" w:type="dxa"/>
          </w:tcPr>
          <w:p w14:paraId="2CF25406"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r>
      <w:tr w:rsidR="00F0236A" w:rsidRPr="00073574" w14:paraId="0C628DDC" w14:textId="77777777" w:rsidTr="7277BFE4">
        <w:trPr>
          <w:cantSplit/>
          <w:jc w:val="center"/>
        </w:trPr>
        <w:tc>
          <w:tcPr>
            <w:tcW w:w="3073" w:type="dxa"/>
            <w:tcBorders>
              <w:right w:val="single" w:sz="12" w:space="0" w:color="auto"/>
            </w:tcBorders>
            <w:shd w:val="clear" w:color="auto" w:fill="auto"/>
          </w:tcPr>
          <w:p w14:paraId="5461CD31" w14:textId="77777777" w:rsidR="00F0236A" w:rsidRPr="00073574" w:rsidRDefault="0053741E"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hyperlink w:anchor="Resolution_50" w:history="1">
              <w:r w:rsidR="00F0236A" w:rsidRPr="00073574">
                <w:rPr>
                  <w:rStyle w:val="Hyperlink"/>
                </w:rPr>
                <w:t>Resolution 50</w:t>
              </w:r>
            </w:hyperlink>
            <w:r w:rsidR="00F0236A" w:rsidRPr="00073574">
              <w:t xml:space="preserve"> – Cybersecurity</w:t>
            </w:r>
          </w:p>
        </w:tc>
        <w:tc>
          <w:tcPr>
            <w:tcW w:w="991" w:type="dxa"/>
            <w:tcBorders>
              <w:left w:val="single" w:sz="12" w:space="0" w:color="auto"/>
            </w:tcBorders>
          </w:tcPr>
          <w:p w14:paraId="4709A95E"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All SGs, SG17</w:t>
            </w:r>
          </w:p>
        </w:tc>
        <w:tc>
          <w:tcPr>
            <w:tcW w:w="984" w:type="dxa"/>
          </w:tcPr>
          <w:p w14:paraId="58B34973"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94" w:type="dxa"/>
          </w:tcPr>
          <w:p w14:paraId="7115937F"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1339" w:type="dxa"/>
            <w:tcBorders>
              <w:right w:val="single" w:sz="4" w:space="0" w:color="auto"/>
            </w:tcBorders>
          </w:tcPr>
          <w:p w14:paraId="63C85D5B"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MSs, SMs, Associates, academia</w:t>
            </w:r>
          </w:p>
        </w:tc>
        <w:tc>
          <w:tcPr>
            <w:tcW w:w="872" w:type="dxa"/>
            <w:tcBorders>
              <w:left w:val="single" w:sz="4" w:space="0" w:color="auto"/>
              <w:right w:val="single" w:sz="12" w:space="0" w:color="auto"/>
            </w:tcBorders>
          </w:tcPr>
          <w:p w14:paraId="18B24D65"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SecGen</w:t>
            </w:r>
          </w:p>
        </w:tc>
        <w:tc>
          <w:tcPr>
            <w:tcW w:w="872" w:type="dxa"/>
            <w:tcBorders>
              <w:left w:val="single" w:sz="12" w:space="0" w:color="auto"/>
            </w:tcBorders>
          </w:tcPr>
          <w:p w14:paraId="0B4FCD4C"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GCA</w:t>
            </w:r>
          </w:p>
        </w:tc>
        <w:tc>
          <w:tcPr>
            <w:tcW w:w="844" w:type="dxa"/>
          </w:tcPr>
          <w:p w14:paraId="0F839988"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839" w:type="dxa"/>
            <w:tcBorders>
              <w:right w:val="single" w:sz="12" w:space="0" w:color="auto"/>
            </w:tcBorders>
          </w:tcPr>
          <w:p w14:paraId="46A59D5E"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16" w:type="dxa"/>
            <w:tcBorders>
              <w:left w:val="single" w:sz="12" w:space="0" w:color="auto"/>
            </w:tcBorders>
          </w:tcPr>
          <w:p w14:paraId="5A930A5F"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904" w:type="dxa"/>
          </w:tcPr>
          <w:p w14:paraId="5601B594"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1120" w:type="dxa"/>
          </w:tcPr>
          <w:p w14:paraId="1A9FCB28"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34" w:type="dxa"/>
          </w:tcPr>
          <w:p w14:paraId="7F416F94"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r>
      <w:tr w:rsidR="00F0236A" w:rsidRPr="00073574" w14:paraId="24A0B673" w14:textId="77777777" w:rsidTr="7277BFE4">
        <w:trPr>
          <w:cantSplit/>
          <w:jc w:val="center"/>
        </w:trPr>
        <w:tc>
          <w:tcPr>
            <w:tcW w:w="3073" w:type="dxa"/>
            <w:tcBorders>
              <w:right w:val="single" w:sz="12" w:space="0" w:color="auto"/>
            </w:tcBorders>
            <w:shd w:val="clear" w:color="auto" w:fill="auto"/>
          </w:tcPr>
          <w:p w14:paraId="3BE8E599" w14:textId="77777777" w:rsidR="00F0236A" w:rsidRPr="00073574" w:rsidRDefault="0053741E"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hyperlink w:anchor="Resolution_52" w:history="1">
              <w:r w:rsidR="00F0236A" w:rsidRPr="00073574">
                <w:rPr>
                  <w:rStyle w:val="Hyperlink"/>
                </w:rPr>
                <w:t>Resolution 52</w:t>
              </w:r>
            </w:hyperlink>
            <w:r w:rsidR="00F0236A" w:rsidRPr="00073574">
              <w:t xml:space="preserve"> – Countering and combating spam</w:t>
            </w:r>
          </w:p>
        </w:tc>
        <w:tc>
          <w:tcPr>
            <w:tcW w:w="991" w:type="dxa"/>
            <w:tcBorders>
              <w:left w:val="single" w:sz="12" w:space="0" w:color="auto"/>
            </w:tcBorders>
          </w:tcPr>
          <w:p w14:paraId="70BCECA8"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SGs, SG17</w:t>
            </w:r>
          </w:p>
        </w:tc>
        <w:tc>
          <w:tcPr>
            <w:tcW w:w="984" w:type="dxa"/>
          </w:tcPr>
          <w:p w14:paraId="1ACFCD37"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94" w:type="dxa"/>
          </w:tcPr>
          <w:p w14:paraId="310064EA"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1339" w:type="dxa"/>
            <w:tcBorders>
              <w:right w:val="single" w:sz="4" w:space="0" w:color="auto"/>
            </w:tcBorders>
          </w:tcPr>
          <w:p w14:paraId="772C25BE"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MSs, SMs, Associates, academia</w:t>
            </w:r>
          </w:p>
        </w:tc>
        <w:tc>
          <w:tcPr>
            <w:tcW w:w="872" w:type="dxa"/>
            <w:tcBorders>
              <w:left w:val="single" w:sz="4" w:space="0" w:color="auto"/>
              <w:right w:val="single" w:sz="12" w:space="0" w:color="auto"/>
            </w:tcBorders>
          </w:tcPr>
          <w:p w14:paraId="73B0E7D3"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72" w:type="dxa"/>
            <w:tcBorders>
              <w:left w:val="single" w:sz="12" w:space="0" w:color="auto"/>
            </w:tcBorders>
          </w:tcPr>
          <w:p w14:paraId="64BA88F4"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GCA</w:t>
            </w:r>
          </w:p>
        </w:tc>
        <w:tc>
          <w:tcPr>
            <w:tcW w:w="844" w:type="dxa"/>
          </w:tcPr>
          <w:p w14:paraId="6324E9DB"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839" w:type="dxa"/>
            <w:tcBorders>
              <w:right w:val="single" w:sz="12" w:space="0" w:color="auto"/>
            </w:tcBorders>
          </w:tcPr>
          <w:p w14:paraId="1A2C6202"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16" w:type="dxa"/>
            <w:tcBorders>
              <w:left w:val="single" w:sz="12" w:space="0" w:color="auto"/>
            </w:tcBorders>
          </w:tcPr>
          <w:p w14:paraId="33B8AC56"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904" w:type="dxa"/>
          </w:tcPr>
          <w:p w14:paraId="4EB82F44"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1120" w:type="dxa"/>
          </w:tcPr>
          <w:p w14:paraId="0AFA1D3F"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34" w:type="dxa"/>
          </w:tcPr>
          <w:p w14:paraId="3840AFB0"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r>
      <w:tr w:rsidR="00F0236A" w:rsidRPr="00073574" w14:paraId="568FAD11" w14:textId="77777777" w:rsidTr="7277BFE4">
        <w:trPr>
          <w:cantSplit/>
          <w:jc w:val="center"/>
        </w:trPr>
        <w:tc>
          <w:tcPr>
            <w:tcW w:w="3073" w:type="dxa"/>
            <w:tcBorders>
              <w:right w:val="single" w:sz="12" w:space="0" w:color="auto"/>
            </w:tcBorders>
            <w:shd w:val="clear" w:color="auto" w:fill="auto"/>
          </w:tcPr>
          <w:p w14:paraId="44842681" w14:textId="77777777" w:rsidR="00F0236A" w:rsidRPr="00073574" w:rsidRDefault="0053741E"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hyperlink w:anchor="Resolution_54" w:history="1">
              <w:r w:rsidR="00F0236A" w:rsidRPr="00073574">
                <w:rPr>
                  <w:rStyle w:val="Hyperlink"/>
                </w:rPr>
                <w:t>Resolution 54</w:t>
              </w:r>
            </w:hyperlink>
            <w:r w:rsidR="00F0236A" w:rsidRPr="00073574">
              <w:t xml:space="preserve"> – Creation of, and assistance to, regional groups</w:t>
            </w:r>
          </w:p>
        </w:tc>
        <w:tc>
          <w:tcPr>
            <w:tcW w:w="991" w:type="dxa"/>
            <w:tcBorders>
              <w:left w:val="single" w:sz="12" w:space="0" w:color="auto"/>
            </w:tcBorders>
          </w:tcPr>
          <w:p w14:paraId="1CC5FCB4"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all SGs, regional groups</w:t>
            </w:r>
          </w:p>
        </w:tc>
        <w:tc>
          <w:tcPr>
            <w:tcW w:w="984" w:type="dxa"/>
          </w:tcPr>
          <w:p w14:paraId="727C570F"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894" w:type="dxa"/>
          </w:tcPr>
          <w:p w14:paraId="2724DA34"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1339" w:type="dxa"/>
            <w:tcBorders>
              <w:right w:val="single" w:sz="4" w:space="0" w:color="auto"/>
            </w:tcBorders>
          </w:tcPr>
          <w:p w14:paraId="4BD3CB31"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Regions, MSs</w:t>
            </w:r>
          </w:p>
        </w:tc>
        <w:tc>
          <w:tcPr>
            <w:tcW w:w="872" w:type="dxa"/>
            <w:tcBorders>
              <w:left w:val="single" w:sz="4" w:space="0" w:color="auto"/>
              <w:right w:val="single" w:sz="12" w:space="0" w:color="auto"/>
            </w:tcBorders>
          </w:tcPr>
          <w:p w14:paraId="1726E986"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72" w:type="dxa"/>
            <w:tcBorders>
              <w:left w:val="single" w:sz="12" w:space="0" w:color="auto"/>
            </w:tcBorders>
          </w:tcPr>
          <w:p w14:paraId="4AD98189"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44" w:type="dxa"/>
          </w:tcPr>
          <w:p w14:paraId="154B4608"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839" w:type="dxa"/>
            <w:tcBorders>
              <w:right w:val="single" w:sz="12" w:space="0" w:color="auto"/>
            </w:tcBorders>
          </w:tcPr>
          <w:p w14:paraId="03CA4B8B"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16" w:type="dxa"/>
            <w:tcBorders>
              <w:left w:val="single" w:sz="12" w:space="0" w:color="auto"/>
            </w:tcBorders>
          </w:tcPr>
          <w:p w14:paraId="02C0D48A"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904" w:type="dxa"/>
          </w:tcPr>
          <w:p w14:paraId="3AA658B9"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1120" w:type="dxa"/>
          </w:tcPr>
          <w:p w14:paraId="1AA67998"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34" w:type="dxa"/>
          </w:tcPr>
          <w:p w14:paraId="7F93722A"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r>
      <w:tr w:rsidR="00F0236A" w:rsidRPr="00073574" w14:paraId="54D32109" w14:textId="77777777" w:rsidTr="7277BFE4">
        <w:trPr>
          <w:cantSplit/>
          <w:jc w:val="center"/>
        </w:trPr>
        <w:tc>
          <w:tcPr>
            <w:tcW w:w="3073" w:type="dxa"/>
            <w:tcBorders>
              <w:right w:val="single" w:sz="12" w:space="0" w:color="auto"/>
            </w:tcBorders>
            <w:shd w:val="clear" w:color="auto" w:fill="auto"/>
          </w:tcPr>
          <w:p w14:paraId="60EF5019" w14:textId="77777777" w:rsidR="00F0236A" w:rsidRPr="00073574" w:rsidRDefault="0053741E"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hyperlink w:anchor="Resolution_55" w:history="1">
              <w:r w:rsidR="00F0236A" w:rsidRPr="00073574">
                <w:rPr>
                  <w:rStyle w:val="Hyperlink"/>
                </w:rPr>
                <w:t>Resolution 55</w:t>
              </w:r>
            </w:hyperlink>
            <w:r w:rsidR="00F0236A" w:rsidRPr="00073574">
              <w:t xml:space="preserve"> – Promoting a gender equality in ITU Telecommunication Standardization Sector activities</w:t>
            </w:r>
          </w:p>
        </w:tc>
        <w:tc>
          <w:tcPr>
            <w:tcW w:w="991" w:type="dxa"/>
            <w:tcBorders>
              <w:left w:val="single" w:sz="12" w:space="0" w:color="auto"/>
            </w:tcBorders>
          </w:tcPr>
          <w:p w14:paraId="57E0B0A3"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WISE</w:t>
            </w:r>
          </w:p>
        </w:tc>
        <w:tc>
          <w:tcPr>
            <w:tcW w:w="984" w:type="dxa"/>
          </w:tcPr>
          <w:p w14:paraId="61E54A15"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94" w:type="dxa"/>
          </w:tcPr>
          <w:p w14:paraId="345804E9"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1339" w:type="dxa"/>
            <w:tcBorders>
              <w:right w:val="single" w:sz="4" w:space="0" w:color="auto"/>
            </w:tcBorders>
          </w:tcPr>
          <w:p w14:paraId="2FC12D19"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MSs, SMs</w:t>
            </w:r>
          </w:p>
        </w:tc>
        <w:tc>
          <w:tcPr>
            <w:tcW w:w="872" w:type="dxa"/>
            <w:tcBorders>
              <w:left w:val="single" w:sz="4" w:space="0" w:color="auto"/>
              <w:right w:val="single" w:sz="12" w:space="0" w:color="auto"/>
            </w:tcBorders>
          </w:tcPr>
          <w:p w14:paraId="20EBD261"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SecGen</w:t>
            </w:r>
          </w:p>
        </w:tc>
        <w:tc>
          <w:tcPr>
            <w:tcW w:w="872" w:type="dxa"/>
            <w:tcBorders>
              <w:left w:val="single" w:sz="12" w:space="0" w:color="auto"/>
            </w:tcBorders>
          </w:tcPr>
          <w:p w14:paraId="11F292DB"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SecGen</w:t>
            </w:r>
          </w:p>
        </w:tc>
        <w:tc>
          <w:tcPr>
            <w:tcW w:w="844" w:type="dxa"/>
          </w:tcPr>
          <w:p w14:paraId="21F89734"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39" w:type="dxa"/>
            <w:tcBorders>
              <w:right w:val="single" w:sz="12" w:space="0" w:color="auto"/>
            </w:tcBorders>
          </w:tcPr>
          <w:p w14:paraId="58CD6FD8"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16" w:type="dxa"/>
            <w:tcBorders>
              <w:left w:val="single" w:sz="12" w:space="0" w:color="auto"/>
            </w:tcBorders>
          </w:tcPr>
          <w:p w14:paraId="5C489605"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904" w:type="dxa"/>
          </w:tcPr>
          <w:p w14:paraId="67B034E0"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1120" w:type="dxa"/>
          </w:tcPr>
          <w:p w14:paraId="6DE96743"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834" w:type="dxa"/>
          </w:tcPr>
          <w:p w14:paraId="2E2B7924"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r>
      <w:tr w:rsidR="00F0236A" w:rsidRPr="00073574" w14:paraId="5EC821EE" w14:textId="77777777" w:rsidTr="7277BFE4">
        <w:trPr>
          <w:cantSplit/>
          <w:jc w:val="center"/>
        </w:trPr>
        <w:tc>
          <w:tcPr>
            <w:tcW w:w="3073" w:type="dxa"/>
            <w:tcBorders>
              <w:right w:val="single" w:sz="12" w:space="0" w:color="auto"/>
            </w:tcBorders>
            <w:shd w:val="clear" w:color="auto" w:fill="auto"/>
          </w:tcPr>
          <w:p w14:paraId="42A730A2" w14:textId="77777777" w:rsidR="00F0236A" w:rsidRPr="00073574" w:rsidRDefault="0053741E"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hyperlink w:anchor="Resolution_58" w:history="1">
              <w:r w:rsidR="00F0236A" w:rsidRPr="00073574">
                <w:rPr>
                  <w:rStyle w:val="Hyperlink"/>
                </w:rPr>
                <w:t>Resolution 58</w:t>
              </w:r>
            </w:hyperlink>
            <w:r w:rsidR="00F0236A" w:rsidRPr="00073574">
              <w:t xml:space="preserve"> – Encourage the creation of national Computer Incident Response Teams, particularly for developing countries</w:t>
            </w:r>
          </w:p>
        </w:tc>
        <w:tc>
          <w:tcPr>
            <w:tcW w:w="991" w:type="dxa"/>
            <w:tcBorders>
              <w:left w:val="single" w:sz="12" w:space="0" w:color="auto"/>
            </w:tcBorders>
          </w:tcPr>
          <w:p w14:paraId="230192F1"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SG17</w:t>
            </w:r>
          </w:p>
        </w:tc>
        <w:tc>
          <w:tcPr>
            <w:tcW w:w="984" w:type="dxa"/>
          </w:tcPr>
          <w:p w14:paraId="0E6EE419"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94" w:type="dxa"/>
          </w:tcPr>
          <w:p w14:paraId="4F313D91"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1339" w:type="dxa"/>
            <w:tcBorders>
              <w:right w:val="single" w:sz="4" w:space="0" w:color="auto"/>
            </w:tcBorders>
          </w:tcPr>
          <w:p w14:paraId="2F13BD24"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MSs, SMs</w:t>
            </w:r>
          </w:p>
        </w:tc>
        <w:tc>
          <w:tcPr>
            <w:tcW w:w="872" w:type="dxa"/>
            <w:tcBorders>
              <w:left w:val="single" w:sz="4" w:space="0" w:color="auto"/>
              <w:right w:val="single" w:sz="12" w:space="0" w:color="auto"/>
            </w:tcBorders>
          </w:tcPr>
          <w:p w14:paraId="234BE346"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72" w:type="dxa"/>
            <w:tcBorders>
              <w:left w:val="single" w:sz="12" w:space="0" w:color="auto"/>
            </w:tcBorders>
          </w:tcPr>
          <w:p w14:paraId="315ABC10"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44" w:type="dxa"/>
          </w:tcPr>
          <w:p w14:paraId="00ED7E2B"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839" w:type="dxa"/>
            <w:tcBorders>
              <w:right w:val="single" w:sz="12" w:space="0" w:color="auto"/>
            </w:tcBorders>
          </w:tcPr>
          <w:p w14:paraId="320DEE9F"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16" w:type="dxa"/>
            <w:tcBorders>
              <w:left w:val="single" w:sz="12" w:space="0" w:color="auto"/>
            </w:tcBorders>
          </w:tcPr>
          <w:p w14:paraId="5B8809AD"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904" w:type="dxa"/>
          </w:tcPr>
          <w:p w14:paraId="0CE814DE"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1120" w:type="dxa"/>
          </w:tcPr>
          <w:p w14:paraId="3E7550BB"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34" w:type="dxa"/>
          </w:tcPr>
          <w:p w14:paraId="35A6E5BC"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r>
      <w:tr w:rsidR="00F0236A" w:rsidRPr="00073574" w14:paraId="353482AB" w14:textId="77777777" w:rsidTr="7277BFE4">
        <w:trPr>
          <w:cantSplit/>
          <w:jc w:val="center"/>
        </w:trPr>
        <w:tc>
          <w:tcPr>
            <w:tcW w:w="3073" w:type="dxa"/>
            <w:tcBorders>
              <w:right w:val="single" w:sz="12" w:space="0" w:color="auto"/>
            </w:tcBorders>
            <w:shd w:val="clear" w:color="auto" w:fill="auto"/>
          </w:tcPr>
          <w:p w14:paraId="3ECA8FFC" w14:textId="77777777" w:rsidR="00F0236A" w:rsidRPr="00073574" w:rsidRDefault="0053741E"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hyperlink w:anchor="Resolution_59" w:history="1">
              <w:r w:rsidR="00F0236A" w:rsidRPr="00073574">
                <w:rPr>
                  <w:rStyle w:val="Hyperlink"/>
                </w:rPr>
                <w:t>Resolution 59</w:t>
              </w:r>
            </w:hyperlink>
            <w:r w:rsidR="00F0236A" w:rsidRPr="00073574">
              <w:t xml:space="preserve"> – Enhancing participation of telecommunication operators from developing countries</w:t>
            </w:r>
          </w:p>
        </w:tc>
        <w:tc>
          <w:tcPr>
            <w:tcW w:w="991" w:type="dxa"/>
            <w:tcBorders>
              <w:left w:val="single" w:sz="12" w:space="0" w:color="auto"/>
            </w:tcBorders>
          </w:tcPr>
          <w:p w14:paraId="7C029F4B"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984" w:type="dxa"/>
          </w:tcPr>
          <w:p w14:paraId="0BA5FDE8"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94" w:type="dxa"/>
          </w:tcPr>
          <w:p w14:paraId="7A0A51EB"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1339" w:type="dxa"/>
            <w:tcBorders>
              <w:right w:val="single" w:sz="4" w:space="0" w:color="auto"/>
            </w:tcBorders>
          </w:tcPr>
          <w:p w14:paraId="78F59DC0"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MSs, SMs</w:t>
            </w:r>
          </w:p>
        </w:tc>
        <w:tc>
          <w:tcPr>
            <w:tcW w:w="872" w:type="dxa"/>
            <w:tcBorders>
              <w:left w:val="single" w:sz="4" w:space="0" w:color="auto"/>
              <w:right w:val="single" w:sz="12" w:space="0" w:color="auto"/>
            </w:tcBorders>
          </w:tcPr>
          <w:p w14:paraId="01B1D8D9"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72" w:type="dxa"/>
            <w:tcBorders>
              <w:left w:val="single" w:sz="12" w:space="0" w:color="auto"/>
            </w:tcBorders>
          </w:tcPr>
          <w:p w14:paraId="1ED8A752"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44" w:type="dxa"/>
          </w:tcPr>
          <w:p w14:paraId="7897A7E4"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39" w:type="dxa"/>
            <w:tcBorders>
              <w:right w:val="single" w:sz="12" w:space="0" w:color="auto"/>
            </w:tcBorders>
          </w:tcPr>
          <w:p w14:paraId="6D10C206"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16" w:type="dxa"/>
            <w:tcBorders>
              <w:left w:val="single" w:sz="12" w:space="0" w:color="auto"/>
            </w:tcBorders>
          </w:tcPr>
          <w:p w14:paraId="36F0451C"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904" w:type="dxa"/>
          </w:tcPr>
          <w:p w14:paraId="3A98106C"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1120" w:type="dxa"/>
          </w:tcPr>
          <w:p w14:paraId="76BAE37C"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34" w:type="dxa"/>
          </w:tcPr>
          <w:p w14:paraId="7AB60D98"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r>
      <w:tr w:rsidR="00F0236A" w:rsidRPr="00073574" w14:paraId="42C487AD" w14:textId="77777777" w:rsidTr="7277BFE4">
        <w:trPr>
          <w:cantSplit/>
          <w:jc w:val="center"/>
        </w:trPr>
        <w:tc>
          <w:tcPr>
            <w:tcW w:w="3073" w:type="dxa"/>
            <w:tcBorders>
              <w:right w:val="single" w:sz="12" w:space="0" w:color="auto"/>
            </w:tcBorders>
            <w:shd w:val="clear" w:color="auto" w:fill="auto"/>
          </w:tcPr>
          <w:p w14:paraId="3A85BD1A" w14:textId="77777777" w:rsidR="00F0236A" w:rsidRPr="00073574" w:rsidRDefault="0053741E"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hyperlink w:anchor="Resolution_60" w:history="1">
              <w:r w:rsidR="00F0236A" w:rsidRPr="00073574">
                <w:rPr>
                  <w:rStyle w:val="Hyperlink"/>
                </w:rPr>
                <w:t>Resolution 60</w:t>
              </w:r>
            </w:hyperlink>
            <w:r w:rsidR="00F0236A" w:rsidRPr="00073574">
              <w:t xml:space="preserve"> – Responding to the challenges of the evolution of the identification/numbering system and its convergence with IP-based systems / networks</w:t>
            </w:r>
          </w:p>
        </w:tc>
        <w:tc>
          <w:tcPr>
            <w:tcW w:w="991" w:type="dxa"/>
            <w:tcBorders>
              <w:left w:val="single" w:sz="12" w:space="0" w:color="auto"/>
            </w:tcBorders>
          </w:tcPr>
          <w:p w14:paraId="37B46643"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SG2, SG13</w:t>
            </w:r>
          </w:p>
        </w:tc>
        <w:tc>
          <w:tcPr>
            <w:tcW w:w="984" w:type="dxa"/>
          </w:tcPr>
          <w:p w14:paraId="1EC3EDAF"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94" w:type="dxa"/>
          </w:tcPr>
          <w:p w14:paraId="5D822824"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1339" w:type="dxa"/>
            <w:tcBorders>
              <w:right w:val="single" w:sz="4" w:space="0" w:color="auto"/>
            </w:tcBorders>
          </w:tcPr>
          <w:p w14:paraId="654AD78D"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MSs, SMs</w:t>
            </w:r>
          </w:p>
        </w:tc>
        <w:tc>
          <w:tcPr>
            <w:tcW w:w="872" w:type="dxa"/>
            <w:tcBorders>
              <w:left w:val="single" w:sz="4" w:space="0" w:color="auto"/>
              <w:right w:val="single" w:sz="12" w:space="0" w:color="auto"/>
            </w:tcBorders>
          </w:tcPr>
          <w:p w14:paraId="033C1A56"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72" w:type="dxa"/>
            <w:tcBorders>
              <w:left w:val="single" w:sz="12" w:space="0" w:color="auto"/>
            </w:tcBorders>
          </w:tcPr>
          <w:p w14:paraId="33CB0E1D"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44" w:type="dxa"/>
          </w:tcPr>
          <w:p w14:paraId="0FE94336"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39" w:type="dxa"/>
            <w:tcBorders>
              <w:right w:val="single" w:sz="12" w:space="0" w:color="auto"/>
            </w:tcBorders>
          </w:tcPr>
          <w:p w14:paraId="02C41C7A"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16" w:type="dxa"/>
            <w:tcBorders>
              <w:left w:val="single" w:sz="12" w:space="0" w:color="auto"/>
            </w:tcBorders>
          </w:tcPr>
          <w:p w14:paraId="38852E17"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904" w:type="dxa"/>
          </w:tcPr>
          <w:p w14:paraId="684603EB"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1120" w:type="dxa"/>
          </w:tcPr>
          <w:p w14:paraId="61113DDD"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34" w:type="dxa"/>
          </w:tcPr>
          <w:p w14:paraId="6D7F2BE9"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r>
      <w:tr w:rsidR="00F0236A" w:rsidRPr="00073574" w14:paraId="58704A9B" w14:textId="77777777" w:rsidTr="7277BFE4">
        <w:trPr>
          <w:cantSplit/>
          <w:jc w:val="center"/>
        </w:trPr>
        <w:tc>
          <w:tcPr>
            <w:tcW w:w="3073" w:type="dxa"/>
            <w:tcBorders>
              <w:right w:val="single" w:sz="12" w:space="0" w:color="auto"/>
            </w:tcBorders>
            <w:shd w:val="clear" w:color="auto" w:fill="auto"/>
          </w:tcPr>
          <w:p w14:paraId="0895BF68" w14:textId="77777777" w:rsidR="00F0236A" w:rsidRPr="00073574" w:rsidRDefault="0053741E"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hyperlink w:anchor="Resolution_61" w:history="1">
              <w:r w:rsidR="00F0236A" w:rsidRPr="00073574">
                <w:rPr>
                  <w:rStyle w:val="Hyperlink"/>
                </w:rPr>
                <w:t>Resolution 61</w:t>
              </w:r>
            </w:hyperlink>
            <w:r w:rsidR="00F0236A" w:rsidRPr="00073574">
              <w:t xml:space="preserve"> – Countering and combating misappropriation and misuse of international telecommunication numbering resources</w:t>
            </w:r>
          </w:p>
        </w:tc>
        <w:tc>
          <w:tcPr>
            <w:tcW w:w="991" w:type="dxa"/>
            <w:tcBorders>
              <w:left w:val="single" w:sz="12" w:space="0" w:color="auto"/>
            </w:tcBorders>
          </w:tcPr>
          <w:p w14:paraId="73DCBE29"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SG2, SG3</w:t>
            </w:r>
          </w:p>
        </w:tc>
        <w:tc>
          <w:tcPr>
            <w:tcW w:w="984" w:type="dxa"/>
          </w:tcPr>
          <w:p w14:paraId="767832BD"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94" w:type="dxa"/>
          </w:tcPr>
          <w:p w14:paraId="7C3F62A2"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1339" w:type="dxa"/>
            <w:tcBorders>
              <w:right w:val="single" w:sz="4" w:space="0" w:color="auto"/>
            </w:tcBorders>
          </w:tcPr>
          <w:p w14:paraId="26B7E94C"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MSs</w:t>
            </w:r>
          </w:p>
        </w:tc>
        <w:tc>
          <w:tcPr>
            <w:tcW w:w="872" w:type="dxa"/>
            <w:tcBorders>
              <w:left w:val="single" w:sz="4" w:space="0" w:color="auto"/>
              <w:right w:val="single" w:sz="12" w:space="0" w:color="auto"/>
            </w:tcBorders>
          </w:tcPr>
          <w:p w14:paraId="787DD99B"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72" w:type="dxa"/>
            <w:tcBorders>
              <w:left w:val="single" w:sz="12" w:space="0" w:color="auto"/>
            </w:tcBorders>
          </w:tcPr>
          <w:p w14:paraId="0F11F6B7"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44" w:type="dxa"/>
          </w:tcPr>
          <w:p w14:paraId="3F327112"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39" w:type="dxa"/>
            <w:tcBorders>
              <w:right w:val="single" w:sz="12" w:space="0" w:color="auto"/>
            </w:tcBorders>
          </w:tcPr>
          <w:p w14:paraId="0D2887EC"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16" w:type="dxa"/>
            <w:tcBorders>
              <w:left w:val="single" w:sz="12" w:space="0" w:color="auto"/>
            </w:tcBorders>
          </w:tcPr>
          <w:p w14:paraId="66F32E0A"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904" w:type="dxa"/>
          </w:tcPr>
          <w:p w14:paraId="1A3A3683"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1120" w:type="dxa"/>
          </w:tcPr>
          <w:p w14:paraId="464A0340"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34" w:type="dxa"/>
          </w:tcPr>
          <w:p w14:paraId="206B88EA"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r>
      <w:tr w:rsidR="00F0236A" w:rsidRPr="00073574" w14:paraId="119863FA" w14:textId="77777777" w:rsidTr="7277BFE4">
        <w:trPr>
          <w:cantSplit/>
          <w:jc w:val="center"/>
        </w:trPr>
        <w:tc>
          <w:tcPr>
            <w:tcW w:w="3073" w:type="dxa"/>
            <w:tcBorders>
              <w:right w:val="single" w:sz="12" w:space="0" w:color="auto"/>
            </w:tcBorders>
            <w:shd w:val="clear" w:color="auto" w:fill="auto"/>
          </w:tcPr>
          <w:p w14:paraId="66EAEEBA" w14:textId="77777777" w:rsidR="00F0236A" w:rsidRPr="00073574" w:rsidRDefault="0053741E"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hyperlink w:anchor="Resolution_62" w:history="1">
              <w:r w:rsidR="00F0236A" w:rsidRPr="00073574">
                <w:rPr>
                  <w:rStyle w:val="Hyperlink"/>
                </w:rPr>
                <w:t>Resolution 62</w:t>
              </w:r>
            </w:hyperlink>
            <w:r w:rsidR="00F0236A" w:rsidRPr="00073574">
              <w:t xml:space="preserve"> – Dispute settlement</w:t>
            </w:r>
          </w:p>
        </w:tc>
        <w:tc>
          <w:tcPr>
            <w:tcW w:w="991" w:type="dxa"/>
            <w:tcBorders>
              <w:left w:val="single" w:sz="12" w:space="0" w:color="auto"/>
            </w:tcBorders>
          </w:tcPr>
          <w:p w14:paraId="5DD54E47"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SG3</w:t>
            </w:r>
          </w:p>
        </w:tc>
        <w:tc>
          <w:tcPr>
            <w:tcW w:w="984" w:type="dxa"/>
          </w:tcPr>
          <w:p w14:paraId="5B28EB88"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94" w:type="dxa"/>
          </w:tcPr>
          <w:p w14:paraId="4BE0B645"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1339" w:type="dxa"/>
            <w:tcBorders>
              <w:right w:val="single" w:sz="4" w:space="0" w:color="auto"/>
            </w:tcBorders>
          </w:tcPr>
          <w:p w14:paraId="06BD4432"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MSs</w:t>
            </w:r>
          </w:p>
        </w:tc>
        <w:tc>
          <w:tcPr>
            <w:tcW w:w="872" w:type="dxa"/>
            <w:tcBorders>
              <w:left w:val="single" w:sz="4" w:space="0" w:color="auto"/>
              <w:right w:val="single" w:sz="12" w:space="0" w:color="auto"/>
            </w:tcBorders>
          </w:tcPr>
          <w:p w14:paraId="25EDDE73"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72" w:type="dxa"/>
            <w:tcBorders>
              <w:left w:val="single" w:sz="12" w:space="0" w:color="auto"/>
            </w:tcBorders>
          </w:tcPr>
          <w:p w14:paraId="317BA2AB"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44" w:type="dxa"/>
          </w:tcPr>
          <w:p w14:paraId="6F1C3922"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39" w:type="dxa"/>
            <w:tcBorders>
              <w:right w:val="single" w:sz="12" w:space="0" w:color="auto"/>
            </w:tcBorders>
          </w:tcPr>
          <w:p w14:paraId="28C8C457"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16" w:type="dxa"/>
            <w:tcBorders>
              <w:left w:val="single" w:sz="12" w:space="0" w:color="auto"/>
            </w:tcBorders>
          </w:tcPr>
          <w:p w14:paraId="3921022A"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904" w:type="dxa"/>
          </w:tcPr>
          <w:p w14:paraId="425CE6D1"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1120" w:type="dxa"/>
          </w:tcPr>
          <w:p w14:paraId="010FA670"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34" w:type="dxa"/>
          </w:tcPr>
          <w:p w14:paraId="5070C73E"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r>
      <w:tr w:rsidR="00F0236A" w:rsidRPr="00073574" w14:paraId="253D6DBB" w14:textId="77777777" w:rsidTr="7277BFE4">
        <w:trPr>
          <w:cantSplit/>
          <w:jc w:val="center"/>
        </w:trPr>
        <w:tc>
          <w:tcPr>
            <w:tcW w:w="3073" w:type="dxa"/>
            <w:tcBorders>
              <w:right w:val="single" w:sz="12" w:space="0" w:color="auto"/>
            </w:tcBorders>
            <w:shd w:val="clear" w:color="auto" w:fill="auto"/>
          </w:tcPr>
          <w:p w14:paraId="1E403395" w14:textId="77777777" w:rsidR="00F0236A" w:rsidRPr="00073574" w:rsidRDefault="0053741E"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hyperlink w:anchor="_Resolution_64_-" w:history="1">
              <w:r w:rsidR="00F0236A" w:rsidRPr="00073574">
                <w:rPr>
                  <w:rStyle w:val="Hyperlink"/>
                </w:rPr>
                <w:t>Resolution 64</w:t>
              </w:r>
            </w:hyperlink>
            <w:r w:rsidR="00F0236A" w:rsidRPr="00073574">
              <w:t xml:space="preserve"> – IP address allocation and facilitating the transition to and deployment of IPv6</w:t>
            </w:r>
          </w:p>
        </w:tc>
        <w:tc>
          <w:tcPr>
            <w:tcW w:w="991" w:type="dxa"/>
            <w:tcBorders>
              <w:left w:val="single" w:sz="12" w:space="0" w:color="auto"/>
            </w:tcBorders>
          </w:tcPr>
          <w:p w14:paraId="200792BA"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SG2, SG3</w:t>
            </w:r>
          </w:p>
        </w:tc>
        <w:tc>
          <w:tcPr>
            <w:tcW w:w="984" w:type="dxa"/>
          </w:tcPr>
          <w:p w14:paraId="5D94BADE"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94" w:type="dxa"/>
          </w:tcPr>
          <w:p w14:paraId="2DD1B390"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1339" w:type="dxa"/>
            <w:tcBorders>
              <w:right w:val="single" w:sz="4" w:space="0" w:color="auto"/>
            </w:tcBorders>
          </w:tcPr>
          <w:p w14:paraId="60E257C7"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MSs, SMs</w:t>
            </w:r>
          </w:p>
        </w:tc>
        <w:tc>
          <w:tcPr>
            <w:tcW w:w="872" w:type="dxa"/>
            <w:tcBorders>
              <w:left w:val="single" w:sz="4" w:space="0" w:color="auto"/>
              <w:right w:val="single" w:sz="12" w:space="0" w:color="auto"/>
            </w:tcBorders>
          </w:tcPr>
          <w:p w14:paraId="664E5D89"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72" w:type="dxa"/>
            <w:tcBorders>
              <w:left w:val="single" w:sz="12" w:space="0" w:color="auto"/>
            </w:tcBorders>
          </w:tcPr>
          <w:p w14:paraId="67672E5A"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44" w:type="dxa"/>
          </w:tcPr>
          <w:p w14:paraId="7C6A2DE0"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839" w:type="dxa"/>
            <w:tcBorders>
              <w:right w:val="single" w:sz="12" w:space="0" w:color="auto"/>
            </w:tcBorders>
          </w:tcPr>
          <w:p w14:paraId="106EDBE5"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16" w:type="dxa"/>
            <w:tcBorders>
              <w:left w:val="single" w:sz="12" w:space="0" w:color="auto"/>
            </w:tcBorders>
          </w:tcPr>
          <w:p w14:paraId="07F69ADD"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904" w:type="dxa"/>
          </w:tcPr>
          <w:p w14:paraId="1A9FCC61"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1120" w:type="dxa"/>
          </w:tcPr>
          <w:p w14:paraId="7F7072A3"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834" w:type="dxa"/>
          </w:tcPr>
          <w:p w14:paraId="17EAC969"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r>
      <w:tr w:rsidR="00F0236A" w:rsidRPr="00073574" w14:paraId="09291EA0" w14:textId="77777777" w:rsidTr="7277BFE4">
        <w:trPr>
          <w:cantSplit/>
          <w:jc w:val="center"/>
        </w:trPr>
        <w:tc>
          <w:tcPr>
            <w:tcW w:w="3073" w:type="dxa"/>
            <w:tcBorders>
              <w:right w:val="single" w:sz="12" w:space="0" w:color="auto"/>
            </w:tcBorders>
            <w:shd w:val="clear" w:color="auto" w:fill="auto"/>
          </w:tcPr>
          <w:p w14:paraId="40A75555" w14:textId="77777777" w:rsidR="00F0236A" w:rsidRPr="00073574" w:rsidRDefault="0053741E"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hyperlink w:anchor="Resolution_65" w:history="1">
              <w:r w:rsidR="00F0236A" w:rsidRPr="00073574">
                <w:rPr>
                  <w:rStyle w:val="Hyperlink"/>
                </w:rPr>
                <w:t>Resolution 65</w:t>
              </w:r>
            </w:hyperlink>
            <w:r w:rsidR="00F0236A" w:rsidRPr="00073574">
              <w:t xml:space="preserve"> – Calling party number delivery, calling line identification and origin identification information</w:t>
            </w:r>
          </w:p>
        </w:tc>
        <w:tc>
          <w:tcPr>
            <w:tcW w:w="991" w:type="dxa"/>
            <w:tcBorders>
              <w:left w:val="single" w:sz="12" w:space="0" w:color="auto"/>
            </w:tcBorders>
          </w:tcPr>
          <w:p w14:paraId="6E8172C5"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SG2, SG3, SG11, SG17</w:t>
            </w:r>
          </w:p>
        </w:tc>
        <w:tc>
          <w:tcPr>
            <w:tcW w:w="984" w:type="dxa"/>
          </w:tcPr>
          <w:p w14:paraId="771CE80C"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94" w:type="dxa"/>
          </w:tcPr>
          <w:p w14:paraId="2AFF178F"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1339" w:type="dxa"/>
            <w:tcBorders>
              <w:right w:val="single" w:sz="4" w:space="0" w:color="auto"/>
            </w:tcBorders>
          </w:tcPr>
          <w:p w14:paraId="1737A4E4"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MSs</w:t>
            </w:r>
          </w:p>
        </w:tc>
        <w:tc>
          <w:tcPr>
            <w:tcW w:w="872" w:type="dxa"/>
            <w:tcBorders>
              <w:left w:val="single" w:sz="4" w:space="0" w:color="auto"/>
              <w:right w:val="single" w:sz="12" w:space="0" w:color="auto"/>
            </w:tcBorders>
          </w:tcPr>
          <w:p w14:paraId="4CBD6D6F"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72" w:type="dxa"/>
            <w:tcBorders>
              <w:left w:val="single" w:sz="12" w:space="0" w:color="auto"/>
            </w:tcBorders>
          </w:tcPr>
          <w:p w14:paraId="1A1C146B"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44" w:type="dxa"/>
          </w:tcPr>
          <w:p w14:paraId="4247FF39"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39" w:type="dxa"/>
            <w:tcBorders>
              <w:right w:val="single" w:sz="12" w:space="0" w:color="auto"/>
            </w:tcBorders>
          </w:tcPr>
          <w:p w14:paraId="5F1709F1"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16" w:type="dxa"/>
            <w:tcBorders>
              <w:left w:val="single" w:sz="12" w:space="0" w:color="auto"/>
            </w:tcBorders>
          </w:tcPr>
          <w:p w14:paraId="11E55365"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904" w:type="dxa"/>
          </w:tcPr>
          <w:p w14:paraId="25BD124D"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1120" w:type="dxa"/>
          </w:tcPr>
          <w:p w14:paraId="6173C7D2"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834" w:type="dxa"/>
          </w:tcPr>
          <w:p w14:paraId="31C5B7CE"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r>
      <w:tr w:rsidR="00F0236A" w:rsidRPr="00073574" w14:paraId="5FAD7711" w14:textId="77777777" w:rsidTr="7277BFE4">
        <w:trPr>
          <w:cantSplit/>
          <w:jc w:val="center"/>
        </w:trPr>
        <w:tc>
          <w:tcPr>
            <w:tcW w:w="3073" w:type="dxa"/>
            <w:tcBorders>
              <w:right w:val="single" w:sz="12" w:space="0" w:color="auto"/>
            </w:tcBorders>
            <w:shd w:val="clear" w:color="auto" w:fill="auto"/>
          </w:tcPr>
          <w:p w14:paraId="098889DD" w14:textId="77777777" w:rsidR="00F0236A" w:rsidRPr="00073574" w:rsidRDefault="0053741E"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hyperlink w:anchor="Resolution_66" w:history="1">
              <w:r w:rsidR="00F0236A" w:rsidRPr="00073574">
                <w:rPr>
                  <w:rStyle w:val="Hyperlink"/>
                </w:rPr>
                <w:t>Resolution 66</w:t>
              </w:r>
            </w:hyperlink>
            <w:r w:rsidR="00F0236A" w:rsidRPr="00073574">
              <w:t xml:space="preserve"> – Technology Watch in the Telecommunication Standardization Bureau</w:t>
            </w:r>
          </w:p>
        </w:tc>
        <w:tc>
          <w:tcPr>
            <w:tcW w:w="991" w:type="dxa"/>
            <w:tcBorders>
              <w:left w:val="single" w:sz="12" w:space="0" w:color="auto"/>
            </w:tcBorders>
          </w:tcPr>
          <w:p w14:paraId="561D9D6E"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All SGs</w:t>
            </w:r>
          </w:p>
        </w:tc>
        <w:tc>
          <w:tcPr>
            <w:tcW w:w="984" w:type="dxa"/>
          </w:tcPr>
          <w:p w14:paraId="492D5D00"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94" w:type="dxa"/>
          </w:tcPr>
          <w:p w14:paraId="6C55B33F"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1339" w:type="dxa"/>
            <w:tcBorders>
              <w:right w:val="single" w:sz="4" w:space="0" w:color="auto"/>
            </w:tcBorders>
          </w:tcPr>
          <w:p w14:paraId="2ECA6775"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MSs, SMs</w:t>
            </w:r>
          </w:p>
        </w:tc>
        <w:tc>
          <w:tcPr>
            <w:tcW w:w="872" w:type="dxa"/>
            <w:tcBorders>
              <w:left w:val="single" w:sz="4" w:space="0" w:color="auto"/>
              <w:right w:val="single" w:sz="12" w:space="0" w:color="auto"/>
            </w:tcBorders>
          </w:tcPr>
          <w:p w14:paraId="25EFB8D1"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72" w:type="dxa"/>
            <w:tcBorders>
              <w:left w:val="single" w:sz="12" w:space="0" w:color="auto"/>
            </w:tcBorders>
          </w:tcPr>
          <w:p w14:paraId="7891DE13"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44" w:type="dxa"/>
          </w:tcPr>
          <w:p w14:paraId="0F0168EE"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39" w:type="dxa"/>
            <w:tcBorders>
              <w:right w:val="single" w:sz="12" w:space="0" w:color="auto"/>
            </w:tcBorders>
          </w:tcPr>
          <w:p w14:paraId="442326D6"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816" w:type="dxa"/>
            <w:tcBorders>
              <w:left w:val="single" w:sz="12" w:space="0" w:color="auto"/>
            </w:tcBorders>
          </w:tcPr>
          <w:p w14:paraId="1395B84F"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904" w:type="dxa"/>
          </w:tcPr>
          <w:p w14:paraId="71CC7CFF"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1120" w:type="dxa"/>
          </w:tcPr>
          <w:p w14:paraId="4CE43BB8"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34" w:type="dxa"/>
          </w:tcPr>
          <w:p w14:paraId="6AD3F010"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r>
      <w:tr w:rsidR="00F0236A" w:rsidRPr="00073574" w14:paraId="29D1079E" w14:textId="77777777" w:rsidTr="7277BFE4">
        <w:trPr>
          <w:cantSplit/>
          <w:jc w:val="center"/>
        </w:trPr>
        <w:tc>
          <w:tcPr>
            <w:tcW w:w="3073" w:type="dxa"/>
            <w:tcBorders>
              <w:right w:val="single" w:sz="12" w:space="0" w:color="auto"/>
            </w:tcBorders>
            <w:shd w:val="clear" w:color="auto" w:fill="auto"/>
          </w:tcPr>
          <w:p w14:paraId="1CBDBEB0" w14:textId="77777777" w:rsidR="00F0236A" w:rsidRPr="00073574" w:rsidRDefault="0053741E"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hyperlink w:anchor="Resolution_67" w:history="1">
              <w:r w:rsidR="00F0236A" w:rsidRPr="00073574">
                <w:rPr>
                  <w:rStyle w:val="Hyperlink"/>
                </w:rPr>
                <w:t>Resolution 67</w:t>
              </w:r>
            </w:hyperlink>
            <w:r w:rsidR="00F0236A" w:rsidRPr="00073574">
              <w:t xml:space="preserve"> – Use in the ITU Telecommunication Standardization Sector of the languages of the Union on an equal footing</w:t>
            </w:r>
          </w:p>
        </w:tc>
        <w:tc>
          <w:tcPr>
            <w:tcW w:w="991" w:type="dxa"/>
            <w:tcBorders>
              <w:left w:val="single" w:sz="12" w:space="0" w:color="auto"/>
            </w:tcBorders>
          </w:tcPr>
          <w:p w14:paraId="364934EA"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All SGs</w:t>
            </w:r>
          </w:p>
        </w:tc>
        <w:tc>
          <w:tcPr>
            <w:tcW w:w="984" w:type="dxa"/>
          </w:tcPr>
          <w:p w14:paraId="317FB9B8"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894" w:type="dxa"/>
          </w:tcPr>
          <w:p w14:paraId="0C0490FA"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1339" w:type="dxa"/>
            <w:tcBorders>
              <w:right w:val="single" w:sz="4" w:space="0" w:color="auto"/>
            </w:tcBorders>
          </w:tcPr>
          <w:p w14:paraId="263A8516"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72" w:type="dxa"/>
            <w:tcBorders>
              <w:left w:val="single" w:sz="4" w:space="0" w:color="auto"/>
              <w:right w:val="single" w:sz="12" w:space="0" w:color="auto"/>
            </w:tcBorders>
          </w:tcPr>
          <w:p w14:paraId="2E1074A9"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72" w:type="dxa"/>
            <w:tcBorders>
              <w:left w:val="single" w:sz="12" w:space="0" w:color="auto"/>
            </w:tcBorders>
          </w:tcPr>
          <w:p w14:paraId="48583ECD"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44" w:type="dxa"/>
          </w:tcPr>
          <w:p w14:paraId="7C6E1C48"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39" w:type="dxa"/>
            <w:tcBorders>
              <w:right w:val="single" w:sz="12" w:space="0" w:color="auto"/>
            </w:tcBorders>
          </w:tcPr>
          <w:p w14:paraId="273FDFE2"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16" w:type="dxa"/>
            <w:tcBorders>
              <w:left w:val="single" w:sz="12" w:space="0" w:color="auto"/>
            </w:tcBorders>
          </w:tcPr>
          <w:p w14:paraId="587C9FF7"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904" w:type="dxa"/>
          </w:tcPr>
          <w:p w14:paraId="4011AFC8"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1120" w:type="dxa"/>
          </w:tcPr>
          <w:p w14:paraId="01915876"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34" w:type="dxa"/>
          </w:tcPr>
          <w:p w14:paraId="3FFB6150"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r>
      <w:tr w:rsidR="00F0236A" w:rsidRPr="00073574" w14:paraId="6DC11183" w14:textId="77777777" w:rsidTr="7277BFE4">
        <w:trPr>
          <w:cantSplit/>
          <w:jc w:val="center"/>
        </w:trPr>
        <w:tc>
          <w:tcPr>
            <w:tcW w:w="3073" w:type="dxa"/>
            <w:tcBorders>
              <w:right w:val="single" w:sz="12" w:space="0" w:color="auto"/>
            </w:tcBorders>
            <w:shd w:val="clear" w:color="auto" w:fill="auto"/>
          </w:tcPr>
          <w:p w14:paraId="531DF743" w14:textId="77777777" w:rsidR="00F0236A" w:rsidRPr="00073574" w:rsidRDefault="0053741E"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hyperlink w:anchor="Resolution_68" w:history="1">
              <w:r w:rsidR="00F0236A" w:rsidRPr="00073574">
                <w:rPr>
                  <w:rStyle w:val="Hyperlink"/>
                </w:rPr>
                <w:t>Resolution 68</w:t>
              </w:r>
            </w:hyperlink>
            <w:r w:rsidR="00F0236A" w:rsidRPr="00073574">
              <w:t xml:space="preserve"> – Evolving role of industry in the ITU Telecommunication Standardization Sector</w:t>
            </w:r>
          </w:p>
        </w:tc>
        <w:tc>
          <w:tcPr>
            <w:tcW w:w="991" w:type="dxa"/>
            <w:tcBorders>
              <w:left w:val="single" w:sz="12" w:space="0" w:color="auto"/>
            </w:tcBorders>
          </w:tcPr>
          <w:p w14:paraId="3FA3AE64"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984" w:type="dxa"/>
          </w:tcPr>
          <w:p w14:paraId="0565FF22"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94" w:type="dxa"/>
          </w:tcPr>
          <w:p w14:paraId="34F975CC"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1339" w:type="dxa"/>
            <w:tcBorders>
              <w:right w:val="single" w:sz="4" w:space="0" w:color="auto"/>
            </w:tcBorders>
          </w:tcPr>
          <w:p w14:paraId="6128E0A9"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SMs</w:t>
            </w:r>
          </w:p>
        </w:tc>
        <w:tc>
          <w:tcPr>
            <w:tcW w:w="872" w:type="dxa"/>
            <w:tcBorders>
              <w:left w:val="single" w:sz="4" w:space="0" w:color="auto"/>
              <w:right w:val="single" w:sz="12" w:space="0" w:color="auto"/>
            </w:tcBorders>
          </w:tcPr>
          <w:p w14:paraId="783F8D28"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72" w:type="dxa"/>
            <w:tcBorders>
              <w:left w:val="single" w:sz="12" w:space="0" w:color="auto"/>
            </w:tcBorders>
          </w:tcPr>
          <w:p w14:paraId="39172899"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44" w:type="dxa"/>
          </w:tcPr>
          <w:p w14:paraId="487D532B"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39" w:type="dxa"/>
            <w:tcBorders>
              <w:right w:val="single" w:sz="12" w:space="0" w:color="auto"/>
            </w:tcBorders>
          </w:tcPr>
          <w:p w14:paraId="0AEC6D72"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16" w:type="dxa"/>
            <w:tcBorders>
              <w:left w:val="single" w:sz="12" w:space="0" w:color="auto"/>
            </w:tcBorders>
          </w:tcPr>
          <w:p w14:paraId="2B2F5335"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904" w:type="dxa"/>
          </w:tcPr>
          <w:p w14:paraId="5197D2D9"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1120" w:type="dxa"/>
          </w:tcPr>
          <w:p w14:paraId="4880AA52"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834" w:type="dxa"/>
          </w:tcPr>
          <w:p w14:paraId="0B12DD51"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r>
      <w:tr w:rsidR="00F0236A" w:rsidRPr="00073574" w14:paraId="6664B5FE" w14:textId="77777777" w:rsidTr="7277BFE4">
        <w:trPr>
          <w:cantSplit/>
          <w:jc w:val="center"/>
        </w:trPr>
        <w:tc>
          <w:tcPr>
            <w:tcW w:w="3073" w:type="dxa"/>
            <w:tcBorders>
              <w:right w:val="single" w:sz="12" w:space="0" w:color="auto"/>
            </w:tcBorders>
            <w:shd w:val="clear" w:color="auto" w:fill="auto"/>
          </w:tcPr>
          <w:p w14:paraId="22C9CB6C" w14:textId="77777777" w:rsidR="00F0236A" w:rsidRPr="00073574" w:rsidRDefault="0053741E"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hyperlink w:anchor="_Resolution_69_-" w:history="1">
              <w:r w:rsidR="00F0236A" w:rsidRPr="00073574">
                <w:rPr>
                  <w:rStyle w:val="Hyperlink"/>
                </w:rPr>
                <w:t>Resolution 69</w:t>
              </w:r>
            </w:hyperlink>
            <w:r w:rsidR="00F0236A" w:rsidRPr="00073574">
              <w:t xml:space="preserve"> – Non-discriminatory access and use of Internet resources and telecommunications/information and communication technologies</w:t>
            </w:r>
          </w:p>
        </w:tc>
        <w:tc>
          <w:tcPr>
            <w:tcW w:w="991" w:type="dxa"/>
            <w:tcBorders>
              <w:left w:val="single" w:sz="12" w:space="0" w:color="auto"/>
            </w:tcBorders>
          </w:tcPr>
          <w:p w14:paraId="328DB963"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984" w:type="dxa"/>
          </w:tcPr>
          <w:p w14:paraId="020DEBED"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94" w:type="dxa"/>
          </w:tcPr>
          <w:p w14:paraId="6B209838"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1339" w:type="dxa"/>
            <w:tcBorders>
              <w:right w:val="single" w:sz="4" w:space="0" w:color="auto"/>
            </w:tcBorders>
          </w:tcPr>
          <w:p w14:paraId="5C7C943B"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MSs, SMs, Associates, academia</w:t>
            </w:r>
          </w:p>
        </w:tc>
        <w:tc>
          <w:tcPr>
            <w:tcW w:w="872" w:type="dxa"/>
            <w:tcBorders>
              <w:left w:val="single" w:sz="4" w:space="0" w:color="auto"/>
              <w:right w:val="single" w:sz="12" w:space="0" w:color="auto"/>
            </w:tcBorders>
          </w:tcPr>
          <w:p w14:paraId="324F7DF7"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72" w:type="dxa"/>
            <w:tcBorders>
              <w:left w:val="single" w:sz="12" w:space="0" w:color="auto"/>
            </w:tcBorders>
          </w:tcPr>
          <w:p w14:paraId="2EA0411A"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SecGen</w:t>
            </w:r>
          </w:p>
        </w:tc>
        <w:tc>
          <w:tcPr>
            <w:tcW w:w="844" w:type="dxa"/>
          </w:tcPr>
          <w:p w14:paraId="54EE4A27"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839" w:type="dxa"/>
            <w:tcBorders>
              <w:right w:val="single" w:sz="12" w:space="0" w:color="auto"/>
            </w:tcBorders>
          </w:tcPr>
          <w:p w14:paraId="549F8D7D"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816" w:type="dxa"/>
            <w:tcBorders>
              <w:left w:val="single" w:sz="12" w:space="0" w:color="auto"/>
            </w:tcBorders>
          </w:tcPr>
          <w:p w14:paraId="0803CDA7"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904" w:type="dxa"/>
          </w:tcPr>
          <w:p w14:paraId="14F53FF6"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1120" w:type="dxa"/>
          </w:tcPr>
          <w:p w14:paraId="1FA36E00"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834" w:type="dxa"/>
          </w:tcPr>
          <w:p w14:paraId="5BBFC13A"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r>
      <w:tr w:rsidR="00F0236A" w:rsidRPr="00073574" w14:paraId="64807ACC" w14:textId="77777777" w:rsidTr="7277BFE4">
        <w:trPr>
          <w:cantSplit/>
          <w:jc w:val="center"/>
        </w:trPr>
        <w:tc>
          <w:tcPr>
            <w:tcW w:w="3073" w:type="dxa"/>
            <w:tcBorders>
              <w:right w:val="single" w:sz="12" w:space="0" w:color="auto"/>
            </w:tcBorders>
            <w:shd w:val="clear" w:color="auto" w:fill="auto"/>
          </w:tcPr>
          <w:p w14:paraId="40A6CF01" w14:textId="77777777" w:rsidR="00F0236A" w:rsidRPr="00073574" w:rsidRDefault="0053741E"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hyperlink w:anchor="Resolution_70" w:history="1">
              <w:r w:rsidR="00F0236A" w:rsidRPr="00073574">
                <w:rPr>
                  <w:rStyle w:val="Hyperlink"/>
                </w:rPr>
                <w:t>Resolution 70</w:t>
              </w:r>
            </w:hyperlink>
            <w:r w:rsidR="00F0236A" w:rsidRPr="00073574">
              <w:t xml:space="preserve"> – Telecommunication/information and communication technology accessibility for persons with disabilities and persons with specific needs</w:t>
            </w:r>
          </w:p>
        </w:tc>
        <w:tc>
          <w:tcPr>
            <w:tcW w:w="991" w:type="dxa"/>
            <w:tcBorders>
              <w:left w:val="single" w:sz="12" w:space="0" w:color="auto"/>
            </w:tcBorders>
          </w:tcPr>
          <w:p w14:paraId="5A602B42"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All SGs, SG16,</w:t>
            </w:r>
          </w:p>
          <w:p w14:paraId="36687146"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JCA-AHF</w:t>
            </w:r>
          </w:p>
        </w:tc>
        <w:tc>
          <w:tcPr>
            <w:tcW w:w="984" w:type="dxa"/>
          </w:tcPr>
          <w:p w14:paraId="5FCE4C4A"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894" w:type="dxa"/>
          </w:tcPr>
          <w:p w14:paraId="0851A620"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1339" w:type="dxa"/>
            <w:tcBorders>
              <w:right w:val="single" w:sz="4" w:space="0" w:color="auto"/>
            </w:tcBorders>
          </w:tcPr>
          <w:p w14:paraId="3F5EDB0A"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MSs, SMs</w:t>
            </w:r>
          </w:p>
        </w:tc>
        <w:tc>
          <w:tcPr>
            <w:tcW w:w="872" w:type="dxa"/>
            <w:tcBorders>
              <w:left w:val="single" w:sz="4" w:space="0" w:color="auto"/>
              <w:right w:val="single" w:sz="12" w:space="0" w:color="auto"/>
            </w:tcBorders>
          </w:tcPr>
          <w:p w14:paraId="3505D810"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72" w:type="dxa"/>
            <w:tcBorders>
              <w:left w:val="single" w:sz="12" w:space="0" w:color="auto"/>
            </w:tcBorders>
          </w:tcPr>
          <w:p w14:paraId="3C3EB7F4"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44" w:type="dxa"/>
          </w:tcPr>
          <w:p w14:paraId="4D23D2D2"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839" w:type="dxa"/>
            <w:tcBorders>
              <w:right w:val="single" w:sz="12" w:space="0" w:color="auto"/>
            </w:tcBorders>
          </w:tcPr>
          <w:p w14:paraId="725BB18E"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816" w:type="dxa"/>
            <w:tcBorders>
              <w:left w:val="single" w:sz="12" w:space="0" w:color="auto"/>
            </w:tcBorders>
          </w:tcPr>
          <w:p w14:paraId="42B78AAC"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904" w:type="dxa"/>
          </w:tcPr>
          <w:p w14:paraId="164FCC84"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1120" w:type="dxa"/>
          </w:tcPr>
          <w:p w14:paraId="0E65AA3D"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34" w:type="dxa"/>
          </w:tcPr>
          <w:p w14:paraId="6D40A82B"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r>
      <w:tr w:rsidR="00F0236A" w:rsidRPr="00073574" w14:paraId="21DA34F6" w14:textId="77777777" w:rsidTr="7277BFE4">
        <w:trPr>
          <w:cantSplit/>
          <w:jc w:val="center"/>
        </w:trPr>
        <w:tc>
          <w:tcPr>
            <w:tcW w:w="3073" w:type="dxa"/>
            <w:tcBorders>
              <w:right w:val="single" w:sz="12" w:space="0" w:color="auto"/>
            </w:tcBorders>
            <w:shd w:val="clear" w:color="auto" w:fill="auto"/>
          </w:tcPr>
          <w:p w14:paraId="2FF3C3A5" w14:textId="77777777" w:rsidR="00F0236A" w:rsidRPr="00073574" w:rsidRDefault="0053741E"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hyperlink w:anchor="Resolution_72" w:history="1">
              <w:r w:rsidR="00F0236A" w:rsidRPr="00073574">
                <w:rPr>
                  <w:rStyle w:val="Hyperlink"/>
                </w:rPr>
                <w:t>Resolution 72</w:t>
              </w:r>
            </w:hyperlink>
            <w:r w:rsidR="00F0236A" w:rsidRPr="00073574">
              <w:t xml:space="preserve"> – Measurement and assessment concerns related to human exposure to electromagnetic fields</w:t>
            </w:r>
          </w:p>
        </w:tc>
        <w:tc>
          <w:tcPr>
            <w:tcW w:w="991" w:type="dxa"/>
            <w:tcBorders>
              <w:left w:val="single" w:sz="12" w:space="0" w:color="auto"/>
            </w:tcBorders>
          </w:tcPr>
          <w:p w14:paraId="35A55B1F"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SG5</w:t>
            </w:r>
          </w:p>
        </w:tc>
        <w:tc>
          <w:tcPr>
            <w:tcW w:w="984" w:type="dxa"/>
          </w:tcPr>
          <w:p w14:paraId="23A5875C"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94" w:type="dxa"/>
          </w:tcPr>
          <w:p w14:paraId="204698C2"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1339" w:type="dxa"/>
            <w:tcBorders>
              <w:right w:val="single" w:sz="4" w:space="0" w:color="auto"/>
            </w:tcBorders>
          </w:tcPr>
          <w:p w14:paraId="4F5F1721"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MSs, SMs</w:t>
            </w:r>
          </w:p>
        </w:tc>
        <w:tc>
          <w:tcPr>
            <w:tcW w:w="872" w:type="dxa"/>
            <w:tcBorders>
              <w:left w:val="single" w:sz="4" w:space="0" w:color="auto"/>
              <w:right w:val="single" w:sz="12" w:space="0" w:color="auto"/>
            </w:tcBorders>
          </w:tcPr>
          <w:p w14:paraId="0E071FDD"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72" w:type="dxa"/>
            <w:tcBorders>
              <w:left w:val="single" w:sz="12" w:space="0" w:color="auto"/>
            </w:tcBorders>
          </w:tcPr>
          <w:p w14:paraId="425E10B7"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44" w:type="dxa"/>
          </w:tcPr>
          <w:p w14:paraId="2DB4157F"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839" w:type="dxa"/>
            <w:tcBorders>
              <w:right w:val="single" w:sz="12" w:space="0" w:color="auto"/>
            </w:tcBorders>
          </w:tcPr>
          <w:p w14:paraId="70A97AE1"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816" w:type="dxa"/>
            <w:tcBorders>
              <w:left w:val="single" w:sz="12" w:space="0" w:color="auto"/>
            </w:tcBorders>
          </w:tcPr>
          <w:p w14:paraId="30DC1076"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904" w:type="dxa"/>
          </w:tcPr>
          <w:p w14:paraId="05704920"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1120" w:type="dxa"/>
          </w:tcPr>
          <w:p w14:paraId="3FB20453"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834" w:type="dxa"/>
          </w:tcPr>
          <w:p w14:paraId="2B5CCABB"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r>
      <w:tr w:rsidR="00F0236A" w:rsidRPr="00073574" w14:paraId="6B87E68E" w14:textId="77777777" w:rsidTr="7277BFE4">
        <w:trPr>
          <w:cantSplit/>
          <w:jc w:val="center"/>
        </w:trPr>
        <w:tc>
          <w:tcPr>
            <w:tcW w:w="3073" w:type="dxa"/>
            <w:tcBorders>
              <w:right w:val="single" w:sz="12" w:space="0" w:color="auto"/>
            </w:tcBorders>
            <w:shd w:val="clear" w:color="auto" w:fill="auto"/>
          </w:tcPr>
          <w:p w14:paraId="4B2E90B7" w14:textId="77777777" w:rsidR="00F0236A" w:rsidRPr="00073574" w:rsidRDefault="0053741E"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hyperlink w:anchor="Resolution_73" w:history="1">
              <w:r w:rsidR="00F0236A" w:rsidRPr="00073574">
                <w:rPr>
                  <w:rStyle w:val="Hyperlink"/>
                </w:rPr>
                <w:t>Resolution 73</w:t>
              </w:r>
            </w:hyperlink>
            <w:r w:rsidR="00F0236A" w:rsidRPr="00073574">
              <w:t xml:space="preserve"> – Information and communications technologies, environment and climate change</w:t>
            </w:r>
          </w:p>
        </w:tc>
        <w:tc>
          <w:tcPr>
            <w:tcW w:w="991" w:type="dxa"/>
            <w:tcBorders>
              <w:left w:val="single" w:sz="12" w:space="0" w:color="auto"/>
            </w:tcBorders>
          </w:tcPr>
          <w:p w14:paraId="4D0BA1CB" w14:textId="2B516D72" w:rsidR="00F0236A" w:rsidRPr="00073574" w:rsidRDefault="00F0236A" w:rsidP="00C12EFB">
            <w:pPr>
              <w:pStyle w:val="Tabletext"/>
              <w:tabs>
                <w:tab w:val="clear" w:pos="284"/>
                <w:tab w:val="clear" w:pos="567"/>
                <w:tab w:val="clear" w:pos="851"/>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before="32" w:after="32"/>
            </w:pPr>
            <w:r w:rsidRPr="00073574">
              <w:t>All SGs, SG5</w:t>
            </w:r>
          </w:p>
        </w:tc>
        <w:tc>
          <w:tcPr>
            <w:tcW w:w="984" w:type="dxa"/>
          </w:tcPr>
          <w:p w14:paraId="524ACF3F"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894" w:type="dxa"/>
          </w:tcPr>
          <w:p w14:paraId="1AFD904F"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1339" w:type="dxa"/>
            <w:tcBorders>
              <w:right w:val="single" w:sz="4" w:space="0" w:color="auto"/>
            </w:tcBorders>
          </w:tcPr>
          <w:p w14:paraId="0C95FA2C"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MSs, SMs, Associates</w:t>
            </w:r>
          </w:p>
        </w:tc>
        <w:tc>
          <w:tcPr>
            <w:tcW w:w="872" w:type="dxa"/>
            <w:tcBorders>
              <w:left w:val="single" w:sz="4" w:space="0" w:color="auto"/>
              <w:right w:val="single" w:sz="12" w:space="0" w:color="auto"/>
            </w:tcBorders>
          </w:tcPr>
          <w:p w14:paraId="70AB2ACB"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SecGen</w:t>
            </w:r>
          </w:p>
        </w:tc>
        <w:tc>
          <w:tcPr>
            <w:tcW w:w="872" w:type="dxa"/>
            <w:tcBorders>
              <w:left w:val="single" w:sz="12" w:space="0" w:color="auto"/>
            </w:tcBorders>
          </w:tcPr>
          <w:p w14:paraId="7195B284"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SecGen</w:t>
            </w:r>
          </w:p>
        </w:tc>
        <w:tc>
          <w:tcPr>
            <w:tcW w:w="844" w:type="dxa"/>
          </w:tcPr>
          <w:p w14:paraId="16EE6D10"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839" w:type="dxa"/>
            <w:tcBorders>
              <w:right w:val="single" w:sz="12" w:space="0" w:color="auto"/>
            </w:tcBorders>
          </w:tcPr>
          <w:p w14:paraId="53DAC312"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816" w:type="dxa"/>
            <w:tcBorders>
              <w:left w:val="single" w:sz="12" w:space="0" w:color="auto"/>
            </w:tcBorders>
          </w:tcPr>
          <w:p w14:paraId="0A7A7597"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904" w:type="dxa"/>
          </w:tcPr>
          <w:p w14:paraId="16FDD27D"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1120" w:type="dxa"/>
          </w:tcPr>
          <w:p w14:paraId="2280B478" w14:textId="77DDEB62" w:rsidR="00F0236A" w:rsidRPr="00073574" w:rsidRDefault="00F00280"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834" w:type="dxa"/>
          </w:tcPr>
          <w:p w14:paraId="3E9815C4"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r>
      <w:tr w:rsidR="00F0236A" w:rsidRPr="00073574" w14:paraId="0CC8456C" w14:textId="77777777" w:rsidTr="7277BFE4">
        <w:trPr>
          <w:cantSplit/>
          <w:jc w:val="center"/>
        </w:trPr>
        <w:tc>
          <w:tcPr>
            <w:tcW w:w="3073" w:type="dxa"/>
            <w:tcBorders>
              <w:right w:val="single" w:sz="12" w:space="0" w:color="auto"/>
            </w:tcBorders>
            <w:shd w:val="clear" w:color="auto" w:fill="auto"/>
          </w:tcPr>
          <w:p w14:paraId="57A4B412" w14:textId="77777777" w:rsidR="00F0236A" w:rsidRPr="00073574" w:rsidRDefault="0053741E"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hyperlink w:anchor="Resolution_74" w:history="1">
              <w:r w:rsidR="00F0236A" w:rsidRPr="00073574">
                <w:rPr>
                  <w:rStyle w:val="Hyperlink"/>
                </w:rPr>
                <w:t>Resolution 74</w:t>
              </w:r>
            </w:hyperlink>
            <w:r w:rsidR="00F0236A" w:rsidRPr="00073574">
              <w:t xml:space="preserve"> – Admission of Sector Members from developing countries in the work of the ITU Telecommunication Standardization Sector</w:t>
            </w:r>
          </w:p>
        </w:tc>
        <w:tc>
          <w:tcPr>
            <w:tcW w:w="991" w:type="dxa"/>
            <w:tcBorders>
              <w:left w:val="single" w:sz="12" w:space="0" w:color="auto"/>
            </w:tcBorders>
          </w:tcPr>
          <w:p w14:paraId="649CF253"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984" w:type="dxa"/>
          </w:tcPr>
          <w:p w14:paraId="7409478B"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94" w:type="dxa"/>
          </w:tcPr>
          <w:p w14:paraId="230AA731"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1339" w:type="dxa"/>
            <w:tcBorders>
              <w:right w:val="single" w:sz="4" w:space="0" w:color="auto"/>
            </w:tcBorders>
          </w:tcPr>
          <w:p w14:paraId="6ABCDAD7"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72" w:type="dxa"/>
            <w:tcBorders>
              <w:left w:val="single" w:sz="4" w:space="0" w:color="auto"/>
              <w:right w:val="single" w:sz="12" w:space="0" w:color="auto"/>
            </w:tcBorders>
          </w:tcPr>
          <w:p w14:paraId="6A24545A"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72" w:type="dxa"/>
            <w:tcBorders>
              <w:left w:val="single" w:sz="12" w:space="0" w:color="auto"/>
            </w:tcBorders>
          </w:tcPr>
          <w:p w14:paraId="0EC4F044"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44" w:type="dxa"/>
          </w:tcPr>
          <w:p w14:paraId="344225F0"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39" w:type="dxa"/>
            <w:tcBorders>
              <w:right w:val="single" w:sz="12" w:space="0" w:color="auto"/>
            </w:tcBorders>
          </w:tcPr>
          <w:p w14:paraId="68B63BBB"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16" w:type="dxa"/>
            <w:tcBorders>
              <w:left w:val="single" w:sz="12" w:space="0" w:color="auto"/>
            </w:tcBorders>
          </w:tcPr>
          <w:p w14:paraId="321E6314"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904" w:type="dxa"/>
          </w:tcPr>
          <w:p w14:paraId="52CBD08E"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1120" w:type="dxa"/>
          </w:tcPr>
          <w:p w14:paraId="700CACB4"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34" w:type="dxa"/>
          </w:tcPr>
          <w:p w14:paraId="314A5C6B"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r>
      <w:tr w:rsidR="00F0236A" w:rsidRPr="00073574" w14:paraId="0F72E7FA" w14:textId="77777777" w:rsidTr="7277BFE4">
        <w:trPr>
          <w:cantSplit/>
          <w:jc w:val="center"/>
        </w:trPr>
        <w:tc>
          <w:tcPr>
            <w:tcW w:w="3073" w:type="dxa"/>
            <w:tcBorders>
              <w:right w:val="single" w:sz="12" w:space="0" w:color="auto"/>
            </w:tcBorders>
            <w:shd w:val="clear" w:color="auto" w:fill="auto"/>
          </w:tcPr>
          <w:p w14:paraId="7A1BFDD2" w14:textId="1FE86B90" w:rsidR="00F0236A" w:rsidRPr="00073574" w:rsidRDefault="0053741E"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hyperlink w:anchor="Resolution_75" w:history="1">
              <w:r w:rsidR="00F0236A" w:rsidRPr="00073574">
                <w:rPr>
                  <w:rStyle w:val="Hyperlink"/>
                </w:rPr>
                <w:t>Resolution 75</w:t>
              </w:r>
            </w:hyperlink>
            <w:r w:rsidR="00F0236A" w:rsidRPr="00073574">
              <w:t xml:space="preserve"> – The ITU Telecommunication Standardization Sector</w:t>
            </w:r>
            <w:r w:rsidR="003C7E25" w:rsidRPr="00073574">
              <w:t>'</w:t>
            </w:r>
            <w:r w:rsidR="00F0236A" w:rsidRPr="00073574">
              <w:t>s contribution in implementing the outcomes of the World Summit on the Information Society, taking into account the 2030 Agenda for Sustainable Development</w:t>
            </w:r>
          </w:p>
        </w:tc>
        <w:tc>
          <w:tcPr>
            <w:tcW w:w="991" w:type="dxa"/>
            <w:tcBorders>
              <w:left w:val="single" w:sz="12" w:space="0" w:color="auto"/>
            </w:tcBorders>
          </w:tcPr>
          <w:p w14:paraId="1EE56D55"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All SGs</w:t>
            </w:r>
          </w:p>
        </w:tc>
        <w:tc>
          <w:tcPr>
            <w:tcW w:w="984" w:type="dxa"/>
          </w:tcPr>
          <w:p w14:paraId="62A01C16"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94" w:type="dxa"/>
          </w:tcPr>
          <w:p w14:paraId="33625966"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1339" w:type="dxa"/>
            <w:tcBorders>
              <w:right w:val="single" w:sz="4" w:space="0" w:color="auto"/>
            </w:tcBorders>
          </w:tcPr>
          <w:p w14:paraId="5F0C7CFD"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MSs, SMs, Associates, academia</w:t>
            </w:r>
          </w:p>
        </w:tc>
        <w:tc>
          <w:tcPr>
            <w:tcW w:w="872" w:type="dxa"/>
            <w:tcBorders>
              <w:left w:val="single" w:sz="4" w:space="0" w:color="auto"/>
              <w:right w:val="single" w:sz="12" w:space="0" w:color="auto"/>
            </w:tcBorders>
          </w:tcPr>
          <w:p w14:paraId="7D23D511"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72" w:type="dxa"/>
            <w:tcBorders>
              <w:left w:val="single" w:sz="12" w:space="0" w:color="auto"/>
            </w:tcBorders>
          </w:tcPr>
          <w:p w14:paraId="62B1E13D"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SecGen</w:t>
            </w:r>
          </w:p>
        </w:tc>
        <w:tc>
          <w:tcPr>
            <w:tcW w:w="844" w:type="dxa"/>
          </w:tcPr>
          <w:p w14:paraId="5D1AC8EF"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39" w:type="dxa"/>
            <w:tcBorders>
              <w:right w:val="single" w:sz="12" w:space="0" w:color="auto"/>
            </w:tcBorders>
          </w:tcPr>
          <w:p w14:paraId="679B689D"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16" w:type="dxa"/>
            <w:tcBorders>
              <w:left w:val="single" w:sz="12" w:space="0" w:color="auto"/>
            </w:tcBorders>
          </w:tcPr>
          <w:p w14:paraId="50094F89"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904" w:type="dxa"/>
          </w:tcPr>
          <w:p w14:paraId="103D2851"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1120" w:type="dxa"/>
          </w:tcPr>
          <w:p w14:paraId="15407455"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34" w:type="dxa"/>
          </w:tcPr>
          <w:p w14:paraId="64BBB09A"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r>
      <w:tr w:rsidR="00F0236A" w:rsidRPr="00073574" w14:paraId="27D29AC6" w14:textId="77777777" w:rsidTr="7277BFE4">
        <w:trPr>
          <w:cantSplit/>
          <w:jc w:val="center"/>
        </w:trPr>
        <w:tc>
          <w:tcPr>
            <w:tcW w:w="3073" w:type="dxa"/>
            <w:tcBorders>
              <w:right w:val="single" w:sz="12" w:space="0" w:color="auto"/>
            </w:tcBorders>
            <w:shd w:val="clear" w:color="auto" w:fill="auto"/>
          </w:tcPr>
          <w:p w14:paraId="463A281A" w14:textId="77777777" w:rsidR="00F0236A" w:rsidRPr="00073574" w:rsidRDefault="0053741E"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hyperlink w:anchor="Resolution_76" w:history="1">
              <w:r w:rsidR="00F0236A" w:rsidRPr="00073574">
                <w:rPr>
                  <w:rStyle w:val="Hyperlink"/>
                </w:rPr>
                <w:t>Resolution 76</w:t>
              </w:r>
            </w:hyperlink>
            <w:r w:rsidR="00F0236A" w:rsidRPr="00073574">
              <w:t xml:space="preserve"> – Studies related to conformance and interoperability testing, assistance to developing countries, and a possible future ITU mark programme</w:t>
            </w:r>
          </w:p>
        </w:tc>
        <w:tc>
          <w:tcPr>
            <w:tcW w:w="991" w:type="dxa"/>
            <w:tcBorders>
              <w:left w:val="single" w:sz="12" w:space="0" w:color="auto"/>
            </w:tcBorders>
          </w:tcPr>
          <w:p w14:paraId="402155D2"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All SGs, SG11, ITU-T CASC</w:t>
            </w:r>
          </w:p>
        </w:tc>
        <w:tc>
          <w:tcPr>
            <w:tcW w:w="984" w:type="dxa"/>
          </w:tcPr>
          <w:p w14:paraId="59E6341A"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94" w:type="dxa"/>
          </w:tcPr>
          <w:p w14:paraId="6F69A8FA"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1339" w:type="dxa"/>
            <w:tcBorders>
              <w:right w:val="single" w:sz="4" w:space="0" w:color="auto"/>
            </w:tcBorders>
          </w:tcPr>
          <w:p w14:paraId="43846F5D"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MSs, SMs</w:t>
            </w:r>
          </w:p>
        </w:tc>
        <w:tc>
          <w:tcPr>
            <w:tcW w:w="872" w:type="dxa"/>
            <w:tcBorders>
              <w:left w:val="single" w:sz="4" w:space="0" w:color="auto"/>
              <w:right w:val="single" w:sz="12" w:space="0" w:color="auto"/>
            </w:tcBorders>
          </w:tcPr>
          <w:p w14:paraId="4AB11608"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72" w:type="dxa"/>
            <w:tcBorders>
              <w:left w:val="single" w:sz="12" w:space="0" w:color="auto"/>
            </w:tcBorders>
          </w:tcPr>
          <w:p w14:paraId="06A7032E"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44" w:type="dxa"/>
          </w:tcPr>
          <w:p w14:paraId="5031C01F"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839" w:type="dxa"/>
            <w:tcBorders>
              <w:right w:val="single" w:sz="12" w:space="0" w:color="auto"/>
            </w:tcBorders>
          </w:tcPr>
          <w:p w14:paraId="1FA438E2"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16" w:type="dxa"/>
            <w:tcBorders>
              <w:left w:val="single" w:sz="12" w:space="0" w:color="auto"/>
            </w:tcBorders>
          </w:tcPr>
          <w:p w14:paraId="7A2704D9"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904" w:type="dxa"/>
          </w:tcPr>
          <w:p w14:paraId="45F1F55D"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1120" w:type="dxa"/>
          </w:tcPr>
          <w:p w14:paraId="6E5EC66D"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34" w:type="dxa"/>
          </w:tcPr>
          <w:p w14:paraId="44EF350A"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r>
      <w:tr w:rsidR="00F0236A" w:rsidRPr="00073574" w14:paraId="570932F9" w14:textId="77777777" w:rsidTr="7277BFE4">
        <w:trPr>
          <w:cantSplit/>
          <w:jc w:val="center"/>
        </w:trPr>
        <w:tc>
          <w:tcPr>
            <w:tcW w:w="3073" w:type="dxa"/>
            <w:tcBorders>
              <w:right w:val="single" w:sz="12" w:space="0" w:color="auto"/>
            </w:tcBorders>
            <w:shd w:val="clear" w:color="auto" w:fill="auto"/>
          </w:tcPr>
          <w:p w14:paraId="5588651C" w14:textId="77777777" w:rsidR="00F0236A" w:rsidRPr="00073574" w:rsidRDefault="0053741E"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hyperlink w:anchor="Resolution_76" w:history="1">
              <w:r w:rsidR="00F0236A" w:rsidRPr="00073574">
                <w:rPr>
                  <w:rStyle w:val="Hyperlink"/>
                </w:rPr>
                <w:t>Resolution 77</w:t>
              </w:r>
            </w:hyperlink>
            <w:r w:rsidR="00F0236A" w:rsidRPr="00073574">
              <w:t xml:space="preserve"> – Enhancing the standardization work in the ITU Telecommunication Standardization Sector</w:t>
            </w:r>
            <w:r w:rsidR="00F0236A" w:rsidRPr="00073574" w:rsidDel="00227395">
              <w:t xml:space="preserve"> </w:t>
            </w:r>
            <w:r w:rsidR="00F0236A" w:rsidRPr="00073574">
              <w:t>for software-defined networking</w:t>
            </w:r>
          </w:p>
        </w:tc>
        <w:tc>
          <w:tcPr>
            <w:tcW w:w="991" w:type="dxa"/>
            <w:tcBorders>
              <w:left w:val="single" w:sz="12" w:space="0" w:color="auto"/>
            </w:tcBorders>
          </w:tcPr>
          <w:p w14:paraId="6C9BD270"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All SGs, SG13,</w:t>
            </w:r>
          </w:p>
          <w:p w14:paraId="30E508C7"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JCA-SDN</w:t>
            </w:r>
          </w:p>
        </w:tc>
        <w:tc>
          <w:tcPr>
            <w:tcW w:w="984" w:type="dxa"/>
          </w:tcPr>
          <w:p w14:paraId="5D8E77F5"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894" w:type="dxa"/>
          </w:tcPr>
          <w:p w14:paraId="3D9CDEA7"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1339" w:type="dxa"/>
            <w:tcBorders>
              <w:right w:val="single" w:sz="4" w:space="0" w:color="auto"/>
            </w:tcBorders>
          </w:tcPr>
          <w:p w14:paraId="46166EAE"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MSs, SMs, Associates, academia</w:t>
            </w:r>
          </w:p>
        </w:tc>
        <w:tc>
          <w:tcPr>
            <w:tcW w:w="872" w:type="dxa"/>
            <w:tcBorders>
              <w:left w:val="single" w:sz="4" w:space="0" w:color="auto"/>
              <w:right w:val="single" w:sz="12" w:space="0" w:color="auto"/>
            </w:tcBorders>
          </w:tcPr>
          <w:p w14:paraId="65A0E406"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72" w:type="dxa"/>
            <w:tcBorders>
              <w:left w:val="single" w:sz="12" w:space="0" w:color="auto"/>
            </w:tcBorders>
          </w:tcPr>
          <w:p w14:paraId="685899B6"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44" w:type="dxa"/>
          </w:tcPr>
          <w:p w14:paraId="2A0DCBA9"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39" w:type="dxa"/>
            <w:tcBorders>
              <w:right w:val="single" w:sz="12" w:space="0" w:color="auto"/>
            </w:tcBorders>
          </w:tcPr>
          <w:p w14:paraId="6E4AE57D"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16" w:type="dxa"/>
            <w:tcBorders>
              <w:left w:val="single" w:sz="12" w:space="0" w:color="auto"/>
            </w:tcBorders>
          </w:tcPr>
          <w:p w14:paraId="4A52D71C"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904" w:type="dxa"/>
          </w:tcPr>
          <w:p w14:paraId="671319D2"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1120" w:type="dxa"/>
          </w:tcPr>
          <w:p w14:paraId="62D28685"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34" w:type="dxa"/>
          </w:tcPr>
          <w:p w14:paraId="417F9879"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r>
      <w:tr w:rsidR="00F0236A" w:rsidRPr="00073574" w14:paraId="58BF930C" w14:textId="77777777" w:rsidTr="7277BFE4">
        <w:trPr>
          <w:cantSplit/>
          <w:jc w:val="center"/>
        </w:trPr>
        <w:tc>
          <w:tcPr>
            <w:tcW w:w="3073" w:type="dxa"/>
            <w:tcBorders>
              <w:right w:val="single" w:sz="12" w:space="0" w:color="auto"/>
            </w:tcBorders>
            <w:shd w:val="clear" w:color="auto" w:fill="auto"/>
          </w:tcPr>
          <w:p w14:paraId="16F54C35" w14:textId="77777777" w:rsidR="00F0236A" w:rsidRPr="00073574" w:rsidRDefault="0053741E"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hyperlink w:anchor="Resolution_76" w:history="1">
              <w:r w:rsidR="00F0236A" w:rsidRPr="00073574">
                <w:rPr>
                  <w:rStyle w:val="Hyperlink"/>
                </w:rPr>
                <w:t>Resolution 78</w:t>
              </w:r>
            </w:hyperlink>
            <w:r w:rsidR="00F0236A" w:rsidRPr="00073574">
              <w:t xml:space="preserve"> – Information and communication technology applications and standards for improved access to e-health services</w:t>
            </w:r>
          </w:p>
        </w:tc>
        <w:tc>
          <w:tcPr>
            <w:tcW w:w="991" w:type="dxa"/>
            <w:tcBorders>
              <w:left w:val="single" w:sz="12" w:space="0" w:color="auto"/>
            </w:tcBorders>
          </w:tcPr>
          <w:p w14:paraId="5B79473F"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SG11, SG16, SG17, SG20</w:t>
            </w:r>
          </w:p>
        </w:tc>
        <w:tc>
          <w:tcPr>
            <w:tcW w:w="984" w:type="dxa"/>
          </w:tcPr>
          <w:p w14:paraId="56AF2C5A"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94" w:type="dxa"/>
          </w:tcPr>
          <w:p w14:paraId="19456B30"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1339" w:type="dxa"/>
            <w:tcBorders>
              <w:right w:val="single" w:sz="4" w:space="0" w:color="auto"/>
            </w:tcBorders>
          </w:tcPr>
          <w:p w14:paraId="172DD8E5"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MSs, SMs, academia</w:t>
            </w:r>
          </w:p>
        </w:tc>
        <w:tc>
          <w:tcPr>
            <w:tcW w:w="872" w:type="dxa"/>
            <w:tcBorders>
              <w:left w:val="single" w:sz="4" w:space="0" w:color="auto"/>
              <w:right w:val="single" w:sz="12" w:space="0" w:color="auto"/>
            </w:tcBorders>
          </w:tcPr>
          <w:p w14:paraId="54E69578"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72" w:type="dxa"/>
            <w:tcBorders>
              <w:left w:val="single" w:sz="12" w:space="0" w:color="auto"/>
            </w:tcBorders>
          </w:tcPr>
          <w:p w14:paraId="2D00F2FD"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44" w:type="dxa"/>
          </w:tcPr>
          <w:p w14:paraId="187697F3"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839" w:type="dxa"/>
            <w:tcBorders>
              <w:right w:val="single" w:sz="12" w:space="0" w:color="auto"/>
            </w:tcBorders>
          </w:tcPr>
          <w:p w14:paraId="18AFF60F"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816" w:type="dxa"/>
            <w:tcBorders>
              <w:left w:val="single" w:sz="12" w:space="0" w:color="auto"/>
            </w:tcBorders>
          </w:tcPr>
          <w:p w14:paraId="317F5A71"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904" w:type="dxa"/>
          </w:tcPr>
          <w:p w14:paraId="7DBD7557"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1120" w:type="dxa"/>
          </w:tcPr>
          <w:p w14:paraId="684B9811"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34" w:type="dxa"/>
          </w:tcPr>
          <w:p w14:paraId="3715C1FB"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r>
      <w:tr w:rsidR="00F0236A" w:rsidRPr="00073574" w14:paraId="04C41AD1" w14:textId="77777777" w:rsidTr="7277BFE4">
        <w:trPr>
          <w:cantSplit/>
          <w:jc w:val="center"/>
        </w:trPr>
        <w:tc>
          <w:tcPr>
            <w:tcW w:w="3073" w:type="dxa"/>
            <w:tcBorders>
              <w:right w:val="single" w:sz="12" w:space="0" w:color="auto"/>
            </w:tcBorders>
            <w:shd w:val="clear" w:color="auto" w:fill="auto"/>
          </w:tcPr>
          <w:p w14:paraId="48791D88" w14:textId="77777777" w:rsidR="00F0236A" w:rsidRPr="00073574" w:rsidRDefault="0053741E"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hyperlink w:anchor="Resolution_76" w:history="1">
              <w:r w:rsidR="00F0236A" w:rsidRPr="00073574">
                <w:rPr>
                  <w:rStyle w:val="Hyperlink"/>
                </w:rPr>
                <w:t>Resolution 79</w:t>
              </w:r>
            </w:hyperlink>
            <w:r w:rsidR="00F0236A" w:rsidRPr="00073574">
              <w:t xml:space="preserve"> – The role of telecommunications/ information and communication technologies in handling and controlling e-waste from telecommunication and information technology equipment and methods of treating it</w:t>
            </w:r>
          </w:p>
        </w:tc>
        <w:tc>
          <w:tcPr>
            <w:tcW w:w="991" w:type="dxa"/>
            <w:tcBorders>
              <w:left w:val="single" w:sz="12" w:space="0" w:color="auto"/>
            </w:tcBorders>
          </w:tcPr>
          <w:p w14:paraId="696ED301"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SG5</w:t>
            </w:r>
          </w:p>
        </w:tc>
        <w:tc>
          <w:tcPr>
            <w:tcW w:w="984" w:type="dxa"/>
          </w:tcPr>
          <w:p w14:paraId="5BA1BD14"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94" w:type="dxa"/>
          </w:tcPr>
          <w:p w14:paraId="66DFA1CC"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1339" w:type="dxa"/>
            <w:tcBorders>
              <w:right w:val="single" w:sz="4" w:space="0" w:color="auto"/>
            </w:tcBorders>
          </w:tcPr>
          <w:p w14:paraId="2C4F00C7"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MSs, SMs, academia</w:t>
            </w:r>
          </w:p>
        </w:tc>
        <w:tc>
          <w:tcPr>
            <w:tcW w:w="872" w:type="dxa"/>
            <w:tcBorders>
              <w:left w:val="single" w:sz="4" w:space="0" w:color="auto"/>
              <w:right w:val="single" w:sz="12" w:space="0" w:color="auto"/>
            </w:tcBorders>
          </w:tcPr>
          <w:p w14:paraId="6DDD9AD2"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72" w:type="dxa"/>
            <w:tcBorders>
              <w:left w:val="single" w:sz="12" w:space="0" w:color="auto"/>
            </w:tcBorders>
          </w:tcPr>
          <w:p w14:paraId="698963E5"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44" w:type="dxa"/>
          </w:tcPr>
          <w:p w14:paraId="56CA40E6"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839" w:type="dxa"/>
            <w:tcBorders>
              <w:right w:val="single" w:sz="12" w:space="0" w:color="auto"/>
            </w:tcBorders>
          </w:tcPr>
          <w:p w14:paraId="2828A94C"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16" w:type="dxa"/>
            <w:tcBorders>
              <w:left w:val="single" w:sz="12" w:space="0" w:color="auto"/>
            </w:tcBorders>
          </w:tcPr>
          <w:p w14:paraId="3AF3981C"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904" w:type="dxa"/>
          </w:tcPr>
          <w:p w14:paraId="2E1F394C"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1120" w:type="dxa"/>
          </w:tcPr>
          <w:p w14:paraId="7EE5EB40"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34" w:type="dxa"/>
          </w:tcPr>
          <w:p w14:paraId="557F03DD"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r>
      <w:tr w:rsidR="00F0236A" w:rsidRPr="00073574" w14:paraId="4A7586E9" w14:textId="77777777" w:rsidTr="7277BFE4">
        <w:trPr>
          <w:cantSplit/>
          <w:jc w:val="center"/>
        </w:trPr>
        <w:tc>
          <w:tcPr>
            <w:tcW w:w="3073" w:type="dxa"/>
            <w:tcBorders>
              <w:right w:val="single" w:sz="12" w:space="0" w:color="auto"/>
            </w:tcBorders>
            <w:shd w:val="clear" w:color="auto" w:fill="auto"/>
          </w:tcPr>
          <w:p w14:paraId="72457C1F" w14:textId="77777777" w:rsidR="00F0236A" w:rsidRPr="00073574" w:rsidRDefault="0053741E"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hyperlink w:anchor="Resolution_76" w:history="1">
              <w:r w:rsidR="00F0236A" w:rsidRPr="00073574">
                <w:rPr>
                  <w:rStyle w:val="Hyperlink"/>
                </w:rPr>
                <w:t>Resolution 80</w:t>
              </w:r>
            </w:hyperlink>
            <w:r w:rsidR="00F0236A" w:rsidRPr="00073574">
              <w:t xml:space="preserve"> – Acknowledging the active involvement of the membership in the development of ITU Telecommunication Standardization Sector deliverables</w:t>
            </w:r>
          </w:p>
        </w:tc>
        <w:tc>
          <w:tcPr>
            <w:tcW w:w="991" w:type="dxa"/>
            <w:tcBorders>
              <w:left w:val="single" w:sz="12" w:space="0" w:color="auto"/>
            </w:tcBorders>
          </w:tcPr>
          <w:p w14:paraId="6EB793F1"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All SGs</w:t>
            </w:r>
          </w:p>
        </w:tc>
        <w:tc>
          <w:tcPr>
            <w:tcW w:w="984" w:type="dxa"/>
          </w:tcPr>
          <w:p w14:paraId="13B366EF"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894" w:type="dxa"/>
          </w:tcPr>
          <w:p w14:paraId="6480A554"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1339" w:type="dxa"/>
            <w:tcBorders>
              <w:right w:val="single" w:sz="4" w:space="0" w:color="auto"/>
            </w:tcBorders>
          </w:tcPr>
          <w:p w14:paraId="365384CC"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MSs</w:t>
            </w:r>
          </w:p>
        </w:tc>
        <w:tc>
          <w:tcPr>
            <w:tcW w:w="872" w:type="dxa"/>
            <w:tcBorders>
              <w:left w:val="single" w:sz="4" w:space="0" w:color="auto"/>
              <w:right w:val="single" w:sz="12" w:space="0" w:color="auto"/>
            </w:tcBorders>
          </w:tcPr>
          <w:p w14:paraId="3D1A548F"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72" w:type="dxa"/>
            <w:tcBorders>
              <w:left w:val="single" w:sz="12" w:space="0" w:color="auto"/>
            </w:tcBorders>
          </w:tcPr>
          <w:p w14:paraId="362AD29C"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44" w:type="dxa"/>
          </w:tcPr>
          <w:p w14:paraId="23DE6A4A"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39" w:type="dxa"/>
            <w:tcBorders>
              <w:right w:val="single" w:sz="12" w:space="0" w:color="auto"/>
            </w:tcBorders>
          </w:tcPr>
          <w:p w14:paraId="26A05487"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16" w:type="dxa"/>
            <w:tcBorders>
              <w:left w:val="single" w:sz="12" w:space="0" w:color="auto"/>
            </w:tcBorders>
          </w:tcPr>
          <w:p w14:paraId="6FD788FF"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904" w:type="dxa"/>
          </w:tcPr>
          <w:p w14:paraId="3AAF8331"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1120" w:type="dxa"/>
          </w:tcPr>
          <w:p w14:paraId="7A48BFA5"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34" w:type="dxa"/>
          </w:tcPr>
          <w:p w14:paraId="53ED1CC5"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r>
      <w:tr w:rsidR="00F0236A" w:rsidRPr="00073574" w14:paraId="5A288291" w14:textId="77777777" w:rsidTr="7277BFE4">
        <w:trPr>
          <w:cantSplit/>
          <w:jc w:val="center"/>
        </w:trPr>
        <w:tc>
          <w:tcPr>
            <w:tcW w:w="3073" w:type="dxa"/>
            <w:tcBorders>
              <w:right w:val="single" w:sz="12" w:space="0" w:color="auto"/>
            </w:tcBorders>
            <w:shd w:val="clear" w:color="auto" w:fill="auto"/>
          </w:tcPr>
          <w:p w14:paraId="19C56E37" w14:textId="77777777" w:rsidR="00F0236A" w:rsidRPr="00073574" w:rsidRDefault="0053741E"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hyperlink w:anchor="_Resolution_83_-" w:history="1">
              <w:r w:rsidR="00F0236A" w:rsidRPr="00073574">
                <w:rPr>
                  <w:rStyle w:val="Hyperlink"/>
                  <w:rFonts w:asciiTheme="majorBidi" w:hAnsiTheme="majorBidi" w:cstheme="majorBidi"/>
                  <w:bCs/>
                </w:rPr>
                <w:t>Resolution 83</w:t>
              </w:r>
            </w:hyperlink>
            <w:r w:rsidR="00F0236A" w:rsidRPr="00073574">
              <w:rPr>
                <w:rFonts w:asciiTheme="majorBidi" w:hAnsiTheme="majorBidi" w:cstheme="majorBidi"/>
                <w:bCs/>
              </w:rPr>
              <w:t xml:space="preserve"> – Evaluation of the implementation of resolutions of the World Telecommunication Standardization Assembly</w:t>
            </w:r>
          </w:p>
        </w:tc>
        <w:tc>
          <w:tcPr>
            <w:tcW w:w="991" w:type="dxa"/>
            <w:tcBorders>
              <w:left w:val="single" w:sz="12" w:space="0" w:color="auto"/>
            </w:tcBorders>
          </w:tcPr>
          <w:p w14:paraId="4621F817"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bCs/>
              </w:rPr>
            </w:pPr>
          </w:p>
        </w:tc>
        <w:tc>
          <w:tcPr>
            <w:tcW w:w="984" w:type="dxa"/>
          </w:tcPr>
          <w:p w14:paraId="20376878"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bCs/>
              </w:rPr>
            </w:pPr>
          </w:p>
        </w:tc>
        <w:tc>
          <w:tcPr>
            <w:tcW w:w="894" w:type="dxa"/>
          </w:tcPr>
          <w:p w14:paraId="08AF7C78"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bCs/>
              </w:rPr>
            </w:pPr>
            <w:r w:rsidRPr="00073574">
              <w:rPr>
                <w:rFonts w:asciiTheme="majorBidi" w:hAnsiTheme="majorBidi" w:cstheme="majorBidi"/>
                <w:bCs/>
              </w:rPr>
              <w:t>X</w:t>
            </w:r>
          </w:p>
        </w:tc>
        <w:tc>
          <w:tcPr>
            <w:tcW w:w="1339" w:type="dxa"/>
            <w:tcBorders>
              <w:right w:val="single" w:sz="4" w:space="0" w:color="auto"/>
            </w:tcBorders>
          </w:tcPr>
          <w:p w14:paraId="4F46B5E6"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bCs/>
              </w:rPr>
            </w:pPr>
            <w:r w:rsidRPr="00073574">
              <w:rPr>
                <w:rFonts w:asciiTheme="majorBidi" w:hAnsiTheme="majorBidi" w:cstheme="majorBidi"/>
                <w:bCs/>
              </w:rPr>
              <w:t>MSs, SMs</w:t>
            </w:r>
          </w:p>
        </w:tc>
        <w:tc>
          <w:tcPr>
            <w:tcW w:w="872" w:type="dxa"/>
            <w:tcBorders>
              <w:left w:val="single" w:sz="4" w:space="0" w:color="auto"/>
              <w:right w:val="single" w:sz="12" w:space="0" w:color="auto"/>
            </w:tcBorders>
          </w:tcPr>
          <w:p w14:paraId="66BD1C22"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bCs/>
              </w:rPr>
            </w:pPr>
          </w:p>
        </w:tc>
        <w:tc>
          <w:tcPr>
            <w:tcW w:w="872" w:type="dxa"/>
            <w:tcBorders>
              <w:left w:val="single" w:sz="12" w:space="0" w:color="auto"/>
            </w:tcBorders>
          </w:tcPr>
          <w:p w14:paraId="7FED2D8C"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bCs/>
              </w:rPr>
            </w:pPr>
          </w:p>
        </w:tc>
        <w:tc>
          <w:tcPr>
            <w:tcW w:w="844" w:type="dxa"/>
          </w:tcPr>
          <w:p w14:paraId="48F954F6"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bCs/>
              </w:rPr>
            </w:pPr>
            <w:r w:rsidRPr="00073574">
              <w:rPr>
                <w:rFonts w:asciiTheme="majorBidi" w:hAnsiTheme="majorBidi" w:cstheme="majorBidi"/>
                <w:bCs/>
              </w:rPr>
              <w:t>X</w:t>
            </w:r>
          </w:p>
        </w:tc>
        <w:tc>
          <w:tcPr>
            <w:tcW w:w="839" w:type="dxa"/>
            <w:tcBorders>
              <w:right w:val="single" w:sz="12" w:space="0" w:color="auto"/>
            </w:tcBorders>
          </w:tcPr>
          <w:p w14:paraId="203D3A02"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bCs/>
              </w:rPr>
            </w:pPr>
            <w:r w:rsidRPr="00073574">
              <w:rPr>
                <w:rFonts w:asciiTheme="majorBidi" w:hAnsiTheme="majorBidi" w:cstheme="majorBidi"/>
                <w:bCs/>
              </w:rPr>
              <w:t>X</w:t>
            </w:r>
          </w:p>
        </w:tc>
        <w:tc>
          <w:tcPr>
            <w:tcW w:w="816" w:type="dxa"/>
            <w:tcBorders>
              <w:left w:val="single" w:sz="12" w:space="0" w:color="auto"/>
            </w:tcBorders>
          </w:tcPr>
          <w:p w14:paraId="67E733FE"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bCs/>
              </w:rPr>
            </w:pPr>
            <w:r w:rsidRPr="00073574">
              <w:rPr>
                <w:rFonts w:asciiTheme="majorBidi" w:hAnsiTheme="majorBidi" w:cstheme="majorBidi"/>
                <w:bCs/>
              </w:rPr>
              <w:t>X</w:t>
            </w:r>
          </w:p>
        </w:tc>
        <w:tc>
          <w:tcPr>
            <w:tcW w:w="904" w:type="dxa"/>
          </w:tcPr>
          <w:p w14:paraId="2BC28C3D"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bCs/>
              </w:rPr>
            </w:pPr>
          </w:p>
        </w:tc>
        <w:tc>
          <w:tcPr>
            <w:tcW w:w="1120" w:type="dxa"/>
          </w:tcPr>
          <w:p w14:paraId="618AC864" w14:textId="46B6D843"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bCs/>
              </w:rPr>
            </w:pPr>
          </w:p>
        </w:tc>
        <w:tc>
          <w:tcPr>
            <w:tcW w:w="834" w:type="dxa"/>
          </w:tcPr>
          <w:p w14:paraId="24368211"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bCs/>
              </w:rPr>
            </w:pPr>
          </w:p>
        </w:tc>
      </w:tr>
      <w:tr w:rsidR="00F0236A" w:rsidRPr="00073574" w14:paraId="4CD230D1" w14:textId="77777777" w:rsidTr="7277BFE4">
        <w:trPr>
          <w:cantSplit/>
          <w:jc w:val="center"/>
        </w:trPr>
        <w:tc>
          <w:tcPr>
            <w:tcW w:w="3073" w:type="dxa"/>
            <w:tcBorders>
              <w:right w:val="single" w:sz="12" w:space="0" w:color="auto"/>
            </w:tcBorders>
            <w:shd w:val="clear" w:color="auto" w:fill="auto"/>
            <w:vAlign w:val="center"/>
          </w:tcPr>
          <w:p w14:paraId="5F25DDF3" w14:textId="77777777" w:rsidR="00F0236A" w:rsidRPr="00073574" w:rsidRDefault="0053741E"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bCs/>
              </w:rPr>
            </w:pPr>
            <w:hyperlink w:anchor="_Resolution_84_-" w:history="1">
              <w:r w:rsidR="00F0236A" w:rsidRPr="00073574">
                <w:rPr>
                  <w:rStyle w:val="Hyperlink"/>
                  <w:rFonts w:asciiTheme="majorBidi" w:hAnsiTheme="majorBidi" w:cstheme="majorBidi"/>
                  <w:bCs/>
                </w:rPr>
                <w:t>Resolution 84</w:t>
              </w:r>
            </w:hyperlink>
            <w:r w:rsidR="00F0236A" w:rsidRPr="00073574">
              <w:rPr>
                <w:rFonts w:asciiTheme="majorBidi" w:hAnsiTheme="majorBidi" w:cstheme="majorBidi"/>
                <w:bCs/>
              </w:rPr>
              <w:t xml:space="preserve"> – </w:t>
            </w:r>
            <w:r w:rsidR="00F0236A" w:rsidRPr="00073574">
              <w:rPr>
                <w:rFonts w:asciiTheme="majorBidi" w:hAnsiTheme="majorBidi" w:cstheme="majorBidi"/>
              </w:rPr>
              <w:t>Studies concerning the protection of users of telecommunication/information and communication technology services</w:t>
            </w:r>
          </w:p>
        </w:tc>
        <w:tc>
          <w:tcPr>
            <w:tcW w:w="991" w:type="dxa"/>
            <w:tcBorders>
              <w:left w:val="single" w:sz="12" w:space="0" w:color="auto"/>
            </w:tcBorders>
          </w:tcPr>
          <w:p w14:paraId="4AC094FC"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bCs/>
              </w:rPr>
            </w:pPr>
            <w:r w:rsidRPr="00073574">
              <w:rPr>
                <w:rFonts w:asciiTheme="majorBidi" w:hAnsiTheme="majorBidi" w:cstheme="majorBidi"/>
                <w:bCs/>
              </w:rPr>
              <w:t>All SGs, SG3, SG12, SG17</w:t>
            </w:r>
          </w:p>
        </w:tc>
        <w:tc>
          <w:tcPr>
            <w:tcW w:w="984" w:type="dxa"/>
          </w:tcPr>
          <w:p w14:paraId="59205BFD"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bCs/>
              </w:rPr>
            </w:pPr>
          </w:p>
        </w:tc>
        <w:tc>
          <w:tcPr>
            <w:tcW w:w="894" w:type="dxa"/>
          </w:tcPr>
          <w:p w14:paraId="4975EDF3"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bCs/>
              </w:rPr>
            </w:pPr>
            <w:r w:rsidRPr="00073574">
              <w:rPr>
                <w:rFonts w:asciiTheme="majorBidi" w:hAnsiTheme="majorBidi" w:cstheme="majorBidi"/>
                <w:bCs/>
              </w:rPr>
              <w:t>X</w:t>
            </w:r>
          </w:p>
        </w:tc>
        <w:tc>
          <w:tcPr>
            <w:tcW w:w="1339" w:type="dxa"/>
            <w:tcBorders>
              <w:right w:val="single" w:sz="4" w:space="0" w:color="auto"/>
            </w:tcBorders>
          </w:tcPr>
          <w:p w14:paraId="4C36527A"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bCs/>
              </w:rPr>
            </w:pPr>
            <w:r w:rsidRPr="00073574">
              <w:rPr>
                <w:rFonts w:asciiTheme="majorBidi" w:hAnsiTheme="majorBidi" w:cstheme="majorBidi"/>
                <w:bCs/>
              </w:rPr>
              <w:t>MSs, SMs, Associates, academia</w:t>
            </w:r>
          </w:p>
        </w:tc>
        <w:tc>
          <w:tcPr>
            <w:tcW w:w="872" w:type="dxa"/>
            <w:tcBorders>
              <w:left w:val="single" w:sz="4" w:space="0" w:color="auto"/>
              <w:right w:val="single" w:sz="12" w:space="0" w:color="auto"/>
            </w:tcBorders>
          </w:tcPr>
          <w:p w14:paraId="5B06EBEF"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bCs/>
              </w:rPr>
            </w:pPr>
          </w:p>
        </w:tc>
        <w:tc>
          <w:tcPr>
            <w:tcW w:w="872" w:type="dxa"/>
            <w:tcBorders>
              <w:left w:val="single" w:sz="12" w:space="0" w:color="auto"/>
            </w:tcBorders>
          </w:tcPr>
          <w:p w14:paraId="339612F5"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bCs/>
              </w:rPr>
            </w:pPr>
          </w:p>
        </w:tc>
        <w:tc>
          <w:tcPr>
            <w:tcW w:w="844" w:type="dxa"/>
          </w:tcPr>
          <w:p w14:paraId="1F620065"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bCs/>
              </w:rPr>
            </w:pPr>
            <w:r w:rsidRPr="00073574">
              <w:rPr>
                <w:rFonts w:asciiTheme="majorBidi" w:hAnsiTheme="majorBidi" w:cstheme="majorBidi"/>
                <w:bCs/>
              </w:rPr>
              <w:t>X</w:t>
            </w:r>
          </w:p>
        </w:tc>
        <w:tc>
          <w:tcPr>
            <w:tcW w:w="839" w:type="dxa"/>
            <w:tcBorders>
              <w:right w:val="single" w:sz="12" w:space="0" w:color="auto"/>
            </w:tcBorders>
          </w:tcPr>
          <w:p w14:paraId="0DB5EFCC"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bCs/>
              </w:rPr>
            </w:pPr>
          </w:p>
        </w:tc>
        <w:tc>
          <w:tcPr>
            <w:tcW w:w="816" w:type="dxa"/>
            <w:tcBorders>
              <w:left w:val="single" w:sz="12" w:space="0" w:color="auto"/>
            </w:tcBorders>
          </w:tcPr>
          <w:p w14:paraId="17BD1511"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bCs/>
              </w:rPr>
            </w:pPr>
          </w:p>
        </w:tc>
        <w:tc>
          <w:tcPr>
            <w:tcW w:w="904" w:type="dxa"/>
          </w:tcPr>
          <w:p w14:paraId="4BDDEA3E"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bCs/>
              </w:rPr>
            </w:pPr>
          </w:p>
        </w:tc>
        <w:tc>
          <w:tcPr>
            <w:tcW w:w="1120" w:type="dxa"/>
          </w:tcPr>
          <w:p w14:paraId="1B7027CA"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bCs/>
              </w:rPr>
            </w:pPr>
          </w:p>
        </w:tc>
        <w:tc>
          <w:tcPr>
            <w:tcW w:w="834" w:type="dxa"/>
          </w:tcPr>
          <w:p w14:paraId="38B32D00"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bCs/>
              </w:rPr>
            </w:pPr>
          </w:p>
        </w:tc>
      </w:tr>
      <w:tr w:rsidR="00F0236A" w:rsidRPr="00073574" w14:paraId="5E94BB71" w14:textId="77777777" w:rsidTr="7277BFE4">
        <w:trPr>
          <w:cantSplit/>
          <w:jc w:val="center"/>
        </w:trPr>
        <w:tc>
          <w:tcPr>
            <w:tcW w:w="3073" w:type="dxa"/>
            <w:tcBorders>
              <w:right w:val="single" w:sz="12" w:space="0" w:color="auto"/>
            </w:tcBorders>
            <w:shd w:val="clear" w:color="auto" w:fill="auto"/>
            <w:vAlign w:val="center"/>
          </w:tcPr>
          <w:p w14:paraId="36A79745" w14:textId="77777777" w:rsidR="00F0236A" w:rsidRPr="00073574" w:rsidRDefault="0053741E"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bCs/>
              </w:rPr>
            </w:pPr>
            <w:hyperlink w:anchor="_Resolution_85_-" w:history="1">
              <w:r w:rsidR="00F0236A" w:rsidRPr="00073574">
                <w:rPr>
                  <w:rStyle w:val="Hyperlink"/>
                  <w:rFonts w:asciiTheme="majorBidi" w:hAnsiTheme="majorBidi" w:cstheme="majorBidi"/>
                  <w:bCs/>
                </w:rPr>
                <w:t>Resolution 85</w:t>
              </w:r>
            </w:hyperlink>
            <w:r w:rsidR="00F0236A" w:rsidRPr="00073574">
              <w:rPr>
                <w:rFonts w:asciiTheme="majorBidi" w:hAnsiTheme="majorBidi" w:cstheme="majorBidi"/>
                <w:bCs/>
              </w:rPr>
              <w:t xml:space="preserve"> – </w:t>
            </w:r>
            <w:r w:rsidR="00F0236A" w:rsidRPr="00073574">
              <w:rPr>
                <w:rFonts w:asciiTheme="majorBidi" w:hAnsiTheme="majorBidi" w:cstheme="majorBidi"/>
              </w:rPr>
              <w:t>Strengthening and diversifying the resources of the ITU Telecommunication Standardization Sector</w:t>
            </w:r>
          </w:p>
        </w:tc>
        <w:tc>
          <w:tcPr>
            <w:tcW w:w="991" w:type="dxa"/>
            <w:tcBorders>
              <w:left w:val="single" w:sz="12" w:space="0" w:color="auto"/>
            </w:tcBorders>
          </w:tcPr>
          <w:p w14:paraId="566307A2"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984" w:type="dxa"/>
          </w:tcPr>
          <w:p w14:paraId="3028BC53"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894" w:type="dxa"/>
          </w:tcPr>
          <w:p w14:paraId="25CD9A44"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r w:rsidRPr="00073574">
              <w:rPr>
                <w:rFonts w:asciiTheme="majorBidi" w:hAnsiTheme="majorBidi" w:cstheme="majorBidi"/>
              </w:rPr>
              <w:t>X</w:t>
            </w:r>
          </w:p>
        </w:tc>
        <w:tc>
          <w:tcPr>
            <w:tcW w:w="1339" w:type="dxa"/>
            <w:tcBorders>
              <w:right w:val="single" w:sz="4" w:space="0" w:color="auto"/>
            </w:tcBorders>
          </w:tcPr>
          <w:p w14:paraId="5BA3DB93"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872" w:type="dxa"/>
            <w:tcBorders>
              <w:left w:val="single" w:sz="4" w:space="0" w:color="auto"/>
              <w:right w:val="single" w:sz="12" w:space="0" w:color="auto"/>
            </w:tcBorders>
          </w:tcPr>
          <w:p w14:paraId="382B6B12"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872" w:type="dxa"/>
            <w:tcBorders>
              <w:left w:val="single" w:sz="12" w:space="0" w:color="auto"/>
            </w:tcBorders>
          </w:tcPr>
          <w:p w14:paraId="74B7751E"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844" w:type="dxa"/>
          </w:tcPr>
          <w:p w14:paraId="3D14E919"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839" w:type="dxa"/>
            <w:tcBorders>
              <w:right w:val="single" w:sz="12" w:space="0" w:color="auto"/>
            </w:tcBorders>
          </w:tcPr>
          <w:p w14:paraId="663F3ED1"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816" w:type="dxa"/>
            <w:tcBorders>
              <w:left w:val="single" w:sz="12" w:space="0" w:color="auto"/>
            </w:tcBorders>
          </w:tcPr>
          <w:p w14:paraId="2359D6DB"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904" w:type="dxa"/>
          </w:tcPr>
          <w:p w14:paraId="48945DDC"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r w:rsidRPr="00073574">
              <w:rPr>
                <w:rFonts w:asciiTheme="majorBidi" w:hAnsiTheme="majorBidi" w:cstheme="majorBidi"/>
              </w:rPr>
              <w:t>X</w:t>
            </w:r>
          </w:p>
        </w:tc>
        <w:tc>
          <w:tcPr>
            <w:tcW w:w="1120" w:type="dxa"/>
          </w:tcPr>
          <w:p w14:paraId="7EE193A4"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834" w:type="dxa"/>
          </w:tcPr>
          <w:p w14:paraId="2EE9E8CD"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r>
      <w:tr w:rsidR="00F0236A" w:rsidRPr="00073574" w14:paraId="4B3E6CF9" w14:textId="77777777" w:rsidTr="7277BFE4">
        <w:trPr>
          <w:cantSplit/>
          <w:jc w:val="center"/>
        </w:trPr>
        <w:tc>
          <w:tcPr>
            <w:tcW w:w="3073" w:type="dxa"/>
            <w:tcBorders>
              <w:right w:val="single" w:sz="12" w:space="0" w:color="auto"/>
            </w:tcBorders>
            <w:shd w:val="clear" w:color="auto" w:fill="auto"/>
            <w:vAlign w:val="center"/>
          </w:tcPr>
          <w:p w14:paraId="0AE7B605" w14:textId="77777777" w:rsidR="00F0236A" w:rsidRPr="00073574" w:rsidRDefault="0053741E"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bCs/>
              </w:rPr>
            </w:pPr>
            <w:hyperlink w:anchor="_Resolution_86_-" w:history="1">
              <w:r w:rsidR="00F0236A" w:rsidRPr="00073574">
                <w:rPr>
                  <w:rStyle w:val="Hyperlink"/>
                  <w:rFonts w:asciiTheme="majorBidi" w:hAnsiTheme="majorBidi" w:cstheme="majorBidi"/>
                  <w:bCs/>
                </w:rPr>
                <w:t>Resolution 86</w:t>
              </w:r>
            </w:hyperlink>
            <w:r w:rsidR="00F0236A" w:rsidRPr="00073574">
              <w:rPr>
                <w:rFonts w:asciiTheme="majorBidi" w:hAnsiTheme="majorBidi" w:cstheme="majorBidi"/>
                <w:bCs/>
              </w:rPr>
              <w:t xml:space="preserve"> – </w:t>
            </w:r>
            <w:r w:rsidR="00F0236A" w:rsidRPr="00073574">
              <w:rPr>
                <w:rFonts w:asciiTheme="majorBidi" w:hAnsiTheme="majorBidi" w:cstheme="majorBidi"/>
              </w:rPr>
              <w:t>Facilitating the implementation of the Smart Africa Manifesto</w:t>
            </w:r>
          </w:p>
        </w:tc>
        <w:tc>
          <w:tcPr>
            <w:tcW w:w="991" w:type="dxa"/>
            <w:tcBorders>
              <w:left w:val="single" w:sz="12" w:space="0" w:color="auto"/>
            </w:tcBorders>
          </w:tcPr>
          <w:p w14:paraId="763E9ABB"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r w:rsidRPr="00073574">
              <w:rPr>
                <w:rFonts w:asciiTheme="majorBidi" w:hAnsiTheme="majorBidi" w:cstheme="majorBidi"/>
              </w:rPr>
              <w:t>All SGs</w:t>
            </w:r>
          </w:p>
        </w:tc>
        <w:tc>
          <w:tcPr>
            <w:tcW w:w="984" w:type="dxa"/>
          </w:tcPr>
          <w:p w14:paraId="5AC2EB9F"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894" w:type="dxa"/>
          </w:tcPr>
          <w:p w14:paraId="02D61DFD"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r w:rsidRPr="00073574">
              <w:rPr>
                <w:rFonts w:asciiTheme="majorBidi" w:hAnsiTheme="majorBidi" w:cstheme="majorBidi"/>
              </w:rPr>
              <w:t>X</w:t>
            </w:r>
          </w:p>
        </w:tc>
        <w:tc>
          <w:tcPr>
            <w:tcW w:w="1339" w:type="dxa"/>
            <w:tcBorders>
              <w:right w:val="single" w:sz="4" w:space="0" w:color="auto"/>
            </w:tcBorders>
          </w:tcPr>
          <w:p w14:paraId="6B49239C"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872" w:type="dxa"/>
            <w:tcBorders>
              <w:left w:val="single" w:sz="4" w:space="0" w:color="auto"/>
              <w:right w:val="single" w:sz="12" w:space="0" w:color="auto"/>
            </w:tcBorders>
          </w:tcPr>
          <w:p w14:paraId="6FE81A6C"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872" w:type="dxa"/>
            <w:tcBorders>
              <w:left w:val="single" w:sz="12" w:space="0" w:color="auto"/>
            </w:tcBorders>
          </w:tcPr>
          <w:p w14:paraId="364A90A7"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844" w:type="dxa"/>
          </w:tcPr>
          <w:p w14:paraId="659C3467"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r w:rsidRPr="00073574">
              <w:rPr>
                <w:rFonts w:asciiTheme="majorBidi" w:hAnsiTheme="majorBidi" w:cstheme="majorBidi"/>
              </w:rPr>
              <w:t>X</w:t>
            </w:r>
          </w:p>
        </w:tc>
        <w:tc>
          <w:tcPr>
            <w:tcW w:w="839" w:type="dxa"/>
            <w:tcBorders>
              <w:right w:val="single" w:sz="12" w:space="0" w:color="auto"/>
            </w:tcBorders>
          </w:tcPr>
          <w:p w14:paraId="3493362D"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816" w:type="dxa"/>
            <w:tcBorders>
              <w:left w:val="single" w:sz="12" w:space="0" w:color="auto"/>
            </w:tcBorders>
          </w:tcPr>
          <w:p w14:paraId="0E921F43"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904" w:type="dxa"/>
          </w:tcPr>
          <w:p w14:paraId="16C608B0"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1120" w:type="dxa"/>
          </w:tcPr>
          <w:p w14:paraId="4647F605"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834" w:type="dxa"/>
          </w:tcPr>
          <w:p w14:paraId="51B5EC7E"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r>
      <w:tr w:rsidR="00F0236A" w:rsidRPr="00073574" w14:paraId="5E6EDA8D" w14:textId="77777777" w:rsidTr="7277BFE4">
        <w:trPr>
          <w:cantSplit/>
          <w:jc w:val="center"/>
        </w:trPr>
        <w:tc>
          <w:tcPr>
            <w:tcW w:w="3073" w:type="dxa"/>
            <w:tcBorders>
              <w:right w:val="single" w:sz="12" w:space="0" w:color="auto"/>
            </w:tcBorders>
            <w:shd w:val="clear" w:color="auto" w:fill="auto"/>
            <w:vAlign w:val="center"/>
          </w:tcPr>
          <w:p w14:paraId="34E76613" w14:textId="77777777" w:rsidR="00F0236A" w:rsidRPr="00073574" w:rsidRDefault="0053741E"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bCs/>
              </w:rPr>
            </w:pPr>
            <w:hyperlink w:anchor="_Resolution_87_-" w:history="1">
              <w:r w:rsidR="00F0236A" w:rsidRPr="00073574">
                <w:rPr>
                  <w:rStyle w:val="Hyperlink"/>
                  <w:rFonts w:asciiTheme="majorBidi" w:hAnsiTheme="majorBidi" w:cstheme="majorBidi"/>
                  <w:bCs/>
                </w:rPr>
                <w:t>Resolution 87</w:t>
              </w:r>
            </w:hyperlink>
            <w:r w:rsidR="00F0236A" w:rsidRPr="00073574">
              <w:rPr>
                <w:rFonts w:asciiTheme="majorBidi" w:hAnsiTheme="majorBidi" w:cstheme="majorBidi"/>
                <w:bCs/>
              </w:rPr>
              <w:t xml:space="preserve"> – </w:t>
            </w:r>
            <w:r w:rsidR="00F0236A" w:rsidRPr="00073574">
              <w:rPr>
                <w:rFonts w:asciiTheme="majorBidi" w:hAnsiTheme="majorBidi" w:cstheme="majorBidi"/>
              </w:rPr>
              <w:t>Participation of the ITU Telecommunication Standardization Sector in the periodic review and revision of the International Telecommunication Regulations</w:t>
            </w:r>
          </w:p>
        </w:tc>
        <w:tc>
          <w:tcPr>
            <w:tcW w:w="991" w:type="dxa"/>
            <w:tcBorders>
              <w:left w:val="single" w:sz="12" w:space="0" w:color="auto"/>
            </w:tcBorders>
          </w:tcPr>
          <w:p w14:paraId="2C43A3AC"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984" w:type="dxa"/>
          </w:tcPr>
          <w:p w14:paraId="39EABCE0"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r w:rsidRPr="00073574">
              <w:rPr>
                <w:rFonts w:asciiTheme="majorBidi" w:hAnsiTheme="majorBidi" w:cstheme="majorBidi"/>
              </w:rPr>
              <w:t>X</w:t>
            </w:r>
          </w:p>
        </w:tc>
        <w:tc>
          <w:tcPr>
            <w:tcW w:w="894" w:type="dxa"/>
          </w:tcPr>
          <w:p w14:paraId="7D5CAA79"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r w:rsidRPr="00073574">
              <w:rPr>
                <w:rFonts w:asciiTheme="majorBidi" w:hAnsiTheme="majorBidi" w:cstheme="majorBidi"/>
              </w:rPr>
              <w:t>X</w:t>
            </w:r>
          </w:p>
        </w:tc>
        <w:tc>
          <w:tcPr>
            <w:tcW w:w="1339" w:type="dxa"/>
            <w:tcBorders>
              <w:right w:val="single" w:sz="4" w:space="0" w:color="auto"/>
            </w:tcBorders>
          </w:tcPr>
          <w:p w14:paraId="6704E0A3"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r w:rsidRPr="00073574">
              <w:rPr>
                <w:rFonts w:asciiTheme="majorBidi" w:hAnsiTheme="majorBidi" w:cstheme="majorBidi"/>
              </w:rPr>
              <w:t>MSs, SMs</w:t>
            </w:r>
          </w:p>
        </w:tc>
        <w:tc>
          <w:tcPr>
            <w:tcW w:w="872" w:type="dxa"/>
            <w:tcBorders>
              <w:left w:val="single" w:sz="4" w:space="0" w:color="auto"/>
              <w:right w:val="single" w:sz="12" w:space="0" w:color="auto"/>
            </w:tcBorders>
          </w:tcPr>
          <w:p w14:paraId="412AB0A5"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872" w:type="dxa"/>
            <w:tcBorders>
              <w:left w:val="single" w:sz="12" w:space="0" w:color="auto"/>
            </w:tcBorders>
          </w:tcPr>
          <w:p w14:paraId="1DC78535"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844" w:type="dxa"/>
          </w:tcPr>
          <w:p w14:paraId="0A4DFEE0"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839" w:type="dxa"/>
            <w:tcBorders>
              <w:right w:val="single" w:sz="12" w:space="0" w:color="auto"/>
            </w:tcBorders>
          </w:tcPr>
          <w:p w14:paraId="6D3788D3"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816" w:type="dxa"/>
            <w:tcBorders>
              <w:left w:val="single" w:sz="12" w:space="0" w:color="auto"/>
            </w:tcBorders>
          </w:tcPr>
          <w:p w14:paraId="0689025D"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904" w:type="dxa"/>
          </w:tcPr>
          <w:p w14:paraId="512C5910"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r w:rsidRPr="00073574">
              <w:rPr>
                <w:rFonts w:asciiTheme="majorBidi" w:hAnsiTheme="majorBidi" w:cstheme="majorBidi"/>
              </w:rPr>
              <w:t>X</w:t>
            </w:r>
          </w:p>
        </w:tc>
        <w:tc>
          <w:tcPr>
            <w:tcW w:w="1120" w:type="dxa"/>
          </w:tcPr>
          <w:p w14:paraId="2D61AC41"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834" w:type="dxa"/>
          </w:tcPr>
          <w:p w14:paraId="171A139B"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r>
      <w:tr w:rsidR="00F0236A" w:rsidRPr="00073574" w14:paraId="1A5A903A" w14:textId="77777777" w:rsidTr="7277BFE4">
        <w:trPr>
          <w:cantSplit/>
          <w:jc w:val="center"/>
        </w:trPr>
        <w:tc>
          <w:tcPr>
            <w:tcW w:w="3073" w:type="dxa"/>
            <w:tcBorders>
              <w:right w:val="single" w:sz="12" w:space="0" w:color="auto"/>
            </w:tcBorders>
            <w:shd w:val="clear" w:color="auto" w:fill="auto"/>
            <w:vAlign w:val="center"/>
          </w:tcPr>
          <w:p w14:paraId="5DC34ABB" w14:textId="77777777" w:rsidR="00F0236A" w:rsidRPr="00073574" w:rsidRDefault="0053741E"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bCs/>
              </w:rPr>
            </w:pPr>
            <w:hyperlink w:anchor="_Resolution_88_-" w:history="1">
              <w:r w:rsidR="00F0236A" w:rsidRPr="00073574">
                <w:rPr>
                  <w:rStyle w:val="Hyperlink"/>
                  <w:rFonts w:asciiTheme="majorBidi" w:hAnsiTheme="majorBidi" w:cstheme="majorBidi"/>
                  <w:bCs/>
                </w:rPr>
                <w:t>Resolution 88</w:t>
              </w:r>
            </w:hyperlink>
            <w:r w:rsidR="00F0236A" w:rsidRPr="00073574">
              <w:rPr>
                <w:rFonts w:asciiTheme="majorBidi" w:hAnsiTheme="majorBidi" w:cstheme="majorBidi"/>
                <w:bCs/>
              </w:rPr>
              <w:t xml:space="preserve"> – </w:t>
            </w:r>
            <w:r w:rsidR="00F0236A" w:rsidRPr="00073574">
              <w:rPr>
                <w:rFonts w:asciiTheme="majorBidi" w:hAnsiTheme="majorBidi" w:cstheme="majorBidi"/>
              </w:rPr>
              <w:t>International mobile roaming</w:t>
            </w:r>
          </w:p>
        </w:tc>
        <w:tc>
          <w:tcPr>
            <w:tcW w:w="991" w:type="dxa"/>
            <w:tcBorders>
              <w:left w:val="single" w:sz="12" w:space="0" w:color="auto"/>
            </w:tcBorders>
          </w:tcPr>
          <w:p w14:paraId="2816DD46"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r w:rsidRPr="00073574">
              <w:rPr>
                <w:rFonts w:asciiTheme="majorBidi" w:hAnsiTheme="majorBidi" w:cstheme="majorBidi"/>
              </w:rPr>
              <w:t>SG3</w:t>
            </w:r>
          </w:p>
        </w:tc>
        <w:tc>
          <w:tcPr>
            <w:tcW w:w="984" w:type="dxa"/>
          </w:tcPr>
          <w:p w14:paraId="10338B24"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894" w:type="dxa"/>
          </w:tcPr>
          <w:p w14:paraId="246DAD36"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r w:rsidRPr="00073574">
              <w:rPr>
                <w:rFonts w:asciiTheme="majorBidi" w:hAnsiTheme="majorBidi" w:cstheme="majorBidi"/>
              </w:rPr>
              <w:t>X</w:t>
            </w:r>
          </w:p>
        </w:tc>
        <w:tc>
          <w:tcPr>
            <w:tcW w:w="1339" w:type="dxa"/>
            <w:tcBorders>
              <w:right w:val="single" w:sz="4" w:space="0" w:color="auto"/>
            </w:tcBorders>
          </w:tcPr>
          <w:p w14:paraId="1E9AAEE3"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r w:rsidRPr="00073574">
              <w:rPr>
                <w:rFonts w:asciiTheme="majorBidi" w:hAnsiTheme="majorBidi" w:cstheme="majorBidi"/>
              </w:rPr>
              <w:t>MSs</w:t>
            </w:r>
          </w:p>
        </w:tc>
        <w:tc>
          <w:tcPr>
            <w:tcW w:w="872" w:type="dxa"/>
            <w:tcBorders>
              <w:left w:val="single" w:sz="4" w:space="0" w:color="auto"/>
              <w:right w:val="single" w:sz="12" w:space="0" w:color="auto"/>
            </w:tcBorders>
          </w:tcPr>
          <w:p w14:paraId="2F33EBC5"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872" w:type="dxa"/>
            <w:tcBorders>
              <w:left w:val="single" w:sz="12" w:space="0" w:color="auto"/>
            </w:tcBorders>
          </w:tcPr>
          <w:p w14:paraId="75E8ABF8"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844" w:type="dxa"/>
          </w:tcPr>
          <w:p w14:paraId="7A1A4D44"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r w:rsidRPr="00073574">
              <w:rPr>
                <w:rFonts w:asciiTheme="majorBidi" w:hAnsiTheme="majorBidi" w:cstheme="majorBidi"/>
              </w:rPr>
              <w:t>X</w:t>
            </w:r>
          </w:p>
        </w:tc>
        <w:tc>
          <w:tcPr>
            <w:tcW w:w="839" w:type="dxa"/>
            <w:tcBorders>
              <w:right w:val="single" w:sz="12" w:space="0" w:color="auto"/>
            </w:tcBorders>
          </w:tcPr>
          <w:p w14:paraId="5E13136D"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816" w:type="dxa"/>
            <w:tcBorders>
              <w:left w:val="single" w:sz="12" w:space="0" w:color="auto"/>
            </w:tcBorders>
          </w:tcPr>
          <w:p w14:paraId="1CDD21D4"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904" w:type="dxa"/>
          </w:tcPr>
          <w:p w14:paraId="6A6784B3"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1120" w:type="dxa"/>
          </w:tcPr>
          <w:p w14:paraId="205ABA32"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834" w:type="dxa"/>
          </w:tcPr>
          <w:p w14:paraId="53A5CA9B"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r>
      <w:tr w:rsidR="00F0236A" w:rsidRPr="00073574" w14:paraId="1F5EDD0A" w14:textId="77777777" w:rsidTr="7277BFE4">
        <w:trPr>
          <w:cantSplit/>
          <w:jc w:val="center"/>
        </w:trPr>
        <w:tc>
          <w:tcPr>
            <w:tcW w:w="3073" w:type="dxa"/>
            <w:tcBorders>
              <w:right w:val="single" w:sz="12" w:space="0" w:color="auto"/>
            </w:tcBorders>
            <w:shd w:val="clear" w:color="auto" w:fill="auto"/>
            <w:vAlign w:val="center"/>
          </w:tcPr>
          <w:p w14:paraId="1F5BB479" w14:textId="77777777" w:rsidR="00F0236A" w:rsidRPr="00073574" w:rsidRDefault="0053741E"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bCs/>
              </w:rPr>
            </w:pPr>
            <w:hyperlink w:anchor="_Resolution_89_-" w:history="1">
              <w:r w:rsidR="00F0236A" w:rsidRPr="00073574">
                <w:rPr>
                  <w:rStyle w:val="Hyperlink"/>
                  <w:rFonts w:asciiTheme="majorBidi" w:hAnsiTheme="majorBidi" w:cstheme="majorBidi"/>
                  <w:bCs/>
                </w:rPr>
                <w:t>Resolution 89</w:t>
              </w:r>
            </w:hyperlink>
            <w:r w:rsidR="00F0236A" w:rsidRPr="00073574">
              <w:rPr>
                <w:rFonts w:asciiTheme="majorBidi" w:hAnsiTheme="majorBidi" w:cstheme="majorBidi"/>
                <w:bCs/>
              </w:rPr>
              <w:t xml:space="preserve"> – </w:t>
            </w:r>
            <w:r w:rsidR="00F0236A" w:rsidRPr="00073574">
              <w:rPr>
                <w:rFonts w:asciiTheme="majorBidi" w:hAnsiTheme="majorBidi" w:cstheme="majorBidi"/>
              </w:rPr>
              <w:t>Promoting the use of information and communication technologies to bridge the financial inclusion gap</w:t>
            </w:r>
          </w:p>
        </w:tc>
        <w:tc>
          <w:tcPr>
            <w:tcW w:w="991" w:type="dxa"/>
            <w:tcBorders>
              <w:left w:val="single" w:sz="12" w:space="0" w:color="auto"/>
            </w:tcBorders>
          </w:tcPr>
          <w:p w14:paraId="1C2750AA"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All SGs, SG2, SG3</w:t>
            </w:r>
          </w:p>
        </w:tc>
        <w:tc>
          <w:tcPr>
            <w:tcW w:w="984" w:type="dxa"/>
          </w:tcPr>
          <w:p w14:paraId="2B4E40E8"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94" w:type="dxa"/>
          </w:tcPr>
          <w:p w14:paraId="741CD221"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1339" w:type="dxa"/>
            <w:tcBorders>
              <w:right w:val="single" w:sz="4" w:space="0" w:color="auto"/>
            </w:tcBorders>
          </w:tcPr>
          <w:p w14:paraId="10B631A1"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MSs, SMs, Associates</w:t>
            </w:r>
          </w:p>
        </w:tc>
        <w:tc>
          <w:tcPr>
            <w:tcW w:w="872" w:type="dxa"/>
            <w:tcBorders>
              <w:left w:val="single" w:sz="4" w:space="0" w:color="auto"/>
              <w:right w:val="single" w:sz="12" w:space="0" w:color="auto"/>
            </w:tcBorders>
          </w:tcPr>
          <w:p w14:paraId="389AA7DC"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SecGen</w:t>
            </w:r>
          </w:p>
        </w:tc>
        <w:tc>
          <w:tcPr>
            <w:tcW w:w="872" w:type="dxa"/>
            <w:tcBorders>
              <w:left w:val="single" w:sz="12" w:space="0" w:color="auto"/>
            </w:tcBorders>
          </w:tcPr>
          <w:p w14:paraId="20266982"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SecGen</w:t>
            </w:r>
          </w:p>
        </w:tc>
        <w:tc>
          <w:tcPr>
            <w:tcW w:w="844" w:type="dxa"/>
          </w:tcPr>
          <w:p w14:paraId="7CAA57BF"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839" w:type="dxa"/>
            <w:tcBorders>
              <w:right w:val="single" w:sz="12" w:space="0" w:color="auto"/>
            </w:tcBorders>
          </w:tcPr>
          <w:p w14:paraId="2DF52B15"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16" w:type="dxa"/>
            <w:tcBorders>
              <w:left w:val="single" w:sz="12" w:space="0" w:color="auto"/>
            </w:tcBorders>
          </w:tcPr>
          <w:p w14:paraId="31827F4D"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904" w:type="dxa"/>
          </w:tcPr>
          <w:p w14:paraId="765A6910"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1120" w:type="dxa"/>
          </w:tcPr>
          <w:p w14:paraId="057D7E95"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834" w:type="dxa"/>
          </w:tcPr>
          <w:p w14:paraId="3A6DBFAB"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r>
      <w:tr w:rsidR="00F0236A" w:rsidRPr="00073574" w14:paraId="1AE352B4" w14:textId="77777777" w:rsidTr="7277BFE4">
        <w:trPr>
          <w:cantSplit/>
          <w:jc w:val="center"/>
        </w:trPr>
        <w:tc>
          <w:tcPr>
            <w:tcW w:w="3073" w:type="dxa"/>
            <w:tcBorders>
              <w:right w:val="single" w:sz="12" w:space="0" w:color="auto"/>
            </w:tcBorders>
            <w:shd w:val="clear" w:color="auto" w:fill="auto"/>
            <w:vAlign w:val="center"/>
          </w:tcPr>
          <w:p w14:paraId="15527AEA" w14:textId="77777777" w:rsidR="00F0236A" w:rsidRPr="00073574" w:rsidRDefault="0053741E"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bCs/>
              </w:rPr>
            </w:pPr>
            <w:hyperlink w:anchor="_Resolution_90_-" w:history="1">
              <w:r w:rsidR="00F0236A" w:rsidRPr="00073574">
                <w:rPr>
                  <w:rStyle w:val="Hyperlink"/>
                  <w:rFonts w:asciiTheme="majorBidi" w:hAnsiTheme="majorBidi" w:cstheme="majorBidi"/>
                  <w:bCs/>
                </w:rPr>
                <w:t>Resolution 90</w:t>
              </w:r>
            </w:hyperlink>
            <w:r w:rsidR="00F0236A" w:rsidRPr="00073574">
              <w:rPr>
                <w:rFonts w:asciiTheme="majorBidi" w:hAnsiTheme="majorBidi" w:cstheme="majorBidi"/>
                <w:bCs/>
              </w:rPr>
              <w:t xml:space="preserve"> – </w:t>
            </w:r>
            <w:r w:rsidR="00F0236A" w:rsidRPr="00073574">
              <w:rPr>
                <w:rFonts w:asciiTheme="majorBidi" w:hAnsiTheme="majorBidi" w:cstheme="majorBidi"/>
              </w:rPr>
              <w:t>Open source in the ITU Telecommunication Standardization Sector</w:t>
            </w:r>
          </w:p>
        </w:tc>
        <w:tc>
          <w:tcPr>
            <w:tcW w:w="991" w:type="dxa"/>
            <w:tcBorders>
              <w:left w:val="single" w:sz="12" w:space="0" w:color="auto"/>
            </w:tcBorders>
          </w:tcPr>
          <w:p w14:paraId="184211EA"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r w:rsidRPr="00073574">
              <w:rPr>
                <w:rFonts w:asciiTheme="majorBidi" w:hAnsiTheme="majorBidi" w:cstheme="majorBidi"/>
              </w:rPr>
              <w:t>All SGs</w:t>
            </w:r>
          </w:p>
        </w:tc>
        <w:tc>
          <w:tcPr>
            <w:tcW w:w="984" w:type="dxa"/>
          </w:tcPr>
          <w:p w14:paraId="39B60C9C"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r w:rsidRPr="00073574">
              <w:rPr>
                <w:rFonts w:asciiTheme="majorBidi" w:hAnsiTheme="majorBidi" w:cstheme="majorBidi"/>
              </w:rPr>
              <w:t>X</w:t>
            </w:r>
          </w:p>
        </w:tc>
        <w:tc>
          <w:tcPr>
            <w:tcW w:w="894" w:type="dxa"/>
          </w:tcPr>
          <w:p w14:paraId="180E84E8"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r w:rsidRPr="00073574">
              <w:rPr>
                <w:rFonts w:asciiTheme="majorBidi" w:hAnsiTheme="majorBidi" w:cstheme="majorBidi"/>
              </w:rPr>
              <w:t>X</w:t>
            </w:r>
          </w:p>
        </w:tc>
        <w:tc>
          <w:tcPr>
            <w:tcW w:w="1339" w:type="dxa"/>
            <w:tcBorders>
              <w:right w:val="single" w:sz="4" w:space="0" w:color="auto"/>
            </w:tcBorders>
          </w:tcPr>
          <w:p w14:paraId="000D6FA8"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r w:rsidRPr="00073574">
              <w:t>MSs, SMs, Associates, academia</w:t>
            </w:r>
          </w:p>
        </w:tc>
        <w:tc>
          <w:tcPr>
            <w:tcW w:w="872" w:type="dxa"/>
            <w:tcBorders>
              <w:left w:val="single" w:sz="4" w:space="0" w:color="auto"/>
              <w:right w:val="single" w:sz="12" w:space="0" w:color="auto"/>
            </w:tcBorders>
          </w:tcPr>
          <w:p w14:paraId="1E813C6D"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872" w:type="dxa"/>
            <w:tcBorders>
              <w:left w:val="single" w:sz="12" w:space="0" w:color="auto"/>
            </w:tcBorders>
          </w:tcPr>
          <w:p w14:paraId="5EF7E482"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844" w:type="dxa"/>
          </w:tcPr>
          <w:p w14:paraId="67063E91"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839" w:type="dxa"/>
            <w:tcBorders>
              <w:right w:val="single" w:sz="12" w:space="0" w:color="auto"/>
            </w:tcBorders>
          </w:tcPr>
          <w:p w14:paraId="759B3DBA"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816" w:type="dxa"/>
            <w:tcBorders>
              <w:left w:val="single" w:sz="12" w:space="0" w:color="auto"/>
            </w:tcBorders>
          </w:tcPr>
          <w:p w14:paraId="5F9C0ED7"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r w:rsidRPr="00073574">
              <w:rPr>
                <w:rFonts w:asciiTheme="majorBidi" w:hAnsiTheme="majorBidi" w:cstheme="majorBidi"/>
              </w:rPr>
              <w:t>X</w:t>
            </w:r>
          </w:p>
        </w:tc>
        <w:tc>
          <w:tcPr>
            <w:tcW w:w="904" w:type="dxa"/>
          </w:tcPr>
          <w:p w14:paraId="00F23B21"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1120" w:type="dxa"/>
          </w:tcPr>
          <w:p w14:paraId="67D31F7A"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834" w:type="dxa"/>
          </w:tcPr>
          <w:p w14:paraId="296B77E5"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r>
      <w:tr w:rsidR="00F0236A" w:rsidRPr="00073574" w14:paraId="6AD8B473" w14:textId="77777777" w:rsidTr="7277BFE4">
        <w:trPr>
          <w:cantSplit/>
          <w:jc w:val="center"/>
        </w:trPr>
        <w:tc>
          <w:tcPr>
            <w:tcW w:w="3073" w:type="dxa"/>
            <w:tcBorders>
              <w:right w:val="single" w:sz="12" w:space="0" w:color="auto"/>
            </w:tcBorders>
            <w:shd w:val="clear" w:color="auto" w:fill="auto"/>
            <w:vAlign w:val="center"/>
          </w:tcPr>
          <w:p w14:paraId="1DE873F2" w14:textId="77777777" w:rsidR="00F0236A" w:rsidRPr="00073574" w:rsidRDefault="0053741E"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bCs/>
              </w:rPr>
            </w:pPr>
            <w:hyperlink w:anchor="_Resolution_91_-" w:history="1">
              <w:r w:rsidR="00F0236A" w:rsidRPr="00073574">
                <w:rPr>
                  <w:rStyle w:val="Hyperlink"/>
                  <w:rFonts w:asciiTheme="majorBidi" w:hAnsiTheme="majorBidi" w:cstheme="majorBidi"/>
                  <w:bCs/>
                </w:rPr>
                <w:t>Resolution 91</w:t>
              </w:r>
            </w:hyperlink>
            <w:r w:rsidR="00F0236A" w:rsidRPr="00073574">
              <w:rPr>
                <w:rFonts w:asciiTheme="majorBidi" w:hAnsiTheme="majorBidi" w:cstheme="majorBidi"/>
                <w:bCs/>
              </w:rPr>
              <w:t xml:space="preserve"> – </w:t>
            </w:r>
            <w:r w:rsidR="00F0236A" w:rsidRPr="00073574">
              <w:rPr>
                <w:rFonts w:asciiTheme="majorBidi" w:hAnsiTheme="majorBidi" w:cstheme="majorBidi"/>
              </w:rPr>
              <w:t>Enhancing access to an electronic repository of information on numbering plans published by the ITU Telecommunication Standardization Sector</w:t>
            </w:r>
          </w:p>
        </w:tc>
        <w:tc>
          <w:tcPr>
            <w:tcW w:w="991" w:type="dxa"/>
            <w:tcBorders>
              <w:left w:val="single" w:sz="12" w:space="0" w:color="auto"/>
            </w:tcBorders>
          </w:tcPr>
          <w:p w14:paraId="79B4D95C"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r w:rsidRPr="00073574">
              <w:rPr>
                <w:rFonts w:asciiTheme="majorBidi" w:hAnsiTheme="majorBidi" w:cstheme="majorBidi"/>
              </w:rPr>
              <w:t>SG2</w:t>
            </w:r>
          </w:p>
        </w:tc>
        <w:tc>
          <w:tcPr>
            <w:tcW w:w="984" w:type="dxa"/>
          </w:tcPr>
          <w:p w14:paraId="2A03A572"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894" w:type="dxa"/>
          </w:tcPr>
          <w:p w14:paraId="68EEC62D"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r w:rsidRPr="00073574">
              <w:rPr>
                <w:rFonts w:asciiTheme="majorBidi" w:hAnsiTheme="majorBidi" w:cstheme="majorBidi"/>
              </w:rPr>
              <w:t>X</w:t>
            </w:r>
          </w:p>
        </w:tc>
        <w:tc>
          <w:tcPr>
            <w:tcW w:w="1339" w:type="dxa"/>
            <w:tcBorders>
              <w:right w:val="single" w:sz="4" w:space="0" w:color="auto"/>
            </w:tcBorders>
          </w:tcPr>
          <w:p w14:paraId="2B359C4B"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r w:rsidRPr="00073574">
              <w:t>MSs, SMs, Associates, academia</w:t>
            </w:r>
          </w:p>
        </w:tc>
        <w:tc>
          <w:tcPr>
            <w:tcW w:w="872" w:type="dxa"/>
            <w:tcBorders>
              <w:left w:val="single" w:sz="4" w:space="0" w:color="auto"/>
              <w:right w:val="single" w:sz="12" w:space="0" w:color="auto"/>
            </w:tcBorders>
          </w:tcPr>
          <w:p w14:paraId="42B9AAF5"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872" w:type="dxa"/>
            <w:tcBorders>
              <w:left w:val="single" w:sz="12" w:space="0" w:color="auto"/>
            </w:tcBorders>
          </w:tcPr>
          <w:p w14:paraId="67E05E4E"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844" w:type="dxa"/>
          </w:tcPr>
          <w:p w14:paraId="258EC65B"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839" w:type="dxa"/>
            <w:tcBorders>
              <w:right w:val="single" w:sz="12" w:space="0" w:color="auto"/>
            </w:tcBorders>
          </w:tcPr>
          <w:p w14:paraId="715C59BD"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816" w:type="dxa"/>
            <w:tcBorders>
              <w:left w:val="single" w:sz="12" w:space="0" w:color="auto"/>
            </w:tcBorders>
          </w:tcPr>
          <w:p w14:paraId="7EEB88D7"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904" w:type="dxa"/>
          </w:tcPr>
          <w:p w14:paraId="2CED9093"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1120" w:type="dxa"/>
          </w:tcPr>
          <w:p w14:paraId="30D0239B"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834" w:type="dxa"/>
          </w:tcPr>
          <w:p w14:paraId="3BF2C0BC"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r>
      <w:tr w:rsidR="00F0236A" w:rsidRPr="00073574" w14:paraId="2DDA908B" w14:textId="77777777" w:rsidTr="7277BFE4">
        <w:trPr>
          <w:cantSplit/>
          <w:jc w:val="center"/>
        </w:trPr>
        <w:tc>
          <w:tcPr>
            <w:tcW w:w="3073" w:type="dxa"/>
            <w:tcBorders>
              <w:right w:val="single" w:sz="12" w:space="0" w:color="auto"/>
            </w:tcBorders>
            <w:shd w:val="clear" w:color="auto" w:fill="auto"/>
            <w:vAlign w:val="center"/>
          </w:tcPr>
          <w:p w14:paraId="168F9CE9" w14:textId="77777777" w:rsidR="00F0236A" w:rsidRPr="00073574" w:rsidRDefault="0053741E"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bCs/>
              </w:rPr>
            </w:pPr>
            <w:hyperlink w:anchor="_Resolution_92_-" w:history="1">
              <w:r w:rsidR="00F0236A" w:rsidRPr="00073574">
                <w:rPr>
                  <w:rStyle w:val="Hyperlink"/>
                  <w:rFonts w:asciiTheme="majorBidi" w:hAnsiTheme="majorBidi" w:cstheme="majorBidi"/>
                  <w:bCs/>
                </w:rPr>
                <w:t>Resolution 92</w:t>
              </w:r>
            </w:hyperlink>
            <w:r w:rsidR="00F0236A" w:rsidRPr="00073574">
              <w:rPr>
                <w:rFonts w:asciiTheme="majorBidi" w:hAnsiTheme="majorBidi" w:cstheme="majorBidi"/>
                <w:bCs/>
              </w:rPr>
              <w:t xml:space="preserve"> – </w:t>
            </w:r>
            <w:r w:rsidR="00F0236A" w:rsidRPr="00073574">
              <w:rPr>
                <w:rFonts w:asciiTheme="majorBidi" w:hAnsiTheme="majorBidi" w:cstheme="majorBidi"/>
              </w:rPr>
              <w:t>Enhancing the standardization activities in the ITU Telecommunication Standardization Sector related to non-radio aspects of international mobile telecommunications</w:t>
            </w:r>
          </w:p>
        </w:tc>
        <w:tc>
          <w:tcPr>
            <w:tcW w:w="991" w:type="dxa"/>
            <w:tcBorders>
              <w:left w:val="single" w:sz="12" w:space="0" w:color="auto"/>
            </w:tcBorders>
          </w:tcPr>
          <w:p w14:paraId="1E83574F"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All SGs, SG11, SG12, SG13, SG15, SG17,</w:t>
            </w:r>
          </w:p>
          <w:p w14:paraId="2FB9422C" w14:textId="77777777" w:rsidR="00F0236A" w:rsidRPr="00073574" w:rsidRDefault="00F0236A" w:rsidP="00DF36E1">
            <w:pPr>
              <w:pStyle w:val="Tabletext"/>
              <w:tabs>
                <w:tab w:val="clear" w:pos="284"/>
                <w:tab w:val="clear" w:pos="567"/>
                <w:tab w:val="clear" w:pos="851"/>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before="32" w:after="32"/>
            </w:pPr>
            <w:r w:rsidRPr="00073574">
              <w:t>JCA-IMT2020</w:t>
            </w:r>
          </w:p>
        </w:tc>
        <w:tc>
          <w:tcPr>
            <w:tcW w:w="984" w:type="dxa"/>
          </w:tcPr>
          <w:p w14:paraId="712C6EF8"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894" w:type="dxa"/>
          </w:tcPr>
          <w:p w14:paraId="50AA09E4"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1339" w:type="dxa"/>
            <w:tcBorders>
              <w:right w:val="single" w:sz="4" w:space="0" w:color="auto"/>
            </w:tcBorders>
          </w:tcPr>
          <w:p w14:paraId="264A5BF4"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MSs, SMs, Associates, academia</w:t>
            </w:r>
          </w:p>
        </w:tc>
        <w:tc>
          <w:tcPr>
            <w:tcW w:w="872" w:type="dxa"/>
            <w:tcBorders>
              <w:left w:val="single" w:sz="4" w:space="0" w:color="auto"/>
              <w:right w:val="single" w:sz="12" w:space="0" w:color="auto"/>
            </w:tcBorders>
          </w:tcPr>
          <w:p w14:paraId="0DB6573E"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72" w:type="dxa"/>
            <w:tcBorders>
              <w:left w:val="single" w:sz="12" w:space="0" w:color="auto"/>
            </w:tcBorders>
          </w:tcPr>
          <w:p w14:paraId="273D9076"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44" w:type="dxa"/>
          </w:tcPr>
          <w:p w14:paraId="7FDBB569"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839" w:type="dxa"/>
            <w:tcBorders>
              <w:right w:val="single" w:sz="12" w:space="0" w:color="auto"/>
            </w:tcBorders>
          </w:tcPr>
          <w:p w14:paraId="2ACB8657"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816" w:type="dxa"/>
            <w:tcBorders>
              <w:left w:val="single" w:sz="12" w:space="0" w:color="auto"/>
            </w:tcBorders>
          </w:tcPr>
          <w:p w14:paraId="5CED818F"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904" w:type="dxa"/>
          </w:tcPr>
          <w:p w14:paraId="1E902F81"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1120" w:type="dxa"/>
          </w:tcPr>
          <w:p w14:paraId="1C7B3890"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34" w:type="dxa"/>
          </w:tcPr>
          <w:p w14:paraId="3E35B7D7"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r>
      <w:tr w:rsidR="00F0236A" w:rsidRPr="00073574" w14:paraId="33736AE7" w14:textId="77777777" w:rsidTr="7277BFE4">
        <w:trPr>
          <w:cantSplit/>
          <w:jc w:val="center"/>
        </w:trPr>
        <w:tc>
          <w:tcPr>
            <w:tcW w:w="3073" w:type="dxa"/>
            <w:tcBorders>
              <w:right w:val="single" w:sz="12" w:space="0" w:color="auto"/>
            </w:tcBorders>
            <w:shd w:val="clear" w:color="auto" w:fill="auto"/>
            <w:vAlign w:val="center"/>
          </w:tcPr>
          <w:p w14:paraId="34E7EB61" w14:textId="77777777" w:rsidR="00F0236A" w:rsidRPr="00073574" w:rsidRDefault="0053741E"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bCs/>
              </w:rPr>
            </w:pPr>
            <w:hyperlink w:anchor="_Resolution_93_-" w:history="1">
              <w:r w:rsidR="00F0236A" w:rsidRPr="00073574">
                <w:rPr>
                  <w:rStyle w:val="Hyperlink"/>
                  <w:rFonts w:asciiTheme="majorBidi" w:hAnsiTheme="majorBidi" w:cstheme="majorBidi"/>
                  <w:bCs/>
                </w:rPr>
                <w:t>Resolution 93</w:t>
              </w:r>
            </w:hyperlink>
            <w:r w:rsidR="00F0236A" w:rsidRPr="00073574">
              <w:rPr>
                <w:rFonts w:asciiTheme="majorBidi" w:hAnsiTheme="majorBidi" w:cstheme="majorBidi"/>
                <w:bCs/>
              </w:rPr>
              <w:t xml:space="preserve"> – </w:t>
            </w:r>
            <w:r w:rsidR="00F0236A" w:rsidRPr="00073574">
              <w:rPr>
                <w:rFonts w:asciiTheme="majorBidi" w:hAnsiTheme="majorBidi" w:cstheme="majorBidi"/>
              </w:rPr>
              <w:t>Interconnection of 4G, IMT-2020 networks and beyond</w:t>
            </w:r>
          </w:p>
        </w:tc>
        <w:tc>
          <w:tcPr>
            <w:tcW w:w="991" w:type="dxa"/>
            <w:tcBorders>
              <w:left w:val="single" w:sz="12" w:space="0" w:color="auto"/>
            </w:tcBorders>
          </w:tcPr>
          <w:p w14:paraId="403DBBA2"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r w:rsidRPr="00073574">
              <w:rPr>
                <w:rFonts w:asciiTheme="majorBidi" w:hAnsiTheme="majorBidi" w:cstheme="majorBidi"/>
              </w:rPr>
              <w:t>SG2, SG3, SG11, SG13, SG17,</w:t>
            </w:r>
          </w:p>
        </w:tc>
        <w:tc>
          <w:tcPr>
            <w:tcW w:w="984" w:type="dxa"/>
          </w:tcPr>
          <w:p w14:paraId="1B541610"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894" w:type="dxa"/>
          </w:tcPr>
          <w:p w14:paraId="03DF1FFC"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r w:rsidRPr="00073574">
              <w:rPr>
                <w:rFonts w:asciiTheme="majorBidi" w:hAnsiTheme="majorBidi" w:cstheme="majorBidi"/>
              </w:rPr>
              <w:t>X</w:t>
            </w:r>
          </w:p>
        </w:tc>
        <w:tc>
          <w:tcPr>
            <w:tcW w:w="1339" w:type="dxa"/>
            <w:tcBorders>
              <w:right w:val="single" w:sz="4" w:space="0" w:color="auto"/>
            </w:tcBorders>
          </w:tcPr>
          <w:p w14:paraId="21DAB48E"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r w:rsidRPr="00073574">
              <w:rPr>
                <w:rFonts w:asciiTheme="majorBidi" w:hAnsiTheme="majorBidi" w:cstheme="majorBidi"/>
              </w:rPr>
              <w:t>MSs, SMs</w:t>
            </w:r>
          </w:p>
        </w:tc>
        <w:tc>
          <w:tcPr>
            <w:tcW w:w="872" w:type="dxa"/>
            <w:tcBorders>
              <w:left w:val="single" w:sz="4" w:space="0" w:color="auto"/>
              <w:right w:val="single" w:sz="12" w:space="0" w:color="auto"/>
            </w:tcBorders>
          </w:tcPr>
          <w:p w14:paraId="5E4D734A"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872" w:type="dxa"/>
            <w:tcBorders>
              <w:left w:val="single" w:sz="12" w:space="0" w:color="auto"/>
            </w:tcBorders>
          </w:tcPr>
          <w:p w14:paraId="5C4CD791"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844" w:type="dxa"/>
          </w:tcPr>
          <w:p w14:paraId="0AF6AEEB"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839" w:type="dxa"/>
            <w:tcBorders>
              <w:right w:val="single" w:sz="12" w:space="0" w:color="auto"/>
            </w:tcBorders>
          </w:tcPr>
          <w:p w14:paraId="34A12DA9"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816" w:type="dxa"/>
            <w:tcBorders>
              <w:left w:val="single" w:sz="12" w:space="0" w:color="auto"/>
            </w:tcBorders>
          </w:tcPr>
          <w:p w14:paraId="26618064"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904" w:type="dxa"/>
          </w:tcPr>
          <w:p w14:paraId="0587478F"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r w:rsidRPr="00073574">
              <w:rPr>
                <w:rFonts w:asciiTheme="majorBidi" w:hAnsiTheme="majorBidi" w:cstheme="majorBidi"/>
              </w:rPr>
              <w:t>X</w:t>
            </w:r>
          </w:p>
        </w:tc>
        <w:tc>
          <w:tcPr>
            <w:tcW w:w="1120" w:type="dxa"/>
          </w:tcPr>
          <w:p w14:paraId="31D0FA83"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834" w:type="dxa"/>
          </w:tcPr>
          <w:p w14:paraId="39274AF5"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r>
      <w:tr w:rsidR="00F0236A" w:rsidRPr="00073574" w14:paraId="53E94E5B" w14:textId="77777777" w:rsidTr="7277BFE4">
        <w:trPr>
          <w:cantSplit/>
          <w:jc w:val="center"/>
        </w:trPr>
        <w:tc>
          <w:tcPr>
            <w:tcW w:w="3073" w:type="dxa"/>
            <w:tcBorders>
              <w:right w:val="single" w:sz="12" w:space="0" w:color="auto"/>
            </w:tcBorders>
            <w:shd w:val="clear" w:color="auto" w:fill="auto"/>
            <w:vAlign w:val="center"/>
          </w:tcPr>
          <w:p w14:paraId="6DD8E7D9" w14:textId="77777777" w:rsidR="00F0236A" w:rsidRPr="00073574" w:rsidRDefault="0053741E"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bCs/>
              </w:rPr>
            </w:pPr>
            <w:hyperlink w:anchor="_Resolution_94_-" w:history="1">
              <w:r w:rsidR="00F0236A" w:rsidRPr="00073574">
                <w:rPr>
                  <w:rStyle w:val="Hyperlink"/>
                  <w:rFonts w:asciiTheme="majorBidi" w:hAnsiTheme="majorBidi" w:cstheme="majorBidi"/>
                  <w:bCs/>
                </w:rPr>
                <w:t>Resolution 94</w:t>
              </w:r>
            </w:hyperlink>
            <w:r w:rsidR="00F0236A" w:rsidRPr="00073574">
              <w:rPr>
                <w:rFonts w:asciiTheme="majorBidi" w:hAnsiTheme="majorBidi" w:cstheme="majorBidi"/>
                <w:bCs/>
              </w:rPr>
              <w:t xml:space="preserve"> – </w:t>
            </w:r>
            <w:r w:rsidR="00F0236A" w:rsidRPr="00073574">
              <w:rPr>
                <w:rFonts w:asciiTheme="majorBidi" w:hAnsiTheme="majorBidi" w:cstheme="majorBidi"/>
              </w:rPr>
              <w:t>Standardization work in the ITU Telecommunication Standardization Sector for cloud-based event data technology</w:t>
            </w:r>
          </w:p>
        </w:tc>
        <w:tc>
          <w:tcPr>
            <w:tcW w:w="991" w:type="dxa"/>
            <w:tcBorders>
              <w:left w:val="single" w:sz="12" w:space="0" w:color="auto"/>
            </w:tcBorders>
          </w:tcPr>
          <w:p w14:paraId="3543580F"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r w:rsidRPr="00073574">
              <w:rPr>
                <w:rFonts w:asciiTheme="majorBidi" w:hAnsiTheme="majorBidi" w:cstheme="majorBidi"/>
              </w:rPr>
              <w:t>SG13, SG16, SG17, SG20</w:t>
            </w:r>
          </w:p>
        </w:tc>
        <w:tc>
          <w:tcPr>
            <w:tcW w:w="984" w:type="dxa"/>
          </w:tcPr>
          <w:p w14:paraId="73960466"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r w:rsidRPr="00073574">
              <w:rPr>
                <w:rFonts w:asciiTheme="majorBidi" w:hAnsiTheme="majorBidi" w:cstheme="majorBidi"/>
              </w:rPr>
              <w:t>X</w:t>
            </w:r>
          </w:p>
        </w:tc>
        <w:tc>
          <w:tcPr>
            <w:tcW w:w="894" w:type="dxa"/>
          </w:tcPr>
          <w:p w14:paraId="5D33ABCC"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r w:rsidRPr="00073574">
              <w:rPr>
                <w:rFonts w:asciiTheme="majorBidi" w:hAnsiTheme="majorBidi" w:cstheme="majorBidi"/>
              </w:rPr>
              <w:t>X</w:t>
            </w:r>
          </w:p>
        </w:tc>
        <w:tc>
          <w:tcPr>
            <w:tcW w:w="1339" w:type="dxa"/>
            <w:tcBorders>
              <w:right w:val="single" w:sz="4" w:space="0" w:color="auto"/>
            </w:tcBorders>
          </w:tcPr>
          <w:p w14:paraId="22529CEF"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r w:rsidRPr="00073574">
              <w:rPr>
                <w:rFonts w:asciiTheme="majorBidi" w:hAnsiTheme="majorBidi" w:cstheme="majorBidi"/>
              </w:rPr>
              <w:t>MSs, SMs, Associates, academia</w:t>
            </w:r>
          </w:p>
        </w:tc>
        <w:tc>
          <w:tcPr>
            <w:tcW w:w="872" w:type="dxa"/>
            <w:tcBorders>
              <w:left w:val="single" w:sz="4" w:space="0" w:color="auto"/>
              <w:right w:val="single" w:sz="12" w:space="0" w:color="auto"/>
            </w:tcBorders>
          </w:tcPr>
          <w:p w14:paraId="565B3EE9"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872" w:type="dxa"/>
            <w:tcBorders>
              <w:left w:val="single" w:sz="12" w:space="0" w:color="auto"/>
            </w:tcBorders>
          </w:tcPr>
          <w:p w14:paraId="0589526E"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844" w:type="dxa"/>
          </w:tcPr>
          <w:p w14:paraId="002BFB04"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839" w:type="dxa"/>
            <w:tcBorders>
              <w:right w:val="single" w:sz="12" w:space="0" w:color="auto"/>
            </w:tcBorders>
          </w:tcPr>
          <w:p w14:paraId="32496CA5"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816" w:type="dxa"/>
            <w:tcBorders>
              <w:left w:val="single" w:sz="12" w:space="0" w:color="auto"/>
            </w:tcBorders>
          </w:tcPr>
          <w:p w14:paraId="45D9C584"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904" w:type="dxa"/>
          </w:tcPr>
          <w:p w14:paraId="4E7B3D6E"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1120" w:type="dxa"/>
          </w:tcPr>
          <w:p w14:paraId="68F0950D"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834" w:type="dxa"/>
          </w:tcPr>
          <w:p w14:paraId="709309BB"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r>
      <w:tr w:rsidR="00F0236A" w:rsidRPr="00073574" w14:paraId="53E24438" w14:textId="77777777" w:rsidTr="7277BFE4">
        <w:trPr>
          <w:cantSplit/>
          <w:jc w:val="center"/>
        </w:trPr>
        <w:tc>
          <w:tcPr>
            <w:tcW w:w="3073" w:type="dxa"/>
            <w:tcBorders>
              <w:right w:val="single" w:sz="12" w:space="0" w:color="auto"/>
            </w:tcBorders>
            <w:shd w:val="clear" w:color="auto" w:fill="auto"/>
            <w:vAlign w:val="center"/>
          </w:tcPr>
          <w:p w14:paraId="386FE9FA" w14:textId="77777777" w:rsidR="00F0236A" w:rsidRPr="00073574" w:rsidRDefault="0053741E"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bCs/>
              </w:rPr>
            </w:pPr>
            <w:hyperlink w:anchor="_Resolution_95_-" w:history="1">
              <w:r w:rsidR="00F0236A" w:rsidRPr="00073574">
                <w:rPr>
                  <w:rStyle w:val="Hyperlink"/>
                  <w:rFonts w:asciiTheme="majorBidi" w:hAnsiTheme="majorBidi" w:cstheme="majorBidi"/>
                  <w:bCs/>
                </w:rPr>
                <w:t>Resolution 95</w:t>
              </w:r>
            </w:hyperlink>
            <w:r w:rsidR="00F0236A" w:rsidRPr="00073574">
              <w:rPr>
                <w:rFonts w:asciiTheme="majorBidi" w:hAnsiTheme="majorBidi" w:cstheme="majorBidi"/>
                <w:bCs/>
              </w:rPr>
              <w:t xml:space="preserve"> – </w:t>
            </w:r>
            <w:r w:rsidR="00F0236A" w:rsidRPr="00073574">
              <w:rPr>
                <w:rFonts w:asciiTheme="majorBidi" w:hAnsiTheme="majorBidi" w:cstheme="majorBidi"/>
              </w:rPr>
              <w:t>ITU Telecommunication Standardization Sector initiatives to raise awareness on best practices and policies related to service quality</w:t>
            </w:r>
          </w:p>
        </w:tc>
        <w:tc>
          <w:tcPr>
            <w:tcW w:w="991" w:type="dxa"/>
            <w:tcBorders>
              <w:left w:val="single" w:sz="12" w:space="0" w:color="auto"/>
            </w:tcBorders>
          </w:tcPr>
          <w:p w14:paraId="386FEB65"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r w:rsidRPr="00073574">
              <w:rPr>
                <w:rFonts w:asciiTheme="majorBidi" w:hAnsiTheme="majorBidi" w:cstheme="majorBidi"/>
              </w:rPr>
              <w:t>All SGs, SG12</w:t>
            </w:r>
          </w:p>
        </w:tc>
        <w:tc>
          <w:tcPr>
            <w:tcW w:w="984" w:type="dxa"/>
          </w:tcPr>
          <w:p w14:paraId="38A657C9"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894" w:type="dxa"/>
          </w:tcPr>
          <w:p w14:paraId="6082888B"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r w:rsidRPr="00073574">
              <w:rPr>
                <w:rFonts w:asciiTheme="majorBidi" w:hAnsiTheme="majorBidi" w:cstheme="majorBidi"/>
              </w:rPr>
              <w:t>X</w:t>
            </w:r>
          </w:p>
        </w:tc>
        <w:tc>
          <w:tcPr>
            <w:tcW w:w="1339" w:type="dxa"/>
            <w:tcBorders>
              <w:right w:val="single" w:sz="4" w:space="0" w:color="auto"/>
            </w:tcBorders>
          </w:tcPr>
          <w:p w14:paraId="0ABD2420"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r w:rsidRPr="00073574">
              <w:rPr>
                <w:rFonts w:asciiTheme="majorBidi" w:hAnsiTheme="majorBidi" w:cstheme="majorBidi"/>
              </w:rPr>
              <w:t>MSs, SMs, Associates, academia</w:t>
            </w:r>
          </w:p>
        </w:tc>
        <w:tc>
          <w:tcPr>
            <w:tcW w:w="872" w:type="dxa"/>
            <w:tcBorders>
              <w:left w:val="single" w:sz="4" w:space="0" w:color="auto"/>
              <w:right w:val="single" w:sz="12" w:space="0" w:color="auto"/>
            </w:tcBorders>
          </w:tcPr>
          <w:p w14:paraId="151F9B1F"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872" w:type="dxa"/>
            <w:tcBorders>
              <w:left w:val="single" w:sz="12" w:space="0" w:color="auto"/>
            </w:tcBorders>
          </w:tcPr>
          <w:p w14:paraId="788EB047"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844" w:type="dxa"/>
          </w:tcPr>
          <w:p w14:paraId="150D8097"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r w:rsidRPr="00073574">
              <w:rPr>
                <w:rFonts w:asciiTheme="majorBidi" w:hAnsiTheme="majorBidi" w:cstheme="majorBidi"/>
              </w:rPr>
              <w:t>X</w:t>
            </w:r>
          </w:p>
        </w:tc>
        <w:tc>
          <w:tcPr>
            <w:tcW w:w="839" w:type="dxa"/>
            <w:tcBorders>
              <w:right w:val="single" w:sz="12" w:space="0" w:color="auto"/>
            </w:tcBorders>
          </w:tcPr>
          <w:p w14:paraId="420AF0CE"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r w:rsidRPr="00073574">
              <w:rPr>
                <w:rFonts w:asciiTheme="majorBidi" w:hAnsiTheme="majorBidi" w:cstheme="majorBidi"/>
              </w:rPr>
              <w:t>X</w:t>
            </w:r>
          </w:p>
        </w:tc>
        <w:tc>
          <w:tcPr>
            <w:tcW w:w="816" w:type="dxa"/>
            <w:tcBorders>
              <w:left w:val="single" w:sz="12" w:space="0" w:color="auto"/>
            </w:tcBorders>
          </w:tcPr>
          <w:p w14:paraId="38C4E168"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904" w:type="dxa"/>
          </w:tcPr>
          <w:p w14:paraId="74083310"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1120" w:type="dxa"/>
          </w:tcPr>
          <w:p w14:paraId="799BD64F"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834" w:type="dxa"/>
          </w:tcPr>
          <w:p w14:paraId="6A798B4F"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r>
      <w:tr w:rsidR="00F0236A" w:rsidRPr="00073574" w14:paraId="73FAB340" w14:textId="77777777" w:rsidTr="7277BFE4">
        <w:trPr>
          <w:cantSplit/>
          <w:jc w:val="center"/>
        </w:trPr>
        <w:tc>
          <w:tcPr>
            <w:tcW w:w="3073" w:type="dxa"/>
            <w:tcBorders>
              <w:right w:val="single" w:sz="12" w:space="0" w:color="auto"/>
            </w:tcBorders>
            <w:shd w:val="clear" w:color="auto" w:fill="auto"/>
            <w:vAlign w:val="center"/>
          </w:tcPr>
          <w:p w14:paraId="2A5FEF1D" w14:textId="77777777" w:rsidR="00F0236A" w:rsidRPr="00073574" w:rsidRDefault="0053741E"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bCs/>
              </w:rPr>
            </w:pPr>
            <w:hyperlink w:anchor="_Resolution_96_-" w:history="1">
              <w:r w:rsidR="00F0236A" w:rsidRPr="00073574">
                <w:rPr>
                  <w:rStyle w:val="Hyperlink"/>
                  <w:rFonts w:asciiTheme="majorBidi" w:hAnsiTheme="majorBidi" w:cstheme="majorBidi"/>
                  <w:bCs/>
                </w:rPr>
                <w:t>Resolution 96</w:t>
              </w:r>
            </w:hyperlink>
            <w:r w:rsidR="00F0236A" w:rsidRPr="00073574">
              <w:rPr>
                <w:rFonts w:asciiTheme="majorBidi" w:hAnsiTheme="majorBidi" w:cstheme="majorBidi"/>
                <w:bCs/>
              </w:rPr>
              <w:t xml:space="preserve"> – </w:t>
            </w:r>
            <w:r w:rsidR="00F0236A" w:rsidRPr="00073574">
              <w:rPr>
                <w:rFonts w:asciiTheme="majorBidi" w:hAnsiTheme="majorBidi" w:cstheme="majorBidi"/>
              </w:rPr>
              <w:t>ITU Telecommunication Standardization Sector studies for combating counterfeit telecommunication/information and communication technology devices</w:t>
            </w:r>
          </w:p>
        </w:tc>
        <w:tc>
          <w:tcPr>
            <w:tcW w:w="991" w:type="dxa"/>
            <w:tcBorders>
              <w:left w:val="single" w:sz="12" w:space="0" w:color="auto"/>
            </w:tcBorders>
          </w:tcPr>
          <w:p w14:paraId="3D64EC0D"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r w:rsidRPr="00073574">
              <w:rPr>
                <w:rFonts w:asciiTheme="majorBidi" w:hAnsiTheme="majorBidi" w:cstheme="majorBidi"/>
              </w:rPr>
              <w:t>All SGs, SG2, SG11, SG17, SG20</w:t>
            </w:r>
          </w:p>
        </w:tc>
        <w:tc>
          <w:tcPr>
            <w:tcW w:w="984" w:type="dxa"/>
          </w:tcPr>
          <w:p w14:paraId="63C07142"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894" w:type="dxa"/>
          </w:tcPr>
          <w:p w14:paraId="68C5D634"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r w:rsidRPr="00073574">
              <w:rPr>
                <w:rFonts w:asciiTheme="majorBidi" w:hAnsiTheme="majorBidi" w:cstheme="majorBidi"/>
              </w:rPr>
              <w:t>X</w:t>
            </w:r>
          </w:p>
        </w:tc>
        <w:tc>
          <w:tcPr>
            <w:tcW w:w="1339" w:type="dxa"/>
            <w:tcBorders>
              <w:right w:val="single" w:sz="4" w:space="0" w:color="auto"/>
            </w:tcBorders>
          </w:tcPr>
          <w:p w14:paraId="08B771F2"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r w:rsidRPr="00073574">
              <w:rPr>
                <w:rFonts w:asciiTheme="majorBidi" w:hAnsiTheme="majorBidi" w:cstheme="majorBidi"/>
              </w:rPr>
              <w:t>MSs, SMs, Associates, academia</w:t>
            </w:r>
          </w:p>
        </w:tc>
        <w:tc>
          <w:tcPr>
            <w:tcW w:w="872" w:type="dxa"/>
            <w:tcBorders>
              <w:left w:val="single" w:sz="4" w:space="0" w:color="auto"/>
              <w:right w:val="single" w:sz="12" w:space="0" w:color="auto"/>
            </w:tcBorders>
          </w:tcPr>
          <w:p w14:paraId="009AF75B"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872" w:type="dxa"/>
            <w:tcBorders>
              <w:left w:val="single" w:sz="12" w:space="0" w:color="auto"/>
            </w:tcBorders>
          </w:tcPr>
          <w:p w14:paraId="54101880"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844" w:type="dxa"/>
          </w:tcPr>
          <w:p w14:paraId="0888DA6B"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r w:rsidRPr="00073574">
              <w:rPr>
                <w:rFonts w:asciiTheme="majorBidi" w:hAnsiTheme="majorBidi" w:cstheme="majorBidi"/>
              </w:rPr>
              <w:t>X</w:t>
            </w:r>
          </w:p>
        </w:tc>
        <w:tc>
          <w:tcPr>
            <w:tcW w:w="839" w:type="dxa"/>
            <w:tcBorders>
              <w:right w:val="single" w:sz="12" w:space="0" w:color="auto"/>
            </w:tcBorders>
          </w:tcPr>
          <w:p w14:paraId="052FF9BD"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r w:rsidRPr="00073574">
              <w:rPr>
                <w:rFonts w:asciiTheme="majorBidi" w:hAnsiTheme="majorBidi" w:cstheme="majorBidi"/>
              </w:rPr>
              <w:t>X</w:t>
            </w:r>
          </w:p>
        </w:tc>
        <w:tc>
          <w:tcPr>
            <w:tcW w:w="816" w:type="dxa"/>
            <w:tcBorders>
              <w:left w:val="single" w:sz="12" w:space="0" w:color="auto"/>
            </w:tcBorders>
          </w:tcPr>
          <w:p w14:paraId="1C8C8A59"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904" w:type="dxa"/>
          </w:tcPr>
          <w:p w14:paraId="56A44522"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r w:rsidRPr="00073574">
              <w:rPr>
                <w:rFonts w:asciiTheme="majorBidi" w:hAnsiTheme="majorBidi" w:cstheme="majorBidi"/>
              </w:rPr>
              <w:t>X</w:t>
            </w:r>
          </w:p>
        </w:tc>
        <w:tc>
          <w:tcPr>
            <w:tcW w:w="1120" w:type="dxa"/>
          </w:tcPr>
          <w:p w14:paraId="76FD0A28"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834" w:type="dxa"/>
          </w:tcPr>
          <w:p w14:paraId="647B9472"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r>
      <w:tr w:rsidR="00F0236A" w:rsidRPr="00073574" w14:paraId="20EFA435" w14:textId="77777777" w:rsidTr="7277BFE4">
        <w:trPr>
          <w:cantSplit/>
          <w:jc w:val="center"/>
        </w:trPr>
        <w:tc>
          <w:tcPr>
            <w:tcW w:w="3073" w:type="dxa"/>
            <w:tcBorders>
              <w:right w:val="single" w:sz="12" w:space="0" w:color="auto"/>
            </w:tcBorders>
            <w:shd w:val="clear" w:color="auto" w:fill="auto"/>
            <w:vAlign w:val="center"/>
          </w:tcPr>
          <w:p w14:paraId="73BB9648" w14:textId="77777777" w:rsidR="00F0236A" w:rsidRPr="00073574" w:rsidRDefault="0053741E"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bCs/>
              </w:rPr>
            </w:pPr>
            <w:hyperlink w:anchor="_Resolution_97_-" w:history="1">
              <w:r w:rsidR="00F0236A" w:rsidRPr="00073574">
                <w:rPr>
                  <w:rStyle w:val="Hyperlink"/>
                  <w:rFonts w:asciiTheme="majorBidi" w:hAnsiTheme="majorBidi" w:cstheme="majorBidi"/>
                  <w:bCs/>
                </w:rPr>
                <w:t>Resolution 97</w:t>
              </w:r>
            </w:hyperlink>
            <w:r w:rsidR="00F0236A" w:rsidRPr="00073574">
              <w:rPr>
                <w:rFonts w:asciiTheme="majorBidi" w:hAnsiTheme="majorBidi" w:cstheme="majorBidi"/>
                <w:bCs/>
              </w:rPr>
              <w:t xml:space="preserve"> – </w:t>
            </w:r>
            <w:r w:rsidR="00F0236A" w:rsidRPr="00073574">
              <w:rPr>
                <w:rFonts w:asciiTheme="majorBidi" w:hAnsiTheme="majorBidi" w:cstheme="majorBidi"/>
              </w:rPr>
              <w:t>Combating mobile telecommunication device theft</w:t>
            </w:r>
          </w:p>
        </w:tc>
        <w:tc>
          <w:tcPr>
            <w:tcW w:w="991" w:type="dxa"/>
            <w:tcBorders>
              <w:left w:val="single" w:sz="12" w:space="0" w:color="auto"/>
            </w:tcBorders>
          </w:tcPr>
          <w:p w14:paraId="7E81480E"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r w:rsidRPr="00073574">
              <w:rPr>
                <w:rFonts w:asciiTheme="majorBidi" w:hAnsiTheme="majorBidi" w:cstheme="majorBidi"/>
              </w:rPr>
              <w:t>All SGs, SG11, SG17</w:t>
            </w:r>
          </w:p>
        </w:tc>
        <w:tc>
          <w:tcPr>
            <w:tcW w:w="984" w:type="dxa"/>
          </w:tcPr>
          <w:p w14:paraId="40B643B0"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894" w:type="dxa"/>
          </w:tcPr>
          <w:p w14:paraId="2B4F817E"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r w:rsidRPr="00073574">
              <w:rPr>
                <w:rFonts w:asciiTheme="majorBidi" w:hAnsiTheme="majorBidi" w:cstheme="majorBidi"/>
              </w:rPr>
              <w:t>X</w:t>
            </w:r>
          </w:p>
        </w:tc>
        <w:tc>
          <w:tcPr>
            <w:tcW w:w="1339" w:type="dxa"/>
            <w:tcBorders>
              <w:right w:val="single" w:sz="4" w:space="0" w:color="auto"/>
            </w:tcBorders>
          </w:tcPr>
          <w:p w14:paraId="24278E59"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r w:rsidRPr="00073574">
              <w:rPr>
                <w:rFonts w:asciiTheme="majorBidi" w:hAnsiTheme="majorBidi" w:cstheme="majorBidi"/>
              </w:rPr>
              <w:t>MSs, SMs</w:t>
            </w:r>
          </w:p>
        </w:tc>
        <w:tc>
          <w:tcPr>
            <w:tcW w:w="872" w:type="dxa"/>
            <w:tcBorders>
              <w:left w:val="single" w:sz="4" w:space="0" w:color="auto"/>
              <w:right w:val="single" w:sz="12" w:space="0" w:color="auto"/>
            </w:tcBorders>
          </w:tcPr>
          <w:p w14:paraId="1C8CC26D"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872" w:type="dxa"/>
            <w:tcBorders>
              <w:left w:val="single" w:sz="12" w:space="0" w:color="auto"/>
            </w:tcBorders>
          </w:tcPr>
          <w:p w14:paraId="5F0B9E1F"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844" w:type="dxa"/>
          </w:tcPr>
          <w:p w14:paraId="5BBDF2E3"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r w:rsidRPr="00073574">
              <w:rPr>
                <w:rFonts w:asciiTheme="majorBidi" w:hAnsiTheme="majorBidi" w:cstheme="majorBidi"/>
              </w:rPr>
              <w:t>X</w:t>
            </w:r>
          </w:p>
        </w:tc>
        <w:tc>
          <w:tcPr>
            <w:tcW w:w="839" w:type="dxa"/>
            <w:tcBorders>
              <w:right w:val="single" w:sz="12" w:space="0" w:color="auto"/>
            </w:tcBorders>
          </w:tcPr>
          <w:p w14:paraId="211BD053"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r w:rsidRPr="00073574">
              <w:rPr>
                <w:rFonts w:asciiTheme="majorBidi" w:hAnsiTheme="majorBidi" w:cstheme="majorBidi"/>
              </w:rPr>
              <w:t>X</w:t>
            </w:r>
          </w:p>
        </w:tc>
        <w:tc>
          <w:tcPr>
            <w:tcW w:w="816" w:type="dxa"/>
            <w:tcBorders>
              <w:left w:val="single" w:sz="12" w:space="0" w:color="auto"/>
            </w:tcBorders>
          </w:tcPr>
          <w:p w14:paraId="4313BC2C"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904" w:type="dxa"/>
          </w:tcPr>
          <w:p w14:paraId="6726AA6A"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1120" w:type="dxa"/>
          </w:tcPr>
          <w:p w14:paraId="51649AD2"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834" w:type="dxa"/>
          </w:tcPr>
          <w:p w14:paraId="1B943CDD"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r>
      <w:tr w:rsidR="00F0236A" w:rsidRPr="00073574" w14:paraId="25EC8D68" w14:textId="77777777" w:rsidTr="7277BFE4">
        <w:trPr>
          <w:cantSplit/>
          <w:jc w:val="center"/>
        </w:trPr>
        <w:tc>
          <w:tcPr>
            <w:tcW w:w="3073" w:type="dxa"/>
            <w:tcBorders>
              <w:right w:val="single" w:sz="12" w:space="0" w:color="auto"/>
            </w:tcBorders>
            <w:shd w:val="clear" w:color="auto" w:fill="auto"/>
            <w:vAlign w:val="center"/>
          </w:tcPr>
          <w:p w14:paraId="247B4864" w14:textId="77777777" w:rsidR="00F0236A" w:rsidRPr="00073574" w:rsidRDefault="0053741E"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bCs/>
              </w:rPr>
            </w:pPr>
            <w:hyperlink w:anchor="_Resolution_98_-" w:history="1">
              <w:r w:rsidR="00F0236A" w:rsidRPr="00073574">
                <w:rPr>
                  <w:rStyle w:val="Hyperlink"/>
                  <w:rFonts w:asciiTheme="majorBidi" w:hAnsiTheme="majorBidi" w:cstheme="majorBidi"/>
                  <w:bCs/>
                </w:rPr>
                <w:t>Resolution 98</w:t>
              </w:r>
            </w:hyperlink>
            <w:r w:rsidR="00F0236A" w:rsidRPr="00073574">
              <w:rPr>
                <w:rFonts w:asciiTheme="majorBidi" w:hAnsiTheme="majorBidi" w:cstheme="majorBidi"/>
                <w:bCs/>
              </w:rPr>
              <w:t xml:space="preserve"> – </w:t>
            </w:r>
            <w:r w:rsidR="00F0236A" w:rsidRPr="00073574">
              <w:rPr>
                <w:rFonts w:asciiTheme="majorBidi" w:hAnsiTheme="majorBidi" w:cstheme="majorBidi"/>
              </w:rPr>
              <w:t>Enhancing the standardization of Internet of things and Smart Cities and Communities for global development</w:t>
            </w:r>
          </w:p>
        </w:tc>
        <w:tc>
          <w:tcPr>
            <w:tcW w:w="991" w:type="dxa"/>
            <w:tcBorders>
              <w:left w:val="single" w:sz="12" w:space="0" w:color="auto"/>
            </w:tcBorders>
          </w:tcPr>
          <w:p w14:paraId="2894F494"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r w:rsidRPr="00073574">
              <w:rPr>
                <w:rFonts w:asciiTheme="majorBidi" w:hAnsiTheme="majorBidi" w:cstheme="majorBidi"/>
              </w:rPr>
              <w:t>SG20</w:t>
            </w:r>
          </w:p>
        </w:tc>
        <w:tc>
          <w:tcPr>
            <w:tcW w:w="984" w:type="dxa"/>
          </w:tcPr>
          <w:p w14:paraId="757799D8"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894" w:type="dxa"/>
          </w:tcPr>
          <w:p w14:paraId="0855E9A2"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r w:rsidRPr="00073574">
              <w:rPr>
                <w:rFonts w:asciiTheme="majorBidi" w:hAnsiTheme="majorBidi" w:cstheme="majorBidi"/>
              </w:rPr>
              <w:t>X</w:t>
            </w:r>
          </w:p>
        </w:tc>
        <w:tc>
          <w:tcPr>
            <w:tcW w:w="1339" w:type="dxa"/>
            <w:tcBorders>
              <w:right w:val="single" w:sz="4" w:space="0" w:color="auto"/>
            </w:tcBorders>
          </w:tcPr>
          <w:p w14:paraId="62F0B08F" w14:textId="011B5040" w:rsidR="00F0236A" w:rsidRPr="00073574" w:rsidRDefault="00F0236A" w:rsidP="02BF183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872" w:type="dxa"/>
            <w:tcBorders>
              <w:left w:val="single" w:sz="4" w:space="0" w:color="auto"/>
              <w:right w:val="single" w:sz="12" w:space="0" w:color="auto"/>
            </w:tcBorders>
          </w:tcPr>
          <w:p w14:paraId="46B24D71"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872" w:type="dxa"/>
            <w:tcBorders>
              <w:left w:val="single" w:sz="12" w:space="0" w:color="auto"/>
            </w:tcBorders>
          </w:tcPr>
          <w:p w14:paraId="4151CCAE"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844" w:type="dxa"/>
          </w:tcPr>
          <w:p w14:paraId="7A2606E0"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r w:rsidRPr="00073574">
              <w:rPr>
                <w:rFonts w:asciiTheme="majorBidi" w:hAnsiTheme="majorBidi" w:cstheme="majorBidi"/>
              </w:rPr>
              <w:t>X</w:t>
            </w:r>
          </w:p>
        </w:tc>
        <w:tc>
          <w:tcPr>
            <w:tcW w:w="839" w:type="dxa"/>
            <w:tcBorders>
              <w:right w:val="single" w:sz="12" w:space="0" w:color="auto"/>
            </w:tcBorders>
          </w:tcPr>
          <w:p w14:paraId="1FE2AD26"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r w:rsidRPr="00073574">
              <w:rPr>
                <w:rFonts w:asciiTheme="majorBidi" w:hAnsiTheme="majorBidi" w:cstheme="majorBidi"/>
              </w:rPr>
              <w:t>X</w:t>
            </w:r>
          </w:p>
        </w:tc>
        <w:tc>
          <w:tcPr>
            <w:tcW w:w="816" w:type="dxa"/>
            <w:tcBorders>
              <w:left w:val="single" w:sz="12" w:space="0" w:color="auto"/>
            </w:tcBorders>
          </w:tcPr>
          <w:p w14:paraId="56194253"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904" w:type="dxa"/>
          </w:tcPr>
          <w:p w14:paraId="22125AD9"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1120" w:type="dxa"/>
          </w:tcPr>
          <w:p w14:paraId="3533F180"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834" w:type="dxa"/>
          </w:tcPr>
          <w:p w14:paraId="24C49DF5"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r>
      <w:tr w:rsidR="00F0236A" w:rsidRPr="00073574" w14:paraId="42381FDC" w14:textId="77777777" w:rsidTr="7277BFE4">
        <w:trPr>
          <w:cantSplit/>
          <w:jc w:val="center"/>
        </w:trPr>
        <w:tc>
          <w:tcPr>
            <w:tcW w:w="3073" w:type="dxa"/>
            <w:tcBorders>
              <w:right w:val="single" w:sz="12" w:space="0" w:color="auto"/>
            </w:tcBorders>
            <w:shd w:val="clear" w:color="auto" w:fill="auto"/>
          </w:tcPr>
          <w:p w14:paraId="7EF99A9B" w14:textId="77777777" w:rsidR="00F0236A" w:rsidRPr="00073574" w:rsidRDefault="0053741E"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hyperlink w:anchor="_Opinion_1_-" w:history="1">
              <w:r w:rsidR="00F0236A" w:rsidRPr="00073574">
                <w:rPr>
                  <w:rStyle w:val="Hyperlink"/>
                </w:rPr>
                <w:t>Opinion 1</w:t>
              </w:r>
            </w:hyperlink>
            <w:r w:rsidR="00F0236A" w:rsidRPr="00073574">
              <w:t xml:space="preserve"> – Practical application of network externality premium</w:t>
            </w:r>
          </w:p>
        </w:tc>
        <w:tc>
          <w:tcPr>
            <w:tcW w:w="991" w:type="dxa"/>
            <w:tcBorders>
              <w:left w:val="single" w:sz="12" w:space="0" w:color="auto"/>
            </w:tcBorders>
          </w:tcPr>
          <w:p w14:paraId="48AD259E"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r w:rsidRPr="00073574">
              <w:rPr>
                <w:rFonts w:asciiTheme="majorBidi" w:hAnsiTheme="majorBidi" w:cstheme="majorBidi"/>
              </w:rPr>
              <w:t>SG3</w:t>
            </w:r>
          </w:p>
        </w:tc>
        <w:tc>
          <w:tcPr>
            <w:tcW w:w="984" w:type="dxa"/>
          </w:tcPr>
          <w:p w14:paraId="3588FB3C"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894" w:type="dxa"/>
          </w:tcPr>
          <w:p w14:paraId="631B08A8"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1339" w:type="dxa"/>
            <w:tcBorders>
              <w:right w:val="single" w:sz="4" w:space="0" w:color="auto"/>
            </w:tcBorders>
          </w:tcPr>
          <w:p w14:paraId="1F280966"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r w:rsidRPr="00073574">
              <w:rPr>
                <w:rFonts w:asciiTheme="majorBidi" w:hAnsiTheme="majorBidi" w:cstheme="majorBidi"/>
              </w:rPr>
              <w:t>MSs</w:t>
            </w:r>
          </w:p>
        </w:tc>
        <w:tc>
          <w:tcPr>
            <w:tcW w:w="872" w:type="dxa"/>
            <w:tcBorders>
              <w:left w:val="single" w:sz="4" w:space="0" w:color="auto"/>
              <w:right w:val="single" w:sz="12" w:space="0" w:color="auto"/>
            </w:tcBorders>
          </w:tcPr>
          <w:p w14:paraId="5DFD44E7"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872" w:type="dxa"/>
            <w:tcBorders>
              <w:left w:val="single" w:sz="12" w:space="0" w:color="auto"/>
            </w:tcBorders>
          </w:tcPr>
          <w:p w14:paraId="58492A42"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844" w:type="dxa"/>
          </w:tcPr>
          <w:p w14:paraId="09E705BD"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839" w:type="dxa"/>
            <w:tcBorders>
              <w:right w:val="single" w:sz="12" w:space="0" w:color="auto"/>
            </w:tcBorders>
          </w:tcPr>
          <w:p w14:paraId="7ED3DC61"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816" w:type="dxa"/>
            <w:tcBorders>
              <w:left w:val="single" w:sz="12" w:space="0" w:color="auto"/>
            </w:tcBorders>
          </w:tcPr>
          <w:p w14:paraId="20BA6256"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904" w:type="dxa"/>
          </w:tcPr>
          <w:p w14:paraId="295B42B4"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1120" w:type="dxa"/>
          </w:tcPr>
          <w:p w14:paraId="2D1AB57B"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834" w:type="dxa"/>
          </w:tcPr>
          <w:p w14:paraId="74B0EB19"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r>
    </w:tbl>
    <w:p w14:paraId="7E2B0579" w14:textId="77777777" w:rsidR="00F0236A" w:rsidRPr="00073574" w:rsidRDefault="00F0236A" w:rsidP="00F0236A">
      <w:pPr>
        <w:pStyle w:val="Tablelegend"/>
        <w:rPr>
          <w:b/>
          <w:bCs/>
        </w:rPr>
      </w:pPr>
      <w:r w:rsidRPr="00073574">
        <w:rPr>
          <w:b/>
          <w:bCs/>
        </w:rPr>
        <w:t>Legend:</w:t>
      </w:r>
    </w:p>
    <w:p w14:paraId="537DE8E5" w14:textId="77777777" w:rsidR="00F0236A" w:rsidRPr="00073574" w:rsidRDefault="00F0236A" w:rsidP="00F0236A">
      <w:pPr>
        <w:pStyle w:val="Tablelegend"/>
        <w:rPr>
          <w:sz w:val="24"/>
          <w:szCs w:val="24"/>
        </w:rPr>
      </w:pPr>
      <w:r w:rsidRPr="00073574">
        <w:rPr>
          <w:sz w:val="24"/>
          <w:szCs w:val="24"/>
        </w:rPr>
        <w:t>*</w:t>
      </w:r>
      <w:r w:rsidRPr="00073574">
        <w:rPr>
          <w:sz w:val="24"/>
          <w:szCs w:val="24"/>
        </w:rPr>
        <w:tab/>
        <w:t>Numbers in the Resolution Number column are hyperlinked to the full texts of the published Resolutions</w:t>
      </w:r>
    </w:p>
    <w:p w14:paraId="205C6F70" w14:textId="77777777" w:rsidR="00F0236A" w:rsidRPr="00073574" w:rsidRDefault="00F0236A" w:rsidP="00F0236A">
      <w:pPr>
        <w:pStyle w:val="Tablelegend"/>
        <w:rPr>
          <w:sz w:val="24"/>
          <w:szCs w:val="24"/>
        </w:rPr>
      </w:pPr>
      <w:r w:rsidRPr="00073574">
        <w:rPr>
          <w:sz w:val="24"/>
          <w:szCs w:val="24"/>
        </w:rPr>
        <w:t>**</w:t>
      </w:r>
      <w:r w:rsidRPr="00073574">
        <w:rPr>
          <w:sz w:val="24"/>
          <w:szCs w:val="24"/>
        </w:rPr>
        <w:tab/>
        <w:t>The Resolution titles are hyperlinked to the status reports in this document below</w:t>
      </w:r>
    </w:p>
    <w:p w14:paraId="152BD1CA" w14:textId="77777777" w:rsidR="00F0236A" w:rsidRPr="00073574" w:rsidRDefault="00F0236A" w:rsidP="00F0236A">
      <w:pPr>
        <w:pStyle w:val="Tablelegend"/>
        <w:rPr>
          <w:sz w:val="24"/>
          <w:szCs w:val="24"/>
        </w:rPr>
      </w:pPr>
      <w:r w:rsidRPr="00073574">
        <w:rPr>
          <w:sz w:val="24"/>
          <w:szCs w:val="24"/>
        </w:rPr>
        <w:t>GCA</w:t>
      </w:r>
      <w:r w:rsidRPr="00073574">
        <w:rPr>
          <w:sz w:val="24"/>
          <w:szCs w:val="24"/>
        </w:rPr>
        <w:tab/>
      </w:r>
      <w:r w:rsidRPr="00073574">
        <w:rPr>
          <w:sz w:val="24"/>
          <w:szCs w:val="24"/>
        </w:rPr>
        <w:tab/>
        <w:t>: Global Cybersecurity Agenda</w:t>
      </w:r>
    </w:p>
    <w:p w14:paraId="4D1BEB67" w14:textId="77777777" w:rsidR="00F0236A" w:rsidRPr="00073574" w:rsidRDefault="00F0236A" w:rsidP="00F0236A">
      <w:pPr>
        <w:pStyle w:val="Tablelegend"/>
        <w:rPr>
          <w:sz w:val="24"/>
          <w:szCs w:val="24"/>
        </w:rPr>
      </w:pPr>
      <w:r w:rsidRPr="00073574">
        <w:rPr>
          <w:sz w:val="24"/>
          <w:szCs w:val="24"/>
        </w:rPr>
        <w:t>GenSec</w:t>
      </w:r>
      <w:r w:rsidRPr="00073574">
        <w:rPr>
          <w:sz w:val="24"/>
          <w:szCs w:val="24"/>
        </w:rPr>
        <w:tab/>
        <w:t>: General Secretariat</w:t>
      </w:r>
    </w:p>
    <w:p w14:paraId="4322B106" w14:textId="77777777" w:rsidR="00F0236A" w:rsidRPr="00073574" w:rsidRDefault="00F0236A" w:rsidP="00F0236A">
      <w:pPr>
        <w:pStyle w:val="Tablelegend"/>
        <w:rPr>
          <w:sz w:val="24"/>
          <w:szCs w:val="24"/>
        </w:rPr>
      </w:pPr>
      <w:r w:rsidRPr="00073574">
        <w:rPr>
          <w:sz w:val="24"/>
          <w:szCs w:val="24"/>
        </w:rPr>
        <w:t>ISCG</w:t>
      </w:r>
      <w:r w:rsidRPr="00073574">
        <w:rPr>
          <w:sz w:val="24"/>
          <w:szCs w:val="24"/>
        </w:rPr>
        <w:tab/>
      </w:r>
      <w:r w:rsidRPr="00073574">
        <w:rPr>
          <w:sz w:val="24"/>
          <w:szCs w:val="24"/>
        </w:rPr>
        <w:tab/>
        <w:t>: Inter-Sector Coordination Group</w:t>
      </w:r>
    </w:p>
    <w:p w14:paraId="24EE0E85" w14:textId="78D338BD" w:rsidR="00F0236A" w:rsidRPr="00073574" w:rsidRDefault="00F0236A" w:rsidP="00F0236A">
      <w:pPr>
        <w:pStyle w:val="Tablelegend"/>
        <w:rPr>
          <w:sz w:val="24"/>
          <w:szCs w:val="24"/>
        </w:rPr>
      </w:pPr>
      <w:r w:rsidRPr="00073574">
        <w:rPr>
          <w:sz w:val="24"/>
          <w:szCs w:val="24"/>
        </w:rPr>
        <w:t>ISC</w:t>
      </w:r>
      <w:r w:rsidR="00EC0AE4" w:rsidRPr="00073574">
        <w:rPr>
          <w:sz w:val="24"/>
          <w:szCs w:val="24"/>
        </w:rPr>
        <w:t>-</w:t>
      </w:r>
      <w:r w:rsidRPr="00073574">
        <w:rPr>
          <w:sz w:val="24"/>
          <w:szCs w:val="24"/>
        </w:rPr>
        <w:t>TF</w:t>
      </w:r>
      <w:r w:rsidRPr="00073574">
        <w:rPr>
          <w:sz w:val="24"/>
          <w:szCs w:val="24"/>
        </w:rPr>
        <w:tab/>
        <w:t>: Inter-Sector Coordination Task Force</w:t>
      </w:r>
    </w:p>
    <w:p w14:paraId="5BAFC7E6" w14:textId="77777777" w:rsidR="00F0236A" w:rsidRPr="00073574" w:rsidRDefault="00F0236A" w:rsidP="00F0236A">
      <w:pPr>
        <w:pStyle w:val="Tablelegend"/>
        <w:rPr>
          <w:sz w:val="24"/>
          <w:szCs w:val="24"/>
        </w:rPr>
      </w:pPr>
      <w:r w:rsidRPr="00073574">
        <w:rPr>
          <w:sz w:val="24"/>
          <w:szCs w:val="24"/>
        </w:rPr>
        <w:t>MS</w:t>
      </w:r>
      <w:r w:rsidRPr="00073574">
        <w:rPr>
          <w:sz w:val="24"/>
          <w:szCs w:val="24"/>
        </w:rPr>
        <w:tab/>
      </w:r>
      <w:r w:rsidRPr="00073574">
        <w:rPr>
          <w:sz w:val="24"/>
          <w:szCs w:val="24"/>
        </w:rPr>
        <w:tab/>
        <w:t>: Member States</w:t>
      </w:r>
    </w:p>
    <w:p w14:paraId="0194BC9E" w14:textId="77777777" w:rsidR="00F0236A" w:rsidRPr="00073574" w:rsidRDefault="00F0236A" w:rsidP="00F0236A">
      <w:pPr>
        <w:pStyle w:val="Tablelegend"/>
        <w:rPr>
          <w:sz w:val="24"/>
          <w:szCs w:val="24"/>
        </w:rPr>
      </w:pPr>
      <w:r w:rsidRPr="00073574">
        <w:rPr>
          <w:sz w:val="24"/>
          <w:szCs w:val="24"/>
        </w:rPr>
        <w:t>PP</w:t>
      </w:r>
      <w:r w:rsidRPr="00073574">
        <w:rPr>
          <w:sz w:val="24"/>
          <w:szCs w:val="24"/>
        </w:rPr>
        <w:tab/>
      </w:r>
      <w:r w:rsidRPr="00073574">
        <w:rPr>
          <w:sz w:val="24"/>
          <w:szCs w:val="24"/>
        </w:rPr>
        <w:tab/>
      </w:r>
      <w:r w:rsidRPr="00073574">
        <w:rPr>
          <w:sz w:val="24"/>
          <w:szCs w:val="24"/>
        </w:rPr>
        <w:tab/>
        <w:t>: Plenipotentiary Conference</w:t>
      </w:r>
    </w:p>
    <w:p w14:paraId="4214A8C1" w14:textId="77777777" w:rsidR="00F0236A" w:rsidRPr="00073574" w:rsidRDefault="00F0236A" w:rsidP="00F0236A">
      <w:pPr>
        <w:pStyle w:val="Tablelegend"/>
        <w:rPr>
          <w:sz w:val="24"/>
          <w:szCs w:val="24"/>
        </w:rPr>
      </w:pPr>
      <w:r w:rsidRPr="00073574">
        <w:rPr>
          <w:sz w:val="24"/>
          <w:szCs w:val="24"/>
        </w:rPr>
        <w:t>SecGen</w:t>
      </w:r>
      <w:r w:rsidRPr="00073574">
        <w:rPr>
          <w:sz w:val="24"/>
          <w:szCs w:val="24"/>
        </w:rPr>
        <w:tab/>
        <w:t>: ITU Secretary-General</w:t>
      </w:r>
    </w:p>
    <w:p w14:paraId="2D9AC62A" w14:textId="77777777" w:rsidR="00F0236A" w:rsidRPr="00073574" w:rsidRDefault="00F0236A" w:rsidP="00F0236A">
      <w:pPr>
        <w:pStyle w:val="Tablelegend"/>
        <w:rPr>
          <w:sz w:val="24"/>
          <w:szCs w:val="24"/>
        </w:rPr>
      </w:pPr>
      <w:r w:rsidRPr="00073574">
        <w:rPr>
          <w:sz w:val="24"/>
          <w:szCs w:val="24"/>
        </w:rPr>
        <w:t>SG</w:t>
      </w:r>
      <w:r w:rsidRPr="00073574">
        <w:rPr>
          <w:sz w:val="24"/>
          <w:szCs w:val="24"/>
        </w:rPr>
        <w:tab/>
      </w:r>
      <w:r w:rsidRPr="00073574">
        <w:rPr>
          <w:sz w:val="24"/>
          <w:szCs w:val="24"/>
        </w:rPr>
        <w:tab/>
        <w:t>: Study Group</w:t>
      </w:r>
    </w:p>
    <w:p w14:paraId="25B0F43A" w14:textId="77777777" w:rsidR="00F0236A" w:rsidRPr="00073574" w:rsidRDefault="00F0236A" w:rsidP="00F0236A">
      <w:pPr>
        <w:pStyle w:val="Tablelegend"/>
        <w:rPr>
          <w:sz w:val="24"/>
          <w:szCs w:val="24"/>
        </w:rPr>
      </w:pPr>
      <w:r w:rsidRPr="00073574">
        <w:rPr>
          <w:sz w:val="24"/>
          <w:szCs w:val="24"/>
        </w:rPr>
        <w:t>SM</w:t>
      </w:r>
      <w:r w:rsidRPr="00073574">
        <w:rPr>
          <w:sz w:val="24"/>
          <w:szCs w:val="24"/>
        </w:rPr>
        <w:tab/>
      </w:r>
      <w:r w:rsidRPr="00073574">
        <w:rPr>
          <w:sz w:val="24"/>
          <w:szCs w:val="24"/>
        </w:rPr>
        <w:tab/>
        <w:t>: Sector Member</w:t>
      </w:r>
    </w:p>
    <w:p w14:paraId="10962D0A" w14:textId="77777777" w:rsidR="00F0236A" w:rsidRPr="00073574" w:rsidRDefault="00F0236A" w:rsidP="00F0236A">
      <w:pPr>
        <w:rPr>
          <w:sz w:val="24"/>
        </w:rPr>
      </w:pPr>
      <w:r w:rsidRPr="00073574">
        <w:rPr>
          <w:sz w:val="24"/>
        </w:rPr>
        <w:t>The Action Plan for WTSA-16 Resolutions and Opinion includes references and linkages ITU-T documents and activities, and also to documents and activities of Council, Plenipotentiary Conference and the other Sectors. These references and links are updated with each update to the Action Plan.</w:t>
      </w:r>
    </w:p>
    <w:p w14:paraId="6C4A958C" w14:textId="77777777" w:rsidR="00F0236A" w:rsidRPr="00073574" w:rsidRDefault="0053741E" w:rsidP="00F0236A">
      <w:pPr>
        <w:rPr>
          <w:rFonts w:asciiTheme="majorBidi" w:hAnsiTheme="majorBidi" w:cstheme="majorBidi"/>
          <w:sz w:val="24"/>
        </w:rPr>
      </w:pPr>
      <w:hyperlink w:anchor="Top" w:history="1">
        <w:r w:rsidR="00F0236A" w:rsidRPr="00073574">
          <w:rPr>
            <w:rStyle w:val="Hyperlink"/>
          </w:rPr>
          <w:t>» Top</w:t>
        </w:r>
      </w:hyperlink>
    </w:p>
    <w:p w14:paraId="04580F8D" w14:textId="77777777" w:rsidR="00F0236A" w:rsidRPr="00073574" w:rsidRDefault="00F0236A" w:rsidP="00F0236A">
      <w:pPr>
        <w:ind w:left="-567"/>
        <w:rPr>
          <w:rFonts w:asciiTheme="majorBidi" w:hAnsiTheme="majorBidi" w:cstheme="majorBidi"/>
        </w:rPr>
        <w:sectPr w:rsidR="00F0236A" w:rsidRPr="00073574" w:rsidSect="00777409">
          <w:headerReference w:type="default" r:id="rId17"/>
          <w:footerReference w:type="default" r:id="rId18"/>
          <w:pgSz w:w="16838" w:h="11906" w:orient="landscape"/>
          <w:pgMar w:top="1418" w:right="1134" w:bottom="1418" w:left="1134" w:header="720" w:footer="720" w:gutter="0"/>
          <w:cols w:space="708"/>
          <w:titlePg/>
          <w:docGrid w:linePitch="360"/>
        </w:sectPr>
      </w:pPr>
    </w:p>
    <w:p w14:paraId="41595915" w14:textId="77777777" w:rsidR="00F0236A" w:rsidRPr="00073574" w:rsidRDefault="00F0236A" w:rsidP="00F0236A">
      <w:pPr>
        <w:pStyle w:val="Heading1"/>
        <w:keepNext/>
        <w:numPr>
          <w:ilvl w:val="0"/>
          <w:numId w:val="0"/>
        </w:numPr>
        <w:rPr>
          <w:sz w:val="24"/>
          <w:szCs w:val="24"/>
          <w:lang w:val="en-GB"/>
        </w:rPr>
      </w:pPr>
      <w:bookmarkStart w:id="4" w:name="_Toc304236411"/>
      <w:bookmarkStart w:id="5" w:name="_Toc471715352"/>
      <w:bookmarkStart w:id="6" w:name="_Toc93425238"/>
      <w:r w:rsidRPr="00073574">
        <w:rPr>
          <w:sz w:val="24"/>
          <w:szCs w:val="24"/>
          <w:lang w:val="en-GB"/>
        </w:rPr>
        <w:lastRenderedPageBreak/>
        <w:t>Section II - Progress reports on implementation of the WTSA-16 Resolutions</w:t>
      </w:r>
      <w:bookmarkEnd w:id="4"/>
      <w:r w:rsidRPr="00073574">
        <w:rPr>
          <w:sz w:val="24"/>
          <w:szCs w:val="24"/>
          <w:lang w:val="en-GB"/>
        </w:rPr>
        <w:t xml:space="preserve"> and Opinion</w:t>
      </w:r>
      <w:bookmarkEnd w:id="5"/>
      <w:bookmarkEnd w:id="6"/>
    </w:p>
    <w:p w14:paraId="1BBB51B3" w14:textId="041049FB" w:rsidR="00F0236A" w:rsidRPr="00073574" w:rsidRDefault="00F0236A" w:rsidP="00F0236A">
      <w:pPr>
        <w:rPr>
          <w:sz w:val="24"/>
        </w:rPr>
      </w:pPr>
      <w:r w:rsidRPr="00073574">
        <w:rPr>
          <w:sz w:val="24"/>
        </w:rPr>
        <w:t xml:space="preserve">This section of the report shows the name of each WTSA-16 Resolution/Opinion, followed by the text of the </w:t>
      </w:r>
      <w:r w:rsidR="003C7E25" w:rsidRPr="00073574">
        <w:rPr>
          <w:sz w:val="24"/>
        </w:rPr>
        <w:t>"</w:t>
      </w:r>
      <w:r w:rsidRPr="00073574">
        <w:rPr>
          <w:sz w:val="24"/>
        </w:rPr>
        <w:t>operative</w:t>
      </w:r>
      <w:r w:rsidR="003C7E25" w:rsidRPr="00073574">
        <w:rPr>
          <w:sz w:val="24"/>
        </w:rPr>
        <w:t>"</w:t>
      </w:r>
      <w:r w:rsidRPr="00073574">
        <w:rPr>
          <w:sz w:val="24"/>
        </w:rPr>
        <w:t xml:space="preserve"> portion of the Resolution, i.e., the </w:t>
      </w:r>
      <w:r w:rsidRPr="00073574">
        <w:rPr>
          <w:i/>
          <w:iCs/>
          <w:sz w:val="24"/>
        </w:rPr>
        <w:t>resolves</w:t>
      </w:r>
      <w:r w:rsidRPr="00073574">
        <w:rPr>
          <w:sz w:val="24"/>
        </w:rPr>
        <w:t xml:space="preserve">, </w:t>
      </w:r>
      <w:r w:rsidRPr="00073574">
        <w:rPr>
          <w:i/>
          <w:iCs/>
          <w:sz w:val="24"/>
        </w:rPr>
        <w:t>calls upon</w:t>
      </w:r>
      <w:r w:rsidRPr="00073574">
        <w:rPr>
          <w:sz w:val="24"/>
        </w:rPr>
        <w:t xml:space="preserve">, </w:t>
      </w:r>
      <w:r w:rsidRPr="00073574">
        <w:rPr>
          <w:i/>
          <w:iCs/>
          <w:sz w:val="24"/>
        </w:rPr>
        <w:t>instructs</w:t>
      </w:r>
      <w:r w:rsidRPr="00073574">
        <w:rPr>
          <w:sz w:val="24"/>
        </w:rPr>
        <w:t>, etc., a listing of the Action Items and due dates, with a column that indicates if a particular Action Item is ongoing by nature that has been met periodic goals, and another column that indicates if a particular Action Item has been completed. A box coloured with red indicates an item requiring attention or one that is in jeopardy. Further on in each section, detailed information on each Action Item will be provided. The Action Item number, in the first column of the chart of Action Items, is hyperlinked to the status report for that particular Action Item.</w:t>
      </w:r>
    </w:p>
    <w:p w14:paraId="7C39F60C" w14:textId="77777777" w:rsidR="00F0236A" w:rsidRPr="00073574" w:rsidRDefault="00F0236A" w:rsidP="002E241A">
      <w:pPr>
        <w:pStyle w:val="Heading1"/>
        <w:keepNext/>
        <w:numPr>
          <w:ilvl w:val="0"/>
          <w:numId w:val="15"/>
        </w:numPr>
        <w:rPr>
          <w:sz w:val="24"/>
          <w:szCs w:val="24"/>
          <w:lang w:val="en-GB"/>
        </w:rPr>
      </w:pPr>
      <w:bookmarkStart w:id="7" w:name="Resolution_01"/>
      <w:bookmarkStart w:id="8" w:name="_Toc304236412"/>
      <w:bookmarkStart w:id="9" w:name="_Toc471715353"/>
      <w:bookmarkStart w:id="10" w:name="_Toc93425239"/>
      <w:bookmarkEnd w:id="7"/>
      <w:r w:rsidRPr="00073574">
        <w:rPr>
          <w:sz w:val="24"/>
          <w:szCs w:val="24"/>
          <w:lang w:val="en-GB"/>
        </w:rPr>
        <w:t>Resolution 1 - Rules of procedure of the ITU Telecommunication Standardization Sector</w:t>
      </w:r>
      <w:bookmarkEnd w:id="8"/>
      <w:bookmarkEnd w:id="9"/>
      <w:bookmarkEnd w:id="10"/>
    </w:p>
    <w:p w14:paraId="56A12923" w14:textId="77777777" w:rsidR="00F0236A" w:rsidRPr="00073574" w:rsidRDefault="00F0236A" w:rsidP="00F0236A">
      <w:pPr>
        <w:rPr>
          <w:b/>
          <w:bCs/>
          <w:i/>
          <w:iCs/>
          <w:sz w:val="24"/>
        </w:rPr>
      </w:pPr>
      <w:r w:rsidRPr="00073574">
        <w:rPr>
          <w:b/>
          <w:bCs/>
          <w:i/>
          <w:iCs/>
          <w:sz w:val="24"/>
        </w:rPr>
        <w:t>Resolution 1</w:t>
      </w:r>
    </w:p>
    <w:p w14:paraId="7FB40A70" w14:textId="77777777" w:rsidR="00F0236A" w:rsidRPr="00073574" w:rsidRDefault="00F0236A" w:rsidP="00F0236A">
      <w:pPr>
        <w:ind w:left="284"/>
        <w:rPr>
          <w:i/>
          <w:iCs/>
          <w:sz w:val="24"/>
        </w:rPr>
      </w:pPr>
      <w:r w:rsidRPr="00073574">
        <w:rPr>
          <w:i/>
          <w:iCs/>
          <w:sz w:val="24"/>
        </w:rPr>
        <w:t>resolves</w:t>
      </w:r>
    </w:p>
    <w:p w14:paraId="39016C04" w14:textId="77777777" w:rsidR="00F0236A" w:rsidRPr="00073574" w:rsidRDefault="00F0236A" w:rsidP="00F0236A">
      <w:pPr>
        <w:rPr>
          <w:sz w:val="24"/>
          <w:lang w:eastAsia="en-US"/>
        </w:rPr>
      </w:pPr>
      <w:r w:rsidRPr="00073574">
        <w:rPr>
          <w:sz w:val="24"/>
          <w:lang w:eastAsia="en-US"/>
        </w:rPr>
        <w:t xml:space="preserve">that the provisions referred to in </w:t>
      </w:r>
      <w:r w:rsidRPr="00073574">
        <w:rPr>
          <w:i/>
          <w:iCs/>
          <w:sz w:val="24"/>
          <w:lang w:eastAsia="en-US"/>
        </w:rPr>
        <w:t>considering</w:t>
      </w:r>
      <w:r w:rsidRPr="00073574">
        <w:rPr>
          <w:sz w:val="24"/>
          <w:lang w:eastAsia="en-US"/>
        </w:rPr>
        <w:t xml:space="preserve"> </w:t>
      </w:r>
      <w:r w:rsidRPr="00073574">
        <w:rPr>
          <w:i/>
          <w:iCs/>
          <w:sz w:val="24"/>
          <w:lang w:eastAsia="en-US"/>
        </w:rPr>
        <w:t>e)</w:t>
      </w:r>
      <w:r w:rsidRPr="00073574">
        <w:rPr>
          <w:sz w:val="24"/>
          <w:lang w:eastAsia="en-US"/>
        </w:rPr>
        <w:t xml:space="preserve">, </w:t>
      </w:r>
      <w:r w:rsidRPr="00073574">
        <w:rPr>
          <w:i/>
          <w:iCs/>
          <w:sz w:val="24"/>
          <w:lang w:eastAsia="en-US"/>
        </w:rPr>
        <w:t>f),</w:t>
      </w:r>
      <w:r w:rsidRPr="00073574">
        <w:rPr>
          <w:sz w:val="24"/>
          <w:lang w:eastAsia="en-US"/>
        </w:rPr>
        <w:t> </w:t>
      </w:r>
      <w:r w:rsidRPr="00073574">
        <w:rPr>
          <w:i/>
          <w:iCs/>
          <w:sz w:val="24"/>
          <w:lang w:eastAsia="en-US"/>
        </w:rPr>
        <w:t xml:space="preserve">g) </w:t>
      </w:r>
      <w:r w:rsidRPr="00073574">
        <w:rPr>
          <w:sz w:val="24"/>
          <w:lang w:eastAsia="en-US"/>
        </w:rPr>
        <w:t xml:space="preserve">and </w:t>
      </w:r>
      <w:r w:rsidRPr="00073574">
        <w:rPr>
          <w:i/>
          <w:iCs/>
          <w:sz w:val="24"/>
          <w:lang w:eastAsia="en-US"/>
        </w:rPr>
        <w:t>h)</w:t>
      </w:r>
      <w:r w:rsidRPr="00073574">
        <w:rPr>
          <w:sz w:val="24"/>
          <w:lang w:eastAsia="en-US"/>
        </w:rPr>
        <w:t xml:space="preserve"> above shall be further elaborated by the provisions of this resolution and the resolutions to which they refer, bearing in mind that, in the case of inconsistency, the Constitution, the Convention, the ITRs and the General Rules of conferences, assemblies and meetings of the Union (in that order) shall prevail over this resolution.</w:t>
      </w:r>
    </w:p>
    <w:p w14:paraId="06999CB7" w14:textId="77777777" w:rsidR="00F0236A" w:rsidRPr="00073574" w:rsidRDefault="00F0236A" w:rsidP="00F0236A">
      <w:pPr>
        <w:rPr>
          <w:sz w:val="24"/>
        </w:rPr>
      </w:pPr>
      <w:r w:rsidRPr="00073574">
        <w:rPr>
          <w:b/>
          <w:bCs/>
          <w:sz w:val="24"/>
        </w:rPr>
        <w:t>5.17</w:t>
      </w:r>
      <w:r w:rsidRPr="00073574">
        <w:rPr>
          <w:sz w:val="24"/>
        </w:rPr>
        <w:tab/>
        <w:t>The Director shall foster cooperation and coordination with the other standardization organizations for the benefit of all members and report to TSAG on these efforts.</w:t>
      </w:r>
    </w:p>
    <w:p w14:paraId="4E1DC1FD" w14:textId="77777777" w:rsidR="00F0236A" w:rsidRPr="00073574" w:rsidRDefault="00F0236A" w:rsidP="00F0236A">
      <w:pPr>
        <w:rPr>
          <w:sz w:val="24"/>
        </w:rPr>
      </w:pPr>
      <w:r w:rsidRPr="00073574">
        <w:rPr>
          <w:b/>
          <w:bCs/>
          <w:sz w:val="24"/>
        </w:rPr>
        <w:t>7.4.1.3</w:t>
      </w:r>
      <w:r w:rsidRPr="00073574">
        <w:rPr>
          <w:sz w:val="24"/>
        </w:rPr>
        <w:tab/>
        <w:t>Notification of the result [concerning Deletion of a Question between WTSAs] will be given in a circular, and TSAG shall be informed by the Director. In addition, the Director shall publish a list of deleted Questions whenever appropriate, but at least once by the middle of a study period.</w:t>
      </w:r>
    </w:p>
    <w:p w14:paraId="66A7F8E0" w14:textId="77777777" w:rsidR="00F0236A" w:rsidRPr="00073574" w:rsidRDefault="00F0236A" w:rsidP="00F0236A">
      <w:pPr>
        <w:spacing w:after="240"/>
        <w:rPr>
          <w:sz w:val="24"/>
        </w:rPr>
      </w:pPr>
      <w:r w:rsidRPr="00073574">
        <w:rPr>
          <w:b/>
          <w:bCs/>
          <w:sz w:val="24"/>
        </w:rPr>
        <w:t>9.8.2.2</w:t>
      </w:r>
      <w:r w:rsidRPr="00073574">
        <w:rPr>
          <w:sz w:val="24"/>
        </w:rPr>
        <w:tab/>
        <w:t>Notification of the result [conferencing Deletion of Recommendations between WTSAs] shall be included in another circular, and TSAG shall be informed by a report from the Director. In addition, the Director shall publish a list of deleted Recommendations whenever appropriate, but at least once by the middle of a study period.</w:t>
      </w:r>
    </w:p>
    <w:tbl>
      <w:tblPr>
        <w:tblW w:w="98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96"/>
        <w:gridCol w:w="4508"/>
        <w:gridCol w:w="1861"/>
        <w:gridCol w:w="1231"/>
        <w:gridCol w:w="1336"/>
      </w:tblGrid>
      <w:tr w:rsidR="00F0236A" w:rsidRPr="00073574" w14:paraId="2CADACBB" w14:textId="77777777" w:rsidTr="00BD106F">
        <w:trPr>
          <w:tblHeader/>
          <w:jc w:val="center"/>
        </w:trPr>
        <w:tc>
          <w:tcPr>
            <w:tcW w:w="896" w:type="dxa"/>
            <w:tcBorders>
              <w:top w:val="single" w:sz="12" w:space="0" w:color="auto"/>
              <w:bottom w:val="single" w:sz="12" w:space="0" w:color="auto"/>
            </w:tcBorders>
            <w:shd w:val="clear" w:color="auto" w:fill="auto"/>
            <w:vAlign w:val="center"/>
          </w:tcPr>
          <w:p w14:paraId="55038DC7" w14:textId="77777777" w:rsidR="00F0236A" w:rsidRPr="00073574" w:rsidRDefault="00F0236A" w:rsidP="00DF36E1">
            <w:pPr>
              <w:pStyle w:val="Tablehead"/>
              <w:rPr>
                <w:sz w:val="24"/>
                <w:szCs w:val="24"/>
              </w:rPr>
            </w:pPr>
            <w:r w:rsidRPr="00073574">
              <w:rPr>
                <w:sz w:val="24"/>
                <w:szCs w:val="24"/>
              </w:rPr>
              <w:t>Action Item</w:t>
            </w:r>
          </w:p>
        </w:tc>
        <w:tc>
          <w:tcPr>
            <w:tcW w:w="4508" w:type="dxa"/>
            <w:tcBorders>
              <w:top w:val="single" w:sz="12" w:space="0" w:color="auto"/>
              <w:bottom w:val="single" w:sz="12" w:space="0" w:color="auto"/>
            </w:tcBorders>
            <w:shd w:val="clear" w:color="auto" w:fill="auto"/>
            <w:vAlign w:val="center"/>
            <w:hideMark/>
          </w:tcPr>
          <w:p w14:paraId="0462F46C" w14:textId="77777777" w:rsidR="00F0236A" w:rsidRPr="00073574" w:rsidRDefault="00F0236A" w:rsidP="00DF36E1">
            <w:pPr>
              <w:pStyle w:val="Tablehead"/>
              <w:rPr>
                <w:sz w:val="24"/>
                <w:szCs w:val="24"/>
              </w:rPr>
            </w:pPr>
            <w:r w:rsidRPr="00073574">
              <w:rPr>
                <w:sz w:val="24"/>
                <w:szCs w:val="24"/>
              </w:rPr>
              <w:t>Action</w:t>
            </w:r>
          </w:p>
        </w:tc>
        <w:tc>
          <w:tcPr>
            <w:tcW w:w="1861" w:type="dxa"/>
            <w:tcBorders>
              <w:top w:val="single" w:sz="12" w:space="0" w:color="auto"/>
              <w:bottom w:val="single" w:sz="12" w:space="0" w:color="auto"/>
            </w:tcBorders>
            <w:shd w:val="clear" w:color="auto" w:fill="auto"/>
            <w:vAlign w:val="center"/>
            <w:hideMark/>
          </w:tcPr>
          <w:p w14:paraId="634780A4" w14:textId="77777777" w:rsidR="00F0236A" w:rsidRPr="00073574" w:rsidRDefault="00F0236A" w:rsidP="00DF36E1">
            <w:pPr>
              <w:pStyle w:val="Tablehead"/>
              <w:rPr>
                <w:sz w:val="24"/>
                <w:szCs w:val="24"/>
              </w:rPr>
            </w:pPr>
            <w:r w:rsidRPr="00073574">
              <w:rPr>
                <w:sz w:val="24"/>
                <w:szCs w:val="24"/>
              </w:rPr>
              <w:t>Milestone</w:t>
            </w:r>
          </w:p>
        </w:tc>
        <w:tc>
          <w:tcPr>
            <w:tcW w:w="1231" w:type="dxa"/>
            <w:tcBorders>
              <w:top w:val="single" w:sz="12" w:space="0" w:color="auto"/>
              <w:bottom w:val="single" w:sz="12" w:space="0" w:color="auto"/>
            </w:tcBorders>
            <w:shd w:val="clear" w:color="auto" w:fill="auto"/>
            <w:vAlign w:val="center"/>
          </w:tcPr>
          <w:p w14:paraId="491EF044" w14:textId="77777777" w:rsidR="00F0236A" w:rsidRPr="00073574" w:rsidRDefault="00F0236A" w:rsidP="00DF36E1">
            <w:pPr>
              <w:pStyle w:val="Tablehead"/>
              <w:rPr>
                <w:sz w:val="24"/>
                <w:szCs w:val="24"/>
              </w:rPr>
            </w:pPr>
            <w:r w:rsidRPr="00073574">
              <w:rPr>
                <w:sz w:val="24"/>
                <w:szCs w:val="24"/>
              </w:rPr>
              <w:t>Periodic goals met</w:t>
            </w:r>
          </w:p>
        </w:tc>
        <w:tc>
          <w:tcPr>
            <w:tcW w:w="1336" w:type="dxa"/>
            <w:tcBorders>
              <w:top w:val="single" w:sz="12" w:space="0" w:color="auto"/>
              <w:bottom w:val="single" w:sz="12" w:space="0" w:color="auto"/>
            </w:tcBorders>
            <w:shd w:val="clear" w:color="auto" w:fill="auto"/>
            <w:vAlign w:val="center"/>
          </w:tcPr>
          <w:p w14:paraId="42F42EA1" w14:textId="77777777" w:rsidR="00F0236A" w:rsidRPr="00073574" w:rsidRDefault="00F0236A" w:rsidP="00DF36E1">
            <w:pPr>
              <w:pStyle w:val="Tablehead"/>
              <w:rPr>
                <w:sz w:val="24"/>
                <w:szCs w:val="24"/>
              </w:rPr>
            </w:pPr>
            <w:r w:rsidRPr="00073574">
              <w:rPr>
                <w:sz w:val="24"/>
                <w:szCs w:val="24"/>
              </w:rPr>
              <w:t>Completed</w:t>
            </w:r>
          </w:p>
        </w:tc>
      </w:tr>
      <w:tr w:rsidR="00F0236A" w:rsidRPr="00073574" w14:paraId="1FCD7909" w14:textId="77777777" w:rsidTr="00BD106F">
        <w:trPr>
          <w:cantSplit/>
          <w:jc w:val="center"/>
        </w:trPr>
        <w:tc>
          <w:tcPr>
            <w:tcW w:w="896" w:type="dxa"/>
            <w:vMerge w:val="restart"/>
            <w:tcBorders>
              <w:top w:val="single" w:sz="12" w:space="0" w:color="auto"/>
            </w:tcBorders>
            <w:shd w:val="clear" w:color="auto" w:fill="auto"/>
          </w:tcPr>
          <w:p w14:paraId="1DC85E66" w14:textId="77777777" w:rsidR="00F0236A" w:rsidRPr="00073574" w:rsidRDefault="00F0236A" w:rsidP="00DF36E1">
            <w:pPr>
              <w:pStyle w:val="Tabletext"/>
              <w:rPr>
                <w:b/>
                <w:bCs/>
                <w:sz w:val="24"/>
                <w:szCs w:val="24"/>
              </w:rPr>
            </w:pPr>
            <w:r w:rsidRPr="00073574">
              <w:rPr>
                <w:b/>
                <w:bCs/>
                <w:sz w:val="24"/>
                <w:szCs w:val="24"/>
              </w:rPr>
              <w:t>01-01</w:t>
            </w:r>
          </w:p>
        </w:tc>
        <w:tc>
          <w:tcPr>
            <w:tcW w:w="4508" w:type="dxa"/>
            <w:tcBorders>
              <w:top w:val="single" w:sz="12" w:space="0" w:color="auto"/>
              <w:bottom w:val="single" w:sz="2" w:space="0" w:color="auto"/>
            </w:tcBorders>
            <w:shd w:val="clear" w:color="auto" w:fill="auto"/>
            <w:hideMark/>
          </w:tcPr>
          <w:p w14:paraId="2ADA2814" w14:textId="77777777" w:rsidR="00F0236A" w:rsidRPr="00073574" w:rsidRDefault="00F0236A" w:rsidP="00DF36E1">
            <w:pPr>
              <w:pStyle w:val="Tabletext"/>
              <w:rPr>
                <w:b/>
                <w:bCs/>
                <w:sz w:val="24"/>
                <w:szCs w:val="24"/>
              </w:rPr>
            </w:pPr>
            <w:r w:rsidRPr="00073574">
              <w:rPr>
                <w:b/>
                <w:bCs/>
                <w:sz w:val="24"/>
                <w:szCs w:val="24"/>
              </w:rPr>
              <w:t>TSB to prepare agreement with host country for WTSA-20 (resolves)</w:t>
            </w:r>
          </w:p>
        </w:tc>
        <w:tc>
          <w:tcPr>
            <w:tcW w:w="1861" w:type="dxa"/>
            <w:tcBorders>
              <w:top w:val="single" w:sz="12" w:space="0" w:color="auto"/>
              <w:bottom w:val="single" w:sz="2" w:space="0" w:color="auto"/>
            </w:tcBorders>
            <w:shd w:val="clear" w:color="auto" w:fill="auto"/>
            <w:vAlign w:val="center"/>
            <w:hideMark/>
          </w:tcPr>
          <w:p w14:paraId="0E404383" w14:textId="77777777" w:rsidR="00F0236A" w:rsidRPr="00073574" w:rsidRDefault="00F0236A" w:rsidP="00DF36E1">
            <w:pPr>
              <w:pStyle w:val="Tabletext"/>
              <w:jc w:val="center"/>
              <w:rPr>
                <w:b/>
                <w:bCs/>
                <w:sz w:val="24"/>
                <w:szCs w:val="24"/>
              </w:rPr>
            </w:pPr>
            <w:r w:rsidRPr="00073574">
              <w:rPr>
                <w:b/>
                <w:bCs/>
                <w:sz w:val="24"/>
                <w:szCs w:val="24"/>
              </w:rPr>
              <w:t>One year before WTSA-20</w:t>
            </w:r>
          </w:p>
        </w:tc>
        <w:tc>
          <w:tcPr>
            <w:tcW w:w="1231" w:type="dxa"/>
            <w:tcBorders>
              <w:top w:val="single" w:sz="12" w:space="0" w:color="auto"/>
              <w:bottom w:val="single" w:sz="2" w:space="0" w:color="auto"/>
            </w:tcBorders>
            <w:shd w:val="clear" w:color="auto" w:fill="auto"/>
            <w:vAlign w:val="center"/>
          </w:tcPr>
          <w:p w14:paraId="526AAD90" w14:textId="604069C6" w:rsidR="00F0236A" w:rsidRPr="00073574" w:rsidRDefault="00A72EFC" w:rsidP="00DF36E1">
            <w:pPr>
              <w:pStyle w:val="Tabletext"/>
              <w:jc w:val="center"/>
              <w:rPr>
                <w:b/>
                <w:bCs/>
                <w:sz w:val="24"/>
                <w:szCs w:val="24"/>
              </w:rPr>
            </w:pPr>
            <w:r w:rsidRPr="00073574">
              <w:rPr>
                <w:b/>
                <w:bCs/>
                <w:sz w:val="24"/>
                <w:szCs w:val="24"/>
              </w:rPr>
              <w:t>√</w:t>
            </w:r>
          </w:p>
        </w:tc>
        <w:tc>
          <w:tcPr>
            <w:tcW w:w="1336" w:type="dxa"/>
            <w:tcBorders>
              <w:top w:val="single" w:sz="12" w:space="0" w:color="auto"/>
              <w:bottom w:val="single" w:sz="2" w:space="0" w:color="auto"/>
            </w:tcBorders>
            <w:shd w:val="clear" w:color="auto" w:fill="auto"/>
            <w:vAlign w:val="center"/>
          </w:tcPr>
          <w:p w14:paraId="61915742" w14:textId="5736C4FB" w:rsidR="00F0236A" w:rsidRPr="00073574" w:rsidRDefault="00A72EFC" w:rsidP="00DF36E1">
            <w:pPr>
              <w:pStyle w:val="Tabletext"/>
              <w:jc w:val="center"/>
              <w:rPr>
                <w:b/>
                <w:bCs/>
                <w:sz w:val="24"/>
                <w:szCs w:val="24"/>
              </w:rPr>
            </w:pPr>
            <w:r w:rsidRPr="00073574">
              <w:rPr>
                <w:b/>
                <w:bCs/>
                <w:sz w:val="24"/>
                <w:szCs w:val="24"/>
              </w:rPr>
              <w:t>√</w:t>
            </w:r>
          </w:p>
        </w:tc>
      </w:tr>
      <w:tr w:rsidR="00F0236A" w:rsidRPr="00073574" w14:paraId="6D04F6DF" w14:textId="77777777" w:rsidTr="00741E3C">
        <w:trPr>
          <w:jc w:val="center"/>
        </w:trPr>
        <w:tc>
          <w:tcPr>
            <w:tcW w:w="896" w:type="dxa"/>
            <w:vMerge/>
            <w:tcBorders>
              <w:right w:val="single" w:sz="4" w:space="0" w:color="auto"/>
            </w:tcBorders>
            <w:vAlign w:val="center"/>
          </w:tcPr>
          <w:p w14:paraId="28A923FD" w14:textId="77777777" w:rsidR="00F0236A" w:rsidRPr="00073574" w:rsidRDefault="00F0236A" w:rsidP="00DF36E1">
            <w:pPr>
              <w:pStyle w:val="Tabletext"/>
              <w:rPr>
                <w:sz w:val="24"/>
                <w:szCs w:val="24"/>
              </w:rPr>
            </w:pPr>
          </w:p>
        </w:tc>
        <w:tc>
          <w:tcPr>
            <w:tcW w:w="8936" w:type="dxa"/>
            <w:gridSpan w:val="4"/>
            <w:tcBorders>
              <w:top w:val="single" w:sz="2" w:space="0" w:color="auto"/>
              <w:left w:val="single" w:sz="4" w:space="0" w:color="auto"/>
              <w:bottom w:val="single" w:sz="12" w:space="0" w:color="auto"/>
              <w:right w:val="single" w:sz="12" w:space="0" w:color="auto"/>
            </w:tcBorders>
            <w:shd w:val="clear" w:color="auto" w:fill="auto"/>
          </w:tcPr>
          <w:p w14:paraId="7BD672F4" w14:textId="4FDE0F28" w:rsidR="00192BC7" w:rsidRPr="00073574" w:rsidDel="00553578" w:rsidRDefault="00A72EFC" w:rsidP="00F450C3">
            <w:pPr>
              <w:pStyle w:val="Tabletext"/>
              <w:rPr>
                <w:szCs w:val="22"/>
              </w:rPr>
            </w:pPr>
            <w:r w:rsidRPr="00073574">
              <w:rPr>
                <w:szCs w:val="22"/>
              </w:rPr>
              <w:t>WTSA-20 w</w:t>
            </w:r>
            <w:r w:rsidR="004D07DC" w:rsidRPr="00073574">
              <w:rPr>
                <w:szCs w:val="22"/>
              </w:rPr>
              <w:t>as planned to</w:t>
            </w:r>
            <w:r w:rsidRPr="00073574">
              <w:rPr>
                <w:szCs w:val="22"/>
              </w:rPr>
              <w:t xml:space="preserve"> take place at Hyderabad</w:t>
            </w:r>
            <w:r w:rsidR="00F47871" w:rsidRPr="00073574">
              <w:rPr>
                <w:szCs w:val="22"/>
              </w:rPr>
              <w:t>, India,</w:t>
            </w:r>
            <w:r w:rsidRPr="00073574">
              <w:rPr>
                <w:szCs w:val="22"/>
              </w:rPr>
              <w:t xml:space="preserve"> from 16 to 27 November 2020</w:t>
            </w:r>
            <w:r w:rsidR="00581133" w:rsidRPr="00073574">
              <w:rPr>
                <w:szCs w:val="22"/>
              </w:rPr>
              <w:t>; ref</w:t>
            </w:r>
            <w:r w:rsidR="00910DF6" w:rsidRPr="00073574">
              <w:rPr>
                <w:szCs w:val="22"/>
              </w:rPr>
              <w:t>.</w:t>
            </w:r>
            <w:r w:rsidR="00581133" w:rsidRPr="00073574">
              <w:rPr>
                <w:szCs w:val="22"/>
              </w:rPr>
              <w:t xml:space="preserve"> C19 Dec</w:t>
            </w:r>
            <w:r w:rsidR="00325BA4" w:rsidRPr="00073574">
              <w:rPr>
                <w:szCs w:val="22"/>
              </w:rPr>
              <w:t>i</w:t>
            </w:r>
            <w:r w:rsidR="00581133" w:rsidRPr="00073574">
              <w:rPr>
                <w:szCs w:val="22"/>
              </w:rPr>
              <w:t xml:space="preserve">sion </w:t>
            </w:r>
            <w:r w:rsidR="00910DF6" w:rsidRPr="00073574">
              <w:rPr>
                <w:szCs w:val="22"/>
              </w:rPr>
              <w:t>608</w:t>
            </w:r>
            <w:r w:rsidR="00F450C3" w:rsidRPr="00073574">
              <w:rPr>
                <w:szCs w:val="22"/>
              </w:rPr>
              <w:t xml:space="preserve">, </w:t>
            </w:r>
            <w:hyperlink r:id="rId19" w:history="1">
              <w:r w:rsidR="00F450C3" w:rsidRPr="00073574">
                <w:rPr>
                  <w:rStyle w:val="Hyperlink"/>
                  <w:szCs w:val="22"/>
                </w:rPr>
                <w:t>CL-19/45</w:t>
              </w:r>
            </w:hyperlink>
            <w:r w:rsidR="00F450C3" w:rsidRPr="00073574">
              <w:rPr>
                <w:szCs w:val="22"/>
              </w:rPr>
              <w:t xml:space="preserve"> (3 October 2019)</w:t>
            </w:r>
            <w:r w:rsidR="00581133" w:rsidRPr="00073574">
              <w:rPr>
                <w:szCs w:val="22"/>
              </w:rPr>
              <w:t>.</w:t>
            </w:r>
            <w:r w:rsidR="004D07DC" w:rsidRPr="00073574">
              <w:rPr>
                <w:szCs w:val="22"/>
              </w:rPr>
              <w:t xml:space="preserve"> WTSA-20 was deferred to take place at Hyderabad, India, from 23 February to 5 March 2021; ref. DECISION 608 (MODIFIED 2020), and new proposal is under Council consultation to take place at Hyderabad, India, from 1 to 9 March 2022.</w:t>
            </w:r>
            <w:r w:rsidR="0022367B" w:rsidRPr="00073574">
              <w:rPr>
                <w:szCs w:val="22"/>
              </w:rPr>
              <w:t xml:space="preserve"> The second virtual consultation of councillors in November 2020, Council Decision 608 was further modified and approved by correspondence to reschedule the next WTSA in Hyderabad, India, from 1 to 9 March 2022, subject to the restoration of normal work and travel conditions in India and in other Member States.</w:t>
            </w:r>
            <w:r w:rsidR="00514BFC" w:rsidRPr="00073574">
              <w:rPr>
                <w:szCs w:val="22"/>
              </w:rPr>
              <w:t xml:space="preserve"> </w:t>
            </w:r>
            <w:r w:rsidR="00514BFC" w:rsidRPr="00073574">
              <w:t xml:space="preserve">Following the successful consultation among ITU Member States carried out by Circular Letter </w:t>
            </w:r>
            <w:hyperlink r:id="rId20" w:history="1">
              <w:r w:rsidR="00514BFC" w:rsidRPr="00073574">
                <w:rPr>
                  <w:rStyle w:val="Hyperlink"/>
                </w:rPr>
                <w:t>No. 20/51</w:t>
              </w:r>
            </w:hyperlink>
            <w:r w:rsidR="00514BFC" w:rsidRPr="00073574">
              <w:t xml:space="preserve"> of 22 December 2020, </w:t>
            </w:r>
            <w:hyperlink r:id="rId21" w:history="1">
              <w:r w:rsidR="00514BFC" w:rsidRPr="00073574">
                <w:rPr>
                  <w:rStyle w:val="Hyperlink"/>
                </w:rPr>
                <w:t>CL-21/3</w:t>
              </w:r>
            </w:hyperlink>
            <w:r w:rsidR="00514BFC" w:rsidRPr="00073574">
              <w:t xml:space="preserve"> of 3 February 2021 announced the agreement of the required majority of the Member States of ITU (106 positive replies, 1 negative reply, 1 abstention), in accordance with No. 42 of the ITU Convention. As a result, the next WTSA </w:t>
            </w:r>
            <w:r w:rsidR="005F6E1C" w:rsidRPr="00073574">
              <w:t>wa</w:t>
            </w:r>
            <w:r w:rsidR="00514BFC" w:rsidRPr="00073574">
              <w:t xml:space="preserve">s planned in Hyderabad India from 1 to 9 March 2022, preceded by the </w:t>
            </w:r>
            <w:r w:rsidR="00514BFC" w:rsidRPr="00073574">
              <w:lastRenderedPageBreak/>
              <w:t xml:space="preserve">Global Standards Symposium (GSS) on 28 February 2022 and subject to the </w:t>
            </w:r>
            <w:bookmarkStart w:id="11" w:name="_Hlk68173830"/>
            <w:r w:rsidR="00514BFC" w:rsidRPr="00073574">
              <w:t>restoration of normal work and travel conditions in India and in other Member States</w:t>
            </w:r>
            <w:bookmarkEnd w:id="11"/>
            <w:r w:rsidR="00514BFC" w:rsidRPr="00073574">
              <w:t xml:space="preserve">. </w:t>
            </w:r>
            <w:r w:rsidR="00BB35C3" w:rsidRPr="00073574">
              <w:t xml:space="preserve">Due to ongoing uncertainty due to the COVID-19 pandemic, VCC2021 prepared a contingency plan for WTSA-20 in 2022 and additional consultations with host India. </w:t>
            </w:r>
            <w:r w:rsidR="00D47F80" w:rsidRPr="00073574">
              <w:t>It was finally decided that WTSA-20 takes place in Geneva, Switzerland, 1-9 March 2022;</w:t>
            </w:r>
            <w:r w:rsidR="00591C0A" w:rsidRPr="00073574">
              <w:t xml:space="preserve"> </w:t>
            </w:r>
            <w:r w:rsidR="00D47F80" w:rsidRPr="00073574">
              <w:t xml:space="preserve">ref. Circular letter No. </w:t>
            </w:r>
            <w:hyperlink r:id="rId22" w:history="1">
              <w:r w:rsidR="00D47F80" w:rsidRPr="00073574">
                <w:rPr>
                  <w:rStyle w:val="Hyperlink"/>
                </w:rPr>
                <w:t>21/39</w:t>
              </w:r>
            </w:hyperlink>
            <w:r w:rsidR="00D47F80" w:rsidRPr="00073574">
              <w:t xml:space="preserve">, and ITU-SG DM Circulars </w:t>
            </w:r>
            <w:hyperlink r:id="rId23" w:history="1">
              <w:r w:rsidR="00D47F80" w:rsidRPr="00073574">
                <w:rPr>
                  <w:rStyle w:val="Hyperlink"/>
                </w:rPr>
                <w:t>1018</w:t>
              </w:r>
            </w:hyperlink>
            <w:r w:rsidR="00D47F80" w:rsidRPr="00073574">
              <w:t xml:space="preserve">, </w:t>
            </w:r>
            <w:hyperlink r:id="rId24" w:history="1">
              <w:r w:rsidR="00D47F80" w:rsidRPr="00073574">
                <w:rPr>
                  <w:rStyle w:val="Hyperlink"/>
                </w:rPr>
                <w:t>1019</w:t>
              </w:r>
            </w:hyperlink>
            <w:r w:rsidR="00D47F80" w:rsidRPr="00073574">
              <w:t xml:space="preserve">, and </w:t>
            </w:r>
            <w:hyperlink r:id="rId25" w:history="1">
              <w:r w:rsidR="00D47F80" w:rsidRPr="00073574">
                <w:rPr>
                  <w:rStyle w:val="Hyperlink"/>
                </w:rPr>
                <w:t>1020</w:t>
              </w:r>
            </w:hyperlink>
            <w:r w:rsidR="00D47F80" w:rsidRPr="00073574">
              <w:t>.</w:t>
            </w:r>
          </w:p>
        </w:tc>
      </w:tr>
      <w:tr w:rsidR="00F0236A" w:rsidRPr="00073574" w14:paraId="6EC4EC89" w14:textId="77777777" w:rsidTr="00BD106F">
        <w:trPr>
          <w:cantSplit/>
          <w:jc w:val="center"/>
        </w:trPr>
        <w:tc>
          <w:tcPr>
            <w:tcW w:w="896" w:type="dxa"/>
            <w:vMerge w:val="restart"/>
            <w:tcBorders>
              <w:top w:val="single" w:sz="12" w:space="0" w:color="auto"/>
            </w:tcBorders>
            <w:shd w:val="clear" w:color="auto" w:fill="auto"/>
          </w:tcPr>
          <w:p w14:paraId="727FA924" w14:textId="77777777" w:rsidR="00F0236A" w:rsidRPr="00073574" w:rsidRDefault="00F0236A" w:rsidP="00DF36E1">
            <w:pPr>
              <w:pStyle w:val="Tabletext"/>
              <w:rPr>
                <w:b/>
                <w:sz w:val="24"/>
                <w:szCs w:val="24"/>
              </w:rPr>
            </w:pPr>
            <w:r w:rsidRPr="00073574">
              <w:rPr>
                <w:b/>
                <w:sz w:val="24"/>
                <w:szCs w:val="24"/>
              </w:rPr>
              <w:lastRenderedPageBreak/>
              <w:t>01-02</w:t>
            </w:r>
          </w:p>
        </w:tc>
        <w:tc>
          <w:tcPr>
            <w:tcW w:w="4508" w:type="dxa"/>
            <w:tcBorders>
              <w:top w:val="single" w:sz="12" w:space="0" w:color="auto"/>
            </w:tcBorders>
            <w:shd w:val="clear" w:color="auto" w:fill="auto"/>
            <w:hideMark/>
          </w:tcPr>
          <w:p w14:paraId="2688CC15" w14:textId="77777777" w:rsidR="00F0236A" w:rsidRPr="00073574" w:rsidRDefault="00F0236A" w:rsidP="00DF36E1">
            <w:pPr>
              <w:pStyle w:val="Tabletext"/>
              <w:rPr>
                <w:b/>
                <w:sz w:val="24"/>
                <w:szCs w:val="24"/>
              </w:rPr>
            </w:pPr>
            <w:r w:rsidRPr="00073574">
              <w:rPr>
                <w:b/>
                <w:sz w:val="24"/>
                <w:szCs w:val="24"/>
              </w:rPr>
              <w:t>TSB Director to prepare proposal for organization and structure of WTSA-20 (resolves)</w:t>
            </w:r>
          </w:p>
        </w:tc>
        <w:tc>
          <w:tcPr>
            <w:tcW w:w="1861" w:type="dxa"/>
            <w:tcBorders>
              <w:top w:val="single" w:sz="12" w:space="0" w:color="auto"/>
            </w:tcBorders>
            <w:shd w:val="clear" w:color="auto" w:fill="auto"/>
            <w:vAlign w:val="center"/>
            <w:hideMark/>
          </w:tcPr>
          <w:p w14:paraId="6909FACC" w14:textId="77777777" w:rsidR="00F0236A" w:rsidRPr="00073574" w:rsidRDefault="00F0236A" w:rsidP="00DF36E1">
            <w:pPr>
              <w:pStyle w:val="Tabletext"/>
              <w:jc w:val="center"/>
              <w:rPr>
                <w:b/>
                <w:sz w:val="24"/>
                <w:szCs w:val="24"/>
              </w:rPr>
            </w:pPr>
            <w:r w:rsidRPr="00073574">
              <w:rPr>
                <w:b/>
                <w:sz w:val="24"/>
                <w:szCs w:val="24"/>
              </w:rPr>
              <w:t>3 months before WTSA-20</w:t>
            </w:r>
          </w:p>
        </w:tc>
        <w:tc>
          <w:tcPr>
            <w:tcW w:w="1231" w:type="dxa"/>
            <w:tcBorders>
              <w:top w:val="single" w:sz="12" w:space="0" w:color="auto"/>
            </w:tcBorders>
            <w:shd w:val="clear" w:color="auto" w:fill="auto"/>
            <w:vAlign w:val="center"/>
          </w:tcPr>
          <w:p w14:paraId="3EE754A7" w14:textId="6030FC10" w:rsidR="00F0236A" w:rsidRPr="00073574" w:rsidRDefault="00627112" w:rsidP="00DF36E1">
            <w:pPr>
              <w:pStyle w:val="Tabletext"/>
              <w:jc w:val="center"/>
              <w:rPr>
                <w:b/>
                <w:sz w:val="24"/>
                <w:szCs w:val="24"/>
                <w:highlight w:val="yellow"/>
              </w:rPr>
            </w:pPr>
            <w:r w:rsidRPr="00073574">
              <w:rPr>
                <w:b/>
                <w:bCs/>
                <w:sz w:val="24"/>
                <w:szCs w:val="24"/>
              </w:rPr>
              <w:t>√</w:t>
            </w:r>
          </w:p>
        </w:tc>
        <w:tc>
          <w:tcPr>
            <w:tcW w:w="1336" w:type="dxa"/>
            <w:tcBorders>
              <w:top w:val="single" w:sz="12" w:space="0" w:color="auto"/>
            </w:tcBorders>
            <w:shd w:val="clear" w:color="auto" w:fill="auto"/>
            <w:vAlign w:val="center"/>
          </w:tcPr>
          <w:p w14:paraId="4BA75DC3" w14:textId="6ADB5A7E" w:rsidR="00F0236A" w:rsidRPr="00073574" w:rsidRDefault="00590501" w:rsidP="00DF36E1">
            <w:pPr>
              <w:pStyle w:val="Tabletext"/>
              <w:jc w:val="center"/>
              <w:rPr>
                <w:b/>
                <w:sz w:val="24"/>
                <w:szCs w:val="24"/>
                <w:highlight w:val="yellow"/>
              </w:rPr>
            </w:pPr>
            <w:r w:rsidRPr="00073574">
              <w:rPr>
                <w:b/>
                <w:bCs/>
                <w:sz w:val="24"/>
                <w:szCs w:val="24"/>
              </w:rPr>
              <w:t>√</w:t>
            </w:r>
          </w:p>
        </w:tc>
      </w:tr>
      <w:tr w:rsidR="00F0236A" w:rsidRPr="00073574" w14:paraId="6A24D37D" w14:textId="77777777" w:rsidTr="634A3A28">
        <w:trPr>
          <w:cantSplit/>
          <w:jc w:val="center"/>
        </w:trPr>
        <w:tc>
          <w:tcPr>
            <w:tcW w:w="896" w:type="dxa"/>
            <w:vMerge/>
          </w:tcPr>
          <w:p w14:paraId="13B336CA" w14:textId="77777777" w:rsidR="00F0236A" w:rsidRPr="00073574" w:rsidRDefault="00F0236A" w:rsidP="00DF36E1">
            <w:pPr>
              <w:pStyle w:val="Tabletext"/>
              <w:rPr>
                <w:sz w:val="24"/>
                <w:szCs w:val="24"/>
                <w:highlight w:val="yellow"/>
              </w:rPr>
            </w:pPr>
          </w:p>
        </w:tc>
        <w:tc>
          <w:tcPr>
            <w:tcW w:w="8936" w:type="dxa"/>
            <w:gridSpan w:val="4"/>
            <w:tcBorders>
              <w:bottom w:val="single" w:sz="12" w:space="0" w:color="auto"/>
            </w:tcBorders>
            <w:shd w:val="clear" w:color="auto" w:fill="auto"/>
          </w:tcPr>
          <w:p w14:paraId="5D498FF7" w14:textId="70BCD91E" w:rsidR="00F0236A" w:rsidRPr="00073574" w:rsidDel="00553578" w:rsidRDefault="00627112" w:rsidP="00DF36E1">
            <w:pPr>
              <w:pStyle w:val="Tabletext"/>
              <w:rPr>
                <w:szCs w:val="22"/>
                <w:highlight w:val="yellow"/>
              </w:rPr>
            </w:pPr>
            <w:r w:rsidRPr="00073574">
              <w:rPr>
                <w:szCs w:val="22"/>
              </w:rPr>
              <w:t xml:space="preserve">A </w:t>
            </w:r>
            <w:r w:rsidRPr="00064392">
              <w:rPr>
                <w:szCs w:val="22"/>
              </w:rPr>
              <w:t xml:space="preserve">proposal </w:t>
            </w:r>
            <w:r w:rsidR="00590501" w:rsidRPr="00064392">
              <w:rPr>
                <w:szCs w:val="22"/>
              </w:rPr>
              <w:t>(</w:t>
            </w:r>
            <w:hyperlink r:id="rId26" w:history="1">
              <w:r w:rsidR="00064392" w:rsidRPr="00064392">
                <w:rPr>
                  <w:rStyle w:val="Hyperlink"/>
                  <w:szCs w:val="22"/>
                </w:rPr>
                <w:t>TSAG-TD1187</w:t>
              </w:r>
            </w:hyperlink>
            <w:r w:rsidR="00590501" w:rsidRPr="00064392">
              <w:rPr>
                <w:szCs w:val="22"/>
              </w:rPr>
              <w:t xml:space="preserve">) </w:t>
            </w:r>
            <w:r w:rsidR="008D1304">
              <w:rPr>
                <w:szCs w:val="22"/>
              </w:rPr>
              <w:t xml:space="preserve">and </w:t>
            </w:r>
            <w:r w:rsidR="00A15C85">
              <w:rPr>
                <w:szCs w:val="22"/>
              </w:rPr>
              <w:t xml:space="preserve">practical </w:t>
            </w:r>
            <w:r w:rsidR="008D1304" w:rsidRPr="008D1304">
              <w:rPr>
                <w:szCs w:val="22"/>
              </w:rPr>
              <w:t>information (</w:t>
            </w:r>
            <w:hyperlink r:id="rId27" w:history="1">
              <w:r w:rsidR="008D1304" w:rsidRPr="008D1304">
                <w:rPr>
                  <w:rStyle w:val="Hyperlink"/>
                  <w:szCs w:val="22"/>
                </w:rPr>
                <w:t>TSAG-TD1292</w:t>
              </w:r>
            </w:hyperlink>
            <w:r w:rsidR="008D1304">
              <w:rPr>
                <w:rStyle w:val="Hyperlink"/>
                <w:szCs w:val="22"/>
              </w:rPr>
              <w:t>-R1</w:t>
            </w:r>
            <w:r w:rsidR="008D1304" w:rsidRPr="008D1304">
              <w:rPr>
                <w:szCs w:val="22"/>
              </w:rPr>
              <w:t xml:space="preserve">) </w:t>
            </w:r>
            <w:r w:rsidR="00590501" w:rsidRPr="008D1304">
              <w:rPr>
                <w:szCs w:val="22"/>
              </w:rPr>
              <w:t>w</w:t>
            </w:r>
            <w:r w:rsidR="008D1304" w:rsidRPr="008D1304">
              <w:rPr>
                <w:szCs w:val="22"/>
              </w:rPr>
              <w:t>ere</w:t>
            </w:r>
            <w:r w:rsidRPr="00073574">
              <w:rPr>
                <w:szCs w:val="22"/>
              </w:rPr>
              <w:t xml:space="preserve"> submitted to the January 2022 TSAG meeting.</w:t>
            </w:r>
          </w:p>
        </w:tc>
      </w:tr>
      <w:tr w:rsidR="00F0236A" w:rsidRPr="00073574" w14:paraId="66EB0C44" w14:textId="77777777" w:rsidTr="00BD106F">
        <w:trPr>
          <w:cantSplit/>
          <w:jc w:val="center"/>
        </w:trPr>
        <w:tc>
          <w:tcPr>
            <w:tcW w:w="896" w:type="dxa"/>
            <w:vMerge w:val="restart"/>
            <w:tcBorders>
              <w:top w:val="single" w:sz="12" w:space="0" w:color="auto"/>
            </w:tcBorders>
            <w:shd w:val="clear" w:color="auto" w:fill="auto"/>
          </w:tcPr>
          <w:p w14:paraId="21D25DAB" w14:textId="77777777" w:rsidR="00F0236A" w:rsidRPr="00073574" w:rsidRDefault="00F0236A" w:rsidP="00DF36E1">
            <w:pPr>
              <w:pStyle w:val="Tabletext"/>
              <w:rPr>
                <w:b/>
                <w:bCs/>
                <w:sz w:val="24"/>
                <w:szCs w:val="24"/>
              </w:rPr>
            </w:pPr>
            <w:r w:rsidRPr="00073574">
              <w:rPr>
                <w:b/>
                <w:bCs/>
                <w:sz w:val="24"/>
                <w:szCs w:val="24"/>
              </w:rPr>
              <w:t>01-03</w:t>
            </w:r>
          </w:p>
        </w:tc>
        <w:tc>
          <w:tcPr>
            <w:tcW w:w="4508" w:type="dxa"/>
            <w:tcBorders>
              <w:top w:val="single" w:sz="12" w:space="0" w:color="auto"/>
            </w:tcBorders>
            <w:shd w:val="clear" w:color="auto" w:fill="auto"/>
            <w:hideMark/>
          </w:tcPr>
          <w:p w14:paraId="1E603B3F" w14:textId="6E8E98E5" w:rsidR="00F0236A" w:rsidRPr="00073574" w:rsidRDefault="00F0236A" w:rsidP="00DF36E1">
            <w:pPr>
              <w:pStyle w:val="Tabletext"/>
              <w:rPr>
                <w:b/>
                <w:bCs/>
                <w:sz w:val="24"/>
                <w:szCs w:val="24"/>
              </w:rPr>
            </w:pPr>
            <w:r w:rsidRPr="00073574">
              <w:rPr>
                <w:b/>
                <w:bCs/>
                <w:sz w:val="24"/>
                <w:szCs w:val="24"/>
              </w:rPr>
              <w:t>TSB Director to prepare report to WTSA-20 (§1.</w:t>
            </w:r>
            <w:r w:rsidR="00D31F90" w:rsidRPr="00073574">
              <w:rPr>
                <w:b/>
                <w:bCs/>
                <w:sz w:val="24"/>
                <w:szCs w:val="24"/>
              </w:rPr>
              <w:t>11</w:t>
            </w:r>
            <w:r w:rsidRPr="00073574">
              <w:rPr>
                <w:b/>
                <w:bCs/>
                <w:sz w:val="24"/>
                <w:szCs w:val="24"/>
              </w:rPr>
              <w:t>.1</w:t>
            </w:r>
            <w:r w:rsidR="00BE6BDA" w:rsidRPr="00073574">
              <w:rPr>
                <w:b/>
                <w:bCs/>
                <w:sz w:val="24"/>
                <w:szCs w:val="24"/>
              </w:rPr>
              <w:t>, 5.7</w:t>
            </w:r>
            <w:r w:rsidR="00343D22" w:rsidRPr="00073574">
              <w:rPr>
                <w:b/>
                <w:bCs/>
                <w:sz w:val="24"/>
                <w:szCs w:val="24"/>
              </w:rPr>
              <w:t xml:space="preserve">, </w:t>
            </w:r>
            <w:r w:rsidR="00EB19BC" w:rsidRPr="00073574">
              <w:rPr>
                <w:b/>
                <w:bCs/>
                <w:sz w:val="24"/>
                <w:szCs w:val="24"/>
              </w:rPr>
              <w:t xml:space="preserve">5.8, </w:t>
            </w:r>
            <w:r w:rsidR="00343D22" w:rsidRPr="00073574">
              <w:rPr>
                <w:b/>
                <w:bCs/>
                <w:sz w:val="24"/>
                <w:szCs w:val="24"/>
              </w:rPr>
              <w:t>5.9</w:t>
            </w:r>
            <w:r w:rsidR="00E45251" w:rsidRPr="00073574">
              <w:rPr>
                <w:b/>
                <w:bCs/>
                <w:sz w:val="24"/>
                <w:szCs w:val="24"/>
              </w:rPr>
              <w:t>, 5.10</w:t>
            </w:r>
            <w:r w:rsidRPr="00073574">
              <w:rPr>
                <w:b/>
                <w:bCs/>
                <w:sz w:val="24"/>
                <w:szCs w:val="24"/>
              </w:rPr>
              <w:t>)</w:t>
            </w:r>
          </w:p>
        </w:tc>
        <w:tc>
          <w:tcPr>
            <w:tcW w:w="1861" w:type="dxa"/>
            <w:tcBorders>
              <w:top w:val="single" w:sz="12" w:space="0" w:color="auto"/>
            </w:tcBorders>
            <w:shd w:val="clear" w:color="auto" w:fill="auto"/>
            <w:vAlign w:val="center"/>
            <w:hideMark/>
          </w:tcPr>
          <w:p w14:paraId="6CCD965B" w14:textId="77777777" w:rsidR="00F0236A" w:rsidRPr="00073574" w:rsidRDefault="00F0236A" w:rsidP="00DF36E1">
            <w:pPr>
              <w:pStyle w:val="Tabletext"/>
              <w:jc w:val="center"/>
              <w:rPr>
                <w:b/>
                <w:bCs/>
                <w:sz w:val="24"/>
                <w:szCs w:val="24"/>
              </w:rPr>
            </w:pPr>
            <w:r w:rsidRPr="00073574">
              <w:rPr>
                <w:b/>
                <w:bCs/>
                <w:sz w:val="24"/>
                <w:szCs w:val="24"/>
              </w:rPr>
              <w:t>WTSA-20</w:t>
            </w:r>
          </w:p>
        </w:tc>
        <w:tc>
          <w:tcPr>
            <w:tcW w:w="1231" w:type="dxa"/>
            <w:tcBorders>
              <w:top w:val="single" w:sz="12" w:space="0" w:color="auto"/>
            </w:tcBorders>
            <w:shd w:val="clear" w:color="auto" w:fill="auto"/>
            <w:vAlign w:val="center"/>
          </w:tcPr>
          <w:p w14:paraId="260E2349" w14:textId="185C4E2C" w:rsidR="00F0236A" w:rsidRPr="00073574" w:rsidRDefault="002C5804"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076C75AC" w14:textId="168E4ADA" w:rsidR="00F0236A" w:rsidRPr="00073574" w:rsidRDefault="002C5804" w:rsidP="00DF36E1">
            <w:pPr>
              <w:pStyle w:val="Tabletext"/>
              <w:jc w:val="center"/>
              <w:rPr>
                <w:b/>
                <w:bCs/>
                <w:sz w:val="24"/>
                <w:szCs w:val="24"/>
              </w:rPr>
            </w:pPr>
            <w:r w:rsidRPr="00073574">
              <w:rPr>
                <w:b/>
                <w:bCs/>
                <w:sz w:val="24"/>
                <w:szCs w:val="24"/>
              </w:rPr>
              <w:t>√</w:t>
            </w:r>
          </w:p>
        </w:tc>
      </w:tr>
      <w:tr w:rsidR="00F0236A" w:rsidRPr="00073574" w14:paraId="4772B13E" w14:textId="77777777" w:rsidTr="634A3A28">
        <w:trPr>
          <w:cantSplit/>
          <w:jc w:val="center"/>
        </w:trPr>
        <w:tc>
          <w:tcPr>
            <w:tcW w:w="896" w:type="dxa"/>
            <w:vMerge/>
            <w:vAlign w:val="center"/>
          </w:tcPr>
          <w:p w14:paraId="6242832A" w14:textId="77777777" w:rsidR="00F0236A" w:rsidRPr="00073574" w:rsidRDefault="00F0236A" w:rsidP="00DF36E1">
            <w:pPr>
              <w:pStyle w:val="Tabletext"/>
              <w:rPr>
                <w:sz w:val="24"/>
                <w:szCs w:val="24"/>
              </w:rPr>
            </w:pPr>
          </w:p>
        </w:tc>
        <w:tc>
          <w:tcPr>
            <w:tcW w:w="8936" w:type="dxa"/>
            <w:gridSpan w:val="4"/>
            <w:shd w:val="clear" w:color="auto" w:fill="auto"/>
          </w:tcPr>
          <w:p w14:paraId="1748D8C1" w14:textId="6F8C880B" w:rsidR="00F0236A" w:rsidRPr="00073574" w:rsidRDefault="005B40A1" w:rsidP="007565C3">
            <w:pPr>
              <w:pStyle w:val="Tabletext"/>
              <w:numPr>
                <w:ilvl w:val="0"/>
                <w:numId w:val="133"/>
              </w:numPr>
              <w:rPr>
                <w:szCs w:val="22"/>
              </w:rPr>
            </w:pPr>
            <w:r w:rsidRPr="00073574">
              <w:rPr>
                <w:szCs w:val="22"/>
              </w:rPr>
              <w:t xml:space="preserve">see </w:t>
            </w:r>
            <w:hyperlink r:id="rId28" w:history="1">
              <w:r w:rsidRPr="00073574">
                <w:rPr>
                  <w:rStyle w:val="Hyperlink"/>
                  <w:szCs w:val="22"/>
                </w:rPr>
                <w:t>WTSA-C28</w:t>
              </w:r>
            </w:hyperlink>
            <w:r w:rsidRPr="00073574">
              <w:rPr>
                <w:szCs w:val="22"/>
                <w:u w:val="single"/>
              </w:rPr>
              <w:t xml:space="preserve"> </w:t>
            </w:r>
            <w:r w:rsidRPr="00073574">
              <w:rPr>
                <w:szCs w:val="22"/>
              </w:rPr>
              <w:t>“Report of activities in ITU-T over the 2017-2021 Study period”</w:t>
            </w:r>
            <w:r w:rsidR="00F92753" w:rsidRPr="00073574">
              <w:rPr>
                <w:szCs w:val="22"/>
              </w:rPr>
              <w:t>;</w:t>
            </w:r>
            <w:r w:rsidR="00360AB2" w:rsidRPr="00073574">
              <w:rPr>
                <w:szCs w:val="22"/>
              </w:rPr>
              <w:t xml:space="preserve"> and</w:t>
            </w:r>
          </w:p>
          <w:p w14:paraId="2CAEC2C4" w14:textId="663361B2" w:rsidR="00F92753" w:rsidRPr="00073574" w:rsidDel="00553578" w:rsidRDefault="0053741E" w:rsidP="007565C3">
            <w:pPr>
              <w:pStyle w:val="Tabletext"/>
              <w:numPr>
                <w:ilvl w:val="0"/>
                <w:numId w:val="133"/>
              </w:numPr>
              <w:rPr>
                <w:szCs w:val="22"/>
              </w:rPr>
            </w:pPr>
            <w:hyperlink r:id="rId29" w:history="1">
              <w:r w:rsidR="00F92753" w:rsidRPr="00073574">
                <w:rPr>
                  <w:rStyle w:val="Hyperlink"/>
                  <w:szCs w:val="22"/>
                </w:rPr>
                <w:t>WTSA-C23</w:t>
              </w:r>
            </w:hyperlink>
            <w:r w:rsidR="00F92753" w:rsidRPr="00073574">
              <w:rPr>
                <w:szCs w:val="22"/>
              </w:rPr>
              <w:t xml:space="preserve"> “Report of the Telecommunication Standardization Advisory Group to the World Telecommunication Standardization Assembly (WTSA-20), Part I: General”</w:t>
            </w:r>
            <w:r w:rsidR="009E26BA" w:rsidRPr="00073574">
              <w:rPr>
                <w:szCs w:val="22"/>
              </w:rPr>
              <w:t>.</w:t>
            </w:r>
          </w:p>
        </w:tc>
      </w:tr>
      <w:tr w:rsidR="00F0236A" w:rsidRPr="00073574" w14:paraId="164470C4" w14:textId="77777777" w:rsidTr="00BD106F">
        <w:trPr>
          <w:jc w:val="center"/>
        </w:trPr>
        <w:tc>
          <w:tcPr>
            <w:tcW w:w="896" w:type="dxa"/>
            <w:vMerge w:val="restart"/>
            <w:tcBorders>
              <w:top w:val="single" w:sz="12" w:space="0" w:color="auto"/>
            </w:tcBorders>
            <w:shd w:val="clear" w:color="auto" w:fill="auto"/>
          </w:tcPr>
          <w:p w14:paraId="160681C6" w14:textId="77777777" w:rsidR="00F0236A" w:rsidRPr="00073574" w:rsidRDefault="00F0236A" w:rsidP="00DF36E1">
            <w:pPr>
              <w:pStyle w:val="Tabletext"/>
              <w:rPr>
                <w:b/>
                <w:bCs/>
                <w:sz w:val="24"/>
                <w:szCs w:val="24"/>
              </w:rPr>
            </w:pPr>
            <w:r w:rsidRPr="00073574">
              <w:rPr>
                <w:b/>
                <w:bCs/>
                <w:sz w:val="24"/>
                <w:szCs w:val="24"/>
              </w:rPr>
              <w:t>01-04</w:t>
            </w:r>
          </w:p>
        </w:tc>
        <w:tc>
          <w:tcPr>
            <w:tcW w:w="4508" w:type="dxa"/>
            <w:tcBorders>
              <w:top w:val="single" w:sz="12" w:space="0" w:color="auto"/>
            </w:tcBorders>
            <w:shd w:val="clear" w:color="auto" w:fill="auto"/>
          </w:tcPr>
          <w:p w14:paraId="12AD5223" w14:textId="77777777" w:rsidR="00F0236A" w:rsidRPr="00073574" w:rsidRDefault="00F0236A" w:rsidP="00DF36E1">
            <w:pPr>
              <w:pStyle w:val="Tabletext"/>
              <w:rPr>
                <w:b/>
                <w:bCs/>
                <w:sz w:val="24"/>
                <w:szCs w:val="24"/>
              </w:rPr>
            </w:pPr>
            <w:r w:rsidRPr="00073574">
              <w:rPr>
                <w:b/>
                <w:bCs/>
                <w:sz w:val="24"/>
                <w:szCs w:val="24"/>
              </w:rPr>
              <w:t>All lead study groups shall inform TSAG on the progress of the work as defined in the scope of the lead study group activity. (Section 2.1.6)</w:t>
            </w:r>
          </w:p>
        </w:tc>
        <w:tc>
          <w:tcPr>
            <w:tcW w:w="1861" w:type="dxa"/>
            <w:shd w:val="clear" w:color="auto" w:fill="auto"/>
            <w:vAlign w:val="center"/>
          </w:tcPr>
          <w:p w14:paraId="1E34CDF3" w14:textId="77777777" w:rsidR="00F0236A" w:rsidRPr="00073574" w:rsidRDefault="00F0236A" w:rsidP="00DF36E1">
            <w:pPr>
              <w:pStyle w:val="Tabletext"/>
              <w:jc w:val="center"/>
              <w:rPr>
                <w:b/>
                <w:bCs/>
                <w:sz w:val="24"/>
                <w:szCs w:val="24"/>
              </w:rPr>
            </w:pPr>
            <w:r w:rsidRPr="00073574">
              <w:rPr>
                <w:b/>
                <w:bCs/>
                <w:sz w:val="24"/>
                <w:szCs w:val="24"/>
              </w:rPr>
              <w:t>Each TSAG meeting</w:t>
            </w:r>
          </w:p>
        </w:tc>
        <w:tc>
          <w:tcPr>
            <w:tcW w:w="1231" w:type="dxa"/>
            <w:shd w:val="clear" w:color="auto" w:fill="auto"/>
            <w:vAlign w:val="center"/>
          </w:tcPr>
          <w:p w14:paraId="6ACDB6D2"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shd w:val="clear" w:color="auto" w:fill="auto"/>
            <w:vAlign w:val="center"/>
          </w:tcPr>
          <w:p w14:paraId="70EB846E" w14:textId="77777777" w:rsidR="00F0236A" w:rsidRPr="00073574" w:rsidDel="00553578" w:rsidRDefault="00F0236A" w:rsidP="00DF36E1">
            <w:pPr>
              <w:pStyle w:val="Tabletext"/>
              <w:jc w:val="center"/>
              <w:rPr>
                <w:b/>
                <w:bCs/>
                <w:sz w:val="24"/>
                <w:szCs w:val="24"/>
              </w:rPr>
            </w:pPr>
          </w:p>
        </w:tc>
      </w:tr>
      <w:tr w:rsidR="00F0236A" w:rsidRPr="00073574" w14:paraId="7F46A837" w14:textId="77777777" w:rsidTr="634A3A28">
        <w:trPr>
          <w:jc w:val="center"/>
        </w:trPr>
        <w:tc>
          <w:tcPr>
            <w:tcW w:w="896" w:type="dxa"/>
            <w:vMerge/>
          </w:tcPr>
          <w:p w14:paraId="5AA6CBF8" w14:textId="77777777" w:rsidR="00F0236A" w:rsidRPr="00073574" w:rsidRDefault="00F0236A" w:rsidP="00DF36E1">
            <w:pPr>
              <w:pStyle w:val="Tabletext"/>
              <w:rPr>
                <w:sz w:val="24"/>
                <w:szCs w:val="24"/>
              </w:rPr>
            </w:pPr>
          </w:p>
        </w:tc>
        <w:tc>
          <w:tcPr>
            <w:tcW w:w="8936" w:type="dxa"/>
            <w:gridSpan w:val="4"/>
            <w:shd w:val="clear" w:color="auto" w:fill="auto"/>
          </w:tcPr>
          <w:p w14:paraId="4BEBCED9" w14:textId="6719F289" w:rsidR="00F0236A" w:rsidRPr="00073574" w:rsidRDefault="00F0236A" w:rsidP="002E241A">
            <w:pPr>
              <w:pStyle w:val="ListParagraph"/>
              <w:numPr>
                <w:ilvl w:val="0"/>
                <w:numId w:val="55"/>
              </w:numPr>
              <w:spacing w:before="40"/>
              <w:ind w:left="357" w:hanging="357"/>
              <w:contextualSpacing w:val="0"/>
            </w:pPr>
            <w:r w:rsidRPr="00073574">
              <w:rPr>
                <w:b/>
                <w:bCs/>
              </w:rPr>
              <w:t>SG2 (four LSG roles):</w:t>
            </w:r>
            <w:r w:rsidRPr="00073574">
              <w:br/>
            </w:r>
            <w:r w:rsidR="00CD4F96" w:rsidRPr="00073574">
              <w:t>SG2</w:t>
            </w:r>
            <w:r w:rsidR="00BA0B92" w:rsidRPr="00073574">
              <w:t xml:space="preserve"> sent its LSG report to TSAG </w:t>
            </w:r>
            <w:r w:rsidRPr="00073574">
              <w:t>(</w:t>
            </w:r>
            <w:hyperlink r:id="rId30">
              <w:r w:rsidR="00112C75" w:rsidRPr="00073574">
                <w:rPr>
                  <w:rStyle w:val="Hyperlink"/>
                  <w:rFonts w:asciiTheme="majorBidi" w:hAnsiTheme="majorBidi" w:cstheme="majorBidi"/>
                </w:rPr>
                <w:t>TD</w:t>
              </w:r>
              <w:r w:rsidRPr="00073574">
                <w:rPr>
                  <w:rStyle w:val="Hyperlink"/>
                  <w:rFonts w:asciiTheme="majorBidi" w:hAnsiTheme="majorBidi" w:cstheme="majorBidi"/>
                </w:rPr>
                <w:t>7</w:t>
              </w:r>
            </w:hyperlink>
            <w:r w:rsidRPr="00073574">
              <w:rPr>
                <w:rStyle w:val="Hyperlink"/>
                <w:rFonts w:asciiTheme="majorBidi" w:hAnsiTheme="majorBidi" w:cstheme="majorBidi"/>
                <w:u w:val="none"/>
              </w:rPr>
              <w:t xml:space="preserve">, </w:t>
            </w:r>
            <w:hyperlink r:id="rId31">
              <w:r w:rsidRPr="00073574">
                <w:rPr>
                  <w:rStyle w:val="Hyperlink"/>
                  <w:rFonts w:asciiTheme="majorBidi" w:hAnsiTheme="majorBidi" w:cstheme="majorBidi"/>
                </w:rPr>
                <w:t>64</w:t>
              </w:r>
            </w:hyperlink>
            <w:r w:rsidRPr="00073574">
              <w:rPr>
                <w:rStyle w:val="Hyperlink"/>
                <w:rFonts w:asciiTheme="majorBidi" w:hAnsiTheme="majorBidi" w:cstheme="majorBidi"/>
                <w:u w:val="none"/>
              </w:rPr>
              <w:t xml:space="preserve">, </w:t>
            </w:r>
            <w:hyperlink r:id="rId32">
              <w:r w:rsidRPr="00073574">
                <w:rPr>
                  <w:rStyle w:val="Hyperlink"/>
                  <w:rFonts w:asciiTheme="majorBidi" w:hAnsiTheme="majorBidi" w:cstheme="majorBidi"/>
                </w:rPr>
                <w:t>67</w:t>
              </w:r>
            </w:hyperlink>
            <w:r w:rsidRPr="00073574">
              <w:rPr>
                <w:rStyle w:val="Hyperlink"/>
                <w:rFonts w:asciiTheme="majorBidi" w:hAnsiTheme="majorBidi" w:cstheme="majorBidi"/>
                <w:u w:val="none"/>
              </w:rPr>
              <w:t xml:space="preserve">, </w:t>
            </w:r>
            <w:hyperlink r:id="rId33">
              <w:r w:rsidRPr="00073574">
                <w:rPr>
                  <w:rStyle w:val="Hyperlink"/>
                  <w:rFonts w:asciiTheme="majorBidi" w:hAnsiTheme="majorBidi" w:cstheme="majorBidi"/>
                </w:rPr>
                <w:t>226</w:t>
              </w:r>
            </w:hyperlink>
            <w:r w:rsidR="00EC7090" w:rsidRPr="00073574">
              <w:rPr>
                <w:rStyle w:val="Hyperlink"/>
                <w:rFonts w:asciiTheme="majorBidi" w:hAnsiTheme="majorBidi" w:cstheme="majorBidi"/>
                <w:u w:val="none"/>
              </w:rPr>
              <w:t xml:space="preserve">, </w:t>
            </w:r>
            <w:hyperlink r:id="rId34">
              <w:r w:rsidR="00EC7090" w:rsidRPr="00073574">
                <w:rPr>
                  <w:rStyle w:val="Hyperlink"/>
                  <w:rFonts w:asciiTheme="majorBidi" w:hAnsiTheme="majorBidi" w:cstheme="majorBidi"/>
                </w:rPr>
                <w:t>264</w:t>
              </w:r>
            </w:hyperlink>
            <w:r w:rsidR="00FD3D6D" w:rsidRPr="00073574">
              <w:rPr>
                <w:rStyle w:val="Hyperlink"/>
                <w:rFonts w:asciiTheme="majorBidi" w:hAnsiTheme="majorBidi" w:cstheme="majorBidi"/>
                <w:u w:val="none"/>
              </w:rPr>
              <w:t xml:space="preserve">, </w:t>
            </w:r>
            <w:hyperlink r:id="rId35">
              <w:r w:rsidR="00FD3D6D" w:rsidRPr="00073574">
                <w:rPr>
                  <w:rStyle w:val="Hyperlink"/>
                </w:rPr>
                <w:t>365</w:t>
              </w:r>
            </w:hyperlink>
            <w:r w:rsidR="003B5802" w:rsidRPr="00073574">
              <w:rPr>
                <w:rStyle w:val="Hyperlink"/>
                <w:u w:val="none"/>
              </w:rPr>
              <w:t xml:space="preserve">, </w:t>
            </w:r>
            <w:hyperlink r:id="rId36">
              <w:r w:rsidR="003B5802" w:rsidRPr="00073574">
                <w:rPr>
                  <w:rStyle w:val="Hyperlink"/>
                  <w:lang w:eastAsia="zh-CN"/>
                </w:rPr>
                <w:t>477</w:t>
              </w:r>
            </w:hyperlink>
            <w:r w:rsidR="005A7A03" w:rsidRPr="00073574">
              <w:rPr>
                <w:rStyle w:val="Hyperlink"/>
                <w:u w:val="none"/>
                <w:lang w:eastAsia="zh-CN"/>
              </w:rPr>
              <w:t xml:space="preserve">, </w:t>
            </w:r>
            <w:hyperlink r:id="rId37">
              <w:r w:rsidR="005A7A03" w:rsidRPr="00073574">
                <w:rPr>
                  <w:rStyle w:val="Hyperlink"/>
                  <w:lang w:eastAsia="zh-CN"/>
                </w:rPr>
                <w:t>665</w:t>
              </w:r>
            </w:hyperlink>
            <w:r w:rsidR="00BC5FE8" w:rsidRPr="00073574">
              <w:rPr>
                <w:rStyle w:val="Hyperlink"/>
                <w:u w:val="none"/>
                <w:lang w:eastAsia="zh-CN"/>
              </w:rPr>
              <w:t>,</w:t>
            </w:r>
            <w:r w:rsidR="00BC5FE8" w:rsidRPr="00073574">
              <w:rPr>
                <w:rStyle w:val="Hyperlink"/>
                <w:u w:val="none"/>
              </w:rPr>
              <w:t xml:space="preserve"> </w:t>
            </w:r>
            <w:hyperlink r:id="rId38">
              <w:r w:rsidR="00BC5FE8" w:rsidRPr="00073574">
                <w:rPr>
                  <w:rStyle w:val="Hyperlink"/>
                  <w:lang w:eastAsia="zh-CN"/>
                </w:rPr>
                <w:t>797</w:t>
              </w:r>
            </w:hyperlink>
            <w:r w:rsidR="006C07E7" w:rsidRPr="00487350">
              <w:rPr>
                <w:rStyle w:val="Hyperlink"/>
                <w:u w:val="none"/>
                <w:lang w:eastAsia="zh-CN"/>
              </w:rPr>
              <w:t>,</w:t>
            </w:r>
            <w:r w:rsidR="006C07E7" w:rsidRPr="00487350">
              <w:rPr>
                <w:rStyle w:val="Hyperlink"/>
                <w:u w:val="none"/>
              </w:rPr>
              <w:t xml:space="preserve"> </w:t>
            </w:r>
            <w:hyperlink r:id="rId39" w:history="1">
              <w:r w:rsidR="006C07E7" w:rsidRPr="00073574">
                <w:rPr>
                  <w:rStyle w:val="Hyperlink"/>
                  <w:lang w:eastAsia="zh-CN"/>
                </w:rPr>
                <w:t>942</w:t>
              </w:r>
            </w:hyperlink>
            <w:r w:rsidR="003139B6" w:rsidRPr="00487350">
              <w:rPr>
                <w:rStyle w:val="Hyperlink"/>
                <w:u w:val="none"/>
                <w:lang w:eastAsia="zh-CN"/>
              </w:rPr>
              <w:t>,</w:t>
            </w:r>
            <w:r w:rsidR="003139B6" w:rsidRPr="00487350">
              <w:rPr>
                <w:rStyle w:val="Hyperlink"/>
                <w:u w:val="none"/>
              </w:rPr>
              <w:t xml:space="preserve"> </w:t>
            </w:r>
            <w:hyperlink r:id="rId40" w:history="1">
              <w:r w:rsidR="003139B6" w:rsidRPr="00073574">
                <w:rPr>
                  <w:rStyle w:val="Hyperlink"/>
                  <w:lang w:eastAsia="zh-CN"/>
                </w:rPr>
                <w:t>1039</w:t>
              </w:r>
            </w:hyperlink>
            <w:r w:rsidR="003B1132" w:rsidRPr="00073574">
              <w:rPr>
                <w:rStyle w:val="Hyperlink"/>
                <w:lang w:eastAsia="zh-CN"/>
              </w:rPr>
              <w:t>,</w:t>
            </w:r>
            <w:r w:rsidR="003B1132" w:rsidRPr="00073574">
              <w:rPr>
                <w:rStyle w:val="Hyperlink"/>
              </w:rPr>
              <w:t xml:space="preserve"> </w:t>
            </w:r>
            <w:hyperlink r:id="rId41" w:history="1">
              <w:r w:rsidR="00AF368C" w:rsidRPr="00073574">
                <w:rPr>
                  <w:rStyle w:val="Hyperlink"/>
                </w:rPr>
                <w:t>1193</w:t>
              </w:r>
            </w:hyperlink>
            <w:r w:rsidRPr="00073574">
              <w:t>).</w:t>
            </w:r>
          </w:p>
          <w:p w14:paraId="306B27EF" w14:textId="3FE88120" w:rsidR="00F0236A" w:rsidRPr="00073574" w:rsidRDefault="00F0236A" w:rsidP="002E241A">
            <w:pPr>
              <w:pStyle w:val="ListParagraph"/>
              <w:numPr>
                <w:ilvl w:val="0"/>
                <w:numId w:val="55"/>
              </w:numPr>
              <w:ind w:left="357" w:hanging="357"/>
              <w:contextualSpacing w:val="0"/>
              <w:rPr>
                <w:b/>
              </w:rPr>
            </w:pPr>
            <w:r w:rsidRPr="00073574">
              <w:rPr>
                <w:b/>
                <w:bCs/>
              </w:rPr>
              <w:t>SG3 (three LSG roles):</w:t>
            </w:r>
            <w:r w:rsidRPr="00073574">
              <w:br/>
            </w:r>
            <w:r w:rsidR="00CD4F96" w:rsidRPr="00073574">
              <w:t>SG3 sent its LSG report</w:t>
            </w:r>
            <w:r w:rsidR="00C14253" w:rsidRPr="00073574">
              <w:t>s</w:t>
            </w:r>
            <w:r w:rsidR="00CD4F96" w:rsidRPr="00073574">
              <w:t xml:space="preserve"> to TSAG</w:t>
            </w:r>
            <w:r w:rsidR="00BA0B92" w:rsidRPr="00073574">
              <w:t xml:space="preserve"> </w:t>
            </w:r>
            <w:r w:rsidRPr="00073574">
              <w:t>(</w:t>
            </w:r>
            <w:r w:rsidR="00C14253" w:rsidRPr="00073574">
              <w:t xml:space="preserve">TSAG TDs </w:t>
            </w:r>
            <w:hyperlink r:id="rId42">
              <w:r w:rsidRPr="00073574">
                <w:rPr>
                  <w:rStyle w:val="Hyperlink"/>
                </w:rPr>
                <w:t>148</w:t>
              </w:r>
            </w:hyperlink>
            <w:r w:rsidR="00FD3D6D" w:rsidRPr="00073574">
              <w:rPr>
                <w:rStyle w:val="Hyperlink"/>
                <w:color w:val="auto"/>
                <w:u w:val="none"/>
              </w:rPr>
              <w:t xml:space="preserve">, </w:t>
            </w:r>
            <w:hyperlink r:id="rId43">
              <w:r w:rsidR="00FD3D6D" w:rsidRPr="00073574">
                <w:rPr>
                  <w:rStyle w:val="Hyperlink"/>
                </w:rPr>
                <w:t>301</w:t>
              </w:r>
            </w:hyperlink>
            <w:r w:rsidR="003B5802" w:rsidRPr="00073574">
              <w:rPr>
                <w:rStyle w:val="Hyperlink"/>
                <w:color w:val="auto"/>
                <w:u w:val="none"/>
              </w:rPr>
              <w:t xml:space="preserve">, </w:t>
            </w:r>
            <w:hyperlink r:id="rId44">
              <w:r w:rsidR="003B5802" w:rsidRPr="00073574">
                <w:rPr>
                  <w:rStyle w:val="Hyperlink"/>
                  <w:lang w:eastAsia="zh-CN"/>
                </w:rPr>
                <w:t>478</w:t>
              </w:r>
            </w:hyperlink>
            <w:r w:rsidR="00BC5FE8" w:rsidRPr="00073574">
              <w:rPr>
                <w:rStyle w:val="Hyperlink"/>
                <w:color w:val="auto"/>
                <w:u w:val="none"/>
                <w:lang w:eastAsia="zh-CN"/>
              </w:rPr>
              <w:t>,</w:t>
            </w:r>
            <w:r w:rsidR="00BC5FE8" w:rsidRPr="00073574">
              <w:rPr>
                <w:rStyle w:val="Hyperlink"/>
                <w:u w:val="none"/>
              </w:rPr>
              <w:t xml:space="preserve"> </w:t>
            </w:r>
            <w:hyperlink r:id="rId45">
              <w:r w:rsidR="00BC5FE8" w:rsidRPr="00073574">
                <w:rPr>
                  <w:rStyle w:val="Hyperlink"/>
                  <w:lang w:eastAsia="zh-CN"/>
                </w:rPr>
                <w:t>798</w:t>
              </w:r>
            </w:hyperlink>
            <w:r w:rsidR="003139B6" w:rsidRPr="00073574">
              <w:rPr>
                <w:rStyle w:val="Hyperlink"/>
                <w:color w:val="auto"/>
                <w:u w:val="none"/>
                <w:lang w:eastAsia="zh-CN"/>
              </w:rPr>
              <w:t xml:space="preserve">, </w:t>
            </w:r>
            <w:hyperlink r:id="rId46" w:history="1">
              <w:r w:rsidR="003139B6" w:rsidRPr="00073574">
                <w:rPr>
                  <w:rStyle w:val="Hyperlink"/>
                  <w:lang w:eastAsia="zh-CN"/>
                </w:rPr>
                <w:t>1040</w:t>
              </w:r>
            </w:hyperlink>
            <w:r w:rsidR="002071A1" w:rsidRPr="00487350">
              <w:rPr>
                <w:rStyle w:val="Hyperlink"/>
                <w:u w:val="none"/>
                <w:lang w:eastAsia="zh-CN"/>
              </w:rPr>
              <w:t>,</w:t>
            </w:r>
            <w:r w:rsidR="002071A1" w:rsidRPr="00487350">
              <w:rPr>
                <w:rStyle w:val="Hyperlink"/>
                <w:u w:val="none"/>
              </w:rPr>
              <w:t xml:space="preserve"> </w:t>
            </w:r>
            <w:hyperlink r:id="rId47" w:history="1">
              <w:r w:rsidR="002071A1" w:rsidRPr="00073574">
                <w:rPr>
                  <w:rStyle w:val="Hyperlink"/>
                  <w:szCs w:val="22"/>
                  <w:lang w:eastAsia="zh-CN"/>
                </w:rPr>
                <w:t>1194</w:t>
              </w:r>
            </w:hyperlink>
            <w:r w:rsidRPr="00073574">
              <w:t>).</w:t>
            </w:r>
          </w:p>
          <w:p w14:paraId="19E7D225" w14:textId="217CD9CB" w:rsidR="00F0236A" w:rsidRPr="00073574" w:rsidRDefault="00F0236A" w:rsidP="002E241A">
            <w:pPr>
              <w:pStyle w:val="ListParagraph"/>
              <w:numPr>
                <w:ilvl w:val="0"/>
                <w:numId w:val="55"/>
              </w:numPr>
              <w:ind w:left="357" w:hanging="357"/>
              <w:contextualSpacing w:val="0"/>
            </w:pPr>
            <w:r w:rsidRPr="00073574">
              <w:rPr>
                <w:b/>
                <w:bCs/>
              </w:rPr>
              <w:t>SG5 (three LSG roles):</w:t>
            </w:r>
            <w:r w:rsidRPr="00073574">
              <w:br/>
            </w:r>
            <w:r w:rsidR="43BC37D9" w:rsidRPr="00073574">
              <w:t>S</w:t>
            </w:r>
            <w:r w:rsidR="616CC0FB" w:rsidRPr="00073574">
              <w:t>G</w:t>
            </w:r>
            <w:r w:rsidR="43BC37D9" w:rsidRPr="00073574">
              <w:t>5 sent its LSG report</w:t>
            </w:r>
            <w:r w:rsidR="6203543E" w:rsidRPr="00073574">
              <w:t>s</w:t>
            </w:r>
            <w:r w:rsidR="43BC37D9" w:rsidRPr="00073574">
              <w:t xml:space="preserve"> to TSAG (</w:t>
            </w:r>
            <w:r w:rsidR="0E2DB7C8" w:rsidRPr="00073574">
              <w:t xml:space="preserve">ref. TSAG-TDs </w:t>
            </w:r>
            <w:hyperlink r:id="rId48">
              <w:r w:rsidR="43BC37D9" w:rsidRPr="00073574">
                <w:rPr>
                  <w:rStyle w:val="Hyperlink"/>
                  <w:rFonts w:asciiTheme="majorBidi" w:hAnsiTheme="majorBidi" w:cstheme="majorBidi"/>
                </w:rPr>
                <w:t>149</w:t>
              </w:r>
            </w:hyperlink>
            <w:r w:rsidR="6203543E" w:rsidRPr="00073574">
              <w:rPr>
                <w:rStyle w:val="Hyperlink"/>
                <w:rFonts w:asciiTheme="majorBidi" w:hAnsiTheme="majorBidi" w:cstheme="majorBidi"/>
                <w:u w:val="none"/>
              </w:rPr>
              <w:t>,</w:t>
            </w:r>
            <w:r w:rsidR="0E2DB7C8" w:rsidRPr="00073574">
              <w:rPr>
                <w:rStyle w:val="Hyperlink"/>
                <w:rFonts w:asciiTheme="majorBidi" w:hAnsiTheme="majorBidi" w:cstheme="majorBidi"/>
                <w:u w:val="none"/>
              </w:rPr>
              <w:t xml:space="preserve"> </w:t>
            </w:r>
            <w:hyperlink r:id="rId49">
              <w:r w:rsidR="0E2DB7C8" w:rsidRPr="00073574">
                <w:rPr>
                  <w:rStyle w:val="Hyperlink"/>
                  <w:rFonts w:asciiTheme="majorBidi" w:hAnsiTheme="majorBidi" w:cstheme="majorBidi"/>
                </w:rPr>
                <w:t>302</w:t>
              </w:r>
            </w:hyperlink>
            <w:r w:rsidR="74A83AFE" w:rsidRPr="00487350">
              <w:rPr>
                <w:rStyle w:val="Hyperlink"/>
                <w:rFonts w:asciiTheme="majorBidi" w:hAnsiTheme="majorBidi" w:cstheme="majorBidi"/>
                <w:u w:val="none"/>
              </w:rPr>
              <w:t xml:space="preserve">, </w:t>
            </w:r>
            <w:hyperlink r:id="rId50">
              <w:r w:rsidR="74A83AFE" w:rsidRPr="00073574">
                <w:rPr>
                  <w:rStyle w:val="Hyperlink"/>
                  <w:lang w:eastAsia="zh-CN"/>
                </w:rPr>
                <w:t>479</w:t>
              </w:r>
            </w:hyperlink>
            <w:r w:rsidR="16DDC217" w:rsidRPr="00487350">
              <w:rPr>
                <w:rStyle w:val="Hyperlink"/>
                <w:u w:val="none"/>
                <w:lang w:eastAsia="zh-CN"/>
              </w:rPr>
              <w:t xml:space="preserve">, </w:t>
            </w:r>
            <w:hyperlink r:id="rId51">
              <w:r w:rsidR="16DDC217" w:rsidRPr="00073574">
                <w:rPr>
                  <w:rStyle w:val="Hyperlink"/>
                  <w:lang w:eastAsia="zh-CN"/>
                </w:rPr>
                <w:t>666</w:t>
              </w:r>
            </w:hyperlink>
            <w:r w:rsidR="4A87C91C" w:rsidRPr="00073574">
              <w:rPr>
                <w:rStyle w:val="Hyperlink"/>
                <w:u w:val="none"/>
                <w:lang w:eastAsia="zh-CN"/>
              </w:rPr>
              <w:t>,</w:t>
            </w:r>
            <w:r w:rsidR="4A87C91C" w:rsidRPr="00073574">
              <w:rPr>
                <w:rStyle w:val="Hyperlink"/>
                <w:u w:val="none"/>
              </w:rPr>
              <w:t xml:space="preserve"> </w:t>
            </w:r>
            <w:hyperlink r:id="rId52">
              <w:r w:rsidR="4A87C91C" w:rsidRPr="00073574">
                <w:rPr>
                  <w:rStyle w:val="Hyperlink"/>
                  <w:lang w:eastAsia="zh-CN"/>
                </w:rPr>
                <w:t>799</w:t>
              </w:r>
            </w:hyperlink>
            <w:r w:rsidR="006C07E7" w:rsidRPr="00487350">
              <w:rPr>
                <w:rStyle w:val="Hyperlink"/>
                <w:u w:val="none"/>
                <w:lang w:eastAsia="zh-CN"/>
              </w:rPr>
              <w:t xml:space="preserve">, </w:t>
            </w:r>
            <w:hyperlink r:id="rId53" w:history="1">
              <w:r w:rsidR="006C07E7" w:rsidRPr="00073574">
                <w:rPr>
                  <w:rStyle w:val="Hyperlink"/>
                  <w:lang w:eastAsia="zh-CN"/>
                </w:rPr>
                <w:t>943</w:t>
              </w:r>
            </w:hyperlink>
            <w:r w:rsidR="003139B6" w:rsidRPr="00487350">
              <w:rPr>
                <w:rStyle w:val="Hyperlink"/>
                <w:u w:val="none"/>
                <w:lang w:eastAsia="zh-CN"/>
              </w:rPr>
              <w:t xml:space="preserve">, </w:t>
            </w:r>
            <w:hyperlink r:id="rId54" w:history="1">
              <w:r w:rsidR="003139B6" w:rsidRPr="00073574">
                <w:rPr>
                  <w:rStyle w:val="Hyperlink"/>
                  <w:lang w:eastAsia="zh-CN"/>
                </w:rPr>
                <w:t>1041</w:t>
              </w:r>
            </w:hyperlink>
            <w:r w:rsidR="00D840A3" w:rsidRPr="00073574">
              <w:rPr>
                <w:rStyle w:val="Hyperlink"/>
                <w:lang w:eastAsia="zh-CN"/>
              </w:rPr>
              <w:t xml:space="preserve">, </w:t>
            </w:r>
            <w:hyperlink r:id="rId55" w:history="1">
              <w:r w:rsidR="00D840A3" w:rsidRPr="00073574">
                <w:rPr>
                  <w:rStyle w:val="Hyperlink"/>
                  <w:szCs w:val="22"/>
                  <w:lang w:eastAsia="zh-CN"/>
                </w:rPr>
                <w:t>1195</w:t>
              </w:r>
            </w:hyperlink>
            <w:r w:rsidR="43BC37D9" w:rsidRPr="00073574">
              <w:t>).</w:t>
            </w:r>
          </w:p>
          <w:p w14:paraId="78321EBB" w14:textId="5E56D958" w:rsidR="00F0236A" w:rsidRPr="00073574" w:rsidRDefault="00F0236A" w:rsidP="002E241A">
            <w:pPr>
              <w:pStyle w:val="ListParagraph"/>
              <w:numPr>
                <w:ilvl w:val="0"/>
                <w:numId w:val="55"/>
              </w:numPr>
              <w:ind w:left="357" w:hanging="357"/>
              <w:contextualSpacing w:val="0"/>
            </w:pPr>
            <w:r w:rsidRPr="00073574">
              <w:rPr>
                <w:b/>
                <w:bCs/>
              </w:rPr>
              <w:t>SG9 (one LSG role):</w:t>
            </w:r>
            <w:r w:rsidRPr="00073574">
              <w:br/>
            </w:r>
            <w:r w:rsidR="00882FF0" w:rsidRPr="00073574">
              <w:t>SG9 sent its LSG report</w:t>
            </w:r>
            <w:r w:rsidR="00C14253" w:rsidRPr="00073574">
              <w:t>s</w:t>
            </w:r>
            <w:r w:rsidR="00882FF0" w:rsidRPr="00073574">
              <w:t xml:space="preserve"> to TSAG (</w:t>
            </w:r>
            <w:r w:rsidR="00C14253" w:rsidRPr="00073574">
              <w:t xml:space="preserve">TSAG TDs </w:t>
            </w:r>
            <w:hyperlink r:id="rId56">
              <w:r w:rsidR="00882FF0" w:rsidRPr="00073574">
                <w:rPr>
                  <w:rStyle w:val="Hyperlink"/>
                  <w:rFonts w:asciiTheme="majorBidi" w:hAnsiTheme="majorBidi" w:cstheme="majorBidi"/>
                </w:rPr>
                <w:t>150</w:t>
              </w:r>
            </w:hyperlink>
            <w:r w:rsidR="00FD3D6D" w:rsidRPr="00487350">
              <w:rPr>
                <w:rStyle w:val="Hyperlink"/>
                <w:rFonts w:asciiTheme="majorBidi" w:hAnsiTheme="majorBidi" w:cstheme="majorBidi"/>
                <w:u w:val="none"/>
              </w:rPr>
              <w:t xml:space="preserve">, </w:t>
            </w:r>
            <w:hyperlink r:id="rId57">
              <w:r w:rsidR="00FD3D6D" w:rsidRPr="00073574">
                <w:rPr>
                  <w:rStyle w:val="Hyperlink"/>
                </w:rPr>
                <w:t>303</w:t>
              </w:r>
            </w:hyperlink>
            <w:r w:rsidR="00670FC5" w:rsidRPr="00487350">
              <w:rPr>
                <w:rStyle w:val="Hyperlink"/>
                <w:u w:val="none"/>
              </w:rPr>
              <w:t xml:space="preserve">, </w:t>
            </w:r>
            <w:hyperlink r:id="rId58">
              <w:r w:rsidR="00670FC5" w:rsidRPr="00073574">
                <w:rPr>
                  <w:rStyle w:val="Hyperlink"/>
                  <w:lang w:eastAsia="zh-CN"/>
                </w:rPr>
                <w:t>480</w:t>
              </w:r>
            </w:hyperlink>
            <w:r w:rsidR="00487B71" w:rsidRPr="00487350">
              <w:rPr>
                <w:rStyle w:val="Hyperlink"/>
                <w:u w:val="none"/>
                <w:lang w:eastAsia="zh-CN"/>
              </w:rPr>
              <w:t xml:space="preserve">, </w:t>
            </w:r>
            <w:hyperlink r:id="rId59">
              <w:r w:rsidR="00487B71" w:rsidRPr="00073574">
                <w:rPr>
                  <w:rStyle w:val="Hyperlink"/>
                </w:rPr>
                <w:t>719</w:t>
              </w:r>
            </w:hyperlink>
            <w:r w:rsidR="009C2E71" w:rsidRPr="00073574">
              <w:rPr>
                <w:rStyle w:val="Hyperlink"/>
                <w:u w:val="none"/>
              </w:rPr>
              <w:t xml:space="preserve">, </w:t>
            </w:r>
            <w:hyperlink r:id="rId60">
              <w:r w:rsidR="009C2E71" w:rsidRPr="00073574">
                <w:rPr>
                  <w:rStyle w:val="Hyperlink"/>
                </w:rPr>
                <w:t>800</w:t>
              </w:r>
            </w:hyperlink>
            <w:r w:rsidR="008F5AA4" w:rsidRPr="00487350">
              <w:rPr>
                <w:rStyle w:val="Hyperlink"/>
                <w:u w:val="none"/>
              </w:rPr>
              <w:t xml:space="preserve">, </w:t>
            </w:r>
            <w:hyperlink r:id="rId61" w:history="1">
              <w:r w:rsidR="008F5AA4" w:rsidRPr="00073574">
                <w:rPr>
                  <w:rStyle w:val="Hyperlink"/>
                </w:rPr>
                <w:t>923</w:t>
              </w:r>
            </w:hyperlink>
            <w:r w:rsidR="003139B6" w:rsidRPr="00487350">
              <w:rPr>
                <w:rStyle w:val="Hyperlink"/>
                <w:u w:val="none"/>
              </w:rPr>
              <w:t xml:space="preserve">, </w:t>
            </w:r>
            <w:hyperlink r:id="rId62" w:history="1">
              <w:r w:rsidR="003139B6" w:rsidRPr="00073574">
                <w:rPr>
                  <w:rStyle w:val="Hyperlink"/>
                  <w:lang w:eastAsia="zh-CN"/>
                </w:rPr>
                <w:t>1042</w:t>
              </w:r>
            </w:hyperlink>
            <w:r w:rsidR="00B55837" w:rsidRPr="00487350">
              <w:rPr>
                <w:rStyle w:val="Hyperlink"/>
                <w:u w:val="none"/>
                <w:lang w:eastAsia="zh-CN"/>
              </w:rPr>
              <w:t xml:space="preserve">, </w:t>
            </w:r>
            <w:hyperlink r:id="rId63" w:history="1">
              <w:r w:rsidR="00B55837" w:rsidRPr="00073574">
                <w:rPr>
                  <w:rStyle w:val="Hyperlink"/>
                  <w:szCs w:val="22"/>
                  <w:lang w:eastAsia="zh-CN"/>
                </w:rPr>
                <w:t>1196</w:t>
              </w:r>
            </w:hyperlink>
            <w:r w:rsidR="00882FF0" w:rsidRPr="00073574">
              <w:t>).</w:t>
            </w:r>
          </w:p>
          <w:p w14:paraId="35D1ED7C" w14:textId="6D3EC952" w:rsidR="00F0236A" w:rsidRPr="00073574" w:rsidRDefault="00F0236A" w:rsidP="002E241A">
            <w:pPr>
              <w:pStyle w:val="ListParagraph"/>
              <w:numPr>
                <w:ilvl w:val="0"/>
                <w:numId w:val="55"/>
              </w:numPr>
              <w:ind w:left="357" w:hanging="357"/>
              <w:contextualSpacing w:val="0"/>
              <w:rPr>
                <w:b/>
              </w:rPr>
            </w:pPr>
            <w:r w:rsidRPr="00073574">
              <w:rPr>
                <w:b/>
                <w:bCs/>
              </w:rPr>
              <w:t>SG11 (four LSG roles):</w:t>
            </w:r>
            <w:r w:rsidRPr="00073574">
              <w:br/>
              <w:t>LSG report</w:t>
            </w:r>
            <w:r w:rsidR="00C03609" w:rsidRPr="00073574">
              <w:t>s</w:t>
            </w:r>
            <w:r w:rsidRPr="00073574">
              <w:t xml:space="preserve"> (</w:t>
            </w:r>
            <w:r w:rsidR="00C14253" w:rsidRPr="00073574">
              <w:t xml:space="preserve">TSAG TDs </w:t>
            </w:r>
            <w:hyperlink r:id="rId64">
              <w:r w:rsidRPr="00073574">
                <w:rPr>
                  <w:rStyle w:val="Hyperlink"/>
                </w:rPr>
                <w:t>60</w:t>
              </w:r>
            </w:hyperlink>
            <w:r w:rsidRPr="00073574">
              <w:t xml:space="preserve">, </w:t>
            </w:r>
            <w:hyperlink r:id="rId65">
              <w:r w:rsidRPr="00073574">
                <w:rPr>
                  <w:rStyle w:val="Hyperlink"/>
                </w:rPr>
                <w:t>221</w:t>
              </w:r>
            </w:hyperlink>
            <w:r w:rsidR="003D2058" w:rsidRPr="00073574">
              <w:t xml:space="preserve">, </w:t>
            </w:r>
            <w:hyperlink r:id="rId66">
              <w:r w:rsidR="003D2058" w:rsidRPr="00073574">
                <w:rPr>
                  <w:rStyle w:val="Hyperlink"/>
                </w:rPr>
                <w:t>151</w:t>
              </w:r>
            </w:hyperlink>
            <w:r w:rsidR="00FD3D6D" w:rsidRPr="00487350">
              <w:rPr>
                <w:rStyle w:val="Hyperlink"/>
                <w:u w:val="none"/>
              </w:rPr>
              <w:t xml:space="preserve">, </w:t>
            </w:r>
            <w:hyperlink r:id="rId67">
              <w:r w:rsidR="00FD3D6D" w:rsidRPr="00073574">
                <w:rPr>
                  <w:rStyle w:val="Hyperlink"/>
                </w:rPr>
                <w:t>304</w:t>
              </w:r>
            </w:hyperlink>
            <w:r w:rsidR="00670FC5" w:rsidRPr="00487350">
              <w:rPr>
                <w:rStyle w:val="Hyperlink"/>
                <w:u w:val="none"/>
              </w:rPr>
              <w:t xml:space="preserve">, </w:t>
            </w:r>
            <w:hyperlink r:id="rId68">
              <w:r w:rsidR="00670FC5" w:rsidRPr="00073574">
                <w:rPr>
                  <w:rStyle w:val="Hyperlink"/>
                  <w:lang w:eastAsia="zh-CN"/>
                </w:rPr>
                <w:t>481</w:t>
              </w:r>
            </w:hyperlink>
            <w:r w:rsidR="005A7A03" w:rsidRPr="00487350">
              <w:rPr>
                <w:rStyle w:val="Hyperlink"/>
                <w:u w:val="none"/>
                <w:lang w:eastAsia="zh-CN"/>
              </w:rPr>
              <w:t xml:space="preserve">, </w:t>
            </w:r>
            <w:hyperlink r:id="rId69">
              <w:r w:rsidR="005A7A03" w:rsidRPr="00073574">
                <w:rPr>
                  <w:rStyle w:val="Hyperlink"/>
                  <w:lang w:eastAsia="zh-CN"/>
                </w:rPr>
                <w:t>667</w:t>
              </w:r>
            </w:hyperlink>
            <w:r w:rsidR="009C2E71" w:rsidRPr="00073574">
              <w:rPr>
                <w:rStyle w:val="Hyperlink"/>
                <w:u w:val="none"/>
                <w:lang w:eastAsia="zh-CN"/>
              </w:rPr>
              <w:t>,</w:t>
            </w:r>
            <w:r w:rsidR="009C2E71" w:rsidRPr="00073574">
              <w:rPr>
                <w:rStyle w:val="Hyperlink"/>
                <w:u w:val="none"/>
              </w:rPr>
              <w:t xml:space="preserve"> </w:t>
            </w:r>
            <w:hyperlink r:id="rId70">
              <w:r w:rsidR="009C2E71" w:rsidRPr="00073574">
                <w:rPr>
                  <w:rStyle w:val="Hyperlink"/>
                  <w:lang w:eastAsia="zh-CN"/>
                </w:rPr>
                <w:t>801</w:t>
              </w:r>
            </w:hyperlink>
            <w:r w:rsidR="006C07E7" w:rsidRPr="00487350">
              <w:rPr>
                <w:rStyle w:val="Hyperlink"/>
                <w:u w:val="none"/>
                <w:lang w:eastAsia="zh-CN"/>
              </w:rPr>
              <w:t xml:space="preserve">, </w:t>
            </w:r>
            <w:hyperlink r:id="rId71" w:history="1">
              <w:r w:rsidR="006C07E7" w:rsidRPr="00073574">
                <w:rPr>
                  <w:rStyle w:val="Hyperlink"/>
                  <w:lang w:eastAsia="zh-CN"/>
                </w:rPr>
                <w:t>944</w:t>
              </w:r>
            </w:hyperlink>
            <w:r w:rsidR="003139B6" w:rsidRPr="00487350">
              <w:rPr>
                <w:rStyle w:val="Hyperlink"/>
                <w:u w:val="none"/>
                <w:lang w:eastAsia="zh-CN"/>
              </w:rPr>
              <w:t xml:space="preserve">, </w:t>
            </w:r>
            <w:hyperlink r:id="rId72" w:history="1">
              <w:r w:rsidR="003139B6" w:rsidRPr="00073574">
                <w:rPr>
                  <w:rStyle w:val="Hyperlink"/>
                  <w:lang w:eastAsia="zh-CN"/>
                </w:rPr>
                <w:t>1043</w:t>
              </w:r>
            </w:hyperlink>
            <w:r w:rsidR="00F36303" w:rsidRPr="00487350">
              <w:rPr>
                <w:rStyle w:val="Hyperlink"/>
                <w:u w:val="none"/>
                <w:lang w:eastAsia="zh-CN"/>
              </w:rPr>
              <w:t xml:space="preserve">, </w:t>
            </w:r>
            <w:hyperlink r:id="rId73" w:history="1">
              <w:r w:rsidR="00F36303" w:rsidRPr="00073574">
                <w:rPr>
                  <w:rStyle w:val="Hyperlink"/>
                  <w:szCs w:val="22"/>
                  <w:lang w:eastAsia="zh-CN"/>
                </w:rPr>
                <w:t>1197</w:t>
              </w:r>
            </w:hyperlink>
            <w:r w:rsidRPr="00073574">
              <w:t>) w</w:t>
            </w:r>
            <w:r w:rsidR="00C03609" w:rsidRPr="00073574">
              <w:t>ere</w:t>
            </w:r>
            <w:r w:rsidRPr="00073574">
              <w:t xml:space="preserve"> sent to TSAG.</w:t>
            </w:r>
          </w:p>
          <w:p w14:paraId="51908A22" w14:textId="6A93B32B" w:rsidR="00F0236A" w:rsidRPr="00073574" w:rsidRDefault="00F0236A" w:rsidP="002E241A">
            <w:pPr>
              <w:pStyle w:val="ListParagraph"/>
              <w:numPr>
                <w:ilvl w:val="0"/>
                <w:numId w:val="55"/>
              </w:numPr>
              <w:ind w:left="357" w:hanging="357"/>
              <w:contextualSpacing w:val="0"/>
              <w:rPr>
                <w:b/>
              </w:rPr>
            </w:pPr>
            <w:r w:rsidRPr="00073574">
              <w:rPr>
                <w:b/>
                <w:bCs/>
              </w:rPr>
              <w:t>SG12 (three LSG roles):</w:t>
            </w:r>
            <w:r w:rsidRPr="00073574">
              <w:br/>
              <w:t>SG12 sent its LSG report</w:t>
            </w:r>
            <w:r w:rsidR="00C14253" w:rsidRPr="00073574">
              <w:t>s</w:t>
            </w:r>
            <w:r w:rsidRPr="00073574">
              <w:t xml:space="preserve"> to TSAG (</w:t>
            </w:r>
            <w:r w:rsidR="00C14253" w:rsidRPr="00073574">
              <w:t xml:space="preserve">TSAG TDs </w:t>
            </w:r>
            <w:hyperlink r:id="rId74">
              <w:r w:rsidRPr="00073574">
                <w:rPr>
                  <w:rStyle w:val="Hyperlink"/>
                  <w:rFonts w:asciiTheme="majorBidi" w:hAnsiTheme="majorBidi" w:cstheme="majorBidi"/>
                </w:rPr>
                <w:t>35</w:t>
              </w:r>
            </w:hyperlink>
            <w:r w:rsidRPr="00487350">
              <w:rPr>
                <w:rStyle w:val="Hyperlink"/>
                <w:rFonts w:asciiTheme="majorBidi" w:hAnsiTheme="majorBidi" w:cstheme="majorBidi"/>
                <w:u w:val="none"/>
              </w:rPr>
              <w:t xml:space="preserve">, </w:t>
            </w:r>
            <w:r w:rsidRPr="00073574">
              <w:rPr>
                <w:rStyle w:val="Hyperlink"/>
                <w:rFonts w:asciiTheme="majorBidi" w:hAnsiTheme="majorBidi" w:cstheme="majorBidi"/>
              </w:rPr>
              <w:t>152</w:t>
            </w:r>
            <w:r w:rsidR="00FD3D6D" w:rsidRPr="00487350">
              <w:rPr>
                <w:rStyle w:val="Hyperlink"/>
                <w:rFonts w:asciiTheme="majorBidi" w:hAnsiTheme="majorBidi" w:cstheme="majorBidi"/>
                <w:u w:val="none"/>
              </w:rPr>
              <w:t xml:space="preserve">, </w:t>
            </w:r>
            <w:hyperlink r:id="rId75">
              <w:r w:rsidR="00FD3D6D" w:rsidRPr="00073574">
                <w:rPr>
                  <w:rStyle w:val="Hyperlink"/>
                </w:rPr>
                <w:t>305</w:t>
              </w:r>
            </w:hyperlink>
            <w:r w:rsidR="00670FC5" w:rsidRPr="00073574">
              <w:rPr>
                <w:rStyle w:val="Hyperlink"/>
              </w:rPr>
              <w:t>,</w:t>
            </w:r>
            <w:r w:rsidR="00670FC5" w:rsidRPr="00073574">
              <w:t xml:space="preserve"> </w:t>
            </w:r>
            <w:hyperlink r:id="rId76">
              <w:r w:rsidR="00670FC5" w:rsidRPr="00073574">
                <w:rPr>
                  <w:rStyle w:val="Hyperlink"/>
                  <w:lang w:eastAsia="zh-CN"/>
                </w:rPr>
                <w:t>482</w:t>
              </w:r>
            </w:hyperlink>
            <w:r w:rsidR="005A7A03" w:rsidRPr="00487350">
              <w:rPr>
                <w:rStyle w:val="Hyperlink"/>
                <w:u w:val="none"/>
                <w:lang w:eastAsia="zh-CN"/>
              </w:rPr>
              <w:t xml:space="preserve">, </w:t>
            </w:r>
            <w:hyperlink r:id="rId77">
              <w:r w:rsidR="005A7A03" w:rsidRPr="00073574">
                <w:rPr>
                  <w:rStyle w:val="Hyperlink"/>
                  <w:lang w:eastAsia="zh-CN"/>
                </w:rPr>
                <w:t>668</w:t>
              </w:r>
            </w:hyperlink>
            <w:r w:rsidR="009C2E71" w:rsidRPr="00073574">
              <w:rPr>
                <w:rStyle w:val="Hyperlink"/>
                <w:u w:val="none"/>
                <w:lang w:eastAsia="zh-CN"/>
              </w:rPr>
              <w:t>,</w:t>
            </w:r>
            <w:r w:rsidR="009C2E71" w:rsidRPr="00073574">
              <w:rPr>
                <w:rStyle w:val="Hyperlink"/>
                <w:u w:val="none"/>
              </w:rPr>
              <w:t xml:space="preserve"> </w:t>
            </w:r>
            <w:hyperlink r:id="rId78">
              <w:r w:rsidR="009C2E71" w:rsidRPr="00073574">
                <w:rPr>
                  <w:rStyle w:val="Hyperlink"/>
                </w:rPr>
                <w:t>802</w:t>
              </w:r>
            </w:hyperlink>
            <w:r w:rsidR="00B44354" w:rsidRPr="00487350">
              <w:rPr>
                <w:rStyle w:val="Hyperlink"/>
                <w:u w:val="none"/>
              </w:rPr>
              <w:t xml:space="preserve">, </w:t>
            </w:r>
            <w:hyperlink r:id="rId79" w:history="1">
              <w:r w:rsidR="00B44354" w:rsidRPr="00073574">
                <w:rPr>
                  <w:rStyle w:val="Hyperlink"/>
                  <w:lang w:eastAsia="zh-CN"/>
                </w:rPr>
                <w:t>945</w:t>
              </w:r>
            </w:hyperlink>
            <w:r w:rsidR="003139B6" w:rsidRPr="00487350">
              <w:rPr>
                <w:rStyle w:val="Hyperlink"/>
                <w:u w:val="none"/>
                <w:lang w:eastAsia="zh-CN"/>
              </w:rPr>
              <w:t xml:space="preserve">, </w:t>
            </w:r>
            <w:hyperlink r:id="rId80" w:history="1">
              <w:r w:rsidR="003139B6" w:rsidRPr="00073574">
                <w:rPr>
                  <w:rStyle w:val="Hyperlink"/>
                  <w:lang w:eastAsia="zh-CN"/>
                </w:rPr>
                <w:t>1044</w:t>
              </w:r>
            </w:hyperlink>
            <w:r w:rsidRPr="00073574">
              <w:rPr>
                <w:rStyle w:val="Hyperlink"/>
                <w:rFonts w:asciiTheme="majorBidi" w:hAnsiTheme="majorBidi" w:cstheme="majorBidi"/>
              </w:rPr>
              <w:t>).</w:t>
            </w:r>
          </w:p>
          <w:p w14:paraId="31101D42" w14:textId="5857B65B" w:rsidR="00F0236A" w:rsidRPr="00073574" w:rsidRDefault="00F0236A" w:rsidP="002E241A">
            <w:pPr>
              <w:pStyle w:val="ListParagraph"/>
              <w:numPr>
                <w:ilvl w:val="0"/>
                <w:numId w:val="55"/>
              </w:numPr>
              <w:ind w:left="357" w:hanging="357"/>
              <w:contextualSpacing w:val="0"/>
              <w:rPr>
                <w:rFonts w:asciiTheme="majorBidi" w:hAnsiTheme="majorBidi" w:cstheme="majorBidi"/>
              </w:rPr>
            </w:pPr>
            <w:r w:rsidRPr="00073574">
              <w:rPr>
                <w:b/>
              </w:rPr>
              <w:t>SG13 (four LSG roles):</w:t>
            </w:r>
            <w:r w:rsidR="00854BBA" w:rsidRPr="00073574">
              <w:br/>
            </w:r>
            <w:r w:rsidRPr="00073574">
              <w:t>SG13 sent its LSG report</w:t>
            </w:r>
            <w:r w:rsidR="00C14253" w:rsidRPr="00073574">
              <w:t>s</w:t>
            </w:r>
            <w:r w:rsidRPr="00073574">
              <w:t xml:space="preserve"> to TSAG (ref.</w:t>
            </w:r>
            <w:r w:rsidR="00C14253" w:rsidRPr="00073574">
              <w:t xml:space="preserve"> TSAG-TDs</w:t>
            </w:r>
            <w:r w:rsidRPr="00073574">
              <w:t xml:space="preserve"> </w:t>
            </w:r>
            <w:hyperlink r:id="rId81">
              <w:r w:rsidRPr="00073574">
                <w:rPr>
                  <w:rStyle w:val="Hyperlink"/>
                </w:rPr>
                <w:t>52</w:t>
              </w:r>
            </w:hyperlink>
            <w:r w:rsidR="00CD705C" w:rsidRPr="00487350">
              <w:rPr>
                <w:rStyle w:val="Hyperlink"/>
                <w:u w:val="none"/>
              </w:rPr>
              <w:t xml:space="preserve">, </w:t>
            </w:r>
            <w:hyperlink r:id="rId82">
              <w:r w:rsidR="001F5029" w:rsidRPr="00073574">
                <w:rPr>
                  <w:rStyle w:val="Hyperlink"/>
                </w:rPr>
                <w:t>155</w:t>
              </w:r>
            </w:hyperlink>
            <w:r w:rsidR="001F5029" w:rsidRPr="00487350">
              <w:rPr>
                <w:rStyle w:val="Hyperlink"/>
                <w:u w:val="none"/>
              </w:rPr>
              <w:t xml:space="preserve">, </w:t>
            </w:r>
            <w:r w:rsidR="00CD705C" w:rsidRPr="00073574">
              <w:rPr>
                <w:rStyle w:val="Hyperlink"/>
              </w:rPr>
              <w:t>232</w:t>
            </w:r>
            <w:r w:rsidR="00FD3D6D" w:rsidRPr="00487350">
              <w:rPr>
                <w:rStyle w:val="Hyperlink"/>
                <w:u w:val="none"/>
              </w:rPr>
              <w:t xml:space="preserve">, </w:t>
            </w:r>
            <w:hyperlink r:id="rId83">
              <w:r w:rsidR="00FD3D6D" w:rsidRPr="00073574">
                <w:rPr>
                  <w:rStyle w:val="Hyperlink"/>
                </w:rPr>
                <w:t>306</w:t>
              </w:r>
            </w:hyperlink>
            <w:r w:rsidR="00670FC5" w:rsidRPr="00487350">
              <w:rPr>
                <w:rStyle w:val="Hyperlink"/>
                <w:u w:val="none"/>
              </w:rPr>
              <w:t>,</w:t>
            </w:r>
            <w:r w:rsidR="00DF22E6" w:rsidRPr="00487350">
              <w:rPr>
                <w:rStyle w:val="Hyperlink"/>
                <w:u w:val="none"/>
              </w:rPr>
              <w:t xml:space="preserve"> </w:t>
            </w:r>
            <w:r w:rsidR="00DF22E6" w:rsidRPr="00073574">
              <w:rPr>
                <w:rStyle w:val="Hyperlink"/>
              </w:rPr>
              <w:t>354</w:t>
            </w:r>
            <w:r w:rsidR="00DF22E6" w:rsidRPr="00487350">
              <w:rPr>
                <w:rStyle w:val="Hyperlink"/>
                <w:u w:val="none"/>
              </w:rPr>
              <w:t xml:space="preserve">, </w:t>
            </w:r>
            <w:hyperlink r:id="rId84">
              <w:r w:rsidR="00670FC5" w:rsidRPr="00073574">
                <w:rPr>
                  <w:rStyle w:val="Hyperlink"/>
                  <w:lang w:eastAsia="zh-CN"/>
                </w:rPr>
                <w:t>508</w:t>
              </w:r>
            </w:hyperlink>
            <w:r w:rsidR="00DF22E6" w:rsidRPr="00487350">
              <w:rPr>
                <w:rStyle w:val="Hyperlink"/>
                <w:u w:val="none"/>
                <w:lang w:eastAsia="zh-CN"/>
              </w:rPr>
              <w:t xml:space="preserve">, </w:t>
            </w:r>
            <w:r w:rsidR="00DF22E6" w:rsidRPr="00073574">
              <w:rPr>
                <w:rStyle w:val="Hyperlink"/>
                <w:lang w:eastAsia="zh-CN"/>
              </w:rPr>
              <w:t>531</w:t>
            </w:r>
            <w:r w:rsidR="005A7A03" w:rsidRPr="00487350">
              <w:rPr>
                <w:rStyle w:val="Hyperlink"/>
                <w:u w:val="none"/>
                <w:lang w:eastAsia="zh-CN"/>
              </w:rPr>
              <w:t xml:space="preserve">, </w:t>
            </w:r>
            <w:hyperlink r:id="rId85">
              <w:r w:rsidR="005A7A03" w:rsidRPr="00073574">
                <w:rPr>
                  <w:rStyle w:val="Hyperlink"/>
                  <w:lang w:eastAsia="zh-CN"/>
                </w:rPr>
                <w:t>669</w:t>
              </w:r>
            </w:hyperlink>
            <w:r w:rsidR="009C2E71" w:rsidRPr="00073574">
              <w:rPr>
                <w:rStyle w:val="Hyperlink"/>
                <w:u w:val="none"/>
                <w:lang w:eastAsia="zh-CN"/>
              </w:rPr>
              <w:t>,</w:t>
            </w:r>
            <w:r w:rsidR="009C2E71" w:rsidRPr="00073574">
              <w:rPr>
                <w:rStyle w:val="Hyperlink"/>
                <w:u w:val="none"/>
              </w:rPr>
              <w:t xml:space="preserve"> </w:t>
            </w:r>
            <w:hyperlink r:id="rId86">
              <w:r w:rsidR="009C2E71" w:rsidRPr="00073574">
                <w:rPr>
                  <w:rStyle w:val="Hyperlink"/>
                  <w:lang w:eastAsia="zh-CN"/>
                </w:rPr>
                <w:t>803</w:t>
              </w:r>
            </w:hyperlink>
            <w:r w:rsidR="00B44354" w:rsidRPr="00487350">
              <w:rPr>
                <w:rStyle w:val="Hyperlink"/>
                <w:u w:val="none"/>
                <w:lang w:eastAsia="zh-CN"/>
              </w:rPr>
              <w:t xml:space="preserve">, </w:t>
            </w:r>
            <w:hyperlink r:id="rId87" w:history="1">
              <w:r w:rsidR="00B44354" w:rsidRPr="00073574">
                <w:rPr>
                  <w:rStyle w:val="Hyperlink"/>
                  <w:lang w:eastAsia="zh-CN"/>
                </w:rPr>
                <w:t>946</w:t>
              </w:r>
            </w:hyperlink>
            <w:r w:rsidR="003139B6" w:rsidRPr="00487350">
              <w:rPr>
                <w:rStyle w:val="Hyperlink"/>
                <w:u w:val="none"/>
                <w:lang w:eastAsia="zh-CN"/>
              </w:rPr>
              <w:t xml:space="preserve">, </w:t>
            </w:r>
            <w:hyperlink r:id="rId88" w:history="1">
              <w:r w:rsidR="003139B6" w:rsidRPr="00073574">
                <w:rPr>
                  <w:rStyle w:val="Hyperlink"/>
                  <w:lang w:eastAsia="zh-CN"/>
                </w:rPr>
                <w:t>1045</w:t>
              </w:r>
            </w:hyperlink>
            <w:r w:rsidR="003739E2" w:rsidRPr="00487350">
              <w:rPr>
                <w:rStyle w:val="Hyperlink"/>
                <w:u w:val="none"/>
                <w:lang w:eastAsia="zh-CN"/>
              </w:rPr>
              <w:t xml:space="preserve">, </w:t>
            </w:r>
            <w:hyperlink r:id="rId89" w:history="1">
              <w:r w:rsidR="003739E2" w:rsidRPr="00073574">
                <w:rPr>
                  <w:rStyle w:val="Hyperlink"/>
                  <w:szCs w:val="22"/>
                  <w:lang w:eastAsia="zh-CN"/>
                </w:rPr>
                <w:t>1198</w:t>
              </w:r>
            </w:hyperlink>
            <w:r w:rsidRPr="00073574">
              <w:t xml:space="preserve">). </w:t>
            </w:r>
            <w:r w:rsidR="009C2E71" w:rsidRPr="00073574">
              <w:t>A r</w:t>
            </w:r>
            <w:r w:rsidRPr="00073574">
              <w:rPr>
                <w:rFonts w:asciiTheme="majorBidi" w:hAnsiTheme="majorBidi" w:cstheme="majorBidi"/>
              </w:rPr>
              <w:t xml:space="preserve">eport </w:t>
            </w:r>
            <w:r w:rsidR="009C2E71" w:rsidRPr="00073574">
              <w:rPr>
                <w:rFonts w:asciiTheme="majorBidi" w:hAnsiTheme="majorBidi" w:cstheme="majorBidi"/>
              </w:rPr>
              <w:t xml:space="preserve">was </w:t>
            </w:r>
            <w:r w:rsidRPr="00073574">
              <w:rPr>
                <w:rFonts w:asciiTheme="majorBidi" w:hAnsiTheme="majorBidi" w:cstheme="majorBidi"/>
              </w:rPr>
              <w:t xml:space="preserve">sent on Big Data which contains a request for nomination of the lead SG for Big Data (ref. </w:t>
            </w:r>
            <w:hyperlink r:id="rId90">
              <w:r w:rsidR="00BA0B92" w:rsidRPr="00073574">
                <w:rPr>
                  <w:rStyle w:val="Strong"/>
                  <w:rFonts w:asciiTheme="majorBidi" w:hAnsiTheme="majorBidi" w:cstheme="majorBidi"/>
                  <w:b w:val="0"/>
                  <w:bCs w:val="0"/>
                  <w:color w:val="000066"/>
                  <w:u w:val="single"/>
                </w:rPr>
                <w:t>TSAG-</w:t>
              </w:r>
              <w:r w:rsidR="00112C75" w:rsidRPr="00073574">
                <w:rPr>
                  <w:rStyle w:val="Strong"/>
                  <w:rFonts w:asciiTheme="majorBidi" w:hAnsiTheme="majorBidi" w:cstheme="majorBidi"/>
                  <w:b w:val="0"/>
                  <w:bCs w:val="0"/>
                  <w:color w:val="000066"/>
                  <w:u w:val="single"/>
                </w:rPr>
                <w:t>TD</w:t>
              </w:r>
              <w:r w:rsidRPr="00073574">
                <w:rPr>
                  <w:rStyle w:val="Strong"/>
                  <w:rFonts w:asciiTheme="majorBidi" w:hAnsiTheme="majorBidi" w:cstheme="majorBidi"/>
                  <w:b w:val="0"/>
                  <w:bCs w:val="0"/>
                  <w:color w:val="000066"/>
                  <w:u w:val="single"/>
                </w:rPr>
                <w:t>32</w:t>
              </w:r>
            </w:hyperlink>
            <w:r w:rsidRPr="00073574">
              <w:rPr>
                <w:rFonts w:asciiTheme="majorBidi" w:hAnsiTheme="majorBidi" w:cstheme="majorBidi"/>
              </w:rPr>
              <w:t>).</w:t>
            </w:r>
            <w:r w:rsidR="00CD705C" w:rsidRPr="00073574">
              <w:rPr>
                <w:rFonts w:asciiTheme="majorBidi" w:hAnsiTheme="majorBidi" w:cstheme="majorBidi"/>
              </w:rPr>
              <w:t xml:space="preserve"> Resolution 94 related activities (cloud) are depicted in </w:t>
            </w:r>
            <w:r w:rsidR="00D66EFE" w:rsidRPr="00073574">
              <w:rPr>
                <w:rFonts w:asciiTheme="majorBidi" w:hAnsiTheme="majorBidi" w:cstheme="majorBidi"/>
              </w:rPr>
              <w:t xml:space="preserve">TSAG </w:t>
            </w:r>
            <w:hyperlink r:id="rId91">
              <w:r w:rsidR="00CD705C" w:rsidRPr="00073574">
                <w:rPr>
                  <w:rStyle w:val="Hyperlink"/>
                  <w:rFonts w:asciiTheme="majorBidi" w:hAnsiTheme="majorBidi" w:cstheme="majorBidi"/>
                </w:rPr>
                <w:t>TD234</w:t>
              </w:r>
            </w:hyperlink>
            <w:r w:rsidR="00CD705C" w:rsidRPr="00073574">
              <w:rPr>
                <w:rFonts w:asciiTheme="majorBidi" w:hAnsiTheme="majorBidi" w:cstheme="majorBidi"/>
              </w:rPr>
              <w:t>.</w:t>
            </w:r>
          </w:p>
          <w:p w14:paraId="523F3DD3" w14:textId="468AA0C0" w:rsidR="00F0236A" w:rsidRPr="00073574" w:rsidRDefault="00FD1B27" w:rsidP="002E241A">
            <w:pPr>
              <w:pStyle w:val="ListParagraph"/>
              <w:numPr>
                <w:ilvl w:val="0"/>
                <w:numId w:val="55"/>
              </w:numPr>
              <w:ind w:left="357" w:hanging="357"/>
              <w:contextualSpacing w:val="0"/>
              <w:rPr>
                <w:b/>
              </w:rPr>
            </w:pPr>
            <w:r w:rsidRPr="00073574">
              <w:rPr>
                <w:b/>
                <w:bCs/>
              </w:rPr>
              <w:t>SG15 (four LSG roles):</w:t>
            </w:r>
            <w:r w:rsidRPr="00073574">
              <w:br/>
              <w:t>SG15 sent Liaison Statements (ref. TSAG</w:t>
            </w:r>
            <w:r w:rsidR="006E25B4" w:rsidRPr="00073574">
              <w:t xml:space="preserve"> TDs</w:t>
            </w:r>
            <w:r w:rsidRPr="00073574">
              <w:t xml:space="preserve"> </w:t>
            </w:r>
            <w:hyperlink r:id="rId92">
              <w:r w:rsidRPr="00073574">
                <w:rPr>
                  <w:rStyle w:val="Hyperlink"/>
                  <w:rFonts w:asciiTheme="majorBidi" w:hAnsiTheme="majorBidi" w:cstheme="majorBidi"/>
                </w:rPr>
                <w:t>08</w:t>
              </w:r>
            </w:hyperlink>
            <w:r w:rsidRPr="00073574">
              <w:rPr>
                <w:rStyle w:val="Hyperlink"/>
                <w:rFonts w:asciiTheme="majorBidi" w:hAnsiTheme="majorBidi" w:cstheme="majorBidi"/>
              </w:rPr>
              <w:t>,</w:t>
            </w:r>
            <w:r w:rsidRPr="00073574">
              <w:t xml:space="preserve"> </w:t>
            </w:r>
            <w:hyperlink r:id="rId93">
              <w:r w:rsidRPr="00073574">
                <w:rPr>
                  <w:rStyle w:val="Hyperlink"/>
                  <w:rFonts w:asciiTheme="majorBidi" w:hAnsiTheme="majorBidi" w:cstheme="majorBidi"/>
                </w:rPr>
                <w:t>09</w:t>
              </w:r>
            </w:hyperlink>
            <w:r w:rsidRPr="00487350">
              <w:rPr>
                <w:rStyle w:val="Hyperlink"/>
                <w:rFonts w:asciiTheme="majorBidi" w:hAnsiTheme="majorBidi" w:cstheme="majorBidi"/>
                <w:u w:val="none"/>
              </w:rPr>
              <w:t xml:space="preserve">, </w:t>
            </w:r>
            <w:hyperlink r:id="rId94">
              <w:r w:rsidRPr="00073574">
                <w:rPr>
                  <w:rStyle w:val="Hyperlink"/>
                  <w:rFonts w:asciiTheme="majorBidi" w:hAnsiTheme="majorBidi" w:cstheme="majorBidi"/>
                </w:rPr>
                <w:t>10</w:t>
              </w:r>
            </w:hyperlink>
            <w:r w:rsidRPr="00487350">
              <w:rPr>
                <w:rStyle w:val="Hyperlink"/>
                <w:rFonts w:asciiTheme="majorBidi" w:hAnsiTheme="majorBidi" w:cstheme="majorBidi"/>
                <w:u w:val="none"/>
              </w:rPr>
              <w:t xml:space="preserve">, </w:t>
            </w:r>
            <w:r w:rsidRPr="00073574">
              <w:rPr>
                <w:rStyle w:val="Hyperlink"/>
                <w:rFonts w:asciiTheme="majorBidi" w:hAnsiTheme="majorBidi" w:cstheme="majorBidi"/>
              </w:rPr>
              <w:t>154</w:t>
            </w:r>
            <w:r w:rsidRPr="00487350">
              <w:rPr>
                <w:rStyle w:val="Hyperlink"/>
                <w:rFonts w:asciiTheme="majorBidi" w:hAnsiTheme="majorBidi" w:cstheme="majorBidi"/>
                <w:u w:val="none"/>
              </w:rPr>
              <w:t xml:space="preserve">, </w:t>
            </w:r>
            <w:r w:rsidRPr="00073574">
              <w:rPr>
                <w:rStyle w:val="Hyperlink"/>
                <w:rFonts w:asciiTheme="majorBidi" w:hAnsiTheme="majorBidi" w:cstheme="majorBidi"/>
              </w:rPr>
              <w:t>379</w:t>
            </w:r>
            <w:r w:rsidRPr="00487350">
              <w:rPr>
                <w:rStyle w:val="Hyperlink"/>
                <w:rFonts w:asciiTheme="majorBidi" w:hAnsiTheme="majorBidi" w:cstheme="majorBidi"/>
                <w:u w:val="none"/>
              </w:rPr>
              <w:t xml:space="preserve">, </w:t>
            </w:r>
            <w:r w:rsidRPr="00073574">
              <w:rPr>
                <w:rStyle w:val="Hyperlink"/>
                <w:rFonts w:asciiTheme="majorBidi" w:hAnsiTheme="majorBidi" w:cstheme="majorBidi"/>
              </w:rPr>
              <w:t>380</w:t>
            </w:r>
            <w:r w:rsidRPr="00487350">
              <w:rPr>
                <w:rStyle w:val="Hyperlink"/>
                <w:rFonts w:asciiTheme="majorBidi" w:hAnsiTheme="majorBidi" w:cstheme="majorBidi"/>
                <w:u w:val="none"/>
              </w:rPr>
              <w:t xml:space="preserve">, </w:t>
            </w:r>
            <w:r w:rsidRPr="00073574">
              <w:rPr>
                <w:rStyle w:val="Hyperlink"/>
                <w:rFonts w:asciiTheme="majorBidi" w:hAnsiTheme="majorBidi" w:cstheme="majorBidi"/>
              </w:rPr>
              <w:t>386</w:t>
            </w:r>
            <w:r w:rsidR="006E25B4" w:rsidRPr="00073574">
              <w:rPr>
                <w:rStyle w:val="Hyperlink"/>
                <w:rFonts w:asciiTheme="majorBidi" w:hAnsiTheme="majorBidi" w:cstheme="majorBidi"/>
              </w:rPr>
              <w:t>-</w:t>
            </w:r>
            <w:r w:rsidRPr="00073574">
              <w:rPr>
                <w:rStyle w:val="Hyperlink"/>
                <w:rFonts w:asciiTheme="majorBidi" w:hAnsiTheme="majorBidi" w:cstheme="majorBidi"/>
              </w:rPr>
              <w:t>R1</w:t>
            </w:r>
            <w:r w:rsidRPr="00487350">
              <w:rPr>
                <w:rStyle w:val="Hyperlink"/>
                <w:rFonts w:asciiTheme="majorBidi" w:hAnsiTheme="majorBidi" w:cstheme="majorBidi"/>
                <w:u w:val="none"/>
              </w:rPr>
              <w:t xml:space="preserve">, </w:t>
            </w:r>
            <w:hyperlink r:id="rId95">
              <w:r w:rsidRPr="00073574">
                <w:rPr>
                  <w:rStyle w:val="Hyperlink"/>
                  <w:rFonts w:asciiTheme="majorBidi" w:hAnsiTheme="majorBidi" w:cstheme="majorBidi"/>
                </w:rPr>
                <w:t>41</w:t>
              </w:r>
              <w:r w:rsidR="00923191" w:rsidRPr="00073574">
                <w:rPr>
                  <w:rStyle w:val="Hyperlink"/>
                  <w:rFonts w:asciiTheme="majorBidi" w:hAnsiTheme="majorBidi" w:cstheme="majorBidi"/>
                </w:rPr>
                <w:t>7</w:t>
              </w:r>
            </w:hyperlink>
            <w:r w:rsidRPr="00487350">
              <w:rPr>
                <w:rStyle w:val="Hyperlink"/>
                <w:rFonts w:asciiTheme="majorBidi" w:hAnsiTheme="majorBidi" w:cstheme="majorBidi"/>
                <w:u w:val="none"/>
              </w:rPr>
              <w:t xml:space="preserve">, </w:t>
            </w:r>
            <w:hyperlink r:id="rId96">
              <w:r w:rsidRPr="00073574">
                <w:rPr>
                  <w:rStyle w:val="Hyperlink"/>
                  <w:lang w:eastAsia="zh-CN"/>
                </w:rPr>
                <w:t>483</w:t>
              </w:r>
            </w:hyperlink>
            <w:r w:rsidRPr="00073574">
              <w:rPr>
                <w:rStyle w:val="Hyperlink"/>
                <w:lang w:eastAsia="zh-CN"/>
              </w:rPr>
              <w:t xml:space="preserve">, </w:t>
            </w:r>
            <w:hyperlink r:id="rId97">
              <w:r w:rsidRPr="00073574">
                <w:rPr>
                  <w:rStyle w:val="Hyperlink"/>
                  <w:lang w:eastAsia="zh-CN"/>
                </w:rPr>
                <w:t>568</w:t>
              </w:r>
            </w:hyperlink>
            <w:r w:rsidRPr="00487350">
              <w:rPr>
                <w:rStyle w:val="Hyperlink"/>
                <w:u w:val="none"/>
                <w:lang w:eastAsia="zh-CN"/>
              </w:rPr>
              <w:t xml:space="preserve">, </w:t>
            </w:r>
            <w:hyperlink r:id="rId98">
              <w:r w:rsidRPr="00073574">
                <w:rPr>
                  <w:rStyle w:val="Hyperlink"/>
                  <w:lang w:eastAsia="zh-CN"/>
                </w:rPr>
                <w:t>569</w:t>
              </w:r>
            </w:hyperlink>
            <w:r w:rsidR="005A7A03" w:rsidRPr="00487350">
              <w:rPr>
                <w:rStyle w:val="Hyperlink"/>
                <w:u w:val="none"/>
                <w:lang w:eastAsia="zh-CN"/>
              </w:rPr>
              <w:t xml:space="preserve">, </w:t>
            </w:r>
            <w:hyperlink r:id="rId99">
              <w:r w:rsidR="005A7A03" w:rsidRPr="00073574">
                <w:rPr>
                  <w:rStyle w:val="Hyperlink"/>
                  <w:lang w:eastAsia="zh-CN"/>
                </w:rPr>
                <w:t>670</w:t>
              </w:r>
            </w:hyperlink>
            <w:r w:rsidR="001F2CE8" w:rsidRPr="00073574">
              <w:rPr>
                <w:rStyle w:val="Hyperlink"/>
                <w:u w:val="none"/>
                <w:lang w:eastAsia="zh-CN"/>
              </w:rPr>
              <w:t>,</w:t>
            </w:r>
            <w:r w:rsidR="001F2CE8" w:rsidRPr="00073574">
              <w:rPr>
                <w:rStyle w:val="Hyperlink"/>
                <w:u w:val="none"/>
              </w:rPr>
              <w:t xml:space="preserve"> </w:t>
            </w:r>
            <w:hyperlink r:id="rId100">
              <w:r w:rsidR="001F2CE8" w:rsidRPr="00073574">
                <w:rPr>
                  <w:rStyle w:val="Hyperlink"/>
                  <w:lang w:eastAsia="zh-CN"/>
                </w:rPr>
                <w:t>804</w:t>
              </w:r>
            </w:hyperlink>
            <w:r w:rsidR="003139B6" w:rsidRPr="00487350">
              <w:rPr>
                <w:rStyle w:val="Hyperlink"/>
                <w:u w:val="none"/>
                <w:lang w:eastAsia="zh-CN"/>
              </w:rPr>
              <w:t xml:space="preserve">, </w:t>
            </w:r>
            <w:hyperlink r:id="rId101" w:history="1">
              <w:r w:rsidR="003139B6" w:rsidRPr="00073574">
                <w:rPr>
                  <w:rStyle w:val="Hyperlink"/>
                  <w:lang w:eastAsia="zh-CN"/>
                </w:rPr>
                <w:t>1046</w:t>
              </w:r>
            </w:hyperlink>
            <w:r w:rsidR="003739E2" w:rsidRPr="00487350">
              <w:rPr>
                <w:rStyle w:val="Hyperlink"/>
                <w:u w:val="none"/>
                <w:lang w:eastAsia="zh-CN"/>
              </w:rPr>
              <w:t xml:space="preserve">, </w:t>
            </w:r>
            <w:hyperlink r:id="rId102" w:history="1">
              <w:r w:rsidR="00CF0E20" w:rsidRPr="00073574">
                <w:rPr>
                  <w:rStyle w:val="Hyperlink"/>
                  <w:szCs w:val="22"/>
                  <w:lang w:eastAsia="zh-CN"/>
                </w:rPr>
                <w:t>1199</w:t>
              </w:r>
            </w:hyperlink>
            <w:r w:rsidRPr="00073574">
              <w:t>) on its lead SG roles.</w:t>
            </w:r>
          </w:p>
          <w:p w14:paraId="5F33A11D" w14:textId="58667573" w:rsidR="00F0236A" w:rsidRPr="00073574" w:rsidRDefault="00F0236A" w:rsidP="002E241A">
            <w:pPr>
              <w:pStyle w:val="ListParagraph"/>
              <w:numPr>
                <w:ilvl w:val="0"/>
                <w:numId w:val="55"/>
              </w:numPr>
              <w:ind w:left="357" w:hanging="357"/>
              <w:contextualSpacing w:val="0"/>
              <w:rPr>
                <w:b/>
                <w:bCs/>
              </w:rPr>
            </w:pPr>
            <w:r w:rsidRPr="00073574">
              <w:rPr>
                <w:b/>
                <w:bCs/>
              </w:rPr>
              <w:t>SG16 (seven LSG roles):</w:t>
            </w:r>
            <w:r w:rsidR="00FD3D6D" w:rsidRPr="00073574">
              <w:rPr>
                <w:b/>
                <w:bCs/>
              </w:rPr>
              <w:t xml:space="preserve"> </w:t>
            </w:r>
            <w:r w:rsidR="006E25B4" w:rsidRPr="00073574">
              <w:t xml:space="preserve">TSAG TD </w:t>
            </w:r>
            <w:hyperlink r:id="rId103">
              <w:r w:rsidR="00FD3D6D" w:rsidRPr="00073574">
                <w:rPr>
                  <w:rStyle w:val="Hyperlink"/>
                </w:rPr>
                <w:t>308</w:t>
              </w:r>
            </w:hyperlink>
            <w:r w:rsidR="00670FC5" w:rsidRPr="00073574">
              <w:rPr>
                <w:rStyle w:val="Hyperlink"/>
                <w:color w:val="auto"/>
              </w:rPr>
              <w:t xml:space="preserve">, </w:t>
            </w:r>
            <w:hyperlink r:id="rId104">
              <w:r w:rsidR="00670FC5" w:rsidRPr="00073574">
                <w:rPr>
                  <w:rStyle w:val="Hyperlink"/>
                  <w:lang w:eastAsia="zh-CN"/>
                </w:rPr>
                <w:t>484</w:t>
              </w:r>
            </w:hyperlink>
            <w:r w:rsidR="005A7A03" w:rsidRPr="00487350">
              <w:rPr>
                <w:rStyle w:val="Hyperlink"/>
                <w:u w:val="none"/>
                <w:lang w:eastAsia="zh-CN"/>
              </w:rPr>
              <w:t xml:space="preserve">, </w:t>
            </w:r>
            <w:hyperlink r:id="rId105">
              <w:r w:rsidR="005A7A03" w:rsidRPr="00073574">
                <w:rPr>
                  <w:rStyle w:val="Hyperlink"/>
                  <w:lang w:eastAsia="zh-CN"/>
                </w:rPr>
                <w:t>671</w:t>
              </w:r>
            </w:hyperlink>
            <w:r w:rsidR="001F2CE8" w:rsidRPr="00073574">
              <w:rPr>
                <w:rStyle w:val="Hyperlink"/>
                <w:u w:val="none"/>
                <w:lang w:eastAsia="zh-CN"/>
              </w:rPr>
              <w:t>,</w:t>
            </w:r>
            <w:r w:rsidR="001F2CE8" w:rsidRPr="00073574">
              <w:rPr>
                <w:rStyle w:val="Hyperlink"/>
                <w:u w:val="none"/>
              </w:rPr>
              <w:t xml:space="preserve"> </w:t>
            </w:r>
            <w:hyperlink r:id="rId106">
              <w:r w:rsidR="001F2CE8" w:rsidRPr="00073574">
                <w:rPr>
                  <w:rStyle w:val="Hyperlink"/>
                  <w:lang w:eastAsia="zh-CN"/>
                </w:rPr>
                <w:t>805</w:t>
              </w:r>
            </w:hyperlink>
            <w:r w:rsidR="003139B6" w:rsidRPr="00487350">
              <w:rPr>
                <w:rStyle w:val="Hyperlink"/>
                <w:u w:val="none"/>
                <w:lang w:eastAsia="zh-CN"/>
              </w:rPr>
              <w:t xml:space="preserve">, </w:t>
            </w:r>
            <w:hyperlink r:id="rId107" w:history="1">
              <w:r w:rsidR="003139B6" w:rsidRPr="00073574">
                <w:rPr>
                  <w:rStyle w:val="Hyperlink"/>
                  <w:lang w:eastAsia="zh-CN"/>
                </w:rPr>
                <w:t>1047</w:t>
              </w:r>
            </w:hyperlink>
            <w:r w:rsidR="008D5410" w:rsidRPr="00073574">
              <w:rPr>
                <w:rStyle w:val="Hyperlink"/>
                <w:lang w:eastAsia="zh-CN"/>
              </w:rPr>
              <w:t>.</w:t>
            </w:r>
          </w:p>
          <w:p w14:paraId="5AB8D117" w14:textId="4B631A48" w:rsidR="00F0236A" w:rsidRPr="00073574" w:rsidRDefault="00F0236A" w:rsidP="002E241A">
            <w:pPr>
              <w:pStyle w:val="ListParagraph"/>
              <w:numPr>
                <w:ilvl w:val="0"/>
                <w:numId w:val="55"/>
              </w:numPr>
              <w:ind w:left="357" w:hanging="357"/>
              <w:contextualSpacing w:val="0"/>
              <w:rPr>
                <w:b/>
              </w:rPr>
            </w:pPr>
            <w:r w:rsidRPr="00073574">
              <w:rPr>
                <w:b/>
                <w:bCs/>
              </w:rPr>
              <w:lastRenderedPageBreak/>
              <w:t>SG17 (three LSG roles):</w:t>
            </w:r>
            <w:r w:rsidRPr="00073574">
              <w:br/>
              <w:t xml:space="preserve">SG17 sent </w:t>
            </w:r>
            <w:r w:rsidR="00101BC9" w:rsidRPr="00073574">
              <w:t>liaison statements (ref. TSAG-</w:t>
            </w:r>
            <w:r w:rsidRPr="00073574">
              <w:t xml:space="preserve">TDs </w:t>
            </w:r>
            <w:hyperlink r:id="rId108">
              <w:r w:rsidRPr="00073574">
                <w:rPr>
                  <w:rStyle w:val="Hyperlink"/>
                </w:rPr>
                <w:t>93</w:t>
              </w:r>
            </w:hyperlink>
            <w:r w:rsidRPr="00073574">
              <w:t xml:space="preserve">, </w:t>
            </w:r>
            <w:hyperlink r:id="rId109">
              <w:r w:rsidRPr="00073574">
                <w:rPr>
                  <w:rStyle w:val="Hyperlink"/>
                </w:rPr>
                <w:t>94</w:t>
              </w:r>
            </w:hyperlink>
            <w:r w:rsidRPr="00073574">
              <w:t xml:space="preserve">, </w:t>
            </w:r>
            <w:hyperlink r:id="rId110">
              <w:r w:rsidRPr="00073574">
                <w:rPr>
                  <w:rStyle w:val="Hyperlink"/>
                </w:rPr>
                <w:t>95</w:t>
              </w:r>
            </w:hyperlink>
            <w:r w:rsidRPr="00073574">
              <w:t xml:space="preserve">, </w:t>
            </w:r>
            <w:hyperlink r:id="rId111">
              <w:r w:rsidRPr="00073574">
                <w:rPr>
                  <w:rStyle w:val="Hyperlink"/>
                </w:rPr>
                <w:t>236</w:t>
              </w:r>
            </w:hyperlink>
            <w:r w:rsidRPr="00073574">
              <w:t xml:space="preserve">, </w:t>
            </w:r>
            <w:hyperlink r:id="rId112">
              <w:r w:rsidRPr="00073574">
                <w:rPr>
                  <w:rStyle w:val="Hyperlink"/>
                  <w:rFonts w:asciiTheme="majorBidi" w:hAnsiTheme="majorBidi" w:cstheme="majorBidi"/>
                </w:rPr>
                <w:t>237</w:t>
              </w:r>
            </w:hyperlink>
            <w:r w:rsidRPr="00073574">
              <w:rPr>
                <w:rFonts w:asciiTheme="majorBidi" w:hAnsiTheme="majorBidi" w:cstheme="majorBidi"/>
              </w:rPr>
              <w:t xml:space="preserve">, </w:t>
            </w:r>
            <w:hyperlink r:id="rId113">
              <w:r w:rsidRPr="00073574">
                <w:rPr>
                  <w:rStyle w:val="Hyperlink"/>
                  <w:rFonts w:asciiTheme="majorBidi" w:hAnsiTheme="majorBidi" w:cstheme="majorBidi"/>
                </w:rPr>
                <w:t>238</w:t>
              </w:r>
            </w:hyperlink>
            <w:r w:rsidR="00FD3D6D" w:rsidRPr="00487350">
              <w:rPr>
                <w:rStyle w:val="Hyperlink"/>
                <w:rFonts w:asciiTheme="majorBidi" w:hAnsiTheme="majorBidi" w:cstheme="majorBidi"/>
                <w:u w:val="none"/>
              </w:rPr>
              <w:t xml:space="preserve">, </w:t>
            </w:r>
            <w:hyperlink r:id="rId114">
              <w:r w:rsidR="00FD3D6D" w:rsidRPr="00073574">
                <w:rPr>
                  <w:rStyle w:val="Hyperlink"/>
                </w:rPr>
                <w:t>309</w:t>
              </w:r>
            </w:hyperlink>
            <w:r w:rsidR="00670FC5" w:rsidRPr="00487350">
              <w:rPr>
                <w:rStyle w:val="Hyperlink"/>
                <w:u w:val="none"/>
              </w:rPr>
              <w:t xml:space="preserve">, </w:t>
            </w:r>
            <w:hyperlink r:id="rId115">
              <w:r w:rsidR="00670FC5" w:rsidRPr="00073574">
                <w:rPr>
                  <w:rStyle w:val="Hyperlink"/>
                  <w:lang w:eastAsia="zh-CN"/>
                </w:rPr>
                <w:t>485</w:t>
              </w:r>
            </w:hyperlink>
            <w:r w:rsidR="001F2CE8" w:rsidRPr="00073574">
              <w:rPr>
                <w:rStyle w:val="Hyperlink"/>
                <w:u w:val="none"/>
                <w:lang w:eastAsia="zh-CN"/>
              </w:rPr>
              <w:t>,</w:t>
            </w:r>
            <w:r w:rsidR="001F2CE8" w:rsidRPr="00073574">
              <w:rPr>
                <w:rStyle w:val="Hyperlink"/>
                <w:u w:val="none"/>
              </w:rPr>
              <w:t xml:space="preserve"> </w:t>
            </w:r>
            <w:hyperlink r:id="rId116">
              <w:r w:rsidR="001F2CE8" w:rsidRPr="00073574">
                <w:rPr>
                  <w:rStyle w:val="Hyperlink"/>
                  <w:lang w:eastAsia="en-GB"/>
                </w:rPr>
                <w:t>806</w:t>
              </w:r>
            </w:hyperlink>
            <w:r w:rsidR="00B44354" w:rsidRPr="00487350">
              <w:rPr>
                <w:rStyle w:val="Hyperlink"/>
                <w:u w:val="none"/>
                <w:lang w:eastAsia="en-GB"/>
              </w:rPr>
              <w:t xml:space="preserve">, </w:t>
            </w:r>
            <w:hyperlink r:id="rId117" w:history="1">
              <w:r w:rsidR="00B44354" w:rsidRPr="00073574">
                <w:rPr>
                  <w:rStyle w:val="Hyperlink"/>
                  <w:lang w:eastAsia="zh-CN"/>
                </w:rPr>
                <w:t>947</w:t>
              </w:r>
            </w:hyperlink>
            <w:r w:rsidR="003139B6" w:rsidRPr="00073574">
              <w:rPr>
                <w:rStyle w:val="Hyperlink"/>
                <w:lang w:eastAsia="zh-CN"/>
              </w:rPr>
              <w:t xml:space="preserve">, </w:t>
            </w:r>
            <w:hyperlink r:id="rId118" w:history="1">
              <w:r w:rsidR="003139B6" w:rsidRPr="00073574">
                <w:rPr>
                  <w:rStyle w:val="Hyperlink"/>
                  <w:lang w:eastAsia="zh-CN"/>
                </w:rPr>
                <w:t>1048</w:t>
              </w:r>
            </w:hyperlink>
            <w:r w:rsidRPr="00073574">
              <w:t>) on its three lead SG roles.</w:t>
            </w:r>
            <w:r w:rsidRPr="00073574">
              <w:rPr>
                <w:szCs w:val="22"/>
              </w:rPr>
              <w:t>) on its three lead SG roles.</w:t>
            </w:r>
          </w:p>
          <w:p w14:paraId="406BB68A" w14:textId="1750C33B" w:rsidR="00F0236A" w:rsidRPr="00073574" w:rsidDel="00553578" w:rsidRDefault="00F0236A" w:rsidP="002E241A">
            <w:pPr>
              <w:pStyle w:val="ListParagraph"/>
              <w:numPr>
                <w:ilvl w:val="0"/>
                <w:numId w:val="55"/>
              </w:numPr>
              <w:spacing w:after="40"/>
              <w:ind w:left="357" w:hanging="357"/>
              <w:contextualSpacing w:val="0"/>
              <w:rPr>
                <w:b/>
                <w:bCs/>
              </w:rPr>
            </w:pPr>
            <w:r w:rsidRPr="00073574">
              <w:rPr>
                <w:b/>
                <w:bCs/>
              </w:rPr>
              <w:t>SG20 (three LSG roles):</w:t>
            </w:r>
            <w:r w:rsidRPr="00073574">
              <w:br/>
              <w:t>SG20 sent a Liaison Statement on the new structure of ITU-T SG20. (LS32 – LS on t</w:t>
            </w:r>
            <w:r w:rsidR="20F0CDAE" w:rsidRPr="00073574">
              <w:t>he new structure of ITU-T SG20)</w:t>
            </w:r>
            <w:r w:rsidRPr="00073574">
              <w:t>.</w:t>
            </w:r>
            <w:r w:rsidR="219B55CE" w:rsidRPr="00073574">
              <w:t xml:space="preserve"> SG20 sent its LSG report</w:t>
            </w:r>
            <w:r w:rsidR="0E79E32C" w:rsidRPr="00073574">
              <w:t>s</w:t>
            </w:r>
            <w:r w:rsidR="219B55CE" w:rsidRPr="00073574">
              <w:t xml:space="preserve"> to TSAG (</w:t>
            </w:r>
            <w:r w:rsidR="0E2DB7C8" w:rsidRPr="00073574">
              <w:t xml:space="preserve">ref. TSAG-TDs </w:t>
            </w:r>
            <w:hyperlink r:id="rId119">
              <w:r w:rsidR="219B55CE" w:rsidRPr="00073574">
                <w:rPr>
                  <w:rStyle w:val="Hyperlink"/>
                </w:rPr>
                <w:t>157</w:t>
              </w:r>
            </w:hyperlink>
            <w:r w:rsidR="00384F2C" w:rsidRPr="00487350">
              <w:rPr>
                <w:rStyle w:val="Hyperlink"/>
                <w:u w:val="none"/>
              </w:rPr>
              <w:t>,</w:t>
            </w:r>
            <w:r w:rsidR="0E2DB7C8" w:rsidRPr="00487350">
              <w:rPr>
                <w:rStyle w:val="Hyperlink"/>
                <w:u w:val="none"/>
              </w:rPr>
              <w:t xml:space="preserve"> </w:t>
            </w:r>
            <w:hyperlink r:id="rId120">
              <w:r w:rsidR="0E2DB7C8" w:rsidRPr="00073574">
                <w:rPr>
                  <w:rStyle w:val="Hyperlink"/>
                </w:rPr>
                <w:t>312</w:t>
              </w:r>
            </w:hyperlink>
            <w:r w:rsidR="74A83AFE" w:rsidRPr="00073574">
              <w:rPr>
                <w:rStyle w:val="Hyperlink"/>
                <w:color w:val="auto"/>
              </w:rPr>
              <w:t xml:space="preserve">, </w:t>
            </w:r>
            <w:hyperlink r:id="rId121">
              <w:r w:rsidR="74A83AFE" w:rsidRPr="00073574">
                <w:rPr>
                  <w:rStyle w:val="Hyperlink"/>
                  <w:lang w:eastAsia="zh-CN"/>
                </w:rPr>
                <w:t>486</w:t>
              </w:r>
            </w:hyperlink>
            <w:r w:rsidR="16DDC217" w:rsidRPr="00487350">
              <w:rPr>
                <w:rStyle w:val="Hyperlink"/>
                <w:u w:val="none"/>
                <w:lang w:eastAsia="zh-CN"/>
              </w:rPr>
              <w:t xml:space="preserve">, </w:t>
            </w:r>
            <w:hyperlink r:id="rId122">
              <w:r w:rsidR="16DDC217" w:rsidRPr="00073574">
                <w:rPr>
                  <w:rStyle w:val="Hyperlink"/>
                  <w:lang w:eastAsia="zh-CN"/>
                </w:rPr>
                <w:t>672</w:t>
              </w:r>
            </w:hyperlink>
            <w:r w:rsidR="0E79E32C" w:rsidRPr="00073574">
              <w:rPr>
                <w:rStyle w:val="Hyperlink"/>
                <w:u w:val="none"/>
                <w:lang w:eastAsia="zh-CN"/>
              </w:rPr>
              <w:t xml:space="preserve">, </w:t>
            </w:r>
            <w:hyperlink r:id="rId123">
              <w:r w:rsidR="0E79E32C" w:rsidRPr="00073574">
                <w:rPr>
                  <w:rStyle w:val="Hyperlink"/>
                  <w:lang w:eastAsia="zh-CN"/>
                </w:rPr>
                <w:t>807</w:t>
              </w:r>
            </w:hyperlink>
            <w:r w:rsidR="00B44354" w:rsidRPr="00487350">
              <w:rPr>
                <w:rStyle w:val="Hyperlink"/>
                <w:u w:val="none"/>
                <w:lang w:eastAsia="zh-CN"/>
              </w:rPr>
              <w:t xml:space="preserve">, </w:t>
            </w:r>
            <w:hyperlink r:id="rId124" w:history="1">
              <w:r w:rsidR="00B44354" w:rsidRPr="00073574">
                <w:rPr>
                  <w:rStyle w:val="Hyperlink"/>
                  <w:lang w:eastAsia="zh-CN"/>
                </w:rPr>
                <w:t>948</w:t>
              </w:r>
            </w:hyperlink>
            <w:r w:rsidR="003139B6" w:rsidRPr="00487350">
              <w:rPr>
                <w:rStyle w:val="Hyperlink"/>
                <w:u w:val="none"/>
                <w:lang w:eastAsia="zh-CN"/>
              </w:rPr>
              <w:t xml:space="preserve">, </w:t>
            </w:r>
            <w:hyperlink r:id="rId125" w:history="1">
              <w:r w:rsidR="003139B6" w:rsidRPr="00073574">
                <w:rPr>
                  <w:rStyle w:val="Hyperlink"/>
                  <w:lang w:eastAsia="zh-CN"/>
                </w:rPr>
                <w:t>1049</w:t>
              </w:r>
            </w:hyperlink>
            <w:r w:rsidR="00E46E77" w:rsidRPr="00487350">
              <w:rPr>
                <w:rStyle w:val="Hyperlink"/>
                <w:u w:val="none"/>
                <w:lang w:eastAsia="zh-CN"/>
              </w:rPr>
              <w:t xml:space="preserve">, </w:t>
            </w:r>
            <w:hyperlink r:id="rId126" w:history="1">
              <w:r w:rsidR="00E46E77" w:rsidRPr="00073574">
                <w:rPr>
                  <w:rStyle w:val="Hyperlink"/>
                  <w:szCs w:val="22"/>
                  <w:lang w:eastAsia="zh-CN"/>
                </w:rPr>
                <w:t>1200</w:t>
              </w:r>
            </w:hyperlink>
            <w:r w:rsidR="219B55CE" w:rsidRPr="00073574">
              <w:t>).</w:t>
            </w:r>
          </w:p>
        </w:tc>
      </w:tr>
      <w:tr w:rsidR="00F0236A" w:rsidRPr="00073574" w14:paraId="135F1233" w14:textId="77777777" w:rsidTr="00BD106F">
        <w:trPr>
          <w:jc w:val="center"/>
        </w:trPr>
        <w:tc>
          <w:tcPr>
            <w:tcW w:w="896" w:type="dxa"/>
            <w:vMerge w:val="restart"/>
            <w:tcBorders>
              <w:top w:val="single" w:sz="12" w:space="0" w:color="auto"/>
            </w:tcBorders>
            <w:shd w:val="clear" w:color="auto" w:fill="auto"/>
          </w:tcPr>
          <w:p w14:paraId="54B04F40" w14:textId="77777777" w:rsidR="00F0236A" w:rsidRPr="00073574" w:rsidRDefault="00F0236A" w:rsidP="00D22058">
            <w:pPr>
              <w:pStyle w:val="Tabletext"/>
              <w:rPr>
                <w:b/>
                <w:bCs/>
                <w:sz w:val="24"/>
                <w:szCs w:val="24"/>
              </w:rPr>
            </w:pPr>
            <w:r w:rsidRPr="00073574">
              <w:rPr>
                <w:b/>
                <w:bCs/>
                <w:sz w:val="24"/>
                <w:szCs w:val="24"/>
              </w:rPr>
              <w:lastRenderedPageBreak/>
              <w:t>01-05</w:t>
            </w:r>
          </w:p>
        </w:tc>
        <w:tc>
          <w:tcPr>
            <w:tcW w:w="4508" w:type="dxa"/>
            <w:tcBorders>
              <w:top w:val="single" w:sz="12" w:space="0" w:color="auto"/>
            </w:tcBorders>
            <w:shd w:val="clear" w:color="auto" w:fill="auto"/>
          </w:tcPr>
          <w:p w14:paraId="0ADD1B1A" w14:textId="77777777" w:rsidR="00F0236A" w:rsidRPr="00073574" w:rsidRDefault="00F0236A" w:rsidP="00DF36E1">
            <w:pPr>
              <w:pStyle w:val="Tabletext"/>
              <w:rPr>
                <w:b/>
                <w:bCs/>
                <w:sz w:val="24"/>
                <w:szCs w:val="24"/>
              </w:rPr>
            </w:pPr>
            <w:r w:rsidRPr="00073574">
              <w:rPr>
                <w:b/>
                <w:bCs/>
                <w:sz w:val="24"/>
                <w:szCs w:val="24"/>
              </w:rPr>
              <w:t>TSB Director to report on fostered cooperation and coordination with the other standardization organizations (clause 5.17)</w:t>
            </w:r>
          </w:p>
        </w:tc>
        <w:tc>
          <w:tcPr>
            <w:tcW w:w="1861" w:type="dxa"/>
            <w:tcBorders>
              <w:top w:val="single" w:sz="12" w:space="0" w:color="auto"/>
            </w:tcBorders>
            <w:shd w:val="clear" w:color="auto" w:fill="auto"/>
            <w:vAlign w:val="center"/>
          </w:tcPr>
          <w:p w14:paraId="5F65678B" w14:textId="77777777" w:rsidR="00F0236A" w:rsidRPr="00073574" w:rsidRDefault="00F0236A" w:rsidP="00DF36E1">
            <w:pPr>
              <w:pStyle w:val="Tabletext"/>
              <w:jc w:val="center"/>
              <w:rPr>
                <w:b/>
                <w:bCs/>
                <w:sz w:val="24"/>
                <w:szCs w:val="24"/>
              </w:rPr>
            </w:pPr>
            <w:r w:rsidRPr="00073574">
              <w:rPr>
                <w:b/>
                <w:bCs/>
                <w:sz w:val="24"/>
                <w:szCs w:val="24"/>
              </w:rPr>
              <w:t>Each TSAG meeting</w:t>
            </w:r>
          </w:p>
        </w:tc>
        <w:tc>
          <w:tcPr>
            <w:tcW w:w="1231" w:type="dxa"/>
            <w:tcBorders>
              <w:top w:val="single" w:sz="12" w:space="0" w:color="auto"/>
            </w:tcBorders>
            <w:shd w:val="clear" w:color="auto" w:fill="auto"/>
            <w:vAlign w:val="center"/>
          </w:tcPr>
          <w:p w14:paraId="50423B0D"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17E04FB8" w14:textId="77777777" w:rsidR="00F0236A" w:rsidRPr="00073574" w:rsidDel="00553578" w:rsidRDefault="00F0236A" w:rsidP="00DF36E1">
            <w:pPr>
              <w:pStyle w:val="Tabletext"/>
              <w:jc w:val="center"/>
              <w:rPr>
                <w:b/>
                <w:bCs/>
                <w:sz w:val="24"/>
                <w:szCs w:val="24"/>
              </w:rPr>
            </w:pPr>
          </w:p>
        </w:tc>
      </w:tr>
      <w:tr w:rsidR="00F0236A" w:rsidRPr="00073574" w14:paraId="37BBC2DC" w14:textId="77777777" w:rsidTr="634A3A28">
        <w:trPr>
          <w:jc w:val="center"/>
        </w:trPr>
        <w:tc>
          <w:tcPr>
            <w:tcW w:w="896" w:type="dxa"/>
            <w:vMerge/>
          </w:tcPr>
          <w:p w14:paraId="4149E586" w14:textId="77777777" w:rsidR="00F0236A" w:rsidRPr="00073574" w:rsidRDefault="00F0236A" w:rsidP="00DF36E1">
            <w:pPr>
              <w:pStyle w:val="Tabletext"/>
              <w:rPr>
                <w:sz w:val="24"/>
                <w:szCs w:val="24"/>
              </w:rPr>
            </w:pPr>
          </w:p>
        </w:tc>
        <w:tc>
          <w:tcPr>
            <w:tcW w:w="8936" w:type="dxa"/>
            <w:gridSpan w:val="4"/>
            <w:shd w:val="clear" w:color="auto" w:fill="auto"/>
          </w:tcPr>
          <w:p w14:paraId="4AB45252" w14:textId="4646B153" w:rsidR="005E0548" w:rsidRPr="00073574" w:rsidRDefault="005E0548" w:rsidP="634A3A28">
            <w:pPr>
              <w:pStyle w:val="ListParagraph"/>
              <w:numPr>
                <w:ilvl w:val="0"/>
                <w:numId w:val="28"/>
              </w:numPr>
              <w:spacing w:before="40"/>
              <w:ind w:left="357" w:hanging="357"/>
              <w:contextualSpacing w:val="0"/>
            </w:pPr>
            <w:r w:rsidRPr="00073574">
              <w:t xml:space="preserve">SG2 established communication process with CalConnect under </w:t>
            </w:r>
            <w:r w:rsidR="0086424D" w:rsidRPr="00073574">
              <w:t xml:space="preserve">ITU-T </w:t>
            </w:r>
            <w:r w:rsidRPr="00073574">
              <w:t>A.4 qualification and category A liaison with ISO/TC 154 to collaborate in particular for developing specifications of common interest.</w:t>
            </w:r>
            <w:r w:rsidR="001955D8" w:rsidRPr="00073574">
              <w:t xml:space="preserve"> SG2 has a</w:t>
            </w:r>
            <w:r w:rsidR="004A6C12" w:rsidRPr="00073574">
              <w:t>n</w:t>
            </w:r>
            <w:r w:rsidR="001955D8" w:rsidRPr="00073574">
              <w:t xml:space="preserve"> ongoing close cooperation with 3GPP </w:t>
            </w:r>
            <w:r w:rsidR="004A6C12" w:rsidRPr="00073574">
              <w:t xml:space="preserve">TSG </w:t>
            </w:r>
            <w:r w:rsidR="001955D8" w:rsidRPr="00073574">
              <w:t>SA 5</w:t>
            </w:r>
            <w:r w:rsidR="005F6C4F" w:rsidRPr="00073574">
              <w:t>, and with 3GPP TSG SA on Cell-Broadcast based Public Warning Service over 3GPP Systems</w:t>
            </w:r>
            <w:r w:rsidR="00BF54C1" w:rsidRPr="00073574">
              <w:t>, with GSMA on EID Definition</w:t>
            </w:r>
            <w:r w:rsidR="001955D8" w:rsidRPr="00073574">
              <w:t>.</w:t>
            </w:r>
          </w:p>
          <w:p w14:paraId="600EBCBC" w14:textId="0FADE45C" w:rsidR="00466792" w:rsidRPr="00073574" w:rsidRDefault="00466792" w:rsidP="002E241A">
            <w:pPr>
              <w:pStyle w:val="ListParagraph"/>
              <w:numPr>
                <w:ilvl w:val="0"/>
                <w:numId w:val="28"/>
              </w:numPr>
              <w:ind w:left="357" w:hanging="357"/>
              <w:contextualSpacing w:val="0"/>
            </w:pPr>
            <w:r w:rsidRPr="00073574">
              <w:t xml:space="preserve">SG3 </w:t>
            </w:r>
            <w:r w:rsidR="00777B43" w:rsidRPr="00073574">
              <w:t xml:space="preserve">sent a liaison statement to </w:t>
            </w:r>
            <w:r w:rsidR="004E3D1F" w:rsidRPr="00073574">
              <w:t xml:space="preserve">3GPP on </w:t>
            </w:r>
            <w:r w:rsidR="00117B87" w:rsidRPr="00073574">
              <w:t xml:space="preserve">the ongoing work </w:t>
            </w:r>
            <w:r w:rsidR="009A585F" w:rsidRPr="00073574">
              <w:t>of the</w:t>
            </w:r>
            <w:r w:rsidR="00117B87" w:rsidRPr="00073574">
              <w:t xml:space="preserve"> new Technical Report on “IMT2020-Related Policy Considering MVNOs”</w:t>
            </w:r>
            <w:r w:rsidR="00F80C39" w:rsidRPr="00073574">
              <w:t>.</w:t>
            </w:r>
          </w:p>
          <w:p w14:paraId="551E89DB" w14:textId="1E5155F9" w:rsidR="00116274" w:rsidRPr="00073574" w:rsidRDefault="0E2DB7C8" w:rsidP="002E241A">
            <w:pPr>
              <w:pStyle w:val="ListParagraph"/>
              <w:numPr>
                <w:ilvl w:val="0"/>
                <w:numId w:val="28"/>
              </w:numPr>
              <w:ind w:left="357" w:hanging="357"/>
              <w:contextualSpacing w:val="0"/>
            </w:pPr>
            <w:r w:rsidRPr="00073574">
              <w:t>SG5</w:t>
            </w:r>
            <w:r w:rsidR="200EC4BA" w:rsidRPr="00073574">
              <w:t xml:space="preserve"> </w:t>
            </w:r>
            <w:r w:rsidRPr="00073574">
              <w:t xml:space="preserve">progress report </w:t>
            </w:r>
            <w:r w:rsidR="200EC4BA" w:rsidRPr="00073574">
              <w:t xml:space="preserve">covers </w:t>
            </w:r>
            <w:r w:rsidRPr="00073574">
              <w:t xml:space="preserve">the collaboration </w:t>
            </w:r>
            <w:r w:rsidR="4DEA6B20" w:rsidRPr="00073574">
              <w:t>with ETSI on smart energy</w:t>
            </w:r>
            <w:r w:rsidR="1CDD5D45" w:rsidRPr="00073574">
              <w:t xml:space="preserve"> and circular economy </w:t>
            </w:r>
            <w:r w:rsidR="4DEA6B20" w:rsidRPr="00073574">
              <w:t>topics (ref. TSAG-</w:t>
            </w:r>
            <w:hyperlink r:id="rId127">
              <w:r w:rsidR="4DEA6B20" w:rsidRPr="00073574">
                <w:rPr>
                  <w:rStyle w:val="Hyperlink"/>
                </w:rPr>
                <w:t>TD302</w:t>
              </w:r>
            </w:hyperlink>
            <w:hyperlink r:id="rId128">
              <w:r w:rsidR="36A708E4" w:rsidRPr="00073574">
                <w:rPr>
                  <w:rStyle w:val="Hyperlink"/>
                </w:rPr>
                <w:t>TD666</w:t>
              </w:r>
            </w:hyperlink>
            <w:r w:rsidR="22E2CC7E" w:rsidRPr="00073574">
              <w:t xml:space="preserve">; </w:t>
            </w:r>
            <w:hyperlink r:id="rId129">
              <w:r w:rsidR="22E2CC7E" w:rsidRPr="00073574">
                <w:rPr>
                  <w:rStyle w:val="Hyperlink"/>
                </w:rPr>
                <w:t>TD799</w:t>
              </w:r>
            </w:hyperlink>
            <w:r w:rsidR="4DEA6B20" w:rsidRPr="00073574">
              <w:t>).</w:t>
            </w:r>
            <w:r w:rsidR="36A708E4" w:rsidRPr="00073574">
              <w:t xml:space="preserve"> </w:t>
            </w:r>
            <w:r w:rsidR="6BF1C0EF" w:rsidRPr="00073574">
              <w:t xml:space="preserve">During the </w:t>
            </w:r>
            <w:r w:rsidR="36A708E4" w:rsidRPr="00073574">
              <w:t xml:space="preserve">SG5 meeting </w:t>
            </w:r>
            <w:r w:rsidR="79510918" w:rsidRPr="00073574">
              <w:t>held from</w:t>
            </w:r>
            <w:r w:rsidR="009B4991" w:rsidRPr="00073574">
              <w:t xml:space="preserve"> </w:t>
            </w:r>
            <w:r w:rsidR="36A708E4" w:rsidRPr="00073574">
              <w:t>1</w:t>
            </w:r>
            <w:r w:rsidR="342293BB" w:rsidRPr="00073574">
              <w:t xml:space="preserve">1-20 May </w:t>
            </w:r>
            <w:r w:rsidR="36A708E4" w:rsidRPr="00073574">
              <w:t>2020</w:t>
            </w:r>
            <w:r w:rsidR="41029F9A" w:rsidRPr="00073574">
              <w:t>, 7 new work items were created and will be developed jointly with ETSI TC EE. Additionally, SG5 is establishing a liaison stat</w:t>
            </w:r>
            <w:r w:rsidR="4BC53EAC" w:rsidRPr="00073574">
              <w:t>ement with ISO TC323 on Circular Economy.</w:t>
            </w:r>
          </w:p>
          <w:p w14:paraId="04A65DBD" w14:textId="2EEC06A3" w:rsidR="001B24E3" w:rsidRPr="00073574" w:rsidRDefault="001B24E3" w:rsidP="634A3A28">
            <w:pPr>
              <w:pStyle w:val="ListParagraph"/>
              <w:numPr>
                <w:ilvl w:val="0"/>
                <w:numId w:val="28"/>
              </w:numPr>
              <w:ind w:left="357" w:hanging="357"/>
              <w:contextualSpacing w:val="0"/>
            </w:pPr>
            <w:r w:rsidRPr="00073574">
              <w:t xml:space="preserve">SG9 established collaboration mechanism with CableLabs to maintain aligned DOCSIS-related specifications in Cablelabs and related ITU-T Recommendations in ITU-T SG9. Also SG9 maintained a coordination and collaboration through liaison exchanges with various SDOs including ITU-R SG1, SG5 and SG6, </w:t>
            </w:r>
            <w:r w:rsidR="000614A1" w:rsidRPr="00073574">
              <w:t xml:space="preserve">all ITU-T SGs and SCV, </w:t>
            </w:r>
            <w:r w:rsidRPr="00073574">
              <w:t xml:space="preserve">ETSI TC Cable and TC </w:t>
            </w:r>
            <w:r w:rsidR="000614A1" w:rsidRPr="00073574">
              <w:t>ATTM</w:t>
            </w:r>
            <w:r w:rsidRPr="00073574">
              <w:t>, IEEE</w:t>
            </w:r>
            <w:r w:rsidR="000614A1" w:rsidRPr="00073574">
              <w:t xml:space="preserve"> 802.3</w:t>
            </w:r>
            <w:r w:rsidRPr="00073574">
              <w:t xml:space="preserve">, BROADBAND FORUM, </w:t>
            </w:r>
            <w:r w:rsidR="000614A1" w:rsidRPr="00073574">
              <w:t xml:space="preserve">DVB, EBU, </w:t>
            </w:r>
            <w:r w:rsidRPr="00073574">
              <w:t>Japan Cable</w:t>
            </w:r>
            <w:r w:rsidR="000614A1" w:rsidRPr="00073574">
              <w:t xml:space="preserve"> L</w:t>
            </w:r>
            <w:r w:rsidRPr="00073574">
              <w:t>ab</w:t>
            </w:r>
            <w:r w:rsidR="000614A1" w:rsidRPr="00073574">
              <w:t>oratories, SCTE, CCSA, ARIB, etc.</w:t>
            </w:r>
          </w:p>
          <w:p w14:paraId="3EC0B52D" w14:textId="33C3316A" w:rsidR="004A53BD" w:rsidRPr="00073574" w:rsidRDefault="004A53BD" w:rsidP="634A3A28">
            <w:pPr>
              <w:pStyle w:val="ListParagraph"/>
              <w:numPr>
                <w:ilvl w:val="0"/>
                <w:numId w:val="28"/>
              </w:numPr>
              <w:ind w:left="357" w:hanging="357"/>
              <w:contextualSpacing w:val="0"/>
            </w:pPr>
            <w:r w:rsidRPr="00073574">
              <w:t xml:space="preserve">SG11 has a close collaboration with ETSI TC INT on different subjects (such as testing and interconnection requirements) and </w:t>
            </w:r>
            <w:r w:rsidR="005B3709" w:rsidRPr="00073574">
              <w:t xml:space="preserve">ILAC </w:t>
            </w:r>
            <w:r w:rsidRPr="00073574">
              <w:t>on developing Testing Laboratory recognition procedure.</w:t>
            </w:r>
            <w:r w:rsidR="00C9627B" w:rsidRPr="00073574">
              <w:t xml:space="preserve"> SG11 started collaboration with </w:t>
            </w:r>
            <w:r w:rsidR="00A0413F" w:rsidRPr="00073574">
              <w:t>BBF, CableLabs, IEEE FNI Testbeds WG, IEEE INGR Future Networks, NGMN, NIST Advanced Networking Technologies Division (ANTD), O-RAN, TIP and TM Forum on Testbed Federations activities including a new Focus Group FG-TBFxG which was created by SG11 in December 2021.</w:t>
            </w:r>
          </w:p>
          <w:p w14:paraId="63F09847" w14:textId="052D879E" w:rsidR="007E1427" w:rsidRPr="00073574" w:rsidRDefault="007E1427" w:rsidP="634A3A28">
            <w:pPr>
              <w:pStyle w:val="ListParagraph"/>
              <w:numPr>
                <w:ilvl w:val="0"/>
                <w:numId w:val="28"/>
              </w:numPr>
              <w:contextualSpacing w:val="0"/>
            </w:pPr>
            <w:r w:rsidRPr="00073574">
              <w:t xml:space="preserve">SG12: </w:t>
            </w:r>
            <w:r w:rsidR="00076922" w:rsidRPr="00073574">
              <w:t xml:space="preserve">In particular, work with </w:t>
            </w:r>
            <w:r w:rsidR="006C03DA" w:rsidRPr="00073574">
              <w:t xml:space="preserve">3GPP SA4 and MPEG, as well as with </w:t>
            </w:r>
            <w:r w:rsidR="00076922" w:rsidRPr="00073574">
              <w:t>ETSI TC STQ, IETF, BBF to harmonize IP capacity and latency parameters.</w:t>
            </w:r>
          </w:p>
          <w:p w14:paraId="5AF4F3F6" w14:textId="1051A0B2" w:rsidR="00417259" w:rsidRPr="00073574" w:rsidRDefault="00417259" w:rsidP="00384F2C">
            <w:pPr>
              <w:pStyle w:val="ListParagraph"/>
              <w:numPr>
                <w:ilvl w:val="0"/>
                <w:numId w:val="28"/>
              </w:numPr>
              <w:ind w:left="357" w:hanging="357"/>
              <w:contextualSpacing w:val="0"/>
              <w:rPr>
                <w:rFonts w:eastAsia="Times New Roman"/>
              </w:rPr>
            </w:pPr>
            <w:r w:rsidRPr="00073574">
              <w:t xml:space="preserve">SG13: </w:t>
            </w:r>
            <w:r w:rsidR="415900D4" w:rsidRPr="00073574">
              <w:t>TSAG-TD55</w:t>
            </w:r>
            <w:r w:rsidRPr="00073574">
              <w:t xml:space="preserve"> – report on open source community interactions on SDN, </w:t>
            </w:r>
            <w:r w:rsidR="415900D4" w:rsidRPr="00073574">
              <w:t>TD269</w:t>
            </w:r>
            <w:r w:rsidRPr="00073574">
              <w:t xml:space="preserve"> on JCA-IMT2020 activities. In addition at the SG13 meeting (Nov 2017) with the agreement of the convener of the </w:t>
            </w:r>
            <w:r w:rsidR="415900D4" w:rsidRPr="00073574">
              <w:t>Correspondence Group on Future Networks</w:t>
            </w:r>
            <w:r w:rsidRPr="00073574">
              <w:t xml:space="preserve"> from the ISO/IEC JTC 1/SC 6 side, Shin-Gak Kang, SG13 agreed to formally close the named correspondence group as there has been no activity of this group since 2012. JCA-IMT2020 accepts inputs from different SDOs to populate the </w:t>
            </w:r>
            <w:r w:rsidR="415900D4" w:rsidRPr="00073574">
              <w:t>5G standardization roadmap</w:t>
            </w:r>
            <w:r w:rsidRPr="00073574">
              <w:t xml:space="preserve">. ITU-T Y.3500-series Supplement 49 “Cloud Computing Standardization Roadmap” has a collection of specifications, Reports and activities of the other SDOs complementing the work in this area by ITU-T. </w:t>
            </w:r>
            <w:r w:rsidR="2E3E1C58" w:rsidRPr="00073574">
              <w:t>Likewise do the ongoing SG13 projects (big data standardization roadmap, A</w:t>
            </w:r>
            <w:r w:rsidR="64A4EE71" w:rsidRPr="00073574">
              <w:t xml:space="preserve">rtificial Intelligence Standardization Roadmap and </w:t>
            </w:r>
            <w:r w:rsidR="61E6C420" w:rsidRPr="00073574">
              <w:t>roadmap on trustworthy networking and se</w:t>
            </w:r>
            <w:r w:rsidR="61E6C420" w:rsidRPr="00476BE6">
              <w:t xml:space="preserve">rvices </w:t>
            </w:r>
            <w:r w:rsidR="00D96C2F" w:rsidRPr="00476BE6">
              <w:t>and roadmap</w:t>
            </w:r>
            <w:r w:rsidR="00476BE6" w:rsidRPr="00476BE6">
              <w:t xml:space="preserve"> on Quantum Key Distribution Networks</w:t>
            </w:r>
            <w:r w:rsidR="61E6C420" w:rsidRPr="00476BE6">
              <w:t>.</w:t>
            </w:r>
            <w:r w:rsidR="2E3E1C58" w:rsidRPr="00073574">
              <w:t xml:space="preserve"> </w:t>
            </w:r>
            <w:r w:rsidRPr="00073574">
              <w:t>FG</w:t>
            </w:r>
            <w:r w:rsidR="00384F2C" w:rsidRPr="00073574">
              <w:t>-</w:t>
            </w:r>
            <w:r w:rsidRPr="00073574">
              <w:t>ML5G had the meeting and workshop alongside the Third Berlin 5G week, November 2019, Berlin, Germany.</w:t>
            </w:r>
            <w:r w:rsidR="33034594" w:rsidRPr="00073574">
              <w:t xml:space="preserve"> FG</w:t>
            </w:r>
            <w:r w:rsidR="00384F2C" w:rsidRPr="00073574">
              <w:t>-</w:t>
            </w:r>
            <w:r w:rsidR="33034594" w:rsidRPr="00073574">
              <w:t xml:space="preserve">NET2030 had presentations </w:t>
            </w:r>
            <w:r w:rsidR="33034594" w:rsidRPr="00073574">
              <w:lastRenderedPageBreak/>
              <w:t>at each of its</w:t>
            </w:r>
            <w:r w:rsidR="3EBDD241" w:rsidRPr="00073574">
              <w:t xml:space="preserve"> w</w:t>
            </w:r>
            <w:r w:rsidR="33034594" w:rsidRPr="00073574">
              <w:t xml:space="preserve">orkshop from the </w:t>
            </w:r>
            <w:r w:rsidR="034A747D" w:rsidRPr="00073574">
              <w:t>representatives of other stan</w:t>
            </w:r>
            <w:r w:rsidR="1E70D0E5" w:rsidRPr="00073574">
              <w:t>d</w:t>
            </w:r>
            <w:r w:rsidR="034A747D" w:rsidRPr="00073574">
              <w:t>a</w:t>
            </w:r>
            <w:r w:rsidR="2A477A4B" w:rsidRPr="00073574">
              <w:t>rds bodies.</w:t>
            </w:r>
            <w:r w:rsidR="006050B2" w:rsidRPr="00073574">
              <w:t xml:space="preserve"> FG AN</w:t>
            </w:r>
            <w:r w:rsidR="00B4601D" w:rsidRPr="00073574">
              <w:t xml:space="preserve"> explores the grouds for collaboration with </w:t>
            </w:r>
            <w:r w:rsidR="00D53EA8" w:rsidRPr="00073574">
              <w:t>TM Forum.</w:t>
            </w:r>
          </w:p>
          <w:p w14:paraId="333FCA28" w14:textId="03812F07" w:rsidR="00976D90" w:rsidRPr="00073574" w:rsidRDefault="00976D90" w:rsidP="634A3A28">
            <w:pPr>
              <w:pStyle w:val="ListParagraph"/>
              <w:numPr>
                <w:ilvl w:val="0"/>
                <w:numId w:val="28"/>
              </w:numPr>
              <w:contextualSpacing w:val="0"/>
            </w:pPr>
            <w:r w:rsidRPr="00073574">
              <w:t>SG15 and TSB hosted IEEE 802.1 and 802.3 interim meetings (22-26 January 2018) and held a joint IEEE 802-ITU-T SG15 workshop “</w:t>
            </w:r>
            <w:r w:rsidRPr="00073574">
              <w:rPr>
                <w:rFonts w:cs="Segoe UI"/>
              </w:rPr>
              <w:t>Building Tomorrow’s Networks” on 27 January, which preceded the SG15 meeting from 29 January to 9 February 2018. These series of events facilitated collaboration between IEEE 802.1/802.3 and ITU-T SG15 on various technology areas.</w:t>
            </w:r>
          </w:p>
          <w:p w14:paraId="0254E851" w14:textId="415F4F81" w:rsidR="00FD1B27" w:rsidRPr="00073574" w:rsidRDefault="00FD1B27" w:rsidP="002E241A">
            <w:pPr>
              <w:pStyle w:val="ListParagraph"/>
              <w:numPr>
                <w:ilvl w:val="0"/>
                <w:numId w:val="28"/>
              </w:numPr>
              <w:contextualSpacing w:val="0"/>
            </w:pPr>
            <w:r w:rsidRPr="00073574">
              <w:t>SG15 and TSB host</w:t>
            </w:r>
            <w:r w:rsidR="00BE24C3" w:rsidRPr="00073574">
              <w:t>ed</w:t>
            </w:r>
            <w:r w:rsidRPr="00073574">
              <w:t xml:space="preserve"> IEEE 802.1 and 802.3 interim meetings (20-24 January 2020) and </w:t>
            </w:r>
            <w:r w:rsidR="004E6B25" w:rsidRPr="00073574">
              <w:t>held</w:t>
            </w:r>
            <w:r w:rsidRPr="00073574">
              <w:t xml:space="preserve"> a joint IEEE 802-ITU-T SG15 workshop on mutual interest</w:t>
            </w:r>
            <w:r w:rsidRPr="00073574">
              <w:rPr>
                <w:rFonts w:cs="Segoe UI"/>
              </w:rPr>
              <w:t xml:space="preserve"> on 25 January, which </w:t>
            </w:r>
            <w:r w:rsidR="00345D90" w:rsidRPr="00073574">
              <w:rPr>
                <w:rFonts w:cs="Segoe UI"/>
              </w:rPr>
              <w:t xml:space="preserve">preceded </w:t>
            </w:r>
            <w:r w:rsidRPr="00073574">
              <w:rPr>
                <w:rFonts w:cs="Segoe UI"/>
              </w:rPr>
              <w:t>the SG15 meeting from 27 January to 7 February 2020. These series of events facilitate</w:t>
            </w:r>
            <w:r w:rsidR="00013CE6" w:rsidRPr="00073574">
              <w:rPr>
                <w:rFonts w:cs="Segoe UI"/>
              </w:rPr>
              <w:t>d</w:t>
            </w:r>
            <w:r w:rsidRPr="00073574">
              <w:rPr>
                <w:rFonts w:cs="Segoe UI"/>
              </w:rPr>
              <w:t xml:space="preserve"> collaboration between IEEE 802.1/802.3 and ITU-T SG15 on various technology areas.</w:t>
            </w:r>
          </w:p>
          <w:p w14:paraId="5BB3CA36" w14:textId="375DD57A" w:rsidR="00976D90" w:rsidRPr="00073574" w:rsidRDefault="00976D90" w:rsidP="634A3A28">
            <w:pPr>
              <w:pStyle w:val="ListParagraph"/>
              <w:numPr>
                <w:ilvl w:val="0"/>
                <w:numId w:val="28"/>
              </w:numPr>
              <w:contextualSpacing w:val="0"/>
            </w:pPr>
            <w:r w:rsidRPr="00073574">
              <w:t>SG15 is collaborating with various organizations by liaisons and dual participation.</w:t>
            </w:r>
          </w:p>
          <w:p w14:paraId="136BAE5B" w14:textId="09CB92DE" w:rsidR="00112C75" w:rsidRPr="00073574" w:rsidRDefault="00112C75" w:rsidP="634A3A28">
            <w:pPr>
              <w:pStyle w:val="ListParagraph"/>
              <w:numPr>
                <w:ilvl w:val="0"/>
                <w:numId w:val="28"/>
              </w:numPr>
              <w:contextualSpacing w:val="0"/>
            </w:pPr>
            <w:r w:rsidRPr="00073574">
              <w:t>SG16 created JCA-MMeS to coordinate the multimedia e-services standardization work.</w:t>
            </w:r>
          </w:p>
          <w:p w14:paraId="61CDFFBA" w14:textId="1C402799" w:rsidR="00D02B74" w:rsidRPr="00073574" w:rsidRDefault="00D02B74" w:rsidP="634A3A28">
            <w:pPr>
              <w:pStyle w:val="ListParagraph"/>
              <w:numPr>
                <w:ilvl w:val="0"/>
                <w:numId w:val="28"/>
              </w:numPr>
              <w:contextualSpacing w:val="0"/>
            </w:pPr>
            <w:r w:rsidRPr="00073574">
              <w:t>SG16 is collaborating with WHO on e-health activities including FG-AI4H and Safe Listening.</w:t>
            </w:r>
          </w:p>
          <w:p w14:paraId="643BEC5A" w14:textId="18494689" w:rsidR="00D02B74" w:rsidRPr="00073574" w:rsidRDefault="00D02B74" w:rsidP="002E241A">
            <w:pPr>
              <w:pStyle w:val="ListParagraph"/>
              <w:numPr>
                <w:ilvl w:val="0"/>
                <w:numId w:val="28"/>
              </w:numPr>
              <w:contextualSpacing w:val="0"/>
            </w:pPr>
            <w:r w:rsidRPr="00073574">
              <w:t>SG16 plans further collaboration with ISO/IEC JTC1 SC35 (User Interfaces) on visual presentation in audiovisual content of audio information and of sign language.</w:t>
            </w:r>
            <w:r w:rsidR="298B3B45" w:rsidRPr="00073574">
              <w:t xml:space="preserve"> The two existing joint video teams with MPEG will be consolidated into </w:t>
            </w:r>
            <w:r w:rsidR="40600EFD" w:rsidRPr="00073574">
              <w:t>one group</w:t>
            </w:r>
            <w:r w:rsidR="298B3B45" w:rsidRPr="00073574">
              <w:t>,</w:t>
            </w:r>
            <w:r w:rsidR="4B48EA0F" w:rsidRPr="00073574">
              <w:t xml:space="preserve"> the JVET, </w:t>
            </w:r>
            <w:r w:rsidR="298B3B45" w:rsidRPr="00073574">
              <w:t>given the maturity of past joint projects and the approval of the 1st edition of H.266 “Versati</w:t>
            </w:r>
            <w:r w:rsidR="4615B21B" w:rsidRPr="00073574">
              <w:t>le Video Coding”.</w:t>
            </w:r>
          </w:p>
          <w:p w14:paraId="12FC243D" w14:textId="35EAC103" w:rsidR="00113AE0" w:rsidRPr="00073574" w:rsidRDefault="005B67AF" w:rsidP="634A3A28">
            <w:pPr>
              <w:pStyle w:val="ListParagraph"/>
              <w:numPr>
                <w:ilvl w:val="0"/>
                <w:numId w:val="28"/>
              </w:numPr>
              <w:contextualSpacing w:val="0"/>
            </w:pPr>
            <w:r w:rsidRPr="00073574">
              <w:t>SG17 continues collaboration with JTC 1, OASIS, FIDO Alliance and other SDOs on various standards in X-series</w:t>
            </w:r>
            <w:r w:rsidR="00205BF8" w:rsidRPr="00073574">
              <w:t>. In addition,</w:t>
            </w:r>
            <w:r w:rsidRPr="00073574">
              <w:t xml:space="preserve"> </w:t>
            </w:r>
            <w:r w:rsidR="00113AE0" w:rsidRPr="00073574">
              <w:t xml:space="preserve">SG17 maintains the ITU-T liaison relationship with </w:t>
            </w:r>
            <w:r w:rsidR="00F269B1" w:rsidRPr="00073574">
              <w:t xml:space="preserve">ISO/IEC </w:t>
            </w:r>
            <w:r w:rsidR="00113AE0" w:rsidRPr="00073574">
              <w:t>JTC 1 and the list of common/twin texts with JTC 1</w:t>
            </w:r>
            <w:r w:rsidR="000B21E3" w:rsidRPr="00073574">
              <w:t>,</w:t>
            </w:r>
            <w:r w:rsidR="00113AE0" w:rsidRPr="00073574">
              <w:t>.</w:t>
            </w:r>
            <w:r w:rsidR="007E507E" w:rsidRPr="00073574">
              <w:t xml:space="preserve"> </w:t>
            </w:r>
          </w:p>
          <w:p w14:paraId="5A3DD714" w14:textId="041821BA" w:rsidR="007E507E" w:rsidRPr="00073574" w:rsidRDefault="007E507E" w:rsidP="634A3A28">
            <w:pPr>
              <w:pStyle w:val="ListParagraph"/>
              <w:numPr>
                <w:ilvl w:val="0"/>
                <w:numId w:val="28"/>
              </w:numPr>
              <w:contextualSpacing w:val="0"/>
            </w:pPr>
            <w:r w:rsidRPr="00073574">
              <w:t xml:space="preserve">SG17 continues collaboration with ETSI on TTCN-3 standards,and </w:t>
            </w:r>
            <w:r w:rsidR="00690D28" w:rsidRPr="00073574">
              <w:t>with SDL Forum on SDL standards in Z-series.</w:t>
            </w:r>
          </w:p>
          <w:p w14:paraId="44A8B89F" w14:textId="0079EC92" w:rsidR="003107D1" w:rsidRPr="00073574" w:rsidRDefault="00F0236A" w:rsidP="634A3A28">
            <w:pPr>
              <w:pStyle w:val="ListParagraph"/>
              <w:numPr>
                <w:ilvl w:val="0"/>
                <w:numId w:val="28"/>
              </w:numPr>
              <w:contextualSpacing w:val="0"/>
            </w:pPr>
            <w:r w:rsidRPr="00073574">
              <w:t xml:space="preserve">SG20 sent a </w:t>
            </w:r>
            <w:r w:rsidR="00DB20F4" w:rsidRPr="00073574">
              <w:t>series of</w:t>
            </w:r>
            <w:r w:rsidRPr="00073574">
              <w:t xml:space="preserve"> Liaison statement</w:t>
            </w:r>
            <w:r w:rsidR="00857BA4" w:rsidRPr="00073574">
              <w:t>s</w:t>
            </w:r>
            <w:r w:rsidRPr="00073574">
              <w:t xml:space="preserve"> to TSAG and other SDOs </w:t>
            </w:r>
            <w:r w:rsidR="00F5004B" w:rsidRPr="00073574">
              <w:t>as follows</w:t>
            </w:r>
            <w:r w:rsidR="003107D1" w:rsidRPr="00073574">
              <w:t xml:space="preserve">: </w:t>
            </w:r>
            <w:r w:rsidRPr="00073574">
              <w:t xml:space="preserve"> </w:t>
            </w:r>
          </w:p>
          <w:p w14:paraId="42AD8026" w14:textId="387391AF" w:rsidR="00F0236A" w:rsidRPr="00073574" w:rsidRDefault="00F0236A" w:rsidP="004E36A3">
            <w:pPr>
              <w:pStyle w:val="ListParagraph"/>
              <w:numPr>
                <w:ilvl w:val="1"/>
                <w:numId w:val="28"/>
              </w:numPr>
              <w:contextualSpacing w:val="0"/>
            </w:pPr>
            <w:r w:rsidRPr="00073574">
              <w:t>creation of the ITU-T Focus Group on Data Processing and Management to support IoT and Smart Cities and Communities</w:t>
            </w:r>
            <w:r w:rsidR="003C7E25" w:rsidRPr="00073574">
              <w:t>"</w:t>
            </w:r>
            <w:r w:rsidRPr="00073574">
              <w:t>(FG-DPM).</w:t>
            </w:r>
          </w:p>
          <w:p w14:paraId="1519F8C4" w14:textId="77777777" w:rsidR="00890103" w:rsidRPr="00073574" w:rsidRDefault="00890103" w:rsidP="002E241A">
            <w:pPr>
              <w:pStyle w:val="ListParagraph"/>
              <w:numPr>
                <w:ilvl w:val="1"/>
                <w:numId w:val="28"/>
              </w:numPr>
              <w:contextualSpacing w:val="0"/>
            </w:pPr>
            <w:r w:rsidRPr="00073574">
              <w:t>Sent a liaison statement to TSAG and other SDOs on ITU-T SG20 structure;</w:t>
            </w:r>
          </w:p>
          <w:p w14:paraId="20692B35" w14:textId="4C983D48" w:rsidR="00890103" w:rsidRPr="00073574" w:rsidRDefault="00274531" w:rsidP="002E241A">
            <w:pPr>
              <w:pStyle w:val="ListParagraph"/>
              <w:numPr>
                <w:ilvl w:val="1"/>
                <w:numId w:val="28"/>
              </w:numPr>
              <w:contextualSpacing w:val="0"/>
            </w:pPr>
            <w:r w:rsidRPr="00073574">
              <w:t xml:space="preserve">Sent </w:t>
            </w:r>
            <w:r w:rsidR="00890103" w:rsidRPr="00073574">
              <w:t xml:space="preserve">a </w:t>
            </w:r>
            <w:r w:rsidR="009F38A5" w:rsidRPr="00073574">
              <w:t>liaison statement</w:t>
            </w:r>
            <w:r w:rsidR="00890103" w:rsidRPr="00073574">
              <w:t xml:space="preserve"> to TSAG on Collaboration process between ITU-T SG20 and oneM2M. (</w:t>
            </w:r>
            <w:hyperlink r:id="rId130">
              <w:r w:rsidR="00890103" w:rsidRPr="00073574">
                <w:rPr>
                  <w:rStyle w:val="Hyperlink"/>
                </w:rPr>
                <w:t>TSAG-TD239</w:t>
              </w:r>
            </w:hyperlink>
            <w:r w:rsidR="00890103" w:rsidRPr="00073574">
              <w:t>);</w:t>
            </w:r>
          </w:p>
          <w:p w14:paraId="1B97CEDA" w14:textId="0773C6C8" w:rsidR="00890103" w:rsidRPr="00073574" w:rsidRDefault="00274531" w:rsidP="002E241A">
            <w:pPr>
              <w:pStyle w:val="ListParagraph"/>
              <w:numPr>
                <w:ilvl w:val="1"/>
                <w:numId w:val="28"/>
              </w:numPr>
              <w:contextualSpacing w:val="0"/>
            </w:pPr>
            <w:r w:rsidRPr="00073574">
              <w:t xml:space="preserve">Sent </w:t>
            </w:r>
            <w:r w:rsidR="007603C5" w:rsidRPr="00073574">
              <w:t>l</w:t>
            </w:r>
            <w:r w:rsidR="00890103" w:rsidRPr="00073574">
              <w:t>iaison statement to Industrial Internet Consortium (IIC), ISO/IE</w:t>
            </w:r>
            <w:r w:rsidR="009F38A5" w:rsidRPr="00073574">
              <w:t xml:space="preserve">C JTC1/SC27, ISO/IEC JTC1/SC41 </w:t>
            </w:r>
            <w:r w:rsidR="00890103" w:rsidRPr="00073574">
              <w:t xml:space="preserve">on collaboration on the work on </w:t>
            </w:r>
            <w:r w:rsidR="00890103" w:rsidRPr="00073574">
              <w:rPr>
                <w:rFonts w:asciiTheme="majorBidi" w:hAnsiTheme="majorBidi" w:cstheme="majorBidi"/>
              </w:rPr>
              <w:t>Security, privacy, trust and identification for IoT and SC&amp;C.</w:t>
            </w:r>
          </w:p>
          <w:p w14:paraId="6F136583" w14:textId="7F9D8F0A" w:rsidR="002C1298" w:rsidRPr="00073574" w:rsidRDefault="00274531" w:rsidP="002E241A">
            <w:pPr>
              <w:pStyle w:val="ListParagraph"/>
              <w:numPr>
                <w:ilvl w:val="1"/>
                <w:numId w:val="28"/>
              </w:numPr>
              <w:contextualSpacing w:val="0"/>
            </w:pPr>
            <w:r w:rsidRPr="00073574">
              <w:t>T</w:t>
            </w:r>
            <w:r w:rsidR="00B92438" w:rsidRPr="00073574">
              <w:t xml:space="preserve">he </w:t>
            </w:r>
            <w:r w:rsidR="002C1298" w:rsidRPr="00073574">
              <w:t xml:space="preserve">SG20 progress report </w:t>
            </w:r>
            <w:r w:rsidR="00B92438" w:rsidRPr="00073574">
              <w:t xml:space="preserve">covers </w:t>
            </w:r>
            <w:r w:rsidR="002C1298" w:rsidRPr="00073574">
              <w:t>the collaboration with other SDOs (e.g. oneM2M, IEC, ISO, etc) (ref. TSAG-</w:t>
            </w:r>
            <w:hyperlink r:id="rId131">
              <w:r w:rsidR="002C1298" w:rsidRPr="00073574">
                <w:rPr>
                  <w:rStyle w:val="Hyperlink"/>
                </w:rPr>
                <w:t>TD312</w:t>
              </w:r>
            </w:hyperlink>
            <w:r w:rsidR="003E2E53" w:rsidRPr="00073574">
              <w:rPr>
                <w:rStyle w:val="Hyperlink"/>
              </w:rPr>
              <w:t xml:space="preserve">, </w:t>
            </w:r>
            <w:hyperlink r:id="rId132">
              <w:r w:rsidR="003E2E53" w:rsidRPr="00073574">
                <w:rPr>
                  <w:rStyle w:val="Hyperlink"/>
                </w:rPr>
                <w:t>TD672</w:t>
              </w:r>
            </w:hyperlink>
            <w:r w:rsidR="00C40B8E" w:rsidRPr="00073574">
              <w:rPr>
                <w:rStyle w:val="Hyperlink"/>
              </w:rPr>
              <w:t xml:space="preserve">, </w:t>
            </w:r>
            <w:hyperlink r:id="rId133">
              <w:r w:rsidR="00C40B8E" w:rsidRPr="00073574">
                <w:rPr>
                  <w:rStyle w:val="Hyperlink"/>
                </w:rPr>
                <w:t>TD672</w:t>
              </w:r>
            </w:hyperlink>
            <w:r w:rsidR="002C1298" w:rsidRPr="00073574">
              <w:t>)</w:t>
            </w:r>
            <w:r w:rsidR="00B92438" w:rsidRPr="00073574">
              <w:t>.</w:t>
            </w:r>
          </w:p>
          <w:p w14:paraId="61EFA9BE" w14:textId="7F2E73C0" w:rsidR="003F2393" w:rsidRPr="00073574" w:rsidRDefault="003F2393" w:rsidP="00800F0F">
            <w:pPr>
              <w:pStyle w:val="ListParagraph"/>
              <w:numPr>
                <w:ilvl w:val="1"/>
                <w:numId w:val="28"/>
              </w:numPr>
              <w:ind w:left="1077" w:hanging="357"/>
              <w:contextualSpacing w:val="0"/>
            </w:pPr>
            <w:r w:rsidRPr="00073574">
              <w:t xml:space="preserve">SG20 sent a </w:t>
            </w:r>
            <w:r w:rsidR="00102963" w:rsidRPr="00073574">
              <w:t>liaison statement</w:t>
            </w:r>
            <w:r w:rsidRPr="00073574">
              <w:t xml:space="preserve"> to TSAG</w:t>
            </w:r>
            <w:r w:rsidR="00E47CD6" w:rsidRPr="00073574">
              <w:t xml:space="preserve"> </w:t>
            </w:r>
            <w:r w:rsidR="00F112B1" w:rsidRPr="00073574">
              <w:t xml:space="preserve">for information </w:t>
            </w:r>
            <w:r w:rsidR="00E47CD6" w:rsidRPr="00073574">
              <w:t>on the Terms of Reference of Joint IEC-ISO-ITU Smart Cities Task force (ref. TSAG –</w:t>
            </w:r>
            <w:hyperlink r:id="rId134">
              <w:r w:rsidR="00E47CD6" w:rsidRPr="00073574">
                <w:rPr>
                  <w:rStyle w:val="Hyperlink"/>
                </w:rPr>
                <w:t>TD549</w:t>
              </w:r>
            </w:hyperlink>
            <w:r w:rsidR="00E47CD6" w:rsidRPr="00073574">
              <w:t>)</w:t>
            </w:r>
            <w:r w:rsidR="003972C5" w:rsidRPr="00073574">
              <w:t>.</w:t>
            </w:r>
          </w:p>
          <w:p w14:paraId="3863E869" w14:textId="5A856F2A" w:rsidR="36A708E4" w:rsidRPr="00073574" w:rsidRDefault="007037F7" w:rsidP="00800F0F">
            <w:pPr>
              <w:pStyle w:val="ListParagraph"/>
              <w:numPr>
                <w:ilvl w:val="1"/>
                <w:numId w:val="28"/>
              </w:numPr>
              <w:ind w:left="1077" w:hanging="357"/>
              <w:contextualSpacing w:val="0"/>
              <w:rPr>
                <w:rFonts w:eastAsia="Times New Roman"/>
              </w:rPr>
            </w:pPr>
            <w:r w:rsidRPr="00073574">
              <w:t>During the</w:t>
            </w:r>
            <w:r w:rsidR="00004615" w:rsidRPr="00073574">
              <w:t xml:space="preserve"> </w:t>
            </w:r>
            <w:r w:rsidR="6D07C78D" w:rsidRPr="00073574">
              <w:t xml:space="preserve">SG20 meeting that took place from 6-16 July 2020, oneM2M experts </w:t>
            </w:r>
            <w:r w:rsidR="21AF10D6" w:rsidRPr="00073574">
              <w:t>were</w:t>
            </w:r>
            <w:r w:rsidR="6D07C78D" w:rsidRPr="00073574">
              <w:t xml:space="preserve"> invited to join the Q6/20</w:t>
            </w:r>
            <w:r w:rsidR="074F5C98" w:rsidRPr="00073574">
              <w:t xml:space="preserve"> “Security, privacy, trust and identification</w:t>
            </w:r>
            <w:r w:rsidR="30F5DF1D" w:rsidRPr="00073574">
              <w:t xml:space="preserve"> for IoT and SC&amp;C</w:t>
            </w:r>
            <w:r w:rsidR="074F5C98" w:rsidRPr="00073574">
              <w:t>"</w:t>
            </w:r>
            <w:r w:rsidR="6D07C78D" w:rsidRPr="00073574">
              <w:t xml:space="preserve"> meeting.</w:t>
            </w:r>
          </w:p>
          <w:p w14:paraId="6792F8ED" w14:textId="2E992FFF" w:rsidR="6D07C78D" w:rsidRPr="00073574" w:rsidRDefault="6D07C78D" w:rsidP="00800F0F">
            <w:pPr>
              <w:pStyle w:val="ListParagraph"/>
              <w:numPr>
                <w:ilvl w:val="1"/>
                <w:numId w:val="28"/>
              </w:numPr>
              <w:ind w:left="1077" w:hanging="357"/>
              <w:contextualSpacing w:val="0"/>
              <w:rPr>
                <w:rFonts w:eastAsia="Times New Roman"/>
              </w:rPr>
            </w:pPr>
            <w:r w:rsidRPr="00073574">
              <w:t xml:space="preserve">SG20 sent a liaison statement to TSAG </w:t>
            </w:r>
            <w:r w:rsidR="206768C5" w:rsidRPr="00073574">
              <w:t xml:space="preserve">to inform </w:t>
            </w:r>
            <w:r w:rsidRPr="00073574">
              <w:t>on</w:t>
            </w:r>
            <w:r w:rsidR="00D4028D" w:rsidRPr="00073574">
              <w:t xml:space="preserve"> the</w:t>
            </w:r>
            <w:r w:rsidRPr="00073574">
              <w:t xml:space="preserve"> </w:t>
            </w:r>
            <w:r w:rsidR="00703AA4" w:rsidRPr="00073574">
              <w:t>c</w:t>
            </w:r>
            <w:r w:rsidRPr="00073574">
              <w:t xml:space="preserve">ollaboration between ITU and oneM2M (ref. </w:t>
            </w:r>
            <w:hyperlink r:id="rId135">
              <w:r w:rsidRPr="00073574">
                <w:rPr>
                  <w:rStyle w:val="Hyperlink"/>
                  <w:rFonts w:eastAsia="Times New Roman"/>
                </w:rPr>
                <w:t>TSAG-TD882</w:t>
              </w:r>
            </w:hyperlink>
            <w:r w:rsidRPr="00073574">
              <w:t>)</w:t>
            </w:r>
            <w:r w:rsidR="00EE4F56" w:rsidRPr="00073574">
              <w:t>.</w:t>
            </w:r>
          </w:p>
          <w:p w14:paraId="1646B157" w14:textId="7AC18B75" w:rsidR="00D4028D" w:rsidRPr="00073574" w:rsidRDefault="00D4028D" w:rsidP="00800F0F">
            <w:pPr>
              <w:pStyle w:val="ListParagraph"/>
              <w:numPr>
                <w:ilvl w:val="1"/>
                <w:numId w:val="28"/>
              </w:numPr>
              <w:ind w:left="1077" w:hanging="357"/>
              <w:contextualSpacing w:val="0"/>
              <w:rPr>
                <w:rFonts w:eastAsia="Times New Roman"/>
              </w:rPr>
            </w:pPr>
            <w:r w:rsidRPr="00073574">
              <w:lastRenderedPageBreak/>
              <w:t xml:space="preserve">SG20 sent a liaison statement to TSAG to inform on </w:t>
            </w:r>
            <w:r w:rsidR="00703AA4" w:rsidRPr="00073574">
              <w:t xml:space="preserve">the collaboration between ITU-T and IEEE (ref. </w:t>
            </w:r>
            <w:hyperlink r:id="rId136" w:history="1">
              <w:r w:rsidR="00703AA4" w:rsidRPr="00073574">
                <w:rPr>
                  <w:rStyle w:val="Hyperlink"/>
                </w:rPr>
                <w:t>TSAG-TD1105</w:t>
              </w:r>
            </w:hyperlink>
            <w:r w:rsidR="00703AA4" w:rsidRPr="00073574">
              <w:t>).</w:t>
            </w:r>
          </w:p>
          <w:p w14:paraId="6E0FF80C" w14:textId="5C540DE6" w:rsidR="00310196" w:rsidRPr="00073574" w:rsidRDefault="00274531" w:rsidP="00800F0F">
            <w:pPr>
              <w:pStyle w:val="ListParagraph"/>
              <w:numPr>
                <w:ilvl w:val="1"/>
                <w:numId w:val="28"/>
              </w:numPr>
              <w:ind w:left="1077" w:hanging="357"/>
              <w:contextualSpacing w:val="0"/>
              <w:rPr>
                <w:rFonts w:eastAsia="Times New Roman"/>
              </w:rPr>
            </w:pPr>
            <w:r w:rsidRPr="00073574">
              <w:t xml:space="preserve">SG20 sent a liaison statement to oneM2M on the </w:t>
            </w:r>
            <w:r w:rsidR="00F61C22" w:rsidRPr="00073574">
              <w:t xml:space="preserve">information from TSAG on the draft submission and maintenance process for oneM2M specifications incorporated as ITU-T Recommendations. </w:t>
            </w:r>
          </w:p>
          <w:p w14:paraId="1EFBDD55" w14:textId="45280015" w:rsidR="000D147C" w:rsidRPr="00073574" w:rsidRDefault="00641C51" w:rsidP="00800F0F">
            <w:pPr>
              <w:pStyle w:val="ListParagraph"/>
              <w:numPr>
                <w:ilvl w:val="1"/>
                <w:numId w:val="28"/>
              </w:numPr>
              <w:ind w:left="1077" w:hanging="357"/>
              <w:contextualSpacing w:val="0"/>
              <w:rPr>
                <w:rFonts w:eastAsia="Times New Roman"/>
              </w:rPr>
            </w:pPr>
            <w:r w:rsidRPr="00073574">
              <w:t xml:space="preserve">SG20 sent a liaison statement to </w:t>
            </w:r>
            <w:r w:rsidR="000D147C" w:rsidRPr="00073574">
              <w:t>LoRa Alliance on the collaboration between ITU-T and LoRA Alliance.</w:t>
            </w:r>
          </w:p>
          <w:p w14:paraId="66265C06" w14:textId="194F6E8E" w:rsidR="00A84FFE" w:rsidRPr="00073574" w:rsidRDefault="00A84FFE" w:rsidP="00A84FFE">
            <w:pPr>
              <w:pStyle w:val="ListParagraph"/>
              <w:numPr>
                <w:ilvl w:val="1"/>
                <w:numId w:val="28"/>
              </w:numPr>
              <w:ind w:left="1077" w:hanging="357"/>
              <w:contextualSpacing w:val="0"/>
              <w:rPr>
                <w:rFonts w:eastAsia="Times New Roman"/>
              </w:rPr>
            </w:pPr>
            <w:r w:rsidRPr="00073574">
              <w:t>SG20 sent a liaison statement to TMForum on the collaboration between ITU-T and TMForum.</w:t>
            </w:r>
          </w:p>
          <w:p w14:paraId="026D8D2F" w14:textId="77777777" w:rsidR="00F651B9" w:rsidRPr="00073574" w:rsidRDefault="00F651B9" w:rsidP="634A3A28">
            <w:pPr>
              <w:pStyle w:val="ListParagraph"/>
              <w:numPr>
                <w:ilvl w:val="0"/>
                <w:numId w:val="28"/>
              </w:numPr>
              <w:ind w:left="357" w:hanging="357"/>
              <w:contextualSpacing w:val="0"/>
            </w:pPr>
            <w:r w:rsidRPr="00073574">
              <w:t>TSAG representatives participated in the joint ISO, IEC, ITU-T task force on effective collaboration, and in the IEC/SG11 on hot topic radar.</w:t>
            </w:r>
          </w:p>
          <w:p w14:paraId="43052726" w14:textId="24F326C9" w:rsidR="006D4312" w:rsidRPr="00073574" w:rsidDel="00553578" w:rsidRDefault="006D4312" w:rsidP="634A3A28">
            <w:pPr>
              <w:pStyle w:val="ListParagraph"/>
              <w:numPr>
                <w:ilvl w:val="0"/>
                <w:numId w:val="28"/>
              </w:numPr>
              <w:spacing w:after="40"/>
              <w:ind w:left="357" w:hanging="357"/>
              <w:contextualSpacing w:val="0"/>
            </w:pPr>
            <w:r w:rsidRPr="00073574">
              <w:t>Many workshops are organized in collaboration with other SDOs</w:t>
            </w:r>
            <w:r w:rsidR="00926A5E" w:rsidRPr="00073574">
              <w:t>.</w:t>
            </w:r>
          </w:p>
        </w:tc>
      </w:tr>
      <w:tr w:rsidR="00F0236A" w:rsidRPr="00073574" w14:paraId="5F83075A" w14:textId="77777777" w:rsidTr="00BD106F">
        <w:trPr>
          <w:jc w:val="center"/>
        </w:trPr>
        <w:tc>
          <w:tcPr>
            <w:tcW w:w="896" w:type="dxa"/>
            <w:vMerge w:val="restart"/>
            <w:tcBorders>
              <w:top w:val="single" w:sz="12" w:space="0" w:color="auto"/>
            </w:tcBorders>
            <w:shd w:val="clear" w:color="auto" w:fill="auto"/>
          </w:tcPr>
          <w:p w14:paraId="392F3489" w14:textId="77777777" w:rsidR="00F0236A" w:rsidRPr="00073574" w:rsidRDefault="00F0236A" w:rsidP="009B201B">
            <w:pPr>
              <w:pStyle w:val="Tabletext"/>
              <w:rPr>
                <w:b/>
                <w:bCs/>
                <w:sz w:val="24"/>
                <w:szCs w:val="24"/>
              </w:rPr>
            </w:pPr>
            <w:r w:rsidRPr="00073574">
              <w:rPr>
                <w:b/>
                <w:bCs/>
                <w:sz w:val="24"/>
                <w:szCs w:val="24"/>
              </w:rPr>
              <w:lastRenderedPageBreak/>
              <w:t>01-06</w:t>
            </w:r>
          </w:p>
        </w:tc>
        <w:tc>
          <w:tcPr>
            <w:tcW w:w="4508" w:type="dxa"/>
            <w:tcBorders>
              <w:top w:val="single" w:sz="12" w:space="0" w:color="auto"/>
            </w:tcBorders>
            <w:shd w:val="clear" w:color="auto" w:fill="auto"/>
          </w:tcPr>
          <w:p w14:paraId="62FF319A" w14:textId="77777777" w:rsidR="00F0236A" w:rsidRPr="00073574" w:rsidRDefault="00F0236A" w:rsidP="009B201B">
            <w:pPr>
              <w:pStyle w:val="Tabletext"/>
              <w:rPr>
                <w:b/>
                <w:bCs/>
                <w:sz w:val="24"/>
                <w:szCs w:val="24"/>
              </w:rPr>
            </w:pPr>
            <w:r w:rsidRPr="00073574">
              <w:rPr>
                <w:b/>
                <w:bCs/>
                <w:sz w:val="24"/>
                <w:szCs w:val="24"/>
              </w:rPr>
              <w:t>TSB Director to inform TSAG upon deleted Questions (clauses 7.4.1.3 and 9.8.2.2)</w:t>
            </w:r>
          </w:p>
        </w:tc>
        <w:tc>
          <w:tcPr>
            <w:tcW w:w="1861" w:type="dxa"/>
            <w:tcBorders>
              <w:top w:val="single" w:sz="12" w:space="0" w:color="auto"/>
            </w:tcBorders>
            <w:shd w:val="clear" w:color="auto" w:fill="auto"/>
            <w:vAlign w:val="center"/>
          </w:tcPr>
          <w:p w14:paraId="731EC5DF" w14:textId="77777777" w:rsidR="00F0236A" w:rsidRPr="00073574" w:rsidRDefault="00F0236A" w:rsidP="009B201B">
            <w:pPr>
              <w:pStyle w:val="Tabletext"/>
              <w:jc w:val="center"/>
              <w:rPr>
                <w:b/>
                <w:bCs/>
                <w:sz w:val="24"/>
                <w:szCs w:val="24"/>
              </w:rPr>
            </w:pPr>
            <w:r w:rsidRPr="00073574">
              <w:rPr>
                <w:b/>
                <w:bCs/>
                <w:sz w:val="24"/>
                <w:szCs w:val="24"/>
              </w:rPr>
              <w:t>TSAG meetings</w:t>
            </w:r>
          </w:p>
        </w:tc>
        <w:tc>
          <w:tcPr>
            <w:tcW w:w="1231" w:type="dxa"/>
            <w:tcBorders>
              <w:top w:val="single" w:sz="12" w:space="0" w:color="auto"/>
            </w:tcBorders>
            <w:shd w:val="clear" w:color="auto" w:fill="auto"/>
            <w:vAlign w:val="center"/>
          </w:tcPr>
          <w:p w14:paraId="7E99EF8C" w14:textId="77777777" w:rsidR="00F0236A" w:rsidRPr="00073574" w:rsidRDefault="00F0236A" w:rsidP="009B201B">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7287D1A8" w14:textId="77777777" w:rsidR="00F0236A" w:rsidRPr="00073574" w:rsidDel="00553578" w:rsidRDefault="00F0236A" w:rsidP="009B201B">
            <w:pPr>
              <w:pStyle w:val="Tabletext"/>
              <w:jc w:val="center"/>
              <w:rPr>
                <w:b/>
                <w:bCs/>
                <w:sz w:val="24"/>
                <w:szCs w:val="24"/>
              </w:rPr>
            </w:pPr>
          </w:p>
        </w:tc>
      </w:tr>
      <w:tr w:rsidR="00F0236A" w:rsidRPr="00073574" w14:paraId="3ED71591" w14:textId="77777777" w:rsidTr="634A3A28">
        <w:trPr>
          <w:jc w:val="center"/>
        </w:trPr>
        <w:tc>
          <w:tcPr>
            <w:tcW w:w="896" w:type="dxa"/>
            <w:vMerge/>
            <w:vAlign w:val="center"/>
          </w:tcPr>
          <w:p w14:paraId="40BDE222" w14:textId="77777777" w:rsidR="00F0236A" w:rsidRPr="00073574" w:rsidRDefault="00F0236A" w:rsidP="009B201B">
            <w:pPr>
              <w:pStyle w:val="Tabletext"/>
              <w:rPr>
                <w:sz w:val="24"/>
                <w:szCs w:val="24"/>
              </w:rPr>
            </w:pPr>
          </w:p>
        </w:tc>
        <w:tc>
          <w:tcPr>
            <w:tcW w:w="8936" w:type="dxa"/>
            <w:gridSpan w:val="4"/>
            <w:shd w:val="clear" w:color="auto" w:fill="auto"/>
          </w:tcPr>
          <w:p w14:paraId="71A86A4C" w14:textId="2F95ACE8" w:rsidR="00F0236A" w:rsidRPr="00073574" w:rsidRDefault="007603C5" w:rsidP="634A3A28">
            <w:pPr>
              <w:pStyle w:val="ListParagraph"/>
              <w:numPr>
                <w:ilvl w:val="0"/>
                <w:numId w:val="28"/>
              </w:numPr>
              <w:spacing w:before="40"/>
              <w:ind w:left="357" w:hanging="357"/>
              <w:contextualSpacing w:val="0"/>
            </w:pPr>
            <w:r w:rsidRPr="00073574">
              <w:t>SG5 sent a</w:t>
            </w:r>
            <w:r w:rsidR="00905076" w:rsidRPr="00073574">
              <w:t xml:space="preserve"> liaison statement </w:t>
            </w:r>
            <w:r w:rsidRPr="00073574">
              <w:t>to TSAG (TSAG-TD182) on the new structure of ITU-T SG5 and revised text of Questions 6, 7 and 9. Q10/5 on Adaptation to climate change and low cost and sustainable resilient information and communication technologies (ICTs) was deleted. Circular 30 and 42.</w:t>
            </w:r>
          </w:p>
          <w:p w14:paraId="455AA81C" w14:textId="1D7D0BF4" w:rsidR="0096403E" w:rsidRPr="00073574" w:rsidRDefault="0096403E" w:rsidP="634A3A28">
            <w:pPr>
              <w:pStyle w:val="ListParagraph"/>
              <w:numPr>
                <w:ilvl w:val="0"/>
                <w:numId w:val="28"/>
              </w:numPr>
              <w:contextualSpacing w:val="0"/>
            </w:pPr>
            <w:r w:rsidRPr="00073574">
              <w:t>SG9</w:t>
            </w:r>
            <w:r w:rsidR="00557449" w:rsidRPr="00073574">
              <w:t>, at their January 2018 meeting,</w:t>
            </w:r>
            <w:r w:rsidRPr="00073574">
              <w:t xml:space="preserve"> has merged Question 3/</w:t>
            </w:r>
            <w:r w:rsidR="00084AA8" w:rsidRPr="00073574">
              <w:t>9</w:t>
            </w:r>
            <w:r w:rsidRPr="00073574">
              <w:t xml:space="preserve"> into Q1/9, and </w:t>
            </w:r>
            <w:r w:rsidR="00180F73" w:rsidRPr="00073574">
              <w:t xml:space="preserve">has </w:t>
            </w:r>
            <w:r w:rsidRPr="00073574">
              <w:t>initiated the deletion procedure for Q3/</w:t>
            </w:r>
            <w:r w:rsidR="00084AA8" w:rsidRPr="00073574">
              <w:t>9; Q3/9 was deleted</w:t>
            </w:r>
            <w:r w:rsidR="00FD2D80" w:rsidRPr="00073574">
              <w:t>.</w:t>
            </w:r>
          </w:p>
          <w:p w14:paraId="61405134" w14:textId="341B805E" w:rsidR="003C6019" w:rsidRPr="00073574" w:rsidRDefault="003C6019" w:rsidP="634A3A28">
            <w:pPr>
              <w:pStyle w:val="ListParagraph"/>
              <w:numPr>
                <w:ilvl w:val="0"/>
                <w:numId w:val="28"/>
              </w:numPr>
              <w:contextualSpacing w:val="0"/>
            </w:pPr>
            <w:r w:rsidRPr="00073574">
              <w:t>SG12 disband</w:t>
            </w:r>
            <w:r w:rsidR="00D13C8E" w:rsidRPr="00073574">
              <w:t>ed</w:t>
            </w:r>
            <w:r w:rsidRPr="00073574">
              <w:t xml:space="preserve"> Question 18/12; ref TSAG-TD543.</w:t>
            </w:r>
          </w:p>
          <w:p w14:paraId="2856FA16" w14:textId="77777777" w:rsidR="00976D90" w:rsidRPr="00073574" w:rsidRDefault="00976D90" w:rsidP="634A3A28">
            <w:pPr>
              <w:pStyle w:val="ListParagraph"/>
              <w:numPr>
                <w:ilvl w:val="0"/>
                <w:numId w:val="28"/>
              </w:numPr>
              <w:contextualSpacing w:val="0"/>
            </w:pPr>
            <w:r w:rsidRPr="00073574">
              <w:t xml:space="preserve">SG15 sent a </w:t>
            </w:r>
            <w:r w:rsidR="00905076" w:rsidRPr="00073574">
              <w:t xml:space="preserve">liaison statement </w:t>
            </w:r>
            <w:r w:rsidRPr="00073574">
              <w:t xml:space="preserve">to TSAG on merger of Q19/15 into </w:t>
            </w:r>
            <w:r w:rsidR="00905076" w:rsidRPr="00073574">
              <w:t xml:space="preserve">Q18/15 from June 2017 meeting. </w:t>
            </w:r>
            <w:r w:rsidRPr="00073574">
              <w:t xml:space="preserve">SG15 sent a </w:t>
            </w:r>
            <w:r w:rsidR="00905076" w:rsidRPr="00073574">
              <w:t xml:space="preserve">liaison statement </w:t>
            </w:r>
            <w:r w:rsidRPr="00073574">
              <w:t>on deletion of Q3/15 and update of Q12/15 from Jan/Feb 2018 meeting.</w:t>
            </w:r>
          </w:p>
          <w:p w14:paraId="1DDF4DB4" w14:textId="77777777" w:rsidR="007560BB" w:rsidRPr="00073574" w:rsidRDefault="007560BB" w:rsidP="634A3A28">
            <w:pPr>
              <w:pStyle w:val="ListParagraph"/>
              <w:numPr>
                <w:ilvl w:val="0"/>
                <w:numId w:val="28"/>
              </w:numPr>
              <w:spacing w:after="40"/>
              <w:ind w:left="357" w:hanging="357"/>
              <w:contextualSpacing w:val="0"/>
            </w:pPr>
            <w:r w:rsidRPr="00073574">
              <w:t>SG15 sent a liaison statement to TSAG on merger of Q9/15 into Q10/15, Q11/15 and Q12/15 (TSAG-TD383).</w:t>
            </w:r>
          </w:p>
          <w:p w14:paraId="79E47547" w14:textId="566104D2" w:rsidR="00D31A99" w:rsidRPr="00073574" w:rsidRDefault="00D31A99" w:rsidP="634A3A28">
            <w:pPr>
              <w:pStyle w:val="ListParagraph"/>
              <w:numPr>
                <w:ilvl w:val="0"/>
                <w:numId w:val="28"/>
              </w:numPr>
              <w:spacing w:after="40"/>
              <w:ind w:left="357" w:hanging="357"/>
              <w:contextualSpacing w:val="0"/>
            </w:pPr>
            <w:r w:rsidRPr="00073574">
              <w:rPr>
                <w:rFonts w:asciiTheme="majorBidi" w:hAnsiTheme="majorBidi" w:cstheme="majorBidi"/>
              </w:rPr>
              <w:t xml:space="preserve">SG15 merged Q7/15 “Characteristics of optical components and subsystems” and Q6/15 “Characteristics of optical systems for terrestrial transport networks” into renamed Question 6/15 “Characteristics of optical components, subsystems and systems for optical transport networks”; </w:t>
            </w:r>
            <w:r w:rsidR="0004602C" w:rsidRPr="00073574">
              <w:t>and has initiated the deletion procedure for</w:t>
            </w:r>
            <w:r w:rsidR="0004602C" w:rsidRPr="00073574">
              <w:rPr>
                <w:rFonts w:asciiTheme="majorBidi" w:hAnsiTheme="majorBidi" w:cstheme="majorBidi"/>
              </w:rPr>
              <w:t xml:space="preserve"> </w:t>
            </w:r>
            <w:r w:rsidRPr="00073574">
              <w:rPr>
                <w:rFonts w:asciiTheme="majorBidi" w:hAnsiTheme="majorBidi" w:cstheme="majorBidi"/>
              </w:rPr>
              <w:t>Question 7/15.</w:t>
            </w:r>
          </w:p>
          <w:p w14:paraId="0273747C" w14:textId="77777777" w:rsidR="00D31A99" w:rsidRPr="00073574" w:rsidRDefault="00D31A99" w:rsidP="634A3A28">
            <w:pPr>
              <w:pStyle w:val="ListParagraph"/>
              <w:numPr>
                <w:ilvl w:val="0"/>
                <w:numId w:val="28"/>
              </w:numPr>
              <w:spacing w:after="40"/>
              <w:ind w:left="357" w:hanging="357"/>
              <w:contextualSpacing w:val="0"/>
            </w:pPr>
            <w:r w:rsidRPr="00073574">
              <w:rPr>
                <w:rFonts w:asciiTheme="majorBidi" w:hAnsiTheme="majorBidi" w:cstheme="majorBidi"/>
              </w:rPr>
              <w:t>S</w:t>
            </w:r>
            <w:r w:rsidR="005C316F" w:rsidRPr="00073574">
              <w:rPr>
                <w:rFonts w:asciiTheme="majorBidi" w:hAnsiTheme="majorBidi" w:cstheme="majorBidi"/>
              </w:rPr>
              <w:t>G</w:t>
            </w:r>
            <w:r w:rsidRPr="00073574">
              <w:rPr>
                <w:rFonts w:asciiTheme="majorBidi" w:hAnsiTheme="majorBidi" w:cstheme="majorBidi"/>
              </w:rPr>
              <w:t xml:space="preserve">15 merged Q15/15 “Communications for smart grid” and Q18/15 “Broadband in-premises networking” into renamed Q18/15 “Technologies for in-premises networking and related access applications”; </w:t>
            </w:r>
            <w:r w:rsidR="0004602C" w:rsidRPr="00073574">
              <w:t>and has initiated the deletion procedure for</w:t>
            </w:r>
            <w:r w:rsidR="0004602C" w:rsidRPr="00073574">
              <w:rPr>
                <w:rFonts w:asciiTheme="majorBidi" w:hAnsiTheme="majorBidi" w:cstheme="majorBidi"/>
              </w:rPr>
              <w:t xml:space="preserve"> </w:t>
            </w:r>
            <w:r w:rsidRPr="00073574">
              <w:rPr>
                <w:rFonts w:asciiTheme="majorBidi" w:hAnsiTheme="majorBidi" w:cstheme="majorBidi"/>
              </w:rPr>
              <w:t>Q</w:t>
            </w:r>
            <w:r w:rsidR="0057577E" w:rsidRPr="00073574">
              <w:rPr>
                <w:rFonts w:asciiTheme="majorBidi" w:hAnsiTheme="majorBidi" w:cstheme="majorBidi"/>
              </w:rPr>
              <w:t xml:space="preserve">uestion </w:t>
            </w:r>
            <w:r w:rsidRPr="00073574">
              <w:rPr>
                <w:rFonts w:asciiTheme="majorBidi" w:hAnsiTheme="majorBidi" w:cstheme="majorBidi"/>
              </w:rPr>
              <w:t>15/15.</w:t>
            </w:r>
          </w:p>
          <w:p w14:paraId="4F991568" w14:textId="31CAB102" w:rsidR="003E25A2" w:rsidRPr="00073574" w:rsidDel="00553578" w:rsidRDefault="003E25A2" w:rsidP="003E25A2">
            <w:pPr>
              <w:pStyle w:val="ListParagraph"/>
              <w:keepNext/>
              <w:keepLines/>
              <w:numPr>
                <w:ilvl w:val="0"/>
                <w:numId w:val="28"/>
              </w:numPr>
            </w:pPr>
            <w:r w:rsidRPr="00073574">
              <w:t>TSAG in January 2021 endorsed the new or revised Questions proposed by Study Groups as report in TSAG R12,…,R22. A couple of former Questions were merged or discontinued.</w:t>
            </w:r>
          </w:p>
        </w:tc>
      </w:tr>
      <w:tr w:rsidR="00BD106F" w:rsidRPr="00073574" w:rsidDel="00553578" w14:paraId="00BD8370" w14:textId="77777777" w:rsidTr="00BD106F">
        <w:trPr>
          <w:jc w:val="center"/>
        </w:trPr>
        <w:tc>
          <w:tcPr>
            <w:tcW w:w="896" w:type="dxa"/>
            <w:vMerge w:val="restart"/>
            <w:tcBorders>
              <w:top w:val="single" w:sz="12" w:space="0" w:color="auto"/>
            </w:tcBorders>
            <w:shd w:val="clear" w:color="auto" w:fill="auto"/>
          </w:tcPr>
          <w:p w14:paraId="6851A766" w14:textId="01D5AF22" w:rsidR="00BD106F" w:rsidRPr="00073574" w:rsidRDefault="00BD106F" w:rsidP="00CE1B9D">
            <w:pPr>
              <w:pStyle w:val="Tabletext"/>
              <w:keepNext/>
              <w:keepLines/>
              <w:rPr>
                <w:b/>
                <w:bCs/>
                <w:sz w:val="24"/>
                <w:szCs w:val="24"/>
              </w:rPr>
            </w:pPr>
            <w:bookmarkStart w:id="12" w:name="Item01_02"/>
            <w:bookmarkStart w:id="13" w:name="Item01_03"/>
            <w:bookmarkStart w:id="14" w:name="Item01_04"/>
            <w:bookmarkStart w:id="15" w:name="Item01_05"/>
            <w:bookmarkStart w:id="16" w:name="Item01_06"/>
            <w:bookmarkEnd w:id="12"/>
            <w:bookmarkEnd w:id="13"/>
            <w:bookmarkEnd w:id="14"/>
            <w:bookmarkEnd w:id="15"/>
            <w:bookmarkEnd w:id="16"/>
            <w:r w:rsidRPr="00073574">
              <w:rPr>
                <w:b/>
                <w:bCs/>
                <w:sz w:val="24"/>
                <w:szCs w:val="24"/>
              </w:rPr>
              <w:lastRenderedPageBreak/>
              <w:t>01-07</w:t>
            </w:r>
          </w:p>
        </w:tc>
        <w:tc>
          <w:tcPr>
            <w:tcW w:w="4508" w:type="dxa"/>
            <w:tcBorders>
              <w:top w:val="single" w:sz="12" w:space="0" w:color="auto"/>
            </w:tcBorders>
            <w:shd w:val="clear" w:color="auto" w:fill="auto"/>
          </w:tcPr>
          <w:p w14:paraId="1F8FEB1E" w14:textId="35D9D9DC" w:rsidR="00BD106F" w:rsidRPr="00073574" w:rsidRDefault="00BD106F" w:rsidP="00CE1B9D">
            <w:pPr>
              <w:pStyle w:val="Tabletext"/>
              <w:keepNext/>
              <w:keepLines/>
              <w:rPr>
                <w:b/>
                <w:bCs/>
                <w:sz w:val="24"/>
                <w:szCs w:val="24"/>
              </w:rPr>
            </w:pPr>
            <w:r w:rsidRPr="00073574">
              <w:rPr>
                <w:b/>
                <w:bCs/>
                <w:sz w:val="24"/>
                <w:szCs w:val="24"/>
              </w:rPr>
              <w:t xml:space="preserve">TSB Director </w:t>
            </w:r>
            <w:r w:rsidR="0066773E" w:rsidRPr="00073574">
              <w:rPr>
                <w:b/>
                <w:bCs/>
                <w:sz w:val="24"/>
                <w:szCs w:val="24"/>
              </w:rPr>
              <w:t>shall provide to WTSA (for information) a summary of the accounts for the years which have elapsed since the preceding WTSA, and the estimated expenses of ITU‑T to cover its financial requirements until the next WTSA for the subsequent biennial budgets and financial plan, as appropriate, taking into account the pertinent results of WTSA, including priorities.</w:t>
            </w:r>
            <w:r w:rsidRPr="00073574">
              <w:rPr>
                <w:b/>
                <w:bCs/>
                <w:sz w:val="24"/>
                <w:szCs w:val="24"/>
              </w:rPr>
              <w:t xml:space="preserve"> (clause </w:t>
            </w:r>
            <w:r w:rsidR="0066773E" w:rsidRPr="00073574">
              <w:rPr>
                <w:b/>
                <w:bCs/>
                <w:sz w:val="24"/>
                <w:szCs w:val="24"/>
              </w:rPr>
              <w:t>5.7</w:t>
            </w:r>
            <w:r w:rsidRPr="00073574">
              <w:rPr>
                <w:b/>
                <w:bCs/>
                <w:sz w:val="24"/>
                <w:szCs w:val="24"/>
              </w:rPr>
              <w:t>)</w:t>
            </w:r>
          </w:p>
        </w:tc>
        <w:tc>
          <w:tcPr>
            <w:tcW w:w="1861" w:type="dxa"/>
            <w:tcBorders>
              <w:top w:val="single" w:sz="12" w:space="0" w:color="auto"/>
            </w:tcBorders>
            <w:shd w:val="clear" w:color="auto" w:fill="auto"/>
            <w:vAlign w:val="center"/>
          </w:tcPr>
          <w:p w14:paraId="6F3BA96C" w14:textId="72DA9570" w:rsidR="00BD106F" w:rsidRPr="00073574" w:rsidRDefault="00BD106F" w:rsidP="00443DEB">
            <w:pPr>
              <w:pStyle w:val="Tabletext"/>
              <w:jc w:val="center"/>
              <w:rPr>
                <w:b/>
                <w:bCs/>
                <w:sz w:val="24"/>
                <w:szCs w:val="24"/>
              </w:rPr>
            </w:pPr>
            <w:r w:rsidRPr="00073574">
              <w:rPr>
                <w:b/>
                <w:bCs/>
                <w:sz w:val="24"/>
                <w:szCs w:val="24"/>
              </w:rPr>
              <w:t>WTSA-20</w:t>
            </w:r>
          </w:p>
        </w:tc>
        <w:tc>
          <w:tcPr>
            <w:tcW w:w="1231" w:type="dxa"/>
            <w:tcBorders>
              <w:top w:val="single" w:sz="12" w:space="0" w:color="auto"/>
            </w:tcBorders>
            <w:shd w:val="clear" w:color="auto" w:fill="auto"/>
            <w:vAlign w:val="center"/>
          </w:tcPr>
          <w:p w14:paraId="5EDF9808" w14:textId="77777777" w:rsidR="00BD106F" w:rsidRPr="00073574" w:rsidRDefault="00BD106F" w:rsidP="00443DEB">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42D8583A" w14:textId="13179E6F" w:rsidR="00BD106F" w:rsidRPr="00073574" w:rsidDel="00553578" w:rsidRDefault="00BD106F" w:rsidP="00443DEB">
            <w:pPr>
              <w:pStyle w:val="Tabletext"/>
              <w:jc w:val="center"/>
              <w:rPr>
                <w:b/>
                <w:bCs/>
                <w:sz w:val="24"/>
                <w:szCs w:val="24"/>
              </w:rPr>
            </w:pPr>
            <w:r w:rsidRPr="00073574">
              <w:rPr>
                <w:b/>
                <w:bCs/>
                <w:sz w:val="24"/>
                <w:szCs w:val="24"/>
              </w:rPr>
              <w:t>√</w:t>
            </w:r>
          </w:p>
        </w:tc>
      </w:tr>
      <w:tr w:rsidR="00BD106F" w:rsidRPr="00073574" w:rsidDel="00553578" w14:paraId="38E9881F" w14:textId="77777777" w:rsidTr="00443DEB">
        <w:trPr>
          <w:jc w:val="center"/>
        </w:trPr>
        <w:tc>
          <w:tcPr>
            <w:tcW w:w="896" w:type="dxa"/>
            <w:vMerge/>
            <w:vAlign w:val="center"/>
          </w:tcPr>
          <w:p w14:paraId="0168156A" w14:textId="77777777" w:rsidR="00BD106F" w:rsidRPr="00073574" w:rsidRDefault="00BD106F" w:rsidP="00443DEB">
            <w:pPr>
              <w:pStyle w:val="Tabletext"/>
              <w:rPr>
                <w:sz w:val="24"/>
                <w:szCs w:val="24"/>
              </w:rPr>
            </w:pPr>
          </w:p>
        </w:tc>
        <w:tc>
          <w:tcPr>
            <w:tcW w:w="8936" w:type="dxa"/>
            <w:gridSpan w:val="4"/>
            <w:shd w:val="clear" w:color="auto" w:fill="auto"/>
          </w:tcPr>
          <w:p w14:paraId="270D00EF" w14:textId="5EC782D9" w:rsidR="00BD106F" w:rsidRPr="00073574" w:rsidDel="00553578" w:rsidRDefault="00FB6A0D" w:rsidP="0068623B">
            <w:pPr>
              <w:keepNext/>
              <w:keepLines/>
            </w:pPr>
            <w:r w:rsidRPr="00073574">
              <w:t xml:space="preserve">See </w:t>
            </w:r>
            <w:hyperlink r:id="rId137" w:history="1">
              <w:r w:rsidRPr="00073574">
                <w:rPr>
                  <w:rStyle w:val="Hyperlink"/>
                </w:rPr>
                <w:t>WTSA-C29</w:t>
              </w:r>
            </w:hyperlink>
            <w:r w:rsidRPr="00073574">
              <w:t xml:space="preserve"> “Report on estimated financial needs up to WTSA-24 and ITU-T expenses for the years 2016 to 2021”.</w:t>
            </w:r>
          </w:p>
        </w:tc>
      </w:tr>
      <w:tr w:rsidR="00BE1CB5" w:rsidRPr="00073574" w:rsidDel="00553578" w14:paraId="119986EF" w14:textId="77777777" w:rsidTr="00443DEB">
        <w:trPr>
          <w:jc w:val="center"/>
        </w:trPr>
        <w:tc>
          <w:tcPr>
            <w:tcW w:w="896" w:type="dxa"/>
            <w:vMerge w:val="restart"/>
            <w:tcBorders>
              <w:top w:val="single" w:sz="12" w:space="0" w:color="auto"/>
            </w:tcBorders>
            <w:shd w:val="clear" w:color="auto" w:fill="auto"/>
          </w:tcPr>
          <w:p w14:paraId="0707B4FB" w14:textId="6BC16024" w:rsidR="00BE1CB5" w:rsidRPr="00073574" w:rsidRDefault="00BE1CB5" w:rsidP="00443DEB">
            <w:pPr>
              <w:pStyle w:val="Tabletext"/>
              <w:rPr>
                <w:b/>
                <w:bCs/>
                <w:sz w:val="24"/>
                <w:szCs w:val="24"/>
              </w:rPr>
            </w:pPr>
            <w:r w:rsidRPr="00073574">
              <w:rPr>
                <w:b/>
                <w:bCs/>
                <w:sz w:val="24"/>
                <w:szCs w:val="24"/>
              </w:rPr>
              <w:t>01-08</w:t>
            </w:r>
          </w:p>
        </w:tc>
        <w:tc>
          <w:tcPr>
            <w:tcW w:w="4508" w:type="dxa"/>
            <w:tcBorders>
              <w:top w:val="single" w:sz="12" w:space="0" w:color="auto"/>
            </w:tcBorders>
            <w:shd w:val="clear" w:color="auto" w:fill="auto"/>
          </w:tcPr>
          <w:p w14:paraId="4DB6ACA4" w14:textId="7B9E6A54" w:rsidR="00BE1CB5" w:rsidRPr="00073574" w:rsidRDefault="006D634C" w:rsidP="00443DEB">
            <w:pPr>
              <w:pStyle w:val="Tabletext"/>
              <w:rPr>
                <w:b/>
                <w:bCs/>
                <w:sz w:val="24"/>
                <w:szCs w:val="24"/>
              </w:rPr>
            </w:pPr>
            <w:r w:rsidRPr="00073574">
              <w:rPr>
                <w:b/>
                <w:bCs/>
                <w:sz w:val="24"/>
                <w:szCs w:val="24"/>
              </w:rPr>
              <w:t>The Director shall submit for preliminary examination by the Budget Control Committee, and thereafter for approval by WTSA, the accounts for expenses incurred for the current WTSA. (clause 5.8)</w:t>
            </w:r>
          </w:p>
        </w:tc>
        <w:tc>
          <w:tcPr>
            <w:tcW w:w="1861" w:type="dxa"/>
            <w:tcBorders>
              <w:top w:val="single" w:sz="12" w:space="0" w:color="auto"/>
            </w:tcBorders>
            <w:shd w:val="clear" w:color="auto" w:fill="auto"/>
            <w:vAlign w:val="center"/>
          </w:tcPr>
          <w:p w14:paraId="7409F6E7" w14:textId="77777777" w:rsidR="00BE1CB5" w:rsidRPr="00073574" w:rsidRDefault="00BE1CB5" w:rsidP="00443DEB">
            <w:pPr>
              <w:pStyle w:val="Tabletext"/>
              <w:jc w:val="center"/>
              <w:rPr>
                <w:b/>
                <w:bCs/>
                <w:sz w:val="24"/>
                <w:szCs w:val="24"/>
              </w:rPr>
            </w:pPr>
            <w:r w:rsidRPr="00073574">
              <w:rPr>
                <w:b/>
                <w:bCs/>
                <w:sz w:val="24"/>
                <w:szCs w:val="24"/>
              </w:rPr>
              <w:t>WTSA-20</w:t>
            </w:r>
          </w:p>
        </w:tc>
        <w:tc>
          <w:tcPr>
            <w:tcW w:w="1231" w:type="dxa"/>
            <w:tcBorders>
              <w:top w:val="single" w:sz="12" w:space="0" w:color="auto"/>
            </w:tcBorders>
            <w:shd w:val="clear" w:color="auto" w:fill="auto"/>
            <w:vAlign w:val="center"/>
          </w:tcPr>
          <w:p w14:paraId="3D51E844" w14:textId="77777777" w:rsidR="00BE1CB5" w:rsidRPr="00073574" w:rsidRDefault="00BE1CB5" w:rsidP="00443DEB">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0A48455C" w14:textId="77777777" w:rsidR="00BE1CB5" w:rsidRPr="00073574" w:rsidDel="00553578" w:rsidRDefault="00BE1CB5" w:rsidP="00443DEB">
            <w:pPr>
              <w:pStyle w:val="Tabletext"/>
              <w:jc w:val="center"/>
              <w:rPr>
                <w:b/>
                <w:bCs/>
                <w:sz w:val="24"/>
                <w:szCs w:val="24"/>
              </w:rPr>
            </w:pPr>
            <w:r w:rsidRPr="00073574">
              <w:rPr>
                <w:b/>
                <w:bCs/>
                <w:sz w:val="24"/>
                <w:szCs w:val="24"/>
              </w:rPr>
              <w:t>√</w:t>
            </w:r>
          </w:p>
        </w:tc>
      </w:tr>
      <w:tr w:rsidR="00BE1CB5" w:rsidRPr="00073574" w:rsidDel="00553578" w14:paraId="2EE18E3D" w14:textId="77777777" w:rsidTr="00443DEB">
        <w:trPr>
          <w:jc w:val="center"/>
        </w:trPr>
        <w:tc>
          <w:tcPr>
            <w:tcW w:w="896" w:type="dxa"/>
            <w:vMerge/>
            <w:vAlign w:val="center"/>
          </w:tcPr>
          <w:p w14:paraId="49DA2E41" w14:textId="77777777" w:rsidR="00BE1CB5" w:rsidRPr="00073574" w:rsidRDefault="00BE1CB5" w:rsidP="00443DEB">
            <w:pPr>
              <w:pStyle w:val="Tabletext"/>
              <w:rPr>
                <w:sz w:val="24"/>
                <w:szCs w:val="24"/>
              </w:rPr>
            </w:pPr>
          </w:p>
        </w:tc>
        <w:tc>
          <w:tcPr>
            <w:tcW w:w="8936" w:type="dxa"/>
            <w:gridSpan w:val="4"/>
            <w:shd w:val="clear" w:color="auto" w:fill="auto"/>
          </w:tcPr>
          <w:p w14:paraId="781F6FFE" w14:textId="77777777" w:rsidR="00BE1CB5" w:rsidRPr="00073574" w:rsidRDefault="00BE1CB5" w:rsidP="00FE1B7F">
            <w:pPr>
              <w:keepNext/>
              <w:keepLines/>
            </w:pPr>
            <w:r w:rsidRPr="00073574">
              <w:t xml:space="preserve">See </w:t>
            </w:r>
            <w:hyperlink r:id="rId138" w:history="1">
              <w:r w:rsidR="00FE1B7F" w:rsidRPr="00073574">
                <w:rPr>
                  <w:rStyle w:val="Hyperlink"/>
                </w:rPr>
                <w:t>WTSA-C31</w:t>
              </w:r>
            </w:hyperlink>
            <w:r w:rsidR="00FE1B7F" w:rsidRPr="00073574">
              <w:t xml:space="preserve"> “Budget of the World Telecommunication Standardization Assembly (WTSA-20)”</w:t>
            </w:r>
            <w:r w:rsidR="00D17DD7" w:rsidRPr="00073574">
              <w:t>; and</w:t>
            </w:r>
          </w:p>
          <w:p w14:paraId="522D4CA1" w14:textId="3E22AE1B" w:rsidR="00D17DD7" w:rsidRPr="00073574" w:rsidDel="00553578" w:rsidRDefault="0053741E" w:rsidP="007C6F20">
            <w:pPr>
              <w:keepNext/>
              <w:keepLines/>
            </w:pPr>
            <w:hyperlink r:id="rId139" w:history="1">
              <w:r w:rsidR="00D17DD7" w:rsidRPr="00073574">
                <w:rPr>
                  <w:rStyle w:val="Hyperlink"/>
                </w:rPr>
                <w:t>WTSA-C32</w:t>
              </w:r>
            </w:hyperlink>
            <w:r w:rsidR="00D17DD7" w:rsidRPr="00073574">
              <w:t xml:space="preserve"> “Contributions to the expenses of the World Telecommunication Standardization Assembly (WTSA-20)”.</w:t>
            </w:r>
          </w:p>
        </w:tc>
      </w:tr>
      <w:tr w:rsidR="00637F1F" w:rsidRPr="00073574" w:rsidDel="00553578" w14:paraId="238D02A6" w14:textId="77777777" w:rsidTr="00443DEB">
        <w:trPr>
          <w:jc w:val="center"/>
        </w:trPr>
        <w:tc>
          <w:tcPr>
            <w:tcW w:w="896" w:type="dxa"/>
            <w:vMerge w:val="restart"/>
            <w:tcBorders>
              <w:top w:val="single" w:sz="12" w:space="0" w:color="auto"/>
            </w:tcBorders>
            <w:shd w:val="clear" w:color="auto" w:fill="auto"/>
          </w:tcPr>
          <w:p w14:paraId="6AEE43C2" w14:textId="35324C6A" w:rsidR="00637F1F" w:rsidRPr="00073574" w:rsidRDefault="00637F1F" w:rsidP="00443DEB">
            <w:pPr>
              <w:pStyle w:val="Tabletext"/>
              <w:rPr>
                <w:b/>
                <w:bCs/>
                <w:sz w:val="24"/>
                <w:szCs w:val="24"/>
              </w:rPr>
            </w:pPr>
            <w:r w:rsidRPr="00073574">
              <w:rPr>
                <w:b/>
                <w:bCs/>
                <w:sz w:val="24"/>
                <w:szCs w:val="24"/>
              </w:rPr>
              <w:t>01-09</w:t>
            </w:r>
          </w:p>
        </w:tc>
        <w:tc>
          <w:tcPr>
            <w:tcW w:w="4508" w:type="dxa"/>
            <w:tcBorders>
              <w:top w:val="single" w:sz="12" w:space="0" w:color="auto"/>
            </w:tcBorders>
            <w:shd w:val="clear" w:color="auto" w:fill="auto"/>
          </w:tcPr>
          <w:p w14:paraId="51AA481C" w14:textId="73E5FB99" w:rsidR="00637F1F" w:rsidRPr="00073574" w:rsidRDefault="0061057C" w:rsidP="00443DEB">
            <w:pPr>
              <w:pStyle w:val="Tabletext"/>
              <w:rPr>
                <w:b/>
                <w:bCs/>
                <w:sz w:val="24"/>
                <w:szCs w:val="24"/>
              </w:rPr>
            </w:pPr>
            <w:r w:rsidRPr="00073574">
              <w:rPr>
                <w:b/>
                <w:bCs/>
                <w:sz w:val="24"/>
                <w:szCs w:val="24"/>
              </w:rPr>
              <w:t xml:space="preserve">ITU-T study groups to submit their report </w:t>
            </w:r>
            <w:r w:rsidR="00360C31" w:rsidRPr="00073574">
              <w:rPr>
                <w:b/>
                <w:bCs/>
                <w:sz w:val="24"/>
                <w:szCs w:val="24"/>
              </w:rPr>
              <w:t xml:space="preserve">(Part I, Part II) </w:t>
            </w:r>
            <w:r w:rsidRPr="00073574">
              <w:rPr>
                <w:b/>
                <w:bCs/>
                <w:sz w:val="24"/>
                <w:szCs w:val="24"/>
              </w:rPr>
              <w:t>to WTSA</w:t>
            </w:r>
            <w:r w:rsidR="00637F1F" w:rsidRPr="00073574">
              <w:rPr>
                <w:b/>
                <w:bCs/>
                <w:sz w:val="24"/>
                <w:szCs w:val="24"/>
              </w:rPr>
              <w:t xml:space="preserve"> (clause </w:t>
            </w:r>
            <w:r w:rsidR="00051624" w:rsidRPr="00073574">
              <w:rPr>
                <w:b/>
                <w:bCs/>
                <w:sz w:val="24"/>
                <w:szCs w:val="24"/>
              </w:rPr>
              <w:t>2.4.1</w:t>
            </w:r>
            <w:r w:rsidR="00637F1F" w:rsidRPr="00073574">
              <w:rPr>
                <w:b/>
                <w:bCs/>
                <w:sz w:val="24"/>
                <w:szCs w:val="24"/>
              </w:rPr>
              <w:t>)</w:t>
            </w:r>
          </w:p>
        </w:tc>
        <w:tc>
          <w:tcPr>
            <w:tcW w:w="1861" w:type="dxa"/>
            <w:tcBorders>
              <w:top w:val="single" w:sz="12" w:space="0" w:color="auto"/>
            </w:tcBorders>
            <w:shd w:val="clear" w:color="auto" w:fill="auto"/>
            <w:vAlign w:val="center"/>
          </w:tcPr>
          <w:p w14:paraId="0C9D43E6" w14:textId="77777777" w:rsidR="00637F1F" w:rsidRPr="00073574" w:rsidRDefault="00637F1F" w:rsidP="00443DEB">
            <w:pPr>
              <w:pStyle w:val="Tabletext"/>
              <w:jc w:val="center"/>
              <w:rPr>
                <w:b/>
                <w:bCs/>
                <w:sz w:val="24"/>
                <w:szCs w:val="24"/>
              </w:rPr>
            </w:pPr>
            <w:r w:rsidRPr="00073574">
              <w:rPr>
                <w:b/>
                <w:bCs/>
                <w:sz w:val="24"/>
                <w:szCs w:val="24"/>
              </w:rPr>
              <w:t>WTSA-20</w:t>
            </w:r>
          </w:p>
        </w:tc>
        <w:tc>
          <w:tcPr>
            <w:tcW w:w="1231" w:type="dxa"/>
            <w:tcBorders>
              <w:top w:val="single" w:sz="12" w:space="0" w:color="auto"/>
            </w:tcBorders>
            <w:shd w:val="clear" w:color="auto" w:fill="auto"/>
            <w:vAlign w:val="center"/>
          </w:tcPr>
          <w:p w14:paraId="08428D59" w14:textId="77777777" w:rsidR="00637F1F" w:rsidRPr="00073574" w:rsidRDefault="00637F1F" w:rsidP="00443DEB">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7C354B0C" w14:textId="77777777" w:rsidR="00637F1F" w:rsidRPr="00073574" w:rsidDel="00553578" w:rsidRDefault="00637F1F" w:rsidP="00443DEB">
            <w:pPr>
              <w:pStyle w:val="Tabletext"/>
              <w:jc w:val="center"/>
              <w:rPr>
                <w:b/>
                <w:bCs/>
                <w:sz w:val="24"/>
                <w:szCs w:val="24"/>
              </w:rPr>
            </w:pPr>
            <w:r w:rsidRPr="00073574">
              <w:rPr>
                <w:b/>
                <w:bCs/>
                <w:sz w:val="24"/>
                <w:szCs w:val="24"/>
              </w:rPr>
              <w:t>√</w:t>
            </w:r>
          </w:p>
        </w:tc>
      </w:tr>
      <w:tr w:rsidR="00637F1F" w:rsidRPr="00073574" w:rsidDel="00553578" w14:paraId="0B635218" w14:textId="77777777" w:rsidTr="00443DEB">
        <w:trPr>
          <w:jc w:val="center"/>
        </w:trPr>
        <w:tc>
          <w:tcPr>
            <w:tcW w:w="896" w:type="dxa"/>
            <w:vMerge/>
            <w:vAlign w:val="center"/>
          </w:tcPr>
          <w:p w14:paraId="73AB545F" w14:textId="77777777" w:rsidR="00637F1F" w:rsidRPr="00073574" w:rsidRDefault="00637F1F" w:rsidP="00443DEB">
            <w:pPr>
              <w:pStyle w:val="Tabletext"/>
              <w:rPr>
                <w:sz w:val="24"/>
                <w:szCs w:val="24"/>
              </w:rPr>
            </w:pPr>
          </w:p>
        </w:tc>
        <w:tc>
          <w:tcPr>
            <w:tcW w:w="8936" w:type="dxa"/>
            <w:gridSpan w:val="4"/>
            <w:shd w:val="clear" w:color="auto" w:fill="auto"/>
          </w:tcPr>
          <w:p w14:paraId="782DAD6E" w14:textId="48257D95" w:rsidR="00637F1F" w:rsidRPr="00073574" w:rsidDel="00553578" w:rsidRDefault="00D4704B" w:rsidP="00F34694">
            <w:pPr>
              <w:keepNext/>
              <w:keepLines/>
            </w:pPr>
            <w:r w:rsidRPr="00073574">
              <w:t>See WTSA-C1, …, WTSA-C22.</w:t>
            </w:r>
          </w:p>
        </w:tc>
      </w:tr>
      <w:tr w:rsidR="00CC4547" w:rsidRPr="00073574" w:rsidDel="00553578" w14:paraId="6F9EEB30" w14:textId="77777777" w:rsidTr="00443DEB">
        <w:trPr>
          <w:jc w:val="center"/>
        </w:trPr>
        <w:tc>
          <w:tcPr>
            <w:tcW w:w="896" w:type="dxa"/>
            <w:vMerge w:val="restart"/>
            <w:tcBorders>
              <w:top w:val="single" w:sz="12" w:space="0" w:color="auto"/>
            </w:tcBorders>
            <w:shd w:val="clear" w:color="auto" w:fill="auto"/>
          </w:tcPr>
          <w:p w14:paraId="1A7A2FBC" w14:textId="0439E77B" w:rsidR="00CC4547" w:rsidRPr="00073574" w:rsidRDefault="00CC4547" w:rsidP="00443DEB">
            <w:pPr>
              <w:pStyle w:val="Tabletext"/>
              <w:rPr>
                <w:b/>
                <w:bCs/>
                <w:sz w:val="24"/>
                <w:szCs w:val="24"/>
              </w:rPr>
            </w:pPr>
            <w:r w:rsidRPr="00073574">
              <w:rPr>
                <w:b/>
                <w:bCs/>
                <w:sz w:val="24"/>
                <w:szCs w:val="24"/>
              </w:rPr>
              <w:t>01-1</w:t>
            </w:r>
            <w:r w:rsidR="000D3036" w:rsidRPr="00073574">
              <w:rPr>
                <w:b/>
                <w:bCs/>
                <w:sz w:val="24"/>
                <w:szCs w:val="24"/>
              </w:rPr>
              <w:t>0</w:t>
            </w:r>
          </w:p>
        </w:tc>
        <w:tc>
          <w:tcPr>
            <w:tcW w:w="4508" w:type="dxa"/>
            <w:tcBorders>
              <w:top w:val="single" w:sz="12" w:space="0" w:color="auto"/>
            </w:tcBorders>
            <w:shd w:val="clear" w:color="auto" w:fill="auto"/>
          </w:tcPr>
          <w:p w14:paraId="5C85ED3A" w14:textId="0C1D578D" w:rsidR="00CC4547" w:rsidRPr="00073574" w:rsidRDefault="00EB065F" w:rsidP="00443DEB">
            <w:pPr>
              <w:pStyle w:val="Tabletext"/>
              <w:rPr>
                <w:b/>
                <w:bCs/>
                <w:sz w:val="24"/>
                <w:szCs w:val="24"/>
              </w:rPr>
            </w:pPr>
            <w:r w:rsidRPr="00073574">
              <w:rPr>
                <w:b/>
                <w:bCs/>
                <w:sz w:val="24"/>
                <w:szCs w:val="24"/>
              </w:rPr>
              <w:t>The TSB Director shall submit to WTSA a report on the proposals that have been received from TSAG (see 4.9) concerning the organization, terms of reference and work programme of study groups and other groups for the next study period, as well as proposals on ways and means to increase ITU resources through ITU‑T. The Director may give views on these proposals</w:t>
            </w:r>
            <w:r w:rsidR="00CC4547" w:rsidRPr="00073574">
              <w:rPr>
                <w:b/>
                <w:bCs/>
                <w:sz w:val="24"/>
                <w:szCs w:val="24"/>
              </w:rPr>
              <w:t xml:space="preserve"> (clause </w:t>
            </w:r>
            <w:r w:rsidR="009638B3" w:rsidRPr="00073574">
              <w:rPr>
                <w:b/>
                <w:bCs/>
                <w:sz w:val="24"/>
                <w:szCs w:val="24"/>
              </w:rPr>
              <w:t>5.9</w:t>
            </w:r>
            <w:r w:rsidR="00CC4547" w:rsidRPr="00073574">
              <w:rPr>
                <w:b/>
                <w:bCs/>
                <w:sz w:val="24"/>
                <w:szCs w:val="24"/>
              </w:rPr>
              <w:t>)</w:t>
            </w:r>
          </w:p>
        </w:tc>
        <w:tc>
          <w:tcPr>
            <w:tcW w:w="1861" w:type="dxa"/>
            <w:tcBorders>
              <w:top w:val="single" w:sz="12" w:space="0" w:color="auto"/>
            </w:tcBorders>
            <w:shd w:val="clear" w:color="auto" w:fill="auto"/>
            <w:vAlign w:val="center"/>
          </w:tcPr>
          <w:p w14:paraId="18EAB12D" w14:textId="77777777" w:rsidR="00CC4547" w:rsidRPr="00073574" w:rsidRDefault="00CC4547" w:rsidP="00443DEB">
            <w:pPr>
              <w:pStyle w:val="Tabletext"/>
              <w:jc w:val="center"/>
              <w:rPr>
                <w:b/>
                <w:bCs/>
                <w:sz w:val="24"/>
                <w:szCs w:val="24"/>
              </w:rPr>
            </w:pPr>
            <w:r w:rsidRPr="00073574">
              <w:rPr>
                <w:b/>
                <w:bCs/>
                <w:sz w:val="24"/>
                <w:szCs w:val="24"/>
              </w:rPr>
              <w:t>WTSA-20</w:t>
            </w:r>
          </w:p>
        </w:tc>
        <w:tc>
          <w:tcPr>
            <w:tcW w:w="1231" w:type="dxa"/>
            <w:tcBorders>
              <w:top w:val="single" w:sz="12" w:space="0" w:color="auto"/>
            </w:tcBorders>
            <w:shd w:val="clear" w:color="auto" w:fill="auto"/>
            <w:vAlign w:val="center"/>
          </w:tcPr>
          <w:p w14:paraId="7E9BBC6C" w14:textId="77777777" w:rsidR="00CC4547" w:rsidRPr="00073574" w:rsidRDefault="00CC4547" w:rsidP="00443DEB">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37987A77" w14:textId="77777777" w:rsidR="00CC4547" w:rsidRPr="00073574" w:rsidDel="00553578" w:rsidRDefault="00CC4547" w:rsidP="00443DEB">
            <w:pPr>
              <w:pStyle w:val="Tabletext"/>
              <w:jc w:val="center"/>
              <w:rPr>
                <w:b/>
                <w:bCs/>
                <w:sz w:val="24"/>
                <w:szCs w:val="24"/>
              </w:rPr>
            </w:pPr>
            <w:r w:rsidRPr="00073574">
              <w:rPr>
                <w:b/>
                <w:bCs/>
                <w:sz w:val="24"/>
                <w:szCs w:val="24"/>
              </w:rPr>
              <w:t>√</w:t>
            </w:r>
          </w:p>
        </w:tc>
      </w:tr>
      <w:tr w:rsidR="00CC4547" w:rsidRPr="00073574" w:rsidDel="00553578" w14:paraId="33EE957C" w14:textId="77777777" w:rsidTr="00443DEB">
        <w:trPr>
          <w:jc w:val="center"/>
        </w:trPr>
        <w:tc>
          <w:tcPr>
            <w:tcW w:w="896" w:type="dxa"/>
            <w:vMerge/>
            <w:vAlign w:val="center"/>
          </w:tcPr>
          <w:p w14:paraId="3EB186F9" w14:textId="77777777" w:rsidR="00CC4547" w:rsidRPr="00073574" w:rsidRDefault="00CC4547" w:rsidP="00443DEB">
            <w:pPr>
              <w:pStyle w:val="Tabletext"/>
              <w:rPr>
                <w:sz w:val="24"/>
                <w:szCs w:val="24"/>
              </w:rPr>
            </w:pPr>
          </w:p>
        </w:tc>
        <w:tc>
          <w:tcPr>
            <w:tcW w:w="8936" w:type="dxa"/>
            <w:gridSpan w:val="4"/>
            <w:shd w:val="clear" w:color="auto" w:fill="auto"/>
          </w:tcPr>
          <w:p w14:paraId="3B93E615" w14:textId="14B066AE" w:rsidR="00CC4547" w:rsidRPr="00073574" w:rsidDel="00553578" w:rsidRDefault="00276E05" w:rsidP="00F34694">
            <w:pPr>
              <w:keepNext/>
              <w:keepLines/>
            </w:pPr>
            <w:r>
              <w:t>TSAG reviewed the draft proposals from the study groups, but did not submit any own proposals to WTSA-20.</w:t>
            </w:r>
          </w:p>
        </w:tc>
      </w:tr>
    </w:tbl>
    <w:p w14:paraId="5C632CE6" w14:textId="0F49F326" w:rsidR="00F0236A" w:rsidRPr="00073574" w:rsidRDefault="0053741E" w:rsidP="00F0236A">
      <w:pPr>
        <w:rPr>
          <w:sz w:val="24"/>
        </w:rPr>
      </w:pPr>
      <w:hyperlink w:anchor="Top" w:history="1">
        <w:r w:rsidR="00F0236A" w:rsidRPr="00073574">
          <w:rPr>
            <w:rStyle w:val="Hyperlink"/>
            <w:rFonts w:eastAsia="Times New Roman"/>
            <w:sz w:val="24"/>
          </w:rPr>
          <w:t>» Top</w:t>
        </w:r>
      </w:hyperlink>
    </w:p>
    <w:p w14:paraId="63BE497F" w14:textId="77777777" w:rsidR="00F0236A" w:rsidRPr="00073574" w:rsidRDefault="00F0236A" w:rsidP="00F0236A">
      <w:pPr>
        <w:rPr>
          <w:sz w:val="24"/>
        </w:rPr>
      </w:pPr>
    </w:p>
    <w:p w14:paraId="16167417" w14:textId="77777777" w:rsidR="00F0236A" w:rsidRPr="00073574" w:rsidRDefault="00F0236A" w:rsidP="00925BAB">
      <w:pPr>
        <w:pStyle w:val="Heading1"/>
        <w:keepNext/>
        <w:keepLines/>
        <w:numPr>
          <w:ilvl w:val="0"/>
          <w:numId w:val="15"/>
        </w:numPr>
        <w:rPr>
          <w:sz w:val="24"/>
          <w:szCs w:val="24"/>
          <w:lang w:val="en-GB"/>
        </w:rPr>
      </w:pPr>
      <w:bookmarkStart w:id="17" w:name="Resolution_02"/>
      <w:bookmarkStart w:id="18" w:name="_Toc304236413"/>
      <w:bookmarkStart w:id="19" w:name="_Toc471715354"/>
      <w:bookmarkStart w:id="20" w:name="_Toc93425240"/>
      <w:bookmarkEnd w:id="17"/>
      <w:r w:rsidRPr="00073574">
        <w:rPr>
          <w:sz w:val="24"/>
          <w:szCs w:val="24"/>
          <w:lang w:val="en-GB"/>
        </w:rPr>
        <w:lastRenderedPageBreak/>
        <w:t>Resolution 2 - ITU Telecommunication Standardization Sector Study Group responsibility and mandates</w:t>
      </w:r>
      <w:bookmarkEnd w:id="18"/>
      <w:bookmarkEnd w:id="19"/>
      <w:bookmarkEnd w:id="20"/>
    </w:p>
    <w:p w14:paraId="76705FDB" w14:textId="77777777" w:rsidR="00F0236A" w:rsidRPr="00073574" w:rsidRDefault="00F0236A" w:rsidP="00925BAB">
      <w:pPr>
        <w:keepNext/>
        <w:keepLines/>
        <w:rPr>
          <w:b/>
          <w:bCs/>
          <w:i/>
          <w:iCs/>
          <w:sz w:val="24"/>
        </w:rPr>
      </w:pPr>
      <w:r w:rsidRPr="00073574">
        <w:rPr>
          <w:b/>
          <w:bCs/>
          <w:i/>
          <w:iCs/>
          <w:sz w:val="24"/>
        </w:rPr>
        <w:t>Resolution 2</w:t>
      </w:r>
    </w:p>
    <w:p w14:paraId="501A5C07" w14:textId="77777777" w:rsidR="00F0236A" w:rsidRPr="00073574" w:rsidRDefault="00F0236A" w:rsidP="00925BAB">
      <w:pPr>
        <w:pStyle w:val="Call"/>
        <w:rPr>
          <w:sz w:val="24"/>
          <w:szCs w:val="24"/>
          <w:lang w:val="en-GB"/>
        </w:rPr>
      </w:pPr>
      <w:r w:rsidRPr="00073574">
        <w:rPr>
          <w:sz w:val="24"/>
          <w:szCs w:val="24"/>
          <w:lang w:val="en-GB"/>
        </w:rPr>
        <w:t>resolves</w:t>
      </w:r>
    </w:p>
    <w:p w14:paraId="1E4961F8" w14:textId="77777777" w:rsidR="00F0236A" w:rsidRPr="00073574" w:rsidRDefault="00F0236A" w:rsidP="00925BAB">
      <w:pPr>
        <w:keepNext/>
        <w:keepLines/>
        <w:rPr>
          <w:sz w:val="24"/>
        </w:rPr>
      </w:pPr>
      <w:r w:rsidRPr="00073574">
        <w:rPr>
          <w:sz w:val="24"/>
        </w:rPr>
        <w:t>1</w:t>
      </w:r>
      <w:r w:rsidRPr="00073574">
        <w:rPr>
          <w:sz w:val="24"/>
        </w:rPr>
        <w:tab/>
        <w:t>that the mandate of each study group, which it shall use as the basis for organizing its study programme, shall consist of:</w:t>
      </w:r>
    </w:p>
    <w:p w14:paraId="00403061" w14:textId="77777777" w:rsidR="00F0236A" w:rsidRPr="00073574" w:rsidRDefault="00F0236A" w:rsidP="00F0236A">
      <w:pPr>
        <w:pStyle w:val="enumlev10"/>
        <w:rPr>
          <w:sz w:val="24"/>
          <w:szCs w:val="24"/>
        </w:rPr>
      </w:pPr>
      <w:r w:rsidRPr="00073574">
        <w:rPr>
          <w:sz w:val="24"/>
          <w:szCs w:val="24"/>
        </w:rPr>
        <w:t>–</w:t>
      </w:r>
      <w:r w:rsidRPr="00073574">
        <w:rPr>
          <w:sz w:val="24"/>
          <w:szCs w:val="24"/>
        </w:rPr>
        <w:tab/>
        <w:t>a general area of responsibility, as set out in Annex A, within which the study group may amend existing Recommendations, in collaboration with other groups, as appropriate;</w:t>
      </w:r>
    </w:p>
    <w:p w14:paraId="398C9F14" w14:textId="77777777" w:rsidR="00F0236A" w:rsidRPr="00073574" w:rsidRDefault="00F0236A" w:rsidP="00F0236A">
      <w:pPr>
        <w:pStyle w:val="enumlev10"/>
        <w:rPr>
          <w:sz w:val="24"/>
          <w:szCs w:val="24"/>
        </w:rPr>
      </w:pPr>
      <w:r w:rsidRPr="00073574">
        <w:rPr>
          <w:sz w:val="24"/>
          <w:szCs w:val="24"/>
        </w:rPr>
        <w:t>–</w:t>
      </w:r>
      <w:r w:rsidRPr="00073574">
        <w:rPr>
          <w:sz w:val="24"/>
          <w:szCs w:val="24"/>
        </w:rPr>
        <w:tab/>
        <w:t>a set of Questions related to particular areas of study, which are compatible with the general area of responsibility and which should be results-oriented (refer to Section 7 of Resolution 1 (Rev. Hammamet, 2016) of this assembly);</w:t>
      </w:r>
    </w:p>
    <w:p w14:paraId="62BF91B0" w14:textId="77777777" w:rsidR="00F0236A" w:rsidRPr="00073574" w:rsidRDefault="00F0236A" w:rsidP="00F0236A">
      <w:pPr>
        <w:rPr>
          <w:sz w:val="24"/>
        </w:rPr>
      </w:pPr>
      <w:r w:rsidRPr="00073574">
        <w:rPr>
          <w:sz w:val="24"/>
        </w:rPr>
        <w:t>2</w:t>
      </w:r>
      <w:r w:rsidRPr="00073574">
        <w:rPr>
          <w:sz w:val="24"/>
        </w:rPr>
        <w:tab/>
        <w:t>to encourage the study groups to consider collocation (e.g. of study group plenaries, working parties or rapporteur meetings) as a means to improve cooperation in some areas of work; the study groups involved will need to identify the areas in which they need to cooperate, based on their mandates, and keep TSAG and TSB informed,</w:t>
      </w:r>
    </w:p>
    <w:p w14:paraId="6A4509D7" w14:textId="77777777" w:rsidR="00F0236A" w:rsidRPr="00073574" w:rsidRDefault="00F0236A" w:rsidP="00F0236A">
      <w:pPr>
        <w:pStyle w:val="Call"/>
        <w:rPr>
          <w:sz w:val="24"/>
          <w:szCs w:val="24"/>
          <w:lang w:val="en-GB"/>
        </w:rPr>
      </w:pPr>
      <w:r w:rsidRPr="00073574">
        <w:rPr>
          <w:sz w:val="24"/>
          <w:szCs w:val="24"/>
          <w:lang w:val="en-GB"/>
        </w:rPr>
        <w:t>instructs the Telecommunication Standardization Bureau</w:t>
      </w:r>
    </w:p>
    <w:p w14:paraId="75977570" w14:textId="77777777" w:rsidR="00F0236A" w:rsidRPr="00073574" w:rsidRDefault="00F0236A" w:rsidP="00F0236A">
      <w:pPr>
        <w:spacing w:after="240"/>
        <w:rPr>
          <w:sz w:val="24"/>
        </w:rPr>
      </w:pPr>
      <w:r w:rsidRPr="00073574">
        <w:rPr>
          <w:sz w:val="24"/>
        </w:rPr>
        <w:t>to support and facilitate the operational aspects of such collocation.</w:t>
      </w:r>
    </w:p>
    <w:tbl>
      <w:tblPr>
        <w:tblW w:w="98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08"/>
        <w:gridCol w:w="4725"/>
        <w:gridCol w:w="1400"/>
        <w:gridCol w:w="1463"/>
        <w:gridCol w:w="1336"/>
      </w:tblGrid>
      <w:tr w:rsidR="00F0236A" w:rsidRPr="00073574" w14:paraId="56977C1C" w14:textId="77777777" w:rsidTr="634A3A28">
        <w:trPr>
          <w:tblHeader/>
          <w:jc w:val="center"/>
        </w:trPr>
        <w:tc>
          <w:tcPr>
            <w:tcW w:w="908" w:type="dxa"/>
            <w:tcBorders>
              <w:top w:val="single" w:sz="12" w:space="0" w:color="auto"/>
              <w:bottom w:val="single" w:sz="12" w:space="0" w:color="auto"/>
            </w:tcBorders>
            <w:shd w:val="clear" w:color="auto" w:fill="auto"/>
            <w:vAlign w:val="center"/>
          </w:tcPr>
          <w:p w14:paraId="4E813EF3" w14:textId="77777777" w:rsidR="00F0236A" w:rsidRPr="00073574" w:rsidRDefault="00F0236A" w:rsidP="00D45127">
            <w:pPr>
              <w:pStyle w:val="Tablehead"/>
              <w:keepNext w:val="0"/>
              <w:rPr>
                <w:sz w:val="24"/>
                <w:szCs w:val="24"/>
              </w:rPr>
            </w:pPr>
            <w:r w:rsidRPr="00073574">
              <w:rPr>
                <w:sz w:val="24"/>
                <w:szCs w:val="24"/>
              </w:rPr>
              <w:t>Action Item</w:t>
            </w:r>
          </w:p>
        </w:tc>
        <w:tc>
          <w:tcPr>
            <w:tcW w:w="4742" w:type="dxa"/>
            <w:tcBorders>
              <w:top w:val="single" w:sz="12" w:space="0" w:color="auto"/>
              <w:bottom w:val="single" w:sz="12" w:space="0" w:color="auto"/>
            </w:tcBorders>
            <w:shd w:val="clear" w:color="auto" w:fill="auto"/>
            <w:vAlign w:val="center"/>
            <w:hideMark/>
          </w:tcPr>
          <w:p w14:paraId="4F58D475" w14:textId="77777777" w:rsidR="00F0236A" w:rsidRPr="00073574" w:rsidRDefault="00F0236A" w:rsidP="00B22A1A">
            <w:pPr>
              <w:pStyle w:val="Tablehead"/>
              <w:keepNext w:val="0"/>
              <w:rPr>
                <w:sz w:val="24"/>
                <w:szCs w:val="24"/>
              </w:rPr>
            </w:pPr>
            <w:r w:rsidRPr="00073574">
              <w:rPr>
                <w:sz w:val="24"/>
                <w:szCs w:val="24"/>
              </w:rPr>
              <w:t>Action</w:t>
            </w:r>
          </w:p>
        </w:tc>
        <w:tc>
          <w:tcPr>
            <w:tcW w:w="1401" w:type="dxa"/>
            <w:tcBorders>
              <w:top w:val="single" w:sz="12" w:space="0" w:color="auto"/>
              <w:bottom w:val="single" w:sz="12" w:space="0" w:color="auto"/>
            </w:tcBorders>
            <w:shd w:val="clear" w:color="auto" w:fill="auto"/>
            <w:vAlign w:val="center"/>
            <w:hideMark/>
          </w:tcPr>
          <w:p w14:paraId="1DDB60BA" w14:textId="77777777" w:rsidR="00F0236A" w:rsidRPr="00073574" w:rsidRDefault="00F0236A" w:rsidP="00B22A1A">
            <w:pPr>
              <w:pStyle w:val="Tablehead"/>
              <w:keepNext w:val="0"/>
              <w:rPr>
                <w:sz w:val="24"/>
                <w:szCs w:val="24"/>
              </w:rPr>
            </w:pPr>
            <w:r w:rsidRPr="00073574">
              <w:rPr>
                <w:sz w:val="24"/>
                <w:szCs w:val="24"/>
              </w:rPr>
              <w:t>Milestone</w:t>
            </w:r>
          </w:p>
        </w:tc>
        <w:tc>
          <w:tcPr>
            <w:tcW w:w="1465" w:type="dxa"/>
            <w:tcBorders>
              <w:top w:val="single" w:sz="12" w:space="0" w:color="auto"/>
              <w:bottom w:val="single" w:sz="12" w:space="0" w:color="auto"/>
            </w:tcBorders>
            <w:shd w:val="clear" w:color="auto" w:fill="auto"/>
          </w:tcPr>
          <w:p w14:paraId="041A7958" w14:textId="77777777" w:rsidR="00F0236A" w:rsidRPr="00073574" w:rsidRDefault="00F0236A" w:rsidP="00B22A1A">
            <w:pPr>
              <w:pStyle w:val="Tablehead"/>
              <w:keepNext w:val="0"/>
              <w:rPr>
                <w:sz w:val="24"/>
                <w:szCs w:val="24"/>
              </w:rPr>
            </w:pPr>
            <w:r w:rsidRPr="00073574">
              <w:rPr>
                <w:sz w:val="24"/>
                <w:szCs w:val="24"/>
              </w:rPr>
              <w:t>Periodic goals met</w:t>
            </w:r>
          </w:p>
        </w:tc>
        <w:tc>
          <w:tcPr>
            <w:tcW w:w="1316" w:type="dxa"/>
            <w:tcBorders>
              <w:top w:val="single" w:sz="12" w:space="0" w:color="auto"/>
              <w:bottom w:val="single" w:sz="12" w:space="0" w:color="auto"/>
            </w:tcBorders>
            <w:shd w:val="clear" w:color="auto" w:fill="auto"/>
            <w:vAlign w:val="center"/>
          </w:tcPr>
          <w:p w14:paraId="06ADDA2C" w14:textId="77777777" w:rsidR="00F0236A" w:rsidRPr="00073574" w:rsidRDefault="00F0236A" w:rsidP="00B22A1A">
            <w:pPr>
              <w:pStyle w:val="Tablehead"/>
              <w:keepNext w:val="0"/>
              <w:rPr>
                <w:sz w:val="24"/>
                <w:szCs w:val="24"/>
              </w:rPr>
            </w:pPr>
            <w:r w:rsidRPr="00073574">
              <w:rPr>
                <w:sz w:val="24"/>
                <w:szCs w:val="24"/>
              </w:rPr>
              <w:t>Completed</w:t>
            </w:r>
          </w:p>
        </w:tc>
      </w:tr>
      <w:tr w:rsidR="00F0236A" w:rsidRPr="00073574" w14:paraId="4566A5FD" w14:textId="77777777" w:rsidTr="634A3A28">
        <w:trPr>
          <w:jc w:val="center"/>
        </w:trPr>
        <w:tc>
          <w:tcPr>
            <w:tcW w:w="908" w:type="dxa"/>
            <w:vMerge w:val="restart"/>
            <w:tcBorders>
              <w:top w:val="single" w:sz="12" w:space="0" w:color="auto"/>
            </w:tcBorders>
            <w:shd w:val="clear" w:color="auto" w:fill="auto"/>
          </w:tcPr>
          <w:p w14:paraId="0C812BDF" w14:textId="77777777" w:rsidR="00F0236A" w:rsidRPr="00073574" w:rsidRDefault="00F0236A" w:rsidP="009B201B">
            <w:pPr>
              <w:pStyle w:val="Tabletext"/>
              <w:rPr>
                <w:b/>
                <w:bCs/>
                <w:sz w:val="24"/>
                <w:szCs w:val="24"/>
              </w:rPr>
            </w:pPr>
            <w:r w:rsidRPr="00073574">
              <w:rPr>
                <w:b/>
                <w:bCs/>
                <w:sz w:val="24"/>
                <w:szCs w:val="24"/>
              </w:rPr>
              <w:t>02-01</w:t>
            </w:r>
          </w:p>
        </w:tc>
        <w:tc>
          <w:tcPr>
            <w:tcW w:w="4742" w:type="dxa"/>
            <w:tcBorders>
              <w:top w:val="single" w:sz="12" w:space="0" w:color="auto"/>
              <w:bottom w:val="single" w:sz="4" w:space="0" w:color="auto"/>
            </w:tcBorders>
            <w:shd w:val="clear" w:color="auto" w:fill="auto"/>
            <w:hideMark/>
          </w:tcPr>
          <w:p w14:paraId="527CBA7D" w14:textId="77777777" w:rsidR="00F0236A" w:rsidRPr="00073574" w:rsidRDefault="00F0236A" w:rsidP="009B201B">
            <w:pPr>
              <w:pStyle w:val="Tabletext"/>
              <w:rPr>
                <w:b/>
                <w:bCs/>
                <w:sz w:val="24"/>
                <w:szCs w:val="24"/>
              </w:rPr>
            </w:pPr>
            <w:r w:rsidRPr="00073574">
              <w:rPr>
                <w:b/>
                <w:bCs/>
                <w:sz w:val="24"/>
                <w:szCs w:val="24"/>
              </w:rPr>
              <w:t>TSB Counsellors to insert pointer on Resolution 2 webpage to location of updated SG structure, mandate or Annex C information within one month of change.</w:t>
            </w:r>
          </w:p>
        </w:tc>
        <w:tc>
          <w:tcPr>
            <w:tcW w:w="1401" w:type="dxa"/>
            <w:tcBorders>
              <w:top w:val="single" w:sz="12" w:space="0" w:color="auto"/>
              <w:bottom w:val="single" w:sz="4" w:space="0" w:color="auto"/>
            </w:tcBorders>
            <w:shd w:val="clear" w:color="auto" w:fill="auto"/>
            <w:vAlign w:val="center"/>
            <w:hideMark/>
          </w:tcPr>
          <w:p w14:paraId="160B3B42" w14:textId="77777777" w:rsidR="00F0236A" w:rsidRPr="00073574" w:rsidRDefault="00F0236A" w:rsidP="009B201B">
            <w:pPr>
              <w:pStyle w:val="Tabletext"/>
              <w:jc w:val="center"/>
              <w:rPr>
                <w:b/>
                <w:bCs/>
                <w:sz w:val="24"/>
                <w:szCs w:val="24"/>
              </w:rPr>
            </w:pPr>
            <w:r w:rsidRPr="00073574">
              <w:rPr>
                <w:b/>
                <w:bCs/>
                <w:sz w:val="24"/>
                <w:szCs w:val="24"/>
              </w:rPr>
              <w:t>2017</w:t>
            </w:r>
          </w:p>
        </w:tc>
        <w:tc>
          <w:tcPr>
            <w:tcW w:w="1465" w:type="dxa"/>
            <w:tcBorders>
              <w:top w:val="single" w:sz="12" w:space="0" w:color="auto"/>
              <w:bottom w:val="single" w:sz="4" w:space="0" w:color="auto"/>
            </w:tcBorders>
            <w:shd w:val="clear" w:color="auto" w:fill="auto"/>
            <w:vAlign w:val="center"/>
          </w:tcPr>
          <w:p w14:paraId="47ED1164" w14:textId="77777777" w:rsidR="00F0236A" w:rsidRPr="00073574" w:rsidRDefault="00F0236A" w:rsidP="009B201B">
            <w:pPr>
              <w:pStyle w:val="Tabletext"/>
              <w:jc w:val="center"/>
              <w:rPr>
                <w:b/>
                <w:bCs/>
                <w:sz w:val="24"/>
                <w:szCs w:val="24"/>
              </w:rPr>
            </w:pPr>
            <w:r w:rsidRPr="00073574">
              <w:rPr>
                <w:b/>
                <w:bCs/>
                <w:sz w:val="24"/>
                <w:szCs w:val="24"/>
              </w:rPr>
              <w:t>√</w:t>
            </w:r>
          </w:p>
        </w:tc>
        <w:tc>
          <w:tcPr>
            <w:tcW w:w="1316" w:type="dxa"/>
            <w:tcBorders>
              <w:top w:val="single" w:sz="12" w:space="0" w:color="auto"/>
              <w:bottom w:val="single" w:sz="4" w:space="0" w:color="auto"/>
            </w:tcBorders>
            <w:shd w:val="clear" w:color="auto" w:fill="auto"/>
            <w:vAlign w:val="center"/>
          </w:tcPr>
          <w:p w14:paraId="6CC10EEE" w14:textId="77777777" w:rsidR="00F0236A" w:rsidRPr="00073574" w:rsidRDefault="00F0236A" w:rsidP="009B201B">
            <w:pPr>
              <w:pStyle w:val="Tabletext"/>
              <w:jc w:val="center"/>
              <w:rPr>
                <w:b/>
                <w:bCs/>
                <w:sz w:val="24"/>
                <w:szCs w:val="24"/>
              </w:rPr>
            </w:pPr>
            <w:r w:rsidRPr="00073574">
              <w:rPr>
                <w:b/>
                <w:bCs/>
                <w:sz w:val="24"/>
                <w:szCs w:val="24"/>
              </w:rPr>
              <w:t>√</w:t>
            </w:r>
          </w:p>
        </w:tc>
      </w:tr>
      <w:tr w:rsidR="00F0236A" w:rsidRPr="00073574" w14:paraId="469CD054" w14:textId="77777777" w:rsidTr="634A3A28">
        <w:trPr>
          <w:jc w:val="center"/>
        </w:trPr>
        <w:tc>
          <w:tcPr>
            <w:tcW w:w="908" w:type="dxa"/>
            <w:vMerge/>
          </w:tcPr>
          <w:p w14:paraId="0DFAB98C" w14:textId="77777777" w:rsidR="00F0236A" w:rsidRPr="00073574" w:rsidRDefault="00F0236A" w:rsidP="009B201B">
            <w:pPr>
              <w:pStyle w:val="Tabletext"/>
              <w:rPr>
                <w:sz w:val="24"/>
                <w:szCs w:val="24"/>
              </w:rPr>
            </w:pPr>
          </w:p>
        </w:tc>
        <w:tc>
          <w:tcPr>
            <w:tcW w:w="8924" w:type="dxa"/>
            <w:gridSpan w:val="4"/>
            <w:tcBorders>
              <w:top w:val="single" w:sz="4" w:space="0" w:color="auto"/>
            </w:tcBorders>
            <w:shd w:val="clear" w:color="auto" w:fill="auto"/>
          </w:tcPr>
          <w:p w14:paraId="66ACF325" w14:textId="7096E1C8" w:rsidR="00F0236A" w:rsidRPr="00073574" w:rsidRDefault="00F0236A" w:rsidP="001D512F">
            <w:pPr>
              <w:spacing w:before="40"/>
            </w:pPr>
            <w:r w:rsidRPr="00073574">
              <w:t>An updated Annex C is available on the ITU-T website here:</w:t>
            </w:r>
            <w:r w:rsidR="42B34C6F" w:rsidRPr="00073574">
              <w:t xml:space="preserve"> </w:t>
            </w:r>
            <w:r w:rsidRPr="00073574">
              <w:rPr>
                <w:rStyle w:val="Hyperlink"/>
              </w:rPr>
              <w:t>http</w:t>
            </w:r>
            <w:r w:rsidR="260827AE" w:rsidRPr="00073574">
              <w:rPr>
                <w:rStyle w:val="Hyperlink"/>
              </w:rPr>
              <w:t>s</w:t>
            </w:r>
            <w:r w:rsidRPr="00073574">
              <w:rPr>
                <w:rStyle w:val="Hyperlink"/>
              </w:rPr>
              <w:t>://www.itu.int/en/ITU-T/about/Pages/res2-annexc-sp16.aspx</w:t>
            </w:r>
            <w:r w:rsidRPr="00073574">
              <w:t>. Updates are recorded on this page shortly after approval.</w:t>
            </w:r>
          </w:p>
          <w:p w14:paraId="13F8B0A1" w14:textId="22F9324A" w:rsidR="00F0236A" w:rsidRPr="00073574" w:rsidDel="00227ABD" w:rsidRDefault="00F0236A" w:rsidP="009B201B">
            <w:pPr>
              <w:spacing w:after="40"/>
              <w:rPr>
                <w:sz w:val="24"/>
              </w:rPr>
            </w:pPr>
            <w:r w:rsidRPr="00073574">
              <w:rPr>
                <w:szCs w:val="22"/>
              </w:rPr>
              <w:t xml:space="preserve">Changes in mandate and lead SG roles are recorded directly under the </w:t>
            </w:r>
            <w:r w:rsidR="003C7E25" w:rsidRPr="00073574">
              <w:rPr>
                <w:szCs w:val="22"/>
              </w:rPr>
              <w:t>"</w:t>
            </w:r>
            <w:r w:rsidRPr="00073574">
              <w:rPr>
                <w:b/>
                <w:bCs/>
                <w:szCs w:val="22"/>
              </w:rPr>
              <w:t>Mandate and lead roles</w:t>
            </w:r>
            <w:r w:rsidR="003C7E25" w:rsidRPr="00073574">
              <w:rPr>
                <w:szCs w:val="22"/>
              </w:rPr>
              <w:t>"</w:t>
            </w:r>
            <w:r w:rsidRPr="00073574">
              <w:rPr>
                <w:szCs w:val="22"/>
              </w:rPr>
              <w:t xml:space="preserve"> sub-page under each individual study group, http://itu.int/en/ITU-T/studygroups/2017-2020/</w:t>
            </w:r>
            <w:r w:rsidRPr="00073574">
              <w:rPr>
                <w:i/>
                <w:iCs/>
                <w:szCs w:val="22"/>
              </w:rPr>
              <w:t>xx</w:t>
            </w:r>
            <w:r w:rsidRPr="00073574">
              <w:rPr>
                <w:szCs w:val="22"/>
              </w:rPr>
              <w:t xml:space="preserve">/Pages/mandate.aspx, where </w:t>
            </w:r>
            <w:r w:rsidRPr="00073574">
              <w:rPr>
                <w:i/>
                <w:iCs/>
                <w:szCs w:val="22"/>
              </w:rPr>
              <w:t>xx</w:t>
            </w:r>
            <w:r w:rsidRPr="00073574">
              <w:rPr>
                <w:szCs w:val="22"/>
              </w:rPr>
              <w:t>=02, 03, 05, 09, 11, 12, 13, 15, 16, 17, 20.</w:t>
            </w:r>
          </w:p>
        </w:tc>
      </w:tr>
      <w:tr w:rsidR="00F0236A" w:rsidRPr="00073574" w:rsidDel="00227ABD" w14:paraId="680DB4DA" w14:textId="77777777" w:rsidTr="634A3A28">
        <w:trPr>
          <w:jc w:val="center"/>
        </w:trPr>
        <w:tc>
          <w:tcPr>
            <w:tcW w:w="908" w:type="dxa"/>
            <w:vMerge w:val="restart"/>
            <w:tcBorders>
              <w:top w:val="single" w:sz="12" w:space="0" w:color="auto"/>
            </w:tcBorders>
            <w:shd w:val="clear" w:color="auto" w:fill="auto"/>
          </w:tcPr>
          <w:p w14:paraId="08F0F711" w14:textId="77777777" w:rsidR="00F0236A" w:rsidRPr="00073574" w:rsidDel="00227ABD" w:rsidRDefault="00F0236A" w:rsidP="00B22A1A">
            <w:pPr>
              <w:pStyle w:val="Tabletext"/>
              <w:rPr>
                <w:b/>
                <w:bCs/>
                <w:sz w:val="24"/>
              </w:rPr>
            </w:pPr>
            <w:r w:rsidRPr="00073574">
              <w:rPr>
                <w:b/>
                <w:bCs/>
                <w:sz w:val="24"/>
                <w:szCs w:val="24"/>
              </w:rPr>
              <w:t>02-02</w:t>
            </w:r>
          </w:p>
        </w:tc>
        <w:tc>
          <w:tcPr>
            <w:tcW w:w="4742" w:type="dxa"/>
            <w:tcBorders>
              <w:top w:val="single" w:sz="12" w:space="0" w:color="auto"/>
            </w:tcBorders>
            <w:shd w:val="clear" w:color="auto" w:fill="auto"/>
          </w:tcPr>
          <w:p w14:paraId="1F4304C5" w14:textId="77777777" w:rsidR="00F0236A" w:rsidRPr="00073574" w:rsidDel="00227ABD" w:rsidRDefault="00F0236A" w:rsidP="00B22A1A">
            <w:pPr>
              <w:pStyle w:val="Tabletext"/>
              <w:rPr>
                <w:b/>
                <w:bCs/>
                <w:sz w:val="24"/>
                <w:szCs w:val="24"/>
              </w:rPr>
            </w:pPr>
            <w:r w:rsidRPr="00073574">
              <w:rPr>
                <w:b/>
                <w:bCs/>
                <w:sz w:val="24"/>
                <w:szCs w:val="24"/>
              </w:rPr>
              <w:t>Study groups to consider collocation (e.g. of study group plenaries, working parties or rapporteur meetings) as a means to improve cooperation in some areas of work; the study groups involved will need to identify the areas in which they need to cooperate, based on their mandates, and keep TSAG and TSB informed (resolves 2)</w:t>
            </w:r>
          </w:p>
        </w:tc>
        <w:tc>
          <w:tcPr>
            <w:tcW w:w="1401" w:type="dxa"/>
            <w:tcBorders>
              <w:top w:val="single" w:sz="12" w:space="0" w:color="auto"/>
            </w:tcBorders>
            <w:shd w:val="clear" w:color="auto" w:fill="auto"/>
            <w:vAlign w:val="center"/>
          </w:tcPr>
          <w:p w14:paraId="691AB8E1" w14:textId="77777777" w:rsidR="00F0236A" w:rsidRPr="00073574" w:rsidDel="00227ABD" w:rsidRDefault="00F0236A" w:rsidP="00B22A1A">
            <w:pPr>
              <w:pStyle w:val="Tabletext"/>
              <w:jc w:val="center"/>
              <w:rPr>
                <w:b/>
                <w:bCs/>
                <w:sz w:val="24"/>
                <w:szCs w:val="24"/>
              </w:rPr>
            </w:pPr>
            <w:r w:rsidRPr="00073574">
              <w:rPr>
                <w:b/>
                <w:bCs/>
                <w:sz w:val="24"/>
                <w:szCs w:val="24"/>
              </w:rPr>
              <w:t>Ongoing</w:t>
            </w:r>
          </w:p>
        </w:tc>
        <w:tc>
          <w:tcPr>
            <w:tcW w:w="1465" w:type="dxa"/>
            <w:tcBorders>
              <w:top w:val="single" w:sz="12" w:space="0" w:color="auto"/>
            </w:tcBorders>
            <w:shd w:val="clear" w:color="auto" w:fill="auto"/>
            <w:vAlign w:val="center"/>
          </w:tcPr>
          <w:p w14:paraId="41337C3C" w14:textId="77777777" w:rsidR="00F0236A" w:rsidRPr="00073574" w:rsidDel="00227ABD" w:rsidRDefault="00F0236A" w:rsidP="00B22A1A">
            <w:pPr>
              <w:pStyle w:val="Tabletext"/>
              <w:jc w:val="center"/>
              <w:rPr>
                <w:b/>
                <w:bCs/>
                <w:sz w:val="24"/>
                <w:szCs w:val="24"/>
              </w:rPr>
            </w:pPr>
            <w:r w:rsidRPr="00073574">
              <w:rPr>
                <w:b/>
                <w:bCs/>
                <w:sz w:val="24"/>
                <w:szCs w:val="24"/>
              </w:rPr>
              <w:t>√</w:t>
            </w:r>
          </w:p>
        </w:tc>
        <w:tc>
          <w:tcPr>
            <w:tcW w:w="1316" w:type="dxa"/>
            <w:tcBorders>
              <w:top w:val="single" w:sz="12" w:space="0" w:color="auto"/>
            </w:tcBorders>
            <w:shd w:val="clear" w:color="auto" w:fill="auto"/>
            <w:vAlign w:val="center"/>
          </w:tcPr>
          <w:p w14:paraId="6F31E43C" w14:textId="77777777" w:rsidR="00F0236A" w:rsidRPr="00073574" w:rsidDel="00227ABD" w:rsidRDefault="00F0236A" w:rsidP="00B22A1A">
            <w:pPr>
              <w:pStyle w:val="Tabletext"/>
              <w:jc w:val="center"/>
              <w:rPr>
                <w:b/>
                <w:bCs/>
                <w:sz w:val="24"/>
                <w:szCs w:val="24"/>
              </w:rPr>
            </w:pPr>
          </w:p>
        </w:tc>
      </w:tr>
      <w:tr w:rsidR="00F0236A" w:rsidRPr="00073574" w:rsidDel="00227ABD" w14:paraId="5751DE4E" w14:textId="77777777" w:rsidTr="634A3A28">
        <w:trPr>
          <w:jc w:val="center"/>
        </w:trPr>
        <w:tc>
          <w:tcPr>
            <w:tcW w:w="908" w:type="dxa"/>
            <w:vMerge/>
            <w:vAlign w:val="center"/>
          </w:tcPr>
          <w:p w14:paraId="70DFEE20" w14:textId="77777777" w:rsidR="00F0236A" w:rsidRPr="00073574" w:rsidRDefault="00F0236A" w:rsidP="00B22A1A">
            <w:pPr>
              <w:pStyle w:val="Tabletext"/>
              <w:rPr>
                <w:rStyle w:val="Hyperlink"/>
                <w:sz w:val="24"/>
                <w:szCs w:val="24"/>
              </w:rPr>
            </w:pPr>
          </w:p>
        </w:tc>
        <w:tc>
          <w:tcPr>
            <w:tcW w:w="8924" w:type="dxa"/>
            <w:gridSpan w:val="4"/>
            <w:shd w:val="clear" w:color="auto" w:fill="auto"/>
          </w:tcPr>
          <w:p w14:paraId="163F5C25" w14:textId="6A370C00" w:rsidR="00FF4331" w:rsidRPr="00073574" w:rsidRDefault="269BC837" w:rsidP="634A3A28">
            <w:pPr>
              <w:pStyle w:val="ListParagraph"/>
              <w:numPr>
                <w:ilvl w:val="0"/>
                <w:numId w:val="29"/>
              </w:numPr>
              <w:spacing w:before="40"/>
              <w:ind w:left="357" w:hanging="357"/>
              <w:contextualSpacing w:val="0"/>
            </w:pPr>
            <w:r w:rsidRPr="00073574">
              <w:t>SG3 organized a workshop on Economic and Policy aspects of Artificial Intelligence during its meeting in April 2018.</w:t>
            </w:r>
          </w:p>
          <w:p w14:paraId="53F05878" w14:textId="3799EAC3" w:rsidR="00143EF1" w:rsidRPr="00073574" w:rsidRDefault="2CECA2D0" w:rsidP="634A3A28">
            <w:pPr>
              <w:pStyle w:val="ListParagraph"/>
              <w:numPr>
                <w:ilvl w:val="0"/>
                <w:numId w:val="29"/>
              </w:numPr>
              <w:contextualSpacing w:val="0"/>
            </w:pPr>
            <w:r w:rsidRPr="00073574">
              <w:t>SG3 organize</w:t>
            </w:r>
            <w:r w:rsidR="1ECD13CB" w:rsidRPr="00073574">
              <w:t>d</w:t>
            </w:r>
            <w:r w:rsidRPr="00073574">
              <w:t xml:space="preserve"> a </w:t>
            </w:r>
            <w:r w:rsidR="1ECD13CB" w:rsidRPr="00073574">
              <w:t>mini-</w:t>
            </w:r>
            <w:r w:rsidRPr="00073574">
              <w:t xml:space="preserve">workshop on Economic and Policy aspects </w:t>
            </w:r>
            <w:r w:rsidR="63B212C4" w:rsidRPr="00073574">
              <w:t>of IoT</w:t>
            </w:r>
            <w:r w:rsidRPr="00073574">
              <w:t xml:space="preserve"> during its meeting in April </w:t>
            </w:r>
            <w:r w:rsidR="63B212C4" w:rsidRPr="00073574">
              <w:t>2019</w:t>
            </w:r>
            <w:r w:rsidRPr="00073574">
              <w:t>.</w:t>
            </w:r>
            <w:r w:rsidR="1ECD13CB" w:rsidRPr="00073574">
              <w:t xml:space="preserve"> </w:t>
            </w:r>
            <w:r w:rsidR="27C443C2" w:rsidRPr="00073574">
              <w:t xml:space="preserve">SG3/WP1 remains interested </w:t>
            </w:r>
            <w:r w:rsidR="00244256" w:rsidRPr="00073574">
              <w:t xml:space="preserve">to </w:t>
            </w:r>
            <w:r w:rsidR="27C443C2" w:rsidRPr="00073574">
              <w:t>organize a collocated meeting in 2019 with ITU-D SG1 but noted the difficulties to have such a meeting organized, and remains interested to continue the cooperation in 2020 towards considering a co-located meeting.</w:t>
            </w:r>
          </w:p>
          <w:p w14:paraId="5B04465E" w14:textId="2ACA5FE0" w:rsidR="002C1298" w:rsidRPr="00073574" w:rsidRDefault="4DEA6B20" w:rsidP="002E241A">
            <w:pPr>
              <w:pStyle w:val="ListParagraph"/>
              <w:numPr>
                <w:ilvl w:val="0"/>
                <w:numId w:val="29"/>
              </w:numPr>
              <w:contextualSpacing w:val="0"/>
            </w:pPr>
            <w:r w:rsidRPr="00073574">
              <w:lastRenderedPageBreak/>
              <w:t>SG</w:t>
            </w:r>
            <w:r w:rsidR="05F941C4" w:rsidRPr="00073574">
              <w:t xml:space="preserve">5 </w:t>
            </w:r>
            <w:r w:rsidR="3E4B874C" w:rsidRPr="00073574">
              <w:t>organized</w:t>
            </w:r>
            <w:r w:rsidR="05F941C4" w:rsidRPr="00073574">
              <w:t xml:space="preserve"> its meeting </w:t>
            </w:r>
            <w:r w:rsidR="3E4B874C" w:rsidRPr="00073574">
              <w:t xml:space="preserve">held from </w:t>
            </w:r>
            <w:r w:rsidR="05F941C4" w:rsidRPr="00073574">
              <w:t>13-22 May 201</w:t>
            </w:r>
            <w:r w:rsidR="3E4B874C" w:rsidRPr="00073574">
              <w:t>9</w:t>
            </w:r>
            <w:r w:rsidR="05F941C4" w:rsidRPr="00073574">
              <w:t xml:space="preserve"> together with ETSI EE.</w:t>
            </w:r>
            <w:r w:rsidR="3E4B874C" w:rsidRPr="00073574">
              <w:t xml:space="preserve"> The meeting was preceded by the 13th Symposium on ICT, Environment and Climate Change on 13 May 2019. The symposium was co-organized with 8 UN Agencies and Programmes and concluded with a </w:t>
            </w:r>
            <w:hyperlink r:id="rId140">
              <w:r w:rsidR="3E4B874C" w:rsidRPr="00073574">
                <w:rPr>
                  <w:rStyle w:val="Hyperlink"/>
                </w:rPr>
                <w:t>Call for Action</w:t>
              </w:r>
            </w:hyperlink>
            <w:r w:rsidR="3E4B874C" w:rsidRPr="00073574">
              <w:t xml:space="preserve">, which acknowledges the transformative potential of frontier technologies and the associated risks, while highlighting a course of actions that would build a shared vision on the use of these technologies. Additionally, two Smart Environment Panels on </w:t>
            </w:r>
            <w:hyperlink r:id="rId141">
              <w:r w:rsidR="3E4B874C" w:rsidRPr="00073574">
                <w:rPr>
                  <w:rStyle w:val="Hyperlink"/>
                </w:rPr>
                <w:t>GHG emissions trajectories for the ICT sector</w:t>
              </w:r>
            </w:hyperlink>
            <w:r w:rsidR="3E4B874C" w:rsidRPr="00073574">
              <w:t xml:space="preserve"> and on </w:t>
            </w:r>
            <w:hyperlink r:id="rId142">
              <w:r w:rsidR="3E4B874C" w:rsidRPr="00073574">
                <w:rPr>
                  <w:rStyle w:val="Hyperlink"/>
                </w:rPr>
                <w:t>new ITU standards on soft errors that affect telecommunications</w:t>
              </w:r>
            </w:hyperlink>
            <w:r w:rsidR="3E4B874C" w:rsidRPr="00073574">
              <w:t xml:space="preserve"> were held on 15 and 20 May respectively.</w:t>
            </w:r>
          </w:p>
          <w:p w14:paraId="0F1331E8" w14:textId="22817FF7" w:rsidR="006D4312" w:rsidRPr="00073574" w:rsidRDefault="006D4312" w:rsidP="634A3A28">
            <w:pPr>
              <w:pStyle w:val="ListParagraph"/>
              <w:numPr>
                <w:ilvl w:val="0"/>
                <w:numId w:val="29"/>
              </w:numPr>
              <w:contextualSpacing w:val="0"/>
            </w:pPr>
            <w:r w:rsidRPr="00073574">
              <w:t>SG9 organiz</w:t>
            </w:r>
            <w:r w:rsidR="067E92A5" w:rsidRPr="00073574">
              <w:t>ed</w:t>
            </w:r>
            <w:r w:rsidRPr="00073574">
              <w:t xml:space="preserve"> a workshop on </w:t>
            </w:r>
            <w:r w:rsidR="067E92A5" w:rsidRPr="00073574">
              <w:t>“</w:t>
            </w:r>
            <w:r w:rsidRPr="00073574">
              <w:t>the future of TV</w:t>
            </w:r>
            <w:r w:rsidR="00AA0A2B" w:rsidRPr="00073574">
              <w:t xml:space="preserve"> in various regions</w:t>
            </w:r>
            <w:r w:rsidR="067E92A5" w:rsidRPr="00073574">
              <w:t>”</w:t>
            </w:r>
            <w:r w:rsidRPr="00073574">
              <w:t xml:space="preserve"> in co-location with the Study Group 9 meeting</w:t>
            </w:r>
            <w:r w:rsidR="00AA0A2B" w:rsidRPr="00073574">
              <w:t>s</w:t>
            </w:r>
            <w:r w:rsidRPr="00073574">
              <w:t xml:space="preserve"> at </w:t>
            </w:r>
            <w:r w:rsidR="00AA0A2B" w:rsidRPr="00073574">
              <w:t>almost</w:t>
            </w:r>
            <w:r w:rsidRPr="00073574">
              <w:t xml:space="preserve"> every meeting in this Study Period.</w:t>
            </w:r>
            <w:r w:rsidR="067E92A5" w:rsidRPr="00073574">
              <w:t xml:space="preserve"> The workshops are co-organized with the three Sectors of the ITU</w:t>
            </w:r>
            <w:r w:rsidR="00AA0A2B" w:rsidRPr="00073574">
              <w:t xml:space="preserve"> and the relevant ITU regional office</w:t>
            </w:r>
            <w:r w:rsidR="067E92A5" w:rsidRPr="00073574">
              <w:t>.</w:t>
            </w:r>
            <w:r w:rsidRPr="00073574">
              <w:t xml:space="preserve"> In addition</w:t>
            </w:r>
            <w:r w:rsidR="00F532EE">
              <w:t>,</w:t>
            </w:r>
            <w:r w:rsidRPr="00073574">
              <w:t xml:space="preserve"> SG9 has managed to organize various </w:t>
            </w:r>
            <w:r w:rsidR="00AA0A2B" w:rsidRPr="00073574">
              <w:t xml:space="preserve">SG9 </w:t>
            </w:r>
            <w:r w:rsidRPr="00073574">
              <w:t xml:space="preserve">meetings </w:t>
            </w:r>
            <w:r w:rsidR="006651F1" w:rsidRPr="00073574">
              <w:t xml:space="preserve">hosted </w:t>
            </w:r>
            <w:r w:rsidRPr="00073574">
              <w:t>in the regions to ensure regio</w:t>
            </w:r>
            <w:r w:rsidR="067E92A5" w:rsidRPr="00073574">
              <w:t>nal balanced participation.</w:t>
            </w:r>
            <w:r w:rsidR="00AA0A2B" w:rsidRPr="00073574">
              <w:t xml:space="preserve"> SG9 also hosted various meetings of the IRG-IBB as well as IRG-AVA</w:t>
            </w:r>
            <w:r w:rsidR="006651F1" w:rsidRPr="00073574">
              <w:t>, in co-location with SG9 meetings,</w:t>
            </w:r>
            <w:r w:rsidR="00AA0A2B" w:rsidRPr="00073574">
              <w:t xml:space="preserve"> to foster collaboration with ITU-T SG16 and ITU-R SG6 on </w:t>
            </w:r>
            <w:r w:rsidR="006651F1" w:rsidRPr="00073574">
              <w:t>relevant topics (e.g. Integrated Bro</w:t>
            </w:r>
            <w:r w:rsidR="00056C36" w:rsidRPr="00073574">
              <w:t>a</w:t>
            </w:r>
            <w:r w:rsidR="006651F1" w:rsidRPr="00073574">
              <w:t>dband Broadcast and Audiovisual Accessibility).</w:t>
            </w:r>
          </w:p>
          <w:p w14:paraId="2A35B7B2" w14:textId="5B62FD81" w:rsidR="00791271" w:rsidRPr="00073574" w:rsidRDefault="2728F8E9" w:rsidP="634A3A28">
            <w:pPr>
              <w:pStyle w:val="ListParagraph"/>
              <w:numPr>
                <w:ilvl w:val="0"/>
                <w:numId w:val="29"/>
              </w:numPr>
              <w:ind w:left="357" w:hanging="357"/>
              <w:contextualSpacing w:val="0"/>
            </w:pPr>
            <w:r w:rsidRPr="00073574">
              <w:t xml:space="preserve">SG11 </w:t>
            </w:r>
            <w:r w:rsidR="6F425B17" w:rsidRPr="00073574">
              <w:t xml:space="preserve">meetings, including SG11RG-EECAT meetings, </w:t>
            </w:r>
            <w:r w:rsidR="5B884280" w:rsidRPr="00073574">
              <w:t xml:space="preserve">are </w:t>
            </w:r>
            <w:r w:rsidR="6F425B17" w:rsidRPr="00073574">
              <w:t xml:space="preserve">mostly collocated with relevant SG13 meetings. Also, </w:t>
            </w:r>
            <w:r w:rsidRPr="00073574">
              <w:t>in March 2019</w:t>
            </w:r>
            <w:r w:rsidR="6F425B17" w:rsidRPr="00073574">
              <w:t xml:space="preserve">, </w:t>
            </w:r>
            <w:r w:rsidR="5B884280" w:rsidRPr="00073574">
              <w:t xml:space="preserve">the </w:t>
            </w:r>
            <w:r w:rsidR="6F425B17" w:rsidRPr="00073574">
              <w:t>SG11</w:t>
            </w:r>
            <w:r w:rsidRPr="00073574">
              <w:t xml:space="preserve"> </w:t>
            </w:r>
            <w:r w:rsidR="5B884280" w:rsidRPr="00073574">
              <w:t xml:space="preserve">meeting was </w:t>
            </w:r>
            <w:r w:rsidRPr="00073574">
              <w:t xml:space="preserve">collocated with ETSI TC INT and organized </w:t>
            </w:r>
            <w:r w:rsidR="02DB101F" w:rsidRPr="00073574">
              <w:t xml:space="preserve">a </w:t>
            </w:r>
            <w:r w:rsidRPr="00073574">
              <w:t>related ITU Workshop on Benchmarking of emerging technologies and applications</w:t>
            </w:r>
            <w:r w:rsidR="0B59CCFA" w:rsidRPr="00073574">
              <w:t xml:space="preserve"> -</w:t>
            </w:r>
            <w:r w:rsidRPr="00073574">
              <w:t xml:space="preserve"> Internet related performance measurements.</w:t>
            </w:r>
            <w:r w:rsidR="0011175A" w:rsidRPr="00073574">
              <w:t xml:space="preserve"> In March 2021, SG11 organized </w:t>
            </w:r>
            <w:r w:rsidR="00813E86" w:rsidRPr="00073574">
              <w:t xml:space="preserve">a </w:t>
            </w:r>
            <w:r w:rsidR="0011175A" w:rsidRPr="00073574">
              <w:t>joint ITU, ETSI, IEEE Workshop</w:t>
            </w:r>
            <w:r w:rsidR="007F3CC6" w:rsidRPr="00073574">
              <w:t xml:space="preserve"> on Testbeds Federations for 5G and Beyond: Interoperability, Standardization, Reference Model and APIs. In May 2021, SG11 organized </w:t>
            </w:r>
            <w:r w:rsidR="00221E73" w:rsidRPr="00073574">
              <w:t xml:space="preserve">joint ITU/Mobile Wireless Forum webinar on </w:t>
            </w:r>
            <w:r w:rsidR="005E2A98" w:rsidRPr="00073574">
              <w:t>"Combating Counterfeit and Irregular Mobile Devices: How to address the Problem".</w:t>
            </w:r>
            <w:r w:rsidR="004E40B6" w:rsidRPr="00073574">
              <w:t xml:space="preserve"> In </w:t>
            </w:r>
            <w:r w:rsidR="002A14B1" w:rsidRPr="00073574">
              <w:t>November 2021, SG11 in close collaboration with SG2 and SG17 organized ITU Workshop on “Improving the security of signalling</w:t>
            </w:r>
            <w:r w:rsidR="00DC1445" w:rsidRPr="00073574">
              <w:t xml:space="preserve"> </w:t>
            </w:r>
            <w:r w:rsidR="002A14B1" w:rsidRPr="00073574">
              <w:t>protocols”.</w:t>
            </w:r>
          </w:p>
          <w:p w14:paraId="3EA5532F" w14:textId="39D41C6B" w:rsidR="00E82931" w:rsidRPr="00073574" w:rsidRDefault="3AF85B7B" w:rsidP="634A3A28">
            <w:pPr>
              <w:pStyle w:val="ListParagraph"/>
              <w:numPr>
                <w:ilvl w:val="0"/>
                <w:numId w:val="29"/>
              </w:numPr>
              <w:ind w:left="357" w:hanging="357"/>
              <w:contextualSpacing w:val="0"/>
            </w:pPr>
            <w:r w:rsidRPr="00073574">
              <w:t>SG12 is collaborating with various organizations by liaisons and dual participation.</w:t>
            </w:r>
          </w:p>
          <w:p w14:paraId="59BF4725" w14:textId="3E0C79C1" w:rsidR="00F0236A" w:rsidRPr="00073574" w:rsidRDefault="00F0236A" w:rsidP="00384F2C">
            <w:pPr>
              <w:pStyle w:val="ListParagraph"/>
              <w:numPr>
                <w:ilvl w:val="0"/>
                <w:numId w:val="29"/>
              </w:numPr>
              <w:ind w:left="357" w:hanging="357"/>
              <w:contextualSpacing w:val="0"/>
              <w:rPr>
                <w:rFonts w:eastAsia="Times New Roman"/>
              </w:rPr>
            </w:pPr>
            <w:r w:rsidRPr="00073574">
              <w:t>SG13 meetings are always collocated with SG11</w:t>
            </w:r>
            <w:r w:rsidR="7B8DFF9A" w:rsidRPr="00073574">
              <w:t>, except the SG13 meeting in March 2019</w:t>
            </w:r>
            <w:r w:rsidR="00E51909" w:rsidRPr="00073574">
              <w:t>,</w:t>
            </w:r>
            <w:r w:rsidR="7B8DFF9A" w:rsidRPr="00073574">
              <w:t xml:space="preserve"> where it was invited to Zimbabwe</w:t>
            </w:r>
            <w:r w:rsidR="00E51909" w:rsidRPr="00073574">
              <w:t>,</w:t>
            </w:r>
            <w:r w:rsidR="00D54F27" w:rsidRPr="00073574">
              <w:t xml:space="preserve"> and in March 2021</w:t>
            </w:r>
            <w:r w:rsidR="7B8DFF9A" w:rsidRPr="00073574">
              <w:t>. FG</w:t>
            </w:r>
            <w:r w:rsidR="00046E65" w:rsidRPr="00073574">
              <w:t>-</w:t>
            </w:r>
            <w:r w:rsidR="7B8DFF9A" w:rsidRPr="00073574">
              <w:t>NET2030 meeting and workshop w</w:t>
            </w:r>
            <w:r w:rsidR="64E258CD" w:rsidRPr="00073574">
              <w:t>as</w:t>
            </w:r>
            <w:r w:rsidR="7B8DFF9A" w:rsidRPr="00073574">
              <w:t xml:space="preserve"> convened in conjunction with ITU-D Regional Forum in May 2019 in St Petersburg</w:t>
            </w:r>
            <w:r w:rsidR="1E5511A4" w:rsidRPr="00073574">
              <w:t>, Russia</w:t>
            </w:r>
            <w:r w:rsidR="7B8DFF9A" w:rsidRPr="00073574">
              <w:t xml:space="preserve">. </w:t>
            </w:r>
            <w:r w:rsidR="64E258CD" w:rsidRPr="00073574">
              <w:t xml:space="preserve">In addition, three ITU-T Regional Groups for EECAT region met at the same time and location. The FG ML5G meeting and workshop in June 2019 was co-located with the rapporteur groups of parent SG13. </w:t>
            </w:r>
            <w:r w:rsidR="7B8DFF9A" w:rsidRPr="00073574">
              <w:t>The FG</w:t>
            </w:r>
            <w:r w:rsidR="00046E65" w:rsidRPr="00073574">
              <w:t>-</w:t>
            </w:r>
            <w:r w:rsidR="7B8DFF9A" w:rsidRPr="00073574">
              <w:t>NET2030 meeting in October 2019 w</w:t>
            </w:r>
            <w:r w:rsidR="7A439F94" w:rsidRPr="00073574">
              <w:t>as</w:t>
            </w:r>
            <w:r w:rsidR="7B8DFF9A" w:rsidRPr="00073574">
              <w:t xml:space="preserve"> co-located with the parent SG meeting.</w:t>
            </w:r>
            <w:r w:rsidR="1E5511A4" w:rsidRPr="00073574">
              <w:t xml:space="preserve"> JCA-IMT2020 meeting in September 2018 was co-located with the Q4/11 </w:t>
            </w:r>
            <w:r w:rsidR="00FD2D80" w:rsidRPr="00073574">
              <w:t>R</w:t>
            </w:r>
            <w:r w:rsidR="1E5511A4" w:rsidRPr="00073574">
              <w:t xml:space="preserve">apporteur </w:t>
            </w:r>
            <w:r w:rsidR="00FD2D80" w:rsidRPr="00073574">
              <w:t>G</w:t>
            </w:r>
            <w:r w:rsidR="1E5511A4" w:rsidRPr="00073574">
              <w:t>roup meeting in China</w:t>
            </w:r>
            <w:r w:rsidR="1863F546" w:rsidRPr="00073574">
              <w:t>, JCA-IMT2020 meeting</w:t>
            </w:r>
            <w:r w:rsidR="64E258CD" w:rsidRPr="00073574">
              <w:t>s</w:t>
            </w:r>
            <w:r w:rsidR="1863F546" w:rsidRPr="00073574">
              <w:t xml:space="preserve"> in October 2018</w:t>
            </w:r>
            <w:r w:rsidR="31D8FD85" w:rsidRPr="00073574">
              <w:t>,</w:t>
            </w:r>
            <w:r w:rsidR="1863F546" w:rsidRPr="00073574">
              <w:t xml:space="preserve"> </w:t>
            </w:r>
            <w:r w:rsidR="64E258CD" w:rsidRPr="00073574">
              <w:t>in July 2019</w:t>
            </w:r>
            <w:r w:rsidR="1BEF86A1" w:rsidRPr="00073574">
              <w:t xml:space="preserve">, in January 2020 </w:t>
            </w:r>
            <w:r w:rsidR="64E258CD" w:rsidRPr="00073574">
              <w:t>were</w:t>
            </w:r>
            <w:r w:rsidR="1863F546" w:rsidRPr="00073574">
              <w:t xml:space="preserve"> held alongside </w:t>
            </w:r>
            <w:r w:rsidR="00FD2D80" w:rsidRPr="00073574">
              <w:t xml:space="preserve">the </w:t>
            </w:r>
            <w:r w:rsidR="1863F546" w:rsidRPr="00073574">
              <w:t>SG15 meeting in Geneva.</w:t>
            </w:r>
            <w:r w:rsidR="2B9A691C" w:rsidRPr="00073574">
              <w:t xml:space="preserve"> </w:t>
            </w:r>
            <w:r w:rsidR="009366FC" w:rsidRPr="00073574">
              <w:t>Consolidation in Quantum (</w:t>
            </w:r>
            <w:r w:rsidR="2B9A691C" w:rsidRPr="00073574">
              <w:t>CQ</w:t>
            </w:r>
            <w:r w:rsidR="009366FC" w:rsidRPr="00073574">
              <w:t>)</w:t>
            </w:r>
            <w:r w:rsidR="2B9A691C" w:rsidRPr="00073574">
              <w:t xml:space="preserve"> is a co-location of the quantum related </w:t>
            </w:r>
            <w:r w:rsidR="079B9414" w:rsidRPr="00073574">
              <w:t>rapporteur groups (4</w:t>
            </w:r>
            <w:r w:rsidR="2B9A691C" w:rsidRPr="00073574">
              <w:t>/17, 16/13) of SG</w:t>
            </w:r>
            <w:r w:rsidR="67EE4BF4" w:rsidRPr="00073574">
              <w:t>s 13 and 17.</w:t>
            </w:r>
            <w:r w:rsidR="2B9A691C" w:rsidRPr="00073574">
              <w:t xml:space="preserve"> </w:t>
            </w:r>
            <w:r w:rsidR="5793792C" w:rsidRPr="00073574">
              <w:t xml:space="preserve">It is in operation </w:t>
            </w:r>
            <w:r w:rsidR="00384F2C" w:rsidRPr="00073574">
              <w:t>since</w:t>
            </w:r>
            <w:r w:rsidR="5793792C" w:rsidRPr="00073574">
              <w:t xml:space="preserve"> December 2019.</w:t>
            </w:r>
            <w:r w:rsidR="009750C0" w:rsidRPr="00073574">
              <w:t xml:space="preserve"> SG13RG-AFR </w:t>
            </w:r>
            <w:r w:rsidR="00A51445" w:rsidRPr="00073574">
              <w:t xml:space="preserve">virtual meeting </w:t>
            </w:r>
            <w:r w:rsidR="009750C0" w:rsidRPr="00073574">
              <w:t xml:space="preserve">was </w:t>
            </w:r>
            <w:r w:rsidR="00A51445" w:rsidRPr="00073574">
              <w:t xml:space="preserve">collocated in time with the SG20-RG-AFR </w:t>
            </w:r>
            <w:r w:rsidR="00BF0DB9" w:rsidRPr="00073574">
              <w:t xml:space="preserve">meeting </w:t>
            </w:r>
            <w:r w:rsidR="00A51445" w:rsidRPr="00073574">
              <w:t>in June 2021.</w:t>
            </w:r>
          </w:p>
          <w:p w14:paraId="584FA799" w14:textId="0DF5CB14" w:rsidR="001B4796" w:rsidRPr="00073574" w:rsidRDefault="426C51CC" w:rsidP="634A3A28">
            <w:pPr>
              <w:pStyle w:val="ListParagraph"/>
              <w:numPr>
                <w:ilvl w:val="0"/>
                <w:numId w:val="29"/>
              </w:numPr>
              <w:ind w:left="357" w:hanging="357"/>
              <w:contextualSpacing w:val="0"/>
            </w:pPr>
            <w:r w:rsidRPr="00073574">
              <w:t>SG15 and TSB hosted IEEE 802.1 and 802.3 interim meetings (22-26 January 2018) and held a joint IEEE 802-ITU-T SG15 workshop “</w:t>
            </w:r>
            <w:r w:rsidRPr="00073574">
              <w:rPr>
                <w:rFonts w:cs="Segoe UI"/>
              </w:rPr>
              <w:t>Building Tomorrow’s Networks” on 27 January, which preceded the SG15 meeting from 29 January to 9 February 2018. These series of events facilitated collaboration between IEEE 802.1/802.3 and ITU-T SG15 on various technology areas.</w:t>
            </w:r>
          </w:p>
          <w:p w14:paraId="23B88ED6" w14:textId="652C62FD" w:rsidR="00FD1B27" w:rsidRPr="00073574" w:rsidRDefault="00FD1B27" w:rsidP="634A3A28">
            <w:pPr>
              <w:pStyle w:val="ListParagraph"/>
              <w:numPr>
                <w:ilvl w:val="0"/>
                <w:numId w:val="29"/>
              </w:numPr>
              <w:contextualSpacing w:val="0"/>
            </w:pPr>
            <w:r w:rsidRPr="00073574">
              <w:t xml:space="preserve">SG15 and TSB </w:t>
            </w:r>
            <w:r w:rsidR="006E2B0F" w:rsidRPr="00073574">
              <w:t>hosted</w:t>
            </w:r>
            <w:r w:rsidRPr="00073574">
              <w:t xml:space="preserve"> IEEE 802.1 and 802.3 interim meetings (20-24 January 2020) and </w:t>
            </w:r>
            <w:r w:rsidR="000F335F" w:rsidRPr="00073574">
              <w:t>held</w:t>
            </w:r>
            <w:r w:rsidRPr="00073574">
              <w:t xml:space="preserve"> a joint IEEE 802-ITU-T SG15 workshop on mutual interest</w:t>
            </w:r>
            <w:r w:rsidRPr="00073574">
              <w:rPr>
                <w:rFonts w:cs="Segoe UI"/>
              </w:rPr>
              <w:t xml:space="preserve"> on 25 January, which </w:t>
            </w:r>
            <w:r w:rsidR="00060E0A" w:rsidRPr="00073574">
              <w:rPr>
                <w:rFonts w:cs="Segoe UI"/>
              </w:rPr>
              <w:t>preceded</w:t>
            </w:r>
            <w:r w:rsidR="000F335F" w:rsidRPr="00073574">
              <w:rPr>
                <w:rFonts w:cs="Segoe UI"/>
              </w:rPr>
              <w:t xml:space="preserve"> </w:t>
            </w:r>
            <w:r w:rsidRPr="00073574">
              <w:rPr>
                <w:rFonts w:cs="Segoe UI"/>
              </w:rPr>
              <w:t>the SG15 meeting from 27 January to 7 February 2020. These series of events facilitate</w:t>
            </w:r>
            <w:r w:rsidR="000F335F" w:rsidRPr="00073574">
              <w:rPr>
                <w:rFonts w:cs="Segoe UI"/>
              </w:rPr>
              <w:t>d</w:t>
            </w:r>
            <w:r w:rsidRPr="00073574">
              <w:rPr>
                <w:rFonts w:cs="Segoe UI"/>
              </w:rPr>
              <w:t xml:space="preserve"> collaboration between IEEE 802.1/802.3 and ITU-T SG15 on various technology areas.</w:t>
            </w:r>
          </w:p>
          <w:p w14:paraId="02DD8B60" w14:textId="15A89E3B" w:rsidR="001B4796" w:rsidRPr="00073574" w:rsidRDefault="426C51CC" w:rsidP="634A3A28">
            <w:pPr>
              <w:pStyle w:val="ListParagraph"/>
              <w:numPr>
                <w:ilvl w:val="0"/>
                <w:numId w:val="29"/>
              </w:numPr>
              <w:ind w:left="357" w:hanging="357"/>
              <w:contextualSpacing w:val="0"/>
            </w:pPr>
            <w:r w:rsidRPr="00073574">
              <w:t>SG15 is collaborating with various organizations by liaisons and dual participation.</w:t>
            </w:r>
          </w:p>
          <w:p w14:paraId="60689D4B" w14:textId="77548899" w:rsidR="00F0236A" w:rsidRPr="00073574" w:rsidRDefault="1AD8E4E9" w:rsidP="634A3A28">
            <w:pPr>
              <w:pStyle w:val="ListParagraph"/>
              <w:numPr>
                <w:ilvl w:val="0"/>
                <w:numId w:val="29"/>
              </w:numPr>
              <w:ind w:left="357" w:hanging="357"/>
              <w:contextualSpacing w:val="0"/>
            </w:pPr>
            <w:r w:rsidRPr="00073574">
              <w:lastRenderedPageBreak/>
              <w:t>WP2/16 meeting</w:t>
            </w:r>
            <w:r w:rsidR="00112C75" w:rsidRPr="00073574">
              <w:t xml:space="preserve"> </w:t>
            </w:r>
            <w:r w:rsidRPr="00073574">
              <w:t xml:space="preserve">was </w:t>
            </w:r>
            <w:r w:rsidR="00112C75" w:rsidRPr="00073574">
              <w:t xml:space="preserve">collocated with </w:t>
            </w:r>
            <w:r w:rsidR="00FD2D80" w:rsidRPr="00073574">
              <w:t>ISO/IEC JTC1/</w:t>
            </w:r>
            <w:r w:rsidR="00112C75" w:rsidRPr="00073574">
              <w:t>SC35 (User interfaces) in Geneva, Feb</w:t>
            </w:r>
            <w:r w:rsidR="00FD2D80" w:rsidRPr="00073574">
              <w:t>ruary</w:t>
            </w:r>
            <w:r w:rsidR="00112C75" w:rsidRPr="00073574">
              <w:t xml:space="preserve"> 2018.</w:t>
            </w:r>
          </w:p>
          <w:p w14:paraId="1425C18B" w14:textId="444BF4EC" w:rsidR="00603C37" w:rsidRPr="00073574" w:rsidRDefault="264928A8" w:rsidP="002E241A">
            <w:pPr>
              <w:pStyle w:val="ListParagraph"/>
              <w:numPr>
                <w:ilvl w:val="0"/>
                <w:numId w:val="29"/>
              </w:numPr>
              <w:contextualSpacing w:val="0"/>
            </w:pPr>
            <w:r w:rsidRPr="00073574">
              <w:t>SG16 hosted the Joint Video Experts Team (</w:t>
            </w:r>
            <w:hyperlink r:id="rId143">
              <w:r w:rsidRPr="00073574">
                <w:rPr>
                  <w:rStyle w:val="Hyperlink"/>
                </w:rPr>
                <w:t>JVET</w:t>
              </w:r>
            </w:hyperlink>
            <w:r w:rsidRPr="00073574">
              <w:t>) Joint Collaborative Team on Video Coding (</w:t>
            </w:r>
            <w:hyperlink r:id="rId144">
              <w:r w:rsidRPr="00073574">
                <w:rPr>
                  <w:rStyle w:val="Hyperlink"/>
                </w:rPr>
                <w:t>JCT-VC</w:t>
              </w:r>
            </w:hyperlink>
            <w:r w:rsidRPr="00073574">
              <w:t xml:space="preserve">) as part of its ongoing collaboration with ISO/IEC JTC 1/SC 29/WG 11 (MPEG) for the development of enhanced capabilities for video coding </w:t>
            </w:r>
            <w:r w:rsidR="00D02B74" w:rsidRPr="00073574">
              <w:t xml:space="preserve">as well as MPEG meeting </w:t>
            </w:r>
            <w:r w:rsidR="095D9C66" w:rsidRPr="00073574">
              <w:t>for all of its SG meetings in this study period.</w:t>
            </w:r>
          </w:p>
          <w:p w14:paraId="2CA5D0D3" w14:textId="5314A097" w:rsidR="00113AE0" w:rsidRPr="00073574" w:rsidRDefault="06BE44E7" w:rsidP="634A3A28">
            <w:pPr>
              <w:pStyle w:val="ListParagraph"/>
              <w:numPr>
                <w:ilvl w:val="0"/>
                <w:numId w:val="29"/>
              </w:numPr>
              <w:ind w:left="357" w:hanging="357"/>
              <w:contextualSpacing w:val="0"/>
            </w:pPr>
            <w:r w:rsidRPr="00073574">
              <w:t>SG17 hosted a</w:t>
            </w:r>
            <w:r w:rsidR="00113AE0" w:rsidRPr="00073574">
              <w:t xml:space="preserve"> meeting of the </w:t>
            </w:r>
            <w:hyperlink r:id="rId145">
              <w:r w:rsidR="00113AE0" w:rsidRPr="00073574">
                <w:rPr>
                  <w:rStyle w:val="Hyperlink"/>
                </w:rPr>
                <w:t>Anti-Abuse Telco Network Working Group of ETIS</w:t>
              </w:r>
            </w:hyperlink>
            <w:r w:rsidR="00113AE0" w:rsidRPr="00073574">
              <w:t xml:space="preserve"> on 21-23 March 2018 during </w:t>
            </w:r>
            <w:r w:rsidR="6C211D50" w:rsidRPr="00073574">
              <w:t xml:space="preserve">the </w:t>
            </w:r>
            <w:r w:rsidR="00113AE0" w:rsidRPr="00073574">
              <w:t>SG17 March 2018 meeting.</w:t>
            </w:r>
          </w:p>
          <w:p w14:paraId="3A8B53E3" w14:textId="126C599B" w:rsidR="00D65E0D" w:rsidRPr="00073574" w:rsidRDefault="06BE44E7" w:rsidP="634A3A28">
            <w:pPr>
              <w:pStyle w:val="ListParagraph"/>
              <w:numPr>
                <w:ilvl w:val="0"/>
                <w:numId w:val="29"/>
              </w:numPr>
              <w:contextualSpacing w:val="0"/>
            </w:pPr>
            <w:r w:rsidRPr="00073574">
              <w:t>SG17 hosted a UN TF-CS/OTA meeting on 27-28 August 2019 during the SG17 Aug/Sept 2019 meeting.</w:t>
            </w:r>
          </w:p>
          <w:p w14:paraId="61B653A4" w14:textId="011B6339" w:rsidR="00017D94" w:rsidRPr="00073574" w:rsidRDefault="079A151F" w:rsidP="634A3A28">
            <w:pPr>
              <w:pStyle w:val="ListParagraph"/>
              <w:numPr>
                <w:ilvl w:val="0"/>
                <w:numId w:val="29"/>
              </w:numPr>
              <w:contextualSpacing w:val="0"/>
            </w:pPr>
            <w:r w:rsidRPr="00073574">
              <w:t>SG17 Q11/17 meetings are mostly joint with ISO/IEC JTC 1/SC 6.</w:t>
            </w:r>
          </w:p>
          <w:p w14:paraId="6DCB0BB2" w14:textId="37F30112" w:rsidR="00017D94" w:rsidRPr="00073574" w:rsidRDefault="034560CF" w:rsidP="002E241A">
            <w:pPr>
              <w:pStyle w:val="ListParagraph"/>
              <w:numPr>
                <w:ilvl w:val="0"/>
                <w:numId w:val="29"/>
              </w:numPr>
              <w:contextualSpacing w:val="0"/>
            </w:pPr>
            <w:r w:rsidRPr="00073574">
              <w:t xml:space="preserve">SG17 and SG13 held co-located Rapporteur Group Meetings </w:t>
            </w:r>
            <w:r w:rsidR="1E07FA8E" w:rsidRPr="00073574">
              <w:t xml:space="preserve">of Q4/17 and Q16/13 on </w:t>
            </w:r>
            <w:r w:rsidRPr="00073574">
              <w:t>quantum information technologies since Dec</w:t>
            </w:r>
            <w:r w:rsidR="376AAFF2" w:rsidRPr="00073574">
              <w:t>ember</w:t>
            </w:r>
            <w:r w:rsidRPr="00073574">
              <w:t xml:space="preserve"> 2019.</w:t>
            </w:r>
          </w:p>
          <w:p w14:paraId="636B8080" w14:textId="151EFCAC" w:rsidR="2DCCD8C5" w:rsidRPr="00073574" w:rsidRDefault="41B81A4E" w:rsidP="634A3A28">
            <w:pPr>
              <w:pStyle w:val="ListParagraph"/>
              <w:numPr>
                <w:ilvl w:val="0"/>
                <w:numId w:val="29"/>
              </w:numPr>
              <w:ind w:left="357" w:hanging="357"/>
              <w:contextualSpacing w:val="0"/>
              <w:rPr>
                <w:rFonts w:eastAsia="Times New Roman"/>
              </w:rPr>
            </w:pPr>
            <w:r w:rsidRPr="00073574">
              <w:t>The JCA-IdM meetings are always collocated with the ITU-T SG17 meetings.</w:t>
            </w:r>
          </w:p>
          <w:p w14:paraId="71B3EEC7" w14:textId="50EB28F6" w:rsidR="00143EF1" w:rsidRPr="00073574" w:rsidRDefault="2CECA2D0" w:rsidP="634A3A28">
            <w:pPr>
              <w:pStyle w:val="ListParagraph"/>
              <w:numPr>
                <w:ilvl w:val="0"/>
                <w:numId w:val="29"/>
              </w:numPr>
              <w:contextualSpacing w:val="0"/>
            </w:pPr>
            <w:r w:rsidRPr="00073574">
              <w:t>WP1/20 meeting organized collocated with oneM2M in Geneva from 15 to 19 January 2018. A joint session with oneM2M was held on 17 January 2018.</w:t>
            </w:r>
            <w:r w:rsidR="03856F2C" w:rsidRPr="00073574">
              <w:t xml:space="preserve"> The SG20 meeting held from 6 to 16 May 2018 in Cairo, Egypt was preceded by a </w:t>
            </w:r>
            <w:hyperlink r:id="rId146">
              <w:r w:rsidR="03856F2C" w:rsidRPr="00073574">
                <w:rPr>
                  <w:rStyle w:val="Hyperlink"/>
                </w:rPr>
                <w:t>Forum on Exploring the Potential of Artificial Intelligence and Internet of Things</w:t>
              </w:r>
            </w:hyperlink>
            <w:r w:rsidR="03856F2C" w:rsidRPr="00073574">
              <w:t xml:space="preserve"> on 6 May 2018. Additionally</w:t>
            </w:r>
            <w:r w:rsidR="00623A14" w:rsidRPr="00073574">
              <w:t>,</w:t>
            </w:r>
            <w:r w:rsidR="03856F2C" w:rsidRPr="00073574">
              <w:t xml:space="preserve"> a Showcase on IoT solutions was held from 6 to 8 May 2018.</w:t>
            </w:r>
          </w:p>
          <w:p w14:paraId="2F4C4376" w14:textId="61AA6ABC" w:rsidR="00917CA0" w:rsidRPr="00073574" w:rsidRDefault="03856F2C" w:rsidP="634A3A28">
            <w:pPr>
              <w:pStyle w:val="ListParagraph"/>
              <w:numPr>
                <w:ilvl w:val="0"/>
                <w:numId w:val="29"/>
              </w:numPr>
              <w:contextualSpacing w:val="0"/>
            </w:pPr>
            <w:r w:rsidRPr="00073574">
              <w:t xml:space="preserve">The ITU-T SG20 meeting held from 3 to 13 December 2018 in Wuxi, China was preceded by a </w:t>
            </w:r>
            <w:hyperlink r:id="rId147">
              <w:r w:rsidRPr="00073574">
                <w:rPr>
                  <w:rStyle w:val="Hyperlink"/>
                </w:rPr>
                <w:t>Forum on on Artificial Intelligence, Internet of Things and Smart Cities</w:t>
              </w:r>
            </w:hyperlink>
            <w:r w:rsidRPr="00073574">
              <w:t xml:space="preserve"> held on 3 December 2018.</w:t>
            </w:r>
          </w:p>
          <w:p w14:paraId="61CDABF3" w14:textId="5DDF7814" w:rsidR="009877C8" w:rsidRPr="00073574" w:rsidRDefault="194ADB57" w:rsidP="634A3A28">
            <w:pPr>
              <w:pStyle w:val="ListParagraph"/>
              <w:numPr>
                <w:ilvl w:val="0"/>
                <w:numId w:val="29"/>
              </w:numPr>
              <w:contextualSpacing w:val="0"/>
            </w:pPr>
            <w:r w:rsidRPr="00073574">
              <w:t xml:space="preserve">The ITU-T SG20 meeting held from 25 November to 6 December 2019 was preceded by the </w:t>
            </w:r>
            <w:hyperlink r:id="rId148">
              <w:r w:rsidRPr="00073574">
                <w:rPr>
                  <w:rStyle w:val="Hyperlink"/>
                </w:rPr>
                <w:t>5th ITU Workshop on Data Processing and Management for IoT and Smart Cities &amp; Communities</w:t>
              </w:r>
            </w:hyperlink>
            <w:r w:rsidRPr="00073574">
              <w:t xml:space="preserve"> on 25 November 2019.</w:t>
            </w:r>
          </w:p>
          <w:p w14:paraId="63E70E76" w14:textId="69E9D3F4" w:rsidR="008E5BDF" w:rsidRPr="00073574" w:rsidRDefault="0DE512D5" w:rsidP="002E241A">
            <w:pPr>
              <w:pStyle w:val="ListParagraph"/>
              <w:numPr>
                <w:ilvl w:val="0"/>
                <w:numId w:val="29"/>
              </w:numPr>
              <w:spacing w:after="40"/>
              <w:ind w:left="357" w:hanging="357"/>
              <w:contextualSpacing w:val="0"/>
            </w:pPr>
            <w:r w:rsidRPr="00073574">
              <w:t>The JCA-IoT and SC&amp;C meeting is collocated with ITU-T SG20 meeting</w:t>
            </w:r>
            <w:r w:rsidR="5F416BD6" w:rsidRPr="00073574">
              <w:t>.</w:t>
            </w:r>
          </w:p>
          <w:p w14:paraId="1E0281B7" w14:textId="7FC057E2" w:rsidR="00D65E0D" w:rsidRPr="00073574" w:rsidRDefault="5239D81C" w:rsidP="634A3A28">
            <w:pPr>
              <w:pStyle w:val="ListParagraph"/>
              <w:numPr>
                <w:ilvl w:val="0"/>
                <w:numId w:val="29"/>
              </w:numPr>
              <w:spacing w:after="40"/>
              <w:ind w:left="357" w:hanging="357"/>
              <w:contextualSpacing w:val="0"/>
              <w:rPr>
                <w:rFonts w:eastAsia="Times New Roman"/>
              </w:rPr>
            </w:pPr>
            <w:r w:rsidRPr="00073574">
              <w:t xml:space="preserve">The JCA-IoT and SC&amp;C meeting that took place on 26 June 2020 was preceded by a </w:t>
            </w:r>
            <w:hyperlink r:id="rId149">
              <w:r w:rsidRPr="00073574">
                <w:rPr>
                  <w:rStyle w:val="Hyperlink"/>
                  <w:rFonts w:eastAsia="Times New Roman"/>
                </w:rPr>
                <w:t>Webinar on “Accelerating cities’ transformation through standards”</w:t>
              </w:r>
            </w:hyperlink>
            <w:r w:rsidRPr="00073574">
              <w:t xml:space="preserve"> that took place on 25 June 2020.</w:t>
            </w:r>
          </w:p>
          <w:p w14:paraId="196B1585" w14:textId="2244FFD0" w:rsidR="009C5BC1" w:rsidRPr="00073574" w:rsidRDefault="009C5BC1" w:rsidP="009C5BC1">
            <w:pPr>
              <w:pStyle w:val="ListParagraph"/>
              <w:numPr>
                <w:ilvl w:val="0"/>
                <w:numId w:val="29"/>
              </w:numPr>
              <w:spacing w:after="40"/>
              <w:ind w:left="357" w:hanging="357"/>
              <w:contextualSpacing w:val="0"/>
              <w:rPr>
                <w:rFonts w:eastAsia="Times New Roman"/>
              </w:rPr>
            </w:pPr>
            <w:r w:rsidRPr="00073574">
              <w:t xml:space="preserve">The JCA-IoT and SC&amp;C meeting that took place on </w:t>
            </w:r>
            <w:r w:rsidR="00F144F0" w:rsidRPr="00073574">
              <w:t>23 April 2021</w:t>
            </w:r>
            <w:r w:rsidRPr="00073574">
              <w:t xml:space="preserve"> was </w:t>
            </w:r>
            <w:r w:rsidR="00F144F0" w:rsidRPr="00073574">
              <w:t>followed</w:t>
            </w:r>
            <w:r w:rsidRPr="00073574">
              <w:t xml:space="preserve"> by a </w:t>
            </w:r>
            <w:hyperlink r:id="rId150" w:history="1">
              <w:r w:rsidR="00F144F0" w:rsidRPr="00073574">
                <w:rPr>
                  <w:rStyle w:val="Hyperlink"/>
                </w:rPr>
                <w:t>Virtual forum on “The Role of Standards in Accelerating Digital Transformation for Cities and Communities”</w:t>
              </w:r>
            </w:hyperlink>
            <w:r w:rsidRPr="00073574">
              <w:t xml:space="preserve"> that took place on </w:t>
            </w:r>
            <w:r w:rsidR="004649DF" w:rsidRPr="00073574">
              <w:t>23 April 2021</w:t>
            </w:r>
            <w:r w:rsidRPr="00073574">
              <w:t>.</w:t>
            </w:r>
          </w:p>
          <w:p w14:paraId="1A194AA8" w14:textId="2604AF97" w:rsidR="009C5BC1" w:rsidRPr="00073574" w:rsidDel="00227ABD" w:rsidRDefault="008704BE" w:rsidP="634A3A28">
            <w:pPr>
              <w:pStyle w:val="ListParagraph"/>
              <w:numPr>
                <w:ilvl w:val="0"/>
                <w:numId w:val="29"/>
              </w:numPr>
              <w:spacing w:after="40"/>
              <w:ind w:left="357" w:hanging="357"/>
              <w:contextualSpacing w:val="0"/>
              <w:rPr>
                <w:rFonts w:eastAsia="Times New Roman"/>
              </w:rPr>
            </w:pPr>
            <w:r w:rsidRPr="00073574">
              <w:rPr>
                <w:rFonts w:eastAsia="Times New Roman"/>
              </w:rPr>
              <w:t xml:space="preserve">The ITU-T </w:t>
            </w:r>
            <w:r w:rsidR="000423A6" w:rsidRPr="00073574">
              <w:rPr>
                <w:rFonts w:eastAsia="Times New Roman"/>
              </w:rPr>
              <w:t>SG20 Regional Group</w:t>
            </w:r>
            <w:r w:rsidR="00B06433" w:rsidRPr="00073574">
              <w:rPr>
                <w:rFonts w:eastAsia="Times New Roman"/>
              </w:rPr>
              <w:t xml:space="preserve">s meetings are </w:t>
            </w:r>
            <w:r w:rsidR="004D4F52" w:rsidRPr="00073574">
              <w:rPr>
                <w:rFonts w:eastAsia="Times New Roman"/>
              </w:rPr>
              <w:t xml:space="preserve">mostly collocated with a forum or webinar on relevant topics. </w:t>
            </w:r>
          </w:p>
        </w:tc>
      </w:tr>
    </w:tbl>
    <w:p w14:paraId="7ACA36EA" w14:textId="77777777" w:rsidR="00F0236A" w:rsidRPr="00073574" w:rsidRDefault="0053741E" w:rsidP="00F0236A">
      <w:pPr>
        <w:rPr>
          <w:sz w:val="24"/>
        </w:rPr>
      </w:pPr>
      <w:hyperlink w:anchor="Top" w:history="1">
        <w:r w:rsidR="00F0236A" w:rsidRPr="00073574">
          <w:rPr>
            <w:rStyle w:val="Hyperlink"/>
            <w:rFonts w:eastAsia="Times New Roman"/>
            <w:sz w:val="24"/>
          </w:rPr>
          <w:t>» Top</w:t>
        </w:r>
      </w:hyperlink>
    </w:p>
    <w:p w14:paraId="3AA9B461" w14:textId="77777777" w:rsidR="00F0236A" w:rsidRPr="00073574" w:rsidRDefault="00F0236A" w:rsidP="00F0236A">
      <w:pPr>
        <w:rPr>
          <w:sz w:val="24"/>
        </w:rPr>
      </w:pPr>
    </w:p>
    <w:p w14:paraId="1B79D35E" w14:textId="051835DF" w:rsidR="00F0236A" w:rsidRPr="00073574" w:rsidRDefault="00F0236A" w:rsidP="002E241A">
      <w:pPr>
        <w:pStyle w:val="Heading1"/>
        <w:keepNext/>
        <w:numPr>
          <w:ilvl w:val="0"/>
          <w:numId w:val="15"/>
        </w:numPr>
        <w:ind w:left="357" w:hanging="357"/>
        <w:rPr>
          <w:sz w:val="24"/>
          <w:szCs w:val="24"/>
          <w:lang w:val="en-GB"/>
        </w:rPr>
      </w:pPr>
      <w:bookmarkStart w:id="21" w:name="Resolution_07"/>
      <w:bookmarkStart w:id="22" w:name="_Toc471715355"/>
      <w:bookmarkStart w:id="23" w:name="_Toc304236414"/>
      <w:bookmarkStart w:id="24" w:name="_Toc93425241"/>
      <w:bookmarkEnd w:id="21"/>
      <w:r w:rsidRPr="00073574">
        <w:rPr>
          <w:sz w:val="24"/>
          <w:szCs w:val="24"/>
          <w:lang w:val="en-GB"/>
        </w:rPr>
        <w:t>Resolution 7 - Collaboration with the International Organization for Standardization and the International Electrotechnical Commission</w:t>
      </w:r>
      <w:bookmarkEnd w:id="22"/>
      <w:bookmarkEnd w:id="23"/>
      <w:bookmarkEnd w:id="24"/>
    </w:p>
    <w:p w14:paraId="2BAE86BB" w14:textId="77777777" w:rsidR="00F0236A" w:rsidRPr="00073574" w:rsidRDefault="00F0236A" w:rsidP="00CA6DED">
      <w:pPr>
        <w:rPr>
          <w:b/>
          <w:bCs/>
          <w:i/>
          <w:iCs/>
          <w:sz w:val="24"/>
        </w:rPr>
      </w:pPr>
      <w:r w:rsidRPr="00073574">
        <w:rPr>
          <w:b/>
          <w:bCs/>
          <w:i/>
          <w:iCs/>
          <w:sz w:val="24"/>
        </w:rPr>
        <w:t>Resolution 7</w:t>
      </w:r>
    </w:p>
    <w:p w14:paraId="617375A5" w14:textId="77777777" w:rsidR="00F0236A" w:rsidRPr="00073574" w:rsidRDefault="00F0236A" w:rsidP="00C37D59">
      <w:pPr>
        <w:pStyle w:val="Call"/>
        <w:rPr>
          <w:sz w:val="24"/>
          <w:szCs w:val="24"/>
          <w:lang w:val="en-GB"/>
        </w:rPr>
      </w:pPr>
      <w:r w:rsidRPr="00073574">
        <w:rPr>
          <w:sz w:val="24"/>
          <w:szCs w:val="24"/>
          <w:lang w:val="en-GB"/>
        </w:rPr>
        <w:t>resolves</w:t>
      </w:r>
    </w:p>
    <w:p w14:paraId="2575203F" w14:textId="77777777" w:rsidR="00F0236A" w:rsidRPr="00073574" w:rsidRDefault="00F0236A">
      <w:pPr>
        <w:rPr>
          <w:sz w:val="24"/>
        </w:rPr>
      </w:pPr>
      <w:r w:rsidRPr="00073574">
        <w:rPr>
          <w:sz w:val="24"/>
        </w:rPr>
        <w:t>1</w:t>
      </w:r>
      <w:r w:rsidRPr="00073574">
        <w:rPr>
          <w:sz w:val="24"/>
        </w:rPr>
        <w:tab/>
        <w:t>to continue inviting ISO and IEC to examine the ITU</w:t>
      </w:r>
      <w:r w:rsidRPr="00073574">
        <w:rPr>
          <w:sz w:val="24"/>
        </w:rPr>
        <w:noBreakHyphen/>
        <w:t xml:space="preserve">T study programme in the early stages of its studies and vice versa, and to further examine such programmes to take into </w:t>
      </w:r>
      <w:r w:rsidRPr="00073574">
        <w:rPr>
          <w:sz w:val="24"/>
        </w:rPr>
        <w:lastRenderedPageBreak/>
        <w:t>account ongoing changes, in order to identify subjects where coordination seems desirable and would benefit the organizations, and to inform the Director of the Telecommunication Standardization Bureau (TSB);</w:t>
      </w:r>
    </w:p>
    <w:p w14:paraId="1962DA8B" w14:textId="77777777" w:rsidR="00F0236A" w:rsidRPr="00073574" w:rsidRDefault="00F0236A" w:rsidP="00F0236A">
      <w:pPr>
        <w:rPr>
          <w:sz w:val="24"/>
        </w:rPr>
      </w:pPr>
      <w:r w:rsidRPr="00073574">
        <w:rPr>
          <w:sz w:val="24"/>
        </w:rPr>
        <w:t>2</w:t>
      </w:r>
      <w:r w:rsidRPr="00073574">
        <w:rPr>
          <w:sz w:val="24"/>
        </w:rPr>
        <w:tab/>
        <w:t>to request the Director of TSB, after consultation with the study group management team concerned, to reply, and to furnish any additional information requested by ISO and IEC, as it becomes available;</w:t>
      </w:r>
    </w:p>
    <w:p w14:paraId="0066CF2E" w14:textId="77777777" w:rsidR="00F0236A" w:rsidRPr="00073574" w:rsidRDefault="00F0236A" w:rsidP="00F0236A">
      <w:pPr>
        <w:rPr>
          <w:sz w:val="24"/>
        </w:rPr>
      </w:pPr>
      <w:r w:rsidRPr="00073574">
        <w:rPr>
          <w:sz w:val="24"/>
        </w:rPr>
        <w:t>3</w:t>
      </w:r>
      <w:r w:rsidRPr="00073574">
        <w:rPr>
          <w:sz w:val="24"/>
        </w:rPr>
        <w:tab/>
        <w:t>to invite the Director of TSB, at the request of Member States, to review the agreement between ISO/IEC and ITU</w:t>
      </w:r>
      <w:r w:rsidRPr="00073574">
        <w:rPr>
          <w:sz w:val="24"/>
        </w:rPr>
        <w:noBreakHyphen/>
        <w:t>T, with a view to exploring options for accessing and publishing common texts, including a possible unified approach;</w:t>
      </w:r>
    </w:p>
    <w:p w14:paraId="0326D289" w14:textId="77777777" w:rsidR="00F0236A" w:rsidRPr="00073574" w:rsidRDefault="00F0236A" w:rsidP="00F0236A">
      <w:pPr>
        <w:rPr>
          <w:sz w:val="24"/>
        </w:rPr>
      </w:pPr>
      <w:r w:rsidRPr="00073574">
        <w:rPr>
          <w:sz w:val="24"/>
        </w:rPr>
        <w:t>4</w:t>
      </w:r>
      <w:r w:rsidRPr="00073574">
        <w:rPr>
          <w:sz w:val="24"/>
        </w:rPr>
        <w:tab/>
        <w:t>to request the Director of TSB to examine and update the programme of cooperation and priority of the study items among ITU</w:t>
      </w:r>
      <w:r w:rsidRPr="00073574">
        <w:rPr>
          <w:sz w:val="24"/>
        </w:rPr>
        <w:noBreakHyphen/>
        <w:t>T, ISO and IEC and highlight this information on the ITU</w:t>
      </w:r>
      <w:r w:rsidRPr="00073574">
        <w:rPr>
          <w:sz w:val="24"/>
        </w:rPr>
        <w:noBreakHyphen/>
        <w:t>T website on a regular basis;</w:t>
      </w:r>
    </w:p>
    <w:p w14:paraId="03677571" w14:textId="77777777" w:rsidR="00F0236A" w:rsidRPr="00073574" w:rsidRDefault="00F0236A" w:rsidP="00F0236A">
      <w:pPr>
        <w:rPr>
          <w:sz w:val="24"/>
        </w:rPr>
      </w:pPr>
      <w:r w:rsidRPr="00073574">
        <w:rPr>
          <w:sz w:val="24"/>
        </w:rPr>
        <w:t>5</w:t>
      </w:r>
      <w:r w:rsidRPr="00073574">
        <w:rPr>
          <w:sz w:val="24"/>
        </w:rPr>
        <w:tab/>
        <w:t>to request the Director of TSB, the study groups and the Telecommunication Standardization Advisory Group to consider and propose further improvements to the procedures for cooperation between ITU</w:t>
      </w:r>
      <w:r w:rsidRPr="00073574">
        <w:rPr>
          <w:sz w:val="24"/>
        </w:rPr>
        <w:noBreakHyphen/>
        <w:t>T and ISO and IEC;</w:t>
      </w:r>
    </w:p>
    <w:p w14:paraId="33111D39" w14:textId="77777777" w:rsidR="00F0236A" w:rsidRPr="00073574" w:rsidRDefault="00F0236A" w:rsidP="00F0236A">
      <w:pPr>
        <w:rPr>
          <w:sz w:val="24"/>
        </w:rPr>
      </w:pPr>
      <w:r w:rsidRPr="00073574">
        <w:rPr>
          <w:sz w:val="24"/>
        </w:rPr>
        <w:t>6</w:t>
      </w:r>
      <w:r w:rsidRPr="00073574">
        <w:rPr>
          <w:sz w:val="24"/>
        </w:rPr>
        <w:tab/>
        <w:t>that the necessary contacts with ISO and/or IEC should be at the appropriate levels and coordination methods should be mutually agreed and regular coordination events arranged:</w:t>
      </w:r>
    </w:p>
    <w:p w14:paraId="329ADB9A" w14:textId="76986038" w:rsidR="00F0236A" w:rsidRPr="00073574" w:rsidRDefault="00F0236A" w:rsidP="00F0236A">
      <w:pPr>
        <w:pStyle w:val="enumlev10"/>
        <w:rPr>
          <w:sz w:val="24"/>
          <w:szCs w:val="24"/>
        </w:rPr>
      </w:pPr>
      <w:r w:rsidRPr="00073574">
        <w:rPr>
          <w:sz w:val="24"/>
          <w:szCs w:val="24"/>
        </w:rPr>
        <w:t>•</w:t>
      </w:r>
      <w:r w:rsidRPr="00073574">
        <w:rPr>
          <w:sz w:val="24"/>
          <w:szCs w:val="24"/>
        </w:rPr>
        <w:tab/>
        <w:t>for work where text should be drawn up mutually and kept aligned, procedures in accordance with Recommendation ITU</w:t>
      </w:r>
      <w:r w:rsidRPr="00073574">
        <w:rPr>
          <w:sz w:val="24"/>
          <w:szCs w:val="24"/>
        </w:rPr>
        <w:noBreakHyphen/>
        <w:t>T A.23 and the Guidelines for Cooperation the</w:t>
      </w:r>
      <w:r w:rsidR="00E31596" w:rsidRPr="00073574">
        <w:rPr>
          <w:sz w:val="24"/>
          <w:szCs w:val="24"/>
        </w:rPr>
        <w:t>rein apply;</w:t>
      </w:r>
    </w:p>
    <w:p w14:paraId="79E77480" w14:textId="77777777" w:rsidR="00F0236A" w:rsidRPr="00073574" w:rsidRDefault="00F0236A" w:rsidP="00F0236A">
      <w:pPr>
        <w:pStyle w:val="enumlev10"/>
        <w:rPr>
          <w:sz w:val="24"/>
          <w:szCs w:val="24"/>
        </w:rPr>
      </w:pPr>
      <w:r w:rsidRPr="00073574">
        <w:rPr>
          <w:sz w:val="24"/>
          <w:szCs w:val="24"/>
        </w:rPr>
        <w:t>•</w:t>
      </w:r>
      <w:r w:rsidRPr="00073574">
        <w:rPr>
          <w:sz w:val="24"/>
          <w:szCs w:val="24"/>
        </w:rPr>
        <w:tab/>
        <w:t>for other activities where coordination between ITU</w:t>
      </w:r>
      <w:r w:rsidRPr="00073574">
        <w:rPr>
          <w:sz w:val="24"/>
          <w:szCs w:val="24"/>
        </w:rPr>
        <w:noBreakHyphen/>
        <w:t>T and ISO and IEC is required (for example in relation to any mutual agreements, such as the Memorandum of Understanding on standardization in the field of electronic business), clear means of coordination shall be established and regular coordination contacts made;</w:t>
      </w:r>
    </w:p>
    <w:p w14:paraId="3F6D5AFB" w14:textId="77777777" w:rsidR="00F0236A" w:rsidRPr="00073574" w:rsidRDefault="00F0236A" w:rsidP="00F0236A">
      <w:pPr>
        <w:rPr>
          <w:sz w:val="24"/>
        </w:rPr>
      </w:pPr>
      <w:r w:rsidRPr="00073574">
        <w:rPr>
          <w:sz w:val="24"/>
        </w:rPr>
        <w:t>7</w:t>
      </w:r>
      <w:r w:rsidRPr="00073574">
        <w:rPr>
          <w:sz w:val="24"/>
        </w:rPr>
        <w:tab/>
        <w:t>to request the chairmen of study groups to take into account the related work programmes and the progress of projects in ISO, IEC and ISO/IEC JTC 1; further, to cooperate with these organizations as widely as possible and by appropriate means, in order to:</w:t>
      </w:r>
    </w:p>
    <w:p w14:paraId="614836CF" w14:textId="77777777" w:rsidR="00F0236A" w:rsidRPr="00073574" w:rsidRDefault="00F0236A" w:rsidP="00F0236A">
      <w:pPr>
        <w:pStyle w:val="enumlev10"/>
        <w:rPr>
          <w:sz w:val="24"/>
          <w:szCs w:val="24"/>
        </w:rPr>
      </w:pPr>
      <w:r w:rsidRPr="00073574">
        <w:rPr>
          <w:sz w:val="24"/>
          <w:szCs w:val="24"/>
        </w:rPr>
        <w:t>•</w:t>
      </w:r>
      <w:r w:rsidRPr="00073574">
        <w:rPr>
          <w:sz w:val="24"/>
          <w:szCs w:val="24"/>
        </w:rPr>
        <w:tab/>
        <w:t>ensure that the specifications which have been jointly drawn up remain aligned;</w:t>
      </w:r>
    </w:p>
    <w:p w14:paraId="2A6B850F" w14:textId="77777777" w:rsidR="00F0236A" w:rsidRPr="00073574" w:rsidRDefault="00F0236A" w:rsidP="00F0236A">
      <w:pPr>
        <w:pStyle w:val="enumlev10"/>
        <w:rPr>
          <w:sz w:val="24"/>
          <w:szCs w:val="24"/>
        </w:rPr>
      </w:pPr>
      <w:r w:rsidRPr="00073574">
        <w:rPr>
          <w:sz w:val="24"/>
          <w:szCs w:val="24"/>
        </w:rPr>
        <w:t>•</w:t>
      </w:r>
      <w:r w:rsidRPr="00073574">
        <w:rPr>
          <w:sz w:val="24"/>
          <w:szCs w:val="24"/>
        </w:rPr>
        <w:tab/>
        <w:t>collaborate in drawing up other specifications in fields of joint interest;</w:t>
      </w:r>
    </w:p>
    <w:p w14:paraId="79DC4C77" w14:textId="77777777" w:rsidR="00F0236A" w:rsidRPr="00073574" w:rsidRDefault="00F0236A" w:rsidP="00F0236A">
      <w:pPr>
        <w:rPr>
          <w:sz w:val="24"/>
        </w:rPr>
      </w:pPr>
      <w:r w:rsidRPr="00073574">
        <w:rPr>
          <w:sz w:val="24"/>
        </w:rPr>
        <w:t>8</w:t>
      </w:r>
      <w:r w:rsidRPr="00073574">
        <w:rPr>
          <w:sz w:val="24"/>
        </w:rPr>
        <w:tab/>
        <w:t>that, for reasons of economy, any necessary collaborative meetings take place to the extent possible in association with other relevant meetings;</w:t>
      </w:r>
    </w:p>
    <w:p w14:paraId="136E5E08" w14:textId="77777777" w:rsidR="00F0236A" w:rsidRPr="00073574" w:rsidRDefault="00F0236A" w:rsidP="00F0236A">
      <w:pPr>
        <w:rPr>
          <w:sz w:val="24"/>
        </w:rPr>
      </w:pPr>
      <w:r w:rsidRPr="00073574">
        <w:rPr>
          <w:sz w:val="24"/>
        </w:rPr>
        <w:t>9</w:t>
      </w:r>
      <w:r w:rsidRPr="00073574">
        <w:rPr>
          <w:sz w:val="24"/>
        </w:rPr>
        <w:tab/>
        <w:t>that the report concerning such coordination indicate the status of alignment and compatibility of draft texts on points of common concern, in particular identifying any subject which could be dealt with in a single organization, and cases where cross-referencing would be helpful to users of published International Standards and Recommendations;</w:t>
      </w:r>
    </w:p>
    <w:p w14:paraId="0C1A027F" w14:textId="77777777" w:rsidR="00F0236A" w:rsidRPr="00073574" w:rsidRDefault="00F0236A" w:rsidP="00F0236A">
      <w:pPr>
        <w:spacing w:after="240"/>
        <w:rPr>
          <w:sz w:val="24"/>
        </w:rPr>
      </w:pPr>
      <w:r w:rsidRPr="00073574">
        <w:rPr>
          <w:sz w:val="24"/>
        </w:rPr>
        <w:t>10</w:t>
      </w:r>
      <w:r w:rsidRPr="00073574">
        <w:rPr>
          <w:sz w:val="24"/>
        </w:rPr>
        <w:tab/>
        <w:t>to invite administrations to contribute significantly to the coordination between ITU</w:t>
      </w:r>
      <w:r w:rsidRPr="00073574">
        <w:rPr>
          <w:sz w:val="24"/>
        </w:rPr>
        <w:noBreakHyphen/>
        <w:t>T on the one hand and ISO and IEC on the other by ensuring adequate coordination of national activities associated with the three organizations.</w:t>
      </w:r>
    </w:p>
    <w:tbl>
      <w:tblPr>
        <w:tblW w:w="98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12"/>
        <w:gridCol w:w="4550"/>
        <w:gridCol w:w="1882"/>
        <w:gridCol w:w="1152"/>
        <w:gridCol w:w="1336"/>
      </w:tblGrid>
      <w:tr w:rsidR="00F0236A" w:rsidRPr="00073574" w14:paraId="14A4C995" w14:textId="77777777" w:rsidTr="634A3A28">
        <w:trPr>
          <w:tblHeader/>
          <w:jc w:val="center"/>
        </w:trPr>
        <w:tc>
          <w:tcPr>
            <w:tcW w:w="912" w:type="dxa"/>
            <w:tcBorders>
              <w:top w:val="single" w:sz="12" w:space="0" w:color="auto"/>
              <w:bottom w:val="single" w:sz="12" w:space="0" w:color="auto"/>
            </w:tcBorders>
            <w:shd w:val="clear" w:color="auto" w:fill="auto"/>
            <w:vAlign w:val="center"/>
          </w:tcPr>
          <w:p w14:paraId="5CDE6E58" w14:textId="77777777" w:rsidR="00F0236A" w:rsidRPr="00073574" w:rsidRDefault="00F0236A" w:rsidP="00D101C1">
            <w:pPr>
              <w:pStyle w:val="Tablehead"/>
              <w:keepLines/>
              <w:rPr>
                <w:sz w:val="24"/>
                <w:szCs w:val="24"/>
              </w:rPr>
            </w:pPr>
            <w:r w:rsidRPr="00073574">
              <w:rPr>
                <w:sz w:val="24"/>
                <w:szCs w:val="24"/>
              </w:rPr>
              <w:lastRenderedPageBreak/>
              <w:t>Action Item</w:t>
            </w:r>
          </w:p>
        </w:tc>
        <w:tc>
          <w:tcPr>
            <w:tcW w:w="4564" w:type="dxa"/>
            <w:tcBorders>
              <w:top w:val="single" w:sz="12" w:space="0" w:color="auto"/>
              <w:bottom w:val="single" w:sz="12" w:space="0" w:color="auto"/>
            </w:tcBorders>
            <w:shd w:val="clear" w:color="auto" w:fill="auto"/>
            <w:vAlign w:val="center"/>
            <w:hideMark/>
          </w:tcPr>
          <w:p w14:paraId="5C3C0640" w14:textId="77777777" w:rsidR="00F0236A" w:rsidRPr="00073574" w:rsidRDefault="00F0236A" w:rsidP="00D101C1">
            <w:pPr>
              <w:pStyle w:val="Tablehead"/>
              <w:keepLines/>
              <w:rPr>
                <w:sz w:val="24"/>
                <w:szCs w:val="24"/>
              </w:rPr>
            </w:pPr>
            <w:r w:rsidRPr="00073574">
              <w:rPr>
                <w:sz w:val="24"/>
                <w:szCs w:val="24"/>
              </w:rPr>
              <w:t>Action</w:t>
            </w:r>
          </w:p>
        </w:tc>
        <w:tc>
          <w:tcPr>
            <w:tcW w:w="1886" w:type="dxa"/>
            <w:tcBorders>
              <w:top w:val="single" w:sz="12" w:space="0" w:color="auto"/>
              <w:bottom w:val="single" w:sz="12" w:space="0" w:color="auto"/>
            </w:tcBorders>
            <w:shd w:val="clear" w:color="auto" w:fill="auto"/>
            <w:vAlign w:val="center"/>
            <w:hideMark/>
          </w:tcPr>
          <w:p w14:paraId="05C8AEC1" w14:textId="77777777" w:rsidR="00F0236A" w:rsidRPr="00073574" w:rsidRDefault="00F0236A" w:rsidP="00DF36E1">
            <w:pPr>
              <w:pStyle w:val="Tablehead"/>
              <w:rPr>
                <w:sz w:val="24"/>
                <w:szCs w:val="24"/>
              </w:rPr>
            </w:pPr>
            <w:r w:rsidRPr="00073574">
              <w:rPr>
                <w:sz w:val="24"/>
                <w:szCs w:val="24"/>
              </w:rPr>
              <w:t>Milestone</w:t>
            </w:r>
          </w:p>
        </w:tc>
        <w:tc>
          <w:tcPr>
            <w:tcW w:w="1152" w:type="dxa"/>
            <w:tcBorders>
              <w:top w:val="single" w:sz="12" w:space="0" w:color="auto"/>
              <w:bottom w:val="single" w:sz="12" w:space="0" w:color="auto"/>
            </w:tcBorders>
            <w:shd w:val="clear" w:color="auto" w:fill="auto"/>
          </w:tcPr>
          <w:p w14:paraId="7EE4CBFF" w14:textId="77777777" w:rsidR="00F0236A" w:rsidRPr="00073574" w:rsidRDefault="00F0236A" w:rsidP="00DF36E1">
            <w:pPr>
              <w:pStyle w:val="Tablehead"/>
              <w:rPr>
                <w:sz w:val="24"/>
                <w:szCs w:val="24"/>
              </w:rPr>
            </w:pPr>
            <w:r w:rsidRPr="00073574">
              <w:rPr>
                <w:sz w:val="24"/>
                <w:szCs w:val="24"/>
              </w:rPr>
              <w:t>Periodic goals met</w:t>
            </w:r>
          </w:p>
        </w:tc>
        <w:tc>
          <w:tcPr>
            <w:tcW w:w="1318" w:type="dxa"/>
            <w:tcBorders>
              <w:top w:val="single" w:sz="12" w:space="0" w:color="auto"/>
              <w:bottom w:val="single" w:sz="12" w:space="0" w:color="auto"/>
            </w:tcBorders>
            <w:shd w:val="clear" w:color="auto" w:fill="auto"/>
            <w:vAlign w:val="center"/>
          </w:tcPr>
          <w:p w14:paraId="2A72E415" w14:textId="77777777" w:rsidR="00F0236A" w:rsidRPr="00073574" w:rsidRDefault="00F0236A" w:rsidP="00DF36E1">
            <w:pPr>
              <w:pStyle w:val="Tablehead"/>
              <w:rPr>
                <w:sz w:val="24"/>
                <w:szCs w:val="24"/>
              </w:rPr>
            </w:pPr>
            <w:r w:rsidRPr="00073574">
              <w:rPr>
                <w:sz w:val="24"/>
                <w:szCs w:val="24"/>
              </w:rPr>
              <w:t>Completed</w:t>
            </w:r>
          </w:p>
        </w:tc>
      </w:tr>
      <w:tr w:rsidR="00F0236A" w:rsidRPr="00073574" w14:paraId="22621A94" w14:textId="77777777" w:rsidTr="634A3A28">
        <w:trPr>
          <w:jc w:val="center"/>
        </w:trPr>
        <w:tc>
          <w:tcPr>
            <w:tcW w:w="912" w:type="dxa"/>
            <w:vMerge w:val="restart"/>
            <w:tcBorders>
              <w:top w:val="single" w:sz="12" w:space="0" w:color="auto"/>
            </w:tcBorders>
            <w:shd w:val="clear" w:color="auto" w:fill="auto"/>
          </w:tcPr>
          <w:p w14:paraId="10D60557" w14:textId="77777777" w:rsidR="00F0236A" w:rsidRPr="00073574" w:rsidRDefault="00F0236A" w:rsidP="00D101C1">
            <w:pPr>
              <w:pStyle w:val="Tabletext"/>
              <w:keepNext/>
              <w:keepLines/>
              <w:rPr>
                <w:b/>
                <w:bCs/>
                <w:sz w:val="24"/>
                <w:szCs w:val="24"/>
              </w:rPr>
            </w:pPr>
            <w:r w:rsidRPr="00073574">
              <w:rPr>
                <w:b/>
                <w:bCs/>
                <w:sz w:val="24"/>
                <w:szCs w:val="24"/>
              </w:rPr>
              <w:t>07-01</w:t>
            </w:r>
          </w:p>
        </w:tc>
        <w:tc>
          <w:tcPr>
            <w:tcW w:w="4564" w:type="dxa"/>
            <w:tcBorders>
              <w:top w:val="single" w:sz="12" w:space="0" w:color="auto"/>
              <w:bottom w:val="single" w:sz="4" w:space="0" w:color="auto"/>
            </w:tcBorders>
            <w:shd w:val="clear" w:color="auto" w:fill="auto"/>
            <w:hideMark/>
          </w:tcPr>
          <w:p w14:paraId="7D979486" w14:textId="77777777" w:rsidR="00F0236A" w:rsidRPr="00073574" w:rsidRDefault="00F0236A" w:rsidP="00D101C1">
            <w:pPr>
              <w:pStyle w:val="Tabletext"/>
              <w:keepNext/>
              <w:keepLines/>
              <w:rPr>
                <w:b/>
                <w:bCs/>
                <w:sz w:val="24"/>
                <w:szCs w:val="24"/>
              </w:rPr>
            </w:pPr>
            <w:r w:rsidRPr="00073574">
              <w:rPr>
                <w:b/>
                <w:bCs/>
                <w:sz w:val="24"/>
                <w:szCs w:val="24"/>
              </w:rPr>
              <w:t>TSB Director to consult with ISO and IEC on work programmes and follow through with study group management team. (resolves 1, 2, 4)</w:t>
            </w:r>
          </w:p>
        </w:tc>
        <w:tc>
          <w:tcPr>
            <w:tcW w:w="1886" w:type="dxa"/>
            <w:tcBorders>
              <w:top w:val="single" w:sz="12" w:space="0" w:color="auto"/>
              <w:bottom w:val="single" w:sz="4" w:space="0" w:color="auto"/>
            </w:tcBorders>
            <w:shd w:val="clear" w:color="auto" w:fill="auto"/>
            <w:vAlign w:val="center"/>
          </w:tcPr>
          <w:p w14:paraId="3B29C22E"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52" w:type="dxa"/>
            <w:tcBorders>
              <w:top w:val="single" w:sz="12" w:space="0" w:color="auto"/>
              <w:bottom w:val="single" w:sz="4" w:space="0" w:color="auto"/>
            </w:tcBorders>
            <w:shd w:val="clear" w:color="auto" w:fill="auto"/>
            <w:vAlign w:val="center"/>
          </w:tcPr>
          <w:p w14:paraId="4C0B2EF5" w14:textId="77777777" w:rsidR="00F0236A" w:rsidRPr="00073574" w:rsidRDefault="00F0236A" w:rsidP="00DF36E1">
            <w:pPr>
              <w:pStyle w:val="Tabletext"/>
              <w:jc w:val="center"/>
              <w:rPr>
                <w:b/>
                <w:bCs/>
                <w:sz w:val="24"/>
                <w:szCs w:val="24"/>
              </w:rPr>
            </w:pPr>
            <w:r w:rsidRPr="00073574">
              <w:rPr>
                <w:b/>
                <w:bCs/>
                <w:sz w:val="24"/>
                <w:szCs w:val="24"/>
              </w:rPr>
              <w:t>√</w:t>
            </w:r>
          </w:p>
        </w:tc>
        <w:tc>
          <w:tcPr>
            <w:tcW w:w="1318" w:type="dxa"/>
            <w:tcBorders>
              <w:top w:val="single" w:sz="12" w:space="0" w:color="auto"/>
              <w:bottom w:val="single" w:sz="4" w:space="0" w:color="auto"/>
            </w:tcBorders>
            <w:shd w:val="clear" w:color="auto" w:fill="auto"/>
            <w:vAlign w:val="center"/>
          </w:tcPr>
          <w:p w14:paraId="64155B72" w14:textId="77777777" w:rsidR="00F0236A" w:rsidRPr="00073574" w:rsidRDefault="00F0236A" w:rsidP="00DF36E1">
            <w:pPr>
              <w:pStyle w:val="Tabletext"/>
              <w:jc w:val="center"/>
              <w:rPr>
                <w:b/>
                <w:bCs/>
                <w:sz w:val="24"/>
                <w:szCs w:val="24"/>
              </w:rPr>
            </w:pPr>
          </w:p>
        </w:tc>
      </w:tr>
      <w:tr w:rsidR="00F0236A" w:rsidRPr="00073574" w14:paraId="3EC0D8F6" w14:textId="77777777" w:rsidTr="634A3A28">
        <w:trPr>
          <w:jc w:val="center"/>
        </w:trPr>
        <w:tc>
          <w:tcPr>
            <w:tcW w:w="912" w:type="dxa"/>
            <w:vMerge/>
          </w:tcPr>
          <w:p w14:paraId="28A26467" w14:textId="77777777" w:rsidR="00F0236A" w:rsidRPr="00073574" w:rsidRDefault="00F0236A" w:rsidP="00DF36E1">
            <w:pPr>
              <w:pStyle w:val="Tabletext"/>
              <w:rPr>
                <w:sz w:val="24"/>
                <w:szCs w:val="24"/>
              </w:rPr>
            </w:pPr>
          </w:p>
        </w:tc>
        <w:tc>
          <w:tcPr>
            <w:tcW w:w="8920" w:type="dxa"/>
            <w:gridSpan w:val="4"/>
            <w:tcBorders>
              <w:top w:val="single" w:sz="4" w:space="0" w:color="auto"/>
            </w:tcBorders>
            <w:shd w:val="clear" w:color="auto" w:fill="auto"/>
          </w:tcPr>
          <w:p w14:paraId="78F28594" w14:textId="77777777" w:rsidR="00F0236A" w:rsidRPr="00073574" w:rsidRDefault="00F0236A" w:rsidP="00FD5C5E">
            <w:pPr>
              <w:spacing w:before="40"/>
              <w:rPr>
                <w:szCs w:val="22"/>
              </w:rPr>
            </w:pPr>
            <w:r w:rsidRPr="00073574">
              <w:rPr>
                <w:szCs w:val="22"/>
              </w:rPr>
              <w:t xml:space="preserve">The </w:t>
            </w:r>
            <w:hyperlink r:id="rId151" w:history="1">
              <w:r w:rsidRPr="00073574">
                <w:rPr>
                  <w:rStyle w:val="Hyperlink"/>
                  <w:szCs w:val="22"/>
                </w:rPr>
                <w:t>World Standards Cooperation</w:t>
              </w:r>
            </w:hyperlink>
            <w:r w:rsidRPr="00073574">
              <w:rPr>
                <w:szCs w:val="22"/>
              </w:rPr>
              <w:t xml:space="preserve"> (WSC) meets annually in the February timeframe. In addition, the TSB Director, ISO Secretary General and IEC General Secretary meet periodically (two-three times a year) to discuss cooperation topics.</w:t>
            </w:r>
          </w:p>
          <w:p w14:paraId="0AFB6785" w14:textId="77777777" w:rsidR="00F0236A" w:rsidRPr="00073574" w:rsidRDefault="00F0236A" w:rsidP="00C03C8A">
            <w:pPr>
              <w:keepNext/>
              <w:keepLines/>
              <w:rPr>
                <w:szCs w:val="22"/>
              </w:rPr>
            </w:pPr>
            <w:r w:rsidRPr="00073574">
              <w:rPr>
                <w:szCs w:val="22"/>
              </w:rPr>
              <w:t>WSC meetings:</w:t>
            </w:r>
          </w:p>
          <w:p w14:paraId="1BF3F234" w14:textId="6D8811E0" w:rsidR="00E30786" w:rsidRPr="00073574" w:rsidRDefault="00E30786" w:rsidP="00E30786">
            <w:pPr>
              <w:pStyle w:val="ListParagraph"/>
              <w:keepNext/>
              <w:keepLines/>
              <w:numPr>
                <w:ilvl w:val="0"/>
                <w:numId w:val="19"/>
              </w:numPr>
              <w:contextualSpacing w:val="0"/>
            </w:pPr>
            <w:r w:rsidRPr="00073574">
              <w:t>The 20th meeting of the IEC/ISO/ITU World Standards Cooperation took place on 26 February 2021.</w:t>
            </w:r>
          </w:p>
          <w:p w14:paraId="2CC7397B" w14:textId="168062B2" w:rsidR="007E7723" w:rsidRPr="00073574" w:rsidRDefault="007E7723" w:rsidP="002E241A">
            <w:pPr>
              <w:pStyle w:val="ListParagraph"/>
              <w:keepNext/>
              <w:keepLines/>
              <w:numPr>
                <w:ilvl w:val="0"/>
                <w:numId w:val="19"/>
              </w:numPr>
              <w:contextualSpacing w:val="0"/>
            </w:pPr>
            <w:r w:rsidRPr="00073574">
              <w:t>The 19th meeting of the IEC/ISO/ITU World Standards Cooperation took place on 21 February 2020.</w:t>
            </w:r>
          </w:p>
          <w:p w14:paraId="1165575C" w14:textId="235410C4" w:rsidR="005C3BCC" w:rsidRPr="00073574" w:rsidRDefault="005C3BCC" w:rsidP="002E241A">
            <w:pPr>
              <w:pStyle w:val="ListParagraph"/>
              <w:keepNext/>
              <w:keepLines/>
              <w:numPr>
                <w:ilvl w:val="0"/>
                <w:numId w:val="19"/>
              </w:numPr>
              <w:contextualSpacing w:val="0"/>
            </w:pPr>
            <w:r w:rsidRPr="00073574">
              <w:t>The 18</w:t>
            </w:r>
            <w:r w:rsidR="007E7723" w:rsidRPr="00073574">
              <w:t>th</w:t>
            </w:r>
            <w:r w:rsidRPr="00073574">
              <w:t xml:space="preserve"> meeting of the IEC/ISO/ITU World Standards Cooperation took place on 22 February 2019.</w:t>
            </w:r>
          </w:p>
          <w:p w14:paraId="69BF0A64" w14:textId="6B140285" w:rsidR="00F0236A" w:rsidRPr="00073574" w:rsidRDefault="00F0236A" w:rsidP="002E241A">
            <w:pPr>
              <w:pStyle w:val="ListParagraph"/>
              <w:keepNext/>
              <w:keepLines/>
              <w:numPr>
                <w:ilvl w:val="0"/>
                <w:numId w:val="19"/>
              </w:numPr>
              <w:contextualSpacing w:val="0"/>
            </w:pPr>
            <w:r w:rsidRPr="00073574">
              <w:t>The 16</w:t>
            </w:r>
            <w:r w:rsidR="007E7723" w:rsidRPr="00073574">
              <w:t>th</w:t>
            </w:r>
            <w:r w:rsidRPr="00073574">
              <w:t xml:space="preserve"> meeting of the IEC/ISO/ITU World Standards Cooperation took place on 16 February 2017 and was hosted by ITU.</w:t>
            </w:r>
          </w:p>
          <w:p w14:paraId="60FE9D8E" w14:textId="77777777" w:rsidR="00F0236A" w:rsidRPr="00073574" w:rsidRDefault="00F0236A" w:rsidP="002E241A">
            <w:pPr>
              <w:pStyle w:val="ListParagraph"/>
              <w:numPr>
                <w:ilvl w:val="0"/>
                <w:numId w:val="19"/>
              </w:numPr>
              <w:contextualSpacing w:val="0"/>
            </w:pPr>
            <w:r w:rsidRPr="00073574">
              <w:t>The 17th meeting of the IEC/ISO/ITU World Standards Cooperation took place on 15 February 2018 and was hosted by ISO.</w:t>
            </w:r>
          </w:p>
          <w:p w14:paraId="22EF3AC3" w14:textId="77777777" w:rsidR="00F0236A" w:rsidRPr="00073574" w:rsidRDefault="00F0236A" w:rsidP="00DF36E1">
            <w:pPr>
              <w:rPr>
                <w:szCs w:val="22"/>
              </w:rPr>
            </w:pPr>
            <w:r w:rsidRPr="00073574">
              <w:rPr>
                <w:szCs w:val="22"/>
              </w:rPr>
              <w:t>WSC members agree at their annual meeting on a three-year rolling plan. WSC issued a letter to agencies and organizations of IEC, ISO and ITU on increased national level coordination on the submission of proposals to IEC, ISO and ITU. Joint WSC activities include:</w:t>
            </w:r>
          </w:p>
          <w:p w14:paraId="4EAE0D13" w14:textId="77777777" w:rsidR="00F0236A" w:rsidRPr="00073574" w:rsidRDefault="00F0236A" w:rsidP="002E241A">
            <w:pPr>
              <w:numPr>
                <w:ilvl w:val="0"/>
                <w:numId w:val="20"/>
              </w:numPr>
              <w:overflowPunct w:val="0"/>
              <w:autoSpaceDE w:val="0"/>
              <w:autoSpaceDN w:val="0"/>
              <w:adjustRightInd w:val="0"/>
              <w:ind w:left="567" w:hanging="567"/>
              <w:textAlignment w:val="baseline"/>
            </w:pPr>
            <w:r w:rsidRPr="00073574">
              <w:t>World Standards Day</w:t>
            </w:r>
          </w:p>
          <w:p w14:paraId="063881A0" w14:textId="39FA8238" w:rsidR="00F0236A" w:rsidRPr="00073574" w:rsidRDefault="00F0236A" w:rsidP="002E241A">
            <w:pPr>
              <w:numPr>
                <w:ilvl w:val="0"/>
                <w:numId w:val="18"/>
              </w:numPr>
              <w:autoSpaceDE w:val="0"/>
              <w:autoSpaceDN w:val="0"/>
              <w:adjustRightInd w:val="0"/>
              <w:rPr>
                <w:rFonts w:asciiTheme="majorBidi" w:hAnsiTheme="majorBidi" w:cstheme="majorBidi"/>
                <w:color w:val="000000"/>
              </w:rPr>
            </w:pPr>
            <w:r w:rsidRPr="00073574">
              <w:t xml:space="preserve">The theme of World Standards Day 2017 (14 October) was </w:t>
            </w:r>
            <w:r w:rsidR="003C7E25" w:rsidRPr="00073574">
              <w:t>"</w:t>
            </w:r>
            <w:r w:rsidRPr="00073574">
              <w:t>Standards make cities smarter</w:t>
            </w:r>
            <w:r w:rsidR="003C7E25" w:rsidRPr="00073574">
              <w:t>"</w:t>
            </w:r>
            <w:r w:rsidRPr="00073574">
              <w:t>.</w:t>
            </w:r>
          </w:p>
          <w:p w14:paraId="40D183EF" w14:textId="20709ADB" w:rsidR="00F0236A" w:rsidRPr="00073574" w:rsidRDefault="00F0236A" w:rsidP="002E241A">
            <w:pPr>
              <w:numPr>
                <w:ilvl w:val="0"/>
                <w:numId w:val="18"/>
              </w:numPr>
              <w:autoSpaceDE w:val="0"/>
              <w:autoSpaceDN w:val="0"/>
              <w:adjustRightInd w:val="0"/>
              <w:rPr>
                <w:rFonts w:asciiTheme="majorBidi" w:hAnsiTheme="majorBidi" w:cstheme="majorBidi"/>
                <w:color w:val="000000"/>
              </w:rPr>
            </w:pPr>
            <w:r w:rsidRPr="00073574">
              <w:t>The theme of World Standards Day 2018 (14 October) w</w:t>
            </w:r>
            <w:r w:rsidR="00E4483D" w:rsidRPr="00073574">
              <w:t>as</w:t>
            </w:r>
            <w:r w:rsidRPr="00073574">
              <w:t xml:space="preserve"> </w:t>
            </w:r>
            <w:r w:rsidR="003C7E25" w:rsidRPr="00073574">
              <w:t>"</w:t>
            </w:r>
            <w:r w:rsidR="002A66A9" w:rsidRPr="00073574">
              <w:rPr>
                <w:rFonts w:asciiTheme="majorBidi" w:hAnsiTheme="majorBidi" w:cstheme="majorBidi"/>
                <w:color w:val="000000" w:themeColor="text1"/>
              </w:rPr>
              <w:t>The fourth industrial revolution</w:t>
            </w:r>
            <w:r w:rsidR="003C7E25" w:rsidRPr="00073574">
              <w:t>"</w:t>
            </w:r>
            <w:r w:rsidRPr="00073574">
              <w:t>.</w:t>
            </w:r>
          </w:p>
          <w:p w14:paraId="33189E02" w14:textId="79B1A7EB" w:rsidR="002A66A9" w:rsidRPr="00073574" w:rsidRDefault="002A66A9" w:rsidP="002E241A">
            <w:pPr>
              <w:numPr>
                <w:ilvl w:val="0"/>
                <w:numId w:val="18"/>
              </w:numPr>
              <w:autoSpaceDE w:val="0"/>
              <w:autoSpaceDN w:val="0"/>
              <w:adjustRightInd w:val="0"/>
              <w:rPr>
                <w:rFonts w:asciiTheme="majorBidi" w:hAnsiTheme="majorBidi" w:cstheme="majorBidi"/>
                <w:color w:val="000000"/>
              </w:rPr>
            </w:pPr>
            <w:r w:rsidRPr="00073574">
              <w:rPr>
                <w:rFonts w:asciiTheme="majorBidi" w:hAnsiTheme="majorBidi" w:cstheme="majorBidi"/>
                <w:color w:val="000000" w:themeColor="text1"/>
              </w:rPr>
              <w:t>Th</w:t>
            </w:r>
            <w:r w:rsidR="00172475" w:rsidRPr="00073574">
              <w:rPr>
                <w:rFonts w:asciiTheme="majorBidi" w:hAnsiTheme="majorBidi" w:cstheme="majorBidi"/>
                <w:color w:val="000000" w:themeColor="text1"/>
              </w:rPr>
              <w:t>e</w:t>
            </w:r>
            <w:r w:rsidRPr="00073574">
              <w:rPr>
                <w:rFonts w:asciiTheme="majorBidi" w:hAnsiTheme="majorBidi" w:cstheme="majorBidi"/>
                <w:color w:val="000000" w:themeColor="text1"/>
              </w:rPr>
              <w:t xml:space="preserve"> theme of World Standards Day 2019 (14 October 2019) w</w:t>
            </w:r>
            <w:r w:rsidR="00002732" w:rsidRPr="00073574">
              <w:rPr>
                <w:rFonts w:asciiTheme="majorBidi" w:hAnsiTheme="majorBidi" w:cstheme="majorBidi"/>
                <w:color w:val="000000" w:themeColor="text1"/>
              </w:rPr>
              <w:t>as</w:t>
            </w:r>
            <w:r w:rsidRPr="00073574">
              <w:rPr>
                <w:rFonts w:asciiTheme="majorBidi" w:hAnsiTheme="majorBidi" w:cstheme="majorBidi"/>
                <w:color w:val="000000" w:themeColor="text1"/>
              </w:rPr>
              <w:t xml:space="preserve"> “Video: standards you can see”.</w:t>
            </w:r>
          </w:p>
          <w:p w14:paraId="7477D5A6" w14:textId="290483A2" w:rsidR="00D45079" w:rsidRPr="00073574" w:rsidRDefault="00D45079" w:rsidP="002E241A">
            <w:pPr>
              <w:numPr>
                <w:ilvl w:val="0"/>
                <w:numId w:val="18"/>
              </w:numPr>
              <w:autoSpaceDE w:val="0"/>
              <w:autoSpaceDN w:val="0"/>
              <w:adjustRightInd w:val="0"/>
              <w:rPr>
                <w:rFonts w:asciiTheme="majorBidi" w:hAnsiTheme="majorBidi" w:cstheme="majorBidi"/>
                <w:color w:val="000000"/>
              </w:rPr>
            </w:pPr>
            <w:r w:rsidRPr="00073574">
              <w:rPr>
                <w:rFonts w:asciiTheme="majorBidi" w:hAnsiTheme="majorBidi" w:cstheme="majorBidi"/>
                <w:color w:val="000000" w:themeColor="text1"/>
              </w:rPr>
              <w:t>The theme of World Standards Day 2020 (14 October 2020) w</w:t>
            </w:r>
            <w:r w:rsidR="002E66BA" w:rsidRPr="00073574">
              <w:rPr>
                <w:rFonts w:asciiTheme="majorBidi" w:hAnsiTheme="majorBidi" w:cstheme="majorBidi"/>
                <w:color w:val="000000" w:themeColor="text1"/>
              </w:rPr>
              <w:t>as</w:t>
            </w:r>
            <w:r w:rsidRPr="00073574">
              <w:rPr>
                <w:rFonts w:asciiTheme="majorBidi" w:hAnsiTheme="majorBidi" w:cstheme="majorBidi"/>
                <w:color w:val="000000" w:themeColor="text1"/>
              </w:rPr>
              <w:t xml:space="preserve"> “</w:t>
            </w:r>
            <w:r w:rsidR="00AF2E6C" w:rsidRPr="00073574">
              <w:rPr>
                <w:rFonts w:asciiTheme="majorBidi" w:hAnsiTheme="majorBidi" w:cstheme="majorBidi"/>
                <w:color w:val="000000" w:themeColor="text1"/>
              </w:rPr>
              <w:t>Protecting the planet with standards</w:t>
            </w:r>
            <w:r w:rsidRPr="00073574">
              <w:rPr>
                <w:rFonts w:asciiTheme="majorBidi" w:hAnsiTheme="majorBidi" w:cstheme="majorBidi"/>
                <w:color w:val="000000" w:themeColor="text1"/>
              </w:rPr>
              <w:t>”.</w:t>
            </w:r>
          </w:p>
          <w:p w14:paraId="158B6649" w14:textId="2D3A9659" w:rsidR="00B9015A" w:rsidRPr="00073574" w:rsidRDefault="00B9015A" w:rsidP="002E241A">
            <w:pPr>
              <w:numPr>
                <w:ilvl w:val="0"/>
                <w:numId w:val="18"/>
              </w:numPr>
              <w:autoSpaceDE w:val="0"/>
              <w:autoSpaceDN w:val="0"/>
              <w:adjustRightInd w:val="0"/>
              <w:rPr>
                <w:rFonts w:asciiTheme="majorBidi" w:hAnsiTheme="majorBidi" w:cstheme="majorBidi"/>
                <w:color w:val="000000"/>
              </w:rPr>
            </w:pPr>
            <w:r w:rsidRPr="00073574">
              <w:rPr>
                <w:rFonts w:asciiTheme="majorBidi" w:hAnsiTheme="majorBidi" w:cstheme="majorBidi"/>
                <w:color w:val="000000" w:themeColor="text1"/>
              </w:rPr>
              <w:t>The theme of World Standards Day 2021 (14 October 2021) w</w:t>
            </w:r>
            <w:r w:rsidR="00751850" w:rsidRPr="00073574">
              <w:rPr>
                <w:rFonts w:asciiTheme="majorBidi" w:hAnsiTheme="majorBidi" w:cstheme="majorBidi"/>
                <w:color w:val="000000" w:themeColor="text1"/>
              </w:rPr>
              <w:t>as</w:t>
            </w:r>
            <w:r w:rsidRPr="00073574">
              <w:rPr>
                <w:rFonts w:asciiTheme="majorBidi" w:hAnsiTheme="majorBidi" w:cstheme="majorBidi"/>
                <w:color w:val="000000" w:themeColor="text1"/>
              </w:rPr>
              <w:t xml:space="preserve"> be “Standards for the SDGs”.</w:t>
            </w:r>
          </w:p>
          <w:p w14:paraId="40BF3321" w14:textId="77777777" w:rsidR="00F0236A" w:rsidRPr="00073574" w:rsidRDefault="00F0236A" w:rsidP="002E241A">
            <w:pPr>
              <w:numPr>
                <w:ilvl w:val="0"/>
                <w:numId w:val="21"/>
              </w:numPr>
              <w:overflowPunct w:val="0"/>
              <w:autoSpaceDE w:val="0"/>
              <w:autoSpaceDN w:val="0"/>
              <w:adjustRightInd w:val="0"/>
              <w:ind w:left="567" w:hanging="567"/>
              <w:textAlignment w:val="baseline"/>
            </w:pPr>
            <w:r w:rsidRPr="00073574">
              <w:t>Academia</w:t>
            </w:r>
          </w:p>
          <w:p w14:paraId="02194186" w14:textId="2F8DEBC8" w:rsidR="00F0236A" w:rsidRPr="00073574" w:rsidRDefault="00112C75" w:rsidP="002E241A">
            <w:pPr>
              <w:numPr>
                <w:ilvl w:val="0"/>
                <w:numId w:val="18"/>
              </w:numPr>
            </w:pPr>
            <w:r w:rsidRPr="00073574">
              <w:t xml:space="preserve">An </w:t>
            </w:r>
            <w:r w:rsidR="00F0236A" w:rsidRPr="00073574">
              <w:t xml:space="preserve">event was held in Chicago, USA, </w:t>
            </w:r>
            <w:r w:rsidR="00D07848">
              <w:t>o</w:t>
            </w:r>
            <w:r w:rsidR="00F0236A" w:rsidRPr="00073574">
              <w:t>n 11 August 2017; the focus was</w:t>
            </w:r>
            <w:r w:rsidRPr="00073574">
              <w:t xml:space="preserve"> </w:t>
            </w:r>
            <w:r w:rsidR="00F0236A" w:rsidRPr="00073574">
              <w:t>on the benefits of standards and on how education about standardization can benefit from methods and case studies highlighting the use of standards and their contribution to public welfare and organizations</w:t>
            </w:r>
            <w:r w:rsidR="003C7E25" w:rsidRPr="00073574">
              <w:t>'</w:t>
            </w:r>
            <w:r w:rsidR="00F0236A" w:rsidRPr="00073574">
              <w:t xml:space="preserve"> performances.</w:t>
            </w:r>
          </w:p>
          <w:p w14:paraId="1DF35E90" w14:textId="77777777" w:rsidR="00F0236A" w:rsidRPr="00073574" w:rsidRDefault="00F0236A" w:rsidP="002E241A">
            <w:pPr>
              <w:numPr>
                <w:ilvl w:val="0"/>
                <w:numId w:val="18"/>
              </w:numPr>
            </w:pPr>
            <w:r w:rsidRPr="00073574">
              <w:t xml:space="preserve">The third edition of the WSC roundtable, </w:t>
            </w:r>
            <w:hyperlink r:id="rId152">
              <w:r w:rsidRPr="00073574">
                <w:rPr>
                  <w:rStyle w:val="Hyperlink"/>
                  <w:i/>
                  <w:iCs/>
                </w:rPr>
                <w:t>Engaging academia in standardization for a sustainable future</w:t>
              </w:r>
            </w:hyperlink>
            <w:r w:rsidRPr="00073574">
              <w:rPr>
                <w:rFonts w:asciiTheme="majorBidi" w:hAnsiTheme="majorBidi" w:cstheme="majorBidi"/>
              </w:rPr>
              <w:t xml:space="preserve">, </w:t>
            </w:r>
            <w:r w:rsidRPr="00073574">
              <w:t>organized by ITU-T in Bangkok on 17 November 2016, brought together university professors, students, standards leaders and representatives of industry and government, to debate the following topics:</w:t>
            </w:r>
          </w:p>
          <w:p w14:paraId="1C7F8C97" w14:textId="77777777" w:rsidR="00F0236A" w:rsidRPr="00073574" w:rsidRDefault="00F0236A" w:rsidP="002E241A">
            <w:pPr>
              <w:numPr>
                <w:ilvl w:val="1"/>
                <w:numId w:val="18"/>
              </w:numPr>
              <w:tabs>
                <w:tab w:val="left" w:pos="1134"/>
                <w:tab w:val="left" w:pos="1871"/>
                <w:tab w:val="left" w:pos="2268"/>
              </w:tabs>
              <w:overflowPunct w:val="0"/>
              <w:autoSpaceDE w:val="0"/>
              <w:autoSpaceDN w:val="0"/>
              <w:adjustRightInd w:val="0"/>
              <w:textAlignment w:val="baseline"/>
            </w:pPr>
            <w:r w:rsidRPr="00073574">
              <w:rPr>
                <w:rFonts w:asciiTheme="majorBidi" w:hAnsiTheme="majorBidi" w:cstheme="majorBidi"/>
              </w:rPr>
              <w:t>Collaboration among academia, industry, and global standards organizations to develop international standards for a sustainable future</w:t>
            </w:r>
          </w:p>
          <w:p w14:paraId="644131E7" w14:textId="77777777" w:rsidR="00F0236A" w:rsidRPr="00073574" w:rsidRDefault="00F0236A" w:rsidP="002E241A">
            <w:pPr>
              <w:numPr>
                <w:ilvl w:val="1"/>
                <w:numId w:val="18"/>
              </w:numPr>
              <w:tabs>
                <w:tab w:val="left" w:pos="1134"/>
                <w:tab w:val="left" w:pos="1871"/>
                <w:tab w:val="left" w:pos="2268"/>
              </w:tabs>
              <w:overflowPunct w:val="0"/>
              <w:autoSpaceDE w:val="0"/>
              <w:autoSpaceDN w:val="0"/>
              <w:adjustRightInd w:val="0"/>
              <w:textAlignment w:val="baseline"/>
            </w:pPr>
            <w:r w:rsidRPr="00073574">
              <w:lastRenderedPageBreak/>
              <w:t>Gender dimension in international standardization</w:t>
            </w:r>
          </w:p>
          <w:p w14:paraId="34245BD6" w14:textId="77777777" w:rsidR="00F0236A" w:rsidRPr="00073574" w:rsidRDefault="00F0236A" w:rsidP="002E241A">
            <w:pPr>
              <w:numPr>
                <w:ilvl w:val="1"/>
                <w:numId w:val="18"/>
              </w:numPr>
              <w:tabs>
                <w:tab w:val="left" w:pos="1134"/>
                <w:tab w:val="left" w:pos="1871"/>
                <w:tab w:val="left" w:pos="2268"/>
              </w:tabs>
              <w:overflowPunct w:val="0"/>
              <w:autoSpaceDE w:val="0"/>
              <w:autoSpaceDN w:val="0"/>
              <w:adjustRightInd w:val="0"/>
              <w:textAlignment w:val="baseline"/>
            </w:pPr>
            <w:r w:rsidRPr="00073574">
              <w:t>Internet of Things (IoT) to accelerate sustainable development.</w:t>
            </w:r>
          </w:p>
          <w:p w14:paraId="71E3F050" w14:textId="1909E671" w:rsidR="00F0236A" w:rsidRPr="00073574" w:rsidRDefault="00F0236A" w:rsidP="008E5BDF">
            <w:pPr>
              <w:rPr>
                <w:szCs w:val="22"/>
              </w:rPr>
            </w:pPr>
            <w:r w:rsidRPr="00073574">
              <w:rPr>
                <w:szCs w:val="22"/>
              </w:rPr>
              <w:t xml:space="preserve">The </w:t>
            </w:r>
            <w:r w:rsidR="008E5BDF" w:rsidRPr="00073574">
              <w:rPr>
                <w:szCs w:val="22"/>
              </w:rPr>
              <w:t xml:space="preserve">second </w:t>
            </w:r>
            <w:r w:rsidRPr="00073574">
              <w:rPr>
                <w:szCs w:val="22"/>
              </w:rPr>
              <w:t>World Smart City Forum took</w:t>
            </w:r>
            <w:r w:rsidR="00112C75" w:rsidRPr="00073574">
              <w:rPr>
                <w:szCs w:val="22"/>
              </w:rPr>
              <w:t xml:space="preserve"> </w:t>
            </w:r>
            <w:r w:rsidRPr="00073574">
              <w:rPr>
                <w:szCs w:val="22"/>
              </w:rPr>
              <w:t xml:space="preserve">place on the 13 – 14 November 2017 in Barcelona. The overall theme of this Forum was </w:t>
            </w:r>
            <w:r w:rsidR="003C7E25" w:rsidRPr="00073574">
              <w:rPr>
                <w:szCs w:val="22"/>
              </w:rPr>
              <w:t>"</w:t>
            </w:r>
            <w:r w:rsidRPr="00073574">
              <w:rPr>
                <w:szCs w:val="22"/>
              </w:rPr>
              <w:t>Future cities – Solutions for common challenges</w:t>
            </w:r>
            <w:r w:rsidR="003C7E25" w:rsidRPr="00073574">
              <w:rPr>
                <w:szCs w:val="22"/>
              </w:rPr>
              <w:t>"</w:t>
            </w:r>
            <w:r w:rsidRPr="00073574">
              <w:rPr>
                <w:szCs w:val="22"/>
              </w:rPr>
              <w:t>.</w:t>
            </w:r>
            <w:r w:rsidR="0031450C" w:rsidRPr="00073574">
              <w:rPr>
                <w:szCs w:val="22"/>
              </w:rPr>
              <w:t xml:space="preserve"> The </w:t>
            </w:r>
            <w:r w:rsidR="008E5BDF" w:rsidRPr="00073574">
              <w:rPr>
                <w:szCs w:val="22"/>
              </w:rPr>
              <w:t xml:space="preserve">third </w:t>
            </w:r>
            <w:r w:rsidR="0031450C" w:rsidRPr="00073574">
              <w:rPr>
                <w:szCs w:val="22"/>
              </w:rPr>
              <w:t xml:space="preserve">World Smart City Forum </w:t>
            </w:r>
            <w:r w:rsidR="008E5BDF" w:rsidRPr="00073574">
              <w:rPr>
                <w:szCs w:val="22"/>
              </w:rPr>
              <w:t xml:space="preserve">took place on 29 November 2018 in Santa Fe, Argentina. The Forum was preceded by Kaleidoscope 2018. </w:t>
            </w:r>
            <w:r w:rsidR="00917CA0" w:rsidRPr="00073574">
              <w:rPr>
                <w:szCs w:val="22"/>
              </w:rPr>
              <w:t>The</w:t>
            </w:r>
            <w:r w:rsidR="008E5BDF" w:rsidRPr="00073574">
              <w:rPr>
                <w:szCs w:val="22"/>
              </w:rPr>
              <w:t xml:space="preserve"> Forum was organized by ITU in partnership with IEC and ISO.</w:t>
            </w:r>
          </w:p>
          <w:p w14:paraId="50872985" w14:textId="72455F6B" w:rsidR="00F0236A" w:rsidRPr="00073574" w:rsidRDefault="00F0236A" w:rsidP="002E241A">
            <w:pPr>
              <w:pStyle w:val="ListParagraph"/>
              <w:numPr>
                <w:ilvl w:val="0"/>
                <w:numId w:val="29"/>
              </w:numPr>
              <w:contextualSpacing w:val="0"/>
            </w:pPr>
            <w:r w:rsidRPr="00073574">
              <w:t>SG5 appointed a liaison rapporteur to ISO/IEC JTC1/SC 39 (on Sustainability for and by Information Technologies)</w:t>
            </w:r>
            <w:r w:rsidR="195BA0EB" w:rsidRPr="00073574">
              <w:t>,</w:t>
            </w:r>
            <w:r w:rsidR="5DFDAEE5" w:rsidRPr="00073574">
              <w:t xml:space="preserve"> ISO TC323,</w:t>
            </w:r>
            <w:r w:rsidR="195BA0EB" w:rsidRPr="00073574">
              <w:t xml:space="preserve"> IEC CISPR</w:t>
            </w:r>
            <w:r w:rsidR="40A03A7E" w:rsidRPr="00073574">
              <w:t xml:space="preserve"> SC H</w:t>
            </w:r>
            <w:r w:rsidR="195BA0EB" w:rsidRPr="00073574">
              <w:t>,</w:t>
            </w:r>
            <w:r w:rsidR="40A03A7E" w:rsidRPr="00073574">
              <w:t xml:space="preserve"> IEC CISPR SC I,</w:t>
            </w:r>
            <w:r w:rsidR="195BA0EB" w:rsidRPr="00073574">
              <w:t xml:space="preserve"> IEC TC 100 TA14, IEC TC 111, IEC TC 106, IEC TC 108, IEC TC 81, IEC ACEC, IEC SC 77C, IEC SC 37A and IEC SC 37B.</w:t>
            </w:r>
          </w:p>
          <w:p w14:paraId="6F27F7C7" w14:textId="1EC97E83" w:rsidR="006651F1" w:rsidRPr="00073574" w:rsidRDefault="006651F1" w:rsidP="634A3A28">
            <w:pPr>
              <w:pStyle w:val="ListParagraph"/>
              <w:numPr>
                <w:ilvl w:val="0"/>
                <w:numId w:val="29"/>
              </w:numPr>
              <w:contextualSpacing w:val="0"/>
            </w:pPr>
            <w:r w:rsidRPr="00073574">
              <w:t>SG9 appointed liaison representative to IEC TC100.</w:t>
            </w:r>
          </w:p>
          <w:p w14:paraId="6C50A1EA" w14:textId="5A865998" w:rsidR="00F0236A" w:rsidRPr="00073574" w:rsidRDefault="00F0236A" w:rsidP="634A3A28">
            <w:pPr>
              <w:pStyle w:val="ListParagraph"/>
              <w:numPr>
                <w:ilvl w:val="0"/>
                <w:numId w:val="29"/>
              </w:numPr>
              <w:contextualSpacing w:val="0"/>
            </w:pPr>
            <w:r w:rsidRPr="00073574">
              <w:t>SG11 appointed liaison rapporteurs for ISO/IEC JTC 1/SC 6.</w:t>
            </w:r>
          </w:p>
          <w:p w14:paraId="2F73BE25" w14:textId="5597E929" w:rsidR="009259AE" w:rsidRPr="00073574" w:rsidRDefault="43C9B28E" w:rsidP="634A3A28">
            <w:pPr>
              <w:pStyle w:val="ListParagraph"/>
              <w:numPr>
                <w:ilvl w:val="0"/>
                <w:numId w:val="29"/>
              </w:numPr>
              <w:contextualSpacing w:val="0"/>
            </w:pPr>
            <w:r w:rsidRPr="00073574">
              <w:t>SG12 appointed liaison rapporteurs to IEC TCs 29 and 108, and ISO/TC 43.</w:t>
            </w:r>
            <w:r w:rsidR="00076922" w:rsidRPr="00073574">
              <w:t xml:space="preserve"> Liaison relationship with ISO/IEC JTC</w:t>
            </w:r>
            <w:r w:rsidR="6E812E35" w:rsidRPr="00073574">
              <w:t xml:space="preserve"> </w:t>
            </w:r>
            <w:r w:rsidR="00076922" w:rsidRPr="00073574">
              <w:t>1/SC29.</w:t>
            </w:r>
          </w:p>
          <w:p w14:paraId="6C607C99" w14:textId="464D98DE" w:rsidR="00F0236A" w:rsidRPr="00073574" w:rsidRDefault="00F0236A" w:rsidP="634A3A28">
            <w:pPr>
              <w:pStyle w:val="ListParagraph"/>
              <w:numPr>
                <w:ilvl w:val="0"/>
                <w:numId w:val="29"/>
              </w:numPr>
              <w:ind w:left="357" w:hanging="357"/>
              <w:contextualSpacing w:val="0"/>
            </w:pPr>
            <w:r w:rsidRPr="00073574">
              <w:t xml:space="preserve">SG13 appointed liaison rapporteurs for ISO/IEC JTC 1/SCs 6, </w:t>
            </w:r>
            <w:r w:rsidR="56D19E87" w:rsidRPr="00073574">
              <w:t>38, 41 and WG</w:t>
            </w:r>
            <w:r w:rsidRPr="00073574">
              <w:t>9.</w:t>
            </w:r>
          </w:p>
          <w:p w14:paraId="3944C5F5" w14:textId="0F26E302" w:rsidR="001B4796" w:rsidRPr="00073574" w:rsidRDefault="426C51CC" w:rsidP="634A3A28">
            <w:pPr>
              <w:pStyle w:val="ListParagraph"/>
              <w:numPr>
                <w:ilvl w:val="0"/>
                <w:numId w:val="29"/>
              </w:numPr>
              <w:contextualSpacing w:val="0"/>
            </w:pPr>
            <w:r w:rsidRPr="00073574">
              <w:t xml:space="preserve">SG15 appointed liaison rapporteurs to </w:t>
            </w:r>
            <w:r w:rsidRPr="00073574">
              <w:rPr>
                <w:lang w:eastAsia="en-US"/>
              </w:rPr>
              <w:t>IEC TC86, SC86A/WG1 (Fibre optics), IEC TC86, SC86A/WG3 (fibre optic cables), IEC TC86 SC86B (Fibre Optics Interconnections Devices and Passive Components), IEC TC86, SC86C (Fibre optics, Fibre optic systems and active devices) and exchange liaisons as necessary.</w:t>
            </w:r>
          </w:p>
          <w:p w14:paraId="4C98FDAE" w14:textId="7FBDAFA7" w:rsidR="00F0236A" w:rsidRPr="00073574" w:rsidRDefault="00F0236A" w:rsidP="634A3A28">
            <w:pPr>
              <w:pStyle w:val="ListParagraph"/>
              <w:numPr>
                <w:ilvl w:val="0"/>
                <w:numId w:val="29"/>
              </w:numPr>
              <w:contextualSpacing w:val="0"/>
            </w:pPr>
            <w:r w:rsidRPr="00073574">
              <w:t>Following the activities of the ITU-T CASC, IEC established the Task Force (CMC TF ITU Requirements) which will be focused on defining the ITU requirements necessary for the inclusion of a testing laboratory and joint certification program with IECEE.</w:t>
            </w:r>
          </w:p>
          <w:p w14:paraId="2B08972D" w14:textId="6678BCFB" w:rsidR="00D02B74" w:rsidRPr="00073574" w:rsidRDefault="00D02B74" w:rsidP="002E241A">
            <w:pPr>
              <w:pStyle w:val="ListParagraph"/>
              <w:numPr>
                <w:ilvl w:val="0"/>
                <w:numId w:val="29"/>
              </w:numPr>
              <w:contextualSpacing w:val="0"/>
            </w:pPr>
            <w:r w:rsidRPr="00073574">
              <w:t>SG16 appointed liaison rapporteurs to IEC TC 100, ISO TC 215, ISO/IEC JTC 1/SC 6 WG 7, SC 29, SC 29/WG 1 (JPEG)</w:t>
            </w:r>
            <w:r w:rsidR="1F5A7F09" w:rsidRPr="00073574">
              <w:t>,</w:t>
            </w:r>
            <w:r w:rsidRPr="00073574">
              <w:t xml:space="preserve"> </w:t>
            </w:r>
            <w:r w:rsidR="4F9C664E" w:rsidRPr="00073574">
              <w:t>SC</w:t>
            </w:r>
            <w:r w:rsidR="4F396C4B" w:rsidRPr="00073574">
              <w:t xml:space="preserve"> </w:t>
            </w:r>
            <w:r w:rsidR="4F9C664E" w:rsidRPr="00073574">
              <w:t>29/</w:t>
            </w:r>
            <w:r w:rsidRPr="00073574">
              <w:t>WG 11 (MPEG)</w:t>
            </w:r>
            <w:r w:rsidR="2E4E9932" w:rsidRPr="00073574">
              <w:t xml:space="preserve"> and SC 35</w:t>
            </w:r>
            <w:r w:rsidRPr="00073574">
              <w:t>.</w:t>
            </w:r>
          </w:p>
          <w:p w14:paraId="2448DF0B" w14:textId="36409FEE" w:rsidR="00F0236A" w:rsidRPr="00073574" w:rsidRDefault="00F0236A" w:rsidP="634A3A28">
            <w:pPr>
              <w:pStyle w:val="ListParagraph"/>
              <w:numPr>
                <w:ilvl w:val="0"/>
                <w:numId w:val="29"/>
              </w:numPr>
              <w:ind w:left="357" w:hanging="357"/>
              <w:contextualSpacing w:val="0"/>
              <w:rPr>
                <w:sz w:val="24"/>
              </w:rPr>
            </w:pPr>
            <w:r w:rsidRPr="00073574">
              <w:t xml:space="preserve">SG17 appointed liaison rapporteurs </w:t>
            </w:r>
            <w:r w:rsidRPr="00073574">
              <w:rPr>
                <w:rFonts w:asciiTheme="majorBidi" w:hAnsiTheme="majorBidi" w:cstheme="majorBidi"/>
              </w:rPr>
              <w:t xml:space="preserve">to </w:t>
            </w:r>
            <w:r w:rsidRPr="00073574">
              <w:t>IEC TC 25</w:t>
            </w:r>
            <w:r w:rsidR="32A16631" w:rsidRPr="00073574">
              <w:t xml:space="preserve"> and </w:t>
            </w:r>
            <w:r w:rsidRPr="00073574">
              <w:t>57</w:t>
            </w:r>
            <w:r w:rsidR="32A16631" w:rsidRPr="00073574">
              <w:t xml:space="preserve">; </w:t>
            </w:r>
            <w:r w:rsidRPr="00073574">
              <w:t xml:space="preserve">ISO </w:t>
            </w:r>
            <w:r w:rsidR="00C3671D" w:rsidRPr="00073574">
              <w:t xml:space="preserve">CASCO; ISO </w:t>
            </w:r>
            <w:r w:rsidRPr="00073574">
              <w:t xml:space="preserve">TC 12, 204, 215, </w:t>
            </w:r>
            <w:r w:rsidR="32A16631" w:rsidRPr="00073574">
              <w:t>292 and</w:t>
            </w:r>
            <w:r w:rsidRPr="00073574">
              <w:t xml:space="preserve"> 307</w:t>
            </w:r>
            <w:r w:rsidR="32A16631" w:rsidRPr="00073574">
              <w:t xml:space="preserve">; </w:t>
            </w:r>
            <w:r w:rsidRPr="00073574">
              <w:t xml:space="preserve">ISO/IEC JTC 1/SC 6, </w:t>
            </w:r>
            <w:r w:rsidR="11B719EE" w:rsidRPr="00073574">
              <w:t xml:space="preserve">7, 17, </w:t>
            </w:r>
            <w:r w:rsidRPr="00073574">
              <w:t xml:space="preserve">25, 27, </w:t>
            </w:r>
            <w:r w:rsidR="11B719EE" w:rsidRPr="00073574">
              <w:t xml:space="preserve">31, </w:t>
            </w:r>
            <w:r w:rsidRPr="00073574">
              <w:t>37</w:t>
            </w:r>
            <w:r w:rsidR="11B719EE" w:rsidRPr="00073574">
              <w:t>, 38, 41</w:t>
            </w:r>
            <w:r w:rsidR="32A16631" w:rsidRPr="00073574">
              <w:t xml:space="preserve"> </w:t>
            </w:r>
            <w:r w:rsidR="11B719EE" w:rsidRPr="00073574">
              <w:t xml:space="preserve">and 42, </w:t>
            </w:r>
            <w:r w:rsidR="32A16631" w:rsidRPr="00073574">
              <w:t>and</w:t>
            </w:r>
            <w:r w:rsidR="32A16631" w:rsidRPr="00073574">
              <w:rPr>
                <w:rFonts w:asciiTheme="majorBidi" w:hAnsiTheme="majorBidi" w:cstheme="majorBidi"/>
              </w:rPr>
              <w:t xml:space="preserve"> ISO/IEC JTC 1/SC 27/WG</w:t>
            </w:r>
            <w:r w:rsidR="11B719EE" w:rsidRPr="00073574">
              <w:rPr>
                <w:rFonts w:asciiTheme="majorBidi" w:hAnsiTheme="majorBidi" w:cstheme="majorBidi"/>
              </w:rPr>
              <w:t xml:space="preserve"> </w:t>
            </w:r>
            <w:r w:rsidR="32A16631" w:rsidRPr="00073574">
              <w:rPr>
                <w:rFonts w:asciiTheme="majorBidi" w:hAnsiTheme="majorBidi" w:cstheme="majorBidi"/>
              </w:rPr>
              <w:t>1, 4 and 5;</w:t>
            </w:r>
          </w:p>
          <w:p w14:paraId="42707767" w14:textId="20FD183F" w:rsidR="00F0236A" w:rsidRPr="00073574" w:rsidRDefault="00F0236A" w:rsidP="634A3A28">
            <w:pPr>
              <w:pStyle w:val="ListParagraph"/>
              <w:numPr>
                <w:ilvl w:val="0"/>
                <w:numId w:val="29"/>
              </w:numPr>
              <w:contextualSpacing w:val="0"/>
            </w:pPr>
            <w:r w:rsidRPr="00073574">
              <w:t>SG20 appointed a liaison rapporteur to ISO/IEC JTC 1/</w:t>
            </w:r>
            <w:r w:rsidR="77D4A516" w:rsidRPr="00073574">
              <w:t xml:space="preserve"> SC41</w:t>
            </w:r>
            <w:r w:rsidR="007B31D5" w:rsidRPr="00073574">
              <w:t>,</w:t>
            </w:r>
            <w:r w:rsidRPr="00073574">
              <w:t xml:space="preserve"> ISO/IEC JTC 1/WG11 (on smart cities)</w:t>
            </w:r>
            <w:r w:rsidR="007B31D5" w:rsidRPr="00073574">
              <w:t xml:space="preserve">, </w:t>
            </w:r>
            <w:r w:rsidR="0084080A" w:rsidRPr="00073574">
              <w:t xml:space="preserve">and </w:t>
            </w:r>
            <w:r w:rsidR="00FF711A" w:rsidRPr="00073574">
              <w:t>ISO SMCC</w:t>
            </w:r>
            <w:r w:rsidRPr="00073574">
              <w:t>.</w:t>
            </w:r>
          </w:p>
          <w:p w14:paraId="0B59F565" w14:textId="14BD7446" w:rsidR="00B3233F" w:rsidRPr="00073574" w:rsidRDefault="0A06D595" w:rsidP="002E241A">
            <w:pPr>
              <w:pStyle w:val="ListParagraph"/>
              <w:numPr>
                <w:ilvl w:val="0"/>
                <w:numId w:val="29"/>
              </w:numPr>
              <w:spacing w:after="40"/>
              <w:ind w:left="357" w:hanging="357"/>
              <w:contextualSpacing w:val="0"/>
            </w:pPr>
            <w:r w:rsidRPr="00073574">
              <w:t xml:space="preserve">SG20 provided comments to the ToR of a proposed Joint IEC-ISO-ITU Smart Cities Task </w:t>
            </w:r>
            <w:r w:rsidR="00102963" w:rsidRPr="00073574">
              <w:t>F</w:t>
            </w:r>
            <w:r w:rsidRPr="00073574">
              <w:t>orce</w:t>
            </w:r>
            <w:r w:rsidR="00102963" w:rsidRPr="00073574">
              <w:t>.</w:t>
            </w:r>
          </w:p>
          <w:p w14:paraId="06F8A6F1" w14:textId="2897E67B" w:rsidR="0063231A" w:rsidRPr="00073574" w:rsidRDefault="76C07EF9" w:rsidP="002E241A">
            <w:pPr>
              <w:pStyle w:val="ListParagraph"/>
              <w:numPr>
                <w:ilvl w:val="0"/>
                <w:numId w:val="29"/>
              </w:numPr>
              <w:spacing w:after="40"/>
              <w:ind w:left="357" w:hanging="357"/>
              <w:contextualSpacing w:val="0"/>
            </w:pPr>
            <w:r w:rsidRPr="00073574">
              <w:t>The Joint IEC-ISO-ITU Smart Cities Task Force (J SCTF) was created</w:t>
            </w:r>
            <w:r w:rsidR="000335E3" w:rsidRPr="00073574">
              <w:t xml:space="preserve"> in 2019</w:t>
            </w:r>
            <w:r w:rsidRPr="00073574">
              <w:t xml:space="preserve">. ITU-T SG20 </w:t>
            </w:r>
            <w:r w:rsidR="000335E3" w:rsidRPr="00073574">
              <w:t xml:space="preserve">has been </w:t>
            </w:r>
            <w:r w:rsidRPr="00073574">
              <w:t>designated a</w:t>
            </w:r>
            <w:r w:rsidR="02748452" w:rsidRPr="00073574">
              <w:t>s</w:t>
            </w:r>
            <w:r w:rsidRPr="00073574">
              <w:t xml:space="preserve"> </w:t>
            </w:r>
            <w:r w:rsidR="000335E3" w:rsidRPr="00073574">
              <w:t>co-</w:t>
            </w:r>
            <w:r w:rsidRPr="00073574">
              <w:t>leader</w:t>
            </w:r>
            <w:r w:rsidR="000335E3" w:rsidRPr="00073574">
              <w:t xml:space="preserve"> of the </w:t>
            </w:r>
            <w:r w:rsidR="00284B68" w:rsidRPr="00073574">
              <w:t>joint task force.</w:t>
            </w:r>
            <w:r w:rsidR="78EE9C90" w:rsidRPr="00073574">
              <w:t xml:space="preserve"> SG20 </w:t>
            </w:r>
            <w:r w:rsidR="00BB1F7C" w:rsidRPr="00073574">
              <w:t xml:space="preserve">designated </w:t>
            </w:r>
            <w:r w:rsidR="1C9F5633" w:rsidRPr="00073574">
              <w:t xml:space="preserve">a </w:t>
            </w:r>
            <w:r w:rsidR="00DF31D8" w:rsidRPr="00073574">
              <w:t xml:space="preserve">group </w:t>
            </w:r>
            <w:r w:rsidR="1C9F5633" w:rsidRPr="00073574">
              <w:t xml:space="preserve">of </w:t>
            </w:r>
            <w:r w:rsidRPr="00073574">
              <w:t xml:space="preserve">experts to represent ITU </w:t>
            </w:r>
            <w:r w:rsidR="00C260AE" w:rsidRPr="00073574">
              <w:t xml:space="preserve">in </w:t>
            </w:r>
            <w:r w:rsidRPr="00073574">
              <w:t>this task force.</w:t>
            </w:r>
          </w:p>
          <w:p w14:paraId="310213F4" w14:textId="2E2EC3A4" w:rsidR="005370F7" w:rsidRPr="00073574" w:rsidRDefault="005370F7" w:rsidP="001D7B12">
            <w:pPr>
              <w:pStyle w:val="ListParagraph"/>
              <w:numPr>
                <w:ilvl w:val="0"/>
                <w:numId w:val="29"/>
              </w:numPr>
              <w:spacing w:after="40"/>
            </w:pPr>
            <w:r w:rsidRPr="00073574">
              <w:t>The Joint IEC-ISO-ITU Smart Cities Task Force (J-SCTF) has held the following meetings:</w:t>
            </w:r>
          </w:p>
          <w:p w14:paraId="37C45813" w14:textId="77777777" w:rsidR="005370F7" w:rsidRPr="00073574" w:rsidRDefault="005370F7" w:rsidP="00D85198">
            <w:pPr>
              <w:pStyle w:val="ListParagraph"/>
              <w:numPr>
                <w:ilvl w:val="1"/>
                <w:numId w:val="29"/>
              </w:numPr>
              <w:spacing w:after="40"/>
            </w:pPr>
            <w:r w:rsidRPr="00073574">
              <w:t>First meeting, Virtual, 7 October 2020;</w:t>
            </w:r>
          </w:p>
          <w:p w14:paraId="0273A1FB" w14:textId="77777777" w:rsidR="005370F7" w:rsidRPr="00073574" w:rsidRDefault="005370F7" w:rsidP="00D85198">
            <w:pPr>
              <w:pStyle w:val="ListParagraph"/>
              <w:numPr>
                <w:ilvl w:val="1"/>
                <w:numId w:val="29"/>
              </w:numPr>
              <w:spacing w:after="40"/>
            </w:pPr>
            <w:r w:rsidRPr="00073574">
              <w:t>Second meeting, Virtual, 24 February 2021;</w:t>
            </w:r>
          </w:p>
          <w:p w14:paraId="2821CAC4" w14:textId="77777777" w:rsidR="00977199" w:rsidRPr="00073574" w:rsidRDefault="005370F7" w:rsidP="00D85198">
            <w:pPr>
              <w:pStyle w:val="ListParagraph"/>
              <w:numPr>
                <w:ilvl w:val="1"/>
                <w:numId w:val="29"/>
              </w:numPr>
              <w:spacing w:after="40"/>
            </w:pPr>
            <w:r w:rsidRPr="00073574">
              <w:t>Third meeting, Virtual, 29 June 2021</w:t>
            </w:r>
            <w:r w:rsidR="00977199" w:rsidRPr="00073574">
              <w:t>;</w:t>
            </w:r>
          </w:p>
          <w:p w14:paraId="1AA172E1" w14:textId="6671BBFF" w:rsidR="00AC5033" w:rsidRPr="00073574" w:rsidRDefault="00977199" w:rsidP="00D85198">
            <w:pPr>
              <w:pStyle w:val="ListParagraph"/>
              <w:numPr>
                <w:ilvl w:val="1"/>
                <w:numId w:val="29"/>
              </w:numPr>
              <w:spacing w:after="40"/>
            </w:pPr>
            <w:r w:rsidRPr="00073574">
              <w:t xml:space="preserve">Fourth meeting, Virtual, </w:t>
            </w:r>
            <w:r w:rsidR="008653D5" w:rsidRPr="00073574">
              <w:t>27 and 29 September 2021</w:t>
            </w:r>
          </w:p>
        </w:tc>
      </w:tr>
      <w:tr w:rsidR="00F0236A" w:rsidRPr="00073574" w14:paraId="1D851258" w14:textId="77777777" w:rsidTr="634A3A28">
        <w:trPr>
          <w:jc w:val="center"/>
        </w:trPr>
        <w:tc>
          <w:tcPr>
            <w:tcW w:w="912" w:type="dxa"/>
            <w:vMerge w:val="restart"/>
            <w:tcBorders>
              <w:top w:val="single" w:sz="12" w:space="0" w:color="auto"/>
            </w:tcBorders>
            <w:shd w:val="clear" w:color="auto" w:fill="auto"/>
          </w:tcPr>
          <w:p w14:paraId="07502A31" w14:textId="77777777" w:rsidR="00F0236A" w:rsidRPr="00073574" w:rsidRDefault="00F0236A" w:rsidP="00DF36E1">
            <w:pPr>
              <w:pStyle w:val="Tabletext"/>
              <w:rPr>
                <w:b/>
                <w:bCs/>
                <w:sz w:val="24"/>
                <w:szCs w:val="24"/>
              </w:rPr>
            </w:pPr>
            <w:r w:rsidRPr="00073574">
              <w:rPr>
                <w:b/>
                <w:bCs/>
                <w:sz w:val="24"/>
                <w:szCs w:val="24"/>
              </w:rPr>
              <w:lastRenderedPageBreak/>
              <w:t>07-03</w:t>
            </w:r>
          </w:p>
        </w:tc>
        <w:tc>
          <w:tcPr>
            <w:tcW w:w="4564" w:type="dxa"/>
            <w:tcBorders>
              <w:top w:val="single" w:sz="12" w:space="0" w:color="auto"/>
            </w:tcBorders>
            <w:shd w:val="clear" w:color="auto" w:fill="auto"/>
            <w:hideMark/>
          </w:tcPr>
          <w:p w14:paraId="296F3E98" w14:textId="77777777" w:rsidR="00F0236A" w:rsidRPr="00073574" w:rsidRDefault="00F0236A" w:rsidP="00DF36E1">
            <w:pPr>
              <w:pStyle w:val="Tabletext"/>
              <w:keepNext/>
              <w:keepLines/>
              <w:rPr>
                <w:b/>
                <w:bCs/>
                <w:sz w:val="24"/>
                <w:szCs w:val="24"/>
              </w:rPr>
            </w:pPr>
            <w:r w:rsidRPr="00073574">
              <w:rPr>
                <w:b/>
                <w:bCs/>
                <w:sz w:val="24"/>
                <w:szCs w:val="24"/>
              </w:rPr>
              <w:t>TSB, in consultation with the study groups, to update programme of cooperation and priority among ITU-T, ISO and IEC, and update website (resolves 1, 4)</w:t>
            </w:r>
          </w:p>
        </w:tc>
        <w:tc>
          <w:tcPr>
            <w:tcW w:w="1886" w:type="dxa"/>
            <w:tcBorders>
              <w:top w:val="single" w:sz="12" w:space="0" w:color="auto"/>
            </w:tcBorders>
            <w:shd w:val="clear" w:color="auto" w:fill="auto"/>
            <w:vAlign w:val="center"/>
          </w:tcPr>
          <w:p w14:paraId="2BC107D0"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52" w:type="dxa"/>
            <w:tcBorders>
              <w:top w:val="single" w:sz="12" w:space="0" w:color="auto"/>
            </w:tcBorders>
            <w:shd w:val="clear" w:color="auto" w:fill="auto"/>
            <w:vAlign w:val="center"/>
          </w:tcPr>
          <w:p w14:paraId="2755920D" w14:textId="77777777" w:rsidR="00F0236A" w:rsidRPr="00073574" w:rsidRDefault="00F0236A" w:rsidP="00DF36E1">
            <w:pPr>
              <w:pStyle w:val="Tabletext"/>
              <w:jc w:val="center"/>
              <w:rPr>
                <w:b/>
                <w:bCs/>
                <w:sz w:val="24"/>
                <w:szCs w:val="24"/>
              </w:rPr>
            </w:pPr>
            <w:r w:rsidRPr="00073574">
              <w:rPr>
                <w:b/>
                <w:bCs/>
                <w:sz w:val="24"/>
                <w:szCs w:val="24"/>
              </w:rPr>
              <w:t>√</w:t>
            </w:r>
          </w:p>
        </w:tc>
        <w:tc>
          <w:tcPr>
            <w:tcW w:w="1318" w:type="dxa"/>
            <w:tcBorders>
              <w:top w:val="single" w:sz="12" w:space="0" w:color="auto"/>
            </w:tcBorders>
            <w:shd w:val="clear" w:color="auto" w:fill="auto"/>
            <w:vAlign w:val="center"/>
          </w:tcPr>
          <w:p w14:paraId="18D0CE3F" w14:textId="77777777" w:rsidR="00F0236A" w:rsidRPr="00073574" w:rsidRDefault="00F0236A" w:rsidP="00DF36E1">
            <w:pPr>
              <w:pStyle w:val="Tabletext"/>
              <w:jc w:val="center"/>
              <w:rPr>
                <w:b/>
                <w:bCs/>
                <w:sz w:val="24"/>
                <w:szCs w:val="24"/>
              </w:rPr>
            </w:pPr>
          </w:p>
        </w:tc>
      </w:tr>
      <w:tr w:rsidR="00F0236A" w:rsidRPr="00073574" w14:paraId="3633916E" w14:textId="77777777" w:rsidTr="634A3A28">
        <w:trPr>
          <w:jc w:val="center"/>
        </w:trPr>
        <w:tc>
          <w:tcPr>
            <w:tcW w:w="912" w:type="dxa"/>
            <w:vMerge/>
          </w:tcPr>
          <w:p w14:paraId="151D6A13" w14:textId="77777777" w:rsidR="00F0236A" w:rsidRPr="00073574" w:rsidRDefault="00F0236A" w:rsidP="00DF36E1">
            <w:pPr>
              <w:pStyle w:val="Tabletext"/>
              <w:rPr>
                <w:sz w:val="24"/>
                <w:szCs w:val="24"/>
              </w:rPr>
            </w:pPr>
          </w:p>
        </w:tc>
        <w:tc>
          <w:tcPr>
            <w:tcW w:w="8920" w:type="dxa"/>
            <w:gridSpan w:val="4"/>
            <w:shd w:val="clear" w:color="auto" w:fill="auto"/>
          </w:tcPr>
          <w:p w14:paraId="542F3E68" w14:textId="3E443D86" w:rsidR="0082576F" w:rsidRPr="00073574" w:rsidRDefault="78E3A718" w:rsidP="634A3A28">
            <w:pPr>
              <w:pStyle w:val="ListParagraph"/>
              <w:numPr>
                <w:ilvl w:val="0"/>
                <w:numId w:val="29"/>
              </w:numPr>
              <w:spacing w:before="40"/>
              <w:ind w:left="357" w:hanging="357"/>
              <w:contextualSpacing w:val="0"/>
            </w:pPr>
            <w:r w:rsidRPr="00073574">
              <w:t>SG2 liaised with ISO</w:t>
            </w:r>
            <w:r w:rsidR="790FA1A9" w:rsidRPr="00073574">
              <w:t>/IEC JTC</w:t>
            </w:r>
            <w:r w:rsidR="1D3E2BD1" w:rsidRPr="00073574">
              <w:t xml:space="preserve"> </w:t>
            </w:r>
            <w:r w:rsidR="790FA1A9" w:rsidRPr="00073574">
              <w:t>1/SC17</w:t>
            </w:r>
            <w:r w:rsidR="262E5DE9" w:rsidRPr="00073574">
              <w:t xml:space="preserve"> (on I</w:t>
            </w:r>
            <w:r w:rsidR="32ABF67A" w:rsidRPr="00073574">
              <w:t xml:space="preserve">ssuer </w:t>
            </w:r>
            <w:r w:rsidR="262E5DE9" w:rsidRPr="00073574">
              <w:t>I</w:t>
            </w:r>
            <w:r w:rsidR="32ABF67A" w:rsidRPr="00073574">
              <w:t xml:space="preserve">dentifier </w:t>
            </w:r>
            <w:r w:rsidR="262E5DE9" w:rsidRPr="00073574">
              <w:t>N</w:t>
            </w:r>
            <w:r w:rsidR="32ABF67A" w:rsidRPr="00073574">
              <w:t>umber</w:t>
            </w:r>
            <w:r w:rsidR="262E5DE9" w:rsidRPr="00073574">
              <w:t>)</w:t>
            </w:r>
            <w:r w:rsidR="32ABF67A" w:rsidRPr="00073574">
              <w:t xml:space="preserve"> and</w:t>
            </w:r>
            <w:r w:rsidR="790FA1A9" w:rsidRPr="00073574">
              <w:t xml:space="preserve"> </w:t>
            </w:r>
            <w:r w:rsidR="262E5DE9" w:rsidRPr="00073574">
              <w:t>SC27 (on Security)</w:t>
            </w:r>
            <w:r w:rsidR="32ABF67A" w:rsidRPr="00073574">
              <w:t>.</w:t>
            </w:r>
            <w:r w:rsidR="5C17FDA5" w:rsidRPr="00073574">
              <w:t xml:space="preserve"> SG2 established </w:t>
            </w:r>
            <w:r w:rsidR="1D3E2BD1" w:rsidRPr="00073574">
              <w:t xml:space="preserve">category </w:t>
            </w:r>
            <w:r w:rsidR="5C17FDA5" w:rsidRPr="00073574">
              <w:t>A-liaison with ISO/TC154.</w:t>
            </w:r>
          </w:p>
          <w:p w14:paraId="5AF91C17" w14:textId="43225A00" w:rsidR="0063231A" w:rsidRPr="00073574" w:rsidRDefault="1D9F9D30" w:rsidP="002E241A">
            <w:pPr>
              <w:pStyle w:val="ListParagraph"/>
              <w:numPr>
                <w:ilvl w:val="0"/>
                <w:numId w:val="29"/>
              </w:numPr>
              <w:contextualSpacing w:val="0"/>
            </w:pPr>
            <w:r w:rsidRPr="00073574">
              <w:t xml:space="preserve">SG5 liaised with </w:t>
            </w:r>
            <w:r w:rsidR="0581C864" w:rsidRPr="00073574">
              <w:t>IEC CISPR on topics related to EMC</w:t>
            </w:r>
            <w:r w:rsidR="705993CF" w:rsidRPr="00073574">
              <w:t xml:space="preserve"> and with </w:t>
            </w:r>
            <w:r w:rsidR="44412775" w:rsidRPr="00073574">
              <w:t>IEC SC37A on topics related to Surge Protective Device Module</w:t>
            </w:r>
          </w:p>
          <w:p w14:paraId="4977BDCC" w14:textId="4EEA3470" w:rsidR="00F50337" w:rsidRPr="00073574" w:rsidRDefault="6D33B74D" w:rsidP="634A3A28">
            <w:pPr>
              <w:pStyle w:val="ListParagraph"/>
              <w:numPr>
                <w:ilvl w:val="0"/>
                <w:numId w:val="29"/>
              </w:numPr>
              <w:contextualSpacing w:val="0"/>
            </w:pPr>
            <w:r w:rsidRPr="00073574">
              <w:t>SG11 is collaborating with ISO/IEC JTC1/SC6/WG7 on requirements, architecture, protocols and mechanisms for Future Network, IMT-2020 network and edge computing, and managed P2P communication.</w:t>
            </w:r>
            <w:r w:rsidR="1943E614" w:rsidRPr="00073574">
              <w:t xml:space="preserve"> </w:t>
            </w:r>
          </w:p>
          <w:p w14:paraId="20BE10CE" w14:textId="69725307" w:rsidR="00076922" w:rsidRPr="00073574" w:rsidRDefault="00076922" w:rsidP="634A3A28">
            <w:pPr>
              <w:pStyle w:val="ListParagraph"/>
              <w:numPr>
                <w:ilvl w:val="0"/>
                <w:numId w:val="29"/>
              </w:numPr>
              <w:ind w:left="357" w:hanging="357"/>
              <w:contextualSpacing w:val="0"/>
            </w:pPr>
            <w:r w:rsidRPr="00073574">
              <w:t>SG12 continues to collaborate with ISO TCs, IEC TCs and ISO/IEC JTC 1/SCs on work items of common interest.</w:t>
            </w:r>
          </w:p>
          <w:p w14:paraId="247B25E8" w14:textId="09085124" w:rsidR="00F0236A" w:rsidRPr="00073574" w:rsidRDefault="00F0236A" w:rsidP="634A3A28">
            <w:pPr>
              <w:pStyle w:val="ListParagraph"/>
              <w:numPr>
                <w:ilvl w:val="0"/>
                <w:numId w:val="29"/>
              </w:numPr>
              <w:ind w:left="357" w:hanging="357"/>
              <w:contextualSpacing w:val="0"/>
              <w:rPr>
                <w:rFonts w:eastAsia="Times New Roman"/>
              </w:rPr>
            </w:pPr>
            <w:r w:rsidRPr="00073574">
              <w:t>SG13 maintains the cloud computing standardisation roadmap as a Supplement</w:t>
            </w:r>
            <w:r w:rsidR="1000EF41" w:rsidRPr="00073574">
              <w:t xml:space="preserve"> 49 to Y.3500-series “Cloud computing standardization roadmap” (11/2018)</w:t>
            </w:r>
            <w:r w:rsidR="00277D7C" w:rsidRPr="00073574">
              <w:t>.</w:t>
            </w:r>
            <w:r w:rsidR="1000EF41" w:rsidRPr="00073574">
              <w:t xml:space="preserve"> In addition, it works on revision to the Supplement (40) on Big data Standardization roadmap.</w:t>
            </w:r>
            <w:r w:rsidR="65ABCFB6" w:rsidRPr="00073574">
              <w:t xml:space="preserve"> ISO work on AI</w:t>
            </w:r>
            <w:r w:rsidR="0EA1B5B4" w:rsidRPr="00073574">
              <w:t xml:space="preserve"> is reflected in the artificial</w:t>
            </w:r>
            <w:r w:rsidR="00887451" w:rsidRPr="00073574">
              <w:t xml:space="preserve"> i</w:t>
            </w:r>
            <w:r w:rsidR="0EA1B5B4" w:rsidRPr="00073574">
              <w:t xml:space="preserve">ntelligence </w:t>
            </w:r>
            <w:r w:rsidR="00887451" w:rsidRPr="00073574">
              <w:t>s</w:t>
            </w:r>
            <w:r w:rsidR="0EA1B5B4" w:rsidRPr="00073574">
              <w:t>tandardiza</w:t>
            </w:r>
            <w:r w:rsidR="0EA1B5B4" w:rsidRPr="00073574">
              <w:rPr>
                <w:color w:val="444444"/>
              </w:rPr>
              <w:t xml:space="preserve">tion </w:t>
            </w:r>
            <w:r w:rsidR="00887451" w:rsidRPr="00073574">
              <w:rPr>
                <w:color w:val="444444"/>
              </w:rPr>
              <w:t>r</w:t>
            </w:r>
            <w:r w:rsidR="0EA1B5B4" w:rsidRPr="00073574">
              <w:rPr>
                <w:color w:val="444444"/>
              </w:rPr>
              <w:t>oadmap</w:t>
            </w:r>
            <w:r w:rsidR="00106CBC" w:rsidRPr="00073574">
              <w:rPr>
                <w:color w:val="444444"/>
              </w:rPr>
              <w:t>.</w:t>
            </w:r>
            <w:r w:rsidR="009F1F47" w:rsidRPr="00073574">
              <w:rPr>
                <w:color w:val="444444"/>
              </w:rPr>
              <w:t xml:space="preserve"> S</w:t>
            </w:r>
            <w:r w:rsidR="00FE0F5E" w:rsidRPr="00073574">
              <w:rPr>
                <w:color w:val="444444"/>
              </w:rPr>
              <w:t>G</w:t>
            </w:r>
            <w:r w:rsidR="009F1F47" w:rsidRPr="00073574">
              <w:rPr>
                <w:color w:val="444444"/>
              </w:rPr>
              <w:t>13 collaborates with ISO/IEC</w:t>
            </w:r>
            <w:r w:rsidR="006A5A18" w:rsidRPr="00073574">
              <w:rPr>
                <w:color w:val="444444"/>
              </w:rPr>
              <w:t xml:space="preserve"> JTC1/SCs </w:t>
            </w:r>
            <w:r w:rsidR="001E3233" w:rsidRPr="00073574">
              <w:rPr>
                <w:color w:val="444444"/>
              </w:rPr>
              <w:t xml:space="preserve">6, </w:t>
            </w:r>
            <w:r w:rsidR="00644186" w:rsidRPr="00073574">
              <w:rPr>
                <w:color w:val="444444"/>
              </w:rPr>
              <w:t>27,</w:t>
            </w:r>
            <w:r w:rsidR="001E3233" w:rsidRPr="00073574">
              <w:rPr>
                <w:color w:val="444444"/>
              </w:rPr>
              <w:t xml:space="preserve"> 29,</w:t>
            </w:r>
            <w:r w:rsidR="00644186" w:rsidRPr="00073574">
              <w:rPr>
                <w:color w:val="444444"/>
              </w:rPr>
              <w:t xml:space="preserve"> </w:t>
            </w:r>
            <w:r w:rsidR="00924505" w:rsidRPr="00073574">
              <w:rPr>
                <w:color w:val="444444"/>
              </w:rPr>
              <w:t xml:space="preserve">32, </w:t>
            </w:r>
            <w:r w:rsidR="00644186" w:rsidRPr="00073574">
              <w:rPr>
                <w:color w:val="444444"/>
              </w:rPr>
              <w:t>38</w:t>
            </w:r>
            <w:r w:rsidR="00924505" w:rsidRPr="00073574">
              <w:rPr>
                <w:color w:val="444444"/>
              </w:rPr>
              <w:t xml:space="preserve"> 42</w:t>
            </w:r>
            <w:r w:rsidR="00BC7558" w:rsidRPr="00073574">
              <w:rPr>
                <w:color w:val="444444"/>
              </w:rPr>
              <w:t>, AG4</w:t>
            </w:r>
            <w:r w:rsidR="00924505" w:rsidRPr="00073574">
              <w:rPr>
                <w:color w:val="444444"/>
              </w:rPr>
              <w:t xml:space="preserve"> on the work items of common interest.</w:t>
            </w:r>
          </w:p>
          <w:p w14:paraId="0EE8469A" w14:textId="7FB9584C" w:rsidR="001B4796" w:rsidRPr="00073574" w:rsidRDefault="426C51CC" w:rsidP="634A3A28">
            <w:pPr>
              <w:pStyle w:val="ListParagraph"/>
              <w:numPr>
                <w:ilvl w:val="0"/>
                <w:numId w:val="29"/>
              </w:numPr>
              <w:ind w:left="357" w:hanging="357"/>
              <w:contextualSpacing w:val="0"/>
            </w:pPr>
            <w:r w:rsidRPr="00073574">
              <w:t>SG15 is collaborating with IEC on optical fibres and smart grid.</w:t>
            </w:r>
          </w:p>
          <w:p w14:paraId="3821546F" w14:textId="287536D9" w:rsidR="000D47EF" w:rsidRPr="00073574" w:rsidRDefault="094E6A64" w:rsidP="634A3A28">
            <w:pPr>
              <w:pStyle w:val="ListParagraph"/>
              <w:numPr>
                <w:ilvl w:val="0"/>
                <w:numId w:val="29"/>
              </w:numPr>
              <w:contextualSpacing w:val="0"/>
            </w:pPr>
            <w:r w:rsidRPr="00073574">
              <w:t>SG16 continues to collaborate</w:t>
            </w:r>
            <w:r w:rsidR="00F84E07" w:rsidRPr="00073574">
              <w:t>, also through its Focus Groups (FG-VM and FG-AI4AD)</w:t>
            </w:r>
            <w:r w:rsidRPr="00073574">
              <w:t xml:space="preserve"> with ISO TCs, IEC TCs and ISO/IEC JTC 1/SCs on work items of common interest.</w:t>
            </w:r>
          </w:p>
          <w:p w14:paraId="236A084E" w14:textId="2BA6C6B2" w:rsidR="00F0236A" w:rsidRPr="00073574" w:rsidRDefault="00F0236A" w:rsidP="634A3A28">
            <w:pPr>
              <w:pStyle w:val="ListParagraph"/>
              <w:numPr>
                <w:ilvl w:val="0"/>
                <w:numId w:val="29"/>
              </w:numPr>
              <w:ind w:left="357" w:hanging="357"/>
              <w:contextualSpacing w:val="0"/>
            </w:pPr>
            <w:r w:rsidRPr="00073574">
              <w:t>SG17 continues to work jointly with several ISO TCs, IEC TCs and ISO/IEC JTC 1/SCs on work items of common interest.</w:t>
            </w:r>
          </w:p>
          <w:p w14:paraId="35CD55B4" w14:textId="4D34DD68" w:rsidR="00F0236A" w:rsidRPr="00073574" w:rsidRDefault="00F0236A" w:rsidP="002E241A">
            <w:pPr>
              <w:pStyle w:val="ListParagraph"/>
              <w:numPr>
                <w:ilvl w:val="0"/>
                <w:numId w:val="29"/>
              </w:numPr>
              <w:ind w:left="357" w:hanging="357"/>
              <w:contextualSpacing w:val="0"/>
            </w:pPr>
            <w:r w:rsidRPr="00073574">
              <w:t xml:space="preserve">The mapping of SG17 Questions with TC or SC in IEC, ISO or ISO/IEC JTC 1 </w:t>
            </w:r>
            <w:r w:rsidR="697F6F33" w:rsidRPr="00073574">
              <w:t xml:space="preserve">are </w:t>
            </w:r>
            <w:r w:rsidR="2D5C1E14" w:rsidRPr="00073574">
              <w:t>p</w:t>
            </w:r>
            <w:r w:rsidR="697F6F33" w:rsidRPr="00073574">
              <w:t>eriodically</w:t>
            </w:r>
            <w:r w:rsidRPr="00073574">
              <w:t xml:space="preserve"> updated at </w:t>
            </w:r>
            <w:r w:rsidR="697F6F33" w:rsidRPr="00073574">
              <w:t xml:space="preserve">each </w:t>
            </w:r>
            <w:r w:rsidRPr="00073574">
              <w:t>SG17 meeting.</w:t>
            </w:r>
          </w:p>
          <w:p w14:paraId="215DAB2A" w14:textId="529D94CE" w:rsidR="00F0236A" w:rsidRPr="00073574" w:rsidRDefault="00F0236A" w:rsidP="634A3A28">
            <w:pPr>
              <w:pStyle w:val="ListParagraph"/>
              <w:numPr>
                <w:ilvl w:val="0"/>
                <w:numId w:val="29"/>
              </w:numPr>
              <w:contextualSpacing w:val="0"/>
              <w:rPr>
                <w:sz w:val="24"/>
              </w:rPr>
            </w:pPr>
            <w:r w:rsidRPr="00073574">
              <w:t>SG20 continues to work jointly with ISO/IEC JTC1/</w:t>
            </w:r>
            <w:r w:rsidR="7A5820FC" w:rsidRPr="00073574">
              <w:t>SC41</w:t>
            </w:r>
            <w:r w:rsidRPr="00073574">
              <w:t xml:space="preserve"> on work items of common interest.</w:t>
            </w:r>
          </w:p>
          <w:p w14:paraId="02735EF1" w14:textId="2CC834DE" w:rsidR="00416D03" w:rsidRPr="00073574" w:rsidRDefault="00416D03" w:rsidP="634A3A28">
            <w:pPr>
              <w:pStyle w:val="ListParagraph"/>
              <w:numPr>
                <w:ilvl w:val="0"/>
                <w:numId w:val="29"/>
              </w:numPr>
              <w:spacing w:after="40"/>
              <w:ind w:left="357" w:hanging="357"/>
              <w:contextualSpacing w:val="0"/>
              <w:rPr>
                <w:rFonts w:eastAsia="Times New Roman"/>
              </w:rPr>
            </w:pPr>
            <w:r w:rsidRPr="00073574">
              <w:rPr>
                <w:rFonts w:eastAsia="Times New Roman"/>
              </w:rPr>
              <w:t xml:space="preserve">SG20 is collaborating with ISO and IEC through the </w:t>
            </w:r>
            <w:r w:rsidRPr="00073574">
              <w:t>Joint IEC-ISO-ITU Smart Cities Task Force (J SCTF).</w:t>
            </w:r>
          </w:p>
          <w:p w14:paraId="217C3CC2" w14:textId="19659DBC" w:rsidR="00F0236A" w:rsidRPr="00073574" w:rsidRDefault="00F0236A" w:rsidP="634A3A28">
            <w:pPr>
              <w:pStyle w:val="ListParagraph"/>
              <w:numPr>
                <w:ilvl w:val="0"/>
                <w:numId w:val="29"/>
              </w:numPr>
              <w:spacing w:after="40"/>
              <w:ind w:left="357" w:hanging="357"/>
              <w:contextualSpacing w:val="0"/>
              <w:rPr>
                <w:rFonts w:eastAsia="Times New Roman"/>
                <w:u w:val="single"/>
              </w:rPr>
            </w:pPr>
            <w:r w:rsidRPr="00073574">
              <w:t xml:space="preserve">The JCA-IoT and SC&amp;C maintains the IoT and SC&amp;C standards roadmap </w:t>
            </w:r>
            <w:hyperlink r:id="rId153" w:anchor="?topic=0.78&amp;workgroup=1&amp;searchValue=&amp;page=1&amp;sort=Revelance">
              <w:r w:rsidRPr="00073574">
                <w:rPr>
                  <w:rStyle w:val="Hyperlink"/>
                </w:rPr>
                <w:t>online</w:t>
              </w:r>
            </w:hyperlink>
            <w:r w:rsidRPr="00073574">
              <w:t>.</w:t>
            </w:r>
            <w:r w:rsidR="6E0F4AF6" w:rsidRPr="00073574">
              <w:rPr>
                <w:rFonts w:eastAsia="Times New Roman"/>
              </w:rPr>
              <w:t xml:space="preserve"> The JCA IoT and SC&amp;C standards roadmap has also been published as </w:t>
            </w:r>
            <w:hyperlink r:id="rId154">
              <w:r w:rsidR="6E0F4AF6" w:rsidRPr="00073574">
                <w:rPr>
                  <w:rStyle w:val="Hyperlink"/>
                  <w:rFonts w:eastAsia="Times New Roman"/>
                </w:rPr>
                <w:t>Supplement ITU-T Y.Suppl.58</w:t>
              </w:r>
            </w:hyperlink>
            <w:r w:rsidR="6E0F4AF6" w:rsidRPr="00073574">
              <w:rPr>
                <w:rFonts w:eastAsia="Times New Roman"/>
                <w:color w:val="008080"/>
                <w:u w:val="single"/>
              </w:rPr>
              <w:t xml:space="preserve">: </w:t>
            </w:r>
            <w:r w:rsidR="6E0F4AF6" w:rsidRPr="00073574">
              <w:rPr>
                <w:rFonts w:eastAsia="Times New Roman"/>
              </w:rPr>
              <w:t>Internet of Things and smart cities and communities standards roadmap.</w:t>
            </w:r>
          </w:p>
        </w:tc>
      </w:tr>
      <w:tr w:rsidR="00F0236A" w:rsidRPr="00073574" w14:paraId="4A3DE866" w14:textId="77777777" w:rsidTr="634A3A28">
        <w:trPr>
          <w:jc w:val="center"/>
        </w:trPr>
        <w:tc>
          <w:tcPr>
            <w:tcW w:w="912" w:type="dxa"/>
            <w:vMerge w:val="restart"/>
            <w:tcBorders>
              <w:top w:val="single" w:sz="12" w:space="0" w:color="auto"/>
            </w:tcBorders>
            <w:shd w:val="clear" w:color="auto" w:fill="auto"/>
          </w:tcPr>
          <w:p w14:paraId="735EF037" w14:textId="77777777" w:rsidR="00F0236A" w:rsidRPr="00073574" w:rsidRDefault="00F0236A" w:rsidP="00B22A1A">
            <w:pPr>
              <w:pStyle w:val="Tabletext"/>
              <w:keepNext/>
              <w:keepLines/>
              <w:rPr>
                <w:b/>
                <w:bCs/>
                <w:sz w:val="24"/>
                <w:szCs w:val="24"/>
              </w:rPr>
            </w:pPr>
            <w:r w:rsidRPr="00073574">
              <w:rPr>
                <w:b/>
                <w:bCs/>
                <w:sz w:val="24"/>
                <w:szCs w:val="24"/>
              </w:rPr>
              <w:t>07-05</w:t>
            </w:r>
          </w:p>
        </w:tc>
        <w:tc>
          <w:tcPr>
            <w:tcW w:w="4564" w:type="dxa"/>
            <w:tcBorders>
              <w:top w:val="single" w:sz="12" w:space="0" w:color="auto"/>
            </w:tcBorders>
            <w:shd w:val="clear" w:color="auto" w:fill="auto"/>
          </w:tcPr>
          <w:p w14:paraId="1C326438" w14:textId="77777777" w:rsidR="00F0236A" w:rsidRPr="00073574" w:rsidRDefault="00F0236A" w:rsidP="00DF36E1">
            <w:pPr>
              <w:pStyle w:val="Tabletext"/>
              <w:rPr>
                <w:b/>
                <w:bCs/>
                <w:sz w:val="24"/>
                <w:szCs w:val="24"/>
              </w:rPr>
            </w:pPr>
            <w:r w:rsidRPr="00073574">
              <w:rPr>
                <w:b/>
                <w:bCs/>
                <w:sz w:val="24"/>
                <w:szCs w:val="24"/>
              </w:rPr>
              <w:t>TSB Director to review the agreement between ISO/IEC and ITU</w:t>
            </w:r>
            <w:r w:rsidRPr="00073574">
              <w:rPr>
                <w:b/>
                <w:bCs/>
                <w:sz w:val="24"/>
                <w:szCs w:val="24"/>
              </w:rPr>
              <w:noBreakHyphen/>
              <w:t>T, with a view to exploring options for accessing and publishing common texts, including a possible unified approach (only upon request of a Member State) (resolves 3)</w:t>
            </w:r>
          </w:p>
        </w:tc>
        <w:tc>
          <w:tcPr>
            <w:tcW w:w="1886" w:type="dxa"/>
            <w:tcBorders>
              <w:top w:val="single" w:sz="12" w:space="0" w:color="auto"/>
            </w:tcBorders>
            <w:shd w:val="clear" w:color="auto" w:fill="auto"/>
            <w:vAlign w:val="center"/>
          </w:tcPr>
          <w:p w14:paraId="543B8418"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52" w:type="dxa"/>
            <w:tcBorders>
              <w:top w:val="single" w:sz="12" w:space="0" w:color="auto"/>
            </w:tcBorders>
            <w:shd w:val="clear" w:color="auto" w:fill="auto"/>
            <w:vAlign w:val="center"/>
          </w:tcPr>
          <w:p w14:paraId="0A477F10" w14:textId="73F95F5C" w:rsidR="00F0236A" w:rsidRPr="00073574" w:rsidDel="00593856" w:rsidRDefault="00315E88" w:rsidP="00DF36E1">
            <w:pPr>
              <w:pStyle w:val="Tabletext"/>
              <w:jc w:val="center"/>
              <w:rPr>
                <w:b/>
                <w:bCs/>
                <w:sz w:val="24"/>
                <w:szCs w:val="24"/>
              </w:rPr>
            </w:pPr>
            <w:r w:rsidRPr="00073574">
              <w:rPr>
                <w:b/>
                <w:bCs/>
                <w:sz w:val="24"/>
                <w:szCs w:val="24"/>
              </w:rPr>
              <w:t>√</w:t>
            </w:r>
          </w:p>
        </w:tc>
        <w:tc>
          <w:tcPr>
            <w:tcW w:w="1318" w:type="dxa"/>
            <w:tcBorders>
              <w:top w:val="single" w:sz="12" w:space="0" w:color="auto"/>
            </w:tcBorders>
            <w:shd w:val="clear" w:color="auto" w:fill="auto"/>
            <w:vAlign w:val="center"/>
          </w:tcPr>
          <w:p w14:paraId="73E24354" w14:textId="77777777" w:rsidR="00F0236A" w:rsidRPr="00073574" w:rsidRDefault="00F0236A" w:rsidP="00DF36E1">
            <w:pPr>
              <w:pStyle w:val="Tabletext"/>
              <w:jc w:val="center"/>
              <w:rPr>
                <w:b/>
                <w:bCs/>
                <w:sz w:val="24"/>
                <w:szCs w:val="24"/>
              </w:rPr>
            </w:pPr>
          </w:p>
        </w:tc>
      </w:tr>
      <w:tr w:rsidR="00F0236A" w:rsidRPr="00073574" w14:paraId="4F9861CC" w14:textId="77777777" w:rsidTr="634A3A28">
        <w:trPr>
          <w:jc w:val="center"/>
        </w:trPr>
        <w:tc>
          <w:tcPr>
            <w:tcW w:w="912" w:type="dxa"/>
            <w:vMerge/>
          </w:tcPr>
          <w:p w14:paraId="440966B3" w14:textId="77777777" w:rsidR="00F0236A" w:rsidRPr="00073574" w:rsidRDefault="00F0236A" w:rsidP="00DF36E1">
            <w:pPr>
              <w:pStyle w:val="Tabletext"/>
              <w:rPr>
                <w:sz w:val="24"/>
                <w:szCs w:val="24"/>
              </w:rPr>
            </w:pPr>
          </w:p>
        </w:tc>
        <w:tc>
          <w:tcPr>
            <w:tcW w:w="8920" w:type="dxa"/>
            <w:gridSpan w:val="4"/>
            <w:tcBorders>
              <w:bottom w:val="single" w:sz="12" w:space="0" w:color="auto"/>
            </w:tcBorders>
            <w:shd w:val="clear" w:color="auto" w:fill="auto"/>
          </w:tcPr>
          <w:p w14:paraId="37B5AC1B" w14:textId="6D75FA9B" w:rsidR="00F0236A" w:rsidRPr="00073574" w:rsidRDefault="00943C0B" w:rsidP="00DF36E1">
            <w:pPr>
              <w:pStyle w:val="Tabletext"/>
              <w:rPr>
                <w:szCs w:val="22"/>
              </w:rPr>
            </w:pPr>
            <w:r w:rsidRPr="00073574">
              <w:rPr>
                <w:szCs w:val="22"/>
              </w:rPr>
              <w:t>No such requests have been received</w:t>
            </w:r>
            <w:r w:rsidR="00315E88" w:rsidRPr="00073574">
              <w:rPr>
                <w:szCs w:val="22"/>
              </w:rPr>
              <w:t xml:space="preserve"> so far.</w:t>
            </w:r>
          </w:p>
        </w:tc>
      </w:tr>
      <w:tr w:rsidR="00F0236A" w:rsidRPr="00073574" w14:paraId="3A72F1C4" w14:textId="77777777" w:rsidTr="634A3A28">
        <w:trPr>
          <w:jc w:val="center"/>
        </w:trPr>
        <w:tc>
          <w:tcPr>
            <w:tcW w:w="912" w:type="dxa"/>
            <w:vMerge w:val="restart"/>
            <w:tcBorders>
              <w:top w:val="single" w:sz="12" w:space="0" w:color="auto"/>
            </w:tcBorders>
            <w:shd w:val="clear" w:color="auto" w:fill="auto"/>
          </w:tcPr>
          <w:p w14:paraId="23ECAEB8" w14:textId="77777777" w:rsidR="00F0236A" w:rsidRPr="00073574" w:rsidRDefault="00F0236A" w:rsidP="00B425ED">
            <w:pPr>
              <w:pStyle w:val="Tabletext"/>
              <w:keepNext/>
              <w:keepLines/>
              <w:rPr>
                <w:b/>
                <w:bCs/>
                <w:sz w:val="24"/>
                <w:szCs w:val="24"/>
              </w:rPr>
            </w:pPr>
            <w:r w:rsidRPr="00073574">
              <w:rPr>
                <w:b/>
                <w:bCs/>
                <w:sz w:val="24"/>
                <w:szCs w:val="24"/>
              </w:rPr>
              <w:lastRenderedPageBreak/>
              <w:t>07-06</w:t>
            </w:r>
          </w:p>
        </w:tc>
        <w:tc>
          <w:tcPr>
            <w:tcW w:w="4564" w:type="dxa"/>
            <w:tcBorders>
              <w:top w:val="single" w:sz="12" w:space="0" w:color="auto"/>
            </w:tcBorders>
            <w:shd w:val="clear" w:color="auto" w:fill="auto"/>
          </w:tcPr>
          <w:p w14:paraId="49F799FE" w14:textId="744794C1" w:rsidR="00F0236A" w:rsidRPr="00073574" w:rsidRDefault="00F0236A" w:rsidP="00DF36E1">
            <w:pPr>
              <w:pStyle w:val="Tabletext"/>
              <w:rPr>
                <w:b/>
                <w:bCs/>
                <w:sz w:val="24"/>
                <w:szCs w:val="24"/>
              </w:rPr>
            </w:pPr>
            <w:r w:rsidRPr="00073574">
              <w:rPr>
                <w:b/>
                <w:bCs/>
                <w:sz w:val="24"/>
                <w:szCs w:val="24"/>
              </w:rPr>
              <w:t>TSB Director, the study groups and TSAG to consider and propose further improvements to the procedures for cooperation between ITU</w:t>
            </w:r>
            <w:r w:rsidR="00C11065" w:rsidRPr="00073574">
              <w:rPr>
                <w:b/>
                <w:bCs/>
                <w:sz w:val="24"/>
                <w:szCs w:val="24"/>
              </w:rPr>
              <w:t>-</w:t>
            </w:r>
            <w:r w:rsidRPr="00073574">
              <w:rPr>
                <w:b/>
                <w:bCs/>
                <w:sz w:val="24"/>
                <w:szCs w:val="24"/>
              </w:rPr>
              <w:t>T and ISO and IEC (resolves 5)</w:t>
            </w:r>
          </w:p>
        </w:tc>
        <w:tc>
          <w:tcPr>
            <w:tcW w:w="1886" w:type="dxa"/>
            <w:tcBorders>
              <w:top w:val="single" w:sz="12" w:space="0" w:color="auto"/>
            </w:tcBorders>
            <w:shd w:val="clear" w:color="auto" w:fill="auto"/>
            <w:vAlign w:val="center"/>
          </w:tcPr>
          <w:p w14:paraId="3ADB7440"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52" w:type="dxa"/>
            <w:tcBorders>
              <w:top w:val="single" w:sz="12" w:space="0" w:color="auto"/>
            </w:tcBorders>
            <w:shd w:val="clear" w:color="auto" w:fill="auto"/>
            <w:vAlign w:val="center"/>
          </w:tcPr>
          <w:p w14:paraId="10077FF6" w14:textId="77777777" w:rsidR="00F0236A" w:rsidRPr="00073574" w:rsidDel="00593856" w:rsidRDefault="00F0236A" w:rsidP="00DF36E1">
            <w:pPr>
              <w:pStyle w:val="Tabletext"/>
              <w:jc w:val="center"/>
              <w:rPr>
                <w:b/>
                <w:bCs/>
                <w:sz w:val="24"/>
                <w:szCs w:val="24"/>
              </w:rPr>
            </w:pPr>
            <w:r w:rsidRPr="00073574">
              <w:rPr>
                <w:b/>
                <w:bCs/>
                <w:sz w:val="24"/>
                <w:szCs w:val="24"/>
              </w:rPr>
              <w:t>√</w:t>
            </w:r>
          </w:p>
        </w:tc>
        <w:tc>
          <w:tcPr>
            <w:tcW w:w="1318" w:type="dxa"/>
            <w:tcBorders>
              <w:top w:val="single" w:sz="12" w:space="0" w:color="auto"/>
            </w:tcBorders>
            <w:shd w:val="clear" w:color="auto" w:fill="auto"/>
            <w:vAlign w:val="center"/>
          </w:tcPr>
          <w:p w14:paraId="0AC4C980" w14:textId="77777777" w:rsidR="00F0236A" w:rsidRPr="00073574" w:rsidRDefault="00F0236A" w:rsidP="00DF36E1">
            <w:pPr>
              <w:pStyle w:val="Tabletext"/>
              <w:jc w:val="center"/>
              <w:rPr>
                <w:b/>
                <w:bCs/>
                <w:sz w:val="24"/>
                <w:szCs w:val="24"/>
              </w:rPr>
            </w:pPr>
          </w:p>
        </w:tc>
      </w:tr>
      <w:tr w:rsidR="00F0236A" w:rsidRPr="00073574" w14:paraId="31DA2BAF" w14:textId="77777777" w:rsidTr="634A3A28">
        <w:trPr>
          <w:jc w:val="center"/>
        </w:trPr>
        <w:tc>
          <w:tcPr>
            <w:tcW w:w="912" w:type="dxa"/>
            <w:vMerge/>
          </w:tcPr>
          <w:p w14:paraId="66B1C3DE" w14:textId="77777777" w:rsidR="00F0236A" w:rsidRPr="00073574" w:rsidRDefault="00F0236A" w:rsidP="00DF36E1">
            <w:pPr>
              <w:pStyle w:val="Tabletext"/>
              <w:rPr>
                <w:sz w:val="24"/>
                <w:szCs w:val="24"/>
              </w:rPr>
            </w:pPr>
          </w:p>
        </w:tc>
        <w:tc>
          <w:tcPr>
            <w:tcW w:w="8920" w:type="dxa"/>
            <w:gridSpan w:val="4"/>
            <w:tcBorders>
              <w:bottom w:val="single" w:sz="12" w:space="0" w:color="auto"/>
            </w:tcBorders>
            <w:shd w:val="clear" w:color="auto" w:fill="auto"/>
          </w:tcPr>
          <w:p w14:paraId="25E3D541" w14:textId="3A2A06BB" w:rsidR="00F0236A" w:rsidRPr="00073574" w:rsidRDefault="00F0236A" w:rsidP="00DF36E1">
            <w:pPr>
              <w:pStyle w:val="Tabletext"/>
              <w:rPr>
                <w:szCs w:val="22"/>
              </w:rPr>
            </w:pPr>
            <w:r w:rsidRPr="00073574">
              <w:rPr>
                <w:szCs w:val="22"/>
              </w:rPr>
              <w:t>ITU-T, through TSAG members, participate</w:t>
            </w:r>
            <w:r w:rsidR="005D5DFD" w:rsidRPr="00073574">
              <w:rPr>
                <w:szCs w:val="22"/>
              </w:rPr>
              <w:t>d</w:t>
            </w:r>
            <w:r w:rsidRPr="00073574">
              <w:rPr>
                <w:szCs w:val="22"/>
              </w:rPr>
              <w:t xml:space="preserve"> in the ISO/IEC/ITU Joint Task Force on effective collaboration (JTFEC) </w:t>
            </w:r>
            <w:r w:rsidR="005D5DFD" w:rsidRPr="00073574">
              <w:rPr>
                <w:szCs w:val="22"/>
              </w:rPr>
              <w:t>wa</w:t>
            </w:r>
            <w:r w:rsidRPr="00073574">
              <w:rPr>
                <w:szCs w:val="22"/>
              </w:rPr>
              <w:t>s to develop proposals for increased collaboration with IEC and ITU. Two meetings took place. An understanding was accomplished with a mapping of barriers / opportunities for cooperation, and associated actions. Two sub groups were created on Joint IEC/ISO/ITU communication, and on Coordinated organization of standardization work in the future.</w:t>
            </w:r>
            <w:r w:rsidR="008D190A" w:rsidRPr="00073574">
              <w:rPr>
                <w:szCs w:val="22"/>
              </w:rPr>
              <w:t xml:space="preserve"> ITU-T TSAG, IEC SMB, and ISO TMB each approved the creation of an IEC SMB/ISO TMB/ITU-T TSAG Standardization Programme Coordination Group (SP</w:t>
            </w:r>
            <w:r w:rsidR="0063745D" w:rsidRPr="00073574">
              <w:rPr>
                <w:szCs w:val="22"/>
              </w:rPr>
              <w:t>C</w:t>
            </w:r>
            <w:r w:rsidR="008D190A" w:rsidRPr="00073574">
              <w:rPr>
                <w:szCs w:val="22"/>
              </w:rPr>
              <w:t>G)</w:t>
            </w:r>
            <w:r w:rsidR="00AE0997" w:rsidRPr="00073574">
              <w:rPr>
                <w:szCs w:val="22"/>
              </w:rPr>
              <w:t xml:space="preserve"> for strategic coordination of future standardization work, coordination of existing standardization work, short-term related tasks identified by the SPCG and approved by the technical boards of IEC, ISO and ITU-T</w:t>
            </w:r>
            <w:r w:rsidR="008D190A" w:rsidRPr="00073574">
              <w:rPr>
                <w:szCs w:val="22"/>
              </w:rPr>
              <w:t xml:space="preserve">, and </w:t>
            </w:r>
            <w:r w:rsidR="00AE0997" w:rsidRPr="00073574">
              <w:rPr>
                <w:szCs w:val="22"/>
              </w:rPr>
              <w:t xml:space="preserve">approved </w:t>
            </w:r>
            <w:r w:rsidR="008D190A" w:rsidRPr="00073574">
              <w:rPr>
                <w:szCs w:val="22"/>
              </w:rPr>
              <w:t>a communication statement.</w:t>
            </w:r>
          </w:p>
          <w:p w14:paraId="56240AFB" w14:textId="280303A9" w:rsidR="00C20C21" w:rsidRPr="00073574" w:rsidRDefault="27606FE6" w:rsidP="00C20C21">
            <w:r w:rsidRPr="00073574">
              <w:t xml:space="preserve">During the ITU-T SG20 </w:t>
            </w:r>
            <w:r w:rsidR="00F112B1" w:rsidRPr="00073574">
              <w:t>meeting</w:t>
            </w:r>
            <w:r w:rsidR="67246E30" w:rsidRPr="00073574">
              <w:t xml:space="preserve"> in April 2019</w:t>
            </w:r>
            <w:r w:rsidRPr="00073574">
              <w:t>, the proposed ToR of the Joint IEC-ISO-ITU Smart Cities Task Force (J-SCTF) were revised</w:t>
            </w:r>
            <w:r w:rsidR="00446FA0">
              <w:t>,</w:t>
            </w:r>
            <w:r w:rsidRPr="00073574">
              <w:t xml:space="preserve"> and it was agreed to submit the final version to the TSB Director for action and to TSAG for information. The revised ToR are contained in TD1301-R1. T</w:t>
            </w:r>
            <w:r w:rsidR="035A1CE8" w:rsidRPr="00073574">
              <w:t>he objective</w:t>
            </w:r>
            <w:r w:rsidRPr="00073574">
              <w:t xml:space="preserve"> of this task force is</w:t>
            </w:r>
            <w:r w:rsidR="035A1CE8" w:rsidRPr="00073574">
              <w:t xml:space="preserve"> to build synergies and to promote minimization of overlap as applicable on ongoing works in ITU-T, IEC and ISO related to smart cities and communities; to maximize efforts in order to identify new areas of cooperation related to smart cities and communities; to develop an holistic view on smart cities and communities taking into consideration the scope, areas of work and expertise of ITU-T, IEC and ISO to support smart cities and communities development; and to prioritize future items that may arise from future World Smart City Forum (WSCF).</w:t>
            </w:r>
            <w:r w:rsidR="10168A37" w:rsidRPr="00073574">
              <w:t xml:space="preserve"> During the 22</w:t>
            </w:r>
            <w:r w:rsidR="00D73EE2" w:rsidRPr="00073574">
              <w:t>nd</w:t>
            </w:r>
            <w:r w:rsidR="10168A37" w:rsidRPr="00073574">
              <w:t xml:space="preserve"> JCA-IoT and SC&amp;C meeting held on 28 November 2019 in Geneva, TSB secretariat reported on the creation of the Joint IEC-ISO-ITU Smart Cities Task Force (J-SCTF)</w:t>
            </w:r>
            <w:r w:rsidR="10168A37" w:rsidRPr="00073574">
              <w:rPr>
                <w:lang w:eastAsia="zh-CN"/>
              </w:rPr>
              <w:t xml:space="preserve">. TSB also informed that </w:t>
            </w:r>
            <w:r w:rsidR="10168A37" w:rsidRPr="00073574">
              <w:t>IEC, ISO and ITU were requested to designate a leader and experts to represent each corresponding organization. In this regard, ITU-T SG20 designated a leader and a group of experts to represent ITU at this group.</w:t>
            </w:r>
          </w:p>
          <w:p w14:paraId="4AC51CE8" w14:textId="00AB6AEB" w:rsidR="00E24782" w:rsidRPr="00073574" w:rsidRDefault="00E24782" w:rsidP="00E24782">
            <w:r w:rsidRPr="00073574">
              <w:t>The J-SCTF organized on 26 June 2021 a Forum on “Strengthening IEC, ISO and ITU collaboration for Smart Cities”.</w:t>
            </w:r>
          </w:p>
          <w:p w14:paraId="166901A2" w14:textId="16B03F71" w:rsidR="00606601" w:rsidRPr="00073574" w:rsidRDefault="00606601" w:rsidP="00C20C21">
            <w:r w:rsidRPr="00073574">
              <w:t>TSAG started works on a proposed new Appendix to Recommendation ITU-T A.23, and is consulting with the SPCG and ISO/IEC JTC 1 secretariat.</w:t>
            </w:r>
          </w:p>
          <w:p w14:paraId="4CB4096B" w14:textId="52963508" w:rsidR="009259AE" w:rsidRPr="00073574" w:rsidRDefault="009259AE" w:rsidP="00B70D91">
            <w:pPr>
              <w:spacing w:before="240" w:after="40"/>
            </w:pPr>
            <w:r w:rsidRPr="00073574">
              <w:t>Despite a good working level relationship with ISO/TC 307, the lack of a standardized mechanism/guide for cooperation between ITU-T and ISO Technical Committees (similar to Recommendation ITU-T A.23 Annex A) was highlighted by delegates of FG</w:t>
            </w:r>
            <w:r w:rsidR="00A700E5" w:rsidRPr="00073574">
              <w:t>-</w:t>
            </w:r>
            <w:r w:rsidRPr="00073574">
              <w:t>DLT (see FG</w:t>
            </w:r>
            <w:r w:rsidR="00A700E5" w:rsidRPr="00073574">
              <w:t>-</w:t>
            </w:r>
            <w:r w:rsidRPr="00073574">
              <w:t>DLT status report), however, this issue was considered outside the scope of the Focus Group.</w:t>
            </w:r>
          </w:p>
        </w:tc>
      </w:tr>
      <w:tr w:rsidR="00F0236A" w:rsidRPr="00073574" w14:paraId="6F3E9134" w14:textId="77777777" w:rsidTr="634A3A28">
        <w:trPr>
          <w:jc w:val="center"/>
        </w:trPr>
        <w:tc>
          <w:tcPr>
            <w:tcW w:w="912" w:type="dxa"/>
            <w:vMerge w:val="restart"/>
            <w:tcBorders>
              <w:top w:val="single" w:sz="12" w:space="0" w:color="auto"/>
            </w:tcBorders>
            <w:shd w:val="clear" w:color="auto" w:fill="auto"/>
          </w:tcPr>
          <w:p w14:paraId="19CA9BF0" w14:textId="77777777" w:rsidR="00F0236A" w:rsidRPr="00073574" w:rsidRDefault="00F0236A" w:rsidP="0088209D">
            <w:pPr>
              <w:pStyle w:val="Tabletext"/>
              <w:keepNext/>
              <w:keepLines/>
              <w:rPr>
                <w:b/>
                <w:bCs/>
                <w:sz w:val="24"/>
                <w:szCs w:val="24"/>
              </w:rPr>
            </w:pPr>
            <w:r w:rsidRPr="00073574">
              <w:rPr>
                <w:b/>
                <w:bCs/>
                <w:sz w:val="24"/>
                <w:szCs w:val="24"/>
              </w:rPr>
              <w:t>07-07</w:t>
            </w:r>
          </w:p>
        </w:tc>
        <w:tc>
          <w:tcPr>
            <w:tcW w:w="4564" w:type="dxa"/>
            <w:tcBorders>
              <w:top w:val="single" w:sz="12" w:space="0" w:color="auto"/>
            </w:tcBorders>
            <w:shd w:val="clear" w:color="auto" w:fill="auto"/>
          </w:tcPr>
          <w:p w14:paraId="0CCD04FB" w14:textId="77777777" w:rsidR="00F0236A" w:rsidRPr="00073574" w:rsidRDefault="00F0236A" w:rsidP="00DF36E1">
            <w:pPr>
              <w:pStyle w:val="Tabletext"/>
              <w:rPr>
                <w:b/>
                <w:bCs/>
                <w:sz w:val="24"/>
                <w:szCs w:val="24"/>
              </w:rPr>
            </w:pPr>
            <w:r w:rsidRPr="00073574">
              <w:rPr>
                <w:b/>
                <w:bCs/>
                <w:sz w:val="24"/>
                <w:szCs w:val="24"/>
              </w:rPr>
              <w:t>TSB to establish/maintain the necessary contacts with ISO and/or IEC should be at the appropriate levels and coordination methods should be mutually agreed and regular coordination events arranged (resolves 6)</w:t>
            </w:r>
          </w:p>
        </w:tc>
        <w:tc>
          <w:tcPr>
            <w:tcW w:w="1886" w:type="dxa"/>
            <w:tcBorders>
              <w:top w:val="single" w:sz="12" w:space="0" w:color="auto"/>
            </w:tcBorders>
            <w:shd w:val="clear" w:color="auto" w:fill="auto"/>
            <w:vAlign w:val="center"/>
          </w:tcPr>
          <w:p w14:paraId="3044CCE7"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52" w:type="dxa"/>
            <w:tcBorders>
              <w:top w:val="single" w:sz="12" w:space="0" w:color="auto"/>
            </w:tcBorders>
            <w:shd w:val="clear" w:color="auto" w:fill="auto"/>
            <w:vAlign w:val="center"/>
          </w:tcPr>
          <w:p w14:paraId="5A758AD7" w14:textId="77777777" w:rsidR="00F0236A" w:rsidRPr="00073574" w:rsidDel="00593856" w:rsidRDefault="00F0236A" w:rsidP="00DF36E1">
            <w:pPr>
              <w:pStyle w:val="Tabletext"/>
              <w:jc w:val="center"/>
              <w:rPr>
                <w:b/>
                <w:bCs/>
                <w:sz w:val="24"/>
                <w:szCs w:val="24"/>
              </w:rPr>
            </w:pPr>
            <w:r w:rsidRPr="00073574">
              <w:rPr>
                <w:b/>
                <w:bCs/>
                <w:sz w:val="24"/>
                <w:szCs w:val="24"/>
              </w:rPr>
              <w:t>√</w:t>
            </w:r>
          </w:p>
        </w:tc>
        <w:tc>
          <w:tcPr>
            <w:tcW w:w="1318" w:type="dxa"/>
            <w:tcBorders>
              <w:top w:val="single" w:sz="12" w:space="0" w:color="auto"/>
            </w:tcBorders>
            <w:shd w:val="clear" w:color="auto" w:fill="auto"/>
            <w:vAlign w:val="center"/>
          </w:tcPr>
          <w:p w14:paraId="6A5C3A89" w14:textId="77777777" w:rsidR="00F0236A" w:rsidRPr="00073574" w:rsidRDefault="00F0236A" w:rsidP="00DF36E1">
            <w:pPr>
              <w:pStyle w:val="Tabletext"/>
              <w:jc w:val="center"/>
              <w:rPr>
                <w:b/>
                <w:bCs/>
                <w:sz w:val="24"/>
                <w:szCs w:val="24"/>
              </w:rPr>
            </w:pPr>
          </w:p>
        </w:tc>
      </w:tr>
      <w:tr w:rsidR="00F0236A" w:rsidRPr="00073574" w14:paraId="7D0DFD9B" w14:textId="77777777" w:rsidTr="634A3A28">
        <w:trPr>
          <w:jc w:val="center"/>
        </w:trPr>
        <w:tc>
          <w:tcPr>
            <w:tcW w:w="912" w:type="dxa"/>
            <w:vMerge/>
          </w:tcPr>
          <w:p w14:paraId="4E556642" w14:textId="77777777" w:rsidR="00F0236A" w:rsidRPr="00073574" w:rsidRDefault="00F0236A" w:rsidP="00DF36E1">
            <w:pPr>
              <w:pStyle w:val="Tabletext"/>
              <w:rPr>
                <w:sz w:val="24"/>
                <w:szCs w:val="24"/>
              </w:rPr>
            </w:pPr>
          </w:p>
        </w:tc>
        <w:tc>
          <w:tcPr>
            <w:tcW w:w="8920" w:type="dxa"/>
            <w:gridSpan w:val="4"/>
            <w:shd w:val="clear" w:color="auto" w:fill="auto"/>
          </w:tcPr>
          <w:p w14:paraId="4FE6177D" w14:textId="77777777" w:rsidR="00F0236A" w:rsidRPr="00073574" w:rsidRDefault="00DF36E1" w:rsidP="00DF36E1">
            <w:pPr>
              <w:pStyle w:val="Tabletext"/>
              <w:rPr>
                <w:szCs w:val="22"/>
              </w:rPr>
            </w:pPr>
            <w:r w:rsidRPr="00073574">
              <w:rPr>
                <w:szCs w:val="22"/>
              </w:rPr>
              <w:t>World Standards Collaboration (</w:t>
            </w:r>
            <w:r w:rsidR="00F0236A" w:rsidRPr="00073574">
              <w:rPr>
                <w:szCs w:val="22"/>
              </w:rPr>
              <w:t>WSC</w:t>
            </w:r>
            <w:r w:rsidRPr="00073574">
              <w:rPr>
                <w:szCs w:val="22"/>
              </w:rPr>
              <w:t>)</w:t>
            </w:r>
            <w:r w:rsidR="00F0236A" w:rsidRPr="00073574">
              <w:rPr>
                <w:szCs w:val="22"/>
              </w:rPr>
              <w:t xml:space="preserve"> meetings and regular meetings of the ISO/IEC/ITU/UNECE MoU/MG on e-busine</w:t>
            </w:r>
            <w:r w:rsidRPr="00073574">
              <w:rPr>
                <w:szCs w:val="22"/>
              </w:rPr>
              <w:t>s</w:t>
            </w:r>
            <w:r w:rsidR="00F0236A" w:rsidRPr="00073574">
              <w:rPr>
                <w:szCs w:val="22"/>
              </w:rPr>
              <w:t>s facilitate coordination. A lia</w:t>
            </w:r>
            <w:r w:rsidRPr="00073574">
              <w:rPr>
                <w:szCs w:val="22"/>
              </w:rPr>
              <w:t>i</w:t>
            </w:r>
            <w:r w:rsidR="00F0236A" w:rsidRPr="00073574">
              <w:rPr>
                <w:szCs w:val="22"/>
              </w:rPr>
              <w:t>son officer is appointed from TSAG to ISO/IEC JTC 1.</w:t>
            </w:r>
          </w:p>
          <w:p w14:paraId="1ACB2EFC" w14:textId="56F58055" w:rsidR="00896348" w:rsidRPr="00073574" w:rsidRDefault="00896348" w:rsidP="003A5BC1">
            <w:pPr>
              <w:pStyle w:val="Tabletext"/>
              <w:rPr>
                <w:szCs w:val="22"/>
              </w:rPr>
            </w:pPr>
            <w:r w:rsidRPr="00073574">
              <w:rPr>
                <w:szCs w:val="22"/>
              </w:rPr>
              <w:lastRenderedPageBreak/>
              <w:t>ITU-T TSAG, IEC SMB, and ISO TMB each approved the creation of an IEC SMB/ISO TMB/ITU-T TSAG Standardization Programme Coordination Group (SP</w:t>
            </w:r>
            <w:r w:rsidR="003A5BC1" w:rsidRPr="00073574">
              <w:rPr>
                <w:szCs w:val="22"/>
              </w:rPr>
              <w:t>C</w:t>
            </w:r>
            <w:r w:rsidRPr="00073574">
              <w:rPr>
                <w:szCs w:val="22"/>
              </w:rPr>
              <w:t>G)</w:t>
            </w:r>
            <w:r w:rsidR="00AE0997" w:rsidRPr="00073574">
              <w:rPr>
                <w:szCs w:val="22"/>
              </w:rPr>
              <w:t xml:space="preserve"> for strategic coordination of future standardization work, coordination of existing standardization work, short-term related tasks identified by the SPCG and approved by the technical boards of IEC, ISO and ITU-T</w:t>
            </w:r>
            <w:r w:rsidRPr="00073574">
              <w:rPr>
                <w:szCs w:val="22"/>
              </w:rPr>
              <w:t xml:space="preserve">, and </w:t>
            </w:r>
            <w:r w:rsidR="00AE0997" w:rsidRPr="00073574">
              <w:rPr>
                <w:szCs w:val="22"/>
              </w:rPr>
              <w:t xml:space="preserve">approved </w:t>
            </w:r>
            <w:r w:rsidRPr="00073574">
              <w:rPr>
                <w:szCs w:val="22"/>
              </w:rPr>
              <w:t>a communication statement.</w:t>
            </w:r>
          </w:p>
          <w:p w14:paraId="170152D7" w14:textId="027E8BC0" w:rsidR="00103C8C" w:rsidRPr="00073574" w:rsidRDefault="00103C8C" w:rsidP="00293541">
            <w:pPr>
              <w:pStyle w:val="Tabletext"/>
              <w:rPr>
                <w:szCs w:val="22"/>
              </w:rPr>
            </w:pPr>
            <w:r w:rsidRPr="00073574">
              <w:rPr>
                <w:szCs w:val="22"/>
              </w:rPr>
              <w:t xml:space="preserve">During the ITU-T SG20 </w:t>
            </w:r>
            <w:r w:rsidR="00F112B1" w:rsidRPr="00073574">
              <w:rPr>
                <w:szCs w:val="22"/>
              </w:rPr>
              <w:t>meeting</w:t>
            </w:r>
            <w:r w:rsidR="0070276A" w:rsidRPr="00073574">
              <w:rPr>
                <w:szCs w:val="22"/>
              </w:rPr>
              <w:t xml:space="preserve"> in April 2019</w:t>
            </w:r>
            <w:r w:rsidRPr="00073574">
              <w:rPr>
                <w:szCs w:val="22"/>
              </w:rPr>
              <w:t>, the proposed ToR of the Joint IEC-ISO-ITU Smart Cities Task Force (J-SCTF) were revised</w:t>
            </w:r>
            <w:r w:rsidR="00446FA0">
              <w:rPr>
                <w:szCs w:val="22"/>
              </w:rPr>
              <w:t>,</w:t>
            </w:r>
            <w:r w:rsidRPr="00073574">
              <w:rPr>
                <w:szCs w:val="22"/>
              </w:rPr>
              <w:t xml:space="preserve"> and it was agreed to submit the final version to the TSB Director for action and to TSAG for information. The revised ToR are contained in </w:t>
            </w:r>
            <w:r w:rsidR="00926A5E" w:rsidRPr="00073574">
              <w:rPr>
                <w:szCs w:val="22"/>
              </w:rPr>
              <w:t>SG20-</w:t>
            </w:r>
            <w:r w:rsidRPr="00073574">
              <w:rPr>
                <w:szCs w:val="22"/>
              </w:rPr>
              <w:t>TD1301-R1.</w:t>
            </w:r>
          </w:p>
          <w:p w14:paraId="3D40E13F" w14:textId="1D242E3C" w:rsidR="00293541" w:rsidRPr="00073574" w:rsidRDefault="00103C8C" w:rsidP="00103C8C">
            <w:pPr>
              <w:pStyle w:val="Tabletext"/>
              <w:rPr>
                <w:szCs w:val="22"/>
              </w:rPr>
            </w:pPr>
            <w:r w:rsidRPr="00073574">
              <w:rPr>
                <w:szCs w:val="22"/>
              </w:rPr>
              <w:t>T</w:t>
            </w:r>
            <w:r w:rsidR="00293541" w:rsidRPr="00073574">
              <w:rPr>
                <w:szCs w:val="22"/>
              </w:rPr>
              <w:t>he objective</w:t>
            </w:r>
            <w:r w:rsidRPr="00073574">
              <w:rPr>
                <w:szCs w:val="22"/>
              </w:rPr>
              <w:t xml:space="preserve"> of this task force is</w:t>
            </w:r>
            <w:r w:rsidR="00293541" w:rsidRPr="00073574">
              <w:rPr>
                <w:szCs w:val="22"/>
              </w:rPr>
              <w:t xml:space="preserve"> to build synergies and to promote minimization of overlap as applicable on ongoing works in ITU-T, IEC and ISO related to smart cities and communities; to maximize efforts in order to identify new areas of cooperation related to smart cities and communities; to develop an holistic view on smart cities and communities taking into consideration the scope, areas of work and expertise of ITU-T, IEC and ISO to support smart cities and communities development; and to prioritize future items that may arise from future World Smart City Forum (WSCF).</w:t>
            </w:r>
          </w:p>
        </w:tc>
      </w:tr>
      <w:tr w:rsidR="00F0236A" w:rsidRPr="00073574" w14:paraId="22CA6BEE" w14:textId="77777777" w:rsidTr="634A3A28">
        <w:trPr>
          <w:jc w:val="center"/>
        </w:trPr>
        <w:tc>
          <w:tcPr>
            <w:tcW w:w="912" w:type="dxa"/>
            <w:vMerge w:val="restart"/>
            <w:tcBorders>
              <w:top w:val="single" w:sz="12" w:space="0" w:color="auto"/>
            </w:tcBorders>
            <w:shd w:val="clear" w:color="auto" w:fill="auto"/>
          </w:tcPr>
          <w:p w14:paraId="1CC72DB4" w14:textId="77777777" w:rsidR="00F0236A" w:rsidRPr="00073574" w:rsidRDefault="00F0236A" w:rsidP="00DF36E1">
            <w:pPr>
              <w:pStyle w:val="Tabletext"/>
              <w:keepNext/>
              <w:keepLines/>
              <w:rPr>
                <w:b/>
                <w:bCs/>
                <w:sz w:val="24"/>
                <w:szCs w:val="24"/>
              </w:rPr>
            </w:pPr>
            <w:r w:rsidRPr="00073574">
              <w:rPr>
                <w:b/>
                <w:bCs/>
                <w:sz w:val="24"/>
                <w:szCs w:val="24"/>
              </w:rPr>
              <w:lastRenderedPageBreak/>
              <w:t>07-08</w:t>
            </w:r>
          </w:p>
        </w:tc>
        <w:tc>
          <w:tcPr>
            <w:tcW w:w="4564" w:type="dxa"/>
            <w:tcBorders>
              <w:top w:val="single" w:sz="12" w:space="0" w:color="auto"/>
            </w:tcBorders>
            <w:shd w:val="clear" w:color="auto" w:fill="auto"/>
          </w:tcPr>
          <w:p w14:paraId="203118C0" w14:textId="77777777" w:rsidR="00F0236A" w:rsidRPr="00073574" w:rsidRDefault="00F0236A" w:rsidP="00DF36E1">
            <w:pPr>
              <w:pStyle w:val="Tabletext"/>
              <w:keepNext/>
              <w:keepLines/>
              <w:rPr>
                <w:b/>
                <w:bCs/>
                <w:sz w:val="24"/>
                <w:szCs w:val="24"/>
              </w:rPr>
            </w:pPr>
            <w:r w:rsidRPr="00073574">
              <w:rPr>
                <w:b/>
                <w:bCs/>
                <w:sz w:val="24"/>
                <w:szCs w:val="24"/>
              </w:rPr>
              <w:t>The chairmen of study groups to take into account the related work programmes and the progress of projects in ISO, IEC and ISO/IEC JTC 1; further, to cooperate with these organizations as widely as possible and by appropriate means (resolves 7)</w:t>
            </w:r>
          </w:p>
        </w:tc>
        <w:tc>
          <w:tcPr>
            <w:tcW w:w="1886" w:type="dxa"/>
            <w:tcBorders>
              <w:top w:val="single" w:sz="12" w:space="0" w:color="auto"/>
            </w:tcBorders>
            <w:shd w:val="clear" w:color="auto" w:fill="auto"/>
            <w:vAlign w:val="center"/>
          </w:tcPr>
          <w:p w14:paraId="168F46BC"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52" w:type="dxa"/>
            <w:tcBorders>
              <w:top w:val="single" w:sz="12" w:space="0" w:color="auto"/>
            </w:tcBorders>
            <w:shd w:val="clear" w:color="auto" w:fill="auto"/>
            <w:vAlign w:val="center"/>
          </w:tcPr>
          <w:p w14:paraId="11994AA1" w14:textId="77777777" w:rsidR="00F0236A" w:rsidRPr="00073574" w:rsidDel="00593856" w:rsidRDefault="00F0236A" w:rsidP="00DF36E1">
            <w:pPr>
              <w:pStyle w:val="Tabletext"/>
              <w:jc w:val="center"/>
              <w:rPr>
                <w:b/>
                <w:bCs/>
                <w:sz w:val="24"/>
                <w:szCs w:val="24"/>
              </w:rPr>
            </w:pPr>
            <w:r w:rsidRPr="00073574">
              <w:rPr>
                <w:b/>
                <w:bCs/>
                <w:sz w:val="24"/>
                <w:szCs w:val="24"/>
              </w:rPr>
              <w:t>√</w:t>
            </w:r>
          </w:p>
        </w:tc>
        <w:tc>
          <w:tcPr>
            <w:tcW w:w="1318" w:type="dxa"/>
            <w:tcBorders>
              <w:top w:val="single" w:sz="12" w:space="0" w:color="auto"/>
            </w:tcBorders>
            <w:shd w:val="clear" w:color="auto" w:fill="auto"/>
            <w:vAlign w:val="center"/>
          </w:tcPr>
          <w:p w14:paraId="40D0BC09" w14:textId="77777777" w:rsidR="00F0236A" w:rsidRPr="00073574" w:rsidRDefault="00F0236A" w:rsidP="00DF36E1">
            <w:pPr>
              <w:pStyle w:val="Tabletext"/>
              <w:jc w:val="center"/>
              <w:rPr>
                <w:b/>
                <w:bCs/>
                <w:sz w:val="24"/>
                <w:szCs w:val="24"/>
              </w:rPr>
            </w:pPr>
          </w:p>
        </w:tc>
      </w:tr>
      <w:tr w:rsidR="00F0236A" w:rsidRPr="00073574" w14:paraId="5DAEEA62" w14:textId="77777777" w:rsidTr="634A3A28">
        <w:trPr>
          <w:jc w:val="center"/>
        </w:trPr>
        <w:tc>
          <w:tcPr>
            <w:tcW w:w="912" w:type="dxa"/>
            <w:vMerge/>
          </w:tcPr>
          <w:p w14:paraId="4A9B47F3" w14:textId="77777777" w:rsidR="00F0236A" w:rsidRPr="00073574" w:rsidRDefault="00F0236A" w:rsidP="00DF36E1">
            <w:pPr>
              <w:pStyle w:val="Tabletext"/>
              <w:rPr>
                <w:sz w:val="24"/>
                <w:szCs w:val="24"/>
              </w:rPr>
            </w:pPr>
          </w:p>
        </w:tc>
        <w:tc>
          <w:tcPr>
            <w:tcW w:w="8920" w:type="dxa"/>
            <w:gridSpan w:val="4"/>
            <w:shd w:val="clear" w:color="auto" w:fill="auto"/>
          </w:tcPr>
          <w:p w14:paraId="4E2A3005" w14:textId="25314229" w:rsidR="00011444" w:rsidRPr="00073574" w:rsidRDefault="32ABF67A" w:rsidP="634A3A28">
            <w:pPr>
              <w:pStyle w:val="ListParagraph"/>
              <w:numPr>
                <w:ilvl w:val="0"/>
                <w:numId w:val="30"/>
              </w:numPr>
              <w:spacing w:before="40"/>
              <w:ind w:left="357" w:hanging="357"/>
              <w:contextualSpacing w:val="0"/>
            </w:pPr>
            <w:r w:rsidRPr="00073574">
              <w:t xml:space="preserve">SG2 </w:t>
            </w:r>
            <w:r w:rsidR="05ABDF31" w:rsidRPr="00073574">
              <w:t>liaised</w:t>
            </w:r>
            <w:r w:rsidRPr="00073574">
              <w:t xml:space="preserve"> with ISO/IEC JTC</w:t>
            </w:r>
            <w:r w:rsidR="1D3E2BD1" w:rsidRPr="00073574">
              <w:t xml:space="preserve"> </w:t>
            </w:r>
            <w:r w:rsidR="25E56262" w:rsidRPr="00073574">
              <w:t>1/</w:t>
            </w:r>
            <w:r w:rsidR="7D8C430E" w:rsidRPr="00073574">
              <w:t xml:space="preserve">SC17 </w:t>
            </w:r>
            <w:r w:rsidRPr="00073574">
              <w:t xml:space="preserve">about IIN specified in </w:t>
            </w:r>
            <w:r w:rsidR="1D3E2BD1" w:rsidRPr="00073574">
              <w:t xml:space="preserve">ITU-T </w:t>
            </w:r>
            <w:r w:rsidRPr="00073574">
              <w:t xml:space="preserve">E.118. </w:t>
            </w:r>
            <w:r w:rsidR="05ABDF31" w:rsidRPr="00073574">
              <w:t>SG2 liaised with ISO/TC154 to collaborate on disseminating time zone information and specify time zone data.</w:t>
            </w:r>
            <w:r w:rsidR="12C41D90" w:rsidRPr="00073574">
              <w:t xml:space="preserve"> SG</w:t>
            </w:r>
            <w:r w:rsidR="01660FF1" w:rsidRPr="00073574">
              <w:t>2</w:t>
            </w:r>
            <w:r w:rsidR="12C41D90" w:rsidRPr="00073574">
              <w:t xml:space="preserve"> liaised with ISO/TC 307 on management of blockchain systems.</w:t>
            </w:r>
          </w:p>
          <w:p w14:paraId="7038725A" w14:textId="5F180BC6" w:rsidR="003D1B1D" w:rsidRPr="00073574" w:rsidRDefault="653722A5" w:rsidP="634A3A28">
            <w:pPr>
              <w:pStyle w:val="ListParagraph"/>
              <w:numPr>
                <w:ilvl w:val="0"/>
                <w:numId w:val="30"/>
              </w:numPr>
              <w:ind w:left="357" w:hanging="357"/>
              <w:contextualSpacing w:val="0"/>
            </w:pPr>
            <w:r w:rsidRPr="00073574">
              <w:t>SG5</w:t>
            </w:r>
            <w:r w:rsidR="1425B30F" w:rsidRPr="00073574">
              <w:t xml:space="preserve"> informed ISO/IEC JTC 1/</w:t>
            </w:r>
            <w:r w:rsidRPr="00073574">
              <w:t>SC39 on the wok on Data Centre.</w:t>
            </w:r>
          </w:p>
          <w:p w14:paraId="62F279F9" w14:textId="7305C4F6" w:rsidR="003D1B1D" w:rsidRPr="00073574" w:rsidRDefault="653722A5" w:rsidP="634A3A28">
            <w:pPr>
              <w:pStyle w:val="ListParagraph"/>
              <w:numPr>
                <w:ilvl w:val="0"/>
                <w:numId w:val="30"/>
              </w:numPr>
              <w:ind w:left="357" w:hanging="357"/>
              <w:contextualSpacing w:val="0"/>
            </w:pPr>
            <w:r w:rsidRPr="00073574">
              <w:t>SG5 invited IEC TC 100 to continue with the collaboration for the development of standards on the Universal Power adapter that will contribute to e-waste reduction.</w:t>
            </w:r>
          </w:p>
          <w:p w14:paraId="3F6214F1" w14:textId="69F23BF2" w:rsidR="0073205B" w:rsidRPr="00073574" w:rsidRDefault="729D7725" w:rsidP="634A3A28">
            <w:pPr>
              <w:pStyle w:val="ListParagraph"/>
              <w:numPr>
                <w:ilvl w:val="0"/>
                <w:numId w:val="30"/>
              </w:numPr>
              <w:ind w:left="357" w:hanging="357"/>
              <w:contextualSpacing w:val="0"/>
            </w:pPr>
            <w:r w:rsidRPr="00073574">
              <w:t xml:space="preserve">SG5 provided </w:t>
            </w:r>
            <w:r w:rsidRPr="00073574">
              <w:rPr>
                <w:rFonts w:eastAsia="MS Mincho"/>
              </w:rPr>
              <w:t xml:space="preserve">IEC SC77B/MT12 with comments to be taken into consideration in the next revision of IEC 61000-4-5 “Electromagnetic compatibility (EMC) - Part 4-5: Testing and measurement techniques - Surge immunity test”. The </w:t>
            </w:r>
            <w:r w:rsidR="00102963" w:rsidRPr="00073574">
              <w:rPr>
                <w:rFonts w:eastAsia="MS Mincho"/>
              </w:rPr>
              <w:t>liaison statement</w:t>
            </w:r>
            <w:r w:rsidRPr="00073574">
              <w:rPr>
                <w:rFonts w:eastAsia="MS Mincho"/>
              </w:rPr>
              <w:t xml:space="preserve"> was sent for information also to </w:t>
            </w:r>
            <w:r w:rsidR="2B592AB6" w:rsidRPr="00073574">
              <w:t>IEC ACEC.</w:t>
            </w:r>
          </w:p>
          <w:p w14:paraId="54920A78" w14:textId="4CBEB343" w:rsidR="005A51EA" w:rsidRPr="00073574" w:rsidRDefault="52B9DA61" w:rsidP="002E241A">
            <w:pPr>
              <w:pStyle w:val="ListParagraph"/>
              <w:numPr>
                <w:ilvl w:val="0"/>
                <w:numId w:val="30"/>
              </w:numPr>
              <w:ind w:left="357" w:hanging="357"/>
              <w:contextualSpacing w:val="0"/>
            </w:pPr>
            <w:r w:rsidRPr="00073574">
              <w:t>SG5 liaison rapporteur to IEC ACEC regularly reports on the work in progress.</w:t>
            </w:r>
          </w:p>
          <w:p w14:paraId="5458EE7D" w14:textId="268DD9EB" w:rsidR="3B0FDA16" w:rsidRPr="00073574" w:rsidRDefault="029A12B4" w:rsidP="002E241A">
            <w:pPr>
              <w:pStyle w:val="ListParagraph"/>
              <w:numPr>
                <w:ilvl w:val="0"/>
                <w:numId w:val="30"/>
              </w:numPr>
              <w:ind w:left="357" w:hanging="357"/>
              <w:contextualSpacing w:val="0"/>
            </w:pPr>
            <w:r w:rsidRPr="00073574">
              <w:t>SG5 informed ISO TC323</w:t>
            </w:r>
            <w:r w:rsidR="036EDE06" w:rsidRPr="00073574">
              <w:t xml:space="preserve"> on the work on Circular Economy.</w:t>
            </w:r>
          </w:p>
          <w:p w14:paraId="43228DFB" w14:textId="295AF791" w:rsidR="40A161AA" w:rsidRPr="00073574" w:rsidRDefault="036EDE06" w:rsidP="002E241A">
            <w:pPr>
              <w:pStyle w:val="ListParagraph"/>
              <w:numPr>
                <w:ilvl w:val="0"/>
                <w:numId w:val="30"/>
              </w:numPr>
              <w:ind w:left="357" w:hanging="357"/>
              <w:contextualSpacing w:val="0"/>
            </w:pPr>
            <w:r w:rsidRPr="00073574">
              <w:t>SG5 informed IEC SC37A on the dev</w:t>
            </w:r>
            <w:r w:rsidR="766A1E5A" w:rsidRPr="00073574">
              <w:t>elopment of a new work item for surge protective device module.</w:t>
            </w:r>
          </w:p>
          <w:p w14:paraId="497D0F59" w14:textId="05FB31ED" w:rsidR="376C965E" w:rsidRPr="00073574" w:rsidRDefault="766A1E5A" w:rsidP="002E241A">
            <w:pPr>
              <w:pStyle w:val="ListParagraph"/>
              <w:numPr>
                <w:ilvl w:val="0"/>
                <w:numId w:val="30"/>
              </w:numPr>
              <w:ind w:left="357" w:hanging="357"/>
              <w:contextualSpacing w:val="0"/>
            </w:pPr>
            <w:r w:rsidRPr="00073574">
              <w:t xml:space="preserve">SG5 appointed a new liaison </w:t>
            </w:r>
            <w:r w:rsidR="0AC9C72A" w:rsidRPr="00073574">
              <w:t>r</w:t>
            </w:r>
            <w:r w:rsidRPr="00073574">
              <w:t>apporteur to IEC TC8</w:t>
            </w:r>
            <w:r w:rsidR="357E7542" w:rsidRPr="00073574">
              <w:t>.</w:t>
            </w:r>
          </w:p>
          <w:p w14:paraId="422421D9" w14:textId="5750EED6" w:rsidR="00F0236A" w:rsidRPr="00073574" w:rsidRDefault="1425B30F" w:rsidP="634A3A28">
            <w:pPr>
              <w:pStyle w:val="ListParagraph"/>
              <w:numPr>
                <w:ilvl w:val="0"/>
                <w:numId w:val="30"/>
              </w:numPr>
              <w:ind w:left="357" w:hanging="357"/>
              <w:contextualSpacing w:val="0"/>
            </w:pPr>
            <w:r w:rsidRPr="00073574">
              <w:t>SG11 informed ISO/IEC JTC1/SC38/</w:t>
            </w:r>
            <w:r w:rsidR="00F0236A" w:rsidRPr="00073574">
              <w:t>WG4 about ongoing activities related to cloud computing interoperability.</w:t>
            </w:r>
            <w:r w:rsidR="003D2058" w:rsidRPr="00073574">
              <w:t xml:space="preserve"> SG11 </w:t>
            </w:r>
            <w:r w:rsidR="003D2058" w:rsidRPr="00073574">
              <w:rPr>
                <w:rFonts w:eastAsia="Malgun Gothic"/>
                <w:lang w:eastAsia="ko-KR"/>
              </w:rPr>
              <w:t>were informed about the current issues and work items of JTC 1/SC 6/WG 7 and supported to hold a co-located meeting in April 2018 in Geneva.</w:t>
            </w:r>
            <w:r w:rsidR="759CD116" w:rsidRPr="00073574">
              <w:rPr>
                <w:rFonts w:eastAsia="Malgun Gothic"/>
                <w:lang w:eastAsia="ko-KR"/>
              </w:rPr>
              <w:t xml:space="preserve"> </w:t>
            </w:r>
            <w:r w:rsidR="759CD116" w:rsidRPr="00073574">
              <w:t xml:space="preserve">A joint meeting of Q6/11, Q7/11, Q8/11 and ISO/IEC JTC1/SC6/WG7 took place in Geneva on 17 April 2018. </w:t>
            </w:r>
            <w:r w:rsidR="759CD116" w:rsidRPr="00073574">
              <w:rPr>
                <w:rFonts w:eastAsia="Malgun Gothic"/>
                <w:lang w:eastAsia="ko-KR"/>
              </w:rPr>
              <w:t xml:space="preserve">The meeting was focused on identifying areas of study which may become subjects for collaboration. Among </w:t>
            </w:r>
            <w:r w:rsidR="00446FA0">
              <w:rPr>
                <w:rFonts w:eastAsia="Malgun Gothic"/>
                <w:lang w:eastAsia="ko-KR"/>
              </w:rPr>
              <w:t xml:space="preserve">the </w:t>
            </w:r>
            <w:r w:rsidR="759CD116" w:rsidRPr="00073574">
              <w:rPr>
                <w:rFonts w:eastAsia="Malgun Gothic"/>
                <w:lang w:eastAsia="ko-KR"/>
              </w:rPr>
              <w:t xml:space="preserve">topics are: </w:t>
            </w:r>
            <w:r w:rsidR="759CD116" w:rsidRPr="00073574">
              <w:t>requirements, architecture, protocols and mechanisms for Future Network, IMT-2020 network and Edge computing, Managed P2P communication.</w:t>
            </w:r>
            <w:r w:rsidR="7C01629F" w:rsidRPr="00073574">
              <w:t xml:space="preserve"> SG11 invited ISO/IEC JTC1 SC41 to collaborate on developing new testing </w:t>
            </w:r>
            <w:r w:rsidR="7C01629F" w:rsidRPr="00073574">
              <w:lastRenderedPageBreak/>
              <w:t>specification against ISO/IEC 30162 Internet of Things (IoT) — Compatibility requirements and model for devices within Industrial IoT systems.</w:t>
            </w:r>
            <w:r w:rsidR="00206331" w:rsidRPr="00073574">
              <w:t xml:space="preserve"> SG11 informed </w:t>
            </w:r>
            <w:r w:rsidR="0059032B" w:rsidRPr="00073574">
              <w:t xml:space="preserve">ISO/IEC JTC1/SC27 about </w:t>
            </w:r>
            <w:r w:rsidR="0076122C" w:rsidRPr="00073574">
              <w:t xml:space="preserve">new work item Q.QKDN_profr “Quantum key distribution networks – Protocol framework” and </w:t>
            </w:r>
            <w:r w:rsidR="00DA1F43" w:rsidRPr="00073574">
              <w:t>agreed Technical Report</w:t>
            </w:r>
            <w:r w:rsidR="006A13BF" w:rsidRPr="00073574">
              <w:t xml:space="preserve"> </w:t>
            </w:r>
            <w:r w:rsidR="009F4ECE" w:rsidRPr="00073574">
              <w:t xml:space="preserve">ITU-T </w:t>
            </w:r>
            <w:r w:rsidR="00DA1F43" w:rsidRPr="00073574">
              <w:t>QS</w:t>
            </w:r>
            <w:r w:rsidR="009F4ECE" w:rsidRPr="00073574">
              <w:t>TR-USSD “Low resource requirement, quantum resistant, encryption of USSD messages for use in Financial services”.</w:t>
            </w:r>
          </w:p>
          <w:p w14:paraId="6DC2A816" w14:textId="0A019A42" w:rsidR="00ED6AC9" w:rsidRPr="00073574" w:rsidRDefault="00ED6AC9" w:rsidP="00887451">
            <w:pPr>
              <w:pStyle w:val="ListParagraph"/>
              <w:numPr>
                <w:ilvl w:val="0"/>
                <w:numId w:val="30"/>
              </w:numPr>
              <w:ind w:left="357" w:hanging="357"/>
              <w:contextualSpacing w:val="0"/>
              <w:rPr>
                <w:rFonts w:eastAsia="Times New Roman"/>
              </w:rPr>
            </w:pPr>
            <w:r w:rsidRPr="00073574">
              <w:rPr>
                <w:rFonts w:eastAsia="Times New Roman"/>
              </w:rPr>
              <w:t xml:space="preserve">SG12 – see </w:t>
            </w:r>
            <w:r w:rsidR="00DE07C4" w:rsidRPr="00073574">
              <w:rPr>
                <w:rFonts w:eastAsia="Times New Roman"/>
              </w:rPr>
              <w:t xml:space="preserve">action items </w:t>
            </w:r>
            <w:r w:rsidR="00565788" w:rsidRPr="00073574">
              <w:rPr>
                <w:rFonts w:eastAsia="Times New Roman"/>
              </w:rPr>
              <w:t>07-01 and 07-03</w:t>
            </w:r>
            <w:r w:rsidRPr="00073574">
              <w:rPr>
                <w:rFonts w:eastAsia="Times New Roman"/>
              </w:rPr>
              <w:t>.</w:t>
            </w:r>
          </w:p>
          <w:p w14:paraId="7F33633C" w14:textId="543B62A6" w:rsidR="00F0236A" w:rsidRPr="00073574" w:rsidRDefault="00F0236A" w:rsidP="00887451">
            <w:pPr>
              <w:pStyle w:val="ListParagraph"/>
              <w:numPr>
                <w:ilvl w:val="0"/>
                <w:numId w:val="30"/>
              </w:numPr>
              <w:ind w:left="357" w:hanging="357"/>
              <w:contextualSpacing w:val="0"/>
              <w:rPr>
                <w:rFonts w:eastAsia="Times New Roman"/>
              </w:rPr>
            </w:pPr>
            <w:r w:rsidRPr="00073574">
              <w:t>SG13 liaison rapporteur for ISO/IEC JTC 1/WG9 (on Big Data) regularly reports on the work in progress at ISO side.</w:t>
            </w:r>
            <w:r w:rsidR="56D19E87" w:rsidRPr="00073574">
              <w:t xml:space="preserve"> SG13 has exchange with the ISO/IEC JTC</w:t>
            </w:r>
            <w:r w:rsidR="086620FC" w:rsidRPr="00073574">
              <w:t xml:space="preserve"> </w:t>
            </w:r>
            <w:r w:rsidR="56D19E87" w:rsidRPr="00073574">
              <w:t xml:space="preserve">1/SCs </w:t>
            </w:r>
            <w:r w:rsidR="70BB0CA8" w:rsidRPr="00073574">
              <w:t xml:space="preserve">6, </w:t>
            </w:r>
            <w:r w:rsidR="56D19E87" w:rsidRPr="00073574">
              <w:t xml:space="preserve">27, </w:t>
            </w:r>
            <w:r w:rsidR="00F7321F" w:rsidRPr="00073574">
              <w:t xml:space="preserve">29, </w:t>
            </w:r>
            <w:r w:rsidR="7F69210A" w:rsidRPr="00073574">
              <w:t xml:space="preserve">32, </w:t>
            </w:r>
            <w:r w:rsidR="56D19E87" w:rsidRPr="00073574">
              <w:t>38, on cloud computing, SC6/WG7 on ICN and ISO TC 307 on Blockchain as a Service</w:t>
            </w:r>
            <w:r w:rsidR="00261DBF" w:rsidRPr="00073574">
              <w:t>,</w:t>
            </w:r>
            <w:r w:rsidR="70BB0CA8" w:rsidRPr="00073574">
              <w:t xml:space="preserve"> with SC42 on big data</w:t>
            </w:r>
            <w:r w:rsidR="00887451" w:rsidRPr="00073574">
              <w:t xml:space="preserve"> </w:t>
            </w:r>
            <w:r w:rsidR="4B13DB89" w:rsidRPr="00073574">
              <w:t>and on AI</w:t>
            </w:r>
            <w:r w:rsidR="00261DBF" w:rsidRPr="00073574">
              <w:t xml:space="preserve"> and with AG4 on quantum key distribution</w:t>
            </w:r>
            <w:r w:rsidR="4B13DB89" w:rsidRPr="00073574">
              <w:t>.</w:t>
            </w:r>
          </w:p>
          <w:p w14:paraId="1A4EF6F4" w14:textId="77777777" w:rsidR="008E5392" w:rsidRPr="00073574" w:rsidRDefault="426C51CC" w:rsidP="634A3A28">
            <w:pPr>
              <w:pStyle w:val="ListParagraph"/>
              <w:numPr>
                <w:ilvl w:val="0"/>
                <w:numId w:val="30"/>
              </w:numPr>
              <w:contextualSpacing w:val="0"/>
            </w:pPr>
            <w:r w:rsidRPr="00073574">
              <w:t xml:space="preserve">SG15 appointed liaison rapporteurs to </w:t>
            </w:r>
            <w:r w:rsidRPr="00073574">
              <w:rPr>
                <w:lang w:eastAsia="en-US"/>
              </w:rPr>
              <w:t>IEC TC86, SC86A/WG1 (Fibre optics), IEC TC86, SC86A/WG3 (fibre optic cables), IEC TC86 SC86B (Fibre Optics Interconnections Devices and Passive Components), IEC TC86, SC86C (Fibre optics, Fibre optic systems and active devices) and exchange liaisons as necessary.</w:t>
            </w:r>
          </w:p>
          <w:p w14:paraId="185279A2" w14:textId="5AA5DA49" w:rsidR="00DF36E1" w:rsidRPr="00073574" w:rsidRDefault="4158C534" w:rsidP="002E241A">
            <w:pPr>
              <w:pStyle w:val="ListParagraph"/>
              <w:numPr>
                <w:ilvl w:val="0"/>
                <w:numId w:val="30"/>
              </w:numPr>
              <w:contextualSpacing w:val="0"/>
            </w:pPr>
            <w:r w:rsidRPr="00073574">
              <w:t xml:space="preserve">SG16 formalized a new video collaborative group with MPEG (JTC1 SC29/WG11), the JVET (Joint Video Experts Group), towards the successor technology to H.265 HEVC. This follows an exploratory phase started in October 2015. The first edition of the new standard is </w:t>
            </w:r>
            <w:r w:rsidR="7EE7DA0D" w:rsidRPr="00073574">
              <w:t xml:space="preserve">approved as </w:t>
            </w:r>
            <w:r w:rsidR="3281C1C4" w:rsidRPr="00073574">
              <w:t xml:space="preserve">ITU-T </w:t>
            </w:r>
            <w:r w:rsidR="7EE7DA0D" w:rsidRPr="00073574">
              <w:t>H.266 “Versatile Video Coding” (2020-08)</w:t>
            </w:r>
            <w:r w:rsidRPr="00073574">
              <w:t>.</w:t>
            </w:r>
          </w:p>
          <w:p w14:paraId="72C1C611" w14:textId="27B408CC" w:rsidR="00603C37" w:rsidRPr="00073574" w:rsidRDefault="264928A8" w:rsidP="634A3A28">
            <w:pPr>
              <w:pStyle w:val="ListParagraph"/>
              <w:numPr>
                <w:ilvl w:val="0"/>
                <w:numId w:val="30"/>
              </w:numPr>
              <w:ind w:left="357" w:hanging="357"/>
              <w:contextualSpacing w:val="0"/>
              <w:rPr>
                <w:rFonts w:eastAsia="Times New Roman"/>
              </w:rPr>
            </w:pPr>
            <w:r w:rsidRPr="00073574">
              <w:t>SG16 collaborates with ISO/IEC JTC1</w:t>
            </w:r>
            <w:r w:rsidR="00FD2D80" w:rsidRPr="00073574">
              <w:t>/</w:t>
            </w:r>
            <w:r w:rsidRPr="00073574">
              <w:t xml:space="preserve">SC35 "User Interfaces" with </w:t>
            </w:r>
            <w:hyperlink r:id="rId155">
              <w:r w:rsidRPr="00073574">
                <w:rPr>
                  <w:rStyle w:val="Hyperlink"/>
                </w:rPr>
                <w:t>H.ACC-GAD</w:t>
              </w:r>
            </w:hyperlink>
            <w:r w:rsidRPr="00073574">
              <w:t xml:space="preserve">; </w:t>
            </w:r>
            <w:hyperlink r:id="rId156">
              <w:r w:rsidRPr="00073574">
                <w:rPr>
                  <w:rStyle w:val="Hyperlink"/>
                </w:rPr>
                <w:t>H.ACC-GAP</w:t>
              </w:r>
            </w:hyperlink>
            <w:r w:rsidRPr="00073574">
              <w:t xml:space="preserve">; </w:t>
            </w:r>
            <w:hyperlink r:id="rId157">
              <w:r w:rsidRPr="00073574">
                <w:rPr>
                  <w:rStyle w:val="Hyperlink"/>
                </w:rPr>
                <w:t>H.ACC-GVP</w:t>
              </w:r>
            </w:hyperlink>
            <w:r w:rsidRPr="00073574">
              <w:t xml:space="preserve">, </w:t>
            </w:r>
            <w:hyperlink r:id="rId158">
              <w:r w:rsidR="7C1AFD6B" w:rsidRPr="00073574">
                <w:rPr>
                  <w:rStyle w:val="Hyperlink"/>
                </w:rPr>
                <w:t>F.ACC-AVSL</w:t>
              </w:r>
            </w:hyperlink>
            <w:r w:rsidR="7C1AFD6B" w:rsidRPr="00073574">
              <w:t xml:space="preserve">, </w:t>
            </w:r>
            <w:r w:rsidRPr="00073574">
              <w:t>draft twin texts with ISO/IEC 20071 series on audio descriptions; audio presentation of text; visual pre</w:t>
            </w:r>
            <w:r w:rsidR="00FD2D80" w:rsidRPr="00073574">
              <w:t>sentation of audio information</w:t>
            </w:r>
            <w:r w:rsidR="2B3E7A76" w:rsidRPr="00073574">
              <w:t>; presentation of sign language</w:t>
            </w:r>
            <w:r w:rsidR="00FD2D80" w:rsidRPr="00073574">
              <w:t>.</w:t>
            </w:r>
            <w:r w:rsidR="469F0DBF" w:rsidRPr="00073574">
              <w:t xml:space="preserve"> It has also transposed ISO/IEC 20071-11 as twin text in </w:t>
            </w:r>
            <w:r w:rsidR="4F396C4B" w:rsidRPr="00073574">
              <w:t xml:space="preserve">ITU-T </w:t>
            </w:r>
            <w:r w:rsidR="469F0DBF" w:rsidRPr="00073574">
              <w:t>T.701.11 on alternative text presentation for images.</w:t>
            </w:r>
          </w:p>
          <w:p w14:paraId="7172FA17" w14:textId="22A75195" w:rsidR="00F0236A" w:rsidRPr="00073574" w:rsidRDefault="00F0236A" w:rsidP="634A3A28">
            <w:pPr>
              <w:pStyle w:val="ListParagraph"/>
              <w:numPr>
                <w:ilvl w:val="0"/>
                <w:numId w:val="30"/>
              </w:numPr>
              <w:contextualSpacing w:val="0"/>
              <w:rPr>
                <w:rFonts w:eastAsia="Times New Roman"/>
              </w:rPr>
            </w:pPr>
            <w:r w:rsidRPr="00073574">
              <w:t>SG17 approved Recommendation ITU-T X.1085 (10/2016) | ISO/IEC 17922</w:t>
            </w:r>
            <w:r w:rsidR="00E123FD" w:rsidRPr="00073574">
              <w:t>,</w:t>
            </w:r>
            <w:r w:rsidRPr="00073574">
              <w:t xml:space="preserve"> ITU-T X.1058 </w:t>
            </w:r>
            <w:r w:rsidRPr="00073574">
              <w:rPr>
                <w:rFonts w:asciiTheme="majorBidi" w:hAnsiTheme="majorBidi" w:cstheme="majorBidi"/>
                <w:sz w:val="23"/>
                <w:szCs w:val="23"/>
                <w:bdr w:val="none" w:sz="0" w:space="0" w:color="auto" w:frame="1"/>
              </w:rPr>
              <w:t>(03/2017)</w:t>
            </w:r>
            <w:r w:rsidRPr="00073574">
              <w:t xml:space="preserve"> | </w:t>
            </w:r>
            <w:r w:rsidRPr="00073574">
              <w:rPr>
                <w:rFonts w:asciiTheme="majorBidi" w:hAnsiTheme="majorBidi" w:cstheme="majorBidi"/>
                <w:sz w:val="23"/>
                <w:szCs w:val="23"/>
                <w:bdr w:val="none" w:sz="0" w:space="0" w:color="auto" w:frame="1"/>
              </w:rPr>
              <w:t>ISO/IEC 29151</w:t>
            </w:r>
            <w:r w:rsidR="005C71C5" w:rsidRPr="00073574">
              <w:rPr>
                <w:rFonts w:asciiTheme="majorBidi" w:hAnsiTheme="majorBidi" w:cstheme="majorBidi"/>
                <w:sz w:val="23"/>
                <w:szCs w:val="23"/>
                <w:bdr w:val="none" w:sz="0" w:space="0" w:color="auto" w:frame="1"/>
              </w:rPr>
              <w:t>,</w:t>
            </w:r>
            <w:r w:rsidRPr="00073574">
              <w:rPr>
                <w:rFonts w:asciiTheme="majorBidi" w:hAnsiTheme="majorBidi" w:cstheme="majorBidi"/>
                <w:sz w:val="23"/>
                <w:szCs w:val="23"/>
                <w:bdr w:val="none" w:sz="0" w:space="0" w:color="auto" w:frame="1"/>
              </w:rPr>
              <w:t xml:space="preserve"> </w:t>
            </w:r>
            <w:r w:rsidR="00CE167F" w:rsidRPr="00073574">
              <w:rPr>
                <w:rFonts w:asciiTheme="majorBidi" w:hAnsiTheme="majorBidi" w:cstheme="majorBidi"/>
                <w:sz w:val="23"/>
                <w:szCs w:val="23"/>
                <w:bdr w:val="none" w:sz="0" w:space="0" w:color="auto" w:frame="1"/>
              </w:rPr>
              <w:t>ITU-T X.894 | ISO/IEC 24824-4</w:t>
            </w:r>
            <w:r w:rsidR="005C71C5" w:rsidRPr="00073574">
              <w:rPr>
                <w:rFonts w:asciiTheme="majorBidi" w:hAnsiTheme="majorBidi" w:cstheme="majorBidi"/>
                <w:sz w:val="23"/>
                <w:szCs w:val="23"/>
                <w:bdr w:val="none" w:sz="0" w:space="0" w:color="auto" w:frame="1"/>
              </w:rPr>
              <w:t xml:space="preserve"> </w:t>
            </w:r>
            <w:r w:rsidRPr="00073574">
              <w:t>as common text with ISO/IEC JTC 1/SC 27.</w:t>
            </w:r>
            <w:r w:rsidR="1B321EBA" w:rsidRPr="00073574">
              <w:rPr>
                <w:rFonts w:asciiTheme="majorBidi" w:hAnsiTheme="majorBidi" w:cstheme="majorBidi"/>
                <w:sz w:val="23"/>
                <w:szCs w:val="23"/>
                <w:bdr w:val="none" w:sz="0" w:space="0" w:color="auto" w:frame="1"/>
              </w:rPr>
              <w:t xml:space="preserve"> </w:t>
            </w:r>
            <w:r w:rsidR="1B321EBA" w:rsidRPr="00073574">
              <w:t>SG17 approved</w:t>
            </w:r>
            <w:r w:rsidR="1B321EBA" w:rsidRPr="00073574">
              <w:rPr>
                <w:rFonts w:asciiTheme="majorBidi" w:hAnsiTheme="majorBidi" w:cstheme="majorBidi"/>
                <w:sz w:val="23"/>
                <w:szCs w:val="23"/>
                <w:bdr w:val="none" w:sz="0" w:space="0" w:color="auto" w:frame="1"/>
              </w:rPr>
              <w:t xml:space="preserve"> </w:t>
            </w:r>
            <w:r w:rsidR="1B321EBA" w:rsidRPr="00073574">
              <w:t xml:space="preserve">Recommendation ITU-T X.697 </w:t>
            </w:r>
            <w:r w:rsidR="1B321EBA" w:rsidRPr="00073574">
              <w:rPr>
                <w:rFonts w:asciiTheme="majorBidi" w:hAnsiTheme="majorBidi" w:cstheme="majorBidi"/>
                <w:sz w:val="23"/>
                <w:szCs w:val="23"/>
                <w:bdr w:val="none" w:sz="0" w:space="0" w:color="auto" w:frame="1"/>
              </w:rPr>
              <w:t>(10/2017)</w:t>
            </w:r>
            <w:r w:rsidR="1B321EBA" w:rsidRPr="00073574">
              <w:t xml:space="preserve"> | </w:t>
            </w:r>
            <w:r w:rsidR="1B321EBA" w:rsidRPr="00073574">
              <w:rPr>
                <w:rFonts w:asciiTheme="majorBidi" w:hAnsiTheme="majorBidi" w:cstheme="majorBidi"/>
                <w:sz w:val="23"/>
                <w:szCs w:val="23"/>
                <w:bdr w:val="none" w:sz="0" w:space="0" w:color="auto" w:frame="1"/>
              </w:rPr>
              <w:t xml:space="preserve">ISO/IEC 8825-8 </w:t>
            </w:r>
            <w:r w:rsidR="619A6977" w:rsidRPr="00073574">
              <w:t>as common text with ISO/IEC JTC 1/SC 6.</w:t>
            </w:r>
            <w:r w:rsidR="61DC5BDF" w:rsidRPr="00073574">
              <w:t xml:space="preserve"> Common texts between SG17 and ISO/IEC, e.g., </w:t>
            </w:r>
            <w:r w:rsidR="376AAFF2" w:rsidRPr="00073574">
              <w:t xml:space="preserve">ITU-T </w:t>
            </w:r>
            <w:r w:rsidR="61DC5BDF" w:rsidRPr="00073574">
              <w:t>X.500-series, X.680-690-series are maintained and updated.</w:t>
            </w:r>
            <w:r w:rsidR="543D3724" w:rsidRPr="00073574">
              <w:t xml:space="preserve"> </w:t>
            </w:r>
            <w:r w:rsidR="543D3724" w:rsidRPr="00073574">
              <w:rPr>
                <w:rFonts w:eastAsia="Times New Roman"/>
              </w:rPr>
              <w:t xml:space="preserve">SG17 plans to hold </w:t>
            </w:r>
            <w:r w:rsidR="49538CD5" w:rsidRPr="00073574">
              <w:rPr>
                <w:rFonts w:eastAsia="Times New Roman"/>
              </w:rPr>
              <w:t>a</w:t>
            </w:r>
            <w:r w:rsidR="543D3724" w:rsidRPr="00073574">
              <w:rPr>
                <w:rFonts w:eastAsia="Times New Roman"/>
              </w:rPr>
              <w:t xml:space="preserve"> joint workshop with ISO/TC 307 to explore the collaboration in 2020</w:t>
            </w:r>
            <w:r w:rsidR="49538CD5" w:rsidRPr="00073574">
              <w:rPr>
                <w:rFonts w:eastAsia="Times New Roman"/>
              </w:rPr>
              <w:t>.</w:t>
            </w:r>
          </w:p>
          <w:p w14:paraId="47F2E2C2" w14:textId="37193096" w:rsidR="00F0236A" w:rsidRPr="00073574" w:rsidRDefault="00F0236A" w:rsidP="634A3A28">
            <w:pPr>
              <w:pStyle w:val="ListParagraph"/>
              <w:numPr>
                <w:ilvl w:val="0"/>
                <w:numId w:val="30"/>
              </w:numPr>
              <w:contextualSpacing w:val="0"/>
            </w:pPr>
            <w:r w:rsidRPr="00073574">
              <w:t>SG20 liaison rapporteur for ISO/IEC JTC 1/</w:t>
            </w:r>
            <w:r w:rsidR="500FED29" w:rsidRPr="00073574">
              <w:t>SC41</w:t>
            </w:r>
            <w:r w:rsidRPr="00073574">
              <w:t xml:space="preserve"> regularly reports on the work in progress.</w:t>
            </w:r>
          </w:p>
          <w:p w14:paraId="713EC7B3" w14:textId="77777777" w:rsidR="00846D5B" w:rsidRPr="00073574" w:rsidRDefault="7CF9A240" w:rsidP="634A3A28">
            <w:pPr>
              <w:pStyle w:val="ListParagraph"/>
              <w:numPr>
                <w:ilvl w:val="0"/>
                <w:numId w:val="30"/>
              </w:numPr>
              <w:contextualSpacing w:val="0"/>
            </w:pPr>
            <w:r w:rsidRPr="00073574">
              <w:t>SG20 informed ISO/IEC JTC1/SC27 on ITU-T SG20 activities on identification, security, trust and interoperability related to IoT and Smart Cities and Communities.</w:t>
            </w:r>
          </w:p>
          <w:p w14:paraId="0BE88A31" w14:textId="6CB5FF72" w:rsidR="00846D5B" w:rsidRPr="00073574" w:rsidRDefault="7CF9A240" w:rsidP="634A3A28">
            <w:pPr>
              <w:pStyle w:val="ListParagraph"/>
              <w:numPr>
                <w:ilvl w:val="0"/>
                <w:numId w:val="30"/>
              </w:numPr>
              <w:contextualSpacing w:val="0"/>
            </w:pPr>
            <w:r w:rsidRPr="00073574">
              <w:t>SG20 informed IEC/TC65, ISO/TC184 and ISO/</w:t>
            </w:r>
            <w:r w:rsidR="1425B30F" w:rsidRPr="00073574">
              <w:t>IEC/JTC</w:t>
            </w:r>
            <w:r w:rsidR="67E33323" w:rsidRPr="00073574">
              <w:t>1 on ITU-T SG20 work on smart manufacturing and/ or industrial Internet of things.</w:t>
            </w:r>
          </w:p>
          <w:p w14:paraId="68489C69" w14:textId="77777777" w:rsidR="00E860A0" w:rsidRPr="00073574" w:rsidRDefault="1425B30F" w:rsidP="634A3A28">
            <w:pPr>
              <w:pStyle w:val="ListParagraph"/>
              <w:numPr>
                <w:ilvl w:val="0"/>
                <w:numId w:val="30"/>
              </w:numPr>
              <w:spacing w:after="40"/>
              <w:ind w:left="357" w:hanging="357"/>
              <w:contextualSpacing w:val="0"/>
            </w:pPr>
            <w:r w:rsidRPr="00073574">
              <w:t>SG20 informed ISO/IEC JTC1/</w:t>
            </w:r>
            <w:r w:rsidR="67E33323" w:rsidRPr="00073574">
              <w:t>SC35 on ITU-T SG20 work on IoT accessibility.</w:t>
            </w:r>
          </w:p>
          <w:p w14:paraId="1470C5C4" w14:textId="65DB5C81" w:rsidR="008D3E60" w:rsidRPr="00073574" w:rsidRDefault="008D3E60" w:rsidP="634A3A28">
            <w:pPr>
              <w:pStyle w:val="ListParagraph"/>
              <w:numPr>
                <w:ilvl w:val="0"/>
                <w:numId w:val="30"/>
              </w:numPr>
              <w:spacing w:after="40"/>
              <w:ind w:left="357" w:hanging="357"/>
              <w:contextualSpacing w:val="0"/>
            </w:pPr>
            <w:r w:rsidRPr="00073574">
              <w:t>SG20 informed ISO TC 268 on the initiation of new work items</w:t>
            </w:r>
            <w:r w:rsidR="00DE138F" w:rsidRPr="00073574">
              <w:t xml:space="preserve"> related to smart cities and communities</w:t>
            </w:r>
            <w:r w:rsidRPr="00073574">
              <w:t>.</w:t>
            </w:r>
          </w:p>
          <w:p w14:paraId="62F149F3" w14:textId="7B3F30CB" w:rsidR="004C4AE0" w:rsidRPr="00073574" w:rsidRDefault="004C4AE0" w:rsidP="634A3A28">
            <w:pPr>
              <w:pStyle w:val="ListParagraph"/>
              <w:numPr>
                <w:ilvl w:val="0"/>
                <w:numId w:val="30"/>
              </w:numPr>
              <w:spacing w:after="40"/>
              <w:ind w:left="357" w:hanging="357"/>
              <w:contextualSpacing w:val="0"/>
            </w:pPr>
            <w:r w:rsidRPr="00073574">
              <w:t xml:space="preserve">SG20 presented ITU-T work items </w:t>
            </w:r>
            <w:r w:rsidR="00CA7F33" w:rsidRPr="00073574">
              <w:t>during meetings of the Joint IEC-ISO-ITU Smart Cities Task Force (J SCTF).</w:t>
            </w:r>
          </w:p>
        </w:tc>
      </w:tr>
      <w:tr w:rsidR="00F0236A" w:rsidRPr="00073574" w14:paraId="31E050E8" w14:textId="77777777" w:rsidTr="634A3A28">
        <w:trPr>
          <w:jc w:val="center"/>
        </w:trPr>
        <w:tc>
          <w:tcPr>
            <w:tcW w:w="912" w:type="dxa"/>
            <w:vMerge w:val="restart"/>
            <w:tcBorders>
              <w:top w:val="single" w:sz="12" w:space="0" w:color="auto"/>
            </w:tcBorders>
            <w:shd w:val="clear" w:color="auto" w:fill="auto"/>
          </w:tcPr>
          <w:p w14:paraId="1A629C27" w14:textId="77777777" w:rsidR="00F0236A" w:rsidRPr="00073574" w:rsidRDefault="00F0236A" w:rsidP="00DF36E1">
            <w:pPr>
              <w:pStyle w:val="Tabletext"/>
              <w:keepNext/>
              <w:keepLines/>
              <w:rPr>
                <w:b/>
                <w:bCs/>
                <w:sz w:val="24"/>
                <w:szCs w:val="24"/>
              </w:rPr>
            </w:pPr>
            <w:r w:rsidRPr="00073574">
              <w:rPr>
                <w:b/>
                <w:bCs/>
                <w:sz w:val="24"/>
                <w:szCs w:val="24"/>
              </w:rPr>
              <w:lastRenderedPageBreak/>
              <w:t>07-09</w:t>
            </w:r>
          </w:p>
        </w:tc>
        <w:tc>
          <w:tcPr>
            <w:tcW w:w="4564" w:type="dxa"/>
            <w:tcBorders>
              <w:top w:val="single" w:sz="12" w:space="0" w:color="auto"/>
            </w:tcBorders>
            <w:shd w:val="clear" w:color="auto" w:fill="auto"/>
          </w:tcPr>
          <w:p w14:paraId="540D42E2" w14:textId="77777777" w:rsidR="00F0236A" w:rsidRPr="00073574" w:rsidRDefault="00F0236A" w:rsidP="00DF36E1">
            <w:pPr>
              <w:pStyle w:val="Tabletext"/>
              <w:keepNext/>
              <w:keepLines/>
              <w:rPr>
                <w:b/>
                <w:bCs/>
                <w:sz w:val="24"/>
                <w:szCs w:val="24"/>
              </w:rPr>
            </w:pPr>
            <w:r w:rsidRPr="00073574">
              <w:rPr>
                <w:b/>
                <w:bCs/>
                <w:sz w:val="24"/>
                <w:szCs w:val="24"/>
              </w:rPr>
              <w:t>SGs, for reasons of economy, any necessary collaborative meetings to take place to the extent possible in association with other relevant meetings (resolves 8)</w:t>
            </w:r>
          </w:p>
        </w:tc>
        <w:tc>
          <w:tcPr>
            <w:tcW w:w="1886" w:type="dxa"/>
            <w:tcBorders>
              <w:top w:val="single" w:sz="12" w:space="0" w:color="auto"/>
            </w:tcBorders>
            <w:shd w:val="clear" w:color="auto" w:fill="auto"/>
            <w:vAlign w:val="center"/>
          </w:tcPr>
          <w:p w14:paraId="1BCBB338" w14:textId="77777777" w:rsidR="00F0236A" w:rsidRPr="00073574" w:rsidRDefault="00F0236A" w:rsidP="00DF36E1">
            <w:pPr>
              <w:pStyle w:val="Tabletext"/>
              <w:keepNext/>
              <w:keepLines/>
              <w:jc w:val="center"/>
              <w:rPr>
                <w:b/>
                <w:bCs/>
                <w:sz w:val="24"/>
                <w:szCs w:val="24"/>
              </w:rPr>
            </w:pPr>
            <w:r w:rsidRPr="00073574">
              <w:rPr>
                <w:b/>
                <w:bCs/>
                <w:sz w:val="24"/>
                <w:szCs w:val="24"/>
              </w:rPr>
              <w:t>Ongoing</w:t>
            </w:r>
          </w:p>
        </w:tc>
        <w:tc>
          <w:tcPr>
            <w:tcW w:w="1152" w:type="dxa"/>
            <w:tcBorders>
              <w:top w:val="single" w:sz="12" w:space="0" w:color="auto"/>
            </w:tcBorders>
            <w:shd w:val="clear" w:color="auto" w:fill="auto"/>
            <w:vAlign w:val="center"/>
          </w:tcPr>
          <w:p w14:paraId="70A71A05" w14:textId="046B6385" w:rsidR="00F0236A" w:rsidRPr="00073574" w:rsidDel="00593856" w:rsidRDefault="00353F42" w:rsidP="00DF36E1">
            <w:pPr>
              <w:pStyle w:val="Tabletext"/>
              <w:keepNext/>
              <w:keepLines/>
              <w:jc w:val="center"/>
              <w:rPr>
                <w:b/>
                <w:bCs/>
                <w:sz w:val="24"/>
                <w:szCs w:val="24"/>
              </w:rPr>
            </w:pPr>
            <w:r w:rsidRPr="00073574">
              <w:rPr>
                <w:b/>
                <w:bCs/>
                <w:sz w:val="24"/>
                <w:szCs w:val="24"/>
              </w:rPr>
              <w:t>√</w:t>
            </w:r>
          </w:p>
        </w:tc>
        <w:tc>
          <w:tcPr>
            <w:tcW w:w="1318" w:type="dxa"/>
            <w:tcBorders>
              <w:top w:val="single" w:sz="12" w:space="0" w:color="auto"/>
            </w:tcBorders>
            <w:shd w:val="clear" w:color="auto" w:fill="auto"/>
            <w:vAlign w:val="center"/>
          </w:tcPr>
          <w:p w14:paraId="559E383D" w14:textId="77777777" w:rsidR="00F0236A" w:rsidRPr="00073574" w:rsidRDefault="00F0236A" w:rsidP="00DF36E1">
            <w:pPr>
              <w:pStyle w:val="Tabletext"/>
              <w:keepNext/>
              <w:keepLines/>
              <w:jc w:val="center"/>
              <w:rPr>
                <w:b/>
                <w:bCs/>
                <w:sz w:val="24"/>
                <w:szCs w:val="24"/>
              </w:rPr>
            </w:pPr>
          </w:p>
        </w:tc>
      </w:tr>
      <w:tr w:rsidR="00F0236A" w:rsidRPr="00073574" w14:paraId="14799BD1" w14:textId="77777777" w:rsidTr="634A3A28">
        <w:trPr>
          <w:jc w:val="center"/>
        </w:trPr>
        <w:tc>
          <w:tcPr>
            <w:tcW w:w="912" w:type="dxa"/>
            <w:vMerge/>
            <w:vAlign w:val="center"/>
          </w:tcPr>
          <w:p w14:paraId="058C9878" w14:textId="77777777" w:rsidR="00F0236A" w:rsidRPr="00073574" w:rsidRDefault="00F0236A" w:rsidP="00DF36E1">
            <w:pPr>
              <w:pStyle w:val="Tabletext"/>
              <w:rPr>
                <w:sz w:val="24"/>
                <w:szCs w:val="24"/>
              </w:rPr>
            </w:pPr>
          </w:p>
        </w:tc>
        <w:tc>
          <w:tcPr>
            <w:tcW w:w="8920" w:type="dxa"/>
            <w:gridSpan w:val="4"/>
            <w:shd w:val="clear" w:color="auto" w:fill="auto"/>
          </w:tcPr>
          <w:p w14:paraId="245C3977" w14:textId="2DEA8BE8" w:rsidR="001D03B4" w:rsidRPr="00073574" w:rsidRDefault="1FF3B0C5" w:rsidP="4DCAE4D5">
            <w:pPr>
              <w:spacing w:after="40"/>
              <w:rPr>
                <w:szCs w:val="22"/>
              </w:rPr>
            </w:pPr>
            <w:r w:rsidRPr="00073574">
              <w:rPr>
                <w:szCs w:val="22"/>
              </w:rPr>
              <w:t>A joint meeting of ISO TC22/SC31/WG8 and ITU-T Q27/16 took place (9-10 July 2019, Changchun); 11 participants attended.</w:t>
            </w:r>
            <w:r w:rsidR="21166D40" w:rsidRPr="00073574">
              <w:rPr>
                <w:szCs w:val="22"/>
              </w:rPr>
              <w:t xml:space="preserve"> Some discussion took place to clarify on how to practically implement in sync the approval of ISO International Standards and SG16 Recommendations and a possible process was included as informative ANNEX to the terms of reference for the proposed joint project team on Vehicle Domain Service (JVDS). The ANNEX also provides some informal guidelines on how to implement detailed working procedures that will allow members of ITU-T SG16 and ISO TC22/SC31/WG8 to participate easily and on equal footing in the JVDS meetings.</w:t>
            </w:r>
            <w:r w:rsidR="77C36F0E" w:rsidRPr="00073574">
              <w:rPr>
                <w:szCs w:val="22"/>
              </w:rPr>
              <w:t xml:space="preserve"> Subsequent JVDS meetings were organized to progress agreed common work items</w:t>
            </w:r>
            <w:r w:rsidR="7A401632" w:rsidRPr="00073574">
              <w:rPr>
                <w:szCs w:val="22"/>
              </w:rPr>
              <w:t xml:space="preserve">, </w:t>
            </w:r>
            <w:hyperlink r:id="rId159" w:history="1">
              <w:r w:rsidR="0C5E3266" w:rsidRPr="00073574">
                <w:rPr>
                  <w:rStyle w:val="Hyperlink"/>
                  <w:rFonts w:eastAsia="Times New Roman"/>
                  <w:szCs w:val="22"/>
                </w:rPr>
                <w:t>H.VDS-APR</w:t>
              </w:r>
            </w:hyperlink>
            <w:r w:rsidR="0C5E3266" w:rsidRPr="00073574">
              <w:rPr>
                <w:rFonts w:eastAsia="Times New Roman"/>
                <w:color w:val="2B579A"/>
                <w:szCs w:val="22"/>
                <w:shd w:val="clear" w:color="auto" w:fill="E6E6E6"/>
              </w:rPr>
              <w:t xml:space="preserve">, </w:t>
            </w:r>
            <w:hyperlink r:id="rId160" w:history="1">
              <w:r w:rsidR="0C5E3266" w:rsidRPr="00073574">
                <w:rPr>
                  <w:rStyle w:val="Hyperlink"/>
                  <w:rFonts w:eastAsia="Times New Roman"/>
                  <w:szCs w:val="22"/>
                </w:rPr>
                <w:t>H.VDS-NWR</w:t>
              </w:r>
            </w:hyperlink>
            <w:r w:rsidR="0C5E3266" w:rsidRPr="00073574">
              <w:rPr>
                <w:rFonts w:eastAsia="Times New Roman"/>
                <w:color w:val="2B579A"/>
                <w:szCs w:val="22"/>
                <w:shd w:val="clear" w:color="auto" w:fill="E6E6E6"/>
              </w:rPr>
              <w:t xml:space="preserve">, </w:t>
            </w:r>
            <w:hyperlink r:id="rId161" w:history="1">
              <w:r w:rsidR="0C5E3266" w:rsidRPr="00073574">
                <w:rPr>
                  <w:rStyle w:val="Hyperlink"/>
                  <w:rFonts w:eastAsia="Times New Roman"/>
                  <w:szCs w:val="22"/>
                </w:rPr>
                <w:t>H.VDS-PHYR</w:t>
              </w:r>
            </w:hyperlink>
            <w:r w:rsidR="0C5E3266" w:rsidRPr="00073574">
              <w:rPr>
                <w:rFonts w:eastAsia="Times New Roman"/>
                <w:color w:val="2B579A"/>
                <w:szCs w:val="22"/>
                <w:shd w:val="clear" w:color="auto" w:fill="E6E6E6"/>
              </w:rPr>
              <w:t xml:space="preserve">, </w:t>
            </w:r>
            <w:hyperlink r:id="rId162" w:history="1">
              <w:r w:rsidR="0C5E3266" w:rsidRPr="00073574">
                <w:rPr>
                  <w:rStyle w:val="Hyperlink"/>
                  <w:rFonts w:eastAsia="Times New Roman"/>
                  <w:szCs w:val="22"/>
                </w:rPr>
                <w:t>H.VDS-UC</w:t>
              </w:r>
            </w:hyperlink>
            <w:r w:rsidR="7A401632" w:rsidRPr="00073574">
              <w:rPr>
                <w:szCs w:val="22"/>
              </w:rPr>
              <w:t>.</w:t>
            </w:r>
          </w:p>
          <w:p w14:paraId="31821EF3" w14:textId="7CA4CB75" w:rsidR="00AB0C95" w:rsidRPr="00073574" w:rsidRDefault="303E7F64" w:rsidP="4DCAE4D5">
            <w:pPr>
              <w:spacing w:after="40"/>
              <w:rPr>
                <w:szCs w:val="22"/>
              </w:rPr>
            </w:pPr>
            <w:r w:rsidRPr="00073574">
              <w:rPr>
                <w:szCs w:val="22"/>
              </w:rPr>
              <w:t xml:space="preserve">As part of its ongoing collaboration with ISO/IEC JTC1 / SC29 / WG11 (MPEG), </w:t>
            </w:r>
            <w:r w:rsidR="64C23C2F" w:rsidRPr="00073574">
              <w:rPr>
                <w:szCs w:val="22"/>
              </w:rPr>
              <w:t xml:space="preserve">ITU-T SG16 hosted the Joint Video Experts Team (JVET) Joint Collaborative Team on Video Coding (JCT-VC) </w:t>
            </w:r>
            <w:r w:rsidR="2822E749" w:rsidRPr="00073574">
              <w:rPr>
                <w:szCs w:val="22"/>
              </w:rPr>
              <w:t xml:space="preserve">meetings at each of its meetings during the study period </w:t>
            </w:r>
            <w:r w:rsidR="64C23C2F" w:rsidRPr="00073574">
              <w:rPr>
                <w:szCs w:val="22"/>
              </w:rPr>
              <w:t xml:space="preserve">for the development of </w:t>
            </w:r>
            <w:r w:rsidR="38D0D208" w:rsidRPr="00073574">
              <w:rPr>
                <w:szCs w:val="22"/>
              </w:rPr>
              <w:t xml:space="preserve">new and </w:t>
            </w:r>
            <w:r w:rsidR="64C23C2F" w:rsidRPr="00073574">
              <w:rPr>
                <w:szCs w:val="22"/>
              </w:rPr>
              <w:t>enhanced vide</w:t>
            </w:r>
            <w:r w:rsidR="3009A418" w:rsidRPr="00073574">
              <w:rPr>
                <w:szCs w:val="22"/>
              </w:rPr>
              <w:t>o coding</w:t>
            </w:r>
            <w:r w:rsidR="77574B17" w:rsidRPr="00073574">
              <w:rPr>
                <w:szCs w:val="22"/>
              </w:rPr>
              <w:t xml:space="preserve"> standards.</w:t>
            </w:r>
            <w:r w:rsidR="3009A418" w:rsidRPr="00073574">
              <w:rPr>
                <w:szCs w:val="22"/>
              </w:rPr>
              <w:t xml:space="preserve"> </w:t>
            </w:r>
            <w:r w:rsidR="7D4214E5" w:rsidRPr="00073574">
              <w:rPr>
                <w:szCs w:val="22"/>
              </w:rPr>
              <w:t xml:space="preserve">SG16 also hosted various ISO/IEC JTC1 / SC29 / WG1 (JPEG) </w:t>
            </w:r>
            <w:r w:rsidR="4C5224E5" w:rsidRPr="00073574">
              <w:rPr>
                <w:szCs w:val="22"/>
              </w:rPr>
              <w:t>meetings during the study period</w:t>
            </w:r>
            <w:r w:rsidR="3009A418" w:rsidRPr="00073574">
              <w:rPr>
                <w:szCs w:val="22"/>
              </w:rPr>
              <w:t>.</w:t>
            </w:r>
          </w:p>
          <w:p w14:paraId="460768D3" w14:textId="227307B4" w:rsidR="00F0236A" w:rsidRPr="00073574" w:rsidRDefault="76DDD6A8" w:rsidP="00E4222B">
            <w:pPr>
              <w:spacing w:after="40"/>
              <w:rPr>
                <w:szCs w:val="22"/>
              </w:rPr>
            </w:pPr>
            <w:r w:rsidRPr="00073574">
              <w:rPr>
                <w:szCs w:val="22"/>
              </w:rPr>
              <w:t xml:space="preserve">ITU-T SG16 hosted </w:t>
            </w:r>
            <w:r w:rsidR="55229BA2" w:rsidRPr="00073574">
              <w:rPr>
                <w:szCs w:val="22"/>
              </w:rPr>
              <w:t>and the last</w:t>
            </w:r>
            <w:r w:rsidR="595DDC0F" w:rsidRPr="00073574">
              <w:rPr>
                <w:szCs w:val="22"/>
              </w:rPr>
              <w:t xml:space="preserve"> Ad hoc meeting of IEC TC100 with ITU-T and ISO/IEC JTC1 (21 January 2017 PM).</w:t>
            </w:r>
          </w:p>
          <w:p w14:paraId="7DC1F24E" w14:textId="1FD8F3E2" w:rsidR="00F0236A" w:rsidRPr="00073574" w:rsidRDefault="7EBA48D7" w:rsidP="539711DF">
            <w:pPr>
              <w:spacing w:after="40"/>
              <w:rPr>
                <w:szCs w:val="22"/>
              </w:rPr>
            </w:pPr>
            <w:r w:rsidRPr="00073574">
              <w:rPr>
                <w:rFonts w:eastAsia="Times New Roman"/>
              </w:rPr>
              <w:t xml:space="preserve">Q11/17 meets collaboratively with </w:t>
            </w:r>
            <w:r w:rsidR="00321B2C" w:rsidRPr="00073574">
              <w:rPr>
                <w:rFonts w:eastAsia="Times New Roman"/>
              </w:rPr>
              <w:t xml:space="preserve">ISO/IEC </w:t>
            </w:r>
            <w:r w:rsidRPr="00073574">
              <w:rPr>
                <w:rFonts w:eastAsia="Times New Roman"/>
              </w:rPr>
              <w:t>JTC 1/SC 6/WG10.</w:t>
            </w:r>
          </w:p>
        </w:tc>
      </w:tr>
    </w:tbl>
    <w:bookmarkStart w:id="25" w:name="Item07_01"/>
    <w:bookmarkStart w:id="26" w:name="Item07_05"/>
    <w:bookmarkStart w:id="27" w:name="Item07_06"/>
    <w:bookmarkStart w:id="28" w:name="Item07_07"/>
    <w:bookmarkStart w:id="29" w:name="Item07_08"/>
    <w:bookmarkStart w:id="30" w:name="Item07_09"/>
    <w:bookmarkEnd w:id="25"/>
    <w:bookmarkEnd w:id="26"/>
    <w:bookmarkEnd w:id="27"/>
    <w:bookmarkEnd w:id="28"/>
    <w:bookmarkEnd w:id="29"/>
    <w:bookmarkEnd w:id="30"/>
    <w:p w14:paraId="185B4F9C" w14:textId="77777777" w:rsidR="00F0236A" w:rsidRPr="00073574" w:rsidRDefault="00F0236A" w:rsidP="00F0236A">
      <w:pPr>
        <w:rPr>
          <w:sz w:val="24"/>
        </w:rPr>
      </w:pPr>
      <w:r w:rsidRPr="00073574">
        <w:rPr>
          <w:color w:val="2B579A"/>
          <w:shd w:val="clear" w:color="auto" w:fill="E6E6E6"/>
        </w:rPr>
        <w:fldChar w:fldCharType="begin"/>
      </w:r>
      <w:r w:rsidRPr="00073574">
        <w:rPr>
          <w:sz w:val="24"/>
        </w:rPr>
        <w:instrText xml:space="preserve"> HYPERLINK \l "Top" </w:instrText>
      </w:r>
      <w:r w:rsidRPr="00073574">
        <w:rPr>
          <w:color w:val="2B579A"/>
          <w:shd w:val="clear" w:color="auto" w:fill="E6E6E6"/>
        </w:rPr>
        <w:fldChar w:fldCharType="separate"/>
      </w:r>
      <w:r w:rsidRPr="00073574">
        <w:rPr>
          <w:rStyle w:val="Hyperlink"/>
          <w:rFonts w:eastAsia="Times New Roman"/>
          <w:sz w:val="24"/>
        </w:rPr>
        <w:t>» Top</w:t>
      </w:r>
      <w:r w:rsidRPr="00073574">
        <w:rPr>
          <w:rStyle w:val="Hyperlink"/>
          <w:rFonts w:eastAsia="Times New Roman"/>
          <w:sz w:val="24"/>
        </w:rPr>
        <w:fldChar w:fldCharType="end"/>
      </w:r>
    </w:p>
    <w:p w14:paraId="0209CD5F" w14:textId="77777777" w:rsidR="00F0236A" w:rsidRPr="00073574" w:rsidRDefault="00F0236A" w:rsidP="00F0236A">
      <w:pPr>
        <w:rPr>
          <w:sz w:val="24"/>
        </w:rPr>
      </w:pPr>
    </w:p>
    <w:p w14:paraId="4D1863BE" w14:textId="77777777" w:rsidR="00F0236A" w:rsidRPr="00073574" w:rsidRDefault="00F0236A" w:rsidP="00301984">
      <w:pPr>
        <w:pStyle w:val="Heading1"/>
        <w:contextualSpacing w:val="0"/>
        <w:rPr>
          <w:sz w:val="24"/>
          <w:szCs w:val="24"/>
          <w:lang w:val="en-GB"/>
        </w:rPr>
      </w:pPr>
      <w:bookmarkStart w:id="31" w:name="Resolution_11"/>
      <w:bookmarkStart w:id="32" w:name="_Toc304236415"/>
      <w:bookmarkStart w:id="33" w:name="_Toc471715356"/>
      <w:bookmarkStart w:id="34" w:name="_Toc93425242"/>
      <w:bookmarkEnd w:id="31"/>
      <w:r w:rsidRPr="00073574">
        <w:rPr>
          <w:sz w:val="24"/>
          <w:szCs w:val="24"/>
          <w:lang w:val="en-GB"/>
        </w:rPr>
        <w:t>Resolution 11 - Collaboration with the Postal Operations Council of the Universal Postal Union in the study of services concerning both the postal and the telecommunication sectors</w:t>
      </w:r>
      <w:bookmarkEnd w:id="32"/>
      <w:bookmarkEnd w:id="33"/>
      <w:bookmarkEnd w:id="34"/>
    </w:p>
    <w:p w14:paraId="3BB74CA3" w14:textId="77777777" w:rsidR="00F0236A" w:rsidRPr="00073574" w:rsidRDefault="00F0236A" w:rsidP="00301984">
      <w:pPr>
        <w:rPr>
          <w:b/>
          <w:bCs/>
          <w:sz w:val="24"/>
        </w:rPr>
      </w:pPr>
      <w:r w:rsidRPr="00073574">
        <w:rPr>
          <w:b/>
          <w:bCs/>
          <w:sz w:val="24"/>
        </w:rPr>
        <w:t>Resolution 11</w:t>
      </w:r>
    </w:p>
    <w:p w14:paraId="0203E72E" w14:textId="77777777" w:rsidR="00F0236A" w:rsidRPr="00073574" w:rsidRDefault="00F0236A" w:rsidP="00301984">
      <w:pPr>
        <w:pStyle w:val="Call"/>
        <w:keepNext w:val="0"/>
        <w:keepLines w:val="0"/>
        <w:rPr>
          <w:sz w:val="24"/>
          <w:szCs w:val="24"/>
          <w:lang w:val="en-GB"/>
        </w:rPr>
      </w:pPr>
      <w:r w:rsidRPr="00073574">
        <w:rPr>
          <w:sz w:val="24"/>
          <w:szCs w:val="24"/>
          <w:lang w:val="en-GB"/>
        </w:rPr>
        <w:t>resolves</w:t>
      </w:r>
    </w:p>
    <w:p w14:paraId="6AC87AA4" w14:textId="77777777" w:rsidR="00F0236A" w:rsidRPr="00073574" w:rsidRDefault="00F0236A" w:rsidP="00301984">
      <w:pPr>
        <w:rPr>
          <w:sz w:val="24"/>
        </w:rPr>
      </w:pPr>
      <w:r w:rsidRPr="00073574">
        <w:rPr>
          <w:sz w:val="24"/>
        </w:rPr>
        <w:t xml:space="preserve">that the relevant study groups of the ITU Telecommunication Standardization Sector (ITU-T) should continue to collaborate with the Postal Operations Council (POC) committees as necessary, on a reciprocal basis and with a minimum of formality, in particular by investigating issues of common interest such as </w:t>
      </w:r>
      <w:r w:rsidRPr="00073574">
        <w:rPr>
          <w:rStyle w:val="hps"/>
          <w:sz w:val="24"/>
        </w:rPr>
        <w:t xml:space="preserve">quality of service </w:t>
      </w:r>
      <w:r w:rsidRPr="00073574">
        <w:rPr>
          <w:sz w:val="24"/>
        </w:rPr>
        <w:t xml:space="preserve">(QoS), quality of experience (QoE), </w:t>
      </w:r>
      <w:r w:rsidRPr="00073574">
        <w:rPr>
          <w:rStyle w:val="hps"/>
          <w:sz w:val="24"/>
        </w:rPr>
        <w:t>electronic services</w:t>
      </w:r>
      <w:r w:rsidRPr="00073574">
        <w:rPr>
          <w:sz w:val="24"/>
        </w:rPr>
        <w:t xml:space="preserve"> and security, digital financial services and transaction costs of </w:t>
      </w:r>
      <w:r w:rsidRPr="00073574">
        <w:rPr>
          <w:rStyle w:val="hps"/>
          <w:sz w:val="24"/>
        </w:rPr>
        <w:t>mobile payment</w:t>
      </w:r>
      <w:r w:rsidRPr="00073574">
        <w:rPr>
          <w:sz w:val="24"/>
        </w:rPr>
        <w:t>,</w:t>
      </w:r>
    </w:p>
    <w:p w14:paraId="2815E8DB" w14:textId="77777777" w:rsidR="00F0236A" w:rsidRPr="00073574" w:rsidRDefault="00F0236A" w:rsidP="00F0236A">
      <w:pPr>
        <w:pStyle w:val="Call"/>
        <w:rPr>
          <w:sz w:val="24"/>
          <w:szCs w:val="24"/>
          <w:lang w:val="en-GB"/>
        </w:rPr>
      </w:pPr>
      <w:r w:rsidRPr="00073574">
        <w:rPr>
          <w:sz w:val="24"/>
          <w:szCs w:val="24"/>
          <w:lang w:val="en-GB"/>
        </w:rPr>
        <w:t>instructs the Director of the Telecommunication Standardization Bureau</w:t>
      </w:r>
    </w:p>
    <w:p w14:paraId="6B92ED1A" w14:textId="77777777" w:rsidR="00F0236A" w:rsidRPr="00073574" w:rsidRDefault="00F0236A" w:rsidP="00F0236A">
      <w:pPr>
        <w:rPr>
          <w:sz w:val="24"/>
        </w:rPr>
      </w:pPr>
      <w:r w:rsidRPr="00073574">
        <w:rPr>
          <w:sz w:val="24"/>
        </w:rPr>
        <w:t>1</w:t>
      </w:r>
      <w:r w:rsidRPr="00073574">
        <w:rPr>
          <w:sz w:val="24"/>
        </w:rPr>
        <w:tab/>
        <w:t>to encourage and assist this collaboration between the two organs;</w:t>
      </w:r>
    </w:p>
    <w:p w14:paraId="7E9EEC96" w14:textId="77777777" w:rsidR="00F0236A" w:rsidRPr="00073574" w:rsidRDefault="00F0236A" w:rsidP="00F0236A">
      <w:pPr>
        <w:spacing w:after="240"/>
        <w:rPr>
          <w:sz w:val="24"/>
        </w:rPr>
      </w:pPr>
      <w:r w:rsidRPr="00073574">
        <w:rPr>
          <w:sz w:val="24"/>
        </w:rPr>
        <w:t>2</w:t>
      </w:r>
      <w:r w:rsidRPr="00073574">
        <w:rPr>
          <w:sz w:val="24"/>
        </w:rPr>
        <w:tab/>
        <w:t>to consult with UPU on the establishment of a joint working group between ITU and UPU on digital financial services to share lessons learned through the implementation of projects in the area of digital financial inclusion in order to drive standardization activities in both organizations.</w:t>
      </w:r>
    </w:p>
    <w:tbl>
      <w:tblPr>
        <w:tblW w:w="98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914"/>
        <w:gridCol w:w="4596"/>
        <w:gridCol w:w="1708"/>
        <w:gridCol w:w="1278"/>
        <w:gridCol w:w="1336"/>
      </w:tblGrid>
      <w:tr w:rsidR="00F0236A" w:rsidRPr="00073574" w14:paraId="05661E4A" w14:textId="77777777" w:rsidTr="7277BFE4">
        <w:trPr>
          <w:jc w:val="center"/>
        </w:trPr>
        <w:tc>
          <w:tcPr>
            <w:tcW w:w="914" w:type="dxa"/>
            <w:tcBorders>
              <w:top w:val="single" w:sz="12" w:space="0" w:color="auto"/>
              <w:bottom w:val="single" w:sz="12" w:space="0" w:color="auto"/>
            </w:tcBorders>
            <w:shd w:val="clear" w:color="auto" w:fill="FFFFFF" w:themeFill="background1"/>
            <w:vAlign w:val="center"/>
          </w:tcPr>
          <w:p w14:paraId="31E7374C" w14:textId="77777777" w:rsidR="00F0236A" w:rsidRPr="00073574" w:rsidRDefault="00F0236A" w:rsidP="005B5893">
            <w:pPr>
              <w:pStyle w:val="Tablehead"/>
              <w:keepNext w:val="0"/>
              <w:rPr>
                <w:sz w:val="24"/>
                <w:szCs w:val="24"/>
              </w:rPr>
            </w:pPr>
            <w:r w:rsidRPr="00073574">
              <w:rPr>
                <w:sz w:val="24"/>
                <w:szCs w:val="24"/>
              </w:rPr>
              <w:lastRenderedPageBreak/>
              <w:t>Action Item</w:t>
            </w:r>
          </w:p>
        </w:tc>
        <w:tc>
          <w:tcPr>
            <w:tcW w:w="4596" w:type="dxa"/>
            <w:tcBorders>
              <w:top w:val="single" w:sz="12" w:space="0" w:color="auto"/>
              <w:bottom w:val="single" w:sz="12" w:space="0" w:color="auto"/>
            </w:tcBorders>
            <w:shd w:val="clear" w:color="auto" w:fill="FFFFFF" w:themeFill="background1"/>
            <w:vAlign w:val="center"/>
            <w:hideMark/>
          </w:tcPr>
          <w:p w14:paraId="0E411B61" w14:textId="77777777" w:rsidR="00F0236A" w:rsidRPr="00073574" w:rsidRDefault="00F0236A" w:rsidP="009045D6">
            <w:pPr>
              <w:pStyle w:val="Tablehead"/>
              <w:keepLines/>
              <w:rPr>
                <w:sz w:val="24"/>
                <w:szCs w:val="24"/>
              </w:rPr>
            </w:pPr>
            <w:r w:rsidRPr="00073574">
              <w:rPr>
                <w:sz w:val="24"/>
                <w:szCs w:val="24"/>
              </w:rPr>
              <w:t>Action</w:t>
            </w:r>
          </w:p>
        </w:tc>
        <w:tc>
          <w:tcPr>
            <w:tcW w:w="1708" w:type="dxa"/>
            <w:tcBorders>
              <w:top w:val="single" w:sz="12" w:space="0" w:color="auto"/>
              <w:bottom w:val="single" w:sz="12" w:space="0" w:color="auto"/>
            </w:tcBorders>
            <w:shd w:val="clear" w:color="auto" w:fill="FFFFFF" w:themeFill="background1"/>
            <w:vAlign w:val="center"/>
            <w:hideMark/>
          </w:tcPr>
          <w:p w14:paraId="72C417A0" w14:textId="77777777" w:rsidR="00F0236A" w:rsidRPr="00073574" w:rsidRDefault="00F0236A" w:rsidP="009045D6">
            <w:pPr>
              <w:pStyle w:val="Tablehead"/>
              <w:keepLines/>
              <w:rPr>
                <w:sz w:val="24"/>
                <w:szCs w:val="24"/>
              </w:rPr>
            </w:pPr>
            <w:r w:rsidRPr="00073574">
              <w:rPr>
                <w:sz w:val="24"/>
                <w:szCs w:val="24"/>
              </w:rPr>
              <w:t>Milestone</w:t>
            </w:r>
          </w:p>
        </w:tc>
        <w:tc>
          <w:tcPr>
            <w:tcW w:w="1278" w:type="dxa"/>
            <w:tcBorders>
              <w:top w:val="single" w:sz="12" w:space="0" w:color="auto"/>
              <w:bottom w:val="single" w:sz="12" w:space="0" w:color="auto"/>
            </w:tcBorders>
            <w:shd w:val="clear" w:color="auto" w:fill="FFFFFF" w:themeFill="background1"/>
          </w:tcPr>
          <w:p w14:paraId="67CB4896" w14:textId="77777777" w:rsidR="00F0236A" w:rsidRPr="00073574" w:rsidRDefault="00F0236A" w:rsidP="009045D6">
            <w:pPr>
              <w:pStyle w:val="Tablehead"/>
              <w:keepLines/>
              <w:rPr>
                <w:sz w:val="24"/>
                <w:szCs w:val="24"/>
              </w:rPr>
            </w:pPr>
            <w:r w:rsidRPr="00073574">
              <w:rPr>
                <w:sz w:val="24"/>
                <w:szCs w:val="24"/>
              </w:rPr>
              <w:t>Periodic goals met</w:t>
            </w:r>
          </w:p>
        </w:tc>
        <w:tc>
          <w:tcPr>
            <w:tcW w:w="1336" w:type="dxa"/>
            <w:tcBorders>
              <w:top w:val="single" w:sz="12" w:space="0" w:color="auto"/>
              <w:bottom w:val="single" w:sz="12" w:space="0" w:color="auto"/>
            </w:tcBorders>
            <w:shd w:val="clear" w:color="auto" w:fill="FFFFFF" w:themeFill="background1"/>
            <w:vAlign w:val="center"/>
          </w:tcPr>
          <w:p w14:paraId="7CAC9F3F" w14:textId="77777777" w:rsidR="00F0236A" w:rsidRPr="00073574" w:rsidRDefault="00F0236A" w:rsidP="009045D6">
            <w:pPr>
              <w:pStyle w:val="Tablehead"/>
              <w:keepLines/>
              <w:rPr>
                <w:sz w:val="24"/>
                <w:szCs w:val="24"/>
              </w:rPr>
            </w:pPr>
            <w:r w:rsidRPr="00073574">
              <w:rPr>
                <w:sz w:val="24"/>
                <w:szCs w:val="24"/>
              </w:rPr>
              <w:t>Completed</w:t>
            </w:r>
          </w:p>
        </w:tc>
      </w:tr>
      <w:tr w:rsidR="00F0236A" w:rsidRPr="00073574" w14:paraId="26C3CB70" w14:textId="77777777" w:rsidTr="7277BFE4">
        <w:trPr>
          <w:cantSplit/>
          <w:jc w:val="center"/>
        </w:trPr>
        <w:tc>
          <w:tcPr>
            <w:tcW w:w="914" w:type="dxa"/>
            <w:vMerge w:val="restart"/>
            <w:tcBorders>
              <w:top w:val="single" w:sz="12" w:space="0" w:color="auto"/>
            </w:tcBorders>
            <w:shd w:val="clear" w:color="auto" w:fill="FFFFFF" w:themeFill="background1"/>
          </w:tcPr>
          <w:p w14:paraId="39A4ADA9" w14:textId="77777777" w:rsidR="00F0236A" w:rsidRPr="00073574" w:rsidRDefault="00F0236A" w:rsidP="00AB7F74">
            <w:pPr>
              <w:pStyle w:val="Tabletext"/>
              <w:rPr>
                <w:b/>
                <w:bCs/>
                <w:sz w:val="24"/>
                <w:szCs w:val="24"/>
              </w:rPr>
            </w:pPr>
            <w:r w:rsidRPr="00073574">
              <w:rPr>
                <w:b/>
                <w:bCs/>
                <w:sz w:val="24"/>
                <w:szCs w:val="24"/>
              </w:rPr>
              <w:t>11-01</w:t>
            </w:r>
          </w:p>
        </w:tc>
        <w:tc>
          <w:tcPr>
            <w:tcW w:w="4596" w:type="dxa"/>
            <w:tcBorders>
              <w:top w:val="single" w:sz="12" w:space="0" w:color="auto"/>
              <w:bottom w:val="single" w:sz="4" w:space="0" w:color="auto"/>
            </w:tcBorders>
            <w:shd w:val="clear" w:color="auto" w:fill="FFFFFF" w:themeFill="background1"/>
            <w:hideMark/>
          </w:tcPr>
          <w:p w14:paraId="7DA70FBF" w14:textId="77777777" w:rsidR="00F0236A" w:rsidRPr="00073574" w:rsidRDefault="00F0236A" w:rsidP="00AB7F74">
            <w:pPr>
              <w:pStyle w:val="Tabletext"/>
              <w:rPr>
                <w:b/>
                <w:bCs/>
                <w:sz w:val="24"/>
                <w:szCs w:val="24"/>
              </w:rPr>
            </w:pPr>
            <w:r w:rsidRPr="00073574">
              <w:rPr>
                <w:b/>
                <w:bCs/>
                <w:sz w:val="24"/>
                <w:szCs w:val="24"/>
              </w:rPr>
              <w:t>ITU-T SGs to collaborate with the UPU POC committees on issues of common interest (resolves)</w:t>
            </w:r>
          </w:p>
        </w:tc>
        <w:tc>
          <w:tcPr>
            <w:tcW w:w="1708" w:type="dxa"/>
            <w:tcBorders>
              <w:top w:val="single" w:sz="12" w:space="0" w:color="auto"/>
              <w:bottom w:val="single" w:sz="4" w:space="0" w:color="auto"/>
            </w:tcBorders>
            <w:shd w:val="clear" w:color="auto" w:fill="FFFFFF" w:themeFill="background1"/>
            <w:vAlign w:val="center"/>
            <w:hideMark/>
          </w:tcPr>
          <w:p w14:paraId="0D140D0C" w14:textId="77777777" w:rsidR="00F0236A" w:rsidRPr="00073574" w:rsidRDefault="00F0236A" w:rsidP="00AB7F74">
            <w:pPr>
              <w:pStyle w:val="Tabletext"/>
              <w:jc w:val="center"/>
              <w:rPr>
                <w:b/>
                <w:bCs/>
                <w:sz w:val="24"/>
                <w:szCs w:val="24"/>
              </w:rPr>
            </w:pPr>
            <w:r w:rsidRPr="00073574">
              <w:rPr>
                <w:b/>
                <w:bCs/>
                <w:sz w:val="24"/>
                <w:szCs w:val="24"/>
              </w:rPr>
              <w:t>Ongoing</w:t>
            </w:r>
          </w:p>
        </w:tc>
        <w:tc>
          <w:tcPr>
            <w:tcW w:w="1278" w:type="dxa"/>
            <w:tcBorders>
              <w:top w:val="single" w:sz="12" w:space="0" w:color="auto"/>
              <w:bottom w:val="single" w:sz="4" w:space="0" w:color="auto"/>
            </w:tcBorders>
            <w:shd w:val="clear" w:color="auto" w:fill="FFFFFF" w:themeFill="background1"/>
            <w:vAlign w:val="center"/>
          </w:tcPr>
          <w:p w14:paraId="5545462C" w14:textId="77777777" w:rsidR="00F0236A" w:rsidRPr="00073574" w:rsidRDefault="00F0236A" w:rsidP="00AB7F74">
            <w:pPr>
              <w:pStyle w:val="Tabletext"/>
              <w:jc w:val="center"/>
              <w:rPr>
                <w:b/>
                <w:bCs/>
                <w:sz w:val="24"/>
                <w:szCs w:val="24"/>
              </w:rPr>
            </w:pPr>
            <w:r w:rsidRPr="00073574">
              <w:rPr>
                <w:b/>
                <w:bCs/>
                <w:sz w:val="24"/>
                <w:szCs w:val="24"/>
              </w:rPr>
              <w:t>√</w:t>
            </w:r>
          </w:p>
        </w:tc>
        <w:tc>
          <w:tcPr>
            <w:tcW w:w="1336" w:type="dxa"/>
            <w:tcBorders>
              <w:top w:val="single" w:sz="12" w:space="0" w:color="auto"/>
              <w:bottom w:val="single" w:sz="4" w:space="0" w:color="auto"/>
            </w:tcBorders>
            <w:shd w:val="clear" w:color="auto" w:fill="FFFFFF" w:themeFill="background1"/>
            <w:vAlign w:val="center"/>
          </w:tcPr>
          <w:p w14:paraId="5DA1E464" w14:textId="77777777" w:rsidR="00F0236A" w:rsidRPr="00073574" w:rsidRDefault="00F0236A" w:rsidP="00AB7F74">
            <w:pPr>
              <w:pStyle w:val="Tabletext"/>
              <w:jc w:val="center"/>
              <w:rPr>
                <w:b/>
                <w:bCs/>
                <w:sz w:val="24"/>
                <w:szCs w:val="24"/>
              </w:rPr>
            </w:pPr>
          </w:p>
        </w:tc>
      </w:tr>
      <w:tr w:rsidR="00F0236A" w:rsidRPr="00073574" w14:paraId="72BD4077" w14:textId="77777777" w:rsidTr="7277BFE4">
        <w:trPr>
          <w:cantSplit/>
          <w:jc w:val="center"/>
        </w:trPr>
        <w:tc>
          <w:tcPr>
            <w:tcW w:w="914" w:type="dxa"/>
            <w:vMerge/>
          </w:tcPr>
          <w:p w14:paraId="40604BDF" w14:textId="77777777" w:rsidR="00F0236A" w:rsidRPr="00073574" w:rsidRDefault="00F0236A" w:rsidP="00AB7F74">
            <w:pPr>
              <w:pStyle w:val="Tabletext"/>
              <w:rPr>
                <w:sz w:val="24"/>
                <w:szCs w:val="24"/>
              </w:rPr>
            </w:pPr>
          </w:p>
        </w:tc>
        <w:tc>
          <w:tcPr>
            <w:tcW w:w="8918" w:type="dxa"/>
            <w:gridSpan w:val="4"/>
            <w:tcBorders>
              <w:top w:val="single" w:sz="4" w:space="0" w:color="auto"/>
              <w:bottom w:val="single" w:sz="12" w:space="0" w:color="auto"/>
            </w:tcBorders>
            <w:shd w:val="clear" w:color="auto" w:fill="FFFFFF" w:themeFill="background1"/>
          </w:tcPr>
          <w:p w14:paraId="494B8F17" w14:textId="6BF0CD97" w:rsidR="00A700E5" w:rsidRPr="00073574" w:rsidRDefault="00C43DBE" w:rsidP="001D512F">
            <w:pPr>
              <w:pStyle w:val="Tabletext"/>
              <w:rPr>
                <w:szCs w:val="22"/>
              </w:rPr>
            </w:pPr>
            <w:r w:rsidRPr="00073574">
              <w:rPr>
                <w:szCs w:val="22"/>
              </w:rPr>
              <w:t xml:space="preserve">UPU </w:t>
            </w:r>
            <w:r w:rsidR="00DC507D" w:rsidRPr="00073574">
              <w:rPr>
                <w:szCs w:val="22"/>
              </w:rPr>
              <w:t xml:space="preserve">submitted </w:t>
            </w:r>
            <w:r w:rsidR="006057F4" w:rsidRPr="00073574">
              <w:rPr>
                <w:szCs w:val="22"/>
              </w:rPr>
              <w:t>UPU S68</w:t>
            </w:r>
            <w:r w:rsidR="006057F4" w:rsidRPr="00073574">
              <w:t xml:space="preserve"> “</w:t>
            </w:r>
            <w:r w:rsidR="006057F4" w:rsidRPr="00073574">
              <w:rPr>
                <w:szCs w:val="22"/>
              </w:rPr>
              <w:t xml:space="preserve">Postal identity management framework” </w:t>
            </w:r>
            <w:r w:rsidR="00DC507D" w:rsidRPr="00073574">
              <w:rPr>
                <w:szCs w:val="22"/>
              </w:rPr>
              <w:t xml:space="preserve">for incorporation </w:t>
            </w:r>
            <w:r w:rsidR="006057F4" w:rsidRPr="00073574">
              <w:rPr>
                <w:szCs w:val="22"/>
              </w:rPr>
              <w:t>into an ITU-T Recommendation by ITU-T SG17 in 201</w:t>
            </w:r>
            <w:r w:rsidR="00DC507D" w:rsidRPr="00073574">
              <w:rPr>
                <w:szCs w:val="22"/>
              </w:rPr>
              <w:t>8</w:t>
            </w:r>
            <w:r w:rsidR="006057F4" w:rsidRPr="00073574">
              <w:rPr>
                <w:szCs w:val="22"/>
              </w:rPr>
              <w:t xml:space="preserve">. </w:t>
            </w:r>
            <w:r w:rsidR="00F2637C" w:rsidRPr="00073574">
              <w:rPr>
                <w:szCs w:val="22"/>
              </w:rPr>
              <w:t xml:space="preserve">SG17 </w:t>
            </w:r>
            <w:r w:rsidR="009474F7" w:rsidRPr="00073574">
              <w:rPr>
                <w:szCs w:val="22"/>
              </w:rPr>
              <w:t>initiated</w:t>
            </w:r>
            <w:r w:rsidR="00F2637C" w:rsidRPr="00073574">
              <w:rPr>
                <w:szCs w:val="22"/>
              </w:rPr>
              <w:t xml:space="preserve"> </w:t>
            </w:r>
            <w:r w:rsidR="00A700E5" w:rsidRPr="00073574">
              <w:rPr>
                <w:szCs w:val="22"/>
              </w:rPr>
              <w:t>ITU-T A.5 qualification of UPU so that ITU-T A.25 could be applied</w:t>
            </w:r>
            <w:r w:rsidR="00E62949" w:rsidRPr="00073574">
              <w:rPr>
                <w:szCs w:val="22"/>
              </w:rPr>
              <w:t>.</w:t>
            </w:r>
            <w:r w:rsidR="00572420" w:rsidRPr="00073574">
              <w:rPr>
                <w:szCs w:val="22"/>
              </w:rPr>
              <w:t xml:space="preserve"> Due to</w:t>
            </w:r>
            <w:r w:rsidR="00516295" w:rsidRPr="00073574">
              <w:rPr>
                <w:szCs w:val="22"/>
              </w:rPr>
              <w:t xml:space="preserve"> lack of </w:t>
            </w:r>
            <w:r w:rsidR="00572420" w:rsidRPr="00073574">
              <w:rPr>
                <w:szCs w:val="22"/>
              </w:rPr>
              <w:t>response from UPU, SG17 sto</w:t>
            </w:r>
            <w:r w:rsidR="00A0774D" w:rsidRPr="00073574">
              <w:rPr>
                <w:szCs w:val="22"/>
              </w:rPr>
              <w:t>p</w:t>
            </w:r>
            <w:r w:rsidR="00572420" w:rsidRPr="00073574">
              <w:rPr>
                <w:szCs w:val="22"/>
              </w:rPr>
              <w:t>ped this effort in September 2021.</w:t>
            </w:r>
          </w:p>
        </w:tc>
      </w:tr>
      <w:tr w:rsidR="00F0236A" w:rsidRPr="00073574" w14:paraId="03A26E21" w14:textId="77777777" w:rsidTr="7277BFE4">
        <w:trPr>
          <w:jc w:val="center"/>
        </w:trPr>
        <w:tc>
          <w:tcPr>
            <w:tcW w:w="914" w:type="dxa"/>
            <w:vMerge w:val="restart"/>
            <w:tcBorders>
              <w:top w:val="single" w:sz="12" w:space="0" w:color="auto"/>
            </w:tcBorders>
            <w:shd w:val="clear" w:color="auto" w:fill="FFFFFF" w:themeFill="background1"/>
          </w:tcPr>
          <w:p w14:paraId="615F10A3" w14:textId="77777777" w:rsidR="00F0236A" w:rsidRPr="00073574" w:rsidRDefault="00F0236A" w:rsidP="006409FA">
            <w:pPr>
              <w:pStyle w:val="Tabletext"/>
              <w:rPr>
                <w:b/>
                <w:bCs/>
                <w:sz w:val="24"/>
                <w:szCs w:val="24"/>
              </w:rPr>
            </w:pPr>
            <w:r w:rsidRPr="00073574">
              <w:rPr>
                <w:b/>
                <w:bCs/>
                <w:sz w:val="24"/>
                <w:szCs w:val="24"/>
              </w:rPr>
              <w:t>11-02</w:t>
            </w:r>
          </w:p>
        </w:tc>
        <w:tc>
          <w:tcPr>
            <w:tcW w:w="4596" w:type="dxa"/>
            <w:tcBorders>
              <w:top w:val="single" w:sz="12" w:space="0" w:color="auto"/>
              <w:bottom w:val="single" w:sz="12" w:space="0" w:color="auto"/>
            </w:tcBorders>
            <w:shd w:val="clear" w:color="auto" w:fill="FFFFFF" w:themeFill="background1"/>
          </w:tcPr>
          <w:p w14:paraId="170E1D5A" w14:textId="77777777" w:rsidR="00F0236A" w:rsidRPr="00073574" w:rsidRDefault="00F0236A" w:rsidP="006409FA">
            <w:pPr>
              <w:pStyle w:val="Tabletext"/>
              <w:rPr>
                <w:b/>
                <w:bCs/>
                <w:sz w:val="24"/>
                <w:szCs w:val="24"/>
              </w:rPr>
            </w:pPr>
            <w:r w:rsidRPr="00073574">
              <w:rPr>
                <w:b/>
                <w:bCs/>
                <w:sz w:val="24"/>
                <w:szCs w:val="24"/>
              </w:rPr>
              <w:t>TSB Director to consult with UPU on establishing a joint WG on digital financial services (i. TSB Dir 2)</w:t>
            </w:r>
          </w:p>
        </w:tc>
        <w:tc>
          <w:tcPr>
            <w:tcW w:w="1708" w:type="dxa"/>
            <w:tcBorders>
              <w:top w:val="single" w:sz="12" w:space="0" w:color="auto"/>
              <w:bottom w:val="single" w:sz="12" w:space="0" w:color="auto"/>
            </w:tcBorders>
            <w:shd w:val="clear" w:color="auto" w:fill="FFFFFF" w:themeFill="background1"/>
            <w:vAlign w:val="center"/>
          </w:tcPr>
          <w:p w14:paraId="1388BAE6" w14:textId="77777777" w:rsidR="00F0236A" w:rsidRPr="00073574" w:rsidRDefault="00F0236A" w:rsidP="006409FA">
            <w:pPr>
              <w:pStyle w:val="Tabletext"/>
              <w:jc w:val="center"/>
              <w:rPr>
                <w:b/>
                <w:bCs/>
                <w:sz w:val="24"/>
                <w:szCs w:val="24"/>
              </w:rPr>
            </w:pPr>
            <w:r w:rsidRPr="00073574">
              <w:rPr>
                <w:b/>
                <w:bCs/>
                <w:sz w:val="24"/>
                <w:szCs w:val="24"/>
              </w:rPr>
              <w:t>Ongoing</w:t>
            </w:r>
          </w:p>
        </w:tc>
        <w:tc>
          <w:tcPr>
            <w:tcW w:w="1278" w:type="dxa"/>
            <w:tcBorders>
              <w:top w:val="single" w:sz="12" w:space="0" w:color="auto"/>
              <w:bottom w:val="single" w:sz="12" w:space="0" w:color="auto"/>
            </w:tcBorders>
            <w:shd w:val="clear" w:color="auto" w:fill="FFFFFF" w:themeFill="background1"/>
            <w:vAlign w:val="center"/>
          </w:tcPr>
          <w:p w14:paraId="7F76BBAE" w14:textId="77777777" w:rsidR="00F0236A" w:rsidRPr="00073574" w:rsidDel="00C74CCD" w:rsidRDefault="00F0236A" w:rsidP="006409FA">
            <w:pPr>
              <w:pStyle w:val="Tabletext"/>
              <w:jc w:val="center"/>
              <w:rPr>
                <w:b/>
                <w:bCs/>
                <w:sz w:val="24"/>
                <w:szCs w:val="24"/>
              </w:rPr>
            </w:pPr>
            <w:r w:rsidRPr="00073574">
              <w:rPr>
                <w:b/>
                <w:bCs/>
                <w:sz w:val="24"/>
                <w:szCs w:val="24"/>
              </w:rPr>
              <w:t>√</w:t>
            </w:r>
          </w:p>
        </w:tc>
        <w:tc>
          <w:tcPr>
            <w:tcW w:w="1336" w:type="dxa"/>
            <w:tcBorders>
              <w:top w:val="single" w:sz="12" w:space="0" w:color="auto"/>
              <w:bottom w:val="single" w:sz="12" w:space="0" w:color="auto"/>
            </w:tcBorders>
            <w:shd w:val="clear" w:color="auto" w:fill="FFFFFF" w:themeFill="background1"/>
            <w:vAlign w:val="center"/>
          </w:tcPr>
          <w:p w14:paraId="090AEFE9" w14:textId="77777777" w:rsidR="00F0236A" w:rsidRPr="00073574" w:rsidRDefault="00F0236A" w:rsidP="006409FA">
            <w:pPr>
              <w:pStyle w:val="Tabletext"/>
              <w:jc w:val="center"/>
              <w:rPr>
                <w:b/>
                <w:bCs/>
                <w:sz w:val="24"/>
                <w:szCs w:val="24"/>
              </w:rPr>
            </w:pPr>
            <w:r w:rsidRPr="00073574">
              <w:rPr>
                <w:b/>
                <w:bCs/>
                <w:sz w:val="24"/>
                <w:szCs w:val="24"/>
              </w:rPr>
              <w:t>√</w:t>
            </w:r>
          </w:p>
        </w:tc>
      </w:tr>
      <w:tr w:rsidR="00F0236A" w:rsidRPr="00073574" w14:paraId="7D5A2117" w14:textId="77777777" w:rsidTr="7277BFE4">
        <w:trPr>
          <w:jc w:val="center"/>
        </w:trPr>
        <w:tc>
          <w:tcPr>
            <w:tcW w:w="914" w:type="dxa"/>
            <w:vMerge/>
            <w:vAlign w:val="center"/>
          </w:tcPr>
          <w:p w14:paraId="0967891C" w14:textId="77777777" w:rsidR="00F0236A" w:rsidRPr="00073574" w:rsidRDefault="00F0236A" w:rsidP="006409FA">
            <w:pPr>
              <w:pStyle w:val="Tabletext"/>
              <w:rPr>
                <w:sz w:val="24"/>
                <w:szCs w:val="24"/>
              </w:rPr>
            </w:pPr>
          </w:p>
        </w:tc>
        <w:tc>
          <w:tcPr>
            <w:tcW w:w="8918" w:type="dxa"/>
            <w:gridSpan w:val="4"/>
            <w:tcBorders>
              <w:top w:val="single" w:sz="12" w:space="0" w:color="auto"/>
            </w:tcBorders>
            <w:shd w:val="clear" w:color="auto" w:fill="FFFFFF" w:themeFill="background1"/>
          </w:tcPr>
          <w:p w14:paraId="6403B596" w14:textId="376765A7" w:rsidR="00740C1A" w:rsidRPr="00073574" w:rsidRDefault="00F0236A" w:rsidP="004F56CD">
            <w:pPr>
              <w:pStyle w:val="Tabletext"/>
            </w:pPr>
            <w:r w:rsidRPr="00073574">
              <w:t xml:space="preserve">Following a meeting between TSB and UPU in January 2017, it was agreed to establish a joint ITU-UPU working group on </w:t>
            </w:r>
            <w:r w:rsidR="003F6329" w:rsidRPr="00073574">
              <w:t>Digital Financial Services</w:t>
            </w:r>
            <w:r w:rsidRPr="00073574">
              <w:t xml:space="preserve">. The main objective of the working group </w:t>
            </w:r>
            <w:r w:rsidR="0088618D" w:rsidRPr="00073574">
              <w:t>were</w:t>
            </w:r>
            <w:r w:rsidRPr="00073574">
              <w:t xml:space="preserve"> to coordinate participation of both organization in the activities and events taking place on DFS. Areas in DFS which have been identified where potential activities could be undertaken are quality of service, security and identity. As a first activity, the DFS Glossary produced by the ITU</w:t>
            </w:r>
            <w:r w:rsidR="0088618D" w:rsidRPr="00073574">
              <w:t>-T</w:t>
            </w:r>
            <w:r w:rsidRPr="00073574">
              <w:t xml:space="preserve"> Focus Group Digital Financial Services </w:t>
            </w:r>
            <w:r w:rsidR="0088618D" w:rsidRPr="00073574">
              <w:t>was</w:t>
            </w:r>
            <w:r w:rsidRPr="00073574">
              <w:t xml:space="preserve"> published as joint ITU-UPU </w:t>
            </w:r>
            <w:r w:rsidR="70CC5CB6" w:rsidRPr="00073574">
              <w:t>publication in October 2017.</w:t>
            </w:r>
            <w:r w:rsidR="10CC1A1E" w:rsidRPr="00073574">
              <w:t xml:space="preserve"> In </w:t>
            </w:r>
            <w:r w:rsidR="300296C4" w:rsidRPr="00073574">
              <w:t xml:space="preserve">2018, </w:t>
            </w:r>
            <w:r w:rsidR="10CC1A1E" w:rsidRPr="00073574">
              <w:t>2019</w:t>
            </w:r>
            <w:r w:rsidR="00D82DC7" w:rsidRPr="00073574">
              <w:t>,</w:t>
            </w:r>
            <w:r w:rsidR="10CC1A1E" w:rsidRPr="00073574">
              <w:t xml:space="preserve"> 2020</w:t>
            </w:r>
            <w:r w:rsidR="00D82DC7" w:rsidRPr="00073574">
              <w:t xml:space="preserve"> and 2021</w:t>
            </w:r>
            <w:r w:rsidR="10CC1A1E" w:rsidRPr="00073574">
              <w:t>, the I</w:t>
            </w:r>
            <w:r w:rsidR="7CD58947" w:rsidRPr="00073574">
              <w:t>TU-UPU Working Group</w:t>
            </w:r>
            <w:r w:rsidR="10CC1A1E" w:rsidRPr="00073574">
              <w:t xml:space="preserve"> </w:t>
            </w:r>
            <w:r w:rsidR="3FF34E65" w:rsidRPr="00073574">
              <w:t xml:space="preserve">coordinated the participation of the respective organizations in the events </w:t>
            </w:r>
            <w:r w:rsidR="5DC78285" w:rsidRPr="00073574">
              <w:t xml:space="preserve">related to digital </w:t>
            </w:r>
            <w:r w:rsidR="20AFFE03" w:rsidRPr="00073574">
              <w:t>financial</w:t>
            </w:r>
            <w:r w:rsidR="5DC78285" w:rsidRPr="00073574">
              <w:t xml:space="preserve"> </w:t>
            </w:r>
            <w:r w:rsidR="2656B222" w:rsidRPr="00073574">
              <w:t>services</w:t>
            </w:r>
            <w:r w:rsidR="5DC78285" w:rsidRPr="00073574">
              <w:t>. UPU participated in the meetings of the FIGI Security Infrastructu</w:t>
            </w:r>
            <w:r w:rsidR="55B028FA" w:rsidRPr="00073574">
              <w:t>re</w:t>
            </w:r>
            <w:r w:rsidR="00C24A40" w:rsidRPr="00073574">
              <w:t xml:space="preserve"> and Trust Working Group in 2019 - 2021</w:t>
            </w:r>
            <w:r w:rsidR="001C0763" w:rsidRPr="00073574">
              <w:t>,</w:t>
            </w:r>
            <w:r w:rsidR="00B32D6F" w:rsidRPr="00073574">
              <w:t xml:space="preserve"> </w:t>
            </w:r>
            <w:r w:rsidR="55B028FA" w:rsidRPr="00073574">
              <w:t xml:space="preserve">and </w:t>
            </w:r>
            <w:r w:rsidR="001C0763" w:rsidRPr="00073574">
              <w:t>i</w:t>
            </w:r>
            <w:r w:rsidR="55B028FA" w:rsidRPr="00073574">
              <w:t>n the FIGI Symposium organised by ITU in 2017</w:t>
            </w:r>
            <w:r w:rsidR="00D82DC7" w:rsidRPr="00073574">
              <w:t>,</w:t>
            </w:r>
            <w:r w:rsidR="55B028FA" w:rsidRPr="00073574">
              <w:t xml:space="preserve"> 2019</w:t>
            </w:r>
            <w:r w:rsidR="00DC1802" w:rsidRPr="00073574">
              <w:t xml:space="preserve"> and 2021</w:t>
            </w:r>
            <w:r w:rsidR="55B028FA" w:rsidRPr="00073574">
              <w:t>.</w:t>
            </w:r>
          </w:p>
        </w:tc>
      </w:tr>
    </w:tbl>
    <w:bookmarkStart w:id="35" w:name="Item11_01"/>
    <w:bookmarkStart w:id="36" w:name="Item11_02"/>
    <w:bookmarkEnd w:id="35"/>
    <w:bookmarkEnd w:id="36"/>
    <w:p w14:paraId="05B47B40" w14:textId="77777777" w:rsidR="00F0236A" w:rsidRPr="00073574" w:rsidRDefault="00F0236A" w:rsidP="00F0236A">
      <w:pPr>
        <w:rPr>
          <w:sz w:val="24"/>
        </w:rPr>
      </w:pPr>
      <w:r w:rsidRPr="00073574">
        <w:rPr>
          <w:color w:val="2B579A"/>
          <w:shd w:val="clear" w:color="auto" w:fill="E6E6E6"/>
        </w:rPr>
        <w:fldChar w:fldCharType="begin"/>
      </w:r>
      <w:r w:rsidRPr="00073574">
        <w:rPr>
          <w:sz w:val="24"/>
        </w:rPr>
        <w:instrText xml:space="preserve"> HYPERLINK \l "Top" </w:instrText>
      </w:r>
      <w:r w:rsidRPr="00073574">
        <w:rPr>
          <w:color w:val="2B579A"/>
          <w:shd w:val="clear" w:color="auto" w:fill="E6E6E6"/>
        </w:rPr>
        <w:fldChar w:fldCharType="separate"/>
      </w:r>
      <w:r w:rsidRPr="00073574">
        <w:rPr>
          <w:rStyle w:val="Hyperlink"/>
          <w:rFonts w:eastAsia="Times New Roman"/>
          <w:sz w:val="24"/>
        </w:rPr>
        <w:t>» Top</w:t>
      </w:r>
      <w:r w:rsidRPr="00073574">
        <w:rPr>
          <w:rStyle w:val="Hyperlink"/>
          <w:rFonts w:eastAsia="Times New Roman"/>
          <w:sz w:val="24"/>
        </w:rPr>
        <w:fldChar w:fldCharType="end"/>
      </w:r>
    </w:p>
    <w:p w14:paraId="77E8FE85" w14:textId="77777777" w:rsidR="00F0236A" w:rsidRPr="00073574" w:rsidRDefault="00F0236A" w:rsidP="00F0236A">
      <w:pPr>
        <w:rPr>
          <w:sz w:val="24"/>
        </w:rPr>
      </w:pPr>
    </w:p>
    <w:p w14:paraId="40791DF7" w14:textId="77777777" w:rsidR="00F0236A" w:rsidRPr="00073574" w:rsidRDefault="00F0236A" w:rsidP="00630DCE">
      <w:pPr>
        <w:pStyle w:val="Heading1"/>
        <w:keepNext/>
        <w:keepLines/>
        <w:rPr>
          <w:sz w:val="24"/>
          <w:szCs w:val="24"/>
          <w:lang w:val="en-GB"/>
        </w:rPr>
      </w:pPr>
      <w:bookmarkStart w:id="37" w:name="Resolution_18"/>
      <w:bookmarkStart w:id="38" w:name="_Toc304236417"/>
      <w:bookmarkStart w:id="39" w:name="_Toc471715357"/>
      <w:bookmarkStart w:id="40" w:name="_Toc93425243"/>
      <w:bookmarkEnd w:id="37"/>
      <w:r w:rsidRPr="00073574">
        <w:rPr>
          <w:sz w:val="24"/>
          <w:szCs w:val="24"/>
          <w:lang w:val="en-GB"/>
        </w:rPr>
        <w:t>Resolution 18 - Principles and procedures for the allocation of work to, and strengthening coordination and cooperation among, ITU Radiocommunication, ITU Telecommunication Standardization and ITU Telecommunication Development Sectors</w:t>
      </w:r>
      <w:bookmarkEnd w:id="38"/>
      <w:bookmarkEnd w:id="39"/>
      <w:bookmarkEnd w:id="40"/>
    </w:p>
    <w:p w14:paraId="017F6B12" w14:textId="77777777" w:rsidR="00F0236A" w:rsidRPr="00073574" w:rsidRDefault="00F0236A" w:rsidP="00630DCE">
      <w:pPr>
        <w:keepNext/>
        <w:keepLines/>
        <w:rPr>
          <w:b/>
          <w:bCs/>
          <w:sz w:val="24"/>
        </w:rPr>
      </w:pPr>
      <w:r w:rsidRPr="00073574">
        <w:rPr>
          <w:b/>
          <w:bCs/>
          <w:sz w:val="24"/>
        </w:rPr>
        <w:t>Resolution 18</w:t>
      </w:r>
    </w:p>
    <w:p w14:paraId="103B38F4" w14:textId="77777777" w:rsidR="00F0236A" w:rsidRPr="00073574" w:rsidRDefault="00F0236A" w:rsidP="00630DCE">
      <w:pPr>
        <w:pStyle w:val="Call"/>
        <w:rPr>
          <w:sz w:val="24"/>
          <w:szCs w:val="24"/>
          <w:lang w:val="en-GB"/>
        </w:rPr>
      </w:pPr>
      <w:r w:rsidRPr="00073574">
        <w:rPr>
          <w:sz w:val="24"/>
          <w:szCs w:val="24"/>
          <w:lang w:val="en-GB"/>
        </w:rPr>
        <w:t>resolves</w:t>
      </w:r>
    </w:p>
    <w:p w14:paraId="4B04B0F2" w14:textId="77777777" w:rsidR="00F0236A" w:rsidRPr="00073574" w:rsidRDefault="00F0236A" w:rsidP="00630DCE">
      <w:pPr>
        <w:keepNext/>
        <w:keepLines/>
        <w:rPr>
          <w:sz w:val="24"/>
        </w:rPr>
      </w:pPr>
      <w:r w:rsidRPr="00073574">
        <w:rPr>
          <w:sz w:val="24"/>
        </w:rPr>
        <w:t>1</w:t>
      </w:r>
      <w:r w:rsidRPr="00073574">
        <w:rPr>
          <w:sz w:val="24"/>
        </w:rPr>
        <w:tab/>
        <w:t>that RAG, TSAG and TDAG, meeting jointly as necessary, shall continue the review of new and existing work and its distribution among ITU</w:t>
      </w:r>
      <w:r w:rsidRPr="00073574">
        <w:rPr>
          <w:sz w:val="24"/>
        </w:rPr>
        <w:noBreakHyphen/>
        <w:t>R, ITU</w:t>
      </w:r>
      <w:r w:rsidRPr="00073574">
        <w:rPr>
          <w:sz w:val="24"/>
        </w:rPr>
        <w:noBreakHyphen/>
        <w:t>T and ITU</w:t>
      </w:r>
      <w:r w:rsidRPr="00073574">
        <w:rPr>
          <w:sz w:val="24"/>
        </w:rPr>
        <w:noBreakHyphen/>
        <w:t>D, for approval by Member States in accordance with the procedures laid down for the approval of new and/or revised Questions;</w:t>
      </w:r>
    </w:p>
    <w:p w14:paraId="0E05241F" w14:textId="77777777" w:rsidR="00F0236A" w:rsidRPr="00073574" w:rsidRDefault="00F0236A" w:rsidP="00F0236A">
      <w:pPr>
        <w:rPr>
          <w:sz w:val="24"/>
        </w:rPr>
      </w:pPr>
      <w:r w:rsidRPr="00073574">
        <w:rPr>
          <w:sz w:val="24"/>
        </w:rPr>
        <w:t>2</w:t>
      </w:r>
      <w:r w:rsidRPr="00073574">
        <w:rPr>
          <w:sz w:val="24"/>
        </w:rPr>
        <w:tab/>
        <w:t>that, if considerable responsibilities in either two of three Sectors in a particular subject are identified:</w:t>
      </w:r>
    </w:p>
    <w:p w14:paraId="76478024" w14:textId="77777777" w:rsidR="00F0236A" w:rsidRPr="00073574" w:rsidRDefault="00F0236A" w:rsidP="00F0236A">
      <w:pPr>
        <w:pStyle w:val="enumlev10"/>
        <w:rPr>
          <w:sz w:val="24"/>
          <w:szCs w:val="24"/>
        </w:rPr>
      </w:pPr>
      <w:r w:rsidRPr="00073574">
        <w:rPr>
          <w:i/>
          <w:iCs/>
          <w:sz w:val="24"/>
          <w:szCs w:val="24"/>
        </w:rPr>
        <w:t>i)</w:t>
      </w:r>
      <w:r w:rsidRPr="00073574">
        <w:rPr>
          <w:sz w:val="24"/>
          <w:szCs w:val="24"/>
        </w:rPr>
        <w:tab/>
        <w:t>the procedure given in Annex A to this resolution should be applied; or</w:t>
      </w:r>
    </w:p>
    <w:p w14:paraId="300BDED7" w14:textId="77777777" w:rsidR="00F0236A" w:rsidRPr="00073574" w:rsidRDefault="00F0236A" w:rsidP="00F0236A">
      <w:pPr>
        <w:pStyle w:val="enumlev10"/>
        <w:rPr>
          <w:sz w:val="24"/>
          <w:szCs w:val="24"/>
        </w:rPr>
      </w:pPr>
      <w:r w:rsidRPr="00073574">
        <w:rPr>
          <w:i/>
          <w:iCs/>
          <w:sz w:val="24"/>
          <w:szCs w:val="24"/>
        </w:rPr>
        <w:t>ii)</w:t>
      </w:r>
      <w:r w:rsidRPr="00073574">
        <w:rPr>
          <w:sz w:val="24"/>
          <w:szCs w:val="24"/>
        </w:rPr>
        <w:tab/>
        <w:t>the matter should be studied by relevant study groups of the Sectors involved, with appropriate coordination (see Annexes B and C to this resolution); or</w:t>
      </w:r>
    </w:p>
    <w:p w14:paraId="52709806" w14:textId="77777777" w:rsidR="00F0236A" w:rsidRPr="00073574" w:rsidRDefault="00F0236A" w:rsidP="00F0236A">
      <w:pPr>
        <w:pStyle w:val="enumlev10"/>
        <w:rPr>
          <w:sz w:val="24"/>
          <w:szCs w:val="24"/>
        </w:rPr>
      </w:pPr>
      <w:r w:rsidRPr="00073574">
        <w:rPr>
          <w:i/>
          <w:iCs/>
          <w:sz w:val="24"/>
          <w:szCs w:val="24"/>
        </w:rPr>
        <w:t>iii)</w:t>
      </w:r>
      <w:r w:rsidRPr="00073574">
        <w:rPr>
          <w:sz w:val="24"/>
          <w:szCs w:val="24"/>
        </w:rPr>
        <w:tab/>
        <w:t>a joint meeting may be arranged by the Directors of the Bureaux involved.</w:t>
      </w:r>
    </w:p>
    <w:p w14:paraId="448507AE" w14:textId="77777777" w:rsidR="00F0236A" w:rsidRPr="00073574" w:rsidRDefault="00F0236A" w:rsidP="00F0236A">
      <w:pPr>
        <w:pStyle w:val="Call"/>
        <w:rPr>
          <w:sz w:val="24"/>
          <w:szCs w:val="24"/>
          <w:lang w:val="en-GB"/>
        </w:rPr>
      </w:pPr>
      <w:r w:rsidRPr="00073574">
        <w:rPr>
          <w:sz w:val="24"/>
          <w:szCs w:val="24"/>
          <w:lang w:val="en-GB"/>
        </w:rPr>
        <w:t>invites</w:t>
      </w:r>
    </w:p>
    <w:p w14:paraId="3E846E76" w14:textId="77777777" w:rsidR="00F0236A" w:rsidRPr="00073574" w:rsidRDefault="00F0236A" w:rsidP="00F0236A">
      <w:pPr>
        <w:rPr>
          <w:sz w:val="24"/>
        </w:rPr>
      </w:pPr>
      <w:r w:rsidRPr="00073574">
        <w:rPr>
          <w:sz w:val="24"/>
        </w:rPr>
        <w:t>1</w:t>
      </w:r>
      <w:r w:rsidRPr="00073574">
        <w:rPr>
          <w:sz w:val="24"/>
        </w:rPr>
        <w:tab/>
        <w:t>RAG, TSAG and TDAG to continue to assist the Intersector Coordination Group on Matters of Mutual Interest in the identification of subjects common to the three Sectors and mechanisms to enhance cooperation and collaboration in all Sectors on matters of mutual interest;</w:t>
      </w:r>
    </w:p>
    <w:p w14:paraId="798E6CF2" w14:textId="77777777" w:rsidR="00F0236A" w:rsidRPr="00073574" w:rsidRDefault="00F0236A" w:rsidP="00F0236A">
      <w:pPr>
        <w:rPr>
          <w:sz w:val="24"/>
        </w:rPr>
      </w:pPr>
      <w:r w:rsidRPr="00073574">
        <w:rPr>
          <w:sz w:val="24"/>
        </w:rPr>
        <w:lastRenderedPageBreak/>
        <w:t>2</w:t>
      </w:r>
      <w:r w:rsidRPr="00073574">
        <w:rPr>
          <w:sz w:val="24"/>
        </w:rPr>
        <w:tab/>
        <w:t>the Directors of the Radiocommunication (BR), Telecommunication Standardization (TSB) and Telecommunication Development (BDT) Bureaux and ISC</w:t>
      </w:r>
      <w:r w:rsidRPr="00073574">
        <w:rPr>
          <w:sz w:val="24"/>
        </w:rPr>
        <w:noBreakHyphen/>
        <w:t>TF to report to the Intersector Coordination Group on Matters of Mutual Interest and the respective Sector advisory groups on options for improving cooperation at the secretariat level to ensure that close coordination is maximized,</w:t>
      </w:r>
    </w:p>
    <w:p w14:paraId="67F67613" w14:textId="77777777" w:rsidR="00F0236A" w:rsidRPr="00073574" w:rsidRDefault="00F0236A" w:rsidP="00F0236A">
      <w:pPr>
        <w:pStyle w:val="Call"/>
        <w:rPr>
          <w:sz w:val="24"/>
          <w:szCs w:val="24"/>
          <w:lang w:val="en-GB"/>
        </w:rPr>
      </w:pPr>
      <w:r w:rsidRPr="00073574">
        <w:rPr>
          <w:sz w:val="24"/>
          <w:szCs w:val="24"/>
          <w:lang w:val="en-GB"/>
        </w:rPr>
        <w:t>instructs</w:t>
      </w:r>
    </w:p>
    <w:p w14:paraId="751CA1F9" w14:textId="77777777" w:rsidR="00F0236A" w:rsidRPr="00073574" w:rsidRDefault="00F0236A" w:rsidP="00F0236A">
      <w:pPr>
        <w:rPr>
          <w:sz w:val="24"/>
        </w:rPr>
      </w:pPr>
      <w:r w:rsidRPr="00073574">
        <w:rPr>
          <w:sz w:val="24"/>
        </w:rPr>
        <w:t>1</w:t>
      </w:r>
      <w:r w:rsidRPr="00073574">
        <w:rPr>
          <w:sz w:val="24"/>
        </w:rPr>
        <w:tab/>
        <w:t>the ITU</w:t>
      </w:r>
      <w:r w:rsidRPr="00073574">
        <w:rPr>
          <w:sz w:val="24"/>
        </w:rPr>
        <w:noBreakHyphen/>
        <w:t>T study groups to continue cooperation with the study groups of the other two Sectors so as to avoid duplication of effort and make use of the results of work done by the study groups of those two Sectors;</w:t>
      </w:r>
    </w:p>
    <w:p w14:paraId="667EBCF3" w14:textId="77777777" w:rsidR="00F0236A" w:rsidRPr="00073574" w:rsidRDefault="00F0236A" w:rsidP="00F0236A">
      <w:pPr>
        <w:spacing w:after="240"/>
        <w:rPr>
          <w:sz w:val="24"/>
        </w:rPr>
      </w:pPr>
      <w:r w:rsidRPr="00073574">
        <w:rPr>
          <w:sz w:val="24"/>
        </w:rPr>
        <w:t>2</w:t>
      </w:r>
      <w:r w:rsidRPr="00073574">
        <w:rPr>
          <w:sz w:val="24"/>
        </w:rPr>
        <w:tab/>
        <w:t>the Director of TSB to report annually to TSAG on the results of the implementation of this resolution.</w:t>
      </w:r>
    </w:p>
    <w:tbl>
      <w:tblPr>
        <w:tblW w:w="98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07"/>
        <w:gridCol w:w="4554"/>
        <w:gridCol w:w="1826"/>
        <w:gridCol w:w="1209"/>
        <w:gridCol w:w="1336"/>
      </w:tblGrid>
      <w:tr w:rsidR="00855C8B" w:rsidRPr="00073574" w14:paraId="74C6DD80" w14:textId="77777777" w:rsidTr="1EE68BAF">
        <w:trPr>
          <w:tblHeader/>
          <w:jc w:val="center"/>
        </w:trPr>
        <w:tc>
          <w:tcPr>
            <w:tcW w:w="907" w:type="dxa"/>
            <w:tcBorders>
              <w:top w:val="single" w:sz="12" w:space="0" w:color="auto"/>
              <w:bottom w:val="single" w:sz="12" w:space="0" w:color="auto"/>
            </w:tcBorders>
            <w:shd w:val="clear" w:color="auto" w:fill="auto"/>
            <w:vAlign w:val="center"/>
          </w:tcPr>
          <w:p w14:paraId="675194B8" w14:textId="77777777" w:rsidR="00855C8B" w:rsidRPr="00073574" w:rsidRDefault="00855C8B" w:rsidP="00855C8B">
            <w:pPr>
              <w:pStyle w:val="Tablehead"/>
              <w:keepNext w:val="0"/>
              <w:rPr>
                <w:sz w:val="24"/>
                <w:szCs w:val="24"/>
              </w:rPr>
            </w:pPr>
            <w:r w:rsidRPr="00073574">
              <w:rPr>
                <w:sz w:val="24"/>
                <w:szCs w:val="24"/>
              </w:rPr>
              <w:t>Action Item</w:t>
            </w:r>
          </w:p>
        </w:tc>
        <w:tc>
          <w:tcPr>
            <w:tcW w:w="4554" w:type="dxa"/>
            <w:tcBorders>
              <w:top w:val="single" w:sz="12" w:space="0" w:color="auto"/>
              <w:bottom w:val="single" w:sz="12" w:space="0" w:color="auto"/>
            </w:tcBorders>
            <w:shd w:val="clear" w:color="auto" w:fill="auto"/>
            <w:vAlign w:val="center"/>
            <w:hideMark/>
          </w:tcPr>
          <w:p w14:paraId="3FC34A75" w14:textId="77777777" w:rsidR="00855C8B" w:rsidRPr="00073574" w:rsidRDefault="00855C8B" w:rsidP="005E0B71">
            <w:pPr>
              <w:pStyle w:val="Tablehead"/>
              <w:rPr>
                <w:sz w:val="24"/>
                <w:szCs w:val="24"/>
              </w:rPr>
            </w:pPr>
            <w:r w:rsidRPr="00073574">
              <w:rPr>
                <w:sz w:val="24"/>
                <w:szCs w:val="24"/>
              </w:rPr>
              <w:t>Action</w:t>
            </w:r>
          </w:p>
        </w:tc>
        <w:tc>
          <w:tcPr>
            <w:tcW w:w="1826" w:type="dxa"/>
            <w:tcBorders>
              <w:top w:val="single" w:sz="12" w:space="0" w:color="auto"/>
              <w:bottom w:val="single" w:sz="12" w:space="0" w:color="auto"/>
            </w:tcBorders>
            <w:shd w:val="clear" w:color="auto" w:fill="auto"/>
            <w:vAlign w:val="center"/>
            <w:hideMark/>
          </w:tcPr>
          <w:p w14:paraId="420C4EC2" w14:textId="77777777" w:rsidR="00855C8B" w:rsidRPr="00073574" w:rsidRDefault="00855C8B" w:rsidP="005E0B71">
            <w:pPr>
              <w:pStyle w:val="Tablehead"/>
              <w:rPr>
                <w:sz w:val="24"/>
                <w:szCs w:val="24"/>
              </w:rPr>
            </w:pPr>
            <w:r w:rsidRPr="00073574">
              <w:rPr>
                <w:sz w:val="24"/>
                <w:szCs w:val="24"/>
              </w:rPr>
              <w:t>Milestone</w:t>
            </w:r>
          </w:p>
        </w:tc>
        <w:tc>
          <w:tcPr>
            <w:tcW w:w="1209" w:type="dxa"/>
            <w:tcBorders>
              <w:top w:val="single" w:sz="12" w:space="0" w:color="auto"/>
              <w:bottom w:val="single" w:sz="12" w:space="0" w:color="auto"/>
            </w:tcBorders>
            <w:shd w:val="clear" w:color="auto" w:fill="auto"/>
          </w:tcPr>
          <w:p w14:paraId="6D3643A9" w14:textId="77777777" w:rsidR="00855C8B" w:rsidRPr="00073574" w:rsidRDefault="00855C8B" w:rsidP="005E0B71">
            <w:pPr>
              <w:pStyle w:val="Tablehead"/>
              <w:rPr>
                <w:sz w:val="24"/>
                <w:szCs w:val="24"/>
              </w:rPr>
            </w:pPr>
            <w:r w:rsidRPr="00073574">
              <w:rPr>
                <w:sz w:val="24"/>
                <w:szCs w:val="24"/>
              </w:rPr>
              <w:t>Periodic goals met</w:t>
            </w:r>
          </w:p>
        </w:tc>
        <w:tc>
          <w:tcPr>
            <w:tcW w:w="1336" w:type="dxa"/>
            <w:tcBorders>
              <w:top w:val="single" w:sz="12" w:space="0" w:color="auto"/>
              <w:bottom w:val="single" w:sz="12" w:space="0" w:color="auto"/>
            </w:tcBorders>
            <w:shd w:val="clear" w:color="auto" w:fill="auto"/>
            <w:vAlign w:val="center"/>
          </w:tcPr>
          <w:p w14:paraId="55CEACC5" w14:textId="77777777" w:rsidR="00855C8B" w:rsidRPr="00073574" w:rsidRDefault="00855C8B" w:rsidP="005E0B71">
            <w:pPr>
              <w:pStyle w:val="Tablehead"/>
              <w:rPr>
                <w:sz w:val="24"/>
                <w:szCs w:val="24"/>
              </w:rPr>
            </w:pPr>
            <w:r w:rsidRPr="00073574">
              <w:rPr>
                <w:sz w:val="24"/>
                <w:szCs w:val="24"/>
              </w:rPr>
              <w:t>Completed</w:t>
            </w:r>
          </w:p>
        </w:tc>
      </w:tr>
      <w:tr w:rsidR="00855C8B" w:rsidRPr="00073574" w14:paraId="0611A878" w14:textId="77777777" w:rsidTr="1EE68BAF">
        <w:trPr>
          <w:jc w:val="center"/>
        </w:trPr>
        <w:tc>
          <w:tcPr>
            <w:tcW w:w="907" w:type="dxa"/>
            <w:vMerge w:val="restart"/>
            <w:tcBorders>
              <w:top w:val="single" w:sz="12" w:space="0" w:color="auto"/>
            </w:tcBorders>
            <w:shd w:val="clear" w:color="auto" w:fill="auto"/>
          </w:tcPr>
          <w:p w14:paraId="0C2C72D6" w14:textId="11076776" w:rsidR="00855C8B" w:rsidRPr="00073574" w:rsidRDefault="00855C8B" w:rsidP="005E0B71">
            <w:pPr>
              <w:pStyle w:val="Tabletext"/>
              <w:rPr>
                <w:b/>
                <w:bCs/>
                <w:sz w:val="24"/>
                <w:szCs w:val="24"/>
              </w:rPr>
            </w:pPr>
            <w:r w:rsidRPr="00073574">
              <w:rPr>
                <w:b/>
                <w:bCs/>
                <w:sz w:val="24"/>
                <w:szCs w:val="24"/>
              </w:rPr>
              <w:t>18-01</w:t>
            </w:r>
          </w:p>
        </w:tc>
        <w:tc>
          <w:tcPr>
            <w:tcW w:w="4554" w:type="dxa"/>
            <w:tcBorders>
              <w:top w:val="single" w:sz="12" w:space="0" w:color="auto"/>
              <w:bottom w:val="single" w:sz="4" w:space="0" w:color="auto"/>
            </w:tcBorders>
            <w:shd w:val="clear" w:color="auto" w:fill="auto"/>
          </w:tcPr>
          <w:p w14:paraId="203E2E9F" w14:textId="3FDDAFF5" w:rsidR="00855C8B" w:rsidRPr="00073574" w:rsidRDefault="00855C8B" w:rsidP="005E0B71">
            <w:pPr>
              <w:pStyle w:val="Tabletext"/>
              <w:rPr>
                <w:b/>
                <w:bCs/>
                <w:sz w:val="24"/>
                <w:szCs w:val="24"/>
              </w:rPr>
            </w:pPr>
            <w:r w:rsidRPr="00073574">
              <w:rPr>
                <w:b/>
                <w:bCs/>
                <w:sz w:val="24"/>
                <w:szCs w:val="24"/>
              </w:rPr>
              <w:t>TSAG to continue to review work and its distribution and possible coordination between ITU-T, ITU-D, and ITU-R (resolves 1)</w:t>
            </w:r>
          </w:p>
        </w:tc>
        <w:tc>
          <w:tcPr>
            <w:tcW w:w="1826" w:type="dxa"/>
            <w:tcBorders>
              <w:top w:val="single" w:sz="12" w:space="0" w:color="auto"/>
              <w:bottom w:val="single" w:sz="4" w:space="0" w:color="auto"/>
            </w:tcBorders>
            <w:shd w:val="clear" w:color="auto" w:fill="auto"/>
            <w:vAlign w:val="center"/>
          </w:tcPr>
          <w:p w14:paraId="0C8F4A0E" w14:textId="52F9DB12" w:rsidR="00855C8B" w:rsidRPr="00073574" w:rsidRDefault="00855C8B" w:rsidP="005E0B71">
            <w:pPr>
              <w:pStyle w:val="Tabletext"/>
              <w:jc w:val="center"/>
              <w:rPr>
                <w:b/>
                <w:bCs/>
                <w:sz w:val="24"/>
                <w:szCs w:val="24"/>
              </w:rPr>
            </w:pPr>
            <w:r w:rsidRPr="00073574">
              <w:rPr>
                <w:b/>
                <w:bCs/>
                <w:sz w:val="24"/>
                <w:szCs w:val="24"/>
              </w:rPr>
              <w:t>Ongoing</w:t>
            </w:r>
          </w:p>
        </w:tc>
        <w:tc>
          <w:tcPr>
            <w:tcW w:w="1209" w:type="dxa"/>
            <w:tcBorders>
              <w:top w:val="single" w:sz="12" w:space="0" w:color="auto"/>
              <w:bottom w:val="single" w:sz="4" w:space="0" w:color="auto"/>
            </w:tcBorders>
            <w:shd w:val="clear" w:color="auto" w:fill="auto"/>
            <w:vAlign w:val="center"/>
          </w:tcPr>
          <w:p w14:paraId="7018A8B7" w14:textId="58791829" w:rsidR="00855C8B" w:rsidRPr="00073574" w:rsidRDefault="00855C8B" w:rsidP="005E0B71">
            <w:pPr>
              <w:pStyle w:val="Tabletext"/>
              <w:jc w:val="center"/>
              <w:rPr>
                <w:b/>
                <w:bCs/>
                <w:sz w:val="24"/>
                <w:szCs w:val="24"/>
              </w:rPr>
            </w:pPr>
            <w:r w:rsidRPr="00073574">
              <w:rPr>
                <w:b/>
                <w:bCs/>
                <w:sz w:val="24"/>
                <w:szCs w:val="24"/>
              </w:rPr>
              <w:t>√</w:t>
            </w:r>
          </w:p>
        </w:tc>
        <w:tc>
          <w:tcPr>
            <w:tcW w:w="1336" w:type="dxa"/>
            <w:tcBorders>
              <w:top w:val="single" w:sz="12" w:space="0" w:color="auto"/>
              <w:bottom w:val="single" w:sz="4" w:space="0" w:color="auto"/>
            </w:tcBorders>
            <w:shd w:val="clear" w:color="auto" w:fill="auto"/>
            <w:vAlign w:val="center"/>
          </w:tcPr>
          <w:p w14:paraId="7D0D6611" w14:textId="77777777" w:rsidR="00855C8B" w:rsidRPr="00073574" w:rsidRDefault="00855C8B" w:rsidP="005E0B71">
            <w:pPr>
              <w:pStyle w:val="Tabletext"/>
              <w:jc w:val="center"/>
              <w:rPr>
                <w:b/>
                <w:bCs/>
                <w:sz w:val="24"/>
                <w:szCs w:val="24"/>
              </w:rPr>
            </w:pPr>
          </w:p>
        </w:tc>
      </w:tr>
      <w:tr w:rsidR="00855C8B" w:rsidRPr="00073574" w14:paraId="596557A7" w14:textId="77777777" w:rsidTr="1EE68BAF">
        <w:trPr>
          <w:jc w:val="center"/>
        </w:trPr>
        <w:tc>
          <w:tcPr>
            <w:tcW w:w="907" w:type="dxa"/>
            <w:vMerge/>
          </w:tcPr>
          <w:p w14:paraId="6E78B4AB" w14:textId="77777777" w:rsidR="00855C8B" w:rsidRPr="00073574" w:rsidRDefault="00855C8B" w:rsidP="005E0B71">
            <w:pPr>
              <w:pStyle w:val="Tabletext"/>
              <w:rPr>
                <w:sz w:val="24"/>
                <w:szCs w:val="24"/>
              </w:rPr>
            </w:pPr>
          </w:p>
        </w:tc>
        <w:tc>
          <w:tcPr>
            <w:tcW w:w="8925" w:type="dxa"/>
            <w:gridSpan w:val="4"/>
            <w:tcBorders>
              <w:top w:val="single" w:sz="4" w:space="0" w:color="auto"/>
              <w:bottom w:val="single" w:sz="12" w:space="0" w:color="auto"/>
            </w:tcBorders>
            <w:shd w:val="clear" w:color="auto" w:fill="auto"/>
          </w:tcPr>
          <w:p w14:paraId="27B8035A" w14:textId="6DFBD92D" w:rsidR="00855C8B" w:rsidRPr="00073574" w:rsidRDefault="00855C8B" w:rsidP="00D641F3">
            <w:pPr>
              <w:pStyle w:val="Tabletext"/>
              <w:rPr>
                <w:szCs w:val="22"/>
              </w:rPr>
            </w:pPr>
            <w:r w:rsidRPr="00073574">
              <w:rPr>
                <w:szCs w:val="22"/>
              </w:rPr>
              <w:t>TSAG RG-SC assists in actively conducting ITU Inter-Sector coordination through TDAG, RAG and Study Groups (</w:t>
            </w:r>
            <w:hyperlink r:id="rId163" w:history="1">
              <w:r w:rsidRPr="00073574">
                <w:rPr>
                  <w:rStyle w:val="Hyperlink"/>
                  <w:szCs w:val="22"/>
                </w:rPr>
                <w:t>TSAG OLS1</w:t>
              </w:r>
            </w:hyperlink>
            <w:r w:rsidR="008E1CA3" w:rsidRPr="00073574">
              <w:rPr>
                <w:szCs w:val="22"/>
              </w:rPr>
              <w:t xml:space="preserve">, </w:t>
            </w:r>
            <w:hyperlink r:id="rId164" w:history="1">
              <w:r w:rsidR="008E1CA3" w:rsidRPr="00073574">
                <w:rPr>
                  <w:rStyle w:val="Hyperlink"/>
                  <w:szCs w:val="22"/>
                </w:rPr>
                <w:t>TSAG OLS11</w:t>
              </w:r>
            </w:hyperlink>
            <w:r w:rsidR="00470675" w:rsidRPr="00073574">
              <w:rPr>
                <w:rStyle w:val="Hyperlink"/>
                <w:szCs w:val="22"/>
              </w:rPr>
              <w:t>,</w:t>
            </w:r>
            <w:r w:rsidR="00D641F3" w:rsidRPr="00073574">
              <w:t xml:space="preserve"> </w:t>
            </w:r>
            <w:hyperlink r:id="rId165" w:tgtFrame="_blank" w:tooltip="Click here to see more details" w:history="1">
              <w:r w:rsidR="00D641F3" w:rsidRPr="00073574">
                <w:rPr>
                  <w:rStyle w:val="Hyperlink"/>
                  <w:rFonts w:eastAsiaTheme="majorEastAsia"/>
                </w:rPr>
                <w:t>TSAG-OLS13</w:t>
              </w:r>
            </w:hyperlink>
            <w:r w:rsidR="00B8347F" w:rsidRPr="00073574">
              <w:rPr>
                <w:rStyle w:val="Hyperlink"/>
                <w:rFonts w:eastAsiaTheme="majorEastAsia"/>
              </w:rPr>
              <w:t xml:space="preserve">, </w:t>
            </w:r>
            <w:hyperlink r:id="rId166" w:history="1">
              <w:r w:rsidR="00B8347F" w:rsidRPr="00073574">
                <w:rPr>
                  <w:rStyle w:val="Hyperlink"/>
                  <w:rFonts w:eastAsiaTheme="majorEastAsia"/>
                </w:rPr>
                <w:t>TSAG-OLS</w:t>
              </w:r>
              <w:r w:rsidR="00C8352F" w:rsidRPr="00073574">
                <w:rPr>
                  <w:rStyle w:val="Hyperlink"/>
                  <w:rFonts w:eastAsiaTheme="majorEastAsia"/>
                </w:rPr>
                <w:t>22</w:t>
              </w:r>
            </w:hyperlink>
            <w:r w:rsidR="00FA219B" w:rsidRPr="00073574">
              <w:rPr>
                <w:rStyle w:val="Hyperlink"/>
                <w:rFonts w:eastAsiaTheme="majorEastAsia"/>
              </w:rPr>
              <w:t xml:space="preserve">, </w:t>
            </w:r>
            <w:hyperlink r:id="rId167" w:history="1">
              <w:r w:rsidR="00FA219B" w:rsidRPr="00073574">
                <w:rPr>
                  <w:rStyle w:val="Hyperlink"/>
                </w:rPr>
                <w:t>TSAG-OLS31</w:t>
              </w:r>
            </w:hyperlink>
            <w:r w:rsidR="008E1CA3" w:rsidRPr="00073574">
              <w:rPr>
                <w:szCs w:val="22"/>
              </w:rPr>
              <w:t>)</w:t>
            </w:r>
            <w:r w:rsidRPr="00073574">
              <w:rPr>
                <w:szCs w:val="22"/>
              </w:rPr>
              <w:t xml:space="preserve"> by updating and disseminating tables on the matching of ITU-D SG 1 and SG 2 Questions of interest to ITU-T study groups, and on the matching of ITU-R WPs of interest to ITU-T study groups.</w:t>
            </w:r>
          </w:p>
        </w:tc>
      </w:tr>
      <w:tr w:rsidR="00855C8B" w:rsidRPr="00073574" w14:paraId="003BDD87" w14:textId="77777777" w:rsidTr="1EE68BAF">
        <w:trPr>
          <w:jc w:val="center"/>
        </w:trPr>
        <w:tc>
          <w:tcPr>
            <w:tcW w:w="907" w:type="dxa"/>
            <w:vMerge w:val="restart"/>
            <w:tcBorders>
              <w:top w:val="single" w:sz="12" w:space="0" w:color="auto"/>
            </w:tcBorders>
            <w:shd w:val="clear" w:color="auto" w:fill="auto"/>
          </w:tcPr>
          <w:p w14:paraId="1FE09835" w14:textId="1AA6E2E1" w:rsidR="00855C8B" w:rsidRPr="00073574" w:rsidRDefault="00855C8B" w:rsidP="00C03C8A">
            <w:pPr>
              <w:pStyle w:val="Tabletext"/>
              <w:keepNext/>
              <w:keepLines/>
              <w:rPr>
                <w:b/>
                <w:bCs/>
                <w:sz w:val="24"/>
                <w:szCs w:val="24"/>
              </w:rPr>
            </w:pPr>
            <w:r w:rsidRPr="00073574">
              <w:rPr>
                <w:b/>
                <w:bCs/>
                <w:sz w:val="24"/>
                <w:szCs w:val="24"/>
              </w:rPr>
              <w:t>18-02</w:t>
            </w:r>
          </w:p>
        </w:tc>
        <w:tc>
          <w:tcPr>
            <w:tcW w:w="4554" w:type="dxa"/>
            <w:tcBorders>
              <w:top w:val="single" w:sz="12" w:space="0" w:color="auto"/>
            </w:tcBorders>
            <w:shd w:val="clear" w:color="auto" w:fill="auto"/>
          </w:tcPr>
          <w:p w14:paraId="063BEA5F" w14:textId="69B8C1E0" w:rsidR="00855C8B" w:rsidRPr="00073574" w:rsidRDefault="00855C8B" w:rsidP="005E0B71">
            <w:pPr>
              <w:pStyle w:val="Tabletext"/>
              <w:rPr>
                <w:b/>
                <w:bCs/>
                <w:sz w:val="24"/>
                <w:szCs w:val="24"/>
              </w:rPr>
            </w:pPr>
            <w:r w:rsidRPr="00073574">
              <w:rPr>
                <w:b/>
                <w:bCs/>
                <w:sz w:val="24"/>
                <w:szCs w:val="24"/>
              </w:rPr>
              <w:t>TSAG to continue to assist the Intersector Coordination Group on Matters of Mutual Interest in the identification of subjects common to the three Sectors and mechanisms to enhance cooperation and collaboration in all Sectors on matters of mutual interest. (i. 1)</w:t>
            </w:r>
          </w:p>
        </w:tc>
        <w:tc>
          <w:tcPr>
            <w:tcW w:w="1826" w:type="dxa"/>
            <w:tcBorders>
              <w:top w:val="single" w:sz="12" w:space="0" w:color="auto"/>
            </w:tcBorders>
            <w:shd w:val="clear" w:color="auto" w:fill="auto"/>
            <w:vAlign w:val="center"/>
          </w:tcPr>
          <w:p w14:paraId="439AEC11" w14:textId="3D46FDBA" w:rsidR="00855C8B" w:rsidRPr="00073574" w:rsidRDefault="00855C8B" w:rsidP="005E0B71">
            <w:pPr>
              <w:pStyle w:val="Tabletext"/>
              <w:jc w:val="center"/>
              <w:rPr>
                <w:b/>
                <w:bCs/>
                <w:sz w:val="24"/>
                <w:szCs w:val="24"/>
              </w:rPr>
            </w:pPr>
            <w:r w:rsidRPr="00073574">
              <w:rPr>
                <w:b/>
                <w:bCs/>
                <w:sz w:val="24"/>
                <w:szCs w:val="24"/>
              </w:rPr>
              <w:t>Ongoing</w:t>
            </w:r>
          </w:p>
        </w:tc>
        <w:tc>
          <w:tcPr>
            <w:tcW w:w="1209" w:type="dxa"/>
            <w:tcBorders>
              <w:top w:val="single" w:sz="12" w:space="0" w:color="auto"/>
            </w:tcBorders>
            <w:shd w:val="clear" w:color="auto" w:fill="auto"/>
            <w:vAlign w:val="center"/>
          </w:tcPr>
          <w:p w14:paraId="295F32CD" w14:textId="2D494821" w:rsidR="00855C8B" w:rsidRPr="00073574" w:rsidRDefault="00855C8B" w:rsidP="005E0B7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442CA828" w14:textId="77777777" w:rsidR="00855C8B" w:rsidRPr="00073574" w:rsidRDefault="00855C8B" w:rsidP="005E0B71">
            <w:pPr>
              <w:pStyle w:val="Tabletext"/>
              <w:jc w:val="center"/>
              <w:rPr>
                <w:b/>
                <w:bCs/>
                <w:sz w:val="24"/>
                <w:szCs w:val="24"/>
              </w:rPr>
            </w:pPr>
          </w:p>
        </w:tc>
      </w:tr>
      <w:tr w:rsidR="00855C8B" w:rsidRPr="00073574" w14:paraId="1223EC75" w14:textId="77777777" w:rsidTr="1EE68BAF">
        <w:trPr>
          <w:jc w:val="center"/>
        </w:trPr>
        <w:tc>
          <w:tcPr>
            <w:tcW w:w="907" w:type="dxa"/>
            <w:vMerge/>
          </w:tcPr>
          <w:p w14:paraId="13AE331A" w14:textId="77777777" w:rsidR="00855C8B" w:rsidRPr="00073574" w:rsidRDefault="00855C8B" w:rsidP="005E0B71">
            <w:pPr>
              <w:pStyle w:val="Tabletext"/>
              <w:rPr>
                <w:sz w:val="24"/>
                <w:szCs w:val="24"/>
              </w:rPr>
            </w:pPr>
          </w:p>
        </w:tc>
        <w:tc>
          <w:tcPr>
            <w:tcW w:w="8925" w:type="dxa"/>
            <w:gridSpan w:val="4"/>
            <w:shd w:val="clear" w:color="auto" w:fill="auto"/>
          </w:tcPr>
          <w:p w14:paraId="039BFC1F" w14:textId="23250D1D" w:rsidR="00855C8B" w:rsidRPr="00073574" w:rsidRDefault="00855C8B" w:rsidP="005E0B71">
            <w:pPr>
              <w:pStyle w:val="Tabletext"/>
              <w:rPr>
                <w:szCs w:val="22"/>
              </w:rPr>
            </w:pPr>
            <w:r w:rsidRPr="00073574">
              <w:rPr>
                <w:szCs w:val="22"/>
              </w:rPr>
              <w:t>See 18-01. TSAG RG-SC is collecting items on common subjects for future Inter-Sector coordination.</w:t>
            </w:r>
          </w:p>
        </w:tc>
      </w:tr>
      <w:tr w:rsidR="00855C8B" w:rsidRPr="00073574" w14:paraId="12BDFE5B" w14:textId="77777777" w:rsidTr="1EE68BAF">
        <w:trPr>
          <w:jc w:val="center"/>
        </w:trPr>
        <w:tc>
          <w:tcPr>
            <w:tcW w:w="907" w:type="dxa"/>
            <w:vMerge w:val="restart"/>
            <w:tcBorders>
              <w:top w:val="single" w:sz="12" w:space="0" w:color="auto"/>
            </w:tcBorders>
            <w:shd w:val="clear" w:color="auto" w:fill="auto"/>
          </w:tcPr>
          <w:p w14:paraId="07330B04" w14:textId="240FDC2F" w:rsidR="00855C8B" w:rsidRPr="00073574" w:rsidRDefault="00855C8B" w:rsidP="00601595">
            <w:pPr>
              <w:pStyle w:val="Tabletext"/>
              <w:keepNext/>
              <w:keepLines/>
              <w:rPr>
                <w:b/>
                <w:bCs/>
                <w:sz w:val="24"/>
                <w:szCs w:val="24"/>
              </w:rPr>
            </w:pPr>
            <w:r w:rsidRPr="00073574">
              <w:rPr>
                <w:b/>
                <w:bCs/>
                <w:sz w:val="24"/>
                <w:szCs w:val="24"/>
              </w:rPr>
              <w:t>18-03</w:t>
            </w:r>
          </w:p>
        </w:tc>
        <w:tc>
          <w:tcPr>
            <w:tcW w:w="4554" w:type="dxa"/>
            <w:tcBorders>
              <w:top w:val="single" w:sz="12" w:space="0" w:color="auto"/>
            </w:tcBorders>
            <w:shd w:val="clear" w:color="auto" w:fill="auto"/>
          </w:tcPr>
          <w:p w14:paraId="4C3A4902" w14:textId="233126ED" w:rsidR="00855C8B" w:rsidRPr="00073574" w:rsidRDefault="00855C8B" w:rsidP="005E0B71">
            <w:pPr>
              <w:pStyle w:val="Tabletext"/>
              <w:rPr>
                <w:b/>
                <w:bCs/>
                <w:sz w:val="24"/>
                <w:szCs w:val="24"/>
              </w:rPr>
            </w:pPr>
            <w:r w:rsidRPr="00073574">
              <w:rPr>
                <w:b/>
                <w:bCs/>
                <w:sz w:val="24"/>
                <w:szCs w:val="24"/>
              </w:rPr>
              <w:t>TSAG to continue to assist the Intersector Coordination Group on Matters of Mutual Interest in the identification of subjects common to the three Sectors and mechanisms to enhance cooperation and collaboration in all Sectors on matters of mutual interest. (i. 1)</w:t>
            </w:r>
          </w:p>
        </w:tc>
        <w:tc>
          <w:tcPr>
            <w:tcW w:w="1826" w:type="dxa"/>
            <w:tcBorders>
              <w:top w:val="single" w:sz="12" w:space="0" w:color="auto"/>
            </w:tcBorders>
            <w:shd w:val="clear" w:color="auto" w:fill="auto"/>
            <w:vAlign w:val="center"/>
          </w:tcPr>
          <w:p w14:paraId="730FA02C" w14:textId="33E6F8E5" w:rsidR="00855C8B" w:rsidRPr="00073574" w:rsidRDefault="00855C8B" w:rsidP="005E0B71">
            <w:pPr>
              <w:pStyle w:val="Tabletext"/>
              <w:jc w:val="center"/>
              <w:rPr>
                <w:b/>
                <w:bCs/>
                <w:sz w:val="24"/>
                <w:szCs w:val="24"/>
              </w:rPr>
            </w:pPr>
            <w:r w:rsidRPr="00073574">
              <w:rPr>
                <w:b/>
                <w:bCs/>
                <w:sz w:val="24"/>
                <w:szCs w:val="24"/>
              </w:rPr>
              <w:t>Ongoing</w:t>
            </w:r>
          </w:p>
        </w:tc>
        <w:tc>
          <w:tcPr>
            <w:tcW w:w="1209" w:type="dxa"/>
            <w:tcBorders>
              <w:top w:val="single" w:sz="12" w:space="0" w:color="auto"/>
            </w:tcBorders>
            <w:shd w:val="clear" w:color="auto" w:fill="auto"/>
            <w:vAlign w:val="center"/>
          </w:tcPr>
          <w:p w14:paraId="3980BF02" w14:textId="1B2869F7" w:rsidR="00855C8B" w:rsidRPr="00073574" w:rsidRDefault="00855C8B" w:rsidP="005E0B7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1B2C6F7E" w14:textId="77777777" w:rsidR="00855C8B" w:rsidRPr="00073574" w:rsidRDefault="00855C8B" w:rsidP="005E0B71">
            <w:pPr>
              <w:pStyle w:val="Tabletext"/>
              <w:jc w:val="center"/>
              <w:rPr>
                <w:b/>
                <w:bCs/>
                <w:sz w:val="24"/>
                <w:szCs w:val="24"/>
              </w:rPr>
            </w:pPr>
          </w:p>
        </w:tc>
      </w:tr>
      <w:tr w:rsidR="00855C8B" w:rsidRPr="00073574" w14:paraId="4B0530AA" w14:textId="77777777" w:rsidTr="1EE68BAF">
        <w:trPr>
          <w:jc w:val="center"/>
        </w:trPr>
        <w:tc>
          <w:tcPr>
            <w:tcW w:w="907" w:type="dxa"/>
            <w:vMerge/>
          </w:tcPr>
          <w:p w14:paraId="1DD3AAC6" w14:textId="77777777" w:rsidR="00855C8B" w:rsidRPr="00073574" w:rsidRDefault="00855C8B" w:rsidP="005E0B71">
            <w:pPr>
              <w:pStyle w:val="Tabletext"/>
              <w:rPr>
                <w:sz w:val="24"/>
                <w:szCs w:val="24"/>
              </w:rPr>
            </w:pPr>
          </w:p>
        </w:tc>
        <w:tc>
          <w:tcPr>
            <w:tcW w:w="8925" w:type="dxa"/>
            <w:gridSpan w:val="4"/>
            <w:tcBorders>
              <w:bottom w:val="single" w:sz="12" w:space="0" w:color="auto"/>
            </w:tcBorders>
            <w:shd w:val="clear" w:color="auto" w:fill="auto"/>
          </w:tcPr>
          <w:p w14:paraId="1857B9AC" w14:textId="75BDF359" w:rsidR="00690BB0" w:rsidRPr="00073574" w:rsidRDefault="00855C8B" w:rsidP="00284A2E">
            <w:pPr>
              <w:spacing w:before="40" w:after="40"/>
              <w:rPr>
                <w:szCs w:val="22"/>
              </w:rPr>
            </w:pPr>
            <w:r w:rsidRPr="00073574">
              <w:rPr>
                <w:szCs w:val="22"/>
              </w:rPr>
              <w:t>Collaboration with ITU-R and with ITU-D is a standing agenda point of TSAG, where TSAG examines existing methods and approaches to collaboration and/or cooperation with other sectors, with the view to encouraging ITU-T to work more collaboratively and/or cooperatively in a reciprocal manner, and review is performed on a regular basis based on information received. TSAG, established and maintains a close relationship with the RAG and TDAG in order to develop synergies with the objective of strengthening coordination and cooperation among the three ITU Sectors on matters of mutual interest</w:t>
            </w:r>
            <w:r w:rsidR="00690BB0" w:rsidRPr="00073574">
              <w:rPr>
                <w:szCs w:val="22"/>
              </w:rPr>
              <w:t xml:space="preserve"> (see 18-01)</w:t>
            </w:r>
            <w:r w:rsidRPr="00073574">
              <w:rPr>
                <w:szCs w:val="22"/>
              </w:rPr>
              <w:t>.</w:t>
            </w:r>
            <w:r w:rsidR="00D641F3" w:rsidRPr="00073574">
              <w:rPr>
                <w:szCs w:val="22"/>
              </w:rPr>
              <w:t>TSAG proposed revised ToR of ISCG (</w:t>
            </w:r>
            <w:hyperlink r:id="rId168" w:tgtFrame="_blank" w:tooltip="Click here to see more details" w:history="1">
              <w:r w:rsidR="00D641F3" w:rsidRPr="00073574">
                <w:rPr>
                  <w:rStyle w:val="Hyperlink"/>
                </w:rPr>
                <w:t>TSAG-OLS14</w:t>
              </w:r>
            </w:hyperlink>
            <w:r w:rsidR="00D641F3" w:rsidRPr="00073574">
              <w:rPr>
                <w:szCs w:val="22"/>
              </w:rPr>
              <w:t>).</w:t>
            </w:r>
            <w:r w:rsidR="005F37E4" w:rsidRPr="00073574">
              <w:rPr>
                <w:szCs w:val="22"/>
              </w:rPr>
              <w:t xml:space="preserve"> </w:t>
            </w:r>
            <w:r w:rsidR="005F37E4" w:rsidRPr="00073574">
              <w:t xml:space="preserve">TSAG </w:t>
            </w:r>
            <w:r w:rsidR="00A03DF3" w:rsidRPr="00073574">
              <w:t>regularly receives and considers the reports from the ISCG meetings.</w:t>
            </w:r>
          </w:p>
          <w:p w14:paraId="30AE3374" w14:textId="70CD5AEA" w:rsidR="00D81379" w:rsidRPr="00073574" w:rsidRDefault="00D81379" w:rsidP="00D81379">
            <w:pPr>
              <w:tabs>
                <w:tab w:val="left" w:pos="675"/>
                <w:tab w:val="left" w:pos="1526"/>
                <w:tab w:val="left" w:pos="4928"/>
                <w:tab w:val="left" w:pos="5920"/>
              </w:tabs>
              <w:rPr>
                <w:szCs w:val="22"/>
              </w:rPr>
            </w:pPr>
            <w:bookmarkStart w:id="41" w:name="_Hlk51305442"/>
            <w:r w:rsidRPr="00073574">
              <w:rPr>
                <w:bCs/>
              </w:rPr>
              <w:lastRenderedPageBreak/>
              <w:t>The appointed TSAG representatives to ISCG are: Mr Vladimir Minkin and Mr Matano Ndaro (Vice-Chairmen of TSAG).</w:t>
            </w:r>
            <w:bookmarkEnd w:id="41"/>
          </w:p>
          <w:p w14:paraId="2E1D8FA0" w14:textId="6A56A07D" w:rsidR="00855C8B" w:rsidRPr="00073574" w:rsidRDefault="00855C8B" w:rsidP="00855C8B">
            <w:pPr>
              <w:rPr>
                <w:szCs w:val="22"/>
              </w:rPr>
            </w:pPr>
            <w:r w:rsidRPr="00073574">
              <w:rPr>
                <w:szCs w:val="22"/>
              </w:rPr>
              <w:t>Three inter-Sector Rapporteur groups (IRGs) were created to work on items of interests to various ITU-T and ITU-R study groups.</w:t>
            </w:r>
          </w:p>
          <w:p w14:paraId="3F1BC744" w14:textId="77777777" w:rsidR="00855C8B" w:rsidRPr="00073574" w:rsidRDefault="0053741E" w:rsidP="002E241A">
            <w:pPr>
              <w:numPr>
                <w:ilvl w:val="0"/>
                <w:numId w:val="23"/>
              </w:numPr>
              <w:overflowPunct w:val="0"/>
              <w:autoSpaceDE w:val="0"/>
              <w:autoSpaceDN w:val="0"/>
              <w:adjustRightInd w:val="0"/>
              <w:ind w:left="567" w:hanging="567"/>
              <w:textAlignment w:val="baseline"/>
            </w:pPr>
            <w:hyperlink r:id="rId169">
              <w:r w:rsidR="00855C8B" w:rsidRPr="00073574">
                <w:rPr>
                  <w:rStyle w:val="Hyperlink"/>
                </w:rPr>
                <w:t>IRG-AVA</w:t>
              </w:r>
            </w:hyperlink>
            <w:r w:rsidR="00855C8B" w:rsidRPr="00073574">
              <w:t>: Intersector Rapporteur Group Audiovisual Media Accessibility, amongst ITU-T SG9, ITU-T SG16 and ITU-R SG6;</w:t>
            </w:r>
          </w:p>
          <w:p w14:paraId="27B842E3" w14:textId="7DEAB73C" w:rsidR="00855C8B" w:rsidRPr="00073574" w:rsidRDefault="0053741E" w:rsidP="002E241A">
            <w:pPr>
              <w:numPr>
                <w:ilvl w:val="0"/>
                <w:numId w:val="23"/>
              </w:numPr>
              <w:overflowPunct w:val="0"/>
              <w:autoSpaceDE w:val="0"/>
              <w:autoSpaceDN w:val="0"/>
              <w:adjustRightInd w:val="0"/>
              <w:ind w:left="567" w:hanging="567"/>
              <w:textAlignment w:val="baseline"/>
            </w:pPr>
            <w:hyperlink r:id="rId170">
              <w:r w:rsidR="00855C8B" w:rsidRPr="00073574">
                <w:rPr>
                  <w:rStyle w:val="Hyperlink"/>
                </w:rPr>
                <w:t>IRG-AVQA</w:t>
              </w:r>
            </w:hyperlink>
            <w:r w:rsidR="00855C8B" w:rsidRPr="00073574">
              <w:t>: Intersector Rapporteur Group Audiovisual Quality Assessment, amongst ITU-T SG12 and ITU-R SG6;</w:t>
            </w:r>
          </w:p>
          <w:p w14:paraId="62EAC75E" w14:textId="550A6ED3" w:rsidR="00855C8B" w:rsidRPr="00073574" w:rsidRDefault="0053741E" w:rsidP="002E241A">
            <w:pPr>
              <w:numPr>
                <w:ilvl w:val="0"/>
                <w:numId w:val="23"/>
              </w:numPr>
              <w:overflowPunct w:val="0"/>
              <w:autoSpaceDE w:val="0"/>
              <w:autoSpaceDN w:val="0"/>
              <w:adjustRightInd w:val="0"/>
              <w:ind w:left="567" w:hanging="567"/>
              <w:textAlignment w:val="baseline"/>
            </w:pPr>
            <w:hyperlink r:id="rId171">
              <w:r w:rsidR="00855C8B" w:rsidRPr="00073574">
                <w:rPr>
                  <w:rStyle w:val="Hyperlink"/>
                </w:rPr>
                <w:t>IRG-IBB</w:t>
              </w:r>
            </w:hyperlink>
            <w:r w:rsidR="00855C8B" w:rsidRPr="00073574">
              <w:t>: Intersector Rapporteur Group Integrated Broadcast-Broadband, between ITU-T SG9, ITU-T SG16 and ITU-R WP 6B.</w:t>
            </w:r>
            <w:r w:rsidR="00F25976" w:rsidRPr="00073574">
              <w:br/>
              <w:t>NOTE: IRG-IBB decided to terminate its mandate at the end of this Study Period, the collaboration on IBB topics will continue with usual liaison exchanges between ITU-T SG9, SG16 and ITU-R SG6.</w:t>
            </w:r>
          </w:p>
          <w:p w14:paraId="63EF573C" w14:textId="79FD277D" w:rsidR="00855C8B" w:rsidRPr="00073574" w:rsidRDefault="00855C8B" w:rsidP="000C22E3">
            <w:pPr>
              <w:spacing w:after="120"/>
              <w:rPr>
                <w:szCs w:val="22"/>
              </w:rPr>
            </w:pPr>
            <w:r w:rsidRPr="00073574">
              <w:rPr>
                <w:szCs w:val="22"/>
              </w:rPr>
              <w:t>More recently, ITU-D SG1 expressed interest in joining IRG-AVA. However, an IRG mechanism was not created at WTDC-17, they will not be able to join in an official capacity, other than the existing mechanisms (individual members; invited experts).</w:t>
            </w:r>
          </w:p>
          <w:p w14:paraId="6FF27CD3" w14:textId="77777777" w:rsidR="00855C8B" w:rsidRPr="00073574" w:rsidRDefault="00855C8B" w:rsidP="006220F8">
            <w:pPr>
              <w:rPr>
                <w:szCs w:val="22"/>
              </w:rPr>
            </w:pPr>
            <w:r w:rsidRPr="00073574">
              <w:rPr>
                <w:szCs w:val="22"/>
              </w:rPr>
              <w:t>Additionally:</w:t>
            </w:r>
          </w:p>
          <w:p w14:paraId="44AB974C" w14:textId="5E5BBCCA" w:rsidR="00855C8B" w:rsidRPr="00073574" w:rsidRDefault="00855C8B" w:rsidP="002E241A">
            <w:pPr>
              <w:pStyle w:val="ListParagraph"/>
              <w:numPr>
                <w:ilvl w:val="0"/>
                <w:numId w:val="24"/>
              </w:numPr>
              <w:contextualSpacing w:val="0"/>
            </w:pPr>
            <w:r w:rsidRPr="00073574">
              <w:t>SG2 sent one reply liaison statement to ITU-D SG2 on ongoing collaboration and another liaison statement on national emergency telecommunication system in developing countries.</w:t>
            </w:r>
            <w:r w:rsidR="00837469" w:rsidRPr="00073574">
              <w:t xml:space="preserve"> SG2 liaised with ITU-D on ClickFarms and countering and combatting the absence of CLI</w:t>
            </w:r>
            <w:r w:rsidR="00E17288" w:rsidRPr="00073574">
              <w:t>.</w:t>
            </w:r>
            <w:r w:rsidR="00D47B28" w:rsidRPr="00073574">
              <w:t xml:space="preserve"> SG2 liaised with ITU-R SG5 on revised Question ITU-R 101-5/5</w:t>
            </w:r>
            <w:r w:rsidR="005F6C4F" w:rsidRPr="00073574">
              <w:t xml:space="preserve">, with ITU-D SG1 on accessibility, </w:t>
            </w:r>
            <w:r w:rsidR="00093197" w:rsidRPr="00073574">
              <w:t>with ITU-R 5D on energy saving management of 5G RAN system with AI</w:t>
            </w:r>
            <w:r w:rsidR="005343B7" w:rsidRPr="00073574">
              <w:t>, with ITU-D on Technical Report on Guidelines for Effective and Efficient National Numbering Resources Administration</w:t>
            </w:r>
            <w:r w:rsidR="00D47B28" w:rsidRPr="00073574">
              <w:t>.</w:t>
            </w:r>
          </w:p>
          <w:p w14:paraId="7D0A5EDE" w14:textId="2A66DC42" w:rsidR="00FF4331" w:rsidRPr="00073574" w:rsidRDefault="00FF4331" w:rsidP="002E241A">
            <w:pPr>
              <w:pStyle w:val="ListParagraph"/>
              <w:numPr>
                <w:ilvl w:val="0"/>
                <w:numId w:val="24"/>
              </w:numPr>
              <w:ind w:left="714" w:hanging="357"/>
              <w:contextualSpacing w:val="0"/>
            </w:pPr>
            <w:r w:rsidRPr="00073574">
              <w:t>SG3 sent liaison statement</w:t>
            </w:r>
            <w:r w:rsidR="007A3D79" w:rsidRPr="00073574">
              <w:t>s</w:t>
            </w:r>
            <w:r w:rsidRPr="00073574">
              <w:t xml:space="preserve"> to ITU-R SG1 on ITU-T Study Group 3 activities on shared use of spectrum and methodologies for spectrum valuation.</w:t>
            </w:r>
          </w:p>
          <w:p w14:paraId="05D82723" w14:textId="575470D1" w:rsidR="00855C8B" w:rsidRPr="00073574" w:rsidRDefault="00855C8B" w:rsidP="002E241A">
            <w:pPr>
              <w:pStyle w:val="ListParagraph"/>
              <w:numPr>
                <w:ilvl w:val="0"/>
                <w:numId w:val="24"/>
              </w:numPr>
              <w:ind w:left="714" w:hanging="357"/>
              <w:contextualSpacing w:val="0"/>
            </w:pPr>
            <w:r w:rsidRPr="00073574">
              <w:t xml:space="preserve">SG3 sent a liaison statement to ITU-R SG1 on ITU-T Study Group 3 activities on </w:t>
            </w:r>
            <w:r w:rsidR="00EE2CEB" w:rsidRPr="00073574">
              <w:t>OTTs</w:t>
            </w:r>
            <w:r w:rsidRPr="00073574">
              <w:t>.</w:t>
            </w:r>
          </w:p>
          <w:p w14:paraId="0CBC0C74" w14:textId="2153E363" w:rsidR="00410D3A" w:rsidRPr="00073574" w:rsidRDefault="00855C8B" w:rsidP="002E241A">
            <w:pPr>
              <w:pStyle w:val="ListParagraph"/>
              <w:numPr>
                <w:ilvl w:val="0"/>
                <w:numId w:val="24"/>
              </w:numPr>
              <w:ind w:left="714" w:hanging="357"/>
              <w:contextualSpacing w:val="0"/>
            </w:pPr>
            <w:r w:rsidRPr="00073574">
              <w:t>SG3 continues collaboration with ITU-</w:t>
            </w:r>
            <w:r w:rsidR="00410D3A" w:rsidRPr="00073574">
              <w:t>D</w:t>
            </w:r>
            <w:r w:rsidRPr="00073574">
              <w:t xml:space="preserve"> SG1 on the transition from IPv4 to IPv6 and International Mobile Roaming and methods of determining the costs of services related to telecommunication/ICT networks, including next-generation networks.</w:t>
            </w:r>
            <w:r w:rsidR="00410D3A" w:rsidRPr="00073574">
              <w:t xml:space="preserve"> SG3 started collaboration with ITU-D SG1 on draft ITU-T D.266 (D.OTTMNO).</w:t>
            </w:r>
          </w:p>
          <w:p w14:paraId="6142B8BC" w14:textId="0C4A73D1" w:rsidR="00855C8B" w:rsidRPr="00073574" w:rsidRDefault="00855C8B" w:rsidP="002E241A">
            <w:pPr>
              <w:pStyle w:val="ListParagraph"/>
              <w:numPr>
                <w:ilvl w:val="0"/>
                <w:numId w:val="24"/>
              </w:numPr>
              <w:ind w:left="714" w:hanging="357"/>
              <w:contextualSpacing w:val="0"/>
            </w:pPr>
            <w:r w:rsidRPr="00073574">
              <w:t>SG3 continue</w:t>
            </w:r>
            <w:r w:rsidR="00B26A8B" w:rsidRPr="00073574">
              <w:t>s</w:t>
            </w:r>
            <w:r w:rsidRPr="00073574">
              <w:t xml:space="preserve"> collaboration with ITU-T SG2 mainly with the Rapporteur Group for Q8/</w:t>
            </w:r>
            <w:r w:rsidR="00D92607" w:rsidRPr="00073574">
              <w:t>3</w:t>
            </w:r>
            <w:r w:rsidR="00452C49" w:rsidRPr="00073574">
              <w:t xml:space="preserve"> on alternati</w:t>
            </w:r>
            <w:r w:rsidR="008434FB" w:rsidRPr="00073574">
              <w:t>v</w:t>
            </w:r>
            <w:r w:rsidR="00452C49" w:rsidRPr="00073574">
              <w:t>e calling procedures and on OTT bypass</w:t>
            </w:r>
            <w:r w:rsidRPr="00073574">
              <w:t>.</w:t>
            </w:r>
            <w:r w:rsidR="00FC457C" w:rsidRPr="00073574">
              <w:t xml:space="preserve"> SG3 collaborates with SG13 on big data and on IMT2020 policy matters, and with SG17 on dual numbering of draft ITU-T D.</w:t>
            </w:r>
            <w:r w:rsidR="00BC55F4" w:rsidRPr="00073574">
              <w:t>1140</w:t>
            </w:r>
            <w:r w:rsidR="00504DBB" w:rsidRPr="00073574">
              <w:t>/X.1261</w:t>
            </w:r>
            <w:r w:rsidR="00FC457C" w:rsidRPr="00073574">
              <w:t xml:space="preserve"> (D.DigID).</w:t>
            </w:r>
          </w:p>
          <w:p w14:paraId="4CA8891C" w14:textId="10911CE0" w:rsidR="00E0651F" w:rsidRPr="00073574" w:rsidRDefault="00E0651F" w:rsidP="002E241A">
            <w:pPr>
              <w:pStyle w:val="ListParagraph"/>
              <w:numPr>
                <w:ilvl w:val="0"/>
                <w:numId w:val="24"/>
              </w:numPr>
              <w:ind w:left="714" w:hanging="357"/>
              <w:contextualSpacing w:val="0"/>
            </w:pPr>
            <w:r w:rsidRPr="00073574">
              <w:t>SG5 continues to collaborate wi</w:t>
            </w:r>
            <w:r w:rsidR="00A117C6" w:rsidRPr="00073574">
              <w:t>th ITU-D on Telecommunications/</w:t>
            </w:r>
            <w:r w:rsidRPr="00073574">
              <w:t>ICTs for rural and remotes areas.</w:t>
            </w:r>
          </w:p>
          <w:p w14:paraId="26A719EF" w14:textId="7D008B91" w:rsidR="00E0651F" w:rsidRPr="00073574" w:rsidRDefault="00E0651F" w:rsidP="002E241A">
            <w:pPr>
              <w:pStyle w:val="ListParagraph"/>
              <w:numPr>
                <w:ilvl w:val="0"/>
                <w:numId w:val="24"/>
              </w:numPr>
              <w:ind w:left="714" w:hanging="357"/>
              <w:contextualSpacing w:val="0"/>
            </w:pPr>
            <w:r w:rsidRPr="00073574">
              <w:t xml:space="preserve">SG5 continues to collaborate with </w:t>
            </w:r>
            <w:r w:rsidR="007D514E" w:rsidRPr="00073574">
              <w:t xml:space="preserve">ITU-D and </w:t>
            </w:r>
            <w:r w:rsidRPr="00073574">
              <w:t xml:space="preserve">ITU-R on studies on human exposure to electromagnetic fields (EMFs) from information and communication technologies (ICTs), and Electromagnetic compatibility (EMC) issues arising in the Telecommunication environment and EMF. SG5 organized a Workshop on “5G, EMF &amp; Health” on 5 December 2017. The development of the programme was coordinated with ITU-D and ITU-R. </w:t>
            </w:r>
            <w:r w:rsidR="002445DB" w:rsidRPr="00073574">
              <w:t xml:space="preserve">ITU-T </w:t>
            </w:r>
            <w:r w:rsidRPr="00073574">
              <w:t xml:space="preserve">SG5 coordinated with </w:t>
            </w:r>
            <w:r w:rsidR="002445DB" w:rsidRPr="00073574">
              <w:t>ITU-D SG2 and ITU-R SG1 on the preparation of ITU Intersectoral response to “ICNIRP Public Consultation of the Draft ICNIRP Guidelines on Limiting EMF exposure (100 kHZ to 300 GHz”)</w:t>
            </w:r>
            <w:r w:rsidR="00A117C6" w:rsidRPr="00073574">
              <w:t>.</w:t>
            </w:r>
            <w:r w:rsidR="00282079" w:rsidRPr="00073574">
              <w:t xml:space="preserve"> SG5 sends regularly </w:t>
            </w:r>
            <w:r w:rsidR="00282079" w:rsidRPr="00073574">
              <w:lastRenderedPageBreak/>
              <w:t>liaison statements to ITU-D and ITU-R on the progress of the work on human exposure to electromagnetic fields (EMFs).</w:t>
            </w:r>
          </w:p>
          <w:p w14:paraId="51D4524D" w14:textId="3CBECCF7" w:rsidR="00E0651F" w:rsidRPr="00073574" w:rsidRDefault="00E0651F" w:rsidP="002E241A">
            <w:pPr>
              <w:pStyle w:val="ListParagraph"/>
              <w:numPr>
                <w:ilvl w:val="0"/>
                <w:numId w:val="24"/>
              </w:numPr>
              <w:ind w:left="714" w:hanging="357"/>
              <w:contextualSpacing w:val="0"/>
            </w:pPr>
            <w:r w:rsidRPr="00073574">
              <w:t xml:space="preserve">SG5 sent a </w:t>
            </w:r>
            <w:r w:rsidR="006959A6" w:rsidRPr="00073574">
              <w:t xml:space="preserve">liaison statement </w:t>
            </w:r>
            <w:r w:rsidRPr="00073574">
              <w:t>to</w:t>
            </w:r>
            <w:r w:rsidR="002445DB" w:rsidRPr="00073574">
              <w:t xml:space="preserve"> ITU-R SG</w:t>
            </w:r>
            <w:r w:rsidRPr="00073574">
              <w:t>1 and ITU-R SG5 on inter-Sector coordination</w:t>
            </w:r>
            <w:r w:rsidR="002445DB" w:rsidRPr="00073574">
              <w:t>.</w:t>
            </w:r>
          </w:p>
          <w:p w14:paraId="599A5E01" w14:textId="45B97E98" w:rsidR="002445DB" w:rsidRPr="00073574" w:rsidRDefault="002445DB" w:rsidP="002E241A">
            <w:pPr>
              <w:pStyle w:val="ListParagraph"/>
              <w:numPr>
                <w:ilvl w:val="0"/>
                <w:numId w:val="24"/>
              </w:numPr>
              <w:ind w:left="714" w:hanging="357"/>
              <w:contextualSpacing w:val="0"/>
            </w:pPr>
            <w:r w:rsidRPr="00073574">
              <w:t xml:space="preserve">SG5 sent a </w:t>
            </w:r>
            <w:r w:rsidR="006959A6" w:rsidRPr="00073574">
              <w:t xml:space="preserve">liaison statement </w:t>
            </w:r>
            <w:r w:rsidRPr="00073574">
              <w:t>to ITU-</w:t>
            </w:r>
            <w:r w:rsidR="006959A6" w:rsidRPr="00073574">
              <w:t>D SG1 and SG2 on matching of ITU-D SG1 and SG2 Questions of Interest to ITU-T SG5.</w:t>
            </w:r>
          </w:p>
          <w:p w14:paraId="3327D0FD" w14:textId="75AECCC4" w:rsidR="006959A6" w:rsidRPr="00073574" w:rsidRDefault="006959A6" w:rsidP="002E241A">
            <w:pPr>
              <w:pStyle w:val="ListParagraph"/>
              <w:numPr>
                <w:ilvl w:val="0"/>
                <w:numId w:val="24"/>
              </w:numPr>
              <w:ind w:left="714" w:hanging="357"/>
              <w:contextualSpacing w:val="0"/>
            </w:pPr>
            <w:r w:rsidRPr="00073574">
              <w:t>SG5 and SG20 organized the 8th Green Standards Week from 9 to 12 April 2018 in Zanzibar, Tanzania in cooperation with ITU-D and ITU-R.</w:t>
            </w:r>
          </w:p>
          <w:p w14:paraId="7B234254" w14:textId="058ECB30" w:rsidR="004B1679" w:rsidRPr="00073574" w:rsidRDefault="0AC5F3EE" w:rsidP="002E241A">
            <w:pPr>
              <w:pStyle w:val="ListParagraph"/>
              <w:numPr>
                <w:ilvl w:val="0"/>
                <w:numId w:val="24"/>
              </w:numPr>
              <w:ind w:left="714" w:hanging="357"/>
              <w:contextualSpacing w:val="0"/>
            </w:pPr>
            <w:r w:rsidRPr="00073574">
              <w:t xml:space="preserve">SG5 </w:t>
            </w:r>
            <w:r w:rsidR="67D62DC3" w:rsidRPr="00073574">
              <w:t>coordinated</w:t>
            </w:r>
            <w:r w:rsidRPr="00073574">
              <w:t xml:space="preserve"> with ITU-D and ITU-R a report on </w:t>
            </w:r>
            <w:r w:rsidR="67D62DC3" w:rsidRPr="00073574">
              <w:t xml:space="preserve">Turning Digital Technology Innovation into </w:t>
            </w:r>
            <w:r w:rsidRPr="00073574">
              <w:t xml:space="preserve">Climate </w:t>
            </w:r>
            <w:r w:rsidR="67D62DC3" w:rsidRPr="00073574">
              <w:t xml:space="preserve">Action </w:t>
            </w:r>
            <w:r w:rsidR="00282079" w:rsidRPr="00073574">
              <w:t>and it was</w:t>
            </w:r>
            <w:r w:rsidRPr="00073574">
              <w:t xml:space="preserve"> launched in September 2019 during the UN Climate Summit</w:t>
            </w:r>
            <w:r w:rsidR="67039CAC" w:rsidRPr="00073574">
              <w:t>.</w:t>
            </w:r>
          </w:p>
          <w:p w14:paraId="5B8F4FCA" w14:textId="3BC6A0A4" w:rsidR="063DC1DC" w:rsidRPr="00073574" w:rsidRDefault="063DC1DC" w:rsidP="002E241A">
            <w:pPr>
              <w:pStyle w:val="ListParagraph"/>
              <w:numPr>
                <w:ilvl w:val="0"/>
                <w:numId w:val="24"/>
              </w:numPr>
              <w:ind w:left="714" w:hanging="357"/>
              <w:contextualSpacing w:val="0"/>
            </w:pPr>
            <w:r w:rsidRPr="00073574">
              <w:t>SG5 collaborates with ITU-D and ITU-R on topics related to Climate Change and with ITU-D on topics related to E-waste and Circular Economy.</w:t>
            </w:r>
          </w:p>
          <w:p w14:paraId="5FECF90D" w14:textId="4156857B" w:rsidR="00282079" w:rsidRPr="00073574" w:rsidRDefault="00282079" w:rsidP="002E241A">
            <w:pPr>
              <w:pStyle w:val="ListParagraph"/>
              <w:numPr>
                <w:ilvl w:val="0"/>
                <w:numId w:val="24"/>
              </w:numPr>
              <w:ind w:left="714" w:hanging="357"/>
              <w:contextualSpacing w:val="0"/>
            </w:pPr>
            <w:r w:rsidRPr="00073574">
              <w:t xml:space="preserve">The Focus Group on Environmental Efficiency for Artificial Intelligence and other emerging technologies (FG-AI4EE) sent a liaison statement to ITU-R and ITU-D Study Groups informing of the creation and the results of the first meeting of the FG-AI4EE. </w:t>
            </w:r>
          </w:p>
          <w:p w14:paraId="73026272" w14:textId="6B61B20A" w:rsidR="00C17B6E" w:rsidRPr="00073574" w:rsidRDefault="00C17B6E" w:rsidP="002E241A">
            <w:pPr>
              <w:pStyle w:val="ListParagraph"/>
              <w:numPr>
                <w:ilvl w:val="0"/>
                <w:numId w:val="24"/>
              </w:numPr>
              <w:ind w:left="714" w:hanging="357"/>
              <w:contextualSpacing w:val="0"/>
            </w:pPr>
            <w:r w:rsidRPr="00073574">
              <w:t>SG9 is collaborating with ITU-</w:t>
            </w:r>
            <w:r w:rsidR="00F25976" w:rsidRPr="00073574">
              <w:t xml:space="preserve">D </w:t>
            </w:r>
            <w:r w:rsidRPr="00073574">
              <w:t>SG1 and SG2 on studies related to implementation of cable TV in developing countires. It is also collaborating with ITU-R SG6 and ITU-</w:t>
            </w:r>
            <w:r w:rsidR="00F25976" w:rsidRPr="00073574">
              <w:t xml:space="preserve">T </w:t>
            </w:r>
            <w:r w:rsidRPr="00073574">
              <w:t xml:space="preserve">SG16 on studies related to Integrated Broadcast Broadband (IBB) as well as </w:t>
            </w:r>
            <w:r w:rsidR="00F25976" w:rsidRPr="00073574">
              <w:t xml:space="preserve">Audiovisual </w:t>
            </w:r>
            <w:r w:rsidRPr="00073574">
              <w:t>Accessibility to cable TV.</w:t>
            </w:r>
          </w:p>
          <w:p w14:paraId="50BDC2C8" w14:textId="6EC8FCCA" w:rsidR="009E7621" w:rsidRPr="00073574" w:rsidRDefault="009E7621" w:rsidP="002E241A">
            <w:pPr>
              <w:pStyle w:val="ListParagraph"/>
              <w:numPr>
                <w:ilvl w:val="0"/>
                <w:numId w:val="24"/>
              </w:numPr>
              <w:ind w:left="714" w:hanging="357"/>
              <w:contextualSpacing w:val="0"/>
            </w:pPr>
            <w:r w:rsidRPr="00073574">
              <w:t>SG11 continues collaborating with ITU-D SG2 on conformance and interoperability issues, combating counterfeiting</w:t>
            </w:r>
            <w:r w:rsidR="003F4D64" w:rsidRPr="00073574">
              <w:t xml:space="preserve">. SG11 </w:t>
            </w:r>
            <w:r w:rsidR="00C822F6" w:rsidRPr="00073574">
              <w:t>collaborates with ITU-R WP5A</w:t>
            </w:r>
            <w:r w:rsidR="0046543C" w:rsidRPr="00073574">
              <w:t>, WP5D</w:t>
            </w:r>
            <w:r w:rsidR="001331C8" w:rsidRPr="00073574">
              <w:t>, WP5C</w:t>
            </w:r>
            <w:r w:rsidRPr="00073574">
              <w:t xml:space="preserve"> and </w:t>
            </w:r>
            <w:r w:rsidR="00A33363" w:rsidRPr="00073574">
              <w:t xml:space="preserve">ITU-D SG2 on </w:t>
            </w:r>
            <w:r w:rsidRPr="00073574">
              <w:t xml:space="preserve">disaster relief </w:t>
            </w:r>
            <w:r w:rsidR="00A33363" w:rsidRPr="00073574">
              <w:t xml:space="preserve">issues and </w:t>
            </w:r>
            <w:r w:rsidRPr="00073574">
              <w:t>use cases</w:t>
            </w:r>
            <w:r w:rsidR="001331C8" w:rsidRPr="00073574">
              <w:t xml:space="preserve"> and testing related aspects</w:t>
            </w:r>
            <w:r w:rsidRPr="00073574">
              <w:t>.</w:t>
            </w:r>
          </w:p>
          <w:p w14:paraId="7A9B6DE8" w14:textId="11454B4D" w:rsidR="00855C8B" w:rsidRPr="00073574" w:rsidRDefault="00855C8B" w:rsidP="002E241A">
            <w:pPr>
              <w:pStyle w:val="ListParagraph"/>
              <w:numPr>
                <w:ilvl w:val="0"/>
                <w:numId w:val="24"/>
              </w:numPr>
              <w:ind w:left="714" w:hanging="357"/>
              <w:contextualSpacing w:val="0"/>
            </w:pPr>
            <w:r w:rsidRPr="00073574">
              <w:t xml:space="preserve">SG12 </w:t>
            </w:r>
            <w:r w:rsidR="00076922" w:rsidRPr="00073574">
              <w:t>experts contributed to programmes developed by the BDT</w:t>
            </w:r>
            <w:r w:rsidRPr="00073574">
              <w:t>.</w:t>
            </w:r>
            <w:r w:rsidR="00076922" w:rsidRPr="00073574">
              <w:t xml:space="preserve"> Active exchange of information with ITU-R WP6C on matters of common interest.</w:t>
            </w:r>
          </w:p>
          <w:p w14:paraId="37D44522" w14:textId="43301CEC" w:rsidR="00855C8B" w:rsidRPr="00073574" w:rsidRDefault="00855C8B" w:rsidP="002E241A">
            <w:pPr>
              <w:pStyle w:val="ListParagraph"/>
              <w:numPr>
                <w:ilvl w:val="0"/>
                <w:numId w:val="24"/>
              </w:numPr>
              <w:ind w:left="714" w:hanging="357"/>
              <w:contextualSpacing w:val="0"/>
            </w:pPr>
            <w:r w:rsidRPr="00073574">
              <w:t>SG13 communicated the results of the cloud computing surveys (completed in Nov. 2016) to ITU-D with their manual on cloud computing project. SG13 nominated the liaison rapporteur for ITU-D.</w:t>
            </w:r>
            <w:r w:rsidR="00587608" w:rsidRPr="00073574">
              <w:t xml:space="preserve"> SG13 had an info</w:t>
            </w:r>
            <w:r w:rsidR="00896C6B" w:rsidRPr="00073574">
              <w:t>rmation</w:t>
            </w:r>
            <w:r w:rsidR="00587608" w:rsidRPr="00073574">
              <w:t xml:space="preserve"> session on 5G organized jointly with ITU-R</w:t>
            </w:r>
            <w:r w:rsidR="00374308" w:rsidRPr="00073574">
              <w:t xml:space="preserve"> </w:t>
            </w:r>
            <w:r w:rsidR="00587608" w:rsidRPr="00073574">
              <w:t>WP</w:t>
            </w:r>
            <w:r w:rsidR="00374308" w:rsidRPr="00073574">
              <w:t xml:space="preserve"> </w:t>
            </w:r>
            <w:r w:rsidR="00587608" w:rsidRPr="00073574">
              <w:t>5D.</w:t>
            </w:r>
            <w:r w:rsidR="000B0D7C" w:rsidRPr="00073574">
              <w:t xml:space="preserve"> FG NET2030 (runs under SG13) agreed in March 2019 to changes their ToR per the request from ITU-R WP5D. A set of ITU-T events in May 2019 in St Petersburg, Russia, were run in </w:t>
            </w:r>
            <w:r w:rsidR="003270F9" w:rsidRPr="00073574">
              <w:t>conjunction</w:t>
            </w:r>
            <w:r w:rsidR="000B0D7C" w:rsidRPr="00073574">
              <w:t xml:space="preserve"> with the ITU-D Regional Forum.</w:t>
            </w:r>
          </w:p>
          <w:p w14:paraId="656CF9E6" w14:textId="1DF81276" w:rsidR="00855C8B" w:rsidRPr="00073574" w:rsidRDefault="00855C8B" w:rsidP="002E241A">
            <w:pPr>
              <w:pStyle w:val="ListParagraph"/>
              <w:numPr>
                <w:ilvl w:val="0"/>
                <w:numId w:val="24"/>
              </w:numPr>
              <w:ind w:left="714" w:hanging="357"/>
              <w:contextualSpacing w:val="0"/>
            </w:pPr>
            <w:r w:rsidRPr="00073574">
              <w:t xml:space="preserve">SG15 continues to collaborate with ITU-R on </w:t>
            </w:r>
            <w:r w:rsidR="008E5392" w:rsidRPr="00073574">
              <w:t>power spectrum density (</w:t>
            </w:r>
            <w:r w:rsidR="0017756C" w:rsidRPr="00073574">
              <w:t>PSD</w:t>
            </w:r>
            <w:r w:rsidR="008E5392" w:rsidRPr="00073574">
              <w:t xml:space="preserve">) for G.fast/G.mgfast, xDSL and </w:t>
            </w:r>
            <w:r w:rsidRPr="00073574">
              <w:t>powerline communication (PLC).</w:t>
            </w:r>
          </w:p>
          <w:p w14:paraId="71F5ABB3" w14:textId="37C47FA2" w:rsidR="00D73570" w:rsidRPr="00073574" w:rsidRDefault="00D73570" w:rsidP="002E241A">
            <w:pPr>
              <w:pStyle w:val="ListParagraph"/>
              <w:numPr>
                <w:ilvl w:val="0"/>
                <w:numId w:val="24"/>
              </w:numPr>
              <w:ind w:left="714" w:hanging="357"/>
              <w:contextualSpacing w:val="0"/>
            </w:pPr>
            <w:r w:rsidRPr="00073574">
              <w:t>SG15 sends Liaisons to ITU-D SG1 and 2, ITU-R SG1, 5 and 6 as well as to TSAG on ITU inter-Sector coordination on its lead SG activities (e.g., TSAG-TD386Rev.1, TSAG-TD570</w:t>
            </w:r>
            <w:r w:rsidR="079742C1" w:rsidRPr="00073574">
              <w:t>, TSAG-TD747</w:t>
            </w:r>
            <w:r w:rsidR="00A623EC" w:rsidRPr="00073574">
              <w:t>, TSAG-TD1098</w:t>
            </w:r>
            <w:r w:rsidRPr="00073574">
              <w:t>).</w:t>
            </w:r>
          </w:p>
          <w:p w14:paraId="7D601AB1" w14:textId="768A663D" w:rsidR="00720F87" w:rsidRPr="00073574" w:rsidRDefault="00720F87" w:rsidP="002E241A">
            <w:pPr>
              <w:pStyle w:val="ListParagraph"/>
              <w:numPr>
                <w:ilvl w:val="0"/>
                <w:numId w:val="24"/>
              </w:numPr>
              <w:ind w:left="714" w:hanging="357"/>
              <w:contextualSpacing w:val="0"/>
            </w:pPr>
            <w:r w:rsidRPr="00073574">
              <w:t xml:space="preserve">SG15 sends Liaisons to ITU-R on </w:t>
            </w:r>
            <w:r w:rsidR="003F6084" w:rsidRPr="00073574">
              <w:t xml:space="preserve">visible light </w:t>
            </w:r>
            <w:r w:rsidR="000D7047" w:rsidRPr="00073574">
              <w:t>communication</w:t>
            </w:r>
            <w:r w:rsidR="003A2102" w:rsidRPr="00073574">
              <w:t xml:space="preserve"> (free-space optical communication)</w:t>
            </w:r>
            <w:r w:rsidR="001C4576" w:rsidRPr="00073574">
              <w:t xml:space="preserve"> to share </w:t>
            </w:r>
            <w:r w:rsidR="00C83BA0" w:rsidRPr="00073574">
              <w:t xml:space="preserve">information </w:t>
            </w:r>
            <w:r w:rsidR="005A5275" w:rsidRPr="00073574">
              <w:t>on the progress</w:t>
            </w:r>
            <w:r w:rsidR="004A57EA" w:rsidRPr="00073574">
              <w:t>.</w:t>
            </w:r>
          </w:p>
          <w:p w14:paraId="0CA16E5B" w14:textId="3DE40A52" w:rsidR="000D47EF" w:rsidRPr="00073574" w:rsidRDefault="000D47EF" w:rsidP="002E241A">
            <w:pPr>
              <w:pStyle w:val="ListParagraph"/>
              <w:numPr>
                <w:ilvl w:val="0"/>
                <w:numId w:val="24"/>
              </w:numPr>
              <w:ind w:left="714" w:hanging="357"/>
              <w:contextualSpacing w:val="0"/>
            </w:pPr>
            <w:r w:rsidRPr="00073574">
              <w:t>SG16 is collaborating with ITU-R SG6 on audiovidual media, and with ITU-D Q7/1 on ICT accessibility.</w:t>
            </w:r>
          </w:p>
          <w:p w14:paraId="6E09CABD" w14:textId="382C0AA7" w:rsidR="00B0011F" w:rsidRPr="00073574" w:rsidRDefault="00B0011F" w:rsidP="002E241A">
            <w:pPr>
              <w:pStyle w:val="ListParagraph"/>
              <w:numPr>
                <w:ilvl w:val="0"/>
                <w:numId w:val="24"/>
              </w:numPr>
              <w:ind w:left="714" w:hanging="357"/>
              <w:contextualSpacing w:val="0"/>
            </w:pPr>
            <w:r w:rsidRPr="00073574">
              <w:t>SG17 sent Liaisons to ITU-D SG1 and 2, TDAG in support of WTDC-14</w:t>
            </w:r>
            <w:r w:rsidR="00B24A92" w:rsidRPr="00073574">
              <w:t>/WTDC-17</w:t>
            </w:r>
            <w:r w:rsidRPr="00073574">
              <w:t xml:space="preserve"> Resolutions and ongoing collaboration with ITU-D Q3/2 and Q9/2; to ITU-R SG4 and 5, as well as to TSAG on ITU inter-Sector coordination and SG17 lead SG activities.</w:t>
            </w:r>
          </w:p>
          <w:p w14:paraId="2B544EF3" w14:textId="1EB54E3C" w:rsidR="00855C8B" w:rsidRPr="00073574" w:rsidRDefault="00855C8B" w:rsidP="002E241A">
            <w:pPr>
              <w:pStyle w:val="ListParagraph"/>
              <w:numPr>
                <w:ilvl w:val="0"/>
                <w:numId w:val="24"/>
              </w:numPr>
              <w:ind w:left="714" w:hanging="357"/>
              <w:contextualSpacing w:val="0"/>
            </w:pPr>
            <w:r w:rsidRPr="00073574">
              <w:t>SG20 sent a liaison statement to ITU-D and ITU-R on the new structure of SG20. SG20 collaborates with ITU-D with inputs on reports and events programmes on IoT and smart cities &amp; communities topics.</w:t>
            </w:r>
          </w:p>
          <w:p w14:paraId="2C87149D" w14:textId="40C0EE02" w:rsidR="006959A6" w:rsidRPr="00073574" w:rsidRDefault="006959A6" w:rsidP="002E241A">
            <w:pPr>
              <w:pStyle w:val="ListParagraph"/>
              <w:numPr>
                <w:ilvl w:val="0"/>
                <w:numId w:val="24"/>
              </w:numPr>
              <w:ind w:left="714" w:hanging="357"/>
              <w:contextualSpacing w:val="0"/>
            </w:pPr>
            <w:r w:rsidRPr="00073574">
              <w:lastRenderedPageBreak/>
              <w:t xml:space="preserve">SG20 together with ITU-D </w:t>
            </w:r>
            <w:r w:rsidR="00A117C6" w:rsidRPr="00073574">
              <w:t xml:space="preserve">organized </w:t>
            </w:r>
            <w:r w:rsidRPr="00073574">
              <w:t>the 4th Asia-Pacific Regional Forum on Smart Sustainable Cities and e-Government 2018” on 4-6 July 2018 in Thanh Hoa City, Vietnam.</w:t>
            </w:r>
          </w:p>
          <w:p w14:paraId="627D431C" w14:textId="5C2A8545" w:rsidR="004B1679" w:rsidRPr="00073574" w:rsidRDefault="52F2AE3E" w:rsidP="002E241A">
            <w:pPr>
              <w:pStyle w:val="ListParagraph"/>
              <w:numPr>
                <w:ilvl w:val="0"/>
                <w:numId w:val="24"/>
              </w:numPr>
              <w:ind w:left="714" w:hanging="357"/>
              <w:contextualSpacing w:val="0"/>
            </w:pPr>
            <w:r w:rsidRPr="00073574">
              <w:t xml:space="preserve">SG20 together with ITU-D organized a </w:t>
            </w:r>
            <w:hyperlink r:id="rId172">
              <w:r w:rsidRPr="00073574">
                <w:t>Forum on Smart sustainable cities: technological trends, success stories and future prospects</w:t>
              </w:r>
            </w:hyperlink>
            <w:r w:rsidR="684E69DD" w:rsidRPr="00073574">
              <w:t>.</w:t>
            </w:r>
          </w:p>
          <w:p w14:paraId="44778B8F" w14:textId="6286E2C3" w:rsidR="007D514E" w:rsidRPr="00073574" w:rsidRDefault="004B1679" w:rsidP="002E241A">
            <w:pPr>
              <w:pStyle w:val="ListParagraph"/>
              <w:numPr>
                <w:ilvl w:val="0"/>
                <w:numId w:val="24"/>
              </w:numPr>
              <w:ind w:left="714" w:hanging="357"/>
              <w:contextualSpacing w:val="0"/>
            </w:pPr>
            <w:r w:rsidRPr="00073574">
              <w:t xml:space="preserve">SG20 sent </w:t>
            </w:r>
            <w:r w:rsidR="007D514E" w:rsidRPr="00073574">
              <w:t>liaison statement</w:t>
            </w:r>
            <w:r w:rsidRPr="00073574">
              <w:t>s</w:t>
            </w:r>
            <w:r w:rsidR="007D514E" w:rsidRPr="00073574">
              <w:t xml:space="preserve"> to ITU-D SG1 </w:t>
            </w:r>
            <w:r w:rsidRPr="00073574">
              <w:t xml:space="preserve">and SG2 </w:t>
            </w:r>
            <w:r w:rsidR="007D514E" w:rsidRPr="00073574">
              <w:t>on accessibility matters</w:t>
            </w:r>
            <w:r w:rsidRPr="00073574">
              <w:t>, collaboration on topics related to IoT and smart cities and communities</w:t>
            </w:r>
            <w:r w:rsidR="00102963" w:rsidRPr="00073574">
              <w:t xml:space="preserve"> </w:t>
            </w:r>
            <w:r w:rsidRPr="00073574">
              <w:t>and on collaboration on relevant topics of e-health</w:t>
            </w:r>
            <w:r w:rsidR="00102963" w:rsidRPr="00073574">
              <w:t>.</w:t>
            </w:r>
          </w:p>
          <w:p w14:paraId="0B1FCF5E" w14:textId="6011AD79" w:rsidR="007D514E" w:rsidRPr="00073574" w:rsidRDefault="007D514E" w:rsidP="002E241A">
            <w:pPr>
              <w:pStyle w:val="ListParagraph"/>
              <w:numPr>
                <w:ilvl w:val="0"/>
                <w:numId w:val="24"/>
              </w:numPr>
              <w:ind w:left="714" w:hanging="357"/>
              <w:contextualSpacing w:val="0"/>
            </w:pPr>
            <w:r w:rsidRPr="00073574">
              <w:t>SG20 sent a liaison statement to ITU-D on matching of ITU-D SG1 and SG2 Questions of interest to ITU-T Study Groups</w:t>
            </w:r>
            <w:r w:rsidR="00102963" w:rsidRPr="00073574">
              <w:t>.</w:t>
            </w:r>
          </w:p>
          <w:p w14:paraId="2AD9FE9D" w14:textId="49910A52" w:rsidR="004B1679" w:rsidRPr="00073574" w:rsidRDefault="0AC5F3EE" w:rsidP="002E241A">
            <w:pPr>
              <w:pStyle w:val="ListParagraph"/>
              <w:numPr>
                <w:ilvl w:val="0"/>
                <w:numId w:val="24"/>
              </w:numPr>
              <w:ind w:left="714" w:hanging="357"/>
              <w:contextualSpacing w:val="0"/>
            </w:pPr>
            <w:r w:rsidRPr="00073574">
              <w:t xml:space="preserve">SG20 together with ITU-D and the regional office for Africa </w:t>
            </w:r>
            <w:r w:rsidR="00282079" w:rsidRPr="00073574">
              <w:t>organized</w:t>
            </w:r>
            <w:r w:rsidRPr="00073574">
              <w:t xml:space="preserve"> a Session on Session on "Smart Sustainable Cities &amp; Communities" on 5 September 2019</w:t>
            </w:r>
            <w:r w:rsidR="031B34E9" w:rsidRPr="00073574">
              <w:t>.</w:t>
            </w:r>
          </w:p>
          <w:p w14:paraId="658F95CE" w14:textId="4C356CB7" w:rsidR="634316F6" w:rsidRPr="00073574" w:rsidRDefault="634316F6" w:rsidP="002E241A">
            <w:pPr>
              <w:pStyle w:val="ListParagraph"/>
              <w:numPr>
                <w:ilvl w:val="0"/>
                <w:numId w:val="24"/>
              </w:numPr>
              <w:ind w:left="714" w:hanging="357"/>
              <w:contextualSpacing w:val="0"/>
              <w:rPr>
                <w:rFonts w:eastAsia="Times New Roman"/>
              </w:rPr>
            </w:pPr>
            <w:r w:rsidRPr="00073574">
              <w:t xml:space="preserve">SG20 sent a liaison statement to ITU-D SG1 and SG2 on impact of IoT and </w:t>
            </w:r>
            <w:r w:rsidR="00887451" w:rsidRPr="00073574">
              <w:t>s</w:t>
            </w:r>
            <w:r w:rsidRPr="00073574">
              <w:t xml:space="preserve">nsing </w:t>
            </w:r>
            <w:r w:rsidR="00887451" w:rsidRPr="00073574">
              <w:t>t</w:t>
            </w:r>
            <w:r w:rsidRPr="00073574">
              <w:t>echnologies.</w:t>
            </w:r>
          </w:p>
          <w:p w14:paraId="069108B9" w14:textId="39EF1E1C" w:rsidR="634316F6" w:rsidRPr="00073574" w:rsidRDefault="634316F6" w:rsidP="002E241A">
            <w:pPr>
              <w:pStyle w:val="ListParagraph"/>
              <w:numPr>
                <w:ilvl w:val="0"/>
                <w:numId w:val="24"/>
              </w:numPr>
              <w:ind w:left="714" w:hanging="357"/>
              <w:contextualSpacing w:val="0"/>
            </w:pPr>
            <w:r w:rsidRPr="00073574">
              <w:t>SG20 sent a liaison statement to ITU-R WP 5D on development of a draft new report ITU-R M.[IMT.C-V2X] - Application of the Terrestrial Component of IMT for Cellular-V2X.</w:t>
            </w:r>
          </w:p>
          <w:p w14:paraId="2562DFA8" w14:textId="08FE693F" w:rsidR="00C81E93" w:rsidRPr="00073574" w:rsidRDefault="00C81E93" w:rsidP="002E241A">
            <w:pPr>
              <w:pStyle w:val="ListParagraph"/>
              <w:numPr>
                <w:ilvl w:val="0"/>
                <w:numId w:val="24"/>
              </w:numPr>
              <w:ind w:left="714" w:hanging="357"/>
              <w:contextualSpacing w:val="0"/>
            </w:pPr>
            <w:r w:rsidRPr="00073574">
              <w:t xml:space="preserve">SG20 sent a liaison statement to ITU-R WP 5A on </w:t>
            </w:r>
            <w:r w:rsidR="00C126E0" w:rsidRPr="00073574">
              <w:t>ITU-T SG20 terms and definitions.</w:t>
            </w:r>
          </w:p>
          <w:p w14:paraId="231841F2" w14:textId="36831B63" w:rsidR="00C126E0" w:rsidRPr="00073574" w:rsidRDefault="00F360BC" w:rsidP="002E241A">
            <w:pPr>
              <w:pStyle w:val="ListParagraph"/>
              <w:numPr>
                <w:ilvl w:val="0"/>
                <w:numId w:val="24"/>
              </w:numPr>
              <w:ind w:left="714" w:hanging="357"/>
              <w:contextualSpacing w:val="0"/>
            </w:pPr>
            <w:r w:rsidRPr="00073574">
              <w:t>SG20 sent a liaison statement to ITU-R WP</w:t>
            </w:r>
            <w:r w:rsidR="0079678D" w:rsidRPr="00073574">
              <w:t xml:space="preserve"> 5D and ITU-R WP 5</w:t>
            </w:r>
            <w:r w:rsidR="0011328B" w:rsidRPr="00073574">
              <w:t xml:space="preserve">B on </w:t>
            </w:r>
            <w:r w:rsidR="00D0027A" w:rsidRPr="00073574">
              <w:t xml:space="preserve">relevant </w:t>
            </w:r>
            <w:r w:rsidR="0011328B" w:rsidRPr="00073574">
              <w:t>ITU-T SG20 work item</w:t>
            </w:r>
            <w:r w:rsidR="00D0027A" w:rsidRPr="00073574">
              <w:t>/s</w:t>
            </w:r>
            <w:r w:rsidR="0011328B" w:rsidRPr="00073574">
              <w:t xml:space="preserve">. </w:t>
            </w:r>
          </w:p>
          <w:p w14:paraId="5C4B2CDE" w14:textId="7C8C5862" w:rsidR="00855C8B" w:rsidRPr="00073574" w:rsidRDefault="00855C8B" w:rsidP="00855C8B">
            <w:pPr>
              <w:pStyle w:val="Tabletext"/>
              <w:rPr>
                <w:szCs w:val="22"/>
              </w:rPr>
            </w:pPr>
            <w:r w:rsidRPr="00073574">
              <w:rPr>
                <w:szCs w:val="22"/>
              </w:rPr>
              <w:t xml:space="preserve">The inter-Sector coordination team (ISCT) on issues of mutual interest </w:t>
            </w:r>
            <w:r w:rsidRPr="00073574">
              <w:rPr>
                <w:szCs w:val="22"/>
                <w:lang w:eastAsia="zh-CN"/>
              </w:rPr>
              <w:t>is composed by representatives of all three advisory groups, and works to identify subjects common to the three Sectors. It also seeks to identify the necessary mechanisms to strengthen the cooperation and joint activity among the three Sectors, with particular emphasis on the interests of developing countries.</w:t>
            </w:r>
            <w:r w:rsidRPr="00073574">
              <w:rPr>
                <w:szCs w:val="22"/>
              </w:rPr>
              <w:t xml:space="preserve"> In addition, the ITU Inter-Sectoral Coordination Task Force (ISC-TF) is coordinating activities among the t</w:t>
            </w:r>
            <w:r w:rsidR="00CB45E4" w:rsidRPr="00073574">
              <w:rPr>
                <w:szCs w:val="22"/>
              </w:rPr>
              <w:t>h</w:t>
            </w:r>
            <w:r w:rsidRPr="00073574">
              <w:rPr>
                <w:szCs w:val="22"/>
              </w:rPr>
              <w:t>ree Bureaux.</w:t>
            </w:r>
          </w:p>
        </w:tc>
      </w:tr>
      <w:tr w:rsidR="00855C8B" w:rsidRPr="00073574" w14:paraId="53C75C2C" w14:textId="77777777" w:rsidTr="1EE68BAF">
        <w:trPr>
          <w:jc w:val="center"/>
        </w:trPr>
        <w:tc>
          <w:tcPr>
            <w:tcW w:w="907" w:type="dxa"/>
            <w:vMerge w:val="restart"/>
            <w:tcBorders>
              <w:top w:val="single" w:sz="12" w:space="0" w:color="auto"/>
            </w:tcBorders>
            <w:shd w:val="clear" w:color="auto" w:fill="auto"/>
          </w:tcPr>
          <w:p w14:paraId="2128D8CE" w14:textId="7054CF4F" w:rsidR="00855C8B" w:rsidRPr="00073574" w:rsidRDefault="00855C8B" w:rsidP="00855C8B">
            <w:pPr>
              <w:pStyle w:val="Tabletext"/>
              <w:rPr>
                <w:b/>
                <w:bCs/>
                <w:sz w:val="24"/>
                <w:szCs w:val="24"/>
              </w:rPr>
            </w:pPr>
            <w:r w:rsidRPr="00073574">
              <w:rPr>
                <w:b/>
                <w:bCs/>
                <w:sz w:val="24"/>
                <w:szCs w:val="24"/>
              </w:rPr>
              <w:lastRenderedPageBreak/>
              <w:t>18-04</w:t>
            </w:r>
          </w:p>
        </w:tc>
        <w:tc>
          <w:tcPr>
            <w:tcW w:w="4554" w:type="dxa"/>
            <w:tcBorders>
              <w:top w:val="single" w:sz="12" w:space="0" w:color="auto"/>
            </w:tcBorders>
            <w:shd w:val="clear" w:color="auto" w:fill="auto"/>
          </w:tcPr>
          <w:p w14:paraId="371211A8" w14:textId="4DEBF948" w:rsidR="00855C8B" w:rsidRPr="00073574" w:rsidRDefault="00855C8B" w:rsidP="00855C8B">
            <w:pPr>
              <w:pStyle w:val="Tabletext"/>
              <w:rPr>
                <w:b/>
                <w:bCs/>
                <w:sz w:val="24"/>
                <w:szCs w:val="24"/>
              </w:rPr>
            </w:pPr>
            <w:r w:rsidRPr="00073574">
              <w:rPr>
                <w:b/>
                <w:bCs/>
                <w:sz w:val="24"/>
                <w:szCs w:val="24"/>
              </w:rPr>
              <w:t>TSB Director to report annually to TSAG on the results of the implementation of this resolution. (i. 2)</w:t>
            </w:r>
          </w:p>
        </w:tc>
        <w:tc>
          <w:tcPr>
            <w:tcW w:w="1826" w:type="dxa"/>
            <w:tcBorders>
              <w:top w:val="single" w:sz="12" w:space="0" w:color="auto"/>
            </w:tcBorders>
            <w:shd w:val="clear" w:color="auto" w:fill="auto"/>
            <w:vAlign w:val="center"/>
          </w:tcPr>
          <w:p w14:paraId="4B3C240F" w14:textId="70C724D5" w:rsidR="00855C8B" w:rsidRPr="00073574" w:rsidRDefault="00855C8B" w:rsidP="00855C8B">
            <w:pPr>
              <w:pStyle w:val="Tabletext"/>
              <w:jc w:val="center"/>
              <w:rPr>
                <w:b/>
                <w:bCs/>
                <w:sz w:val="24"/>
                <w:szCs w:val="24"/>
              </w:rPr>
            </w:pPr>
            <w:r w:rsidRPr="00073574">
              <w:rPr>
                <w:b/>
                <w:bCs/>
                <w:sz w:val="24"/>
                <w:szCs w:val="24"/>
              </w:rPr>
              <w:t>Ongoing</w:t>
            </w:r>
          </w:p>
        </w:tc>
        <w:tc>
          <w:tcPr>
            <w:tcW w:w="1209" w:type="dxa"/>
            <w:tcBorders>
              <w:top w:val="single" w:sz="12" w:space="0" w:color="auto"/>
            </w:tcBorders>
            <w:shd w:val="clear" w:color="auto" w:fill="auto"/>
            <w:vAlign w:val="center"/>
          </w:tcPr>
          <w:p w14:paraId="5D403EF8" w14:textId="22DCEBE1" w:rsidR="00855C8B" w:rsidRPr="00073574" w:rsidRDefault="00855C8B" w:rsidP="00855C8B">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04BCA30A" w14:textId="77777777" w:rsidR="00855C8B" w:rsidRPr="00073574" w:rsidRDefault="00855C8B" w:rsidP="00855C8B">
            <w:pPr>
              <w:pStyle w:val="Tabletext"/>
              <w:jc w:val="center"/>
              <w:rPr>
                <w:b/>
                <w:bCs/>
                <w:sz w:val="24"/>
                <w:szCs w:val="24"/>
              </w:rPr>
            </w:pPr>
          </w:p>
        </w:tc>
      </w:tr>
      <w:tr w:rsidR="00855C8B" w:rsidRPr="00073574" w14:paraId="2399E86F" w14:textId="77777777" w:rsidTr="1EE68BAF">
        <w:trPr>
          <w:jc w:val="center"/>
        </w:trPr>
        <w:tc>
          <w:tcPr>
            <w:tcW w:w="907" w:type="dxa"/>
            <w:vMerge/>
          </w:tcPr>
          <w:p w14:paraId="2227DDE7" w14:textId="77777777" w:rsidR="00855C8B" w:rsidRPr="00073574" w:rsidRDefault="00855C8B" w:rsidP="00855C8B">
            <w:pPr>
              <w:pStyle w:val="Tabletext"/>
              <w:rPr>
                <w:sz w:val="24"/>
                <w:szCs w:val="24"/>
              </w:rPr>
            </w:pPr>
          </w:p>
        </w:tc>
        <w:tc>
          <w:tcPr>
            <w:tcW w:w="8925" w:type="dxa"/>
            <w:gridSpan w:val="4"/>
            <w:shd w:val="clear" w:color="auto" w:fill="auto"/>
          </w:tcPr>
          <w:p w14:paraId="6E789931" w14:textId="1051CAD1" w:rsidR="00855C8B" w:rsidRPr="00073574" w:rsidRDefault="00855C8B" w:rsidP="00855C8B">
            <w:pPr>
              <w:pStyle w:val="Tabletext"/>
              <w:rPr>
                <w:szCs w:val="22"/>
              </w:rPr>
            </w:pPr>
            <w:r w:rsidRPr="00073574">
              <w:rPr>
                <w:szCs w:val="22"/>
              </w:rPr>
              <w:t>Accomplished through this document.</w:t>
            </w:r>
          </w:p>
        </w:tc>
      </w:tr>
      <w:tr w:rsidR="00855C8B" w:rsidRPr="00073574" w14:paraId="4A966026" w14:textId="77777777" w:rsidTr="1EE68BAF">
        <w:trPr>
          <w:jc w:val="center"/>
        </w:trPr>
        <w:tc>
          <w:tcPr>
            <w:tcW w:w="907" w:type="dxa"/>
            <w:vMerge w:val="restart"/>
            <w:tcBorders>
              <w:top w:val="single" w:sz="12" w:space="0" w:color="auto"/>
            </w:tcBorders>
            <w:shd w:val="clear" w:color="auto" w:fill="auto"/>
          </w:tcPr>
          <w:p w14:paraId="01787FEB" w14:textId="51F13D6A" w:rsidR="00855C8B" w:rsidRPr="00073574" w:rsidRDefault="00855C8B" w:rsidP="004608C8">
            <w:pPr>
              <w:pStyle w:val="Tabletext"/>
              <w:keepNext/>
              <w:keepLines/>
              <w:rPr>
                <w:b/>
                <w:bCs/>
                <w:sz w:val="24"/>
                <w:szCs w:val="24"/>
              </w:rPr>
            </w:pPr>
            <w:r w:rsidRPr="00073574">
              <w:rPr>
                <w:b/>
                <w:bCs/>
                <w:sz w:val="24"/>
                <w:szCs w:val="24"/>
              </w:rPr>
              <w:t>18-05</w:t>
            </w:r>
          </w:p>
        </w:tc>
        <w:tc>
          <w:tcPr>
            <w:tcW w:w="4554" w:type="dxa"/>
            <w:tcBorders>
              <w:top w:val="single" w:sz="12" w:space="0" w:color="auto"/>
            </w:tcBorders>
            <w:shd w:val="clear" w:color="auto" w:fill="auto"/>
          </w:tcPr>
          <w:p w14:paraId="06D00768" w14:textId="3DDDC588" w:rsidR="00855C8B" w:rsidRPr="00073574" w:rsidRDefault="00855C8B" w:rsidP="004608C8">
            <w:pPr>
              <w:pStyle w:val="Tabletext"/>
              <w:keepNext/>
              <w:keepLines/>
              <w:rPr>
                <w:b/>
                <w:bCs/>
                <w:sz w:val="24"/>
                <w:szCs w:val="24"/>
              </w:rPr>
            </w:pPr>
            <w:r w:rsidRPr="00073574">
              <w:rPr>
                <w:b/>
                <w:bCs/>
                <w:sz w:val="24"/>
                <w:szCs w:val="24"/>
              </w:rPr>
              <w:t>This resolution should also be brought to the attention of the ITU Radiocommunication and Telecommunication Development Sectors (footnote).</w:t>
            </w:r>
          </w:p>
        </w:tc>
        <w:tc>
          <w:tcPr>
            <w:tcW w:w="1826" w:type="dxa"/>
            <w:tcBorders>
              <w:top w:val="single" w:sz="12" w:space="0" w:color="auto"/>
            </w:tcBorders>
            <w:shd w:val="clear" w:color="auto" w:fill="auto"/>
            <w:vAlign w:val="center"/>
          </w:tcPr>
          <w:p w14:paraId="75B8DAA0" w14:textId="2BEBD089" w:rsidR="00855C8B" w:rsidRPr="00073574" w:rsidRDefault="00855C8B" w:rsidP="004608C8">
            <w:pPr>
              <w:pStyle w:val="Tabletext"/>
              <w:keepNext/>
              <w:keepLines/>
              <w:jc w:val="center"/>
              <w:rPr>
                <w:b/>
                <w:bCs/>
                <w:sz w:val="24"/>
                <w:szCs w:val="24"/>
              </w:rPr>
            </w:pPr>
            <w:r w:rsidRPr="00073574">
              <w:rPr>
                <w:b/>
                <w:bCs/>
                <w:sz w:val="24"/>
                <w:szCs w:val="24"/>
              </w:rPr>
              <w:t>2017</w:t>
            </w:r>
          </w:p>
        </w:tc>
        <w:tc>
          <w:tcPr>
            <w:tcW w:w="1209" w:type="dxa"/>
            <w:tcBorders>
              <w:top w:val="single" w:sz="12" w:space="0" w:color="auto"/>
            </w:tcBorders>
            <w:shd w:val="clear" w:color="auto" w:fill="auto"/>
            <w:vAlign w:val="center"/>
          </w:tcPr>
          <w:p w14:paraId="4FA81A28" w14:textId="2EEDC485" w:rsidR="00855C8B" w:rsidRPr="00073574" w:rsidRDefault="00855C8B" w:rsidP="004608C8">
            <w:pPr>
              <w:pStyle w:val="Tabletext"/>
              <w:keepNext/>
              <w:keepLines/>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7F0053A8" w14:textId="7298E0BB" w:rsidR="00855C8B" w:rsidRPr="00073574" w:rsidRDefault="00855C8B" w:rsidP="004608C8">
            <w:pPr>
              <w:pStyle w:val="Tabletext"/>
              <w:keepNext/>
              <w:keepLines/>
              <w:jc w:val="center"/>
              <w:rPr>
                <w:b/>
                <w:bCs/>
                <w:sz w:val="24"/>
                <w:szCs w:val="24"/>
              </w:rPr>
            </w:pPr>
            <w:r w:rsidRPr="00073574">
              <w:rPr>
                <w:b/>
                <w:bCs/>
                <w:sz w:val="24"/>
                <w:szCs w:val="24"/>
              </w:rPr>
              <w:t>√</w:t>
            </w:r>
          </w:p>
        </w:tc>
      </w:tr>
      <w:tr w:rsidR="00855C8B" w:rsidRPr="00073574" w14:paraId="635264CB" w14:textId="77777777" w:rsidTr="1EE68BAF">
        <w:trPr>
          <w:jc w:val="center"/>
        </w:trPr>
        <w:tc>
          <w:tcPr>
            <w:tcW w:w="907" w:type="dxa"/>
            <w:vMerge/>
            <w:vAlign w:val="center"/>
          </w:tcPr>
          <w:p w14:paraId="05F35F0F" w14:textId="77777777" w:rsidR="00855C8B" w:rsidRPr="00073574" w:rsidRDefault="00855C8B" w:rsidP="004608C8">
            <w:pPr>
              <w:pStyle w:val="Tabletext"/>
              <w:keepNext/>
              <w:keepLines/>
              <w:rPr>
                <w:sz w:val="24"/>
                <w:szCs w:val="24"/>
              </w:rPr>
            </w:pPr>
          </w:p>
        </w:tc>
        <w:tc>
          <w:tcPr>
            <w:tcW w:w="8925" w:type="dxa"/>
            <w:gridSpan w:val="4"/>
            <w:shd w:val="clear" w:color="auto" w:fill="auto"/>
          </w:tcPr>
          <w:p w14:paraId="64928057" w14:textId="6DF24B89" w:rsidR="00855C8B" w:rsidRPr="00073574" w:rsidRDefault="00855C8B" w:rsidP="004608C8">
            <w:pPr>
              <w:pStyle w:val="Tabletext"/>
              <w:keepNext/>
              <w:keepLines/>
              <w:rPr>
                <w:szCs w:val="22"/>
              </w:rPr>
            </w:pPr>
            <w:r w:rsidRPr="00073574">
              <w:rPr>
                <w:szCs w:val="22"/>
              </w:rPr>
              <w:t>BDT and BR were informed.</w:t>
            </w:r>
          </w:p>
        </w:tc>
      </w:tr>
    </w:tbl>
    <w:bookmarkStart w:id="42" w:name="Item18_02"/>
    <w:bookmarkStart w:id="43" w:name="Item18_01"/>
    <w:bookmarkStart w:id="44" w:name="Item18_03"/>
    <w:bookmarkStart w:id="45" w:name="Item18_04"/>
    <w:bookmarkStart w:id="46" w:name="Item18_05"/>
    <w:bookmarkEnd w:id="42"/>
    <w:bookmarkEnd w:id="43"/>
    <w:bookmarkEnd w:id="44"/>
    <w:bookmarkEnd w:id="45"/>
    <w:bookmarkEnd w:id="46"/>
    <w:p w14:paraId="3039937C" w14:textId="77777777" w:rsidR="00F0236A" w:rsidRPr="00073574" w:rsidRDefault="00F0236A" w:rsidP="00F0236A">
      <w:pPr>
        <w:rPr>
          <w:sz w:val="24"/>
        </w:rPr>
      </w:pPr>
      <w:r w:rsidRPr="00073574">
        <w:rPr>
          <w:color w:val="2B579A"/>
          <w:shd w:val="clear" w:color="auto" w:fill="E6E6E6"/>
        </w:rPr>
        <w:fldChar w:fldCharType="begin"/>
      </w:r>
      <w:r w:rsidRPr="00073574">
        <w:rPr>
          <w:sz w:val="24"/>
        </w:rPr>
        <w:instrText xml:space="preserve"> HYPERLINK \l "Top" </w:instrText>
      </w:r>
      <w:r w:rsidRPr="00073574">
        <w:rPr>
          <w:color w:val="2B579A"/>
          <w:shd w:val="clear" w:color="auto" w:fill="E6E6E6"/>
        </w:rPr>
        <w:fldChar w:fldCharType="separate"/>
      </w:r>
      <w:r w:rsidRPr="00073574">
        <w:rPr>
          <w:rStyle w:val="Hyperlink"/>
          <w:rFonts w:eastAsia="Times New Roman"/>
          <w:sz w:val="24"/>
        </w:rPr>
        <w:t>» Top</w:t>
      </w:r>
      <w:r w:rsidRPr="00073574">
        <w:rPr>
          <w:rStyle w:val="Hyperlink"/>
          <w:rFonts w:eastAsia="Times New Roman"/>
          <w:sz w:val="24"/>
        </w:rPr>
        <w:fldChar w:fldCharType="end"/>
      </w:r>
    </w:p>
    <w:p w14:paraId="2BDBB811" w14:textId="77777777" w:rsidR="00F0236A" w:rsidRPr="00073574" w:rsidRDefault="00F0236A" w:rsidP="00F0236A">
      <w:pPr>
        <w:rPr>
          <w:sz w:val="24"/>
        </w:rPr>
      </w:pPr>
    </w:p>
    <w:p w14:paraId="27312A9C" w14:textId="77777777" w:rsidR="00F0236A" w:rsidRPr="00073574" w:rsidRDefault="00F0236A" w:rsidP="00F0236A">
      <w:pPr>
        <w:pStyle w:val="Heading1"/>
        <w:keepNext/>
        <w:keepLines/>
        <w:rPr>
          <w:sz w:val="24"/>
          <w:szCs w:val="24"/>
          <w:lang w:val="en-GB"/>
        </w:rPr>
      </w:pPr>
      <w:bookmarkStart w:id="47" w:name="Resolution_20"/>
      <w:bookmarkStart w:id="48" w:name="_Toc304236418"/>
      <w:bookmarkStart w:id="49" w:name="_Toc471715358"/>
      <w:bookmarkStart w:id="50" w:name="_Toc93425244"/>
      <w:bookmarkEnd w:id="47"/>
      <w:r w:rsidRPr="00073574">
        <w:rPr>
          <w:sz w:val="24"/>
          <w:szCs w:val="24"/>
          <w:lang w:val="en-GB"/>
        </w:rPr>
        <w:lastRenderedPageBreak/>
        <w:t>Resolution 20 - Procedures for allocation and management of international telecommunication numbering, naming, addressing and identification resources</w:t>
      </w:r>
      <w:bookmarkEnd w:id="48"/>
      <w:bookmarkEnd w:id="49"/>
      <w:bookmarkEnd w:id="50"/>
    </w:p>
    <w:p w14:paraId="243C729F" w14:textId="77777777" w:rsidR="00F0236A" w:rsidRPr="00073574" w:rsidRDefault="00F0236A" w:rsidP="00F0236A">
      <w:pPr>
        <w:keepNext/>
        <w:keepLines/>
        <w:rPr>
          <w:b/>
          <w:bCs/>
          <w:sz w:val="24"/>
        </w:rPr>
      </w:pPr>
      <w:r w:rsidRPr="00073574">
        <w:rPr>
          <w:b/>
          <w:bCs/>
          <w:sz w:val="24"/>
        </w:rPr>
        <w:t>Resolution 20</w:t>
      </w:r>
    </w:p>
    <w:p w14:paraId="3E061055" w14:textId="77777777" w:rsidR="00F0236A" w:rsidRPr="00073574" w:rsidRDefault="00F0236A" w:rsidP="00F0236A">
      <w:pPr>
        <w:pStyle w:val="Call"/>
        <w:rPr>
          <w:sz w:val="24"/>
          <w:szCs w:val="24"/>
          <w:lang w:val="en-GB"/>
        </w:rPr>
      </w:pPr>
      <w:r w:rsidRPr="00073574">
        <w:rPr>
          <w:sz w:val="24"/>
          <w:szCs w:val="24"/>
          <w:lang w:val="en-GB"/>
        </w:rPr>
        <w:t>resolves to instruct</w:t>
      </w:r>
    </w:p>
    <w:p w14:paraId="09AD6D2A" w14:textId="77777777" w:rsidR="00F0236A" w:rsidRPr="00073574" w:rsidRDefault="00F0236A" w:rsidP="00F0236A">
      <w:pPr>
        <w:keepNext/>
        <w:rPr>
          <w:sz w:val="24"/>
        </w:rPr>
      </w:pPr>
      <w:r w:rsidRPr="00073574">
        <w:rPr>
          <w:sz w:val="24"/>
        </w:rPr>
        <w:t>1</w:t>
      </w:r>
      <w:r w:rsidRPr="00073574">
        <w:rPr>
          <w:sz w:val="24"/>
        </w:rPr>
        <w:tab/>
        <w:t>the Director of TSB, before assigning, reassigning and/or reclaiming international NNAI resources, to consult:</w:t>
      </w:r>
    </w:p>
    <w:p w14:paraId="5D41A764" w14:textId="3BE4E5D7" w:rsidR="00F0236A" w:rsidRPr="00073574" w:rsidRDefault="00F0236A" w:rsidP="00887451">
      <w:pPr>
        <w:pStyle w:val="enumlev10"/>
        <w:jc w:val="left"/>
        <w:rPr>
          <w:sz w:val="24"/>
          <w:szCs w:val="24"/>
        </w:rPr>
      </w:pPr>
      <w:r w:rsidRPr="00073574">
        <w:rPr>
          <w:sz w:val="24"/>
          <w:szCs w:val="24"/>
        </w:rPr>
        <w:t>i)</w:t>
      </w:r>
      <w:r w:rsidRPr="00073574">
        <w:rPr>
          <w:sz w:val="24"/>
          <w:szCs w:val="24"/>
        </w:rPr>
        <w:tab/>
        <w:t>the chairman of Study Group 2, in liaison with the chairmen of the other relevant study groups, or if needed the chairman</w:t>
      </w:r>
      <w:r w:rsidR="003C7E25" w:rsidRPr="00073574">
        <w:rPr>
          <w:sz w:val="24"/>
          <w:szCs w:val="24"/>
        </w:rPr>
        <w:t>'</w:t>
      </w:r>
      <w:r w:rsidRPr="00073574">
        <w:rPr>
          <w:sz w:val="24"/>
          <w:szCs w:val="24"/>
        </w:rPr>
        <w:t>s delegated representative to resolve requirements as specified in relevant ITU</w:t>
      </w:r>
      <w:r w:rsidRPr="00073574">
        <w:rPr>
          <w:sz w:val="24"/>
          <w:szCs w:val="24"/>
        </w:rPr>
        <w:noBreakHyphen/>
        <w:t>T Recommendations; and</w:t>
      </w:r>
    </w:p>
    <w:p w14:paraId="3ABF9DF1" w14:textId="77777777" w:rsidR="00F0236A" w:rsidRPr="00073574" w:rsidRDefault="00F0236A" w:rsidP="00887451">
      <w:pPr>
        <w:pStyle w:val="enumlev10"/>
        <w:jc w:val="left"/>
        <w:rPr>
          <w:sz w:val="24"/>
          <w:szCs w:val="24"/>
        </w:rPr>
      </w:pPr>
      <w:r w:rsidRPr="00073574">
        <w:rPr>
          <w:sz w:val="24"/>
          <w:szCs w:val="24"/>
        </w:rPr>
        <w:t>ii)</w:t>
      </w:r>
      <w:r w:rsidRPr="00073574">
        <w:rPr>
          <w:sz w:val="24"/>
          <w:szCs w:val="24"/>
        </w:rPr>
        <w:tab/>
        <w:t>the relevant administration(s); and/or</w:t>
      </w:r>
    </w:p>
    <w:p w14:paraId="641AEEA1" w14:textId="77777777" w:rsidR="00F0236A" w:rsidRPr="00073574" w:rsidRDefault="00F0236A" w:rsidP="00887451">
      <w:pPr>
        <w:pStyle w:val="enumlev10"/>
        <w:jc w:val="left"/>
        <w:rPr>
          <w:sz w:val="24"/>
          <w:szCs w:val="24"/>
        </w:rPr>
      </w:pPr>
      <w:r w:rsidRPr="00073574">
        <w:rPr>
          <w:sz w:val="24"/>
          <w:szCs w:val="24"/>
        </w:rPr>
        <w:t>iii)</w:t>
      </w:r>
      <w:r w:rsidRPr="00073574">
        <w:rPr>
          <w:sz w:val="24"/>
          <w:szCs w:val="24"/>
        </w:rPr>
        <w:tab/>
        <w:t>the authorized applicant/assignee when direct communication with TSB is required in order to perform its responsibilities.</w:t>
      </w:r>
    </w:p>
    <w:p w14:paraId="78418CA6" w14:textId="0A970750" w:rsidR="00F0236A" w:rsidRPr="00073574" w:rsidRDefault="00F0236A" w:rsidP="00887451">
      <w:pPr>
        <w:pStyle w:val="enumlev10"/>
        <w:jc w:val="left"/>
        <w:rPr>
          <w:sz w:val="24"/>
          <w:szCs w:val="24"/>
        </w:rPr>
      </w:pPr>
      <w:r w:rsidRPr="00073574">
        <w:rPr>
          <w:sz w:val="24"/>
        </w:rPr>
        <w:t>In the Director</w:t>
      </w:r>
      <w:r w:rsidR="003C7E25" w:rsidRPr="00073574">
        <w:rPr>
          <w:sz w:val="24"/>
        </w:rPr>
        <w:t>'</w:t>
      </w:r>
      <w:r w:rsidRPr="00073574">
        <w:rPr>
          <w:sz w:val="24"/>
        </w:rPr>
        <w:t>s deliberations and consultations, the Director will consider the general principles for the allocation of NNAI resources, and the provisions of the relevant Recommendations in the ITU</w:t>
      </w:r>
      <w:r w:rsidRPr="00073574">
        <w:rPr>
          <w:sz w:val="24"/>
        </w:rPr>
        <w:noBreakHyphen/>
        <w:t>T E-, ITU-T F-, ITU-T Q- and ITU-T X-series, and those to be further adopted;</w:t>
      </w:r>
    </w:p>
    <w:p w14:paraId="05BDA74E" w14:textId="77777777" w:rsidR="00F0236A" w:rsidRPr="00073574" w:rsidRDefault="00F0236A" w:rsidP="00887451">
      <w:pPr>
        <w:rPr>
          <w:sz w:val="24"/>
        </w:rPr>
      </w:pPr>
      <w:r w:rsidRPr="00073574">
        <w:rPr>
          <w:sz w:val="24"/>
        </w:rPr>
        <w:t>2</w:t>
      </w:r>
      <w:r w:rsidRPr="00073574">
        <w:rPr>
          <w:sz w:val="24"/>
        </w:rPr>
        <w:tab/>
        <w:t>Study Group 2, in liaison the other relevant study groups, to provide to the Director of TSB:</w:t>
      </w:r>
    </w:p>
    <w:p w14:paraId="57C81D7F" w14:textId="77777777" w:rsidR="00F0236A" w:rsidRPr="00073574" w:rsidRDefault="00F0236A" w:rsidP="00887451">
      <w:pPr>
        <w:pStyle w:val="enumlev10"/>
        <w:jc w:val="left"/>
        <w:rPr>
          <w:sz w:val="24"/>
          <w:szCs w:val="24"/>
        </w:rPr>
      </w:pPr>
      <w:r w:rsidRPr="00073574">
        <w:rPr>
          <w:sz w:val="24"/>
          <w:szCs w:val="24"/>
        </w:rPr>
        <w:t>i)</w:t>
      </w:r>
      <w:r w:rsidRPr="00073574">
        <w:rPr>
          <w:sz w:val="24"/>
          <w:szCs w:val="24"/>
        </w:rPr>
        <w:tab/>
        <w:t>advice on technical, functional and operational aspects in the assignment, reassignment and/or reclamation of international NNAI resources in accordance with the relevant Recommendations, taking into account the results of any ongoing studies;</w:t>
      </w:r>
    </w:p>
    <w:p w14:paraId="332079E3" w14:textId="77777777" w:rsidR="00F0236A" w:rsidRPr="00073574" w:rsidRDefault="00F0236A" w:rsidP="00887451">
      <w:pPr>
        <w:pStyle w:val="enumlev10"/>
        <w:jc w:val="left"/>
        <w:rPr>
          <w:sz w:val="24"/>
          <w:szCs w:val="24"/>
        </w:rPr>
      </w:pPr>
      <w:r w:rsidRPr="00073574">
        <w:rPr>
          <w:sz w:val="24"/>
          <w:szCs w:val="24"/>
        </w:rPr>
        <w:t>ii)</w:t>
      </w:r>
      <w:r w:rsidRPr="00073574">
        <w:rPr>
          <w:sz w:val="24"/>
          <w:szCs w:val="24"/>
        </w:rPr>
        <w:tab/>
        <w:t>information and guidance in cases of reported complaints about misuses of international telecommunication NNAI resources;</w:t>
      </w:r>
    </w:p>
    <w:p w14:paraId="7FF0D0C1" w14:textId="77777777" w:rsidR="00F0236A" w:rsidRPr="00073574" w:rsidRDefault="00F0236A" w:rsidP="00887451">
      <w:pPr>
        <w:rPr>
          <w:sz w:val="24"/>
        </w:rPr>
      </w:pPr>
      <w:r w:rsidRPr="00073574">
        <w:rPr>
          <w:sz w:val="24"/>
        </w:rPr>
        <w:t>3</w:t>
      </w:r>
      <w:r w:rsidRPr="00073574">
        <w:rPr>
          <w:sz w:val="24"/>
        </w:rPr>
        <w:tab/>
        <w:t>the Director of TSB, in close collaboration with Study Group 2, and any other relevant study groups, to follow up with the administrations involved on the misuse of any international telecommunication NNAI resources and inform the ITU Council accordingly;</w:t>
      </w:r>
    </w:p>
    <w:p w14:paraId="54856D67" w14:textId="77777777" w:rsidR="00F0236A" w:rsidRPr="00073574" w:rsidRDefault="00F0236A" w:rsidP="00F0236A">
      <w:pPr>
        <w:rPr>
          <w:sz w:val="24"/>
        </w:rPr>
      </w:pPr>
      <w:r w:rsidRPr="00073574">
        <w:rPr>
          <w:sz w:val="24"/>
        </w:rPr>
        <w:t>4</w:t>
      </w:r>
      <w:r w:rsidRPr="00073574">
        <w:rPr>
          <w:sz w:val="24"/>
        </w:rPr>
        <w:tab/>
        <w:t xml:space="preserve">the Director of TSB to take the appropriate measures and actions where Study Group 2, in liaison with the other relevant study groups, has provided information, advice and guidance in accordance with </w:t>
      </w:r>
      <w:r w:rsidRPr="00073574">
        <w:rPr>
          <w:i/>
          <w:iCs/>
          <w:sz w:val="24"/>
        </w:rPr>
        <w:t>resolves to instruct</w:t>
      </w:r>
      <w:r w:rsidRPr="00073574">
        <w:rPr>
          <w:sz w:val="24"/>
        </w:rPr>
        <w:t> 2 and 3 above;</w:t>
      </w:r>
    </w:p>
    <w:p w14:paraId="1DC2FAD6" w14:textId="77777777" w:rsidR="00F0236A" w:rsidRPr="00073574" w:rsidRDefault="00F0236A" w:rsidP="00F0236A">
      <w:pPr>
        <w:spacing w:after="240"/>
        <w:rPr>
          <w:sz w:val="24"/>
        </w:rPr>
      </w:pPr>
      <w:r w:rsidRPr="00073574">
        <w:rPr>
          <w:sz w:val="24"/>
        </w:rPr>
        <w:t>5</w:t>
      </w:r>
      <w:r w:rsidRPr="00073574">
        <w:rPr>
          <w:sz w:val="24"/>
        </w:rPr>
        <w:tab/>
        <w:t xml:space="preserve">Study Group 2 to continue to study necessary action to ensure that the sovereignty of ITU Member States with regard to country code NNAI plans is fully maintained, including ENUM </w:t>
      </w:r>
      <w:r w:rsidRPr="00073574">
        <w:rPr>
          <w:iCs/>
          <w:sz w:val="24"/>
        </w:rPr>
        <w:t>as enshrined in Recommendation ITU-T E.164 and other relevant Recommendations</w:t>
      </w:r>
      <w:r w:rsidRPr="00073574">
        <w:rPr>
          <w:sz w:val="24"/>
        </w:rPr>
        <w:t xml:space="preserve"> </w:t>
      </w:r>
      <w:r w:rsidRPr="00073574">
        <w:rPr>
          <w:iCs/>
          <w:sz w:val="24"/>
        </w:rPr>
        <w:t>and procedures</w:t>
      </w:r>
      <w:r w:rsidRPr="00073574">
        <w:rPr>
          <w:sz w:val="24"/>
        </w:rPr>
        <w:t>; this shall cover ways and means to address and counter any misuse of any international telecommunication NNAI resources.</w:t>
      </w:r>
    </w:p>
    <w:tbl>
      <w:tblPr>
        <w:tblW w:w="98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07"/>
        <w:gridCol w:w="4554"/>
        <w:gridCol w:w="1826"/>
        <w:gridCol w:w="1209"/>
        <w:gridCol w:w="1336"/>
      </w:tblGrid>
      <w:tr w:rsidR="00F0236A" w:rsidRPr="00073574" w14:paraId="4293D34C" w14:textId="77777777" w:rsidTr="00630DCE">
        <w:trPr>
          <w:tblHeader/>
          <w:jc w:val="center"/>
        </w:trPr>
        <w:tc>
          <w:tcPr>
            <w:tcW w:w="907" w:type="dxa"/>
            <w:tcBorders>
              <w:top w:val="single" w:sz="12" w:space="0" w:color="auto"/>
              <w:bottom w:val="single" w:sz="12" w:space="0" w:color="auto"/>
            </w:tcBorders>
            <w:shd w:val="clear" w:color="auto" w:fill="auto"/>
            <w:vAlign w:val="center"/>
          </w:tcPr>
          <w:p w14:paraId="5C1DA53A" w14:textId="77777777" w:rsidR="00F0236A" w:rsidRPr="00073574" w:rsidRDefault="00F0236A" w:rsidP="00682B18">
            <w:pPr>
              <w:pStyle w:val="Tablehead"/>
              <w:keepNext w:val="0"/>
              <w:rPr>
                <w:sz w:val="24"/>
                <w:szCs w:val="24"/>
              </w:rPr>
            </w:pPr>
            <w:r w:rsidRPr="00073574">
              <w:rPr>
                <w:sz w:val="24"/>
                <w:szCs w:val="24"/>
              </w:rPr>
              <w:t>Action Item</w:t>
            </w:r>
          </w:p>
        </w:tc>
        <w:tc>
          <w:tcPr>
            <w:tcW w:w="4554" w:type="dxa"/>
            <w:tcBorders>
              <w:top w:val="single" w:sz="12" w:space="0" w:color="auto"/>
              <w:bottom w:val="single" w:sz="12" w:space="0" w:color="auto"/>
            </w:tcBorders>
            <w:shd w:val="clear" w:color="auto" w:fill="auto"/>
            <w:vAlign w:val="center"/>
            <w:hideMark/>
          </w:tcPr>
          <w:p w14:paraId="785898D4" w14:textId="77777777" w:rsidR="00F0236A" w:rsidRPr="00073574" w:rsidRDefault="00F0236A" w:rsidP="00DF36E1">
            <w:pPr>
              <w:pStyle w:val="Tablehead"/>
              <w:rPr>
                <w:sz w:val="24"/>
                <w:szCs w:val="24"/>
              </w:rPr>
            </w:pPr>
            <w:r w:rsidRPr="00073574">
              <w:rPr>
                <w:sz w:val="24"/>
                <w:szCs w:val="24"/>
              </w:rPr>
              <w:t>Action</w:t>
            </w:r>
          </w:p>
        </w:tc>
        <w:tc>
          <w:tcPr>
            <w:tcW w:w="1826" w:type="dxa"/>
            <w:tcBorders>
              <w:top w:val="single" w:sz="12" w:space="0" w:color="auto"/>
              <w:bottom w:val="single" w:sz="12" w:space="0" w:color="auto"/>
            </w:tcBorders>
            <w:shd w:val="clear" w:color="auto" w:fill="auto"/>
            <w:vAlign w:val="center"/>
            <w:hideMark/>
          </w:tcPr>
          <w:p w14:paraId="79EBF965" w14:textId="77777777" w:rsidR="00F0236A" w:rsidRPr="00073574" w:rsidRDefault="00F0236A" w:rsidP="00DF36E1">
            <w:pPr>
              <w:pStyle w:val="Tablehead"/>
              <w:rPr>
                <w:sz w:val="24"/>
                <w:szCs w:val="24"/>
              </w:rPr>
            </w:pPr>
            <w:r w:rsidRPr="00073574">
              <w:rPr>
                <w:sz w:val="24"/>
                <w:szCs w:val="24"/>
              </w:rPr>
              <w:t>Milestone</w:t>
            </w:r>
          </w:p>
        </w:tc>
        <w:tc>
          <w:tcPr>
            <w:tcW w:w="1209" w:type="dxa"/>
            <w:tcBorders>
              <w:top w:val="single" w:sz="12" w:space="0" w:color="auto"/>
              <w:bottom w:val="single" w:sz="12" w:space="0" w:color="auto"/>
            </w:tcBorders>
            <w:shd w:val="clear" w:color="auto" w:fill="auto"/>
          </w:tcPr>
          <w:p w14:paraId="6CCB859C" w14:textId="77777777" w:rsidR="00F0236A" w:rsidRPr="00073574" w:rsidRDefault="00F0236A" w:rsidP="00DF36E1">
            <w:pPr>
              <w:pStyle w:val="Tablehead"/>
              <w:rPr>
                <w:sz w:val="24"/>
                <w:szCs w:val="24"/>
              </w:rPr>
            </w:pPr>
            <w:r w:rsidRPr="00073574">
              <w:rPr>
                <w:sz w:val="24"/>
                <w:szCs w:val="24"/>
              </w:rPr>
              <w:t>Periodic goals met</w:t>
            </w:r>
          </w:p>
        </w:tc>
        <w:tc>
          <w:tcPr>
            <w:tcW w:w="1336" w:type="dxa"/>
            <w:tcBorders>
              <w:top w:val="single" w:sz="12" w:space="0" w:color="auto"/>
              <w:bottom w:val="single" w:sz="12" w:space="0" w:color="auto"/>
            </w:tcBorders>
            <w:shd w:val="clear" w:color="auto" w:fill="auto"/>
            <w:vAlign w:val="center"/>
          </w:tcPr>
          <w:p w14:paraId="56D19D7E" w14:textId="77777777" w:rsidR="00F0236A" w:rsidRPr="00073574" w:rsidRDefault="00F0236A" w:rsidP="00DF36E1">
            <w:pPr>
              <w:pStyle w:val="Tablehead"/>
              <w:rPr>
                <w:sz w:val="24"/>
                <w:szCs w:val="24"/>
              </w:rPr>
            </w:pPr>
            <w:r w:rsidRPr="00073574">
              <w:rPr>
                <w:sz w:val="24"/>
                <w:szCs w:val="24"/>
              </w:rPr>
              <w:t>Completed</w:t>
            </w:r>
          </w:p>
        </w:tc>
      </w:tr>
      <w:tr w:rsidR="00F0236A" w:rsidRPr="00073574" w14:paraId="3974E9DA" w14:textId="77777777" w:rsidTr="009045D6">
        <w:trPr>
          <w:jc w:val="center"/>
        </w:trPr>
        <w:tc>
          <w:tcPr>
            <w:tcW w:w="907" w:type="dxa"/>
            <w:vMerge w:val="restart"/>
            <w:tcBorders>
              <w:top w:val="single" w:sz="12" w:space="0" w:color="auto"/>
            </w:tcBorders>
            <w:shd w:val="clear" w:color="auto" w:fill="auto"/>
          </w:tcPr>
          <w:p w14:paraId="3C1DF35C" w14:textId="77777777" w:rsidR="00F0236A" w:rsidRPr="00073574" w:rsidRDefault="00F0236A" w:rsidP="00D73EE2">
            <w:pPr>
              <w:pStyle w:val="Tabletext"/>
              <w:rPr>
                <w:b/>
                <w:bCs/>
                <w:sz w:val="24"/>
                <w:szCs w:val="24"/>
              </w:rPr>
            </w:pPr>
            <w:r w:rsidRPr="00073574">
              <w:rPr>
                <w:b/>
                <w:bCs/>
                <w:sz w:val="24"/>
                <w:szCs w:val="24"/>
              </w:rPr>
              <w:t>20-01</w:t>
            </w:r>
          </w:p>
        </w:tc>
        <w:tc>
          <w:tcPr>
            <w:tcW w:w="4554" w:type="dxa"/>
            <w:tcBorders>
              <w:top w:val="single" w:sz="12" w:space="0" w:color="auto"/>
              <w:bottom w:val="single" w:sz="4" w:space="0" w:color="auto"/>
            </w:tcBorders>
            <w:shd w:val="clear" w:color="auto" w:fill="auto"/>
            <w:hideMark/>
          </w:tcPr>
          <w:p w14:paraId="640DE7B6" w14:textId="77777777" w:rsidR="00F0236A" w:rsidRPr="00073574" w:rsidRDefault="00F0236A" w:rsidP="00D73EE2">
            <w:pPr>
              <w:pStyle w:val="Tabletext"/>
              <w:rPr>
                <w:b/>
                <w:bCs/>
                <w:sz w:val="24"/>
                <w:szCs w:val="24"/>
              </w:rPr>
            </w:pPr>
            <w:r w:rsidRPr="00073574">
              <w:rPr>
                <w:b/>
                <w:bCs/>
                <w:sz w:val="24"/>
                <w:szCs w:val="24"/>
              </w:rPr>
              <w:t>TSB Director to use procedures in relevant Recommendations upon receipt of new numbering, naming, addressing and identification resource requests (resolves 1)</w:t>
            </w:r>
          </w:p>
        </w:tc>
        <w:tc>
          <w:tcPr>
            <w:tcW w:w="1826" w:type="dxa"/>
            <w:tcBorders>
              <w:top w:val="single" w:sz="12" w:space="0" w:color="auto"/>
              <w:bottom w:val="single" w:sz="4" w:space="0" w:color="auto"/>
            </w:tcBorders>
            <w:shd w:val="clear" w:color="auto" w:fill="auto"/>
            <w:vAlign w:val="center"/>
            <w:hideMark/>
          </w:tcPr>
          <w:p w14:paraId="047F226A" w14:textId="77777777" w:rsidR="00F0236A" w:rsidRPr="00073574" w:rsidRDefault="00F0236A" w:rsidP="00D73EE2">
            <w:pPr>
              <w:pStyle w:val="Tabletext"/>
              <w:jc w:val="center"/>
              <w:rPr>
                <w:b/>
                <w:bCs/>
                <w:sz w:val="24"/>
                <w:szCs w:val="24"/>
              </w:rPr>
            </w:pPr>
            <w:r w:rsidRPr="00073574">
              <w:rPr>
                <w:b/>
                <w:bCs/>
                <w:sz w:val="24"/>
                <w:szCs w:val="24"/>
              </w:rPr>
              <w:t>Ongoing</w:t>
            </w:r>
          </w:p>
        </w:tc>
        <w:tc>
          <w:tcPr>
            <w:tcW w:w="1209" w:type="dxa"/>
            <w:tcBorders>
              <w:top w:val="single" w:sz="12" w:space="0" w:color="auto"/>
              <w:bottom w:val="single" w:sz="4" w:space="0" w:color="auto"/>
            </w:tcBorders>
            <w:shd w:val="clear" w:color="auto" w:fill="auto"/>
            <w:vAlign w:val="center"/>
          </w:tcPr>
          <w:p w14:paraId="1C57E233" w14:textId="77777777" w:rsidR="00F0236A" w:rsidRPr="00073574" w:rsidRDefault="00F0236A" w:rsidP="00D73EE2">
            <w:pPr>
              <w:pStyle w:val="Tabletext"/>
              <w:jc w:val="center"/>
              <w:rPr>
                <w:b/>
                <w:bCs/>
                <w:sz w:val="24"/>
                <w:szCs w:val="24"/>
              </w:rPr>
            </w:pPr>
            <w:r w:rsidRPr="00073574">
              <w:rPr>
                <w:b/>
                <w:bCs/>
                <w:sz w:val="24"/>
                <w:szCs w:val="24"/>
              </w:rPr>
              <w:t>√</w:t>
            </w:r>
          </w:p>
        </w:tc>
        <w:tc>
          <w:tcPr>
            <w:tcW w:w="1336" w:type="dxa"/>
            <w:tcBorders>
              <w:top w:val="single" w:sz="12" w:space="0" w:color="auto"/>
              <w:bottom w:val="single" w:sz="4" w:space="0" w:color="auto"/>
            </w:tcBorders>
            <w:shd w:val="clear" w:color="auto" w:fill="auto"/>
            <w:vAlign w:val="center"/>
          </w:tcPr>
          <w:p w14:paraId="728D8003" w14:textId="77777777" w:rsidR="00F0236A" w:rsidRPr="00073574" w:rsidRDefault="00F0236A" w:rsidP="00D73EE2">
            <w:pPr>
              <w:pStyle w:val="Tabletext"/>
              <w:jc w:val="center"/>
              <w:rPr>
                <w:b/>
                <w:bCs/>
                <w:sz w:val="24"/>
                <w:szCs w:val="24"/>
              </w:rPr>
            </w:pPr>
          </w:p>
        </w:tc>
      </w:tr>
      <w:tr w:rsidR="00F0236A" w:rsidRPr="00073574" w14:paraId="2D108469" w14:textId="77777777" w:rsidTr="009045D6">
        <w:trPr>
          <w:jc w:val="center"/>
        </w:trPr>
        <w:tc>
          <w:tcPr>
            <w:tcW w:w="907" w:type="dxa"/>
            <w:vMerge/>
            <w:tcBorders>
              <w:bottom w:val="single" w:sz="12" w:space="0" w:color="auto"/>
            </w:tcBorders>
            <w:shd w:val="clear" w:color="auto" w:fill="auto"/>
          </w:tcPr>
          <w:p w14:paraId="553C2649" w14:textId="77777777" w:rsidR="00F0236A" w:rsidRPr="00073574" w:rsidRDefault="00F0236A" w:rsidP="00D73EE2">
            <w:pPr>
              <w:pStyle w:val="Tabletext"/>
              <w:rPr>
                <w:sz w:val="24"/>
                <w:szCs w:val="24"/>
              </w:rPr>
            </w:pPr>
          </w:p>
        </w:tc>
        <w:tc>
          <w:tcPr>
            <w:tcW w:w="8925" w:type="dxa"/>
            <w:gridSpan w:val="4"/>
            <w:tcBorders>
              <w:top w:val="single" w:sz="4" w:space="0" w:color="auto"/>
              <w:bottom w:val="single" w:sz="12" w:space="0" w:color="auto"/>
            </w:tcBorders>
            <w:shd w:val="clear" w:color="auto" w:fill="auto"/>
          </w:tcPr>
          <w:p w14:paraId="7F95B367" w14:textId="77777777" w:rsidR="00F0236A" w:rsidRPr="00073574" w:rsidRDefault="00F0236A" w:rsidP="00D73EE2">
            <w:pPr>
              <w:pStyle w:val="Tabletext"/>
              <w:rPr>
                <w:szCs w:val="22"/>
              </w:rPr>
            </w:pPr>
            <w:r w:rsidRPr="00073574">
              <w:rPr>
                <w:szCs w:val="22"/>
              </w:rPr>
              <w:t>The Director has been following the relevant Recommendations in his deliberations and consultations for assigning, reassigning and/or reclaiming international NNAI.</w:t>
            </w:r>
          </w:p>
        </w:tc>
      </w:tr>
      <w:tr w:rsidR="00F0236A" w:rsidRPr="00073574" w14:paraId="0D53CD82" w14:textId="77777777" w:rsidTr="00586F97">
        <w:trPr>
          <w:cantSplit/>
          <w:jc w:val="center"/>
        </w:trPr>
        <w:tc>
          <w:tcPr>
            <w:tcW w:w="907" w:type="dxa"/>
            <w:vMerge w:val="restart"/>
            <w:tcBorders>
              <w:top w:val="single" w:sz="12" w:space="0" w:color="auto"/>
            </w:tcBorders>
            <w:shd w:val="clear" w:color="auto" w:fill="auto"/>
          </w:tcPr>
          <w:p w14:paraId="6DB46BB6" w14:textId="77777777" w:rsidR="00F0236A" w:rsidRPr="00073574" w:rsidRDefault="00F0236A" w:rsidP="00DF36E1">
            <w:pPr>
              <w:pStyle w:val="Tabletext"/>
              <w:rPr>
                <w:b/>
                <w:bCs/>
                <w:sz w:val="24"/>
                <w:szCs w:val="24"/>
              </w:rPr>
            </w:pPr>
            <w:r w:rsidRPr="00073574">
              <w:rPr>
                <w:b/>
                <w:bCs/>
                <w:sz w:val="24"/>
                <w:szCs w:val="24"/>
              </w:rPr>
              <w:lastRenderedPageBreak/>
              <w:t>20-02</w:t>
            </w:r>
          </w:p>
        </w:tc>
        <w:tc>
          <w:tcPr>
            <w:tcW w:w="4554" w:type="dxa"/>
            <w:tcBorders>
              <w:top w:val="single" w:sz="12" w:space="0" w:color="auto"/>
            </w:tcBorders>
            <w:shd w:val="clear" w:color="auto" w:fill="auto"/>
            <w:hideMark/>
          </w:tcPr>
          <w:p w14:paraId="3D950E78" w14:textId="77777777" w:rsidR="00F0236A" w:rsidRPr="00073574" w:rsidRDefault="00F0236A" w:rsidP="00DF36E1">
            <w:pPr>
              <w:pStyle w:val="Tabletext"/>
              <w:rPr>
                <w:b/>
                <w:bCs/>
                <w:sz w:val="24"/>
                <w:szCs w:val="24"/>
              </w:rPr>
            </w:pPr>
            <w:r w:rsidRPr="00073574">
              <w:rPr>
                <w:b/>
                <w:bCs/>
                <w:sz w:val="24"/>
                <w:szCs w:val="24"/>
              </w:rPr>
              <w:t>SG2, in liaison with the other relevant SGs, to provide TSB Director with advice and guidance related to Resolution 20 (resolves 2)</w:t>
            </w:r>
          </w:p>
        </w:tc>
        <w:tc>
          <w:tcPr>
            <w:tcW w:w="1826" w:type="dxa"/>
            <w:tcBorders>
              <w:top w:val="single" w:sz="12" w:space="0" w:color="auto"/>
            </w:tcBorders>
            <w:shd w:val="clear" w:color="auto" w:fill="auto"/>
            <w:vAlign w:val="center"/>
            <w:hideMark/>
          </w:tcPr>
          <w:p w14:paraId="1A58D40F" w14:textId="77777777" w:rsidR="00F0236A" w:rsidRPr="00073574" w:rsidRDefault="00F0236A" w:rsidP="00DF36E1">
            <w:pPr>
              <w:pStyle w:val="Tabletext"/>
              <w:jc w:val="center"/>
              <w:rPr>
                <w:b/>
                <w:bCs/>
                <w:sz w:val="24"/>
                <w:szCs w:val="24"/>
              </w:rPr>
            </w:pPr>
            <w:r w:rsidRPr="00073574">
              <w:rPr>
                <w:b/>
                <w:bCs/>
                <w:sz w:val="24"/>
                <w:szCs w:val="24"/>
              </w:rPr>
              <w:t>Ongoing</w:t>
            </w:r>
          </w:p>
        </w:tc>
        <w:tc>
          <w:tcPr>
            <w:tcW w:w="1209" w:type="dxa"/>
            <w:tcBorders>
              <w:top w:val="single" w:sz="12" w:space="0" w:color="auto"/>
            </w:tcBorders>
            <w:shd w:val="clear" w:color="auto" w:fill="auto"/>
            <w:vAlign w:val="center"/>
          </w:tcPr>
          <w:p w14:paraId="5CCBFB58"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18764C24" w14:textId="77777777" w:rsidR="00F0236A" w:rsidRPr="00073574" w:rsidRDefault="00F0236A" w:rsidP="00DF36E1">
            <w:pPr>
              <w:pStyle w:val="Tabletext"/>
              <w:jc w:val="center"/>
              <w:rPr>
                <w:b/>
                <w:bCs/>
                <w:sz w:val="24"/>
                <w:szCs w:val="24"/>
              </w:rPr>
            </w:pPr>
          </w:p>
        </w:tc>
      </w:tr>
      <w:tr w:rsidR="00F0236A" w:rsidRPr="00073574" w14:paraId="7747FE80" w14:textId="77777777" w:rsidTr="00601595">
        <w:trPr>
          <w:jc w:val="center"/>
        </w:trPr>
        <w:tc>
          <w:tcPr>
            <w:tcW w:w="907" w:type="dxa"/>
            <w:vMerge/>
            <w:tcBorders>
              <w:bottom w:val="single" w:sz="12" w:space="0" w:color="auto"/>
            </w:tcBorders>
            <w:shd w:val="clear" w:color="auto" w:fill="auto"/>
          </w:tcPr>
          <w:p w14:paraId="62FFB231" w14:textId="77777777" w:rsidR="00F0236A" w:rsidRPr="00073574" w:rsidRDefault="00F0236A" w:rsidP="00DF36E1">
            <w:pPr>
              <w:pStyle w:val="Tabletext"/>
              <w:rPr>
                <w:sz w:val="24"/>
                <w:szCs w:val="24"/>
              </w:rPr>
            </w:pPr>
          </w:p>
        </w:tc>
        <w:tc>
          <w:tcPr>
            <w:tcW w:w="8925" w:type="dxa"/>
            <w:gridSpan w:val="4"/>
            <w:shd w:val="clear" w:color="auto" w:fill="auto"/>
          </w:tcPr>
          <w:p w14:paraId="0663E3F6" w14:textId="77777777" w:rsidR="00F0236A" w:rsidRPr="00073574" w:rsidRDefault="00F0236A" w:rsidP="00DF36E1">
            <w:pPr>
              <w:pStyle w:val="Tabletext"/>
              <w:rPr>
                <w:szCs w:val="22"/>
              </w:rPr>
            </w:pPr>
            <w:r w:rsidRPr="00073574">
              <w:rPr>
                <w:szCs w:val="22"/>
              </w:rPr>
              <w:t>ITU-T SG2 agreed in its meeting of 29 March to 7 April 2017 that the Number Coordination Team (NCT), which is a permanent group for SG2 giving advice to the Director in accordance with WTSA Resolution 20 as stated in Appendix I of Rec. ITU-T E.164.1, would be composed of the Chairman of Study Group 2 (NCT chairman), the SG2 counsellor, the WP 1/2 chairman, the WP 1/2 vice-chairman, the Q1/2 Rapporteur (NCT secretary), and the Q1/2 associate Rapporteur(s). It was agreed that the NCT will continue to take the responsibility of the Assessment Committee for misuse of numbers, the role of which is to advise the TSB Director on actions relating to misuses of a numbering resource according to Recommendation ITU-T E.156.</w:t>
            </w:r>
          </w:p>
          <w:p w14:paraId="10172AD1" w14:textId="6FBFBBD6" w:rsidR="00F0236A" w:rsidRPr="00073574" w:rsidRDefault="00F0236A" w:rsidP="00DF36E1">
            <w:pPr>
              <w:pStyle w:val="Tabletext"/>
              <w:rPr>
                <w:szCs w:val="22"/>
              </w:rPr>
            </w:pPr>
            <w:r w:rsidRPr="00073574">
              <w:rPr>
                <w:szCs w:val="22"/>
              </w:rPr>
              <w:t xml:space="preserve">The meeting also agreed to forward to the Director of TSB advice on the applications for new international shared codes and requests for extending the usage of assigned international shared codes, contained in 3.2, 3.3 and 3.6 of </w:t>
            </w:r>
            <w:r w:rsidR="00112C75" w:rsidRPr="00073574">
              <w:rPr>
                <w:szCs w:val="22"/>
              </w:rPr>
              <w:t>TD</w:t>
            </w:r>
            <w:r w:rsidRPr="00073574">
              <w:rPr>
                <w:szCs w:val="22"/>
              </w:rPr>
              <w:t>118 Rev.1 2 (GEN/2) (progress report for Question 1/2).</w:t>
            </w:r>
          </w:p>
          <w:p w14:paraId="412D05E5" w14:textId="7B1C50BE" w:rsidR="00462E04" w:rsidRPr="00073574" w:rsidRDefault="005C5F25" w:rsidP="00DF36E1">
            <w:pPr>
              <w:pStyle w:val="Tabletext"/>
              <w:rPr>
                <w:szCs w:val="22"/>
              </w:rPr>
            </w:pPr>
            <w:r w:rsidRPr="00073574">
              <w:rPr>
                <w:szCs w:val="22"/>
              </w:rPr>
              <w:t>Advice and Guidance provided by ITU-T SG2 can be found in the meeting reports of SG2.</w:t>
            </w:r>
          </w:p>
        </w:tc>
      </w:tr>
      <w:tr w:rsidR="00F0236A" w:rsidRPr="00073574" w14:paraId="0319A15E" w14:textId="77777777" w:rsidTr="00284A2E">
        <w:trPr>
          <w:jc w:val="center"/>
        </w:trPr>
        <w:tc>
          <w:tcPr>
            <w:tcW w:w="907" w:type="dxa"/>
            <w:vMerge w:val="restart"/>
            <w:tcBorders>
              <w:top w:val="single" w:sz="12" w:space="0" w:color="auto"/>
            </w:tcBorders>
            <w:shd w:val="clear" w:color="auto" w:fill="auto"/>
          </w:tcPr>
          <w:p w14:paraId="1FFB6C50" w14:textId="77777777" w:rsidR="00F0236A" w:rsidRPr="00073574" w:rsidRDefault="00F0236A" w:rsidP="00DF36E1">
            <w:pPr>
              <w:pStyle w:val="Tabletext"/>
              <w:rPr>
                <w:b/>
                <w:bCs/>
                <w:sz w:val="24"/>
                <w:szCs w:val="24"/>
              </w:rPr>
            </w:pPr>
            <w:r w:rsidRPr="00073574">
              <w:rPr>
                <w:b/>
                <w:bCs/>
                <w:sz w:val="24"/>
                <w:szCs w:val="24"/>
              </w:rPr>
              <w:t>20-03</w:t>
            </w:r>
          </w:p>
        </w:tc>
        <w:tc>
          <w:tcPr>
            <w:tcW w:w="4554" w:type="dxa"/>
            <w:tcBorders>
              <w:top w:val="single" w:sz="12" w:space="0" w:color="auto"/>
            </w:tcBorders>
            <w:shd w:val="clear" w:color="auto" w:fill="auto"/>
            <w:hideMark/>
          </w:tcPr>
          <w:p w14:paraId="0B76FDA0" w14:textId="77777777" w:rsidR="00F0236A" w:rsidRPr="00073574" w:rsidRDefault="00F0236A" w:rsidP="00DF36E1">
            <w:pPr>
              <w:pStyle w:val="Tabletext"/>
              <w:rPr>
                <w:b/>
                <w:bCs/>
                <w:sz w:val="24"/>
                <w:szCs w:val="24"/>
              </w:rPr>
            </w:pPr>
            <w:r w:rsidRPr="00073574">
              <w:rPr>
                <w:b/>
                <w:bCs/>
                <w:sz w:val="24"/>
                <w:szCs w:val="24"/>
              </w:rPr>
              <w:t>TSB Director, in close collaboration with SG2 and other relevant study groups, to follow-up with the administrations involved on misuse of international telecommunication NNAI resources and inform Council accordingly (resolves 3)</w:t>
            </w:r>
          </w:p>
        </w:tc>
        <w:tc>
          <w:tcPr>
            <w:tcW w:w="1826" w:type="dxa"/>
            <w:tcBorders>
              <w:top w:val="single" w:sz="12" w:space="0" w:color="auto"/>
            </w:tcBorders>
            <w:shd w:val="clear" w:color="auto" w:fill="auto"/>
            <w:vAlign w:val="center"/>
            <w:hideMark/>
          </w:tcPr>
          <w:p w14:paraId="6EEC9E51" w14:textId="5C45CFE4" w:rsidR="00F0236A" w:rsidRPr="00073574" w:rsidRDefault="00F0236A" w:rsidP="00BC337E">
            <w:pPr>
              <w:pStyle w:val="Tabletext"/>
              <w:jc w:val="center"/>
              <w:rPr>
                <w:b/>
                <w:bCs/>
                <w:sz w:val="24"/>
                <w:szCs w:val="24"/>
              </w:rPr>
            </w:pPr>
            <w:r w:rsidRPr="00073574">
              <w:rPr>
                <w:b/>
                <w:bCs/>
                <w:sz w:val="24"/>
                <w:szCs w:val="24"/>
              </w:rPr>
              <w:t>Council 20</w:t>
            </w:r>
            <w:r w:rsidR="00BC337E" w:rsidRPr="00073574">
              <w:rPr>
                <w:b/>
                <w:bCs/>
                <w:sz w:val="24"/>
                <w:szCs w:val="24"/>
              </w:rPr>
              <w:t>20</w:t>
            </w:r>
          </w:p>
        </w:tc>
        <w:tc>
          <w:tcPr>
            <w:tcW w:w="1209" w:type="dxa"/>
            <w:tcBorders>
              <w:top w:val="single" w:sz="12" w:space="0" w:color="auto"/>
            </w:tcBorders>
            <w:shd w:val="clear" w:color="auto" w:fill="auto"/>
            <w:vAlign w:val="center"/>
          </w:tcPr>
          <w:p w14:paraId="0682764D"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5601189A" w14:textId="77777777" w:rsidR="00F0236A" w:rsidRPr="00073574" w:rsidRDefault="00F0236A" w:rsidP="00DF36E1">
            <w:pPr>
              <w:pStyle w:val="Tabletext"/>
              <w:jc w:val="center"/>
              <w:rPr>
                <w:b/>
                <w:bCs/>
                <w:sz w:val="24"/>
                <w:szCs w:val="24"/>
              </w:rPr>
            </w:pPr>
          </w:p>
        </w:tc>
      </w:tr>
      <w:tr w:rsidR="00F0236A" w:rsidRPr="00073574" w14:paraId="3D471B8F" w14:textId="77777777" w:rsidTr="00284A2E">
        <w:trPr>
          <w:jc w:val="center"/>
        </w:trPr>
        <w:tc>
          <w:tcPr>
            <w:tcW w:w="907" w:type="dxa"/>
            <w:vMerge/>
            <w:tcBorders>
              <w:bottom w:val="single" w:sz="12" w:space="0" w:color="auto"/>
            </w:tcBorders>
            <w:shd w:val="clear" w:color="auto" w:fill="auto"/>
          </w:tcPr>
          <w:p w14:paraId="09504953" w14:textId="77777777" w:rsidR="00F0236A" w:rsidRPr="00073574" w:rsidRDefault="00F0236A" w:rsidP="00DF36E1">
            <w:pPr>
              <w:pStyle w:val="Tabletext"/>
              <w:rPr>
                <w:sz w:val="24"/>
                <w:szCs w:val="24"/>
              </w:rPr>
            </w:pPr>
          </w:p>
        </w:tc>
        <w:tc>
          <w:tcPr>
            <w:tcW w:w="8925" w:type="dxa"/>
            <w:gridSpan w:val="4"/>
            <w:tcBorders>
              <w:bottom w:val="single" w:sz="12" w:space="0" w:color="auto"/>
            </w:tcBorders>
            <w:shd w:val="clear" w:color="auto" w:fill="auto"/>
          </w:tcPr>
          <w:p w14:paraId="6CECB673" w14:textId="77777777" w:rsidR="001637BE" w:rsidRPr="00073574" w:rsidRDefault="00F0236A" w:rsidP="001637BE">
            <w:pPr>
              <w:pStyle w:val="Tabletext"/>
              <w:rPr>
                <w:szCs w:val="22"/>
              </w:rPr>
            </w:pPr>
            <w:r w:rsidRPr="00073574">
              <w:rPr>
                <w:szCs w:val="22"/>
              </w:rPr>
              <w:t xml:space="preserve">Existing reports can be accessed at </w:t>
            </w:r>
            <w:hyperlink r:id="rId173" w:history="1">
              <w:r w:rsidRPr="00073574">
                <w:rPr>
                  <w:rStyle w:val="Hyperlink"/>
                  <w:szCs w:val="22"/>
                </w:rPr>
                <w:t>https://www.itu.int/net/ITU-T/misuse/table.aspx</w:t>
              </w:r>
            </w:hyperlink>
            <w:r w:rsidRPr="00073574">
              <w:rPr>
                <w:szCs w:val="22"/>
              </w:rPr>
              <w:t>.</w:t>
            </w:r>
          </w:p>
          <w:p w14:paraId="638687F5" w14:textId="77777777" w:rsidR="005C5F25" w:rsidRPr="00073574" w:rsidRDefault="005C5F25" w:rsidP="005C5F25">
            <w:pPr>
              <w:pStyle w:val="Tabletext"/>
              <w:rPr>
                <w:szCs w:val="22"/>
              </w:rPr>
            </w:pPr>
            <w:r w:rsidRPr="00073574">
              <w:rPr>
                <w:szCs w:val="22"/>
              </w:rPr>
              <w:t>Activities related to misuse of numbering resources are reported to each ITU-T SG2 meeting.</w:t>
            </w:r>
          </w:p>
          <w:p w14:paraId="22C478D6" w14:textId="77777777" w:rsidR="005C5F25" w:rsidRPr="00073574" w:rsidRDefault="005C5F25" w:rsidP="001637BE">
            <w:pPr>
              <w:pStyle w:val="Tabletext"/>
              <w:rPr>
                <w:szCs w:val="24"/>
              </w:rPr>
            </w:pPr>
            <w:r w:rsidRPr="00073574">
              <w:rPr>
                <w:szCs w:val="24"/>
              </w:rPr>
              <w:t>The Director of TSB informed the ITU Council 2019 about the misuse cases of ITU telephone numbers and the numbering misuse report received recently. The TSB director and his representative have been in close collaboration with Study Group 2 experts in investigating the misuse case of one particular ITU telephone number and the received misuse reports.</w:t>
            </w:r>
          </w:p>
          <w:p w14:paraId="6819B524" w14:textId="61E8A1EC" w:rsidR="00786C6F" w:rsidRPr="00073574" w:rsidRDefault="00786C6F" w:rsidP="001637BE">
            <w:pPr>
              <w:pStyle w:val="Tabletext"/>
              <w:rPr>
                <w:szCs w:val="22"/>
              </w:rPr>
            </w:pPr>
            <w:r w:rsidRPr="00073574">
              <w:rPr>
                <w:szCs w:val="22"/>
              </w:rPr>
              <w:t xml:space="preserve">SG2 </w:t>
            </w:r>
            <w:r w:rsidR="00790422" w:rsidRPr="00073574">
              <w:rPr>
                <w:szCs w:val="22"/>
              </w:rPr>
              <w:t>approve</w:t>
            </w:r>
            <w:r w:rsidR="00ED3901" w:rsidRPr="00073574">
              <w:rPr>
                <w:szCs w:val="22"/>
              </w:rPr>
              <w:t>d</w:t>
            </w:r>
            <w:r w:rsidRPr="00073574">
              <w:rPr>
                <w:szCs w:val="22"/>
              </w:rPr>
              <w:t xml:space="preserve"> Recommendation ITU-T E.156 (revised) “Guidelines for ITU-T action on reported misuse of E.164 number resources”</w:t>
            </w:r>
            <w:r w:rsidR="00EB3F77" w:rsidRPr="00073574">
              <w:rPr>
                <w:szCs w:val="22"/>
              </w:rPr>
              <w:t xml:space="preserve"> and its Amendment 1 “</w:t>
            </w:r>
            <w:r w:rsidR="00C86D1C" w:rsidRPr="00073574">
              <w:rPr>
                <w:szCs w:val="22"/>
              </w:rPr>
              <w:t>Suggested guidelines for regulators, administrations and operating agencies authorized by Member States for dealing with number misappropriation” on 5 June 2020</w:t>
            </w:r>
            <w:r w:rsidR="00495433" w:rsidRPr="00073574">
              <w:rPr>
                <w:szCs w:val="22"/>
              </w:rPr>
              <w:t>, the latter reproduces verbatim the attachment to WTSA Resolution 61 (Rev. Dubai, 2012)</w:t>
            </w:r>
            <w:r w:rsidRPr="00073574">
              <w:rPr>
                <w:szCs w:val="22"/>
              </w:rPr>
              <w:t>.</w:t>
            </w:r>
          </w:p>
        </w:tc>
      </w:tr>
      <w:tr w:rsidR="00F0236A" w:rsidRPr="00073574" w14:paraId="35C09E90" w14:textId="77777777" w:rsidTr="00D73EE2">
        <w:trPr>
          <w:jc w:val="center"/>
        </w:trPr>
        <w:tc>
          <w:tcPr>
            <w:tcW w:w="907" w:type="dxa"/>
            <w:vMerge w:val="restart"/>
            <w:tcBorders>
              <w:top w:val="single" w:sz="12" w:space="0" w:color="auto"/>
            </w:tcBorders>
            <w:shd w:val="clear" w:color="auto" w:fill="auto"/>
          </w:tcPr>
          <w:p w14:paraId="6BF9004F" w14:textId="77777777" w:rsidR="00F0236A" w:rsidRPr="00073574" w:rsidRDefault="00F0236A" w:rsidP="00D73EE2">
            <w:pPr>
              <w:pStyle w:val="Tabletext"/>
              <w:rPr>
                <w:b/>
                <w:bCs/>
                <w:sz w:val="24"/>
                <w:szCs w:val="24"/>
              </w:rPr>
            </w:pPr>
            <w:r w:rsidRPr="00073574">
              <w:rPr>
                <w:b/>
                <w:bCs/>
                <w:sz w:val="24"/>
                <w:szCs w:val="24"/>
              </w:rPr>
              <w:t>20-04</w:t>
            </w:r>
          </w:p>
        </w:tc>
        <w:tc>
          <w:tcPr>
            <w:tcW w:w="4554" w:type="dxa"/>
            <w:tcBorders>
              <w:top w:val="single" w:sz="12" w:space="0" w:color="auto"/>
            </w:tcBorders>
            <w:shd w:val="clear" w:color="auto" w:fill="auto"/>
          </w:tcPr>
          <w:p w14:paraId="4A8DBBDA" w14:textId="77777777" w:rsidR="00F0236A" w:rsidRPr="00073574" w:rsidRDefault="00F0236A" w:rsidP="00D73EE2">
            <w:pPr>
              <w:pStyle w:val="Tabletext"/>
              <w:rPr>
                <w:b/>
                <w:bCs/>
                <w:sz w:val="24"/>
                <w:szCs w:val="24"/>
              </w:rPr>
            </w:pPr>
            <w:r w:rsidRPr="00073574">
              <w:rPr>
                <w:b/>
                <w:bCs/>
                <w:sz w:val="24"/>
                <w:szCs w:val="24"/>
              </w:rPr>
              <w:t>SG2 to continue to study necessary action to ensure sovereignty of ITU Member States with regard to international telecommunication country code NNAI plans is maintained, including ENUM (resolves 5)</w:t>
            </w:r>
          </w:p>
        </w:tc>
        <w:tc>
          <w:tcPr>
            <w:tcW w:w="1826" w:type="dxa"/>
            <w:tcBorders>
              <w:top w:val="single" w:sz="12" w:space="0" w:color="auto"/>
            </w:tcBorders>
            <w:shd w:val="clear" w:color="auto" w:fill="auto"/>
            <w:vAlign w:val="center"/>
          </w:tcPr>
          <w:p w14:paraId="3A6C7C6D" w14:textId="77777777" w:rsidR="00F0236A" w:rsidRPr="00073574" w:rsidRDefault="00F0236A" w:rsidP="00D73EE2">
            <w:pPr>
              <w:pStyle w:val="Tabletext"/>
              <w:jc w:val="center"/>
              <w:rPr>
                <w:b/>
                <w:bCs/>
                <w:sz w:val="24"/>
                <w:szCs w:val="24"/>
              </w:rPr>
            </w:pPr>
            <w:r w:rsidRPr="00073574">
              <w:rPr>
                <w:b/>
                <w:bCs/>
                <w:sz w:val="24"/>
                <w:szCs w:val="24"/>
              </w:rPr>
              <w:t>Ongoing</w:t>
            </w:r>
          </w:p>
        </w:tc>
        <w:tc>
          <w:tcPr>
            <w:tcW w:w="1209" w:type="dxa"/>
            <w:tcBorders>
              <w:top w:val="single" w:sz="12" w:space="0" w:color="auto"/>
            </w:tcBorders>
            <w:shd w:val="clear" w:color="auto" w:fill="auto"/>
            <w:vAlign w:val="center"/>
          </w:tcPr>
          <w:p w14:paraId="6EEE4074" w14:textId="77777777" w:rsidR="00F0236A" w:rsidRPr="00073574" w:rsidRDefault="00F0236A" w:rsidP="00D73EE2">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452BA0B2" w14:textId="77777777" w:rsidR="00F0236A" w:rsidRPr="00073574" w:rsidRDefault="00F0236A" w:rsidP="00D73EE2">
            <w:pPr>
              <w:pStyle w:val="Tabletext"/>
              <w:jc w:val="center"/>
              <w:rPr>
                <w:b/>
                <w:bCs/>
                <w:sz w:val="24"/>
                <w:szCs w:val="24"/>
              </w:rPr>
            </w:pPr>
          </w:p>
        </w:tc>
      </w:tr>
      <w:tr w:rsidR="00F0236A" w:rsidRPr="00073574" w14:paraId="4FBF0EA0" w14:textId="77777777" w:rsidTr="00D73EE2">
        <w:trPr>
          <w:jc w:val="center"/>
        </w:trPr>
        <w:tc>
          <w:tcPr>
            <w:tcW w:w="907" w:type="dxa"/>
            <w:vMerge/>
            <w:shd w:val="clear" w:color="auto" w:fill="auto"/>
            <w:vAlign w:val="center"/>
          </w:tcPr>
          <w:p w14:paraId="398FC23F" w14:textId="77777777" w:rsidR="00F0236A" w:rsidRPr="00073574" w:rsidRDefault="00F0236A" w:rsidP="00D73EE2">
            <w:pPr>
              <w:pStyle w:val="Tabletext"/>
              <w:rPr>
                <w:sz w:val="24"/>
                <w:szCs w:val="24"/>
              </w:rPr>
            </w:pPr>
          </w:p>
        </w:tc>
        <w:tc>
          <w:tcPr>
            <w:tcW w:w="8925" w:type="dxa"/>
            <w:gridSpan w:val="4"/>
            <w:shd w:val="clear" w:color="auto" w:fill="auto"/>
          </w:tcPr>
          <w:p w14:paraId="2740EF91" w14:textId="77777777" w:rsidR="00890ECD" w:rsidRPr="00073574" w:rsidRDefault="00F0236A" w:rsidP="00D73EE2">
            <w:pPr>
              <w:pStyle w:val="Tabletext"/>
              <w:rPr>
                <w:szCs w:val="22"/>
              </w:rPr>
            </w:pPr>
            <w:r w:rsidRPr="00073574">
              <w:rPr>
                <w:szCs w:val="22"/>
              </w:rPr>
              <w:t>Notifications of national numbering/identification plan update and assignment or reclamation of national numbering/identification resources were received and published in the ITU Operational Bulletin</w:t>
            </w:r>
            <w:r w:rsidR="001E7E79" w:rsidRPr="00073574">
              <w:rPr>
                <w:szCs w:val="22"/>
              </w:rPr>
              <w:t xml:space="preserve"> and ITU website</w:t>
            </w:r>
            <w:r w:rsidRPr="00073574">
              <w:rPr>
                <w:szCs w:val="22"/>
              </w:rPr>
              <w:t>. The ITU Operational Bulletin is now published in the six official languages.</w:t>
            </w:r>
          </w:p>
          <w:p w14:paraId="65B1877B" w14:textId="67F15A7D" w:rsidR="003A660E" w:rsidRPr="00073574" w:rsidRDefault="003A660E" w:rsidP="00D73EE2">
            <w:pPr>
              <w:pStyle w:val="Tabletext"/>
              <w:rPr>
                <w:szCs w:val="22"/>
              </w:rPr>
            </w:pPr>
            <w:r w:rsidRPr="00073574">
              <w:rPr>
                <w:szCs w:val="22"/>
              </w:rPr>
              <w:t xml:space="preserve">SG2 </w:t>
            </w:r>
            <w:r w:rsidR="00D7649F" w:rsidRPr="00073574">
              <w:rPr>
                <w:szCs w:val="22"/>
              </w:rPr>
              <w:t>a</w:t>
            </w:r>
            <w:r w:rsidR="0068702B" w:rsidRPr="00073574">
              <w:rPr>
                <w:szCs w:val="22"/>
              </w:rPr>
              <w:t>pproved</w:t>
            </w:r>
            <w:r w:rsidRPr="00073574">
              <w:rPr>
                <w:szCs w:val="22"/>
              </w:rPr>
              <w:t xml:space="preserve"> Recommendation ITU-T E.218 </w:t>
            </w:r>
            <w:r w:rsidR="0068702B" w:rsidRPr="00073574">
              <w:rPr>
                <w:szCs w:val="22"/>
              </w:rPr>
              <w:t>(</w:t>
            </w:r>
            <w:r w:rsidR="00B4479C" w:rsidRPr="00073574">
              <w:rPr>
                <w:szCs w:val="22"/>
              </w:rPr>
              <w:t xml:space="preserve">2004) </w:t>
            </w:r>
            <w:r w:rsidRPr="00073574">
              <w:rPr>
                <w:szCs w:val="22"/>
              </w:rPr>
              <w:t xml:space="preserve">Annex </w:t>
            </w:r>
            <w:r w:rsidR="00B4479C" w:rsidRPr="00073574">
              <w:rPr>
                <w:szCs w:val="22"/>
              </w:rPr>
              <w:t xml:space="preserve">B </w:t>
            </w:r>
            <w:r w:rsidRPr="00073574">
              <w:rPr>
                <w:szCs w:val="22"/>
              </w:rPr>
              <w:t xml:space="preserve">“Management of the allocation of terrestrial trunk radio Mobile Country Codes - Annex </w:t>
            </w:r>
            <w:r w:rsidR="00B4479C" w:rsidRPr="00073574">
              <w:rPr>
                <w:szCs w:val="22"/>
              </w:rPr>
              <w:t>B</w:t>
            </w:r>
            <w:r w:rsidRPr="00073574">
              <w:rPr>
                <w:szCs w:val="22"/>
              </w:rPr>
              <w:t>: Criteria and procedures for the assignment and reclamation of shared ITU T E.218 terrestrial trunk radio access mobile country codes ((T)MCC) for networks and their respective terrestrial trunk radio access mobile network codes ((T)MNCs)"</w:t>
            </w:r>
            <w:r w:rsidR="00B4479C" w:rsidRPr="00073574">
              <w:rPr>
                <w:szCs w:val="22"/>
              </w:rPr>
              <w:t xml:space="preserve"> on 5 June 2020</w:t>
            </w:r>
            <w:r w:rsidRPr="00073574">
              <w:rPr>
                <w:szCs w:val="22"/>
              </w:rPr>
              <w:t>.</w:t>
            </w:r>
          </w:p>
          <w:p w14:paraId="46676C03" w14:textId="4BD30798" w:rsidR="00AC600F" w:rsidRPr="00073574" w:rsidRDefault="00AC600F" w:rsidP="00D73EE2">
            <w:pPr>
              <w:pStyle w:val="Tabletext"/>
              <w:rPr>
                <w:szCs w:val="22"/>
              </w:rPr>
            </w:pPr>
            <w:r w:rsidRPr="00073574">
              <w:rPr>
                <w:szCs w:val="22"/>
              </w:rPr>
              <w:lastRenderedPageBreak/>
              <w:t xml:space="preserve">SG2 </w:t>
            </w:r>
            <w:r w:rsidR="00D7649F" w:rsidRPr="00073574">
              <w:rPr>
                <w:szCs w:val="22"/>
              </w:rPr>
              <w:t>a</w:t>
            </w:r>
            <w:r w:rsidR="009B145D" w:rsidRPr="00073574">
              <w:rPr>
                <w:szCs w:val="22"/>
              </w:rPr>
              <w:t>pproved</w:t>
            </w:r>
            <w:r w:rsidRPr="00073574">
              <w:rPr>
                <w:szCs w:val="22"/>
              </w:rPr>
              <w:t xml:space="preserve"> Recommendation ITU-T E.212 </w:t>
            </w:r>
            <w:r w:rsidR="009B145D" w:rsidRPr="00073574">
              <w:rPr>
                <w:szCs w:val="22"/>
              </w:rPr>
              <w:t xml:space="preserve">(2016) </w:t>
            </w:r>
            <w:r w:rsidRPr="00073574">
              <w:rPr>
                <w:szCs w:val="22"/>
              </w:rPr>
              <w:t xml:space="preserve">Annex </w:t>
            </w:r>
            <w:r w:rsidR="009B145D" w:rsidRPr="00073574">
              <w:rPr>
                <w:szCs w:val="22"/>
              </w:rPr>
              <w:t xml:space="preserve">G </w:t>
            </w:r>
            <w:r w:rsidRPr="00073574">
              <w:rPr>
                <w:szCs w:val="22"/>
              </w:rPr>
              <w:t xml:space="preserve">“The international identification plan for public networks and subscriptions - Annex </w:t>
            </w:r>
            <w:r w:rsidR="009B145D" w:rsidRPr="00073574">
              <w:rPr>
                <w:szCs w:val="22"/>
              </w:rPr>
              <w:t>G</w:t>
            </w:r>
            <w:r w:rsidRPr="00073574">
              <w:rPr>
                <w:szCs w:val="22"/>
              </w:rPr>
              <w:t>: Assignment of shared E.212 mobile country codes (MCC) for trials"</w:t>
            </w:r>
            <w:r w:rsidR="009B145D" w:rsidRPr="00073574">
              <w:rPr>
                <w:szCs w:val="22"/>
              </w:rPr>
              <w:t xml:space="preserve"> on 5 June </w:t>
            </w:r>
            <w:r w:rsidR="00996C5C" w:rsidRPr="00073574">
              <w:rPr>
                <w:szCs w:val="22"/>
              </w:rPr>
              <w:t>2020</w:t>
            </w:r>
            <w:r w:rsidRPr="00073574">
              <w:rPr>
                <w:szCs w:val="22"/>
              </w:rPr>
              <w:t>.</w:t>
            </w:r>
          </w:p>
          <w:p w14:paraId="6EE22CFC" w14:textId="4CB124EB" w:rsidR="00860742" w:rsidRPr="00073574" w:rsidRDefault="00860742" w:rsidP="00D73EE2">
            <w:pPr>
              <w:pStyle w:val="Tabletext"/>
              <w:rPr>
                <w:szCs w:val="22"/>
              </w:rPr>
            </w:pPr>
            <w:r w:rsidRPr="00073574">
              <w:rPr>
                <w:szCs w:val="22"/>
              </w:rPr>
              <w:t xml:space="preserve">SG2 </w:t>
            </w:r>
            <w:r w:rsidR="00D7649F" w:rsidRPr="00073574">
              <w:rPr>
                <w:szCs w:val="22"/>
              </w:rPr>
              <w:t>a</w:t>
            </w:r>
            <w:r w:rsidR="006C0452" w:rsidRPr="00073574">
              <w:rPr>
                <w:szCs w:val="22"/>
              </w:rPr>
              <w:t>pproved</w:t>
            </w:r>
            <w:r w:rsidRPr="00073574">
              <w:rPr>
                <w:szCs w:val="22"/>
              </w:rPr>
              <w:t xml:space="preserve"> Recommendation ITU-T E.164.2 </w:t>
            </w:r>
            <w:r w:rsidR="006C0452" w:rsidRPr="00073574">
              <w:rPr>
                <w:szCs w:val="22"/>
              </w:rPr>
              <w:t xml:space="preserve">(revised) </w:t>
            </w:r>
            <w:r w:rsidRPr="00073574">
              <w:rPr>
                <w:szCs w:val="22"/>
              </w:rPr>
              <w:t>“E.164 numbering resources for trials”</w:t>
            </w:r>
            <w:r w:rsidR="00ED129C" w:rsidRPr="00073574">
              <w:rPr>
                <w:szCs w:val="22"/>
              </w:rPr>
              <w:t xml:space="preserve"> on 5 June 2020</w:t>
            </w:r>
            <w:r w:rsidRPr="00073574">
              <w:rPr>
                <w:szCs w:val="22"/>
              </w:rPr>
              <w:t>.</w:t>
            </w:r>
          </w:p>
          <w:p w14:paraId="3D7845C1" w14:textId="1A60236E" w:rsidR="005D51E9" w:rsidRPr="00073574" w:rsidRDefault="005D51E9" w:rsidP="00D73EE2">
            <w:pPr>
              <w:pStyle w:val="Tabletext"/>
              <w:rPr>
                <w:szCs w:val="22"/>
              </w:rPr>
            </w:pPr>
            <w:r w:rsidRPr="00073574">
              <w:rPr>
                <w:szCs w:val="22"/>
              </w:rPr>
              <w:t>SG2 approved Recommendation ITU-T E.212 Annex H "The international identification plan for public networks and subscriptions - Annex H: Criteria and procedures for the assignment and reclamation of shared ITU-T E.212 mobile country codes (MCC) for regional and other international organizations (ROIO)/standards development organization (SDO)-specified networks and their respective mobile network codes (MNCs)" on 18 December 2021.</w:t>
            </w:r>
          </w:p>
          <w:p w14:paraId="5B1BACBF" w14:textId="3CE6E3BC" w:rsidR="00A5497F" w:rsidRPr="00073574" w:rsidRDefault="00A5497F" w:rsidP="00D73EE2">
            <w:pPr>
              <w:pStyle w:val="Tabletext"/>
              <w:rPr>
                <w:szCs w:val="22"/>
              </w:rPr>
            </w:pPr>
            <w:r w:rsidRPr="00073574">
              <w:rPr>
                <w:szCs w:val="22"/>
              </w:rPr>
              <w:t>SG2 is progressing draft Recommendation ITU-T E.164.1 (revised) “Criteria and procedures for the reservation, assignment and reclamation of E.164 country codes and associated identification codes (ICs)”.</w:t>
            </w:r>
          </w:p>
        </w:tc>
      </w:tr>
    </w:tbl>
    <w:bookmarkStart w:id="51" w:name="Item20_01"/>
    <w:bookmarkStart w:id="52" w:name="Item20_04"/>
    <w:bookmarkEnd w:id="51"/>
    <w:bookmarkEnd w:id="52"/>
    <w:p w14:paraId="6FA0F7E6" w14:textId="77777777" w:rsidR="00F0236A" w:rsidRPr="00073574" w:rsidRDefault="00F0236A" w:rsidP="00F0236A">
      <w:pPr>
        <w:rPr>
          <w:rStyle w:val="Hyperlink"/>
          <w:sz w:val="24"/>
        </w:rPr>
      </w:pPr>
      <w:r w:rsidRPr="00073574">
        <w:rPr>
          <w:color w:val="2B579A"/>
          <w:shd w:val="clear" w:color="auto" w:fill="E6E6E6"/>
        </w:rPr>
        <w:lastRenderedPageBreak/>
        <w:fldChar w:fldCharType="begin"/>
      </w:r>
      <w:r w:rsidRPr="00073574">
        <w:rPr>
          <w:sz w:val="24"/>
        </w:rPr>
        <w:instrText xml:space="preserve"> HYPERLINK \l "Top" </w:instrText>
      </w:r>
      <w:r w:rsidRPr="00073574">
        <w:rPr>
          <w:color w:val="2B579A"/>
          <w:shd w:val="clear" w:color="auto" w:fill="E6E6E6"/>
        </w:rPr>
        <w:fldChar w:fldCharType="separate"/>
      </w:r>
      <w:r w:rsidRPr="00073574">
        <w:rPr>
          <w:rStyle w:val="Hyperlink"/>
          <w:sz w:val="24"/>
        </w:rPr>
        <w:t>» Top</w:t>
      </w:r>
      <w:r w:rsidRPr="00073574">
        <w:rPr>
          <w:rStyle w:val="Hyperlink"/>
          <w:sz w:val="24"/>
        </w:rPr>
        <w:fldChar w:fldCharType="end"/>
      </w:r>
    </w:p>
    <w:p w14:paraId="0D53225A" w14:textId="77777777" w:rsidR="00F0236A" w:rsidRPr="00073574" w:rsidRDefault="00F0236A" w:rsidP="00F0236A">
      <w:pPr>
        <w:rPr>
          <w:sz w:val="24"/>
        </w:rPr>
      </w:pPr>
    </w:p>
    <w:p w14:paraId="49598A78" w14:textId="77777777" w:rsidR="00F0236A" w:rsidRPr="00073574" w:rsidRDefault="00F0236A" w:rsidP="00F0236A">
      <w:pPr>
        <w:pStyle w:val="Heading1"/>
        <w:rPr>
          <w:sz w:val="24"/>
          <w:szCs w:val="24"/>
          <w:lang w:val="en-GB"/>
        </w:rPr>
      </w:pPr>
      <w:bookmarkStart w:id="53" w:name="Resolution_22"/>
      <w:bookmarkStart w:id="54" w:name="_Toc304236419"/>
      <w:bookmarkStart w:id="55" w:name="_Toc471715359"/>
      <w:bookmarkStart w:id="56" w:name="_Toc93425245"/>
      <w:bookmarkEnd w:id="53"/>
      <w:r w:rsidRPr="00073574">
        <w:rPr>
          <w:sz w:val="24"/>
          <w:szCs w:val="24"/>
          <w:lang w:val="en-GB"/>
        </w:rPr>
        <w:t>Resolution 22 - Authorization for Telecommunication Standardization Advisory Group to act between world telecommunication standardization assemblies</w:t>
      </w:r>
      <w:bookmarkEnd w:id="54"/>
      <w:bookmarkEnd w:id="55"/>
      <w:bookmarkEnd w:id="56"/>
    </w:p>
    <w:p w14:paraId="0B220B24" w14:textId="77777777" w:rsidR="00F0236A" w:rsidRPr="00073574" w:rsidRDefault="00F0236A" w:rsidP="00F0236A">
      <w:pPr>
        <w:rPr>
          <w:b/>
          <w:bCs/>
          <w:sz w:val="24"/>
        </w:rPr>
      </w:pPr>
      <w:r w:rsidRPr="00073574">
        <w:rPr>
          <w:b/>
          <w:bCs/>
          <w:sz w:val="24"/>
        </w:rPr>
        <w:t>Resolution 22</w:t>
      </w:r>
    </w:p>
    <w:p w14:paraId="34122CFC" w14:textId="77777777" w:rsidR="00F0236A" w:rsidRPr="00073574" w:rsidRDefault="00F0236A" w:rsidP="00F0236A">
      <w:pPr>
        <w:pStyle w:val="Call"/>
        <w:rPr>
          <w:sz w:val="24"/>
          <w:szCs w:val="24"/>
          <w:lang w:val="en-GB"/>
        </w:rPr>
      </w:pPr>
      <w:r w:rsidRPr="00073574">
        <w:rPr>
          <w:sz w:val="24"/>
          <w:szCs w:val="24"/>
          <w:lang w:val="en-GB"/>
        </w:rPr>
        <w:t>resolves</w:t>
      </w:r>
    </w:p>
    <w:p w14:paraId="38548F45" w14:textId="77777777" w:rsidR="00F0236A" w:rsidRPr="00073574" w:rsidRDefault="00F0236A" w:rsidP="00101BC9">
      <w:pPr>
        <w:rPr>
          <w:sz w:val="24"/>
        </w:rPr>
      </w:pPr>
      <w:r w:rsidRPr="00073574">
        <w:rPr>
          <w:sz w:val="24"/>
        </w:rPr>
        <w:t>1</w:t>
      </w:r>
      <w:r w:rsidRPr="00073574">
        <w:rPr>
          <w:sz w:val="24"/>
        </w:rPr>
        <w:tab/>
        <w:t>to assign to TSAG the following specific matters within its competence between this assembly and the next assembly to act in the following areas in consultation with the Director of TSB, as appropriate:</w:t>
      </w:r>
    </w:p>
    <w:p w14:paraId="1F092E19" w14:textId="77777777" w:rsidR="00F0236A" w:rsidRPr="00073574" w:rsidRDefault="00F0236A" w:rsidP="00101BC9">
      <w:pPr>
        <w:pStyle w:val="enumlev10"/>
        <w:jc w:val="left"/>
        <w:rPr>
          <w:sz w:val="24"/>
          <w:szCs w:val="24"/>
        </w:rPr>
      </w:pPr>
      <w:r w:rsidRPr="00073574">
        <w:rPr>
          <w:i/>
          <w:iCs/>
          <w:sz w:val="24"/>
          <w:szCs w:val="24"/>
        </w:rPr>
        <w:t>a)</w:t>
      </w:r>
      <w:r w:rsidRPr="00073574">
        <w:rPr>
          <w:sz w:val="24"/>
          <w:szCs w:val="24"/>
        </w:rPr>
        <w:tab/>
        <w:t>maintain up-to-date, efficient and flexible working guidelines;</w:t>
      </w:r>
    </w:p>
    <w:p w14:paraId="3E3A3B5D" w14:textId="77777777" w:rsidR="00F0236A" w:rsidRPr="00073574" w:rsidRDefault="00F0236A" w:rsidP="00101BC9">
      <w:pPr>
        <w:pStyle w:val="enumlev10"/>
        <w:jc w:val="left"/>
        <w:rPr>
          <w:sz w:val="24"/>
          <w:szCs w:val="24"/>
        </w:rPr>
      </w:pPr>
      <w:r w:rsidRPr="00073574">
        <w:rPr>
          <w:i/>
          <w:iCs/>
          <w:sz w:val="24"/>
          <w:szCs w:val="24"/>
        </w:rPr>
        <w:t>b)</w:t>
      </w:r>
      <w:r w:rsidRPr="00073574">
        <w:rPr>
          <w:sz w:val="24"/>
          <w:szCs w:val="24"/>
        </w:rPr>
        <w:tab/>
        <w:t>assume responsibility, including development and submission for approval under appropriate procedures, for the ITU</w:t>
      </w:r>
      <w:r w:rsidRPr="00073574">
        <w:rPr>
          <w:sz w:val="24"/>
          <w:szCs w:val="24"/>
        </w:rPr>
        <w:noBreakHyphen/>
        <w:t>T A</w:t>
      </w:r>
      <w:r w:rsidRPr="00073574">
        <w:rPr>
          <w:sz w:val="24"/>
          <w:szCs w:val="24"/>
        </w:rPr>
        <w:noBreakHyphen/>
        <w:t>series Recommendations (Organization of the work of ITU</w:t>
      </w:r>
      <w:r w:rsidRPr="00073574">
        <w:rPr>
          <w:sz w:val="24"/>
          <w:szCs w:val="24"/>
        </w:rPr>
        <w:noBreakHyphen/>
        <w:t>T);</w:t>
      </w:r>
    </w:p>
    <w:p w14:paraId="5B044729" w14:textId="77777777" w:rsidR="00F0236A" w:rsidRPr="00073574" w:rsidRDefault="00F0236A" w:rsidP="00101BC9">
      <w:pPr>
        <w:pStyle w:val="enumlev10"/>
        <w:jc w:val="left"/>
        <w:rPr>
          <w:sz w:val="24"/>
          <w:szCs w:val="24"/>
        </w:rPr>
      </w:pPr>
      <w:r w:rsidRPr="00073574">
        <w:rPr>
          <w:i/>
          <w:iCs/>
          <w:sz w:val="24"/>
          <w:szCs w:val="24"/>
        </w:rPr>
        <w:t>c)</w:t>
      </w:r>
      <w:r w:rsidRPr="00073574">
        <w:rPr>
          <w:sz w:val="24"/>
          <w:szCs w:val="24"/>
        </w:rPr>
        <w:tab/>
        <w:t>restructure and establish ITU</w:t>
      </w:r>
      <w:r w:rsidRPr="00073574">
        <w:rPr>
          <w:sz w:val="24"/>
          <w:szCs w:val="24"/>
        </w:rPr>
        <w:noBreakHyphen/>
        <w:t>T study groups, taking into account the needs of the ITU</w:t>
      </w:r>
      <w:r w:rsidRPr="00073574">
        <w:rPr>
          <w:sz w:val="24"/>
          <w:szCs w:val="24"/>
        </w:rPr>
        <w:noBreakHyphen/>
        <w:t>T membership and in response to changes in the telecommunication marketplace, and assign chairmen and vice</w:t>
      </w:r>
      <w:r w:rsidRPr="00073574">
        <w:rPr>
          <w:sz w:val="24"/>
          <w:szCs w:val="24"/>
        </w:rPr>
        <w:noBreakHyphen/>
        <w:t>chairmen to act until the next WTSA in accordance with Resolution 35 (Rev. Hammamet, 2016) of this assembly;</w:t>
      </w:r>
    </w:p>
    <w:p w14:paraId="4E2ACAB5" w14:textId="77777777" w:rsidR="00F0236A" w:rsidRPr="00073574" w:rsidRDefault="00F0236A" w:rsidP="00101BC9">
      <w:pPr>
        <w:pStyle w:val="enumlev10"/>
        <w:jc w:val="left"/>
        <w:rPr>
          <w:sz w:val="24"/>
          <w:szCs w:val="24"/>
        </w:rPr>
      </w:pPr>
      <w:r w:rsidRPr="00073574">
        <w:rPr>
          <w:i/>
          <w:iCs/>
          <w:sz w:val="24"/>
          <w:szCs w:val="24"/>
        </w:rPr>
        <w:t>d)</w:t>
      </w:r>
      <w:r w:rsidRPr="00073574">
        <w:rPr>
          <w:sz w:val="24"/>
          <w:szCs w:val="24"/>
        </w:rPr>
        <w:tab/>
        <w:t>issue advice on study group schedules to meet standardization priorities;</w:t>
      </w:r>
    </w:p>
    <w:p w14:paraId="5AAF6149" w14:textId="279FA74E" w:rsidR="00F0236A" w:rsidRPr="00073574" w:rsidRDefault="00F0236A" w:rsidP="00101BC9">
      <w:pPr>
        <w:pStyle w:val="enumlev10"/>
        <w:jc w:val="left"/>
        <w:rPr>
          <w:sz w:val="24"/>
          <w:szCs w:val="24"/>
        </w:rPr>
      </w:pPr>
      <w:r w:rsidRPr="00073574">
        <w:rPr>
          <w:i/>
          <w:iCs/>
          <w:sz w:val="24"/>
          <w:szCs w:val="24"/>
        </w:rPr>
        <w:t>e)</w:t>
      </w:r>
      <w:r w:rsidRPr="00073574">
        <w:rPr>
          <w:sz w:val="24"/>
          <w:szCs w:val="24"/>
        </w:rPr>
        <w:tab/>
        <w:t>while recognizing the primacy of the study groups in carrying out the activities of ITU</w:t>
      </w:r>
      <w:r w:rsidRPr="00073574">
        <w:rPr>
          <w:sz w:val="24"/>
          <w:szCs w:val="24"/>
        </w:rPr>
        <w:noBreakHyphen/>
        <w:t>T, create, terminate or maintain other groups, including focus groups, appoint their chairmen and vice-chairmen, and establish their terms of reference with a defined duration, in accordance with Nos. 191A and 191B of the Convention, in order to enhance and improve the effectiveness of ITU</w:t>
      </w:r>
      <w:r w:rsidRPr="00073574">
        <w:rPr>
          <w:sz w:val="24"/>
          <w:szCs w:val="24"/>
        </w:rPr>
        <w:noBreakHyphen/>
        <w:t>T</w:t>
      </w:r>
      <w:r w:rsidR="003C7E25" w:rsidRPr="00073574">
        <w:rPr>
          <w:sz w:val="24"/>
          <w:szCs w:val="24"/>
        </w:rPr>
        <w:t>'</w:t>
      </w:r>
      <w:r w:rsidRPr="00073574">
        <w:rPr>
          <w:sz w:val="24"/>
          <w:szCs w:val="24"/>
        </w:rPr>
        <w:t>s work as well as promoting flexibility in responding rapidly to high-priority issues; such groups shall not adopt Questions or Recommendations, in accordance with Article 14A of the Convention, but work on a specific mandate;</w:t>
      </w:r>
    </w:p>
    <w:p w14:paraId="15341E11" w14:textId="77777777" w:rsidR="00F0236A" w:rsidRPr="00073574" w:rsidRDefault="00F0236A" w:rsidP="00101BC9">
      <w:pPr>
        <w:pStyle w:val="enumlev10"/>
        <w:jc w:val="left"/>
        <w:rPr>
          <w:sz w:val="24"/>
          <w:szCs w:val="24"/>
        </w:rPr>
      </w:pPr>
      <w:r w:rsidRPr="00073574">
        <w:rPr>
          <w:i/>
          <w:iCs/>
          <w:sz w:val="24"/>
          <w:szCs w:val="24"/>
        </w:rPr>
        <w:t>f)</w:t>
      </w:r>
      <w:r w:rsidRPr="00073574">
        <w:rPr>
          <w:sz w:val="24"/>
          <w:szCs w:val="24"/>
        </w:rPr>
        <w:tab/>
        <w:t>identify changing requirements and provide advice on appropriate changes to be made to the priority of work in ITU</w:t>
      </w:r>
      <w:r w:rsidRPr="00073574">
        <w:rPr>
          <w:sz w:val="24"/>
          <w:szCs w:val="24"/>
        </w:rPr>
        <w:noBreakHyphen/>
        <w:t>T study groups, planning and allocation of work between study groups, having due regard for the cost and availability of resources;</w:t>
      </w:r>
    </w:p>
    <w:p w14:paraId="0B721EE9" w14:textId="77777777" w:rsidR="00F0236A" w:rsidRPr="00073574" w:rsidRDefault="00F0236A" w:rsidP="00101BC9">
      <w:pPr>
        <w:pStyle w:val="enumlev10"/>
        <w:jc w:val="left"/>
        <w:rPr>
          <w:sz w:val="24"/>
          <w:szCs w:val="24"/>
        </w:rPr>
      </w:pPr>
      <w:r w:rsidRPr="00073574">
        <w:rPr>
          <w:i/>
          <w:iCs/>
          <w:sz w:val="24"/>
          <w:szCs w:val="24"/>
        </w:rPr>
        <w:t>g)</w:t>
      </w:r>
      <w:r w:rsidRPr="00073574">
        <w:rPr>
          <w:sz w:val="24"/>
          <w:szCs w:val="24"/>
        </w:rPr>
        <w:tab/>
        <w:t>review reports of and consider appropriate proposals made by coordination groups and other groups, and implement those that are agreed;</w:t>
      </w:r>
    </w:p>
    <w:p w14:paraId="341894FB" w14:textId="77777777" w:rsidR="00F0236A" w:rsidRPr="00073574" w:rsidRDefault="00F0236A" w:rsidP="00101BC9">
      <w:pPr>
        <w:pStyle w:val="enumlev10"/>
        <w:jc w:val="left"/>
        <w:rPr>
          <w:sz w:val="24"/>
          <w:szCs w:val="24"/>
        </w:rPr>
      </w:pPr>
      <w:r w:rsidRPr="00073574">
        <w:rPr>
          <w:i/>
          <w:iCs/>
          <w:sz w:val="24"/>
          <w:szCs w:val="24"/>
        </w:rPr>
        <w:lastRenderedPageBreak/>
        <w:t>h)</w:t>
      </w:r>
      <w:r w:rsidRPr="00073574">
        <w:rPr>
          <w:sz w:val="24"/>
          <w:szCs w:val="24"/>
        </w:rPr>
        <w:tab/>
        <w:t>establish the appropriate mechanism and encourage the utilization, for example, of coordination groups or other groups, to address key topics of work which span several study groups, with a view to ensuring effective coordination of standardization topics in order to achieve suitable global solutions;</w:t>
      </w:r>
    </w:p>
    <w:p w14:paraId="2E182DD6" w14:textId="77777777" w:rsidR="00F0236A" w:rsidRPr="00073574" w:rsidRDefault="00F0236A" w:rsidP="00101BC9">
      <w:pPr>
        <w:pStyle w:val="enumlev10"/>
        <w:jc w:val="left"/>
        <w:rPr>
          <w:sz w:val="24"/>
          <w:szCs w:val="24"/>
        </w:rPr>
      </w:pPr>
      <w:r w:rsidRPr="00073574">
        <w:rPr>
          <w:i/>
          <w:iCs/>
          <w:sz w:val="24"/>
          <w:szCs w:val="24"/>
        </w:rPr>
        <w:t>i)</w:t>
      </w:r>
      <w:r w:rsidRPr="00073574">
        <w:rPr>
          <w:sz w:val="24"/>
          <w:szCs w:val="24"/>
        </w:rPr>
        <w:tab/>
        <w:t>review progress in the implementation of the ITU</w:t>
      </w:r>
      <w:r w:rsidRPr="00073574">
        <w:rPr>
          <w:sz w:val="24"/>
          <w:szCs w:val="24"/>
        </w:rPr>
        <w:noBreakHyphen/>
        <w:t>T work programme, including fostering coordination and collaboration with other relevant bodies such as standardization organizations, forums and consortia outside of ITU;</w:t>
      </w:r>
    </w:p>
    <w:p w14:paraId="70A33D9C" w14:textId="77777777" w:rsidR="00F0236A" w:rsidRPr="00073574" w:rsidRDefault="00F0236A" w:rsidP="00101BC9">
      <w:pPr>
        <w:pStyle w:val="enumlev10"/>
        <w:jc w:val="left"/>
        <w:rPr>
          <w:sz w:val="24"/>
          <w:szCs w:val="24"/>
        </w:rPr>
      </w:pPr>
      <w:r w:rsidRPr="00073574">
        <w:rPr>
          <w:i/>
          <w:iCs/>
          <w:sz w:val="24"/>
          <w:szCs w:val="24"/>
        </w:rPr>
        <w:t>j)</w:t>
      </w:r>
      <w:r w:rsidRPr="00073574">
        <w:rPr>
          <w:sz w:val="24"/>
          <w:szCs w:val="24"/>
        </w:rPr>
        <w:tab/>
        <w:t>advise the Director of TSB on financial and other matters;</w:t>
      </w:r>
    </w:p>
    <w:p w14:paraId="417F85D4" w14:textId="77777777" w:rsidR="00F0236A" w:rsidRPr="00073574" w:rsidRDefault="00F0236A" w:rsidP="00101BC9">
      <w:pPr>
        <w:pStyle w:val="enumlev10"/>
        <w:jc w:val="left"/>
        <w:rPr>
          <w:sz w:val="24"/>
          <w:szCs w:val="24"/>
        </w:rPr>
      </w:pPr>
      <w:r w:rsidRPr="00073574">
        <w:rPr>
          <w:i/>
          <w:iCs/>
          <w:sz w:val="24"/>
          <w:szCs w:val="24"/>
        </w:rPr>
        <w:t>k)</w:t>
      </w:r>
      <w:r w:rsidRPr="00073574">
        <w:rPr>
          <w:sz w:val="24"/>
          <w:szCs w:val="24"/>
        </w:rPr>
        <w:tab/>
        <w:t>approve the programme of work arising from the review of existing and new Questions and determine the priority, urgency, estimated financial implications and time-scale for the completion of their study;</w:t>
      </w:r>
    </w:p>
    <w:p w14:paraId="543DEF1B" w14:textId="77777777" w:rsidR="00F0236A" w:rsidRPr="00073574" w:rsidRDefault="00F0236A" w:rsidP="00101BC9">
      <w:pPr>
        <w:pStyle w:val="enumlev10"/>
        <w:jc w:val="left"/>
        <w:rPr>
          <w:sz w:val="24"/>
          <w:szCs w:val="24"/>
        </w:rPr>
      </w:pPr>
      <w:r w:rsidRPr="00073574">
        <w:rPr>
          <w:i/>
          <w:iCs/>
          <w:sz w:val="24"/>
          <w:szCs w:val="24"/>
        </w:rPr>
        <w:t>l)</w:t>
      </w:r>
      <w:r w:rsidRPr="00073574">
        <w:rPr>
          <w:sz w:val="24"/>
          <w:szCs w:val="24"/>
        </w:rPr>
        <w:tab/>
        <w:t>group, as far as practicable, Questions of interest to developing countries, including the least developed countries, small island developing states, landlocked developing countries and countries with economies in transition, in order to facilitate their participation in these studies;</w:t>
      </w:r>
    </w:p>
    <w:p w14:paraId="670AB786" w14:textId="77777777" w:rsidR="00F0236A" w:rsidRPr="00073574" w:rsidRDefault="00F0236A" w:rsidP="00101BC9">
      <w:pPr>
        <w:pStyle w:val="enumlev10"/>
        <w:jc w:val="left"/>
        <w:rPr>
          <w:sz w:val="24"/>
          <w:szCs w:val="24"/>
        </w:rPr>
      </w:pPr>
      <w:r w:rsidRPr="00073574">
        <w:rPr>
          <w:i/>
          <w:iCs/>
          <w:sz w:val="24"/>
          <w:szCs w:val="24"/>
        </w:rPr>
        <w:t>m)</w:t>
      </w:r>
      <w:r w:rsidRPr="00073574">
        <w:rPr>
          <w:sz w:val="24"/>
          <w:szCs w:val="24"/>
        </w:rPr>
        <w:tab/>
        <w:t>address other specific matters within the competence of WTSA, subject to the approval of Member States, using the approval procedure contained in Resolution 1 (Rev. Hammamet, 2016) of this assembly, Section 9;</w:t>
      </w:r>
    </w:p>
    <w:p w14:paraId="212F6BEB" w14:textId="77777777" w:rsidR="00F0236A" w:rsidRPr="00073574" w:rsidRDefault="00F0236A" w:rsidP="00101BC9">
      <w:pPr>
        <w:rPr>
          <w:sz w:val="24"/>
        </w:rPr>
      </w:pPr>
      <w:r w:rsidRPr="00073574">
        <w:rPr>
          <w:sz w:val="24"/>
        </w:rPr>
        <w:t>2</w:t>
      </w:r>
      <w:r w:rsidRPr="00073574">
        <w:rPr>
          <w:sz w:val="24"/>
        </w:rPr>
        <w:tab/>
        <w:t>that TSAG examine implementation of the actions and achievement of the goals as reflected in the annual operational plans and in the WTSA</w:t>
      </w:r>
      <w:r w:rsidRPr="00073574">
        <w:rPr>
          <w:sz w:val="24"/>
        </w:rPr>
        <w:noBreakHyphen/>
        <w:t>16 Action Plan, which includes the WTSA resolutions, for the purpose of identifying possible difficulties and possible strategies for implementing key elements, and recommending solutions to the Director of TSB regarding them;</w:t>
      </w:r>
    </w:p>
    <w:p w14:paraId="334BE0DA" w14:textId="77777777" w:rsidR="00F0236A" w:rsidRPr="00073574" w:rsidRDefault="00F0236A" w:rsidP="00101BC9">
      <w:pPr>
        <w:rPr>
          <w:sz w:val="24"/>
        </w:rPr>
      </w:pPr>
      <w:r w:rsidRPr="00073574">
        <w:rPr>
          <w:sz w:val="24"/>
        </w:rPr>
        <w:t>3</w:t>
      </w:r>
      <w:r w:rsidRPr="00073574">
        <w:rPr>
          <w:sz w:val="24"/>
        </w:rPr>
        <w:tab/>
        <w:t>that revisions to the relevant procedures for the adoption of Questions and Recommendations by study groups, other than those referred to in Nos. 246D, 246F and 246H of the Convention, may be initiated by TSAG for approval by Member States between WTSAs, using the approval procedure contained in Resolution 1 (Rev. Hammamet, 2016) of this assembly, Section 9;</w:t>
      </w:r>
    </w:p>
    <w:p w14:paraId="00FDD3CE" w14:textId="77777777" w:rsidR="00F0236A" w:rsidRPr="00073574" w:rsidRDefault="00F0236A" w:rsidP="00101BC9">
      <w:pPr>
        <w:rPr>
          <w:sz w:val="24"/>
        </w:rPr>
      </w:pPr>
      <w:r w:rsidRPr="00073574">
        <w:rPr>
          <w:sz w:val="24"/>
        </w:rPr>
        <w:t>4</w:t>
      </w:r>
      <w:r w:rsidRPr="00073574">
        <w:rPr>
          <w:sz w:val="24"/>
        </w:rPr>
        <w:tab/>
        <w:t>that TSAG provide liaison on its activities to organizations outside ITU in consultation with the Director of TSB, as appropriate;</w:t>
      </w:r>
    </w:p>
    <w:p w14:paraId="24B339B0" w14:textId="77777777" w:rsidR="00F0236A" w:rsidRPr="00073574" w:rsidRDefault="00F0236A" w:rsidP="00F0236A">
      <w:pPr>
        <w:rPr>
          <w:sz w:val="24"/>
        </w:rPr>
      </w:pPr>
      <w:r w:rsidRPr="00073574">
        <w:rPr>
          <w:sz w:val="24"/>
        </w:rPr>
        <w:t>5</w:t>
      </w:r>
      <w:r w:rsidRPr="00073574">
        <w:rPr>
          <w:sz w:val="24"/>
        </w:rPr>
        <w:tab/>
        <w:t>that TSAG consider the implications, for ITU</w:t>
      </w:r>
      <w:r w:rsidRPr="00073574">
        <w:rPr>
          <w:sz w:val="24"/>
        </w:rPr>
        <w:noBreakHyphen/>
        <w:t>T, of market needs and new emerging technologies that have not yet been considered for standardization by ITU</w:t>
      </w:r>
      <w:r w:rsidRPr="00073574">
        <w:rPr>
          <w:sz w:val="24"/>
        </w:rPr>
        <w:noBreakHyphen/>
        <w:t>T, establish an appropriate mechanism to facilitate the examination of their consideration, for example assigning Questions, coordinating the work of study groups or establishing coordination groups or other groups, and appoint their chairmen and vice-chairmen;</w:t>
      </w:r>
    </w:p>
    <w:p w14:paraId="0AB8E318" w14:textId="29BA610F" w:rsidR="00F0236A" w:rsidRPr="00073574" w:rsidRDefault="00F0236A" w:rsidP="00F0236A">
      <w:pPr>
        <w:rPr>
          <w:sz w:val="24"/>
        </w:rPr>
      </w:pPr>
      <w:r w:rsidRPr="00073574">
        <w:rPr>
          <w:sz w:val="24"/>
        </w:rPr>
        <w:t>6</w:t>
      </w:r>
      <w:r w:rsidRPr="00073574">
        <w:rPr>
          <w:sz w:val="24"/>
        </w:rPr>
        <w:tab/>
        <w:t>that TSAG review and coordinate standardization strategies for ITU</w:t>
      </w:r>
      <w:r w:rsidRPr="00073574">
        <w:rPr>
          <w:sz w:val="24"/>
        </w:rPr>
        <w:noBreakHyphen/>
        <w:t>T by identifying the main technological trends and market, economic and policy needs in the fields of activity relevant to the mandate of ITU</w:t>
      </w:r>
      <w:r w:rsidRPr="00073574">
        <w:rPr>
          <w:sz w:val="24"/>
        </w:rPr>
        <w:noBreakHyphen/>
        <w:t>T, and identify possible topics and issues for consideration in ITU</w:t>
      </w:r>
      <w:r w:rsidRPr="00073574">
        <w:rPr>
          <w:sz w:val="24"/>
        </w:rPr>
        <w:noBreakHyphen/>
        <w:t>T</w:t>
      </w:r>
      <w:r w:rsidR="003C7E25" w:rsidRPr="00073574">
        <w:rPr>
          <w:sz w:val="24"/>
        </w:rPr>
        <w:t>'</w:t>
      </w:r>
      <w:r w:rsidRPr="00073574">
        <w:rPr>
          <w:sz w:val="24"/>
        </w:rPr>
        <w:t>s standardization strategies;</w:t>
      </w:r>
    </w:p>
    <w:p w14:paraId="71ECB9A3" w14:textId="77777777" w:rsidR="00F0236A" w:rsidRPr="00073574" w:rsidRDefault="00F0236A" w:rsidP="00F0236A">
      <w:pPr>
        <w:rPr>
          <w:sz w:val="24"/>
        </w:rPr>
      </w:pPr>
      <w:r w:rsidRPr="00073574">
        <w:rPr>
          <w:sz w:val="24"/>
        </w:rPr>
        <w:t>7</w:t>
      </w:r>
      <w:r w:rsidRPr="00073574">
        <w:rPr>
          <w:sz w:val="24"/>
        </w:rPr>
        <w:tab/>
        <w:t>that TSAG establish an appropriate mechanism to facilitate standardization strategies, for example assigning Questions, coordinating the work of study groups or establishing coordination groups or other groups, and appoint their chairmen and vice-chairmen;</w:t>
      </w:r>
    </w:p>
    <w:p w14:paraId="219AA754" w14:textId="77777777" w:rsidR="00F0236A" w:rsidRPr="00073574" w:rsidRDefault="00F0236A" w:rsidP="00F0236A">
      <w:pPr>
        <w:rPr>
          <w:sz w:val="24"/>
        </w:rPr>
      </w:pPr>
      <w:r w:rsidRPr="00073574">
        <w:rPr>
          <w:sz w:val="24"/>
        </w:rPr>
        <w:t>8</w:t>
      </w:r>
      <w:r w:rsidRPr="00073574">
        <w:rPr>
          <w:sz w:val="24"/>
        </w:rPr>
        <w:tab/>
        <w:t>that TSAG consider the result of this assembly concerning GSS and take follow-up actions, as appropriate;</w:t>
      </w:r>
    </w:p>
    <w:p w14:paraId="4511FC2F" w14:textId="77777777" w:rsidR="00F0236A" w:rsidRPr="00073574" w:rsidRDefault="00F0236A" w:rsidP="00F0236A">
      <w:pPr>
        <w:rPr>
          <w:sz w:val="24"/>
        </w:rPr>
      </w:pPr>
      <w:r w:rsidRPr="00073574">
        <w:rPr>
          <w:sz w:val="24"/>
        </w:rPr>
        <w:t>9</w:t>
      </w:r>
      <w:r w:rsidRPr="00073574">
        <w:rPr>
          <w:sz w:val="24"/>
        </w:rPr>
        <w:tab/>
        <w:t>that a report on the above TSAG activities shall be submitted to the next WTSA.</w:t>
      </w:r>
    </w:p>
    <w:p w14:paraId="5E047987" w14:textId="77777777" w:rsidR="00F0236A" w:rsidRPr="00073574" w:rsidRDefault="00F0236A" w:rsidP="00F0236A">
      <w:pPr>
        <w:pStyle w:val="Call"/>
        <w:rPr>
          <w:sz w:val="24"/>
          <w:szCs w:val="24"/>
          <w:lang w:val="en-GB"/>
        </w:rPr>
      </w:pPr>
      <w:r w:rsidRPr="00073574">
        <w:rPr>
          <w:sz w:val="24"/>
          <w:szCs w:val="24"/>
          <w:lang w:val="en-GB"/>
        </w:rPr>
        <w:lastRenderedPageBreak/>
        <w:t>instructs the Director of the Telecommunication Standardization Bureau</w:t>
      </w:r>
    </w:p>
    <w:p w14:paraId="6CB723CE" w14:textId="77777777" w:rsidR="00F0236A" w:rsidRPr="00073574" w:rsidRDefault="00F0236A" w:rsidP="00F0236A">
      <w:pPr>
        <w:rPr>
          <w:sz w:val="24"/>
        </w:rPr>
      </w:pPr>
      <w:r w:rsidRPr="00073574">
        <w:rPr>
          <w:sz w:val="24"/>
        </w:rPr>
        <w:t>1</w:t>
      </w:r>
      <w:r w:rsidRPr="00073574">
        <w:rPr>
          <w:sz w:val="24"/>
        </w:rPr>
        <w:tab/>
        <w:t>to take into consideration the advice and guidance of TSAG in order to improve the effectiveness and efficiency of the Sector;</w:t>
      </w:r>
    </w:p>
    <w:p w14:paraId="48E58807" w14:textId="77777777" w:rsidR="00F0236A" w:rsidRPr="00073574" w:rsidRDefault="00F0236A" w:rsidP="00F0236A">
      <w:pPr>
        <w:rPr>
          <w:i/>
          <w:iCs/>
          <w:sz w:val="24"/>
        </w:rPr>
      </w:pPr>
      <w:r w:rsidRPr="00073574">
        <w:rPr>
          <w:sz w:val="24"/>
        </w:rPr>
        <w:t>2</w:t>
      </w:r>
      <w:r w:rsidRPr="00073574">
        <w:rPr>
          <w:sz w:val="24"/>
        </w:rPr>
        <w:tab/>
        <w:t>to provide to each TSAG meeting a report on the implementation of WTSA resolutions and actions to be undertaken pursuant to their operative paragraphs;</w:t>
      </w:r>
    </w:p>
    <w:p w14:paraId="28A0477E" w14:textId="77777777" w:rsidR="00F0236A" w:rsidRPr="00073574" w:rsidRDefault="00F0236A" w:rsidP="00F0236A">
      <w:pPr>
        <w:rPr>
          <w:sz w:val="24"/>
        </w:rPr>
      </w:pPr>
      <w:r w:rsidRPr="00073574">
        <w:rPr>
          <w:sz w:val="24"/>
        </w:rPr>
        <w:t>3</w:t>
      </w:r>
      <w:r w:rsidRPr="00073574">
        <w:rPr>
          <w:sz w:val="24"/>
        </w:rPr>
        <w:tab/>
        <w:t>to provide information about any work item that has not given rise to any contribution in the time interval of the previous two study group meetings through his or her report about study group activity;</w:t>
      </w:r>
    </w:p>
    <w:p w14:paraId="27E3632C" w14:textId="77777777" w:rsidR="00F0236A" w:rsidRPr="00073574" w:rsidRDefault="00F0236A" w:rsidP="00F0236A">
      <w:pPr>
        <w:spacing w:after="240"/>
        <w:rPr>
          <w:sz w:val="24"/>
        </w:rPr>
      </w:pPr>
      <w:r w:rsidRPr="00073574">
        <w:rPr>
          <w:iCs/>
          <w:sz w:val="24"/>
        </w:rPr>
        <w:t>4</w:t>
      </w:r>
      <w:r w:rsidRPr="00073574">
        <w:rPr>
          <w:iCs/>
          <w:sz w:val="24"/>
        </w:rPr>
        <w:tab/>
      </w:r>
      <w:r w:rsidRPr="00073574">
        <w:rPr>
          <w:sz w:val="24"/>
        </w:rPr>
        <w:t>to report to TSAG on the experience in the implementation of the A-series Recommendations for consideration by the ITU</w:t>
      </w:r>
      <w:r w:rsidRPr="00073574">
        <w:rPr>
          <w:sz w:val="24"/>
        </w:rPr>
        <w:noBreakHyphen/>
        <w:t>T membership.</w:t>
      </w:r>
    </w:p>
    <w:tbl>
      <w:tblPr>
        <w:tblW w:w="98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12"/>
        <w:gridCol w:w="4503"/>
        <w:gridCol w:w="1916"/>
        <w:gridCol w:w="1165"/>
        <w:gridCol w:w="1336"/>
      </w:tblGrid>
      <w:tr w:rsidR="00F0236A" w:rsidRPr="00073574" w14:paraId="10A4B486" w14:textId="77777777" w:rsidTr="006F08BE">
        <w:trPr>
          <w:tblHeader/>
          <w:jc w:val="center"/>
        </w:trPr>
        <w:tc>
          <w:tcPr>
            <w:tcW w:w="912" w:type="dxa"/>
            <w:tcBorders>
              <w:top w:val="single" w:sz="12" w:space="0" w:color="auto"/>
              <w:bottom w:val="single" w:sz="12" w:space="0" w:color="auto"/>
            </w:tcBorders>
            <w:shd w:val="clear" w:color="auto" w:fill="auto"/>
            <w:vAlign w:val="center"/>
          </w:tcPr>
          <w:p w14:paraId="596063E0" w14:textId="77777777" w:rsidR="00F0236A" w:rsidRPr="00073574" w:rsidRDefault="00F0236A" w:rsidP="00B46D89">
            <w:pPr>
              <w:pStyle w:val="Tablehead"/>
              <w:keepNext w:val="0"/>
              <w:rPr>
                <w:sz w:val="24"/>
                <w:szCs w:val="24"/>
              </w:rPr>
            </w:pPr>
            <w:bookmarkStart w:id="57" w:name="_Hlk84512531"/>
            <w:r w:rsidRPr="00073574">
              <w:rPr>
                <w:sz w:val="24"/>
                <w:szCs w:val="24"/>
              </w:rPr>
              <w:t>Action Item</w:t>
            </w:r>
          </w:p>
        </w:tc>
        <w:tc>
          <w:tcPr>
            <w:tcW w:w="4503" w:type="dxa"/>
            <w:tcBorders>
              <w:top w:val="single" w:sz="12" w:space="0" w:color="auto"/>
              <w:bottom w:val="single" w:sz="12" w:space="0" w:color="auto"/>
            </w:tcBorders>
            <w:shd w:val="clear" w:color="auto" w:fill="auto"/>
            <w:vAlign w:val="center"/>
            <w:hideMark/>
          </w:tcPr>
          <w:p w14:paraId="61E480DC" w14:textId="77777777" w:rsidR="00F0236A" w:rsidRPr="00073574" w:rsidRDefault="00F0236A" w:rsidP="00DF36E1">
            <w:pPr>
              <w:pStyle w:val="Tablehead"/>
              <w:rPr>
                <w:sz w:val="24"/>
                <w:szCs w:val="24"/>
              </w:rPr>
            </w:pPr>
            <w:r w:rsidRPr="00073574">
              <w:rPr>
                <w:sz w:val="24"/>
                <w:szCs w:val="24"/>
              </w:rPr>
              <w:t>Action</w:t>
            </w:r>
          </w:p>
        </w:tc>
        <w:tc>
          <w:tcPr>
            <w:tcW w:w="1916" w:type="dxa"/>
            <w:tcBorders>
              <w:top w:val="single" w:sz="12" w:space="0" w:color="auto"/>
              <w:bottom w:val="single" w:sz="12" w:space="0" w:color="auto"/>
            </w:tcBorders>
            <w:shd w:val="clear" w:color="auto" w:fill="auto"/>
            <w:vAlign w:val="center"/>
            <w:hideMark/>
          </w:tcPr>
          <w:p w14:paraId="163054C3" w14:textId="77777777" w:rsidR="00F0236A" w:rsidRPr="00073574" w:rsidRDefault="00F0236A" w:rsidP="00DF36E1">
            <w:pPr>
              <w:pStyle w:val="Tablehead"/>
              <w:rPr>
                <w:sz w:val="24"/>
                <w:szCs w:val="24"/>
              </w:rPr>
            </w:pPr>
            <w:r w:rsidRPr="00073574">
              <w:rPr>
                <w:sz w:val="24"/>
                <w:szCs w:val="24"/>
              </w:rPr>
              <w:t>Milestone</w:t>
            </w:r>
          </w:p>
        </w:tc>
        <w:tc>
          <w:tcPr>
            <w:tcW w:w="1165" w:type="dxa"/>
            <w:tcBorders>
              <w:top w:val="single" w:sz="12" w:space="0" w:color="auto"/>
              <w:bottom w:val="single" w:sz="12" w:space="0" w:color="auto"/>
            </w:tcBorders>
            <w:shd w:val="clear" w:color="auto" w:fill="auto"/>
          </w:tcPr>
          <w:p w14:paraId="57307256" w14:textId="77777777" w:rsidR="00F0236A" w:rsidRPr="00073574" w:rsidRDefault="00F0236A" w:rsidP="00DF36E1">
            <w:pPr>
              <w:pStyle w:val="Tablehead"/>
              <w:rPr>
                <w:sz w:val="24"/>
                <w:szCs w:val="24"/>
              </w:rPr>
            </w:pPr>
            <w:r w:rsidRPr="00073574">
              <w:rPr>
                <w:sz w:val="24"/>
                <w:szCs w:val="24"/>
              </w:rPr>
              <w:t>Periodic goals met</w:t>
            </w:r>
          </w:p>
        </w:tc>
        <w:tc>
          <w:tcPr>
            <w:tcW w:w="1336" w:type="dxa"/>
            <w:tcBorders>
              <w:top w:val="single" w:sz="12" w:space="0" w:color="auto"/>
              <w:bottom w:val="single" w:sz="12" w:space="0" w:color="auto"/>
            </w:tcBorders>
            <w:shd w:val="clear" w:color="auto" w:fill="auto"/>
            <w:vAlign w:val="center"/>
          </w:tcPr>
          <w:p w14:paraId="789F419A" w14:textId="77777777" w:rsidR="00F0236A" w:rsidRPr="00073574" w:rsidRDefault="00F0236A" w:rsidP="00DF36E1">
            <w:pPr>
              <w:pStyle w:val="Tablehead"/>
              <w:rPr>
                <w:sz w:val="24"/>
                <w:szCs w:val="24"/>
              </w:rPr>
            </w:pPr>
            <w:r w:rsidRPr="00073574">
              <w:rPr>
                <w:sz w:val="24"/>
                <w:szCs w:val="24"/>
              </w:rPr>
              <w:t>Completed</w:t>
            </w:r>
          </w:p>
        </w:tc>
      </w:tr>
      <w:bookmarkEnd w:id="57"/>
      <w:tr w:rsidR="00F0236A" w:rsidRPr="00073574" w14:paraId="0F3AFBFC" w14:textId="77777777" w:rsidTr="006F08BE">
        <w:trPr>
          <w:cantSplit/>
          <w:jc w:val="center"/>
        </w:trPr>
        <w:tc>
          <w:tcPr>
            <w:tcW w:w="912" w:type="dxa"/>
            <w:vMerge w:val="restart"/>
            <w:tcBorders>
              <w:top w:val="single" w:sz="12" w:space="0" w:color="auto"/>
            </w:tcBorders>
            <w:shd w:val="clear" w:color="auto" w:fill="auto"/>
          </w:tcPr>
          <w:p w14:paraId="19AE2AA9" w14:textId="77777777" w:rsidR="00F0236A" w:rsidRPr="00073574" w:rsidRDefault="00F0236A" w:rsidP="00586F97">
            <w:pPr>
              <w:pStyle w:val="Tabletext"/>
              <w:keepNext/>
              <w:keepLines/>
              <w:rPr>
                <w:b/>
                <w:bCs/>
                <w:sz w:val="24"/>
                <w:szCs w:val="24"/>
              </w:rPr>
            </w:pPr>
            <w:r w:rsidRPr="00073574">
              <w:rPr>
                <w:b/>
                <w:bCs/>
                <w:sz w:val="24"/>
                <w:szCs w:val="24"/>
              </w:rPr>
              <w:t>22-01</w:t>
            </w:r>
          </w:p>
        </w:tc>
        <w:tc>
          <w:tcPr>
            <w:tcW w:w="4503" w:type="dxa"/>
            <w:tcBorders>
              <w:top w:val="single" w:sz="12" w:space="0" w:color="auto"/>
              <w:bottom w:val="single" w:sz="4" w:space="0" w:color="auto"/>
            </w:tcBorders>
            <w:shd w:val="clear" w:color="auto" w:fill="auto"/>
            <w:hideMark/>
          </w:tcPr>
          <w:p w14:paraId="49A74ECA" w14:textId="77777777" w:rsidR="00F0236A" w:rsidRPr="00073574" w:rsidRDefault="00F0236A" w:rsidP="00DF36E1">
            <w:pPr>
              <w:pStyle w:val="Tabletext"/>
              <w:rPr>
                <w:b/>
                <w:bCs/>
                <w:sz w:val="24"/>
                <w:szCs w:val="24"/>
              </w:rPr>
            </w:pPr>
            <w:r w:rsidRPr="00073574">
              <w:rPr>
                <w:b/>
                <w:bCs/>
                <w:sz w:val="24"/>
                <w:szCs w:val="24"/>
              </w:rPr>
              <w:t>TSAG to consider results of WTSA concerning GSS, for appropriate action (resolves 8)</w:t>
            </w:r>
          </w:p>
        </w:tc>
        <w:tc>
          <w:tcPr>
            <w:tcW w:w="1916" w:type="dxa"/>
            <w:tcBorders>
              <w:top w:val="single" w:sz="12" w:space="0" w:color="auto"/>
              <w:bottom w:val="single" w:sz="4" w:space="0" w:color="auto"/>
            </w:tcBorders>
            <w:shd w:val="clear" w:color="auto" w:fill="auto"/>
            <w:vAlign w:val="center"/>
          </w:tcPr>
          <w:p w14:paraId="32867A78" w14:textId="77777777" w:rsidR="00F0236A" w:rsidRPr="00073574" w:rsidRDefault="00F0236A" w:rsidP="00DF36E1">
            <w:pPr>
              <w:pStyle w:val="Tabletext"/>
              <w:jc w:val="center"/>
              <w:rPr>
                <w:b/>
                <w:bCs/>
                <w:sz w:val="24"/>
                <w:szCs w:val="24"/>
              </w:rPr>
            </w:pPr>
            <w:r w:rsidRPr="00073574">
              <w:rPr>
                <w:b/>
                <w:bCs/>
                <w:sz w:val="24"/>
                <w:szCs w:val="24"/>
              </w:rPr>
              <w:t>TSAG 2017</w:t>
            </w:r>
          </w:p>
        </w:tc>
        <w:tc>
          <w:tcPr>
            <w:tcW w:w="1165" w:type="dxa"/>
            <w:tcBorders>
              <w:top w:val="single" w:sz="12" w:space="0" w:color="auto"/>
              <w:bottom w:val="single" w:sz="4" w:space="0" w:color="auto"/>
            </w:tcBorders>
            <w:shd w:val="clear" w:color="auto" w:fill="auto"/>
            <w:vAlign w:val="center"/>
          </w:tcPr>
          <w:p w14:paraId="6C151453"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bottom w:val="single" w:sz="4" w:space="0" w:color="auto"/>
            </w:tcBorders>
            <w:shd w:val="clear" w:color="auto" w:fill="auto"/>
            <w:vAlign w:val="center"/>
          </w:tcPr>
          <w:p w14:paraId="7FB99FF8" w14:textId="77777777" w:rsidR="00F0236A" w:rsidRPr="00073574" w:rsidRDefault="00F0236A" w:rsidP="00DF36E1">
            <w:pPr>
              <w:pStyle w:val="Tabletext"/>
              <w:jc w:val="center"/>
              <w:rPr>
                <w:b/>
                <w:bCs/>
                <w:sz w:val="24"/>
                <w:szCs w:val="24"/>
              </w:rPr>
            </w:pPr>
          </w:p>
        </w:tc>
      </w:tr>
      <w:tr w:rsidR="00F0236A" w:rsidRPr="00073574" w14:paraId="460F0FB8" w14:textId="77777777" w:rsidTr="006F08BE">
        <w:trPr>
          <w:cantSplit/>
          <w:jc w:val="center"/>
        </w:trPr>
        <w:tc>
          <w:tcPr>
            <w:tcW w:w="912" w:type="dxa"/>
            <w:vMerge/>
            <w:tcBorders>
              <w:bottom w:val="single" w:sz="12" w:space="0" w:color="auto"/>
            </w:tcBorders>
            <w:shd w:val="clear" w:color="auto" w:fill="auto"/>
          </w:tcPr>
          <w:p w14:paraId="64E1B502" w14:textId="77777777" w:rsidR="00F0236A" w:rsidRPr="00073574" w:rsidRDefault="00F0236A" w:rsidP="00DF36E1">
            <w:pPr>
              <w:pStyle w:val="Tabletext"/>
              <w:rPr>
                <w:sz w:val="24"/>
                <w:szCs w:val="24"/>
              </w:rPr>
            </w:pPr>
          </w:p>
        </w:tc>
        <w:tc>
          <w:tcPr>
            <w:tcW w:w="8920" w:type="dxa"/>
            <w:gridSpan w:val="4"/>
            <w:tcBorders>
              <w:top w:val="single" w:sz="4" w:space="0" w:color="auto"/>
            </w:tcBorders>
            <w:shd w:val="clear" w:color="auto" w:fill="auto"/>
          </w:tcPr>
          <w:p w14:paraId="41E9EBFD" w14:textId="1C74DCA2" w:rsidR="00F0236A" w:rsidRPr="00073574" w:rsidDel="00EC33B6" w:rsidRDefault="00F0236A" w:rsidP="00DF36E1">
            <w:pPr>
              <w:pStyle w:val="Tabletext"/>
              <w:rPr>
                <w:szCs w:val="22"/>
              </w:rPr>
            </w:pPr>
            <w:r w:rsidRPr="00073574">
              <w:rPr>
                <w:szCs w:val="22"/>
              </w:rPr>
              <w:t>The May 2017 TSAG meeting was provided with the outcome of GSS (</w:t>
            </w:r>
            <w:hyperlink r:id="rId174" w:history="1">
              <w:r w:rsidR="00BA0B92" w:rsidRPr="00073574">
                <w:rPr>
                  <w:rStyle w:val="Hyperlink"/>
                  <w:szCs w:val="22"/>
                </w:rPr>
                <w:t>TSAG-</w:t>
              </w:r>
              <w:r w:rsidR="00112C75" w:rsidRPr="00073574">
                <w:rPr>
                  <w:rStyle w:val="Hyperlink"/>
                  <w:szCs w:val="22"/>
                </w:rPr>
                <w:t>TD</w:t>
              </w:r>
              <w:r w:rsidRPr="00073574">
                <w:rPr>
                  <w:rStyle w:val="Hyperlink"/>
                  <w:szCs w:val="22"/>
                </w:rPr>
                <w:t>58</w:t>
              </w:r>
              <w:r w:rsidR="00EB707D" w:rsidRPr="00073574">
                <w:rPr>
                  <w:rStyle w:val="Hyperlink"/>
                  <w:szCs w:val="22"/>
                </w:rPr>
                <w:t>-</w:t>
              </w:r>
              <w:r w:rsidRPr="00073574">
                <w:rPr>
                  <w:rStyle w:val="Hyperlink"/>
                  <w:szCs w:val="22"/>
                </w:rPr>
                <w:t>R1</w:t>
              </w:r>
            </w:hyperlink>
            <w:r w:rsidRPr="00073574">
              <w:rPr>
                <w:szCs w:val="22"/>
              </w:rPr>
              <w:t>).</w:t>
            </w:r>
          </w:p>
        </w:tc>
      </w:tr>
      <w:tr w:rsidR="00F0236A" w:rsidRPr="00073574" w14:paraId="3EB2C5C4" w14:textId="77777777" w:rsidTr="006F08BE">
        <w:trPr>
          <w:cantSplit/>
          <w:jc w:val="center"/>
        </w:trPr>
        <w:tc>
          <w:tcPr>
            <w:tcW w:w="912" w:type="dxa"/>
            <w:vMerge w:val="restart"/>
            <w:tcBorders>
              <w:top w:val="single" w:sz="12" w:space="0" w:color="auto"/>
            </w:tcBorders>
            <w:shd w:val="clear" w:color="auto" w:fill="auto"/>
          </w:tcPr>
          <w:p w14:paraId="4ADAD245" w14:textId="77777777" w:rsidR="00F0236A" w:rsidRPr="00073574" w:rsidRDefault="00F0236A" w:rsidP="00DF36E1">
            <w:pPr>
              <w:pStyle w:val="Tabletext"/>
              <w:rPr>
                <w:b/>
                <w:bCs/>
                <w:sz w:val="24"/>
                <w:szCs w:val="24"/>
              </w:rPr>
            </w:pPr>
            <w:r w:rsidRPr="00073574">
              <w:rPr>
                <w:b/>
                <w:bCs/>
                <w:sz w:val="24"/>
                <w:szCs w:val="24"/>
              </w:rPr>
              <w:t>22-02</w:t>
            </w:r>
          </w:p>
        </w:tc>
        <w:tc>
          <w:tcPr>
            <w:tcW w:w="4503" w:type="dxa"/>
            <w:tcBorders>
              <w:top w:val="single" w:sz="12" w:space="0" w:color="auto"/>
            </w:tcBorders>
            <w:shd w:val="clear" w:color="auto" w:fill="auto"/>
            <w:hideMark/>
          </w:tcPr>
          <w:p w14:paraId="47C18565" w14:textId="77777777" w:rsidR="00F0236A" w:rsidRPr="00073574" w:rsidRDefault="00F0236A" w:rsidP="00DF36E1">
            <w:pPr>
              <w:pStyle w:val="Tabletext"/>
              <w:rPr>
                <w:b/>
                <w:bCs/>
                <w:sz w:val="24"/>
                <w:szCs w:val="24"/>
              </w:rPr>
            </w:pPr>
            <w:r w:rsidRPr="00073574">
              <w:rPr>
                <w:b/>
                <w:bCs/>
                <w:sz w:val="24"/>
                <w:szCs w:val="24"/>
              </w:rPr>
              <w:t>TSAG to establish an appropriate mechanism to examine and coordinate work on emerging technologies (resolves 5)</w:t>
            </w:r>
          </w:p>
        </w:tc>
        <w:tc>
          <w:tcPr>
            <w:tcW w:w="1916" w:type="dxa"/>
            <w:tcBorders>
              <w:top w:val="single" w:sz="12" w:space="0" w:color="auto"/>
            </w:tcBorders>
            <w:shd w:val="clear" w:color="auto" w:fill="auto"/>
            <w:vAlign w:val="center"/>
          </w:tcPr>
          <w:p w14:paraId="662755D8" w14:textId="2B17E006" w:rsidR="00F0236A" w:rsidRPr="00073574" w:rsidRDefault="00F0236A" w:rsidP="00E671F8">
            <w:pPr>
              <w:pStyle w:val="Tabletext"/>
              <w:jc w:val="center"/>
              <w:rPr>
                <w:b/>
                <w:bCs/>
                <w:sz w:val="24"/>
                <w:szCs w:val="24"/>
              </w:rPr>
            </w:pPr>
            <w:r w:rsidRPr="00073574">
              <w:rPr>
                <w:b/>
                <w:bCs/>
                <w:sz w:val="24"/>
                <w:szCs w:val="24"/>
              </w:rPr>
              <w:t>TSAG 2017</w:t>
            </w:r>
          </w:p>
        </w:tc>
        <w:tc>
          <w:tcPr>
            <w:tcW w:w="1165" w:type="dxa"/>
            <w:tcBorders>
              <w:top w:val="single" w:sz="12" w:space="0" w:color="auto"/>
            </w:tcBorders>
            <w:shd w:val="clear" w:color="auto" w:fill="auto"/>
            <w:vAlign w:val="center"/>
          </w:tcPr>
          <w:p w14:paraId="0E153DBA" w14:textId="6305FF91" w:rsidR="00F0236A" w:rsidRPr="00073574" w:rsidRDefault="00C11AF1"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5FEDBE84" w14:textId="77777777" w:rsidR="00F0236A" w:rsidRPr="00073574" w:rsidRDefault="00F0236A" w:rsidP="00DF36E1">
            <w:pPr>
              <w:pStyle w:val="Tabletext"/>
              <w:jc w:val="center"/>
              <w:rPr>
                <w:b/>
                <w:bCs/>
                <w:sz w:val="24"/>
                <w:szCs w:val="24"/>
              </w:rPr>
            </w:pPr>
            <w:r w:rsidRPr="00073574">
              <w:rPr>
                <w:b/>
                <w:bCs/>
                <w:sz w:val="24"/>
                <w:szCs w:val="24"/>
              </w:rPr>
              <w:t>√</w:t>
            </w:r>
          </w:p>
        </w:tc>
      </w:tr>
      <w:tr w:rsidR="00F0236A" w:rsidRPr="00073574" w14:paraId="1A4F6BC0" w14:textId="77777777" w:rsidTr="006F08BE">
        <w:trPr>
          <w:cantSplit/>
          <w:jc w:val="center"/>
        </w:trPr>
        <w:tc>
          <w:tcPr>
            <w:tcW w:w="912" w:type="dxa"/>
            <w:vMerge/>
            <w:tcBorders>
              <w:bottom w:val="single" w:sz="12" w:space="0" w:color="auto"/>
            </w:tcBorders>
            <w:shd w:val="clear" w:color="auto" w:fill="auto"/>
          </w:tcPr>
          <w:p w14:paraId="6B59B4AF" w14:textId="77777777" w:rsidR="00F0236A" w:rsidRPr="00073574" w:rsidRDefault="00F0236A" w:rsidP="00DF36E1">
            <w:pPr>
              <w:pStyle w:val="Tabletext"/>
              <w:rPr>
                <w:sz w:val="24"/>
                <w:szCs w:val="24"/>
              </w:rPr>
            </w:pPr>
          </w:p>
        </w:tc>
        <w:tc>
          <w:tcPr>
            <w:tcW w:w="8920" w:type="dxa"/>
            <w:gridSpan w:val="4"/>
            <w:shd w:val="clear" w:color="auto" w:fill="auto"/>
          </w:tcPr>
          <w:p w14:paraId="5DCF4055" w14:textId="77777777" w:rsidR="00F0236A" w:rsidRPr="00073574" w:rsidRDefault="00F0236A" w:rsidP="00DF36E1">
            <w:pPr>
              <w:pStyle w:val="Tabletext"/>
              <w:rPr>
                <w:szCs w:val="22"/>
              </w:rPr>
            </w:pPr>
            <w:r w:rsidRPr="00073574">
              <w:rPr>
                <w:szCs w:val="22"/>
              </w:rPr>
              <w:t>The May 2017 TSAG meeting established a new TSAG Rapporteur Group on Standardization Strategy which considers the rapid technological and market developments, and which is tasked to developed standardisation strategies for the Sector by identifying the main technological trends, and market, economic and policy needs in the ITU-T</w:t>
            </w:r>
            <w:r w:rsidR="003C7E25" w:rsidRPr="00073574">
              <w:rPr>
                <w:szCs w:val="22"/>
              </w:rPr>
              <w:t>'</w:t>
            </w:r>
            <w:r w:rsidRPr="00073574">
              <w:rPr>
                <w:szCs w:val="22"/>
              </w:rPr>
              <w:t>s fields of activity.</w:t>
            </w:r>
          </w:p>
          <w:p w14:paraId="6B759E86" w14:textId="482C8324" w:rsidR="00FA47BD" w:rsidRPr="00073574" w:rsidDel="00EC33B6" w:rsidRDefault="00FA47BD" w:rsidP="00E671F8">
            <w:pPr>
              <w:pStyle w:val="Tabletext"/>
              <w:rPr>
                <w:szCs w:val="22"/>
              </w:rPr>
            </w:pPr>
            <w:r w:rsidRPr="00073574">
              <w:rPr>
                <w:szCs w:val="22"/>
              </w:rPr>
              <w:t>TSAG liaised with the ITU-T study groups on current and emerging hot topics (</w:t>
            </w:r>
            <w:hyperlink r:id="rId175" w:history="1">
              <w:r w:rsidRPr="00073574">
                <w:rPr>
                  <w:rStyle w:val="Hyperlink"/>
                  <w:szCs w:val="22"/>
                </w:rPr>
                <w:t>TSAG OLS10</w:t>
              </w:r>
            </w:hyperlink>
            <w:r w:rsidRPr="00073574">
              <w:rPr>
                <w:szCs w:val="22"/>
              </w:rPr>
              <w:t xml:space="preserve">, </w:t>
            </w:r>
            <w:hyperlink r:id="rId176" w:history="1">
              <w:r w:rsidRPr="00073574">
                <w:rPr>
                  <w:rStyle w:val="Hyperlink"/>
                  <w:szCs w:val="22"/>
                </w:rPr>
                <w:t>TSAG OLS16</w:t>
              </w:r>
            </w:hyperlink>
            <w:r w:rsidR="004F2EEE" w:rsidRPr="00073574">
              <w:rPr>
                <w:rStyle w:val="Hyperlink"/>
                <w:szCs w:val="22"/>
              </w:rPr>
              <w:t xml:space="preserve">, </w:t>
            </w:r>
            <w:hyperlink r:id="rId177" w:history="1">
              <w:r w:rsidR="005E715E" w:rsidRPr="00073574">
                <w:rPr>
                  <w:rStyle w:val="Hyperlink"/>
                </w:rPr>
                <w:t>TSAG-OLS32</w:t>
              </w:r>
            </w:hyperlink>
            <w:r w:rsidRPr="00073574">
              <w:rPr>
                <w:szCs w:val="22"/>
              </w:rPr>
              <w:t>).</w:t>
            </w:r>
            <w:r w:rsidR="00E671F8" w:rsidRPr="00073574">
              <w:rPr>
                <w:szCs w:val="22"/>
              </w:rPr>
              <w:t xml:space="preserve"> TSAG liaised with the ITU-T study groups</w:t>
            </w:r>
            <w:r w:rsidR="00E671F8" w:rsidRPr="00073574">
              <w:t xml:space="preserve">, IETF, IAB on “new IP” </w:t>
            </w:r>
            <w:r w:rsidR="00E671F8" w:rsidRPr="00073574">
              <w:rPr>
                <w:rStyle w:val="Hyperlink"/>
                <w:szCs w:val="22"/>
              </w:rPr>
              <w:t>(</w:t>
            </w:r>
            <w:hyperlink r:id="rId178" w:history="1">
              <w:r w:rsidR="00E671F8" w:rsidRPr="00073574">
                <w:rPr>
                  <w:rStyle w:val="Hyperlink"/>
                  <w:szCs w:val="22"/>
                </w:rPr>
                <w:t>TSAG-OLS23</w:t>
              </w:r>
            </w:hyperlink>
            <w:r w:rsidR="00E36FD4" w:rsidRPr="00073574">
              <w:rPr>
                <w:rStyle w:val="Hyperlink"/>
                <w:szCs w:val="22"/>
              </w:rPr>
              <w:t xml:space="preserve">, </w:t>
            </w:r>
            <w:hyperlink r:id="rId179" w:history="1">
              <w:r w:rsidR="00E36FD4" w:rsidRPr="00073574">
                <w:rPr>
                  <w:rStyle w:val="Hyperlink"/>
                  <w:szCs w:val="22"/>
                </w:rPr>
                <w:t>TSAG-OLS36</w:t>
              </w:r>
            </w:hyperlink>
            <w:r w:rsidR="00E671F8" w:rsidRPr="00073574">
              <w:rPr>
                <w:rStyle w:val="Hyperlink"/>
                <w:szCs w:val="22"/>
              </w:rPr>
              <w:t>).</w:t>
            </w:r>
          </w:p>
        </w:tc>
      </w:tr>
      <w:tr w:rsidR="00F0236A" w:rsidRPr="00073574" w14:paraId="6ADE4C05" w14:textId="77777777" w:rsidTr="006F08BE">
        <w:trPr>
          <w:cantSplit/>
          <w:jc w:val="center"/>
        </w:trPr>
        <w:tc>
          <w:tcPr>
            <w:tcW w:w="912" w:type="dxa"/>
            <w:vMerge w:val="restart"/>
            <w:tcBorders>
              <w:top w:val="single" w:sz="12" w:space="0" w:color="auto"/>
            </w:tcBorders>
            <w:shd w:val="clear" w:color="auto" w:fill="auto"/>
          </w:tcPr>
          <w:p w14:paraId="73E55BF8" w14:textId="77777777" w:rsidR="00F0236A" w:rsidRPr="00073574" w:rsidRDefault="00F0236A" w:rsidP="00DF36E1">
            <w:pPr>
              <w:pStyle w:val="Tabletext"/>
              <w:keepNext/>
              <w:keepLines/>
              <w:rPr>
                <w:b/>
                <w:bCs/>
                <w:sz w:val="24"/>
                <w:szCs w:val="24"/>
              </w:rPr>
            </w:pPr>
            <w:r w:rsidRPr="00073574">
              <w:rPr>
                <w:b/>
                <w:bCs/>
                <w:sz w:val="24"/>
                <w:szCs w:val="24"/>
              </w:rPr>
              <w:t>22-03</w:t>
            </w:r>
          </w:p>
        </w:tc>
        <w:tc>
          <w:tcPr>
            <w:tcW w:w="4503" w:type="dxa"/>
            <w:tcBorders>
              <w:top w:val="single" w:sz="12" w:space="0" w:color="auto"/>
            </w:tcBorders>
            <w:shd w:val="clear" w:color="auto" w:fill="auto"/>
            <w:hideMark/>
          </w:tcPr>
          <w:p w14:paraId="41063447" w14:textId="77777777" w:rsidR="00F0236A" w:rsidRPr="00073574" w:rsidRDefault="00F0236A" w:rsidP="00DF36E1">
            <w:pPr>
              <w:pStyle w:val="Tabletext"/>
              <w:keepNext/>
              <w:keepLines/>
              <w:rPr>
                <w:b/>
                <w:bCs/>
                <w:sz w:val="24"/>
                <w:szCs w:val="24"/>
              </w:rPr>
            </w:pPr>
            <w:r w:rsidRPr="00073574">
              <w:rPr>
                <w:b/>
                <w:bCs/>
                <w:sz w:val="24"/>
                <w:szCs w:val="24"/>
              </w:rPr>
              <w:t>TSAG report on its activities to WTSA-20 (resolves 9)</w:t>
            </w:r>
          </w:p>
        </w:tc>
        <w:tc>
          <w:tcPr>
            <w:tcW w:w="1916" w:type="dxa"/>
            <w:tcBorders>
              <w:top w:val="single" w:sz="12" w:space="0" w:color="auto"/>
            </w:tcBorders>
            <w:shd w:val="clear" w:color="auto" w:fill="auto"/>
            <w:vAlign w:val="center"/>
            <w:hideMark/>
          </w:tcPr>
          <w:p w14:paraId="6C000693" w14:textId="77777777" w:rsidR="00F0236A" w:rsidRPr="00073574" w:rsidRDefault="00F0236A" w:rsidP="00DF36E1">
            <w:pPr>
              <w:pStyle w:val="Tabletext"/>
              <w:jc w:val="center"/>
              <w:rPr>
                <w:b/>
                <w:bCs/>
                <w:sz w:val="24"/>
                <w:szCs w:val="24"/>
              </w:rPr>
            </w:pPr>
            <w:r w:rsidRPr="00073574">
              <w:rPr>
                <w:b/>
                <w:bCs/>
                <w:sz w:val="24"/>
                <w:szCs w:val="24"/>
              </w:rPr>
              <w:t>Last TSAG before WTSA-20</w:t>
            </w:r>
          </w:p>
          <w:p w14:paraId="261052F3" w14:textId="2949CAC9" w:rsidR="00E50623" w:rsidRPr="00073574" w:rsidRDefault="00E50623" w:rsidP="00DF36E1">
            <w:pPr>
              <w:pStyle w:val="Tabletext"/>
              <w:jc w:val="center"/>
              <w:rPr>
                <w:b/>
                <w:bCs/>
                <w:sz w:val="24"/>
                <w:szCs w:val="24"/>
              </w:rPr>
            </w:pPr>
            <w:r w:rsidRPr="00073574">
              <w:rPr>
                <w:b/>
                <w:bCs/>
                <w:sz w:val="24"/>
                <w:szCs w:val="24"/>
              </w:rPr>
              <w:t>WTSA-20</w:t>
            </w:r>
          </w:p>
        </w:tc>
        <w:tc>
          <w:tcPr>
            <w:tcW w:w="1165" w:type="dxa"/>
            <w:tcBorders>
              <w:top w:val="single" w:sz="12" w:space="0" w:color="auto"/>
            </w:tcBorders>
            <w:shd w:val="clear" w:color="auto" w:fill="auto"/>
            <w:vAlign w:val="center"/>
          </w:tcPr>
          <w:p w14:paraId="5B4AEEDF" w14:textId="60C9E4D2" w:rsidR="00F0236A" w:rsidRPr="00073574" w:rsidRDefault="00FA7BEA"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64BABC7F" w14:textId="2BE73E0D" w:rsidR="00F0236A" w:rsidRPr="00073574" w:rsidRDefault="008614CF" w:rsidP="00DF36E1">
            <w:pPr>
              <w:pStyle w:val="Tabletext"/>
              <w:jc w:val="center"/>
              <w:rPr>
                <w:b/>
                <w:bCs/>
                <w:sz w:val="24"/>
                <w:szCs w:val="24"/>
              </w:rPr>
            </w:pPr>
            <w:r w:rsidRPr="00073574">
              <w:rPr>
                <w:b/>
                <w:bCs/>
                <w:sz w:val="24"/>
                <w:szCs w:val="24"/>
              </w:rPr>
              <w:t>√</w:t>
            </w:r>
          </w:p>
        </w:tc>
      </w:tr>
      <w:tr w:rsidR="00F0236A" w:rsidRPr="00073574" w14:paraId="4809F2BD" w14:textId="77777777" w:rsidTr="006F08BE">
        <w:trPr>
          <w:cantSplit/>
          <w:jc w:val="center"/>
        </w:trPr>
        <w:tc>
          <w:tcPr>
            <w:tcW w:w="912" w:type="dxa"/>
            <w:vMerge/>
            <w:tcBorders>
              <w:bottom w:val="single" w:sz="12" w:space="0" w:color="auto"/>
            </w:tcBorders>
            <w:shd w:val="clear" w:color="auto" w:fill="auto"/>
          </w:tcPr>
          <w:p w14:paraId="6D174DA1" w14:textId="77777777" w:rsidR="00F0236A" w:rsidRPr="00073574" w:rsidRDefault="00F0236A" w:rsidP="00DF36E1">
            <w:pPr>
              <w:pStyle w:val="Tabletext"/>
              <w:rPr>
                <w:sz w:val="24"/>
                <w:szCs w:val="24"/>
              </w:rPr>
            </w:pPr>
          </w:p>
        </w:tc>
        <w:tc>
          <w:tcPr>
            <w:tcW w:w="8920" w:type="dxa"/>
            <w:gridSpan w:val="4"/>
            <w:tcBorders>
              <w:bottom w:val="single" w:sz="12" w:space="0" w:color="auto"/>
            </w:tcBorders>
            <w:shd w:val="clear" w:color="auto" w:fill="auto"/>
          </w:tcPr>
          <w:p w14:paraId="61A41272" w14:textId="24100353" w:rsidR="005E26E0" w:rsidRDefault="00FA7BEA" w:rsidP="00DF36E1">
            <w:pPr>
              <w:pStyle w:val="Tabletext"/>
              <w:rPr>
                <w:szCs w:val="22"/>
              </w:rPr>
            </w:pPr>
            <w:r w:rsidRPr="00073574">
              <w:rPr>
                <w:szCs w:val="22"/>
              </w:rPr>
              <w:t xml:space="preserve">An initial (draft) report of TSAG to WTSA-20 was submitted to the February 2020 TSAG meeting (see </w:t>
            </w:r>
            <w:hyperlink r:id="rId180" w:history="1">
              <w:r w:rsidRPr="00073574">
                <w:rPr>
                  <w:rStyle w:val="Hyperlink"/>
                  <w:szCs w:val="22"/>
                </w:rPr>
                <w:t>TSAG-TD694</w:t>
              </w:r>
            </w:hyperlink>
            <w:r w:rsidRPr="00073574">
              <w:rPr>
                <w:szCs w:val="22"/>
              </w:rPr>
              <w:t>).</w:t>
            </w:r>
            <w:r w:rsidR="00E515C1" w:rsidRPr="00073574">
              <w:rPr>
                <w:szCs w:val="22"/>
              </w:rPr>
              <w:t xml:space="preserve"> </w:t>
            </w:r>
            <w:hyperlink r:id="rId181" w:history="1">
              <w:r w:rsidR="00CF7D1F" w:rsidRPr="00073574">
                <w:rPr>
                  <w:rStyle w:val="Hyperlink"/>
                  <w:szCs w:val="22"/>
                  <w:lang w:eastAsia="zh-CN"/>
                </w:rPr>
                <w:t>TS</w:t>
              </w:r>
              <w:r w:rsidR="00CF7D1F" w:rsidRPr="00073574">
                <w:rPr>
                  <w:rStyle w:val="Hyperlink"/>
                  <w:szCs w:val="22"/>
                </w:rPr>
                <w:t>AG-T</w:t>
              </w:r>
              <w:r w:rsidR="00CF7D1F" w:rsidRPr="00073574">
                <w:rPr>
                  <w:rStyle w:val="Hyperlink"/>
                  <w:szCs w:val="22"/>
                  <w:lang w:eastAsia="zh-CN"/>
                </w:rPr>
                <w:t>D1208</w:t>
              </w:r>
            </w:hyperlink>
            <w:r w:rsidR="005E26E0">
              <w:rPr>
                <w:rStyle w:val="Hyperlink"/>
                <w:szCs w:val="22"/>
                <w:lang w:eastAsia="zh-CN"/>
              </w:rPr>
              <w:t>-</w:t>
            </w:r>
            <w:r w:rsidR="005E26E0">
              <w:rPr>
                <w:rStyle w:val="Hyperlink"/>
              </w:rPr>
              <w:t>R3</w:t>
            </w:r>
            <w:r w:rsidR="005E26E0">
              <w:rPr>
                <w:szCs w:val="22"/>
              </w:rPr>
              <w:t xml:space="preserve"> h</w:t>
            </w:r>
            <w:r w:rsidR="005E26E0" w:rsidRPr="005E26E0">
              <w:rPr>
                <w:szCs w:val="22"/>
              </w:rPr>
              <w:t>old</w:t>
            </w:r>
            <w:r w:rsidR="005E26E0">
              <w:rPr>
                <w:szCs w:val="22"/>
              </w:rPr>
              <w:t>s</w:t>
            </w:r>
            <w:r w:rsidR="005E26E0" w:rsidRPr="005E26E0">
              <w:rPr>
                <w:szCs w:val="22"/>
              </w:rPr>
              <w:t xml:space="preserve"> the </w:t>
            </w:r>
            <w:r w:rsidR="007A175F">
              <w:rPr>
                <w:szCs w:val="22"/>
              </w:rPr>
              <w:t xml:space="preserve">agreed </w:t>
            </w:r>
            <w:r w:rsidR="005E26E0" w:rsidRPr="005E26E0">
              <w:rPr>
                <w:szCs w:val="22"/>
              </w:rPr>
              <w:t>draft TSAG report</w:t>
            </w:r>
            <w:r w:rsidR="007A175F">
              <w:rPr>
                <w:szCs w:val="22"/>
              </w:rPr>
              <w:t>s</w:t>
            </w:r>
            <w:r w:rsidR="005E26E0" w:rsidRPr="005E26E0">
              <w:rPr>
                <w:szCs w:val="22"/>
              </w:rPr>
              <w:t xml:space="preserve"> to WTSA-20</w:t>
            </w:r>
            <w:r w:rsidR="007A175F">
              <w:rPr>
                <w:szCs w:val="22"/>
              </w:rPr>
              <w:t>:</w:t>
            </w:r>
          </w:p>
          <w:p w14:paraId="0E436A86" w14:textId="7D88F3A5" w:rsidR="003905D7" w:rsidRDefault="0044172B" w:rsidP="00DF36E1">
            <w:pPr>
              <w:pStyle w:val="Tabletext"/>
              <w:rPr>
                <w:szCs w:val="22"/>
              </w:rPr>
            </w:pPr>
            <w:r w:rsidRPr="005E26E0">
              <w:rPr>
                <w:szCs w:val="22"/>
              </w:rPr>
              <w:t>S</w:t>
            </w:r>
            <w:r w:rsidR="008614CF" w:rsidRPr="005E26E0">
              <w:rPr>
                <w:szCs w:val="22"/>
              </w:rPr>
              <w:t>ee</w:t>
            </w:r>
            <w:r w:rsidRPr="005E26E0">
              <w:rPr>
                <w:szCs w:val="22"/>
              </w:rPr>
              <w:t xml:space="preserve"> </w:t>
            </w:r>
            <w:hyperlink r:id="rId182" w:history="1">
              <w:r w:rsidR="003905D7" w:rsidRPr="00073574">
                <w:rPr>
                  <w:rStyle w:val="Hyperlink"/>
                  <w:szCs w:val="22"/>
                </w:rPr>
                <w:t>WTSA-C23</w:t>
              </w:r>
            </w:hyperlink>
            <w:r w:rsidR="003905D7" w:rsidRPr="00073574">
              <w:rPr>
                <w:szCs w:val="22"/>
              </w:rPr>
              <w:t xml:space="preserve"> “Report of the Telecommunication Standardization Advisory Group to the World Telecommunication Standardization Assembly (WTSA-20), Part I: General”</w:t>
            </w:r>
            <w:r w:rsidR="008614CF" w:rsidRPr="00073574">
              <w:rPr>
                <w:szCs w:val="22"/>
              </w:rPr>
              <w:t>;</w:t>
            </w:r>
          </w:p>
          <w:p w14:paraId="63ED2FEE" w14:textId="0E5E84E6" w:rsidR="005E26E0" w:rsidRPr="005E26E0" w:rsidRDefault="005E26E0" w:rsidP="005E26E0">
            <w:pPr>
              <w:pStyle w:val="Tabletext"/>
              <w:rPr>
                <w:szCs w:val="22"/>
              </w:rPr>
            </w:pPr>
            <w:r>
              <w:rPr>
                <w:szCs w:val="22"/>
              </w:rPr>
              <w:t xml:space="preserve">See </w:t>
            </w:r>
            <w:hyperlink r:id="rId183" w:history="1">
              <w:r w:rsidRPr="005E26E0">
                <w:rPr>
                  <w:rStyle w:val="Hyperlink"/>
                  <w:szCs w:val="22"/>
                </w:rPr>
                <w:t>WTSA-C24</w:t>
              </w:r>
            </w:hyperlink>
            <w:r>
              <w:rPr>
                <w:szCs w:val="22"/>
              </w:rPr>
              <w:t xml:space="preserve"> “</w:t>
            </w:r>
            <w:r w:rsidRPr="00073574">
              <w:rPr>
                <w:szCs w:val="22"/>
              </w:rPr>
              <w:t>Report of the Telecommunication Standardization Advisory Group to the World Telecommunication Standardization Assembly (WTSA-20),</w:t>
            </w:r>
            <w:r w:rsidRPr="005E26E0">
              <w:rPr>
                <w:szCs w:val="22"/>
              </w:rPr>
              <w:t xml:space="preserve"> PART II: Draft </w:t>
            </w:r>
            <w:r>
              <w:rPr>
                <w:szCs w:val="22"/>
              </w:rPr>
              <w:t>r</w:t>
            </w:r>
            <w:r w:rsidRPr="005E26E0">
              <w:rPr>
                <w:szCs w:val="22"/>
              </w:rPr>
              <w:t>evised Resolutions</w:t>
            </w:r>
            <w:r>
              <w:rPr>
                <w:szCs w:val="22"/>
              </w:rPr>
              <w:t>”;</w:t>
            </w:r>
          </w:p>
          <w:p w14:paraId="1D54AF34" w14:textId="35784583" w:rsidR="005E26E0" w:rsidRPr="005E26E0" w:rsidRDefault="005E26E0" w:rsidP="005E26E0">
            <w:pPr>
              <w:pStyle w:val="Tabletext"/>
              <w:rPr>
                <w:szCs w:val="22"/>
              </w:rPr>
            </w:pPr>
            <w:r>
              <w:rPr>
                <w:szCs w:val="22"/>
              </w:rPr>
              <w:t xml:space="preserve">See </w:t>
            </w:r>
            <w:hyperlink r:id="rId184" w:history="1">
              <w:r w:rsidRPr="005E26E0">
                <w:rPr>
                  <w:rStyle w:val="Hyperlink"/>
                  <w:szCs w:val="22"/>
                </w:rPr>
                <w:t>WTSA-C25</w:t>
              </w:r>
            </w:hyperlink>
            <w:r>
              <w:rPr>
                <w:szCs w:val="22"/>
              </w:rPr>
              <w:t xml:space="preserve"> “</w:t>
            </w:r>
            <w:r w:rsidRPr="00073574">
              <w:rPr>
                <w:szCs w:val="22"/>
              </w:rPr>
              <w:t>Report of the Telecommunication Standardization Advisory Group to the World Telecommunication Standardization Assembly (WTSA-20),</w:t>
            </w:r>
            <w:r w:rsidRPr="005E26E0">
              <w:rPr>
                <w:szCs w:val="22"/>
              </w:rPr>
              <w:t xml:space="preserve"> PART III: draft revised </w:t>
            </w:r>
            <w:r>
              <w:rPr>
                <w:szCs w:val="22"/>
              </w:rPr>
              <w:t>R</w:t>
            </w:r>
            <w:r w:rsidRPr="005E26E0">
              <w:rPr>
                <w:szCs w:val="22"/>
              </w:rPr>
              <w:t>ecommendations of the ITU-T A-Series</w:t>
            </w:r>
            <w:r>
              <w:rPr>
                <w:szCs w:val="22"/>
              </w:rPr>
              <w:t>”;</w:t>
            </w:r>
          </w:p>
          <w:p w14:paraId="320A1665" w14:textId="19ACC7A6" w:rsidR="008614CF" w:rsidRPr="00073574" w:rsidDel="00EC33B6" w:rsidRDefault="005E26E0" w:rsidP="00DF36E1">
            <w:pPr>
              <w:pStyle w:val="Tabletext"/>
              <w:rPr>
                <w:sz w:val="24"/>
                <w:szCs w:val="24"/>
              </w:rPr>
            </w:pPr>
            <w:r>
              <w:t xml:space="preserve">See </w:t>
            </w:r>
            <w:hyperlink r:id="rId185" w:history="1">
              <w:r w:rsidR="008614CF" w:rsidRPr="00073574">
                <w:rPr>
                  <w:rStyle w:val="Hyperlink"/>
                  <w:szCs w:val="22"/>
                </w:rPr>
                <w:t>WTSA-C26</w:t>
              </w:r>
            </w:hyperlink>
            <w:r w:rsidR="008614CF" w:rsidRPr="00073574">
              <w:rPr>
                <w:szCs w:val="22"/>
              </w:rPr>
              <w:t xml:space="preserve"> “Report of the Telecommunication Standardization Advisory Group to the World Telecommunication Standardization Assembly (WTSA-20), Part IV: TSAG report in respect of Resolution 22”</w:t>
            </w:r>
            <w:r w:rsidR="0044172B" w:rsidRPr="00073574">
              <w:rPr>
                <w:szCs w:val="22"/>
              </w:rPr>
              <w:t>.</w:t>
            </w:r>
          </w:p>
        </w:tc>
      </w:tr>
      <w:tr w:rsidR="00F0236A" w:rsidRPr="00073574" w14:paraId="5894EF76" w14:textId="77777777" w:rsidTr="006F08BE">
        <w:trPr>
          <w:cantSplit/>
          <w:jc w:val="center"/>
        </w:trPr>
        <w:tc>
          <w:tcPr>
            <w:tcW w:w="912" w:type="dxa"/>
            <w:vMerge w:val="restart"/>
            <w:tcBorders>
              <w:top w:val="single" w:sz="12" w:space="0" w:color="auto"/>
            </w:tcBorders>
            <w:shd w:val="clear" w:color="auto" w:fill="auto"/>
          </w:tcPr>
          <w:p w14:paraId="40B21287" w14:textId="77777777" w:rsidR="00F0236A" w:rsidRPr="00073574" w:rsidRDefault="00F0236A" w:rsidP="00DF36E1">
            <w:pPr>
              <w:pStyle w:val="Tabletext"/>
              <w:keepNext/>
              <w:keepLines/>
              <w:rPr>
                <w:b/>
                <w:bCs/>
                <w:sz w:val="24"/>
                <w:szCs w:val="24"/>
              </w:rPr>
            </w:pPr>
            <w:r w:rsidRPr="00073574">
              <w:rPr>
                <w:b/>
                <w:bCs/>
                <w:sz w:val="24"/>
                <w:szCs w:val="24"/>
              </w:rPr>
              <w:lastRenderedPageBreak/>
              <w:t>22-04</w:t>
            </w:r>
          </w:p>
        </w:tc>
        <w:tc>
          <w:tcPr>
            <w:tcW w:w="4503" w:type="dxa"/>
            <w:tcBorders>
              <w:top w:val="single" w:sz="12" w:space="0" w:color="auto"/>
            </w:tcBorders>
            <w:shd w:val="clear" w:color="auto" w:fill="auto"/>
          </w:tcPr>
          <w:p w14:paraId="0A7DA508" w14:textId="77777777" w:rsidR="00F0236A" w:rsidRPr="00073574" w:rsidRDefault="00F0236A" w:rsidP="00DF36E1">
            <w:pPr>
              <w:pStyle w:val="Tabletext"/>
              <w:keepNext/>
              <w:keepLines/>
              <w:rPr>
                <w:b/>
                <w:bCs/>
                <w:sz w:val="24"/>
                <w:szCs w:val="24"/>
              </w:rPr>
            </w:pPr>
            <w:r w:rsidRPr="00073574">
              <w:rPr>
                <w:b/>
                <w:bCs/>
                <w:sz w:val="24"/>
                <w:szCs w:val="24"/>
              </w:rPr>
              <w:t>TSAG to examine implementation of the actions and achievement of the goals as reflected in the annual operational plans and in the WTSA</w:t>
            </w:r>
            <w:r w:rsidRPr="00073574">
              <w:rPr>
                <w:b/>
                <w:bCs/>
                <w:sz w:val="24"/>
                <w:szCs w:val="24"/>
              </w:rPr>
              <w:noBreakHyphen/>
              <w:t>16 Action Plan (resolves 2)</w:t>
            </w:r>
          </w:p>
        </w:tc>
        <w:tc>
          <w:tcPr>
            <w:tcW w:w="1916" w:type="dxa"/>
            <w:tcBorders>
              <w:top w:val="single" w:sz="12" w:space="0" w:color="auto"/>
            </w:tcBorders>
            <w:shd w:val="clear" w:color="auto" w:fill="auto"/>
            <w:vAlign w:val="center"/>
          </w:tcPr>
          <w:p w14:paraId="1130CB2C" w14:textId="7AD02BEC" w:rsidR="00F0236A" w:rsidRPr="00073574" w:rsidRDefault="00F0236A" w:rsidP="002B5576">
            <w:pPr>
              <w:pStyle w:val="Tabletext"/>
              <w:jc w:val="center"/>
              <w:rPr>
                <w:b/>
                <w:bCs/>
                <w:sz w:val="24"/>
                <w:szCs w:val="24"/>
              </w:rPr>
            </w:pPr>
            <w:r w:rsidRPr="00073574">
              <w:rPr>
                <w:b/>
                <w:bCs/>
                <w:sz w:val="24"/>
                <w:szCs w:val="24"/>
              </w:rPr>
              <w:t>TSAG 20</w:t>
            </w:r>
            <w:r w:rsidR="002B5576" w:rsidRPr="00073574">
              <w:rPr>
                <w:b/>
                <w:bCs/>
                <w:sz w:val="24"/>
                <w:szCs w:val="24"/>
              </w:rPr>
              <w:t>2</w:t>
            </w:r>
            <w:r w:rsidR="002218FD" w:rsidRPr="00073574">
              <w:rPr>
                <w:b/>
                <w:bCs/>
                <w:sz w:val="24"/>
                <w:szCs w:val="24"/>
              </w:rPr>
              <w:t>1</w:t>
            </w:r>
          </w:p>
        </w:tc>
        <w:tc>
          <w:tcPr>
            <w:tcW w:w="1165" w:type="dxa"/>
            <w:tcBorders>
              <w:top w:val="single" w:sz="12" w:space="0" w:color="auto"/>
            </w:tcBorders>
            <w:shd w:val="clear" w:color="auto" w:fill="auto"/>
            <w:vAlign w:val="center"/>
          </w:tcPr>
          <w:p w14:paraId="17EF115B"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497996A4" w14:textId="77777777" w:rsidR="00F0236A" w:rsidRPr="00073574" w:rsidDel="00EC33B6" w:rsidRDefault="00F0236A" w:rsidP="00DF36E1">
            <w:pPr>
              <w:pStyle w:val="Tabletext"/>
              <w:jc w:val="center"/>
              <w:rPr>
                <w:b/>
                <w:bCs/>
                <w:sz w:val="24"/>
                <w:szCs w:val="24"/>
              </w:rPr>
            </w:pPr>
          </w:p>
        </w:tc>
      </w:tr>
      <w:tr w:rsidR="00F0236A" w:rsidRPr="00073574" w14:paraId="284B57A4" w14:textId="77777777" w:rsidTr="006F08BE">
        <w:trPr>
          <w:cantSplit/>
          <w:jc w:val="center"/>
        </w:trPr>
        <w:tc>
          <w:tcPr>
            <w:tcW w:w="912" w:type="dxa"/>
            <w:vMerge/>
            <w:tcBorders>
              <w:bottom w:val="single" w:sz="12" w:space="0" w:color="auto"/>
            </w:tcBorders>
            <w:shd w:val="clear" w:color="auto" w:fill="auto"/>
          </w:tcPr>
          <w:p w14:paraId="64B3728F" w14:textId="77777777" w:rsidR="00F0236A" w:rsidRPr="00073574" w:rsidRDefault="00F0236A" w:rsidP="00DF36E1">
            <w:pPr>
              <w:pStyle w:val="Tabletext"/>
              <w:rPr>
                <w:sz w:val="24"/>
                <w:szCs w:val="24"/>
              </w:rPr>
            </w:pPr>
          </w:p>
        </w:tc>
        <w:tc>
          <w:tcPr>
            <w:tcW w:w="8920" w:type="dxa"/>
            <w:gridSpan w:val="4"/>
            <w:tcBorders>
              <w:bottom w:val="single" w:sz="12" w:space="0" w:color="auto"/>
            </w:tcBorders>
            <w:shd w:val="clear" w:color="auto" w:fill="auto"/>
          </w:tcPr>
          <w:p w14:paraId="533EB8FB" w14:textId="7D7E279D" w:rsidR="00F0236A" w:rsidRPr="00073574" w:rsidDel="00EC33B6" w:rsidRDefault="00F0236A" w:rsidP="00DF36E1">
            <w:pPr>
              <w:pStyle w:val="Tabletext"/>
              <w:rPr>
                <w:szCs w:val="22"/>
              </w:rPr>
            </w:pPr>
            <w:r w:rsidRPr="00073574">
              <w:rPr>
                <w:szCs w:val="22"/>
              </w:rPr>
              <w:t>The May 2017</w:t>
            </w:r>
            <w:r w:rsidR="00FA47BD" w:rsidRPr="00073574">
              <w:rPr>
                <w:szCs w:val="22"/>
              </w:rPr>
              <w:t xml:space="preserve">, </w:t>
            </w:r>
            <w:r w:rsidR="00695336" w:rsidRPr="00073574">
              <w:rPr>
                <w:szCs w:val="22"/>
              </w:rPr>
              <w:t>February/March 2018, December 2018</w:t>
            </w:r>
            <w:r w:rsidR="002B5576" w:rsidRPr="00073574">
              <w:rPr>
                <w:szCs w:val="22"/>
              </w:rPr>
              <w:t>, September 2019</w:t>
            </w:r>
            <w:r w:rsidR="003A4FCC" w:rsidRPr="00073574">
              <w:rPr>
                <w:szCs w:val="22"/>
              </w:rPr>
              <w:t>, and January 2022</w:t>
            </w:r>
            <w:r w:rsidRPr="00073574">
              <w:rPr>
                <w:szCs w:val="22"/>
              </w:rPr>
              <w:t xml:space="preserve"> TSAG meeting</w:t>
            </w:r>
            <w:r w:rsidR="00FA47BD" w:rsidRPr="00073574">
              <w:rPr>
                <w:szCs w:val="22"/>
              </w:rPr>
              <w:t>s</w:t>
            </w:r>
            <w:r w:rsidRPr="00073574">
              <w:rPr>
                <w:szCs w:val="22"/>
              </w:rPr>
              <w:t xml:space="preserve"> considered the annual operational plan</w:t>
            </w:r>
            <w:r w:rsidR="00A53CF4" w:rsidRPr="00073574">
              <w:rPr>
                <w:szCs w:val="22"/>
              </w:rPr>
              <w:t xml:space="preserve"> (</w:t>
            </w:r>
            <w:r w:rsidR="006D1530" w:rsidRPr="00073574">
              <w:rPr>
                <w:szCs w:val="22"/>
              </w:rPr>
              <w:t xml:space="preserve">TSAG </w:t>
            </w:r>
            <w:hyperlink r:id="rId186" w:history="1">
              <w:r w:rsidR="00A53CF4" w:rsidRPr="00073574">
                <w:rPr>
                  <w:rStyle w:val="Hyperlink"/>
                  <w:szCs w:val="22"/>
                </w:rPr>
                <w:t>TD053</w:t>
              </w:r>
            </w:hyperlink>
            <w:r w:rsidR="000411E5" w:rsidRPr="00073574">
              <w:rPr>
                <w:szCs w:val="22"/>
              </w:rPr>
              <w:t xml:space="preserve">, </w:t>
            </w:r>
            <w:hyperlink r:id="rId187" w:history="1">
              <w:r w:rsidR="000411E5" w:rsidRPr="00073574">
                <w:rPr>
                  <w:rStyle w:val="Hyperlink"/>
                  <w:szCs w:val="22"/>
                </w:rPr>
                <w:t>TD141</w:t>
              </w:r>
            </w:hyperlink>
            <w:r w:rsidR="00852902" w:rsidRPr="00073574">
              <w:rPr>
                <w:szCs w:val="22"/>
              </w:rPr>
              <w:t xml:space="preserve">, </w:t>
            </w:r>
            <w:hyperlink r:id="rId188" w:history="1">
              <w:r w:rsidR="00852902" w:rsidRPr="00073574">
                <w:rPr>
                  <w:rStyle w:val="Hyperlink"/>
                  <w:szCs w:val="22"/>
                </w:rPr>
                <w:t>TD293</w:t>
              </w:r>
            </w:hyperlink>
            <w:r w:rsidR="002B5576" w:rsidRPr="0078729C">
              <w:rPr>
                <w:rStyle w:val="Hyperlink"/>
                <w:szCs w:val="22"/>
                <w:u w:val="none"/>
              </w:rPr>
              <w:t xml:space="preserve">, </w:t>
            </w:r>
            <w:hyperlink r:id="rId189" w:history="1">
              <w:r w:rsidR="002B5576" w:rsidRPr="00073574">
                <w:rPr>
                  <w:rStyle w:val="Hyperlink"/>
                  <w:szCs w:val="22"/>
                </w:rPr>
                <w:t>TD469</w:t>
              </w:r>
            </w:hyperlink>
            <w:r w:rsidR="00CE7CB2" w:rsidRPr="00073574">
              <w:rPr>
                <w:rStyle w:val="Hyperlink"/>
                <w:szCs w:val="22"/>
              </w:rPr>
              <w:t xml:space="preserve">, </w:t>
            </w:r>
            <w:hyperlink r:id="rId190" w:history="1">
              <w:r w:rsidR="00CE7CB2" w:rsidRPr="00073574">
                <w:rPr>
                  <w:rStyle w:val="Hyperlink"/>
                </w:rPr>
                <w:t>TD659</w:t>
              </w:r>
            </w:hyperlink>
            <w:r w:rsidR="003A4FCC" w:rsidRPr="00073574">
              <w:rPr>
                <w:rStyle w:val="Hyperlink"/>
              </w:rPr>
              <w:t xml:space="preserve">, </w:t>
            </w:r>
            <w:hyperlink r:id="rId191" w:history="1">
              <w:r w:rsidR="003A4FCC" w:rsidRPr="00073574">
                <w:rPr>
                  <w:rStyle w:val="Hyperlink"/>
                  <w:rFonts w:asciiTheme="majorBidi" w:hAnsiTheme="majorBidi" w:cstheme="majorBidi"/>
                  <w:szCs w:val="22"/>
                  <w:lang w:eastAsia="zh-CN"/>
                </w:rPr>
                <w:t>TD1187</w:t>
              </w:r>
            </w:hyperlink>
            <w:r w:rsidR="00A53CF4" w:rsidRPr="00073574">
              <w:rPr>
                <w:szCs w:val="22"/>
              </w:rPr>
              <w:t>)</w:t>
            </w:r>
            <w:r w:rsidRPr="00073574">
              <w:rPr>
                <w:szCs w:val="22"/>
              </w:rPr>
              <w:t>, and the WTSA-16 action plan (</w:t>
            </w:r>
            <w:r w:rsidR="006D1530" w:rsidRPr="00073574">
              <w:rPr>
                <w:szCs w:val="22"/>
              </w:rPr>
              <w:t xml:space="preserve">TSAG </w:t>
            </w:r>
            <w:hyperlink r:id="rId192" w:history="1">
              <w:r w:rsidR="00112C75" w:rsidRPr="00073574">
                <w:rPr>
                  <w:rStyle w:val="Hyperlink"/>
                  <w:szCs w:val="22"/>
                </w:rPr>
                <w:t>TD</w:t>
              </w:r>
              <w:r w:rsidRPr="00073574">
                <w:rPr>
                  <w:rStyle w:val="Hyperlink"/>
                  <w:szCs w:val="22"/>
                </w:rPr>
                <w:t>25</w:t>
              </w:r>
              <w:r w:rsidR="006711D5" w:rsidRPr="00073574">
                <w:rPr>
                  <w:rStyle w:val="Hyperlink"/>
                  <w:szCs w:val="22"/>
                </w:rPr>
                <w:t>-</w:t>
              </w:r>
              <w:r w:rsidRPr="00073574">
                <w:rPr>
                  <w:rStyle w:val="Hyperlink"/>
                  <w:szCs w:val="22"/>
                </w:rPr>
                <w:t>R1</w:t>
              </w:r>
            </w:hyperlink>
            <w:r w:rsidRPr="00073574">
              <w:rPr>
                <w:szCs w:val="22"/>
              </w:rPr>
              <w:t>)</w:t>
            </w:r>
            <w:r w:rsidR="006711D5" w:rsidRPr="00073574">
              <w:rPr>
                <w:szCs w:val="22"/>
              </w:rPr>
              <w:t xml:space="preserve">, </w:t>
            </w:r>
            <w:hyperlink r:id="rId193" w:history="1">
              <w:r w:rsidR="006711D5" w:rsidRPr="00073574">
                <w:rPr>
                  <w:rStyle w:val="Hyperlink"/>
                  <w:szCs w:val="22"/>
                </w:rPr>
                <w:t>TD139-R1</w:t>
              </w:r>
            </w:hyperlink>
            <w:r w:rsidR="00A53CF4" w:rsidRPr="0078729C">
              <w:rPr>
                <w:rStyle w:val="Hyperlink"/>
                <w:szCs w:val="22"/>
                <w:u w:val="none"/>
              </w:rPr>
              <w:t xml:space="preserve">, </w:t>
            </w:r>
            <w:hyperlink r:id="rId194" w:history="1">
              <w:r w:rsidR="00A53CF4" w:rsidRPr="00073574">
                <w:rPr>
                  <w:rStyle w:val="Hyperlink"/>
                  <w:szCs w:val="22"/>
                </w:rPr>
                <w:t>TD</w:t>
              </w:r>
              <w:r w:rsidR="002D50F3" w:rsidRPr="00073574">
                <w:rPr>
                  <w:rStyle w:val="Hyperlink"/>
                  <w:szCs w:val="22"/>
                </w:rPr>
                <w:t>292</w:t>
              </w:r>
            </w:hyperlink>
            <w:r w:rsidR="00737B97" w:rsidRPr="00073574">
              <w:rPr>
                <w:rStyle w:val="Hyperlink"/>
                <w:szCs w:val="22"/>
              </w:rPr>
              <w:t>-R1</w:t>
            </w:r>
            <w:r w:rsidR="002B5576" w:rsidRPr="0078729C">
              <w:rPr>
                <w:rStyle w:val="Hyperlink"/>
                <w:szCs w:val="22"/>
                <w:u w:val="none"/>
              </w:rPr>
              <w:t xml:space="preserve">, </w:t>
            </w:r>
            <w:hyperlink r:id="rId195" w:history="1">
              <w:r w:rsidR="002B5576" w:rsidRPr="00073574">
                <w:rPr>
                  <w:rStyle w:val="Hyperlink"/>
                  <w:szCs w:val="22"/>
                </w:rPr>
                <w:t>TD467</w:t>
              </w:r>
            </w:hyperlink>
            <w:r w:rsidR="00CE7CB2" w:rsidRPr="00073574">
              <w:rPr>
                <w:rStyle w:val="Hyperlink"/>
                <w:szCs w:val="22"/>
              </w:rPr>
              <w:t xml:space="preserve">, </w:t>
            </w:r>
            <w:hyperlink r:id="rId196" w:history="1">
              <w:r w:rsidR="00CE7CB2" w:rsidRPr="00073574">
                <w:rPr>
                  <w:rStyle w:val="Hyperlink"/>
                </w:rPr>
                <w:t>TD657</w:t>
              </w:r>
            </w:hyperlink>
            <w:hyperlink r:id="rId197" w:history="1">
              <w:r w:rsidR="001016B8" w:rsidRPr="00073574">
                <w:rPr>
                  <w:rStyle w:val="Hyperlink"/>
                  <w:rFonts w:asciiTheme="majorBidi" w:hAnsiTheme="majorBidi" w:cstheme="majorBidi"/>
                  <w:szCs w:val="22"/>
                  <w:lang w:eastAsia="zh-CN"/>
                </w:rPr>
                <w:t>TD1186</w:t>
              </w:r>
            </w:hyperlink>
            <w:r w:rsidR="006711D5" w:rsidRPr="00073574">
              <w:rPr>
                <w:szCs w:val="22"/>
              </w:rPr>
              <w:t>)</w:t>
            </w:r>
            <w:r w:rsidRPr="00073574">
              <w:rPr>
                <w:szCs w:val="22"/>
              </w:rPr>
              <w:t>.</w:t>
            </w:r>
            <w:r w:rsidR="00827191" w:rsidRPr="00073574">
              <w:rPr>
                <w:szCs w:val="22"/>
              </w:rPr>
              <w:t xml:space="preserve"> The TSAG RG-SOP e-meeting considered the ITU draft Operational Plan for 2021-2024 (</w:t>
            </w:r>
            <w:hyperlink r:id="rId198" w:history="1">
              <w:r w:rsidR="00827191" w:rsidRPr="00073574">
                <w:rPr>
                  <w:rStyle w:val="Hyperlink"/>
                  <w:szCs w:val="22"/>
                </w:rPr>
                <w:t>TD791</w:t>
              </w:r>
            </w:hyperlink>
            <w:r w:rsidR="00827191" w:rsidRPr="00073574">
              <w:rPr>
                <w:szCs w:val="22"/>
              </w:rPr>
              <w:t>)</w:t>
            </w:r>
            <w:r w:rsidR="009701DB" w:rsidRPr="00073574">
              <w:rPr>
                <w:szCs w:val="22"/>
              </w:rPr>
              <w:t>.</w:t>
            </w:r>
          </w:p>
        </w:tc>
      </w:tr>
      <w:tr w:rsidR="00F0236A" w:rsidRPr="00073574" w14:paraId="6BD2F197" w14:textId="77777777" w:rsidTr="006F08BE">
        <w:trPr>
          <w:jc w:val="center"/>
        </w:trPr>
        <w:tc>
          <w:tcPr>
            <w:tcW w:w="912" w:type="dxa"/>
            <w:vMerge w:val="restart"/>
            <w:tcBorders>
              <w:top w:val="single" w:sz="12" w:space="0" w:color="auto"/>
            </w:tcBorders>
            <w:shd w:val="clear" w:color="auto" w:fill="auto"/>
          </w:tcPr>
          <w:p w14:paraId="6D6DFBFA" w14:textId="77777777" w:rsidR="00F0236A" w:rsidRPr="00073574" w:rsidRDefault="00F0236A" w:rsidP="004608C8">
            <w:pPr>
              <w:pStyle w:val="Tabletext"/>
              <w:rPr>
                <w:b/>
                <w:bCs/>
                <w:sz w:val="24"/>
                <w:szCs w:val="24"/>
              </w:rPr>
            </w:pPr>
            <w:r w:rsidRPr="00073574">
              <w:rPr>
                <w:b/>
                <w:bCs/>
                <w:sz w:val="24"/>
                <w:szCs w:val="24"/>
              </w:rPr>
              <w:t>22-05</w:t>
            </w:r>
          </w:p>
        </w:tc>
        <w:tc>
          <w:tcPr>
            <w:tcW w:w="4503" w:type="dxa"/>
            <w:tcBorders>
              <w:top w:val="single" w:sz="12" w:space="0" w:color="auto"/>
            </w:tcBorders>
            <w:shd w:val="clear" w:color="auto" w:fill="auto"/>
          </w:tcPr>
          <w:p w14:paraId="2F689803" w14:textId="17E1D345" w:rsidR="00F0236A" w:rsidRPr="00073574" w:rsidRDefault="00F0236A" w:rsidP="00D73EE2">
            <w:pPr>
              <w:pStyle w:val="Tabletext"/>
              <w:keepNext/>
              <w:keepLines/>
              <w:rPr>
                <w:b/>
                <w:bCs/>
                <w:sz w:val="24"/>
                <w:szCs w:val="24"/>
              </w:rPr>
            </w:pPr>
            <w:r w:rsidRPr="00073574">
              <w:rPr>
                <w:b/>
                <w:bCs/>
                <w:sz w:val="24"/>
                <w:szCs w:val="24"/>
              </w:rPr>
              <w:t>TSAG to review and coordinate standardization strategies for ITU</w:t>
            </w:r>
            <w:r w:rsidRPr="00073574">
              <w:rPr>
                <w:b/>
                <w:bCs/>
                <w:sz w:val="24"/>
                <w:szCs w:val="24"/>
              </w:rPr>
              <w:noBreakHyphen/>
              <w:t>T by identifying the main technological trends and market, economic and policy needs in the fields of activity relevant to the mandate of ITU</w:t>
            </w:r>
            <w:r w:rsidRPr="00073574">
              <w:rPr>
                <w:b/>
                <w:bCs/>
                <w:sz w:val="24"/>
                <w:szCs w:val="24"/>
              </w:rPr>
              <w:noBreakHyphen/>
              <w:t>T, and identify possible topics and issues for consideration in ITU</w:t>
            </w:r>
            <w:r w:rsidRPr="00073574">
              <w:rPr>
                <w:b/>
                <w:bCs/>
                <w:sz w:val="24"/>
                <w:szCs w:val="24"/>
              </w:rPr>
              <w:noBreakHyphen/>
              <w:t>T</w:t>
            </w:r>
            <w:r w:rsidR="003C7E25" w:rsidRPr="00073574">
              <w:rPr>
                <w:b/>
                <w:bCs/>
                <w:sz w:val="24"/>
                <w:szCs w:val="24"/>
              </w:rPr>
              <w:t>'</w:t>
            </w:r>
            <w:r w:rsidRPr="00073574">
              <w:rPr>
                <w:b/>
                <w:bCs/>
                <w:sz w:val="24"/>
                <w:szCs w:val="24"/>
              </w:rPr>
              <w:t>s standardization strategies (resolves 6)</w:t>
            </w:r>
          </w:p>
        </w:tc>
        <w:tc>
          <w:tcPr>
            <w:tcW w:w="1916" w:type="dxa"/>
            <w:tcBorders>
              <w:top w:val="single" w:sz="12" w:space="0" w:color="auto"/>
            </w:tcBorders>
            <w:shd w:val="clear" w:color="auto" w:fill="auto"/>
            <w:vAlign w:val="center"/>
          </w:tcPr>
          <w:p w14:paraId="5A9C7E09" w14:textId="30876F6F" w:rsidR="00F0236A" w:rsidRPr="00073574" w:rsidRDefault="00F0236A" w:rsidP="002A76FD">
            <w:pPr>
              <w:pStyle w:val="Tabletext"/>
              <w:jc w:val="center"/>
              <w:rPr>
                <w:b/>
                <w:bCs/>
                <w:sz w:val="24"/>
                <w:szCs w:val="24"/>
              </w:rPr>
            </w:pPr>
            <w:r w:rsidRPr="00073574">
              <w:rPr>
                <w:b/>
                <w:bCs/>
                <w:sz w:val="24"/>
                <w:szCs w:val="24"/>
              </w:rPr>
              <w:t>TSAG 20</w:t>
            </w:r>
            <w:r w:rsidR="002A76FD" w:rsidRPr="00073574">
              <w:rPr>
                <w:b/>
                <w:bCs/>
                <w:sz w:val="24"/>
                <w:szCs w:val="24"/>
              </w:rPr>
              <w:t>20</w:t>
            </w:r>
          </w:p>
        </w:tc>
        <w:tc>
          <w:tcPr>
            <w:tcW w:w="1165" w:type="dxa"/>
            <w:tcBorders>
              <w:top w:val="single" w:sz="12" w:space="0" w:color="auto"/>
            </w:tcBorders>
            <w:shd w:val="clear" w:color="auto" w:fill="auto"/>
            <w:vAlign w:val="center"/>
          </w:tcPr>
          <w:p w14:paraId="409BFC08" w14:textId="77777777" w:rsidR="00F0236A" w:rsidRPr="00073574" w:rsidRDefault="00F0236A" w:rsidP="004608C8">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3B2093CD" w14:textId="77777777" w:rsidR="00F0236A" w:rsidRPr="00073574" w:rsidDel="00EC33B6" w:rsidRDefault="00F0236A" w:rsidP="004608C8">
            <w:pPr>
              <w:pStyle w:val="Tabletext"/>
              <w:jc w:val="center"/>
              <w:rPr>
                <w:b/>
                <w:bCs/>
                <w:sz w:val="24"/>
                <w:szCs w:val="24"/>
              </w:rPr>
            </w:pPr>
          </w:p>
        </w:tc>
      </w:tr>
      <w:tr w:rsidR="00F0236A" w:rsidRPr="00073574" w14:paraId="2D513526" w14:textId="77777777" w:rsidTr="006F08BE">
        <w:trPr>
          <w:jc w:val="center"/>
        </w:trPr>
        <w:tc>
          <w:tcPr>
            <w:tcW w:w="912" w:type="dxa"/>
            <w:vMerge/>
            <w:tcBorders>
              <w:bottom w:val="single" w:sz="12" w:space="0" w:color="auto"/>
            </w:tcBorders>
            <w:shd w:val="clear" w:color="auto" w:fill="auto"/>
          </w:tcPr>
          <w:p w14:paraId="168B310F" w14:textId="77777777" w:rsidR="00F0236A" w:rsidRPr="00073574" w:rsidRDefault="00F0236A" w:rsidP="004608C8">
            <w:pPr>
              <w:pStyle w:val="Tabletext"/>
              <w:rPr>
                <w:sz w:val="24"/>
                <w:szCs w:val="24"/>
              </w:rPr>
            </w:pPr>
          </w:p>
        </w:tc>
        <w:tc>
          <w:tcPr>
            <w:tcW w:w="8920" w:type="dxa"/>
            <w:gridSpan w:val="4"/>
            <w:tcBorders>
              <w:bottom w:val="single" w:sz="12" w:space="0" w:color="auto"/>
            </w:tcBorders>
            <w:shd w:val="clear" w:color="auto" w:fill="auto"/>
          </w:tcPr>
          <w:p w14:paraId="74E5C205" w14:textId="153BC25F" w:rsidR="00F0236A" w:rsidRPr="00073574" w:rsidDel="00EC33B6" w:rsidRDefault="00F0236A" w:rsidP="004608C8">
            <w:pPr>
              <w:pStyle w:val="Tabletext"/>
              <w:rPr>
                <w:szCs w:val="22"/>
              </w:rPr>
            </w:pPr>
            <w:r w:rsidRPr="00073574">
              <w:rPr>
                <w:szCs w:val="22"/>
              </w:rPr>
              <w:t xml:space="preserve">TSAG RG-StdsStrat was created in May 2017 and has conducted </w:t>
            </w:r>
            <w:r w:rsidR="00EC2C5A" w:rsidRPr="00073574">
              <w:rPr>
                <w:szCs w:val="22"/>
              </w:rPr>
              <w:t xml:space="preserve">several </w:t>
            </w:r>
            <w:r w:rsidRPr="00073574">
              <w:rPr>
                <w:szCs w:val="22"/>
              </w:rPr>
              <w:t xml:space="preserve">interim e-meetings, results are reported in </w:t>
            </w:r>
            <w:r w:rsidR="006D1530" w:rsidRPr="00073574">
              <w:rPr>
                <w:szCs w:val="22"/>
              </w:rPr>
              <w:t>TSAG</w:t>
            </w:r>
            <w:r w:rsidRPr="00073574">
              <w:rPr>
                <w:szCs w:val="22"/>
              </w:rPr>
              <w:t xml:space="preserve"> </w:t>
            </w:r>
            <w:hyperlink r:id="rId199" w:history="1">
              <w:r w:rsidR="00112C75" w:rsidRPr="00073574">
                <w:rPr>
                  <w:rStyle w:val="Hyperlink"/>
                  <w:szCs w:val="22"/>
                </w:rPr>
                <w:t>TD</w:t>
              </w:r>
              <w:r w:rsidRPr="00073574">
                <w:rPr>
                  <w:rStyle w:val="Hyperlink"/>
                  <w:szCs w:val="22"/>
                </w:rPr>
                <w:t>215</w:t>
              </w:r>
              <w:r w:rsidR="003A534E" w:rsidRPr="00073574">
                <w:rPr>
                  <w:rStyle w:val="Hyperlink"/>
                  <w:szCs w:val="22"/>
                </w:rPr>
                <w:t>-</w:t>
              </w:r>
              <w:r w:rsidRPr="00073574">
                <w:rPr>
                  <w:rStyle w:val="Hyperlink"/>
                  <w:szCs w:val="22"/>
                </w:rPr>
                <w:t>R1</w:t>
              </w:r>
            </w:hyperlink>
            <w:r w:rsidR="003A534E" w:rsidRPr="00073574">
              <w:rPr>
                <w:szCs w:val="22"/>
              </w:rPr>
              <w:t xml:space="preserve">, </w:t>
            </w:r>
            <w:hyperlink r:id="rId200" w:history="1">
              <w:r w:rsidR="003A534E" w:rsidRPr="00073574">
                <w:rPr>
                  <w:rStyle w:val="Hyperlink"/>
                  <w:szCs w:val="22"/>
                </w:rPr>
                <w:t>TD133-R2</w:t>
              </w:r>
            </w:hyperlink>
            <w:r w:rsidR="003125E4" w:rsidRPr="00073574">
              <w:rPr>
                <w:rStyle w:val="Hyperlink"/>
                <w:szCs w:val="22"/>
              </w:rPr>
              <w:t xml:space="preserve">, </w:t>
            </w:r>
            <w:hyperlink r:id="rId201" w:history="1">
              <w:r w:rsidR="003125E4" w:rsidRPr="00073574">
                <w:rPr>
                  <w:rStyle w:val="Hyperlink"/>
                  <w:szCs w:val="22"/>
                </w:rPr>
                <w:t>TD</w:t>
              </w:r>
              <w:r w:rsidR="0098128C" w:rsidRPr="00073574">
                <w:rPr>
                  <w:rStyle w:val="Hyperlink"/>
                  <w:szCs w:val="22"/>
                </w:rPr>
                <w:t>315-R1</w:t>
              </w:r>
            </w:hyperlink>
            <w:r w:rsidR="00A1109A" w:rsidRPr="00073574">
              <w:rPr>
                <w:rStyle w:val="Hyperlink"/>
                <w:szCs w:val="22"/>
              </w:rPr>
              <w:t xml:space="preserve">, </w:t>
            </w:r>
            <w:hyperlink r:id="rId202" w:history="1">
              <w:r w:rsidR="00A1109A" w:rsidRPr="00073574">
                <w:rPr>
                  <w:rStyle w:val="Hyperlink"/>
                  <w:szCs w:val="22"/>
                </w:rPr>
                <w:t>TD489</w:t>
              </w:r>
            </w:hyperlink>
            <w:r w:rsidR="0051592E" w:rsidRPr="00073574">
              <w:rPr>
                <w:rStyle w:val="Hyperlink"/>
                <w:szCs w:val="22"/>
              </w:rPr>
              <w:t xml:space="preserve">, </w:t>
            </w:r>
            <w:hyperlink r:id="rId203" w:history="1">
              <w:r w:rsidR="0051592E" w:rsidRPr="00073574">
                <w:rPr>
                  <w:rStyle w:val="Hyperlink"/>
                  <w:rFonts w:eastAsiaTheme="majorEastAsia"/>
                  <w:szCs w:val="22"/>
                </w:rPr>
                <w:t>TD675</w:t>
              </w:r>
            </w:hyperlink>
            <w:r w:rsidR="00847C88" w:rsidRPr="00073574">
              <w:rPr>
                <w:rStyle w:val="Hyperlink"/>
                <w:rFonts w:eastAsiaTheme="majorEastAsia"/>
                <w:szCs w:val="22"/>
              </w:rPr>
              <w:t xml:space="preserve">, </w:t>
            </w:r>
            <w:hyperlink r:id="rId204" w:history="1">
              <w:r w:rsidR="00700A72" w:rsidRPr="00073574">
                <w:rPr>
                  <w:rStyle w:val="Hyperlink"/>
                </w:rPr>
                <w:t>TD810-R1</w:t>
              </w:r>
            </w:hyperlink>
            <w:r w:rsidR="00700A72" w:rsidRPr="00073574">
              <w:t xml:space="preserve">, </w:t>
            </w:r>
            <w:hyperlink r:id="rId205" w:history="1">
              <w:r w:rsidR="00700A72" w:rsidRPr="00073574">
                <w:rPr>
                  <w:rStyle w:val="Hyperlink"/>
                </w:rPr>
                <w:t>TD951-R1</w:t>
              </w:r>
            </w:hyperlink>
            <w:r w:rsidR="00700A72" w:rsidRPr="00073574">
              <w:t xml:space="preserve">, and </w:t>
            </w:r>
            <w:hyperlink r:id="rId206" w:history="1">
              <w:r w:rsidR="00700A72" w:rsidRPr="00073574">
                <w:rPr>
                  <w:rStyle w:val="Hyperlink"/>
                </w:rPr>
                <w:t>TD1052</w:t>
              </w:r>
            </w:hyperlink>
            <w:r w:rsidR="003A534E" w:rsidRPr="00073574">
              <w:rPr>
                <w:szCs w:val="22"/>
              </w:rPr>
              <w:t>.</w:t>
            </w:r>
            <w:r w:rsidR="001B5525" w:rsidRPr="00073574">
              <w:rPr>
                <w:szCs w:val="22"/>
              </w:rPr>
              <w:t xml:space="preserve"> TSAG liaised with the ITU-T study groups on current and emerging hot topics (</w:t>
            </w:r>
            <w:hyperlink r:id="rId207" w:history="1">
              <w:r w:rsidR="001B5525" w:rsidRPr="00073574">
                <w:rPr>
                  <w:rStyle w:val="Hyperlink"/>
                  <w:szCs w:val="22"/>
                </w:rPr>
                <w:t>TSAG OLS10</w:t>
              </w:r>
            </w:hyperlink>
            <w:r w:rsidR="001B5525" w:rsidRPr="00073574">
              <w:rPr>
                <w:szCs w:val="22"/>
              </w:rPr>
              <w:t xml:space="preserve">, </w:t>
            </w:r>
            <w:hyperlink r:id="rId208" w:history="1">
              <w:r w:rsidR="001B5525" w:rsidRPr="00073574">
                <w:rPr>
                  <w:rStyle w:val="Hyperlink"/>
                  <w:szCs w:val="22"/>
                </w:rPr>
                <w:t>TSAG OLS16</w:t>
              </w:r>
            </w:hyperlink>
            <w:r w:rsidR="00A1109A" w:rsidRPr="006E2561">
              <w:rPr>
                <w:rStyle w:val="Hyperlink"/>
                <w:szCs w:val="22"/>
                <w:u w:val="none"/>
              </w:rPr>
              <w:t xml:space="preserve">, </w:t>
            </w:r>
            <w:hyperlink r:id="rId209" w:history="1">
              <w:r w:rsidR="00A1109A" w:rsidRPr="00073574">
                <w:rPr>
                  <w:rStyle w:val="Hyperlink"/>
                  <w:szCs w:val="22"/>
                </w:rPr>
                <w:t>TSAG-OLS23</w:t>
              </w:r>
            </w:hyperlink>
            <w:r w:rsidR="00CD7836" w:rsidRPr="006E2561">
              <w:rPr>
                <w:rStyle w:val="Hyperlink"/>
                <w:szCs w:val="22"/>
                <w:u w:val="none"/>
              </w:rPr>
              <w:t xml:space="preserve">, </w:t>
            </w:r>
            <w:hyperlink r:id="rId210" w:history="1">
              <w:r w:rsidR="00CD7836" w:rsidRPr="00073574">
                <w:rPr>
                  <w:rStyle w:val="Hyperlink"/>
                </w:rPr>
                <w:t>TSAG-OLS32</w:t>
              </w:r>
            </w:hyperlink>
            <w:r w:rsidR="001B5525" w:rsidRPr="00073574">
              <w:rPr>
                <w:szCs w:val="22"/>
              </w:rPr>
              <w:t>).</w:t>
            </w:r>
          </w:p>
        </w:tc>
      </w:tr>
      <w:tr w:rsidR="00F0236A" w:rsidRPr="00073574" w14:paraId="09067E83" w14:textId="77777777" w:rsidTr="006F08BE">
        <w:trPr>
          <w:cantSplit/>
          <w:jc w:val="center"/>
        </w:trPr>
        <w:tc>
          <w:tcPr>
            <w:tcW w:w="912" w:type="dxa"/>
            <w:vMerge w:val="restart"/>
            <w:tcBorders>
              <w:top w:val="single" w:sz="12" w:space="0" w:color="auto"/>
            </w:tcBorders>
            <w:shd w:val="clear" w:color="auto" w:fill="auto"/>
          </w:tcPr>
          <w:p w14:paraId="1F70CC0C" w14:textId="77777777" w:rsidR="00F0236A" w:rsidRPr="00073574" w:rsidRDefault="00F0236A" w:rsidP="004608C8">
            <w:pPr>
              <w:pStyle w:val="Tabletext"/>
              <w:keepNext/>
              <w:keepLines/>
              <w:rPr>
                <w:b/>
                <w:bCs/>
                <w:sz w:val="24"/>
                <w:szCs w:val="24"/>
              </w:rPr>
            </w:pPr>
            <w:r w:rsidRPr="00073574">
              <w:rPr>
                <w:b/>
                <w:bCs/>
                <w:sz w:val="24"/>
                <w:szCs w:val="24"/>
              </w:rPr>
              <w:t>22-06</w:t>
            </w:r>
          </w:p>
        </w:tc>
        <w:tc>
          <w:tcPr>
            <w:tcW w:w="4503" w:type="dxa"/>
            <w:tcBorders>
              <w:top w:val="single" w:sz="12" w:space="0" w:color="auto"/>
            </w:tcBorders>
            <w:shd w:val="clear" w:color="auto" w:fill="auto"/>
          </w:tcPr>
          <w:p w14:paraId="4550A8A6" w14:textId="77777777" w:rsidR="00F0236A" w:rsidRPr="00073574" w:rsidRDefault="00F0236A" w:rsidP="004608C8">
            <w:pPr>
              <w:pStyle w:val="Tabletext"/>
              <w:keepNext/>
              <w:keepLines/>
              <w:rPr>
                <w:b/>
                <w:bCs/>
                <w:sz w:val="24"/>
                <w:szCs w:val="24"/>
              </w:rPr>
            </w:pPr>
            <w:r w:rsidRPr="00073574">
              <w:rPr>
                <w:b/>
                <w:bCs/>
                <w:sz w:val="24"/>
                <w:szCs w:val="24"/>
              </w:rPr>
              <w:t>TSAG to establish an appropriate mechanism to facilitate standardization strategies, for example assigning Questions, coordinating the work of study groups or establishing coordination groups or other groups, and appoint their chairmen and vice-chairmen (resolves 7)</w:t>
            </w:r>
          </w:p>
        </w:tc>
        <w:tc>
          <w:tcPr>
            <w:tcW w:w="1916" w:type="dxa"/>
            <w:tcBorders>
              <w:top w:val="single" w:sz="12" w:space="0" w:color="auto"/>
            </w:tcBorders>
            <w:shd w:val="clear" w:color="auto" w:fill="auto"/>
            <w:vAlign w:val="center"/>
          </w:tcPr>
          <w:p w14:paraId="4262BC4D" w14:textId="77777777" w:rsidR="00F0236A" w:rsidRPr="00073574" w:rsidRDefault="00F0236A" w:rsidP="004608C8">
            <w:pPr>
              <w:pStyle w:val="Tabletext"/>
              <w:keepNext/>
              <w:keepLines/>
              <w:jc w:val="center"/>
              <w:rPr>
                <w:b/>
                <w:bCs/>
                <w:sz w:val="24"/>
                <w:szCs w:val="24"/>
              </w:rPr>
            </w:pPr>
            <w:r w:rsidRPr="00073574">
              <w:rPr>
                <w:b/>
                <w:bCs/>
                <w:sz w:val="24"/>
                <w:szCs w:val="24"/>
              </w:rPr>
              <w:t>TSAG 2017</w:t>
            </w:r>
          </w:p>
        </w:tc>
        <w:tc>
          <w:tcPr>
            <w:tcW w:w="1165" w:type="dxa"/>
            <w:tcBorders>
              <w:top w:val="single" w:sz="12" w:space="0" w:color="auto"/>
            </w:tcBorders>
            <w:shd w:val="clear" w:color="auto" w:fill="auto"/>
            <w:vAlign w:val="center"/>
          </w:tcPr>
          <w:p w14:paraId="60DEA133" w14:textId="77777777" w:rsidR="00F0236A" w:rsidRPr="00073574" w:rsidRDefault="00F0236A" w:rsidP="004608C8">
            <w:pPr>
              <w:pStyle w:val="Tabletext"/>
              <w:keepNext/>
              <w:keepLines/>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57DB0974" w14:textId="77777777" w:rsidR="00F0236A" w:rsidRPr="00073574" w:rsidDel="00EC33B6" w:rsidRDefault="00F0236A" w:rsidP="004608C8">
            <w:pPr>
              <w:pStyle w:val="Tabletext"/>
              <w:keepNext/>
              <w:keepLines/>
              <w:jc w:val="center"/>
              <w:rPr>
                <w:b/>
                <w:bCs/>
                <w:sz w:val="24"/>
                <w:szCs w:val="24"/>
              </w:rPr>
            </w:pPr>
            <w:r w:rsidRPr="00073574">
              <w:rPr>
                <w:b/>
                <w:bCs/>
                <w:sz w:val="24"/>
                <w:szCs w:val="24"/>
              </w:rPr>
              <w:t>√</w:t>
            </w:r>
          </w:p>
        </w:tc>
      </w:tr>
      <w:tr w:rsidR="00F0236A" w:rsidRPr="00073574" w14:paraId="3E1C81D0" w14:textId="77777777" w:rsidTr="006F08BE">
        <w:trPr>
          <w:cantSplit/>
          <w:jc w:val="center"/>
        </w:trPr>
        <w:tc>
          <w:tcPr>
            <w:tcW w:w="912" w:type="dxa"/>
            <w:vMerge/>
            <w:tcBorders>
              <w:bottom w:val="single" w:sz="12" w:space="0" w:color="auto"/>
            </w:tcBorders>
            <w:shd w:val="clear" w:color="auto" w:fill="auto"/>
          </w:tcPr>
          <w:p w14:paraId="5930131F" w14:textId="77777777" w:rsidR="00F0236A" w:rsidRPr="00073574" w:rsidRDefault="00F0236A" w:rsidP="004608C8">
            <w:pPr>
              <w:pStyle w:val="Tabletext"/>
              <w:keepNext/>
              <w:keepLines/>
              <w:rPr>
                <w:sz w:val="24"/>
                <w:szCs w:val="24"/>
              </w:rPr>
            </w:pPr>
          </w:p>
        </w:tc>
        <w:tc>
          <w:tcPr>
            <w:tcW w:w="8920" w:type="dxa"/>
            <w:gridSpan w:val="4"/>
            <w:shd w:val="clear" w:color="auto" w:fill="auto"/>
          </w:tcPr>
          <w:p w14:paraId="245A7A8F" w14:textId="42DEF1ED" w:rsidR="00F0236A" w:rsidRPr="00073574" w:rsidDel="00EC33B6" w:rsidRDefault="00F0236A" w:rsidP="004608C8">
            <w:pPr>
              <w:pStyle w:val="Tabletext"/>
              <w:keepNext/>
              <w:keepLines/>
              <w:rPr>
                <w:szCs w:val="22"/>
              </w:rPr>
            </w:pPr>
            <w:r w:rsidRPr="00073574">
              <w:rPr>
                <w:szCs w:val="22"/>
              </w:rPr>
              <w:t>Done through creation of TSAG RG-Std</w:t>
            </w:r>
            <w:r w:rsidR="003125E4" w:rsidRPr="00073574">
              <w:rPr>
                <w:szCs w:val="22"/>
              </w:rPr>
              <w:t>s</w:t>
            </w:r>
            <w:r w:rsidRPr="00073574">
              <w:rPr>
                <w:szCs w:val="22"/>
              </w:rPr>
              <w:t>Strat, see 22-05, 22-02.</w:t>
            </w:r>
          </w:p>
        </w:tc>
      </w:tr>
      <w:tr w:rsidR="00F0236A" w:rsidRPr="00073574" w14:paraId="7D96DB6A" w14:textId="77777777" w:rsidTr="006F08BE">
        <w:trPr>
          <w:cantSplit/>
          <w:jc w:val="center"/>
        </w:trPr>
        <w:tc>
          <w:tcPr>
            <w:tcW w:w="912" w:type="dxa"/>
            <w:vMerge w:val="restart"/>
            <w:tcBorders>
              <w:top w:val="single" w:sz="12" w:space="0" w:color="auto"/>
            </w:tcBorders>
            <w:shd w:val="clear" w:color="auto" w:fill="auto"/>
          </w:tcPr>
          <w:p w14:paraId="66ACD570" w14:textId="77777777" w:rsidR="00F0236A" w:rsidRPr="00073574" w:rsidRDefault="00F0236A" w:rsidP="0088209D">
            <w:pPr>
              <w:pStyle w:val="Tabletext"/>
              <w:keepNext/>
              <w:keepLines/>
              <w:rPr>
                <w:b/>
                <w:bCs/>
                <w:sz w:val="24"/>
                <w:szCs w:val="24"/>
              </w:rPr>
            </w:pPr>
            <w:r w:rsidRPr="00073574">
              <w:rPr>
                <w:b/>
                <w:bCs/>
                <w:sz w:val="24"/>
                <w:szCs w:val="24"/>
              </w:rPr>
              <w:t>22-07</w:t>
            </w:r>
          </w:p>
        </w:tc>
        <w:tc>
          <w:tcPr>
            <w:tcW w:w="4503" w:type="dxa"/>
            <w:tcBorders>
              <w:top w:val="single" w:sz="12" w:space="0" w:color="auto"/>
            </w:tcBorders>
            <w:shd w:val="clear" w:color="auto" w:fill="auto"/>
          </w:tcPr>
          <w:p w14:paraId="0F851177" w14:textId="77777777" w:rsidR="00F0236A" w:rsidRPr="00073574" w:rsidRDefault="00F0236A" w:rsidP="00DF36E1">
            <w:pPr>
              <w:pStyle w:val="Tabletext"/>
              <w:rPr>
                <w:b/>
                <w:bCs/>
                <w:sz w:val="24"/>
                <w:szCs w:val="24"/>
              </w:rPr>
            </w:pPr>
            <w:r w:rsidRPr="00073574">
              <w:rPr>
                <w:b/>
                <w:bCs/>
                <w:sz w:val="24"/>
                <w:szCs w:val="24"/>
              </w:rPr>
              <w:t>TSB Director to provide to each TSAG meeting a report on the implementation of WTSA resolutions and actions to be undertaken pursuant to their operative paragraphs (i. TSBDir 2)</w:t>
            </w:r>
          </w:p>
        </w:tc>
        <w:tc>
          <w:tcPr>
            <w:tcW w:w="1916" w:type="dxa"/>
            <w:tcBorders>
              <w:top w:val="single" w:sz="12" w:space="0" w:color="auto"/>
            </w:tcBorders>
            <w:shd w:val="clear" w:color="auto" w:fill="auto"/>
            <w:vAlign w:val="center"/>
          </w:tcPr>
          <w:p w14:paraId="7EFBCBA8" w14:textId="1F3207F4" w:rsidR="00F0236A" w:rsidRPr="00073574" w:rsidRDefault="00F0236A" w:rsidP="00080661">
            <w:pPr>
              <w:pStyle w:val="Tabletext"/>
              <w:jc w:val="center"/>
              <w:rPr>
                <w:b/>
                <w:bCs/>
                <w:sz w:val="24"/>
                <w:szCs w:val="24"/>
              </w:rPr>
            </w:pPr>
            <w:r w:rsidRPr="00073574">
              <w:rPr>
                <w:b/>
                <w:bCs/>
                <w:sz w:val="24"/>
                <w:szCs w:val="24"/>
              </w:rPr>
              <w:t>TSAG 20</w:t>
            </w:r>
            <w:r w:rsidR="00080661" w:rsidRPr="00073574">
              <w:rPr>
                <w:b/>
                <w:bCs/>
                <w:sz w:val="24"/>
                <w:szCs w:val="24"/>
              </w:rPr>
              <w:t>2</w:t>
            </w:r>
            <w:r w:rsidR="003511A3" w:rsidRPr="00073574">
              <w:rPr>
                <w:b/>
                <w:bCs/>
                <w:sz w:val="24"/>
                <w:szCs w:val="24"/>
              </w:rPr>
              <w:t>1</w:t>
            </w:r>
          </w:p>
        </w:tc>
        <w:tc>
          <w:tcPr>
            <w:tcW w:w="1165" w:type="dxa"/>
            <w:tcBorders>
              <w:top w:val="single" w:sz="12" w:space="0" w:color="auto"/>
            </w:tcBorders>
            <w:shd w:val="clear" w:color="auto" w:fill="auto"/>
            <w:vAlign w:val="center"/>
          </w:tcPr>
          <w:p w14:paraId="1CC0EC89"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303F0B07" w14:textId="19470D59" w:rsidR="00F0236A" w:rsidRPr="00073574" w:rsidDel="00EC33B6" w:rsidRDefault="00B83F83" w:rsidP="00DF36E1">
            <w:pPr>
              <w:pStyle w:val="Tabletext"/>
              <w:jc w:val="center"/>
              <w:rPr>
                <w:b/>
                <w:bCs/>
                <w:sz w:val="24"/>
                <w:szCs w:val="24"/>
              </w:rPr>
            </w:pPr>
            <w:r w:rsidRPr="00073574">
              <w:rPr>
                <w:b/>
                <w:bCs/>
                <w:sz w:val="24"/>
                <w:szCs w:val="24"/>
              </w:rPr>
              <w:t>√</w:t>
            </w:r>
          </w:p>
        </w:tc>
      </w:tr>
      <w:tr w:rsidR="00F0236A" w:rsidRPr="00073574" w14:paraId="1E777B6B" w14:textId="77777777" w:rsidTr="006F08BE">
        <w:trPr>
          <w:cantSplit/>
          <w:jc w:val="center"/>
        </w:trPr>
        <w:tc>
          <w:tcPr>
            <w:tcW w:w="912" w:type="dxa"/>
            <w:vMerge/>
            <w:tcBorders>
              <w:bottom w:val="single" w:sz="12" w:space="0" w:color="auto"/>
            </w:tcBorders>
            <w:shd w:val="clear" w:color="auto" w:fill="auto"/>
          </w:tcPr>
          <w:p w14:paraId="1F6C637A" w14:textId="77777777" w:rsidR="00F0236A" w:rsidRPr="00073574" w:rsidRDefault="00F0236A" w:rsidP="00DF36E1">
            <w:pPr>
              <w:pStyle w:val="Tabletext"/>
              <w:rPr>
                <w:sz w:val="24"/>
                <w:szCs w:val="24"/>
              </w:rPr>
            </w:pPr>
          </w:p>
        </w:tc>
        <w:tc>
          <w:tcPr>
            <w:tcW w:w="8920" w:type="dxa"/>
            <w:gridSpan w:val="4"/>
            <w:shd w:val="clear" w:color="auto" w:fill="auto"/>
          </w:tcPr>
          <w:p w14:paraId="1C30FD70" w14:textId="24F9BD14" w:rsidR="0094701E" w:rsidRPr="0094701E" w:rsidDel="00EC33B6" w:rsidRDefault="00F0236A" w:rsidP="005C1936">
            <w:pPr>
              <w:pStyle w:val="Tabletext"/>
              <w:rPr>
                <w:rFonts w:asciiTheme="majorBidi" w:hAnsiTheme="majorBidi" w:cstheme="majorBidi"/>
                <w:color w:val="0000FF"/>
                <w:szCs w:val="22"/>
                <w:u w:val="single"/>
                <w:lang w:eastAsia="zh-CN"/>
              </w:rPr>
            </w:pPr>
            <w:r w:rsidRPr="00073574">
              <w:rPr>
                <w:szCs w:val="22"/>
              </w:rPr>
              <w:t xml:space="preserve">This document is tracking progress in the implementation of the operational parts within all WTSA-16 Resolutions. </w:t>
            </w:r>
            <w:hyperlink r:id="rId211" w:history="1">
              <w:r w:rsidR="00BA0B92" w:rsidRPr="00073574">
                <w:rPr>
                  <w:rStyle w:val="Hyperlink"/>
                  <w:szCs w:val="22"/>
                </w:rPr>
                <w:t>TSAG-</w:t>
              </w:r>
              <w:r w:rsidRPr="00073574">
                <w:rPr>
                  <w:rStyle w:val="Hyperlink"/>
                  <w:szCs w:val="22"/>
                </w:rPr>
                <w:t>TD25</w:t>
              </w:r>
              <w:r w:rsidR="00192D18" w:rsidRPr="00073574">
                <w:rPr>
                  <w:rStyle w:val="Hyperlink"/>
                  <w:szCs w:val="22"/>
                </w:rPr>
                <w:t>-</w:t>
              </w:r>
              <w:r w:rsidRPr="00073574">
                <w:rPr>
                  <w:rStyle w:val="Hyperlink"/>
                  <w:szCs w:val="22"/>
                </w:rPr>
                <w:t>R1</w:t>
              </w:r>
            </w:hyperlink>
            <w:r w:rsidRPr="00073574">
              <w:rPr>
                <w:szCs w:val="22"/>
              </w:rPr>
              <w:t xml:space="preserve"> was presented to the May 2017 TSAG meeting</w:t>
            </w:r>
            <w:r w:rsidR="00192D18" w:rsidRPr="00073574">
              <w:rPr>
                <w:szCs w:val="22"/>
              </w:rPr>
              <w:t xml:space="preserve">, </w:t>
            </w:r>
            <w:hyperlink r:id="rId212" w:history="1">
              <w:r w:rsidR="00192D18" w:rsidRPr="00073574">
                <w:rPr>
                  <w:rStyle w:val="Hyperlink"/>
                  <w:szCs w:val="22"/>
                </w:rPr>
                <w:t>TSAG</w:t>
              </w:r>
              <w:r w:rsidR="005C1936" w:rsidRPr="00073574">
                <w:rPr>
                  <w:rStyle w:val="Hyperlink"/>
                  <w:szCs w:val="22"/>
                </w:rPr>
                <w:t>-</w:t>
              </w:r>
              <w:r w:rsidR="00192D18" w:rsidRPr="00073574">
                <w:rPr>
                  <w:rStyle w:val="Hyperlink"/>
                  <w:szCs w:val="22"/>
                </w:rPr>
                <w:t>TD139-R1</w:t>
              </w:r>
            </w:hyperlink>
            <w:r w:rsidR="00192D18" w:rsidRPr="00073574">
              <w:rPr>
                <w:szCs w:val="22"/>
              </w:rPr>
              <w:t xml:space="preserve"> was presented to the February 2018 TSAG meeting</w:t>
            </w:r>
            <w:r w:rsidR="00250C6D" w:rsidRPr="00073574">
              <w:rPr>
                <w:szCs w:val="22"/>
              </w:rPr>
              <w:t xml:space="preserve">, </w:t>
            </w:r>
            <w:hyperlink r:id="rId213" w:history="1">
              <w:r w:rsidR="00250C6D" w:rsidRPr="00073574">
                <w:rPr>
                  <w:rStyle w:val="Hyperlink"/>
                  <w:szCs w:val="22"/>
                </w:rPr>
                <w:t>TSAG</w:t>
              </w:r>
              <w:r w:rsidR="005C1936" w:rsidRPr="00073574">
                <w:rPr>
                  <w:rStyle w:val="Hyperlink"/>
                  <w:szCs w:val="22"/>
                </w:rPr>
                <w:t>-</w:t>
              </w:r>
              <w:r w:rsidR="00250C6D" w:rsidRPr="00073574">
                <w:rPr>
                  <w:rStyle w:val="Hyperlink"/>
                  <w:szCs w:val="22"/>
                </w:rPr>
                <w:t>TD292</w:t>
              </w:r>
            </w:hyperlink>
            <w:r w:rsidR="00250C6D" w:rsidRPr="00073574">
              <w:rPr>
                <w:szCs w:val="22"/>
              </w:rPr>
              <w:t xml:space="preserve"> was presented to the December 2018 TSAG meeting</w:t>
            </w:r>
            <w:r w:rsidR="005C1936" w:rsidRPr="00073574">
              <w:rPr>
                <w:szCs w:val="22"/>
              </w:rPr>
              <w:t xml:space="preserve">, </w:t>
            </w:r>
            <w:hyperlink r:id="rId214" w:history="1">
              <w:r w:rsidR="005C1936" w:rsidRPr="00073574">
                <w:rPr>
                  <w:rStyle w:val="Hyperlink"/>
                  <w:szCs w:val="22"/>
                </w:rPr>
                <w:t>TSAG-TD467</w:t>
              </w:r>
            </w:hyperlink>
            <w:r w:rsidR="005C1936" w:rsidRPr="00073574">
              <w:rPr>
                <w:szCs w:val="22"/>
              </w:rPr>
              <w:t xml:space="preserve"> was presented to the September 2019 TSAG meeting</w:t>
            </w:r>
            <w:r w:rsidR="00B15CFC" w:rsidRPr="00073574">
              <w:rPr>
                <w:szCs w:val="22"/>
              </w:rPr>
              <w:t xml:space="preserve">, </w:t>
            </w:r>
            <w:hyperlink r:id="rId215" w:history="1">
              <w:r w:rsidR="00B15CFC" w:rsidRPr="00073574">
                <w:rPr>
                  <w:rStyle w:val="Hyperlink"/>
                </w:rPr>
                <w:t>TSAG-TD657</w:t>
              </w:r>
            </w:hyperlink>
            <w:r w:rsidR="00B15CFC" w:rsidRPr="00073574">
              <w:rPr>
                <w:rStyle w:val="Hyperlink"/>
                <w:u w:val="none"/>
              </w:rPr>
              <w:t xml:space="preserve"> </w:t>
            </w:r>
            <w:r w:rsidR="00B15CFC" w:rsidRPr="00073574">
              <w:rPr>
                <w:rStyle w:val="Hyperlink"/>
                <w:color w:val="auto"/>
                <w:u w:val="none"/>
              </w:rPr>
              <w:t>was presented to the February 2020 TSAG meeting</w:t>
            </w:r>
            <w:r w:rsidR="00250C6D" w:rsidRPr="00073574">
              <w:rPr>
                <w:szCs w:val="22"/>
              </w:rPr>
              <w:t>.</w:t>
            </w:r>
            <w:r w:rsidR="002218FD" w:rsidRPr="00073574">
              <w:rPr>
                <w:szCs w:val="22"/>
              </w:rPr>
              <w:t xml:space="preserve"> </w:t>
            </w:r>
            <w:hyperlink r:id="rId216" w:history="1">
              <w:r w:rsidR="002218FD" w:rsidRPr="00073574">
                <w:rPr>
                  <w:rStyle w:val="Hyperlink"/>
                  <w:szCs w:val="22"/>
                </w:rPr>
                <w:t>TSAG-TD789</w:t>
              </w:r>
            </w:hyperlink>
            <w:r w:rsidR="002218FD" w:rsidRPr="00073574">
              <w:rPr>
                <w:szCs w:val="22"/>
              </w:rPr>
              <w:t xml:space="preserve"> was presented to the TSAG RG-ResReview December 2020 e-meeting.</w:t>
            </w:r>
            <w:r w:rsidR="00D127D2" w:rsidRPr="00073574">
              <w:rPr>
                <w:szCs w:val="22"/>
              </w:rPr>
              <w:t xml:space="preserve"> </w:t>
            </w:r>
            <w:hyperlink r:id="rId217" w:history="1">
              <w:r w:rsidR="00A07438" w:rsidRPr="00073574">
                <w:rPr>
                  <w:rStyle w:val="Hyperlink"/>
                  <w:szCs w:val="22"/>
                  <w:lang w:eastAsia="zh-CN"/>
                </w:rPr>
                <w:t>TS</w:t>
              </w:r>
              <w:r w:rsidR="00A07438" w:rsidRPr="00073574">
                <w:rPr>
                  <w:rStyle w:val="Hyperlink"/>
                </w:rPr>
                <w:t>AG-T</w:t>
              </w:r>
              <w:r w:rsidR="00A07438" w:rsidRPr="00073574">
                <w:rPr>
                  <w:rStyle w:val="Hyperlink"/>
                  <w:szCs w:val="22"/>
                  <w:lang w:eastAsia="zh-CN"/>
                </w:rPr>
                <w:t>D1031</w:t>
              </w:r>
            </w:hyperlink>
            <w:r w:rsidR="00A07438" w:rsidRPr="00073574">
              <w:rPr>
                <w:szCs w:val="22"/>
              </w:rPr>
              <w:t xml:space="preserve"> w</w:t>
            </w:r>
            <w:r w:rsidR="00262613" w:rsidRPr="00073574">
              <w:t>as presented to the TSAG-RG</w:t>
            </w:r>
            <w:r w:rsidR="00A07438" w:rsidRPr="00073574">
              <w:t>-ResREview e-meeting October 2021.</w:t>
            </w:r>
            <w:r w:rsidR="00262613" w:rsidRPr="00073574">
              <w:rPr>
                <w:szCs w:val="22"/>
              </w:rPr>
              <w:t xml:space="preserve"> </w:t>
            </w:r>
            <w:hyperlink r:id="rId218" w:history="1">
              <w:r w:rsidR="00C93F3B" w:rsidRPr="0094701E">
                <w:rPr>
                  <w:rStyle w:val="Hyperlink"/>
                  <w:rFonts w:asciiTheme="majorBidi" w:hAnsiTheme="majorBidi" w:cstheme="majorBidi"/>
                  <w:szCs w:val="22"/>
                  <w:lang w:eastAsia="zh-CN"/>
                </w:rPr>
                <w:t>TSAG-TD1186</w:t>
              </w:r>
            </w:hyperlink>
            <w:r w:rsidR="00C93F3B" w:rsidRPr="0094701E">
              <w:rPr>
                <w:rStyle w:val="Hyperlink"/>
                <w:rFonts w:asciiTheme="majorBidi" w:hAnsiTheme="majorBidi" w:cstheme="majorBidi"/>
                <w:color w:val="auto"/>
                <w:szCs w:val="22"/>
                <w:u w:val="none"/>
                <w:lang w:eastAsia="zh-CN"/>
              </w:rPr>
              <w:t xml:space="preserve"> </w:t>
            </w:r>
            <w:r w:rsidR="00EB31BD" w:rsidRPr="0094701E">
              <w:rPr>
                <w:rStyle w:val="Hyperlink"/>
                <w:rFonts w:asciiTheme="majorBidi" w:hAnsiTheme="majorBidi" w:cstheme="majorBidi"/>
                <w:color w:val="auto"/>
                <w:szCs w:val="22"/>
                <w:u w:val="none"/>
                <w:lang w:eastAsia="zh-CN"/>
              </w:rPr>
              <w:t>w</w:t>
            </w:r>
            <w:r w:rsidR="00C93F3B" w:rsidRPr="0094701E">
              <w:rPr>
                <w:rStyle w:val="Hyperlink"/>
                <w:rFonts w:asciiTheme="majorBidi" w:hAnsiTheme="majorBidi" w:cstheme="majorBidi"/>
                <w:color w:val="auto"/>
                <w:szCs w:val="22"/>
                <w:u w:val="none"/>
                <w:lang w:eastAsia="zh-CN"/>
              </w:rPr>
              <w:t xml:space="preserve">as presented to the </w:t>
            </w:r>
            <w:r w:rsidR="00EB31BD" w:rsidRPr="0094701E">
              <w:rPr>
                <w:rStyle w:val="Hyperlink"/>
                <w:rFonts w:asciiTheme="majorBidi" w:hAnsiTheme="majorBidi" w:cstheme="majorBidi"/>
                <w:color w:val="auto"/>
                <w:szCs w:val="22"/>
                <w:u w:val="none"/>
                <w:lang w:eastAsia="zh-CN"/>
              </w:rPr>
              <w:t>TSAG RG-R</w:t>
            </w:r>
            <w:r w:rsidR="004D0080" w:rsidRPr="0094701E">
              <w:rPr>
                <w:rStyle w:val="Hyperlink"/>
                <w:rFonts w:asciiTheme="majorBidi" w:hAnsiTheme="majorBidi" w:cstheme="majorBidi"/>
                <w:color w:val="auto"/>
                <w:szCs w:val="22"/>
                <w:u w:val="none"/>
                <w:lang w:eastAsia="zh-CN"/>
              </w:rPr>
              <w:t>e</w:t>
            </w:r>
            <w:r w:rsidR="00EB31BD" w:rsidRPr="0094701E">
              <w:rPr>
                <w:rStyle w:val="Hyperlink"/>
                <w:rFonts w:asciiTheme="majorBidi" w:hAnsiTheme="majorBidi" w:cstheme="majorBidi"/>
                <w:color w:val="auto"/>
                <w:szCs w:val="22"/>
                <w:u w:val="none"/>
                <w:lang w:eastAsia="zh-CN"/>
              </w:rPr>
              <w:t>sReview January 2022 e-meeting.</w:t>
            </w:r>
          </w:p>
        </w:tc>
      </w:tr>
      <w:tr w:rsidR="00F0236A" w:rsidRPr="00073574" w14:paraId="7992F738" w14:textId="77777777" w:rsidTr="006F08BE">
        <w:trPr>
          <w:cantSplit/>
          <w:jc w:val="center"/>
        </w:trPr>
        <w:tc>
          <w:tcPr>
            <w:tcW w:w="912" w:type="dxa"/>
            <w:vMerge w:val="restart"/>
            <w:tcBorders>
              <w:top w:val="single" w:sz="12" w:space="0" w:color="auto"/>
            </w:tcBorders>
            <w:shd w:val="clear" w:color="auto" w:fill="auto"/>
          </w:tcPr>
          <w:p w14:paraId="68C68785" w14:textId="77777777" w:rsidR="00F0236A" w:rsidRPr="00073574" w:rsidRDefault="00F0236A" w:rsidP="00D73EE2">
            <w:pPr>
              <w:pStyle w:val="Tabletext"/>
              <w:rPr>
                <w:b/>
                <w:bCs/>
                <w:sz w:val="24"/>
                <w:szCs w:val="24"/>
              </w:rPr>
            </w:pPr>
            <w:r w:rsidRPr="00073574">
              <w:rPr>
                <w:b/>
                <w:bCs/>
                <w:sz w:val="24"/>
                <w:szCs w:val="24"/>
              </w:rPr>
              <w:lastRenderedPageBreak/>
              <w:t>22-08</w:t>
            </w:r>
          </w:p>
        </w:tc>
        <w:tc>
          <w:tcPr>
            <w:tcW w:w="4503" w:type="dxa"/>
            <w:tcBorders>
              <w:top w:val="single" w:sz="12" w:space="0" w:color="auto"/>
            </w:tcBorders>
            <w:shd w:val="clear" w:color="auto" w:fill="auto"/>
          </w:tcPr>
          <w:p w14:paraId="2349D661" w14:textId="77777777" w:rsidR="00F0236A" w:rsidRPr="00073574" w:rsidRDefault="00F0236A" w:rsidP="00D73EE2">
            <w:pPr>
              <w:pStyle w:val="Tabletext"/>
              <w:rPr>
                <w:b/>
                <w:bCs/>
                <w:sz w:val="24"/>
                <w:szCs w:val="24"/>
              </w:rPr>
            </w:pPr>
            <w:r w:rsidRPr="00073574">
              <w:rPr>
                <w:b/>
                <w:bCs/>
                <w:sz w:val="24"/>
                <w:szCs w:val="24"/>
              </w:rPr>
              <w:t>TSB Director to provide information about any work item that has not given rise to any contribution in the time interval of the previous two study group meetings through his or her report about study group activity (i. TSBDir 3)</w:t>
            </w:r>
          </w:p>
        </w:tc>
        <w:tc>
          <w:tcPr>
            <w:tcW w:w="1916" w:type="dxa"/>
            <w:tcBorders>
              <w:top w:val="single" w:sz="12" w:space="0" w:color="auto"/>
            </w:tcBorders>
            <w:shd w:val="clear" w:color="auto" w:fill="auto"/>
            <w:vAlign w:val="center"/>
          </w:tcPr>
          <w:p w14:paraId="62B211A4" w14:textId="5D67E1FF" w:rsidR="00F0236A" w:rsidRPr="00073574" w:rsidRDefault="00F0236A" w:rsidP="00D73EE2">
            <w:pPr>
              <w:pStyle w:val="Tabletext"/>
              <w:jc w:val="center"/>
              <w:rPr>
                <w:b/>
                <w:bCs/>
                <w:sz w:val="24"/>
                <w:szCs w:val="24"/>
              </w:rPr>
            </w:pPr>
            <w:r w:rsidRPr="00073574">
              <w:rPr>
                <w:b/>
                <w:bCs/>
                <w:sz w:val="24"/>
                <w:szCs w:val="24"/>
              </w:rPr>
              <w:t>TSAG 20</w:t>
            </w:r>
            <w:r w:rsidR="002A2401" w:rsidRPr="00073574">
              <w:rPr>
                <w:b/>
                <w:bCs/>
                <w:sz w:val="24"/>
                <w:szCs w:val="24"/>
              </w:rPr>
              <w:t>2</w:t>
            </w:r>
            <w:r w:rsidR="002218FD" w:rsidRPr="00073574">
              <w:rPr>
                <w:b/>
                <w:bCs/>
                <w:sz w:val="24"/>
                <w:szCs w:val="24"/>
              </w:rPr>
              <w:t>1</w:t>
            </w:r>
          </w:p>
        </w:tc>
        <w:tc>
          <w:tcPr>
            <w:tcW w:w="1165" w:type="dxa"/>
            <w:tcBorders>
              <w:top w:val="single" w:sz="12" w:space="0" w:color="auto"/>
            </w:tcBorders>
            <w:shd w:val="clear" w:color="auto" w:fill="auto"/>
            <w:vAlign w:val="center"/>
          </w:tcPr>
          <w:p w14:paraId="645BA894" w14:textId="77777777" w:rsidR="00F0236A" w:rsidRPr="00073574" w:rsidRDefault="00F0236A" w:rsidP="00D73EE2">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2B5F141A" w14:textId="77777777" w:rsidR="00F0236A" w:rsidRPr="00073574" w:rsidDel="00EC33B6" w:rsidRDefault="00F0236A" w:rsidP="00D73EE2">
            <w:pPr>
              <w:pStyle w:val="Tabletext"/>
              <w:jc w:val="center"/>
              <w:rPr>
                <w:b/>
                <w:bCs/>
                <w:sz w:val="24"/>
                <w:szCs w:val="24"/>
              </w:rPr>
            </w:pPr>
          </w:p>
        </w:tc>
      </w:tr>
      <w:tr w:rsidR="00F0236A" w:rsidRPr="00073574" w14:paraId="1ECCC341" w14:textId="77777777" w:rsidTr="006F08BE">
        <w:trPr>
          <w:jc w:val="center"/>
        </w:trPr>
        <w:tc>
          <w:tcPr>
            <w:tcW w:w="912" w:type="dxa"/>
            <w:vMerge/>
            <w:tcBorders>
              <w:bottom w:val="single" w:sz="12" w:space="0" w:color="auto"/>
            </w:tcBorders>
            <w:shd w:val="clear" w:color="auto" w:fill="auto"/>
          </w:tcPr>
          <w:p w14:paraId="16230E04" w14:textId="77777777" w:rsidR="00F0236A" w:rsidRPr="00073574" w:rsidRDefault="00F0236A" w:rsidP="00D73EE2">
            <w:pPr>
              <w:pStyle w:val="Tabletext"/>
              <w:rPr>
                <w:sz w:val="24"/>
                <w:szCs w:val="24"/>
              </w:rPr>
            </w:pPr>
          </w:p>
        </w:tc>
        <w:tc>
          <w:tcPr>
            <w:tcW w:w="8920" w:type="dxa"/>
            <w:gridSpan w:val="4"/>
            <w:shd w:val="clear" w:color="auto" w:fill="auto"/>
          </w:tcPr>
          <w:p w14:paraId="4F2E1B66" w14:textId="3ACA109C" w:rsidR="00F0236A" w:rsidRPr="00073574" w:rsidRDefault="00F0236A" w:rsidP="00D73EE2">
            <w:pPr>
              <w:spacing w:before="40"/>
              <w:rPr>
                <w:szCs w:val="22"/>
              </w:rPr>
            </w:pPr>
            <w:r w:rsidRPr="00073574">
              <w:rPr>
                <w:szCs w:val="22"/>
              </w:rPr>
              <w:t xml:space="preserve">Study Groups monitor the list of stale work items based on a report provided by the SG secretariat at each study group meeting, or on request of the SG management. TSAG sent </w:t>
            </w:r>
            <w:hyperlink r:id="rId219" w:history="1">
              <w:r w:rsidRPr="00073574">
                <w:rPr>
                  <w:rStyle w:val="Hyperlink"/>
                  <w:szCs w:val="22"/>
                </w:rPr>
                <w:t>OLS 006</w:t>
              </w:r>
            </w:hyperlink>
            <w:r w:rsidRPr="00073574">
              <w:rPr>
                <w:szCs w:val="22"/>
              </w:rPr>
              <w:t xml:space="preserve"> to all study groups reminding their duties to follow-up on stale work items.</w:t>
            </w:r>
          </w:p>
          <w:p w14:paraId="59DD6DDE" w14:textId="6836796C" w:rsidR="00C45138" w:rsidRPr="00073574" w:rsidDel="00EC33B6" w:rsidRDefault="00C45138" w:rsidP="00D73EE2">
            <w:pPr>
              <w:spacing w:after="40"/>
              <w:rPr>
                <w:sz w:val="24"/>
              </w:rPr>
            </w:pPr>
            <w:r w:rsidRPr="00073574">
              <w:rPr>
                <w:szCs w:val="22"/>
              </w:rPr>
              <w:t>TSAG compiles the statistics of the ITU-T study groups which includes the report on the stale work items (</w:t>
            </w:r>
            <w:hyperlink r:id="rId220" w:history="1">
              <w:r w:rsidR="00357490" w:rsidRPr="00073574">
                <w:rPr>
                  <w:rStyle w:val="Hyperlink"/>
                  <w:szCs w:val="22"/>
                </w:rPr>
                <w:t>TSAG</w:t>
              </w:r>
              <w:r w:rsidR="002A2401" w:rsidRPr="00073574">
                <w:rPr>
                  <w:rStyle w:val="Hyperlink"/>
                  <w:szCs w:val="22"/>
                </w:rPr>
                <w:t>-</w:t>
              </w:r>
              <w:r w:rsidR="00357490" w:rsidRPr="00073574">
                <w:rPr>
                  <w:rStyle w:val="Hyperlink"/>
                  <w:szCs w:val="22"/>
                </w:rPr>
                <w:t>TD111</w:t>
              </w:r>
              <w:r w:rsidR="002A2401" w:rsidRPr="00073574">
                <w:rPr>
                  <w:rStyle w:val="Hyperlink"/>
                  <w:szCs w:val="22"/>
                </w:rPr>
                <w:t>-</w:t>
              </w:r>
              <w:r w:rsidR="00357490" w:rsidRPr="00073574">
                <w:rPr>
                  <w:rStyle w:val="Hyperlink"/>
                  <w:szCs w:val="22"/>
                </w:rPr>
                <w:t>R1</w:t>
              </w:r>
            </w:hyperlink>
            <w:r w:rsidR="00357490" w:rsidRPr="00073574">
              <w:rPr>
                <w:szCs w:val="22"/>
              </w:rPr>
              <w:t xml:space="preserve">, </w:t>
            </w:r>
            <w:hyperlink r:id="rId221" w:history="1">
              <w:r w:rsidR="0055215C" w:rsidRPr="00073574">
                <w:rPr>
                  <w:rStyle w:val="Hyperlink"/>
                  <w:szCs w:val="22"/>
                </w:rPr>
                <w:t>TSAG</w:t>
              </w:r>
              <w:r w:rsidR="002A2401" w:rsidRPr="00073574">
                <w:rPr>
                  <w:rStyle w:val="Hyperlink"/>
                  <w:szCs w:val="22"/>
                </w:rPr>
                <w:t>-</w:t>
              </w:r>
              <w:r w:rsidR="0055215C" w:rsidRPr="00073574">
                <w:rPr>
                  <w:rStyle w:val="Hyperlink"/>
                  <w:szCs w:val="22"/>
                </w:rPr>
                <w:t>TD142</w:t>
              </w:r>
            </w:hyperlink>
            <w:r w:rsidR="0055215C" w:rsidRPr="00073574">
              <w:rPr>
                <w:szCs w:val="22"/>
              </w:rPr>
              <w:t xml:space="preserve">, </w:t>
            </w:r>
            <w:hyperlink r:id="rId222" w:history="1">
              <w:r w:rsidRPr="00073574">
                <w:rPr>
                  <w:rStyle w:val="Hyperlink"/>
                  <w:szCs w:val="22"/>
                </w:rPr>
                <w:t>TSAG</w:t>
              </w:r>
              <w:r w:rsidR="002A2401" w:rsidRPr="00073574">
                <w:rPr>
                  <w:rStyle w:val="Hyperlink"/>
                  <w:szCs w:val="22"/>
                </w:rPr>
                <w:t>-</w:t>
              </w:r>
              <w:r w:rsidRPr="00073574">
                <w:rPr>
                  <w:rStyle w:val="Hyperlink"/>
                  <w:szCs w:val="22"/>
                </w:rPr>
                <w:t>TD294</w:t>
              </w:r>
              <w:r w:rsidR="002A2401" w:rsidRPr="00B83F83">
                <w:rPr>
                  <w:rStyle w:val="Hyperlink"/>
                  <w:szCs w:val="22"/>
                  <w:u w:val="none"/>
                </w:rPr>
                <w:t xml:space="preserve">, </w:t>
              </w:r>
              <w:r w:rsidR="002A2401" w:rsidRPr="00073574">
                <w:rPr>
                  <w:rStyle w:val="Hyperlink"/>
                  <w:szCs w:val="22"/>
                </w:rPr>
                <w:t>TSAG-TD470</w:t>
              </w:r>
              <w:r w:rsidR="00FA2A46" w:rsidRPr="00073574">
                <w:rPr>
                  <w:rStyle w:val="Hyperlink"/>
                  <w:szCs w:val="22"/>
                </w:rPr>
                <w:t>,</w:t>
              </w:r>
            </w:hyperlink>
            <w:r w:rsidR="00FD493D" w:rsidRPr="00073574">
              <w:rPr>
                <w:szCs w:val="22"/>
              </w:rPr>
              <w:t xml:space="preserve"> </w:t>
            </w:r>
            <w:hyperlink r:id="rId223" w:history="1">
              <w:r w:rsidR="00FD493D" w:rsidRPr="00073574">
                <w:rPr>
                  <w:rStyle w:val="Hyperlink"/>
                  <w:szCs w:val="22"/>
                </w:rPr>
                <w:t>TSAG-TD792</w:t>
              </w:r>
            </w:hyperlink>
            <w:r w:rsidR="00D47415" w:rsidRPr="00073574">
              <w:rPr>
                <w:szCs w:val="22"/>
              </w:rPr>
              <w:t xml:space="preserve">, </w:t>
            </w:r>
            <w:hyperlink r:id="rId224" w:history="1">
              <w:r w:rsidR="00D47415" w:rsidRPr="00073574">
                <w:rPr>
                  <w:rStyle w:val="Hyperlink"/>
                  <w:szCs w:val="22"/>
                </w:rPr>
                <w:t>TSAG-TD935</w:t>
              </w:r>
            </w:hyperlink>
            <w:hyperlink r:id="rId225" w:history="1">
              <w:r w:rsidR="00E1076F" w:rsidRPr="00073574">
                <w:rPr>
                  <w:rStyle w:val="Hyperlink"/>
                  <w:szCs w:val="22"/>
                  <w:lang w:eastAsia="zh-CN"/>
                </w:rPr>
                <w:t>TS</w:t>
              </w:r>
              <w:r w:rsidR="00E1076F" w:rsidRPr="00073574">
                <w:rPr>
                  <w:rStyle w:val="Hyperlink"/>
                </w:rPr>
                <w:t>AG-T</w:t>
              </w:r>
              <w:r w:rsidR="00E1076F" w:rsidRPr="00073574">
                <w:rPr>
                  <w:rStyle w:val="Hyperlink"/>
                  <w:szCs w:val="22"/>
                  <w:lang w:eastAsia="zh-CN"/>
                </w:rPr>
                <w:t>D1034</w:t>
              </w:r>
            </w:hyperlink>
            <w:r w:rsidR="00E1076F" w:rsidRPr="00073574">
              <w:rPr>
                <w:rStyle w:val="Hyperlink"/>
              </w:rPr>
              <w:t xml:space="preserve">, </w:t>
            </w:r>
            <w:hyperlink r:id="rId226" w:history="1">
              <w:r w:rsidR="00F35ABC" w:rsidRPr="00073574">
                <w:rPr>
                  <w:rStyle w:val="Hyperlink"/>
                  <w:rFonts w:asciiTheme="majorBidi" w:hAnsiTheme="majorBidi" w:cstheme="majorBidi"/>
                  <w:szCs w:val="22"/>
                  <w:lang w:eastAsia="zh-CN"/>
                </w:rPr>
                <w:t>TS</w:t>
              </w:r>
              <w:r w:rsidR="00F35ABC" w:rsidRPr="00073574">
                <w:rPr>
                  <w:rStyle w:val="Hyperlink"/>
                  <w:rFonts w:asciiTheme="majorBidi" w:hAnsiTheme="majorBidi" w:cstheme="majorBidi"/>
                </w:rPr>
                <w:t>AG-T</w:t>
              </w:r>
              <w:r w:rsidR="00F35ABC" w:rsidRPr="00073574">
                <w:rPr>
                  <w:rStyle w:val="Hyperlink"/>
                  <w:rFonts w:asciiTheme="majorBidi" w:hAnsiTheme="majorBidi" w:cstheme="majorBidi"/>
                  <w:szCs w:val="22"/>
                  <w:lang w:eastAsia="zh-CN"/>
                </w:rPr>
                <w:t>D1188</w:t>
              </w:r>
            </w:hyperlink>
            <w:r w:rsidR="00FD493D" w:rsidRPr="00073574">
              <w:rPr>
                <w:szCs w:val="22"/>
              </w:rPr>
              <w:t>).</w:t>
            </w:r>
          </w:p>
        </w:tc>
      </w:tr>
      <w:tr w:rsidR="00F0236A" w:rsidRPr="00073574" w14:paraId="6E915BB3" w14:textId="77777777" w:rsidTr="006F08BE">
        <w:trPr>
          <w:cantSplit/>
          <w:jc w:val="center"/>
        </w:trPr>
        <w:tc>
          <w:tcPr>
            <w:tcW w:w="912" w:type="dxa"/>
            <w:vMerge w:val="restart"/>
            <w:tcBorders>
              <w:top w:val="single" w:sz="12" w:space="0" w:color="auto"/>
            </w:tcBorders>
            <w:shd w:val="clear" w:color="auto" w:fill="auto"/>
          </w:tcPr>
          <w:p w14:paraId="306B53C7" w14:textId="77777777" w:rsidR="00F0236A" w:rsidRPr="00073574" w:rsidRDefault="00F0236A" w:rsidP="00DF36E1">
            <w:pPr>
              <w:pStyle w:val="Tabletext"/>
              <w:keepNext/>
              <w:keepLines/>
              <w:rPr>
                <w:b/>
                <w:bCs/>
                <w:sz w:val="24"/>
                <w:szCs w:val="24"/>
              </w:rPr>
            </w:pPr>
            <w:r w:rsidRPr="00073574">
              <w:rPr>
                <w:b/>
                <w:bCs/>
                <w:sz w:val="24"/>
                <w:szCs w:val="24"/>
              </w:rPr>
              <w:t>22-09</w:t>
            </w:r>
          </w:p>
        </w:tc>
        <w:tc>
          <w:tcPr>
            <w:tcW w:w="4503" w:type="dxa"/>
            <w:tcBorders>
              <w:top w:val="single" w:sz="12" w:space="0" w:color="auto"/>
            </w:tcBorders>
            <w:shd w:val="clear" w:color="auto" w:fill="auto"/>
          </w:tcPr>
          <w:p w14:paraId="2079D7DB" w14:textId="77777777" w:rsidR="00F0236A" w:rsidRPr="00073574" w:rsidRDefault="00F0236A" w:rsidP="00DF36E1">
            <w:pPr>
              <w:pStyle w:val="Tabletext"/>
              <w:keepNext/>
              <w:keepLines/>
              <w:rPr>
                <w:b/>
                <w:bCs/>
                <w:sz w:val="24"/>
                <w:szCs w:val="24"/>
              </w:rPr>
            </w:pPr>
            <w:r w:rsidRPr="00073574">
              <w:rPr>
                <w:b/>
                <w:bCs/>
                <w:sz w:val="24"/>
                <w:szCs w:val="24"/>
              </w:rPr>
              <w:t>TSB Director to report to TSAG on the experience in the implementation of the A-series Recommendations for consideration by the ITU</w:t>
            </w:r>
            <w:r w:rsidRPr="00073574">
              <w:rPr>
                <w:b/>
                <w:bCs/>
                <w:sz w:val="24"/>
                <w:szCs w:val="24"/>
              </w:rPr>
              <w:noBreakHyphen/>
              <w:t>T membership (i. TSBDir 4)</w:t>
            </w:r>
          </w:p>
        </w:tc>
        <w:tc>
          <w:tcPr>
            <w:tcW w:w="1916" w:type="dxa"/>
            <w:tcBorders>
              <w:top w:val="single" w:sz="12" w:space="0" w:color="auto"/>
            </w:tcBorders>
            <w:shd w:val="clear" w:color="auto" w:fill="auto"/>
            <w:vAlign w:val="center"/>
          </w:tcPr>
          <w:p w14:paraId="7D5AA8DF" w14:textId="2A03A83F" w:rsidR="00F0236A" w:rsidRPr="00073574" w:rsidRDefault="00F0236A" w:rsidP="00276788">
            <w:pPr>
              <w:pStyle w:val="Tabletext"/>
              <w:jc w:val="center"/>
              <w:rPr>
                <w:b/>
                <w:bCs/>
                <w:sz w:val="24"/>
                <w:szCs w:val="24"/>
              </w:rPr>
            </w:pPr>
            <w:r w:rsidRPr="00073574">
              <w:rPr>
                <w:b/>
                <w:bCs/>
                <w:sz w:val="24"/>
                <w:szCs w:val="24"/>
              </w:rPr>
              <w:t>TSAG 20</w:t>
            </w:r>
            <w:r w:rsidR="00276788" w:rsidRPr="00073574">
              <w:rPr>
                <w:b/>
                <w:bCs/>
                <w:sz w:val="24"/>
                <w:szCs w:val="24"/>
              </w:rPr>
              <w:t>2</w:t>
            </w:r>
            <w:r w:rsidR="000E1BEC" w:rsidRPr="00073574">
              <w:rPr>
                <w:b/>
                <w:bCs/>
                <w:sz w:val="24"/>
                <w:szCs w:val="24"/>
              </w:rPr>
              <w:t>1</w:t>
            </w:r>
          </w:p>
        </w:tc>
        <w:tc>
          <w:tcPr>
            <w:tcW w:w="1165" w:type="dxa"/>
            <w:tcBorders>
              <w:top w:val="single" w:sz="12" w:space="0" w:color="auto"/>
            </w:tcBorders>
            <w:shd w:val="clear" w:color="auto" w:fill="auto"/>
            <w:vAlign w:val="center"/>
          </w:tcPr>
          <w:p w14:paraId="1A0D7BAF"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124EA80B" w14:textId="77777777" w:rsidR="00F0236A" w:rsidRPr="00073574" w:rsidDel="00EC33B6" w:rsidRDefault="00F0236A" w:rsidP="00DF36E1">
            <w:pPr>
              <w:pStyle w:val="Tabletext"/>
              <w:jc w:val="center"/>
              <w:rPr>
                <w:b/>
                <w:bCs/>
                <w:sz w:val="24"/>
                <w:szCs w:val="24"/>
              </w:rPr>
            </w:pPr>
          </w:p>
        </w:tc>
      </w:tr>
      <w:tr w:rsidR="00F0236A" w:rsidRPr="00073574" w14:paraId="16C233F7" w14:textId="77777777" w:rsidTr="006F08BE">
        <w:trPr>
          <w:cantSplit/>
          <w:jc w:val="center"/>
        </w:trPr>
        <w:tc>
          <w:tcPr>
            <w:tcW w:w="912" w:type="dxa"/>
            <w:vMerge/>
            <w:shd w:val="clear" w:color="auto" w:fill="auto"/>
            <w:vAlign w:val="center"/>
          </w:tcPr>
          <w:p w14:paraId="5977DA96" w14:textId="77777777" w:rsidR="00F0236A" w:rsidRPr="00073574" w:rsidRDefault="00F0236A" w:rsidP="00DF36E1">
            <w:pPr>
              <w:pStyle w:val="Tabletext"/>
              <w:rPr>
                <w:sz w:val="24"/>
                <w:szCs w:val="24"/>
              </w:rPr>
            </w:pPr>
          </w:p>
        </w:tc>
        <w:tc>
          <w:tcPr>
            <w:tcW w:w="8920" w:type="dxa"/>
            <w:gridSpan w:val="4"/>
            <w:shd w:val="clear" w:color="auto" w:fill="auto"/>
          </w:tcPr>
          <w:p w14:paraId="6609905F" w14:textId="3510837E" w:rsidR="00F0236A" w:rsidRPr="00073574" w:rsidRDefault="00F0236A" w:rsidP="00284A2E">
            <w:pPr>
              <w:spacing w:before="40"/>
              <w:rPr>
                <w:szCs w:val="22"/>
              </w:rPr>
            </w:pPr>
            <w:r w:rsidRPr="00073574">
              <w:rPr>
                <w:szCs w:val="22"/>
              </w:rPr>
              <w:t xml:space="preserve">Regarding the liaison template in Rec. ITU-T A.1, TSB noticed that the </w:t>
            </w:r>
            <w:r w:rsidR="003C7E25" w:rsidRPr="00073574">
              <w:rPr>
                <w:szCs w:val="22"/>
              </w:rPr>
              <w:t>"</w:t>
            </w:r>
            <w:r w:rsidRPr="00073574">
              <w:rPr>
                <w:szCs w:val="22"/>
              </w:rPr>
              <w:t>For Comment</w:t>
            </w:r>
            <w:r w:rsidR="003C7E25" w:rsidRPr="00073574">
              <w:rPr>
                <w:szCs w:val="22"/>
              </w:rPr>
              <w:t>"</w:t>
            </w:r>
            <w:r w:rsidRPr="00073574">
              <w:rPr>
                <w:szCs w:val="22"/>
              </w:rPr>
              <w:t xml:space="preserve"> field of liaison statements should be discontinued in Rec. ITU-T A.1 as was agreed by TSAG 2016; however, those changes were missed to be brought to WTSA-16. Hence, there is a need to correct </w:t>
            </w:r>
            <w:r w:rsidR="0054200C" w:rsidRPr="00073574">
              <w:rPr>
                <w:szCs w:val="22"/>
              </w:rPr>
              <w:t xml:space="preserve">ITU-T </w:t>
            </w:r>
            <w:r w:rsidRPr="00073574">
              <w:rPr>
                <w:szCs w:val="22"/>
              </w:rPr>
              <w:t>A.1 accordingly</w:t>
            </w:r>
            <w:r w:rsidR="00590A95" w:rsidRPr="00073574">
              <w:rPr>
                <w:szCs w:val="22"/>
              </w:rPr>
              <w:t>, and this was accomplished in the 2019 revision of ITU-T A.1</w:t>
            </w:r>
            <w:r w:rsidRPr="00073574">
              <w:rPr>
                <w:szCs w:val="22"/>
              </w:rPr>
              <w:t>.</w:t>
            </w:r>
          </w:p>
          <w:p w14:paraId="17F46B39" w14:textId="77777777" w:rsidR="00F0236A" w:rsidRPr="00073574" w:rsidDel="00EC33B6" w:rsidRDefault="00F0236A" w:rsidP="00B70D91">
            <w:pPr>
              <w:spacing w:after="40"/>
              <w:rPr>
                <w:sz w:val="24"/>
              </w:rPr>
            </w:pPr>
            <w:r w:rsidRPr="00073574">
              <w:rPr>
                <w:szCs w:val="22"/>
              </w:rPr>
              <w:t>Concerning the two Focus Groups (DFS and IMT-2020) that concluded end of 2016, positive experiences were made in the implementation of Rec. ITU-T A.7, in particular with the streamlined transfer of deliverables from the Focus Groups to the parent study groups as per Rec. ITU-T A.7 Appendix I, which was found very useful.</w:t>
            </w:r>
          </w:p>
        </w:tc>
      </w:tr>
      <w:tr w:rsidR="006F08BE" w:rsidRPr="00073574" w:rsidDel="00EC33B6" w14:paraId="511A4C36" w14:textId="77777777" w:rsidTr="006F08BE">
        <w:trPr>
          <w:cantSplit/>
          <w:jc w:val="center"/>
        </w:trPr>
        <w:tc>
          <w:tcPr>
            <w:tcW w:w="912" w:type="dxa"/>
            <w:vMerge w:val="restart"/>
            <w:tcBorders>
              <w:top w:val="single" w:sz="12" w:space="0" w:color="auto"/>
            </w:tcBorders>
            <w:shd w:val="clear" w:color="auto" w:fill="auto"/>
          </w:tcPr>
          <w:p w14:paraId="413C30D2" w14:textId="0775AB4A" w:rsidR="006F08BE" w:rsidRPr="00073574" w:rsidRDefault="006F08BE" w:rsidP="00443DEB">
            <w:pPr>
              <w:pStyle w:val="Tabletext"/>
              <w:keepNext/>
              <w:keepLines/>
              <w:rPr>
                <w:b/>
                <w:bCs/>
                <w:sz w:val="24"/>
                <w:szCs w:val="24"/>
              </w:rPr>
            </w:pPr>
            <w:bookmarkStart w:id="58" w:name="Item22_01"/>
            <w:bookmarkStart w:id="59" w:name="Item22_02"/>
            <w:bookmarkStart w:id="60" w:name="Item22_03"/>
            <w:bookmarkStart w:id="61" w:name="Item22_04"/>
            <w:bookmarkStart w:id="62" w:name="Item22_05"/>
            <w:bookmarkStart w:id="63" w:name="Item22_06"/>
            <w:bookmarkStart w:id="64" w:name="Item22_07"/>
            <w:bookmarkStart w:id="65" w:name="Item22_08"/>
            <w:bookmarkStart w:id="66" w:name="Item22_09"/>
            <w:bookmarkEnd w:id="58"/>
            <w:bookmarkEnd w:id="59"/>
            <w:bookmarkEnd w:id="60"/>
            <w:bookmarkEnd w:id="61"/>
            <w:bookmarkEnd w:id="62"/>
            <w:bookmarkEnd w:id="63"/>
            <w:bookmarkEnd w:id="64"/>
            <w:bookmarkEnd w:id="65"/>
            <w:bookmarkEnd w:id="66"/>
            <w:r w:rsidRPr="00073574">
              <w:rPr>
                <w:b/>
                <w:bCs/>
                <w:sz w:val="24"/>
                <w:szCs w:val="24"/>
              </w:rPr>
              <w:t>22-10</w:t>
            </w:r>
          </w:p>
        </w:tc>
        <w:tc>
          <w:tcPr>
            <w:tcW w:w="4503" w:type="dxa"/>
            <w:tcBorders>
              <w:top w:val="single" w:sz="12" w:space="0" w:color="auto"/>
            </w:tcBorders>
            <w:shd w:val="clear" w:color="auto" w:fill="auto"/>
          </w:tcPr>
          <w:p w14:paraId="3D29CF3E" w14:textId="6EEB1EDF" w:rsidR="006F08BE" w:rsidRPr="00073574" w:rsidRDefault="006F08BE" w:rsidP="00443DEB">
            <w:pPr>
              <w:pStyle w:val="Tabletext"/>
              <w:keepNext/>
              <w:keepLines/>
              <w:rPr>
                <w:b/>
                <w:bCs/>
                <w:sz w:val="24"/>
                <w:szCs w:val="24"/>
              </w:rPr>
            </w:pPr>
            <w:r w:rsidRPr="00073574">
              <w:rPr>
                <w:b/>
                <w:bCs/>
                <w:sz w:val="24"/>
                <w:szCs w:val="24"/>
              </w:rPr>
              <w:t xml:space="preserve">WTSA-16 </w:t>
            </w:r>
            <w:r w:rsidR="00D316CC" w:rsidRPr="00073574">
              <w:rPr>
                <w:b/>
                <w:bCs/>
                <w:sz w:val="24"/>
                <w:szCs w:val="24"/>
              </w:rPr>
              <w:t>requested TSAG to find a definition for “agreement” as applied to non-normative texts</w:t>
            </w:r>
            <w:r w:rsidR="009D3F36" w:rsidRPr="00073574">
              <w:rPr>
                <w:b/>
                <w:bCs/>
                <w:sz w:val="24"/>
                <w:szCs w:val="24"/>
              </w:rPr>
              <w:t xml:space="preserve"> (WTSA-1</w:t>
            </w:r>
            <w:r w:rsidR="002A73A5" w:rsidRPr="00073574">
              <w:rPr>
                <w:b/>
                <w:bCs/>
                <w:sz w:val="24"/>
                <w:szCs w:val="24"/>
              </w:rPr>
              <w:t>6</w:t>
            </w:r>
            <w:r w:rsidR="009D3F36" w:rsidRPr="00073574">
              <w:rPr>
                <w:b/>
                <w:bCs/>
                <w:sz w:val="24"/>
                <w:szCs w:val="24"/>
              </w:rPr>
              <w:t xml:space="preserve"> Proceedings, 5.4)</w:t>
            </w:r>
          </w:p>
        </w:tc>
        <w:tc>
          <w:tcPr>
            <w:tcW w:w="1916" w:type="dxa"/>
            <w:tcBorders>
              <w:top w:val="single" w:sz="12" w:space="0" w:color="auto"/>
            </w:tcBorders>
            <w:shd w:val="clear" w:color="auto" w:fill="auto"/>
            <w:vAlign w:val="center"/>
          </w:tcPr>
          <w:p w14:paraId="08004708" w14:textId="15F0ECCE" w:rsidR="006F08BE" w:rsidRPr="00073574" w:rsidRDefault="00F211E6" w:rsidP="00443DEB">
            <w:pPr>
              <w:pStyle w:val="Tabletext"/>
              <w:jc w:val="center"/>
              <w:rPr>
                <w:b/>
                <w:bCs/>
                <w:sz w:val="24"/>
                <w:szCs w:val="24"/>
              </w:rPr>
            </w:pPr>
            <w:r w:rsidRPr="00073574">
              <w:rPr>
                <w:b/>
                <w:bCs/>
                <w:sz w:val="24"/>
                <w:szCs w:val="24"/>
              </w:rPr>
              <w:t>Completed</w:t>
            </w:r>
          </w:p>
        </w:tc>
        <w:tc>
          <w:tcPr>
            <w:tcW w:w="1165" w:type="dxa"/>
            <w:tcBorders>
              <w:top w:val="single" w:sz="12" w:space="0" w:color="auto"/>
            </w:tcBorders>
            <w:shd w:val="clear" w:color="auto" w:fill="auto"/>
            <w:vAlign w:val="center"/>
          </w:tcPr>
          <w:p w14:paraId="0DB1B8A7" w14:textId="6CEE4BE6" w:rsidR="006F08BE" w:rsidRPr="00073574" w:rsidRDefault="000740ED" w:rsidP="00443DEB">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7605A1BA" w14:textId="0CE2A0BC" w:rsidR="006F08BE" w:rsidRPr="00073574" w:rsidDel="00EC33B6" w:rsidRDefault="000740ED" w:rsidP="00443DEB">
            <w:pPr>
              <w:pStyle w:val="Tabletext"/>
              <w:jc w:val="center"/>
              <w:rPr>
                <w:b/>
                <w:bCs/>
                <w:sz w:val="24"/>
                <w:szCs w:val="24"/>
              </w:rPr>
            </w:pPr>
            <w:r w:rsidRPr="00073574">
              <w:rPr>
                <w:b/>
                <w:bCs/>
                <w:sz w:val="24"/>
                <w:szCs w:val="24"/>
              </w:rPr>
              <w:t>√</w:t>
            </w:r>
          </w:p>
        </w:tc>
      </w:tr>
      <w:tr w:rsidR="006F08BE" w:rsidRPr="00073574" w:rsidDel="00EC33B6" w14:paraId="4BB229F2" w14:textId="77777777" w:rsidTr="006F08BE">
        <w:trPr>
          <w:cantSplit/>
          <w:jc w:val="center"/>
        </w:trPr>
        <w:tc>
          <w:tcPr>
            <w:tcW w:w="912" w:type="dxa"/>
            <w:vMerge/>
            <w:shd w:val="clear" w:color="auto" w:fill="auto"/>
            <w:vAlign w:val="center"/>
          </w:tcPr>
          <w:p w14:paraId="78EAA654" w14:textId="77777777" w:rsidR="006F08BE" w:rsidRPr="00073574" w:rsidRDefault="006F08BE" w:rsidP="00443DEB">
            <w:pPr>
              <w:pStyle w:val="Tabletext"/>
              <w:rPr>
                <w:sz w:val="24"/>
                <w:szCs w:val="24"/>
              </w:rPr>
            </w:pPr>
          </w:p>
        </w:tc>
        <w:tc>
          <w:tcPr>
            <w:tcW w:w="8920" w:type="dxa"/>
            <w:gridSpan w:val="4"/>
            <w:shd w:val="clear" w:color="auto" w:fill="auto"/>
          </w:tcPr>
          <w:p w14:paraId="47095296" w14:textId="60EF7EA6" w:rsidR="006F08BE" w:rsidRPr="00073574" w:rsidDel="00EC33B6" w:rsidRDefault="001532C2" w:rsidP="00DC5BC3">
            <w:pPr>
              <w:spacing w:before="40"/>
              <w:rPr>
                <w:szCs w:val="22"/>
              </w:rPr>
            </w:pPr>
            <w:r w:rsidRPr="00073574">
              <w:rPr>
                <w:szCs w:val="22"/>
              </w:rPr>
              <w:t xml:space="preserve">TSAG approved revised Recommendation ITU-T A.13 </w:t>
            </w:r>
            <w:r w:rsidR="000845FD" w:rsidRPr="00073574">
              <w:rPr>
                <w:szCs w:val="22"/>
              </w:rPr>
              <w:t xml:space="preserve">(9/2019) </w:t>
            </w:r>
            <w:r w:rsidRPr="00073574">
              <w:rPr>
                <w:szCs w:val="22"/>
              </w:rPr>
              <w:t>“</w:t>
            </w:r>
            <w:r w:rsidR="000845FD" w:rsidRPr="00073574">
              <w:rPr>
                <w:szCs w:val="22"/>
              </w:rPr>
              <w:t>Non-normative ITU-T publications, including Supplements to ITU-T Recommendations</w:t>
            </w:r>
            <w:r w:rsidRPr="00073574">
              <w:rPr>
                <w:szCs w:val="22"/>
              </w:rPr>
              <w:t>”</w:t>
            </w:r>
            <w:r w:rsidR="00665638" w:rsidRPr="00073574">
              <w:rPr>
                <w:szCs w:val="22"/>
              </w:rPr>
              <w:t xml:space="preserve">, which contains in clause 6.2 a statement </w:t>
            </w:r>
            <w:r w:rsidR="009D1883" w:rsidRPr="00073574">
              <w:rPr>
                <w:szCs w:val="22"/>
              </w:rPr>
              <w:t>addressing agreement for non-normative documents.</w:t>
            </w:r>
          </w:p>
        </w:tc>
      </w:tr>
      <w:tr w:rsidR="003629AC" w:rsidRPr="00073574" w:rsidDel="00EC33B6" w14:paraId="625C56DC" w14:textId="77777777" w:rsidTr="00443DEB">
        <w:trPr>
          <w:cantSplit/>
          <w:jc w:val="center"/>
        </w:trPr>
        <w:tc>
          <w:tcPr>
            <w:tcW w:w="912" w:type="dxa"/>
            <w:vMerge w:val="restart"/>
            <w:tcBorders>
              <w:top w:val="single" w:sz="12" w:space="0" w:color="auto"/>
            </w:tcBorders>
            <w:shd w:val="clear" w:color="auto" w:fill="auto"/>
          </w:tcPr>
          <w:p w14:paraId="7F323911" w14:textId="642581FC" w:rsidR="003629AC" w:rsidRPr="00073574" w:rsidRDefault="003629AC" w:rsidP="00443DEB">
            <w:pPr>
              <w:pStyle w:val="Tabletext"/>
              <w:keepNext/>
              <w:keepLines/>
              <w:rPr>
                <w:b/>
                <w:bCs/>
                <w:sz w:val="24"/>
                <w:szCs w:val="24"/>
              </w:rPr>
            </w:pPr>
            <w:r w:rsidRPr="00073574">
              <w:rPr>
                <w:b/>
                <w:bCs/>
                <w:sz w:val="24"/>
                <w:szCs w:val="24"/>
              </w:rPr>
              <w:t>22-11</w:t>
            </w:r>
          </w:p>
        </w:tc>
        <w:tc>
          <w:tcPr>
            <w:tcW w:w="4503" w:type="dxa"/>
            <w:tcBorders>
              <w:top w:val="single" w:sz="12" w:space="0" w:color="auto"/>
            </w:tcBorders>
            <w:shd w:val="clear" w:color="auto" w:fill="auto"/>
          </w:tcPr>
          <w:p w14:paraId="44C437CA" w14:textId="1A0B896B" w:rsidR="003629AC" w:rsidRPr="00073574" w:rsidRDefault="003629AC" w:rsidP="00443DEB">
            <w:pPr>
              <w:pStyle w:val="Tabletext"/>
              <w:keepNext/>
              <w:keepLines/>
              <w:rPr>
                <w:b/>
                <w:bCs/>
                <w:sz w:val="24"/>
                <w:szCs w:val="24"/>
              </w:rPr>
            </w:pPr>
            <w:r w:rsidRPr="00073574">
              <w:rPr>
                <w:b/>
                <w:bCs/>
                <w:sz w:val="24"/>
                <w:szCs w:val="24"/>
              </w:rPr>
              <w:t xml:space="preserve">WTSA-16 </w:t>
            </w:r>
            <w:r w:rsidR="001F5571" w:rsidRPr="00073574">
              <w:rPr>
                <w:b/>
                <w:bCs/>
                <w:sz w:val="24"/>
                <w:szCs w:val="24"/>
              </w:rPr>
              <w:t>instructed</w:t>
            </w:r>
            <w:r w:rsidRPr="00073574">
              <w:rPr>
                <w:b/>
                <w:bCs/>
                <w:sz w:val="24"/>
                <w:szCs w:val="24"/>
              </w:rPr>
              <w:t xml:space="preserve"> TSAG to </w:t>
            </w:r>
            <w:r w:rsidR="001F5571" w:rsidRPr="00073574">
              <w:rPr>
                <w:b/>
                <w:bCs/>
                <w:sz w:val="24"/>
                <w:szCs w:val="24"/>
              </w:rPr>
              <w:t>conduct a holistic review o</w:t>
            </w:r>
            <w:r w:rsidR="00361A5D" w:rsidRPr="00073574">
              <w:rPr>
                <w:b/>
                <w:bCs/>
                <w:sz w:val="24"/>
                <w:szCs w:val="24"/>
              </w:rPr>
              <w:t>f</w:t>
            </w:r>
            <w:r w:rsidR="001F5571" w:rsidRPr="00073574">
              <w:rPr>
                <w:b/>
                <w:bCs/>
                <w:sz w:val="24"/>
                <w:szCs w:val="24"/>
              </w:rPr>
              <w:t xml:space="preserve"> document development and approval procedures across Resolution 1, </w:t>
            </w:r>
            <w:r w:rsidR="009E4FBB" w:rsidRPr="00073574">
              <w:rPr>
                <w:b/>
                <w:bCs/>
                <w:sz w:val="24"/>
                <w:szCs w:val="24"/>
              </w:rPr>
              <w:t>Recommendation ITU-T A.1, and Recommendation ITU-T A.13, and to prepare</w:t>
            </w:r>
            <w:r w:rsidR="00131168" w:rsidRPr="00073574">
              <w:rPr>
                <w:b/>
                <w:bCs/>
                <w:sz w:val="24"/>
                <w:szCs w:val="24"/>
              </w:rPr>
              <w:t xml:space="preserve"> a proposal to the next Assembly</w:t>
            </w:r>
            <w:r w:rsidRPr="00073574">
              <w:rPr>
                <w:b/>
                <w:bCs/>
                <w:sz w:val="24"/>
                <w:szCs w:val="24"/>
              </w:rPr>
              <w:t xml:space="preserve"> (WTSA-1</w:t>
            </w:r>
            <w:r w:rsidR="002A73A5" w:rsidRPr="00073574">
              <w:rPr>
                <w:b/>
                <w:bCs/>
                <w:sz w:val="24"/>
                <w:szCs w:val="24"/>
              </w:rPr>
              <w:t>6</w:t>
            </w:r>
            <w:r w:rsidRPr="00073574">
              <w:rPr>
                <w:b/>
                <w:bCs/>
                <w:sz w:val="24"/>
                <w:szCs w:val="24"/>
              </w:rPr>
              <w:t xml:space="preserve"> Proceedings, 5.4)</w:t>
            </w:r>
          </w:p>
        </w:tc>
        <w:tc>
          <w:tcPr>
            <w:tcW w:w="1916" w:type="dxa"/>
            <w:tcBorders>
              <w:top w:val="single" w:sz="12" w:space="0" w:color="auto"/>
            </w:tcBorders>
            <w:shd w:val="clear" w:color="auto" w:fill="auto"/>
            <w:vAlign w:val="center"/>
          </w:tcPr>
          <w:p w14:paraId="369D088A" w14:textId="1193006C" w:rsidR="003629AC" w:rsidRPr="00073574" w:rsidRDefault="003629AC" w:rsidP="00443DEB">
            <w:pPr>
              <w:pStyle w:val="Tabletext"/>
              <w:jc w:val="center"/>
              <w:rPr>
                <w:b/>
                <w:bCs/>
                <w:sz w:val="24"/>
                <w:szCs w:val="24"/>
              </w:rPr>
            </w:pPr>
            <w:r w:rsidRPr="00073574">
              <w:rPr>
                <w:b/>
                <w:bCs/>
                <w:sz w:val="24"/>
                <w:szCs w:val="24"/>
              </w:rPr>
              <w:t>Ongoing</w:t>
            </w:r>
          </w:p>
        </w:tc>
        <w:tc>
          <w:tcPr>
            <w:tcW w:w="1165" w:type="dxa"/>
            <w:tcBorders>
              <w:top w:val="single" w:sz="12" w:space="0" w:color="auto"/>
            </w:tcBorders>
            <w:shd w:val="clear" w:color="auto" w:fill="auto"/>
            <w:vAlign w:val="center"/>
          </w:tcPr>
          <w:p w14:paraId="415D6CE6" w14:textId="61583085" w:rsidR="003629AC" w:rsidRPr="00073574" w:rsidRDefault="00352B9B" w:rsidP="00443DEB">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38279A6F" w14:textId="2228FA8C" w:rsidR="003629AC" w:rsidRPr="00073574" w:rsidDel="00EC33B6" w:rsidRDefault="003629AC" w:rsidP="00443DEB">
            <w:pPr>
              <w:pStyle w:val="Tabletext"/>
              <w:jc w:val="center"/>
              <w:rPr>
                <w:b/>
                <w:bCs/>
                <w:sz w:val="24"/>
                <w:szCs w:val="24"/>
              </w:rPr>
            </w:pPr>
          </w:p>
        </w:tc>
      </w:tr>
      <w:tr w:rsidR="003629AC" w:rsidRPr="00073574" w:rsidDel="00EC33B6" w14:paraId="3AF4C35C" w14:textId="77777777" w:rsidTr="00443DEB">
        <w:trPr>
          <w:cantSplit/>
          <w:jc w:val="center"/>
        </w:trPr>
        <w:tc>
          <w:tcPr>
            <w:tcW w:w="912" w:type="dxa"/>
            <w:vMerge/>
            <w:shd w:val="clear" w:color="auto" w:fill="auto"/>
            <w:vAlign w:val="center"/>
          </w:tcPr>
          <w:p w14:paraId="0B7D1B27" w14:textId="77777777" w:rsidR="003629AC" w:rsidRPr="00073574" w:rsidRDefault="003629AC" w:rsidP="00443DEB">
            <w:pPr>
              <w:pStyle w:val="Tabletext"/>
              <w:rPr>
                <w:sz w:val="24"/>
                <w:szCs w:val="24"/>
              </w:rPr>
            </w:pPr>
          </w:p>
        </w:tc>
        <w:tc>
          <w:tcPr>
            <w:tcW w:w="8920" w:type="dxa"/>
            <w:gridSpan w:val="4"/>
            <w:shd w:val="clear" w:color="auto" w:fill="auto"/>
          </w:tcPr>
          <w:p w14:paraId="598769DA" w14:textId="6D72E618" w:rsidR="003629AC" w:rsidRPr="00073574" w:rsidDel="00EC33B6" w:rsidRDefault="00352B9B" w:rsidP="00DC5BC3">
            <w:pPr>
              <w:pStyle w:val="Tabletext"/>
              <w:rPr>
                <w:szCs w:val="22"/>
              </w:rPr>
            </w:pPr>
            <w:r w:rsidRPr="00073574">
              <w:rPr>
                <w:szCs w:val="22"/>
              </w:rPr>
              <w:t>TSAG Rapporteur Group on Working Methods</w:t>
            </w:r>
            <w:r w:rsidR="00B07C58" w:rsidRPr="00073574">
              <w:rPr>
                <w:szCs w:val="22"/>
              </w:rPr>
              <w:t xml:space="preserve"> </w:t>
            </w:r>
            <w:r w:rsidR="0026691E" w:rsidRPr="00073574">
              <w:rPr>
                <w:szCs w:val="22"/>
              </w:rPr>
              <w:t xml:space="preserve">is discussing contributions addressing </w:t>
            </w:r>
            <w:r w:rsidR="00FD26F7" w:rsidRPr="00073574">
              <w:rPr>
                <w:szCs w:val="22"/>
              </w:rPr>
              <w:t xml:space="preserve">modifications to </w:t>
            </w:r>
            <w:r w:rsidR="0026691E" w:rsidRPr="00073574">
              <w:rPr>
                <w:szCs w:val="22"/>
              </w:rPr>
              <w:t>WTSA Resolution 1, and revisions to Recommendation ITU-T A.1.</w:t>
            </w:r>
          </w:p>
        </w:tc>
      </w:tr>
      <w:tr w:rsidR="00224CAB" w:rsidRPr="00073574" w:rsidDel="00EC33B6" w14:paraId="3D715434" w14:textId="77777777" w:rsidTr="00443DEB">
        <w:trPr>
          <w:cantSplit/>
          <w:jc w:val="center"/>
        </w:trPr>
        <w:tc>
          <w:tcPr>
            <w:tcW w:w="912" w:type="dxa"/>
            <w:vMerge w:val="restart"/>
            <w:tcBorders>
              <w:top w:val="single" w:sz="12" w:space="0" w:color="auto"/>
            </w:tcBorders>
            <w:shd w:val="clear" w:color="auto" w:fill="auto"/>
          </w:tcPr>
          <w:p w14:paraId="2DBE65C6" w14:textId="58D69009" w:rsidR="00224CAB" w:rsidRPr="00073574" w:rsidRDefault="00224CAB" w:rsidP="00224CAB">
            <w:pPr>
              <w:pStyle w:val="Tabletext"/>
              <w:keepNext/>
              <w:keepLines/>
              <w:rPr>
                <w:b/>
                <w:bCs/>
                <w:sz w:val="24"/>
                <w:szCs w:val="24"/>
              </w:rPr>
            </w:pPr>
            <w:r w:rsidRPr="00073574">
              <w:rPr>
                <w:b/>
                <w:bCs/>
                <w:sz w:val="24"/>
                <w:szCs w:val="24"/>
              </w:rPr>
              <w:lastRenderedPageBreak/>
              <w:t>22-12</w:t>
            </w:r>
          </w:p>
        </w:tc>
        <w:tc>
          <w:tcPr>
            <w:tcW w:w="4503" w:type="dxa"/>
            <w:tcBorders>
              <w:top w:val="single" w:sz="12" w:space="0" w:color="auto"/>
            </w:tcBorders>
            <w:shd w:val="clear" w:color="auto" w:fill="auto"/>
          </w:tcPr>
          <w:p w14:paraId="7C53284E" w14:textId="67F711CE" w:rsidR="00224CAB" w:rsidRPr="00073574" w:rsidRDefault="00224CAB" w:rsidP="00224CAB">
            <w:pPr>
              <w:pStyle w:val="Tabletext"/>
              <w:keepNext/>
              <w:keepLines/>
              <w:rPr>
                <w:b/>
                <w:bCs/>
                <w:sz w:val="24"/>
                <w:szCs w:val="24"/>
              </w:rPr>
            </w:pPr>
            <w:r w:rsidRPr="00073574">
              <w:rPr>
                <w:b/>
                <w:bCs/>
                <w:sz w:val="24"/>
                <w:szCs w:val="24"/>
              </w:rPr>
              <w:t>WTSA-16 instructed TSAG to investigate further the procedures for the development and agreement of non-normative texts within ITU-T and assign the urgency of the issue (WTSA-1</w:t>
            </w:r>
            <w:r w:rsidR="002A73A5" w:rsidRPr="00073574">
              <w:rPr>
                <w:b/>
                <w:bCs/>
                <w:sz w:val="24"/>
                <w:szCs w:val="24"/>
              </w:rPr>
              <w:t>6</w:t>
            </w:r>
            <w:r w:rsidRPr="00073574">
              <w:rPr>
                <w:b/>
                <w:bCs/>
                <w:sz w:val="24"/>
                <w:szCs w:val="24"/>
              </w:rPr>
              <w:t xml:space="preserve"> Proceedings, 5.4)</w:t>
            </w:r>
          </w:p>
        </w:tc>
        <w:tc>
          <w:tcPr>
            <w:tcW w:w="1916" w:type="dxa"/>
            <w:tcBorders>
              <w:top w:val="single" w:sz="12" w:space="0" w:color="auto"/>
            </w:tcBorders>
            <w:shd w:val="clear" w:color="auto" w:fill="auto"/>
            <w:vAlign w:val="center"/>
          </w:tcPr>
          <w:p w14:paraId="1D3E2E33" w14:textId="67EF620A" w:rsidR="00224CAB" w:rsidRPr="00073574" w:rsidRDefault="00F211E6" w:rsidP="00224CAB">
            <w:pPr>
              <w:pStyle w:val="Tabletext"/>
              <w:jc w:val="center"/>
              <w:rPr>
                <w:b/>
                <w:bCs/>
                <w:sz w:val="24"/>
                <w:szCs w:val="24"/>
              </w:rPr>
            </w:pPr>
            <w:r w:rsidRPr="00073574">
              <w:rPr>
                <w:b/>
                <w:bCs/>
                <w:sz w:val="24"/>
                <w:szCs w:val="24"/>
              </w:rPr>
              <w:t>Completed</w:t>
            </w:r>
          </w:p>
        </w:tc>
        <w:tc>
          <w:tcPr>
            <w:tcW w:w="1165" w:type="dxa"/>
            <w:tcBorders>
              <w:top w:val="single" w:sz="12" w:space="0" w:color="auto"/>
            </w:tcBorders>
            <w:shd w:val="clear" w:color="auto" w:fill="auto"/>
            <w:vAlign w:val="center"/>
          </w:tcPr>
          <w:p w14:paraId="757F29B9" w14:textId="0A7C1A42" w:rsidR="00224CAB" w:rsidRPr="00073574" w:rsidRDefault="00224CAB" w:rsidP="00224CAB">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2A709E30" w14:textId="56081271" w:rsidR="00224CAB" w:rsidRPr="00073574" w:rsidDel="00EC33B6" w:rsidRDefault="00224CAB" w:rsidP="00224CAB">
            <w:pPr>
              <w:pStyle w:val="Tabletext"/>
              <w:jc w:val="center"/>
              <w:rPr>
                <w:b/>
                <w:bCs/>
                <w:sz w:val="24"/>
                <w:szCs w:val="24"/>
              </w:rPr>
            </w:pPr>
            <w:r w:rsidRPr="00073574">
              <w:rPr>
                <w:b/>
                <w:bCs/>
                <w:sz w:val="24"/>
                <w:szCs w:val="24"/>
              </w:rPr>
              <w:t>√</w:t>
            </w:r>
          </w:p>
        </w:tc>
      </w:tr>
      <w:tr w:rsidR="00131168" w:rsidRPr="00073574" w:rsidDel="00EC33B6" w14:paraId="5BBF5B50" w14:textId="77777777" w:rsidTr="00443DEB">
        <w:trPr>
          <w:cantSplit/>
          <w:jc w:val="center"/>
        </w:trPr>
        <w:tc>
          <w:tcPr>
            <w:tcW w:w="912" w:type="dxa"/>
            <w:vMerge/>
            <w:shd w:val="clear" w:color="auto" w:fill="auto"/>
            <w:vAlign w:val="center"/>
          </w:tcPr>
          <w:p w14:paraId="3FB834A5" w14:textId="77777777" w:rsidR="00131168" w:rsidRPr="00073574" w:rsidRDefault="00131168" w:rsidP="00443DEB">
            <w:pPr>
              <w:pStyle w:val="Tabletext"/>
              <w:rPr>
                <w:sz w:val="24"/>
                <w:szCs w:val="24"/>
              </w:rPr>
            </w:pPr>
          </w:p>
        </w:tc>
        <w:tc>
          <w:tcPr>
            <w:tcW w:w="8920" w:type="dxa"/>
            <w:gridSpan w:val="4"/>
            <w:shd w:val="clear" w:color="auto" w:fill="auto"/>
          </w:tcPr>
          <w:p w14:paraId="18C86B0C" w14:textId="1EF1339F" w:rsidR="00131168" w:rsidRPr="00073574" w:rsidDel="00EC33B6" w:rsidRDefault="00EE4FA7" w:rsidP="001556ED">
            <w:pPr>
              <w:pStyle w:val="Tabletext"/>
              <w:rPr>
                <w:sz w:val="24"/>
              </w:rPr>
            </w:pPr>
            <w:r w:rsidRPr="00073574">
              <w:rPr>
                <w:szCs w:val="22"/>
              </w:rPr>
              <w:t>TSAG approved revised Recommendation ITU-T A.13 (9/2019) “Non-normative ITU-T publications, including Supplements to ITU-T Recommendations”,</w:t>
            </w:r>
            <w:r w:rsidR="009D06A4" w:rsidRPr="00073574">
              <w:rPr>
                <w:szCs w:val="22"/>
              </w:rPr>
              <w:t xml:space="preserve"> </w:t>
            </w:r>
            <w:r w:rsidR="00C1620C" w:rsidRPr="00073574">
              <w:rPr>
                <w:szCs w:val="22"/>
              </w:rPr>
              <w:t xml:space="preserve">which constitutes a major </w:t>
            </w:r>
            <w:r w:rsidR="00213EA6" w:rsidRPr="00073574">
              <w:rPr>
                <w:szCs w:val="22"/>
              </w:rPr>
              <w:t>o</w:t>
            </w:r>
            <w:r w:rsidR="009D3CE1" w:rsidRPr="00073574">
              <w:rPr>
                <w:szCs w:val="22"/>
              </w:rPr>
              <w:t>v</w:t>
            </w:r>
            <w:r w:rsidR="00213EA6" w:rsidRPr="00073574">
              <w:rPr>
                <w:szCs w:val="22"/>
              </w:rPr>
              <w:t>erhaul and amendment of the former edition of ITU-T A.13</w:t>
            </w:r>
            <w:r w:rsidR="00D7674D" w:rsidRPr="00073574">
              <w:rPr>
                <w:szCs w:val="22"/>
              </w:rPr>
              <w:t>, putting emphasis o</w:t>
            </w:r>
            <w:r w:rsidR="00224CAB" w:rsidRPr="00073574">
              <w:rPr>
                <w:szCs w:val="22"/>
              </w:rPr>
              <w:t>n the working methods and procedures relevant for non-normative texts</w:t>
            </w:r>
            <w:r w:rsidR="000810F6" w:rsidRPr="00073574">
              <w:rPr>
                <w:szCs w:val="22"/>
              </w:rPr>
              <w:t xml:space="preserve">, including </w:t>
            </w:r>
            <w:r w:rsidR="001A6DCB" w:rsidRPr="00073574">
              <w:rPr>
                <w:szCs w:val="22"/>
              </w:rPr>
              <w:t>provision of an ITU-T A.13 new work item template in Annex A</w:t>
            </w:r>
            <w:r w:rsidR="00224CAB" w:rsidRPr="00073574">
              <w:rPr>
                <w:szCs w:val="22"/>
              </w:rPr>
              <w:t>.</w:t>
            </w:r>
          </w:p>
        </w:tc>
      </w:tr>
      <w:tr w:rsidR="00B67540" w:rsidRPr="00073574" w:rsidDel="00EC33B6" w14:paraId="1B8A0F56" w14:textId="77777777" w:rsidTr="00443DEB">
        <w:trPr>
          <w:cantSplit/>
          <w:jc w:val="center"/>
        </w:trPr>
        <w:tc>
          <w:tcPr>
            <w:tcW w:w="912" w:type="dxa"/>
            <w:vMerge w:val="restart"/>
            <w:tcBorders>
              <w:top w:val="single" w:sz="12" w:space="0" w:color="auto"/>
            </w:tcBorders>
            <w:shd w:val="clear" w:color="auto" w:fill="auto"/>
          </w:tcPr>
          <w:p w14:paraId="29BAC261" w14:textId="41C623DA" w:rsidR="00B67540" w:rsidRPr="00073574" w:rsidRDefault="00B67540" w:rsidP="00443DEB">
            <w:pPr>
              <w:pStyle w:val="Tabletext"/>
              <w:keepNext/>
              <w:keepLines/>
              <w:rPr>
                <w:b/>
                <w:bCs/>
                <w:sz w:val="24"/>
                <w:szCs w:val="24"/>
              </w:rPr>
            </w:pPr>
            <w:r w:rsidRPr="00073574">
              <w:rPr>
                <w:b/>
                <w:bCs/>
                <w:sz w:val="24"/>
                <w:szCs w:val="24"/>
              </w:rPr>
              <w:t>22-13</w:t>
            </w:r>
          </w:p>
        </w:tc>
        <w:tc>
          <w:tcPr>
            <w:tcW w:w="4503" w:type="dxa"/>
            <w:tcBorders>
              <w:top w:val="single" w:sz="12" w:space="0" w:color="auto"/>
            </w:tcBorders>
            <w:shd w:val="clear" w:color="auto" w:fill="auto"/>
          </w:tcPr>
          <w:p w14:paraId="7CBFBA3B" w14:textId="6A3DBA08" w:rsidR="00B67540" w:rsidRPr="00073574" w:rsidRDefault="00084A29" w:rsidP="00443DEB">
            <w:pPr>
              <w:pStyle w:val="Tabletext"/>
              <w:keepNext/>
              <w:keepLines/>
              <w:rPr>
                <w:b/>
                <w:sz w:val="24"/>
                <w:szCs w:val="24"/>
              </w:rPr>
            </w:pPr>
            <w:r w:rsidRPr="00073574">
              <w:rPr>
                <w:rFonts w:asciiTheme="majorBidi" w:hAnsiTheme="majorBidi" w:cstheme="majorBidi"/>
                <w:b/>
                <w:sz w:val="24"/>
                <w:szCs w:val="24"/>
              </w:rPr>
              <w:t>WTSA-16 requested TSAG to take into account the text of paragraph 1bis.10 (in WTSA-16 Doc116</w:t>
            </w:r>
            <w:r w:rsidRPr="00073574">
              <w:rPr>
                <w:rStyle w:val="FootnoteReference"/>
                <w:rFonts w:asciiTheme="majorBidi" w:hAnsiTheme="majorBidi" w:cstheme="majorBidi"/>
                <w:b/>
                <w:sz w:val="24"/>
                <w:szCs w:val="24"/>
              </w:rPr>
              <w:footnoteReference w:id="2"/>
            </w:r>
            <w:r w:rsidRPr="00073574">
              <w:rPr>
                <w:rFonts w:asciiTheme="majorBidi" w:hAnsiTheme="majorBidi" w:cstheme="majorBidi"/>
                <w:b/>
                <w:sz w:val="24"/>
                <w:szCs w:val="24"/>
              </w:rPr>
              <w:t>) during the development of a draft revised WTSA Resolution 1 for consideration at WTSA-20 or for inclusion in Recommendation ITU-T A.1</w:t>
            </w:r>
            <w:r w:rsidR="000C4670" w:rsidRPr="00073574">
              <w:rPr>
                <w:rFonts w:asciiTheme="majorBidi" w:hAnsiTheme="majorBidi" w:cstheme="majorBidi"/>
                <w:b/>
                <w:sz w:val="24"/>
                <w:szCs w:val="24"/>
              </w:rPr>
              <w:t xml:space="preserve"> (WTSA-16 Proceedings, </w:t>
            </w:r>
            <w:r w:rsidR="001E4A81" w:rsidRPr="00073574">
              <w:rPr>
                <w:rFonts w:asciiTheme="majorBidi" w:hAnsiTheme="majorBidi" w:cstheme="majorBidi"/>
                <w:b/>
                <w:sz w:val="24"/>
                <w:szCs w:val="24"/>
              </w:rPr>
              <w:t>2.2.3</w:t>
            </w:r>
            <w:r w:rsidR="002C00E9" w:rsidRPr="00073574">
              <w:rPr>
                <w:rFonts w:asciiTheme="majorBidi" w:hAnsiTheme="majorBidi" w:cstheme="majorBidi"/>
                <w:b/>
                <w:sz w:val="24"/>
                <w:szCs w:val="24"/>
              </w:rPr>
              <w:t>)</w:t>
            </w:r>
          </w:p>
        </w:tc>
        <w:tc>
          <w:tcPr>
            <w:tcW w:w="1916" w:type="dxa"/>
            <w:tcBorders>
              <w:top w:val="single" w:sz="12" w:space="0" w:color="auto"/>
            </w:tcBorders>
            <w:shd w:val="clear" w:color="auto" w:fill="auto"/>
            <w:vAlign w:val="center"/>
          </w:tcPr>
          <w:p w14:paraId="62587612" w14:textId="2E6BD980" w:rsidR="00B67540" w:rsidRPr="00073574" w:rsidRDefault="00B67540" w:rsidP="00443DEB">
            <w:pPr>
              <w:pStyle w:val="Tabletext"/>
              <w:jc w:val="center"/>
              <w:rPr>
                <w:b/>
                <w:bCs/>
                <w:sz w:val="24"/>
                <w:szCs w:val="24"/>
              </w:rPr>
            </w:pPr>
            <w:r w:rsidRPr="00073574">
              <w:rPr>
                <w:b/>
                <w:bCs/>
                <w:sz w:val="24"/>
                <w:szCs w:val="24"/>
              </w:rPr>
              <w:t>Ongoing</w:t>
            </w:r>
          </w:p>
        </w:tc>
        <w:tc>
          <w:tcPr>
            <w:tcW w:w="1165" w:type="dxa"/>
            <w:tcBorders>
              <w:top w:val="single" w:sz="12" w:space="0" w:color="auto"/>
            </w:tcBorders>
            <w:shd w:val="clear" w:color="auto" w:fill="auto"/>
            <w:vAlign w:val="center"/>
          </w:tcPr>
          <w:p w14:paraId="76B68E7E" w14:textId="2C56342D" w:rsidR="00B67540" w:rsidRPr="00073574" w:rsidRDefault="00EA4924" w:rsidP="00443DEB">
            <w:pPr>
              <w:pStyle w:val="Tabletext"/>
              <w:jc w:val="center"/>
              <w:rPr>
                <w:b/>
                <w:bCs/>
                <w:sz w:val="24"/>
                <w:szCs w:val="24"/>
                <w:highlight w:val="yellow"/>
              </w:rPr>
            </w:pPr>
            <w:r w:rsidRPr="00073574">
              <w:rPr>
                <w:b/>
                <w:bCs/>
                <w:sz w:val="24"/>
                <w:szCs w:val="24"/>
              </w:rPr>
              <w:t>√</w:t>
            </w:r>
          </w:p>
        </w:tc>
        <w:tc>
          <w:tcPr>
            <w:tcW w:w="1336" w:type="dxa"/>
            <w:tcBorders>
              <w:top w:val="single" w:sz="12" w:space="0" w:color="auto"/>
            </w:tcBorders>
            <w:shd w:val="clear" w:color="auto" w:fill="auto"/>
            <w:vAlign w:val="center"/>
          </w:tcPr>
          <w:p w14:paraId="54855E93" w14:textId="2CD701BD" w:rsidR="00B67540" w:rsidRPr="00073574" w:rsidDel="00EC33B6" w:rsidRDefault="00B67540" w:rsidP="00443DEB">
            <w:pPr>
              <w:pStyle w:val="Tabletext"/>
              <w:jc w:val="center"/>
              <w:rPr>
                <w:b/>
                <w:bCs/>
                <w:sz w:val="24"/>
                <w:szCs w:val="24"/>
                <w:highlight w:val="yellow"/>
              </w:rPr>
            </w:pPr>
          </w:p>
        </w:tc>
      </w:tr>
      <w:tr w:rsidR="00B67540" w:rsidRPr="00073574" w:rsidDel="00EC33B6" w14:paraId="79D3A5B5" w14:textId="77777777" w:rsidTr="00443DEB">
        <w:trPr>
          <w:cantSplit/>
          <w:jc w:val="center"/>
        </w:trPr>
        <w:tc>
          <w:tcPr>
            <w:tcW w:w="912" w:type="dxa"/>
            <w:vMerge/>
            <w:shd w:val="clear" w:color="auto" w:fill="auto"/>
            <w:vAlign w:val="center"/>
          </w:tcPr>
          <w:p w14:paraId="1A7B193B" w14:textId="77777777" w:rsidR="00B67540" w:rsidRPr="00073574" w:rsidRDefault="00B67540" w:rsidP="00443DEB">
            <w:pPr>
              <w:pStyle w:val="Tabletext"/>
              <w:rPr>
                <w:sz w:val="24"/>
                <w:szCs w:val="24"/>
              </w:rPr>
            </w:pPr>
          </w:p>
        </w:tc>
        <w:tc>
          <w:tcPr>
            <w:tcW w:w="8920" w:type="dxa"/>
            <w:gridSpan w:val="4"/>
            <w:shd w:val="clear" w:color="auto" w:fill="auto"/>
          </w:tcPr>
          <w:p w14:paraId="7F83AEBE" w14:textId="594C80A1" w:rsidR="00B67540" w:rsidRPr="00073574" w:rsidDel="00EC33B6" w:rsidRDefault="00EA4924" w:rsidP="001556ED">
            <w:pPr>
              <w:pStyle w:val="Tabletext"/>
              <w:rPr>
                <w:szCs w:val="22"/>
              </w:rPr>
            </w:pPr>
            <w:r w:rsidRPr="00073574">
              <w:rPr>
                <w:szCs w:val="22"/>
              </w:rPr>
              <w:t>With revised Recommendation ITU-T A.13 (2019/09), no particular types of texts have been identified for which there is no specific approval/agreement procedure already in place, other than normative and non-normative texts, and for which there would be a need to consider amendments to WTSA Resolution 1 or to Recommendation ITU-</w:t>
            </w:r>
            <w:r w:rsidR="00BD75AD" w:rsidRPr="00073574">
              <w:rPr>
                <w:szCs w:val="22"/>
              </w:rPr>
              <w:t>T</w:t>
            </w:r>
            <w:r w:rsidRPr="00073574">
              <w:rPr>
                <w:szCs w:val="22"/>
              </w:rPr>
              <w:t xml:space="preserve"> A.1.</w:t>
            </w:r>
          </w:p>
        </w:tc>
      </w:tr>
    </w:tbl>
    <w:p w14:paraId="3F873655" w14:textId="77777777" w:rsidR="006F08BE" w:rsidRPr="00073574" w:rsidRDefault="006F08BE" w:rsidP="00F0236A">
      <w:pPr>
        <w:rPr>
          <w:color w:val="2B579A"/>
          <w:shd w:val="clear" w:color="auto" w:fill="E6E6E6"/>
        </w:rPr>
      </w:pPr>
    </w:p>
    <w:p w14:paraId="33503E6F" w14:textId="0407EFCD" w:rsidR="00F0236A" w:rsidRPr="00073574" w:rsidRDefault="0053741E" w:rsidP="00F0236A">
      <w:pPr>
        <w:rPr>
          <w:rStyle w:val="Hyperlink"/>
          <w:sz w:val="24"/>
        </w:rPr>
      </w:pPr>
      <w:hyperlink w:anchor="Top" w:history="1">
        <w:r w:rsidR="00F0236A" w:rsidRPr="00073574">
          <w:rPr>
            <w:rStyle w:val="Hyperlink"/>
            <w:sz w:val="24"/>
          </w:rPr>
          <w:t>» Top</w:t>
        </w:r>
      </w:hyperlink>
    </w:p>
    <w:p w14:paraId="2877E88A" w14:textId="77777777" w:rsidR="00F0236A" w:rsidRPr="00073574" w:rsidRDefault="00F0236A" w:rsidP="00F0236A">
      <w:pPr>
        <w:rPr>
          <w:sz w:val="24"/>
        </w:rPr>
      </w:pPr>
    </w:p>
    <w:p w14:paraId="1B20C329" w14:textId="77777777" w:rsidR="00F0236A" w:rsidRPr="00073574" w:rsidRDefault="00F0236A" w:rsidP="00682B18">
      <w:pPr>
        <w:pStyle w:val="Heading1"/>
        <w:rPr>
          <w:sz w:val="24"/>
          <w:szCs w:val="24"/>
          <w:lang w:val="en-GB"/>
        </w:rPr>
      </w:pPr>
      <w:bookmarkStart w:id="67" w:name="Resolution_26"/>
      <w:bookmarkStart w:id="68" w:name="Resolution_29"/>
      <w:bookmarkStart w:id="69" w:name="_Toc304236421"/>
      <w:bookmarkStart w:id="70" w:name="_Toc471715360"/>
      <w:bookmarkStart w:id="71" w:name="_Toc93425246"/>
      <w:bookmarkEnd w:id="67"/>
      <w:bookmarkEnd w:id="68"/>
      <w:r w:rsidRPr="00073574">
        <w:rPr>
          <w:sz w:val="24"/>
          <w:szCs w:val="24"/>
          <w:lang w:val="en-GB"/>
        </w:rPr>
        <w:t>Resolution 29 - Alternative calling procedures on international telecommunication networks</w:t>
      </w:r>
      <w:bookmarkEnd w:id="69"/>
      <w:bookmarkEnd w:id="70"/>
      <w:bookmarkEnd w:id="71"/>
    </w:p>
    <w:p w14:paraId="52EBCB3E" w14:textId="77777777" w:rsidR="00F0236A" w:rsidRPr="00073574" w:rsidRDefault="00F0236A" w:rsidP="00682B18">
      <w:pPr>
        <w:rPr>
          <w:b/>
          <w:bCs/>
          <w:sz w:val="24"/>
        </w:rPr>
      </w:pPr>
      <w:r w:rsidRPr="00073574">
        <w:rPr>
          <w:b/>
          <w:bCs/>
          <w:sz w:val="24"/>
        </w:rPr>
        <w:t>Resolution 29</w:t>
      </w:r>
    </w:p>
    <w:p w14:paraId="3AE0F113" w14:textId="77777777" w:rsidR="00F0236A" w:rsidRPr="00073574" w:rsidRDefault="00F0236A" w:rsidP="00682B18">
      <w:pPr>
        <w:pStyle w:val="Call"/>
        <w:keepNext w:val="0"/>
        <w:keepLines w:val="0"/>
        <w:rPr>
          <w:sz w:val="24"/>
          <w:szCs w:val="24"/>
          <w:lang w:val="en-GB"/>
        </w:rPr>
      </w:pPr>
      <w:r w:rsidRPr="00073574">
        <w:rPr>
          <w:sz w:val="24"/>
          <w:szCs w:val="24"/>
          <w:lang w:val="en-GB"/>
        </w:rPr>
        <w:t>resolves</w:t>
      </w:r>
    </w:p>
    <w:p w14:paraId="628D40CA" w14:textId="77777777" w:rsidR="00F0236A" w:rsidRPr="00073574" w:rsidRDefault="00F0236A" w:rsidP="00682B18">
      <w:pPr>
        <w:rPr>
          <w:sz w:val="24"/>
        </w:rPr>
      </w:pPr>
      <w:r w:rsidRPr="00073574">
        <w:rPr>
          <w:sz w:val="24"/>
        </w:rPr>
        <w:t>1</w:t>
      </w:r>
      <w:r w:rsidRPr="00073574">
        <w:rPr>
          <w:sz w:val="24"/>
        </w:rPr>
        <w:tab/>
        <w:t>to continue identifying and defining all forms of alternative calling procedures, to study their impact on all parties, and to develop appropriate Recommendations concerning alternative calling procedures;</w:t>
      </w:r>
    </w:p>
    <w:p w14:paraId="5FFB6BE2" w14:textId="77777777" w:rsidR="00F0236A" w:rsidRPr="00073574" w:rsidRDefault="00F0236A" w:rsidP="00F0236A">
      <w:pPr>
        <w:rPr>
          <w:sz w:val="24"/>
        </w:rPr>
      </w:pPr>
      <w:r w:rsidRPr="00073574">
        <w:rPr>
          <w:sz w:val="24"/>
        </w:rPr>
        <w:t>2</w:t>
      </w:r>
      <w:r w:rsidRPr="00073574">
        <w:rPr>
          <w:sz w:val="24"/>
        </w:rPr>
        <w:tab/>
        <w:t xml:space="preserve">that administrations and international telecommunication operators or operating agencies authorized by Member States should take, to the furthest extent practicable, all measures to suspend the methods and practices of any form of alternative calling procedures </w:t>
      </w:r>
      <w:r w:rsidRPr="00073574">
        <w:rPr>
          <w:sz w:val="24"/>
        </w:rPr>
        <w:lastRenderedPageBreak/>
        <w:t>which seriously degrade the QoS and QoE of telecommunication networks, or prevent the delivery of CLI or OI information;</w:t>
      </w:r>
    </w:p>
    <w:p w14:paraId="4B66A986" w14:textId="77777777" w:rsidR="00F0236A" w:rsidRPr="00073574" w:rsidRDefault="00F0236A" w:rsidP="00F0236A">
      <w:pPr>
        <w:rPr>
          <w:sz w:val="24"/>
        </w:rPr>
      </w:pPr>
      <w:r w:rsidRPr="00073574">
        <w:rPr>
          <w:sz w:val="24"/>
        </w:rPr>
        <w:t>3</w:t>
      </w:r>
      <w:r w:rsidRPr="00073574">
        <w:rPr>
          <w:sz w:val="24"/>
        </w:rPr>
        <w:tab/>
        <w:t>that administrations and international telecommunication operators or operating agencies authorized by Member States should take a cooperative approach to respecting the national sovereignty of others, and suggested guidelines for this collaboration are attached;</w:t>
      </w:r>
    </w:p>
    <w:p w14:paraId="3C824D26" w14:textId="77777777" w:rsidR="00F0236A" w:rsidRPr="00073574" w:rsidRDefault="00F0236A" w:rsidP="00F0236A">
      <w:pPr>
        <w:rPr>
          <w:sz w:val="24"/>
        </w:rPr>
      </w:pPr>
      <w:r w:rsidRPr="00073574">
        <w:rPr>
          <w:sz w:val="24"/>
        </w:rPr>
        <w:t>4</w:t>
      </w:r>
      <w:r w:rsidRPr="00073574">
        <w:rPr>
          <w:sz w:val="24"/>
        </w:rPr>
        <w:tab/>
        <w:t>to instruct ITU-T Study Group 2 to study other aspects and forms of alternative calling procedures, including those associated with the interworking of legacy and IP-based infrastructures, and the consequent instances of hindrance, obscuring or spoofing of OI or CLI information, and the evolution of alternative calling procedures, including the use of over-the-top telephone applications that use telephone numbers, that may give rise to instances of fraudulent practices, and to develop appropriate Recommendations and guidelines;</w:t>
      </w:r>
    </w:p>
    <w:p w14:paraId="6DD691FA" w14:textId="77777777" w:rsidR="00F0236A" w:rsidRPr="00073574" w:rsidRDefault="00F0236A" w:rsidP="00F0236A">
      <w:pPr>
        <w:rPr>
          <w:sz w:val="24"/>
        </w:rPr>
      </w:pPr>
      <w:r w:rsidRPr="00073574">
        <w:rPr>
          <w:sz w:val="24"/>
        </w:rPr>
        <w:t>5</w:t>
      </w:r>
      <w:r w:rsidRPr="00073574">
        <w:rPr>
          <w:sz w:val="24"/>
        </w:rPr>
        <w:tab/>
        <w:t>to instruct ITU-T Study Group 3 to study the economic effects of alternative calling procedures, origin non-identification or spoofing and over-the-top telephone applications, on the effort of developing countries for sound development of their local telecommunication networks and services, and to develop the appropriate Recommendations and guidelines;</w:t>
      </w:r>
    </w:p>
    <w:p w14:paraId="5BAB2898" w14:textId="77777777" w:rsidR="00F0236A" w:rsidRPr="00073574" w:rsidRDefault="00F0236A" w:rsidP="00F0236A">
      <w:pPr>
        <w:rPr>
          <w:sz w:val="24"/>
        </w:rPr>
      </w:pPr>
      <w:r w:rsidRPr="00073574">
        <w:rPr>
          <w:sz w:val="24"/>
        </w:rPr>
        <w:t>6</w:t>
      </w:r>
      <w:r w:rsidRPr="00073574">
        <w:rPr>
          <w:sz w:val="24"/>
        </w:rPr>
        <w:tab/>
        <w:t>to instruct ITU</w:t>
      </w:r>
      <w:r w:rsidRPr="00073574">
        <w:rPr>
          <w:sz w:val="24"/>
        </w:rPr>
        <w:noBreakHyphen/>
        <w:t>T Study Group 12 to develop guidelines regarding the minimum QoS and QoE threshold to be fulfilled during the use of alternative calling procedures,</w:t>
      </w:r>
    </w:p>
    <w:p w14:paraId="504123F6" w14:textId="77777777" w:rsidR="00F0236A" w:rsidRPr="00073574" w:rsidRDefault="00F0236A" w:rsidP="00F0236A">
      <w:pPr>
        <w:pStyle w:val="Call"/>
        <w:rPr>
          <w:sz w:val="24"/>
          <w:szCs w:val="24"/>
          <w:lang w:val="en-GB"/>
        </w:rPr>
      </w:pPr>
      <w:r w:rsidRPr="00073574">
        <w:rPr>
          <w:sz w:val="24"/>
          <w:szCs w:val="24"/>
          <w:lang w:val="en-GB"/>
        </w:rPr>
        <w:t>instructs the Director of the Telecommunication Standardization Bureau</w:t>
      </w:r>
    </w:p>
    <w:p w14:paraId="6E0D7EEA" w14:textId="77777777" w:rsidR="00F0236A" w:rsidRPr="00073574" w:rsidRDefault="00F0236A" w:rsidP="00F0236A">
      <w:pPr>
        <w:rPr>
          <w:sz w:val="24"/>
        </w:rPr>
      </w:pPr>
      <w:r w:rsidRPr="00073574">
        <w:rPr>
          <w:sz w:val="24"/>
        </w:rPr>
        <w:t>to continue to cooperate with the Director of the Telecommunication Development Bureau in order to facilitate the participation of developing countries in these studies and to make use of the results of the studies, and in the implementation of this resolution.</w:t>
      </w:r>
    </w:p>
    <w:p w14:paraId="16CABC17" w14:textId="77777777" w:rsidR="00F0236A" w:rsidRPr="00073574" w:rsidRDefault="00F0236A" w:rsidP="00F0236A">
      <w:pPr>
        <w:pStyle w:val="Call"/>
        <w:rPr>
          <w:sz w:val="24"/>
          <w:szCs w:val="24"/>
          <w:lang w:val="en-GB"/>
        </w:rPr>
      </w:pPr>
      <w:r w:rsidRPr="00073574">
        <w:rPr>
          <w:sz w:val="24"/>
          <w:szCs w:val="24"/>
          <w:lang w:val="en-GB"/>
        </w:rPr>
        <w:t>invite Member States</w:t>
      </w:r>
    </w:p>
    <w:p w14:paraId="7A9E732D" w14:textId="77777777" w:rsidR="00F0236A" w:rsidRPr="00073574" w:rsidRDefault="00F0236A" w:rsidP="00F0236A">
      <w:pPr>
        <w:rPr>
          <w:sz w:val="24"/>
        </w:rPr>
      </w:pPr>
      <w:r w:rsidRPr="00073574">
        <w:rPr>
          <w:sz w:val="24"/>
        </w:rPr>
        <w:t>1</w:t>
      </w:r>
      <w:r w:rsidRPr="00073574">
        <w:rPr>
          <w:sz w:val="24"/>
        </w:rPr>
        <w:tab/>
        <w:t>to adopt national legal and regulatory frameworks requesting administrations and international telecommunication operators or operating agencies authorized by Member States to avoid using alternative calling procedures that degrade the level of QoS and QoE, to ensure the delivery of international CLI and OI information, at least to the destination operating agency, and to ensure the appropriate charging, taking into account the relevant ITU-T Recommendations;</w:t>
      </w:r>
    </w:p>
    <w:p w14:paraId="2BB587B9" w14:textId="77777777" w:rsidR="00F0236A" w:rsidRPr="00073574" w:rsidRDefault="00F0236A" w:rsidP="00F0236A">
      <w:pPr>
        <w:spacing w:after="240"/>
        <w:rPr>
          <w:sz w:val="24"/>
        </w:rPr>
      </w:pPr>
      <w:r w:rsidRPr="00073574">
        <w:rPr>
          <w:sz w:val="24"/>
        </w:rPr>
        <w:t>2</w:t>
      </w:r>
      <w:r w:rsidRPr="00073574">
        <w:rPr>
          <w:sz w:val="24"/>
        </w:rPr>
        <w:tab/>
        <w:t>to contribute to this work.</w:t>
      </w:r>
    </w:p>
    <w:tbl>
      <w:tblPr>
        <w:tblW w:w="98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10"/>
        <w:gridCol w:w="5226"/>
        <w:gridCol w:w="1216"/>
        <w:gridCol w:w="1144"/>
        <w:gridCol w:w="1336"/>
      </w:tblGrid>
      <w:tr w:rsidR="00F0236A" w:rsidRPr="00073574" w14:paraId="234307E7" w14:textId="77777777" w:rsidTr="005B5893">
        <w:trPr>
          <w:jc w:val="center"/>
        </w:trPr>
        <w:tc>
          <w:tcPr>
            <w:tcW w:w="911" w:type="dxa"/>
            <w:tcBorders>
              <w:top w:val="single" w:sz="12" w:space="0" w:color="auto"/>
              <w:bottom w:val="single" w:sz="12" w:space="0" w:color="auto"/>
            </w:tcBorders>
            <w:shd w:val="clear" w:color="auto" w:fill="auto"/>
            <w:vAlign w:val="center"/>
          </w:tcPr>
          <w:p w14:paraId="6E24A024" w14:textId="77777777" w:rsidR="00F0236A" w:rsidRPr="00073574" w:rsidRDefault="00F0236A" w:rsidP="006C782B">
            <w:pPr>
              <w:pStyle w:val="Tablehead"/>
              <w:keepNext w:val="0"/>
              <w:pageBreakBefore/>
              <w:rPr>
                <w:sz w:val="24"/>
                <w:szCs w:val="24"/>
              </w:rPr>
            </w:pPr>
            <w:r w:rsidRPr="00073574">
              <w:rPr>
                <w:sz w:val="24"/>
                <w:szCs w:val="24"/>
              </w:rPr>
              <w:lastRenderedPageBreak/>
              <w:t>Action Item</w:t>
            </w:r>
          </w:p>
        </w:tc>
        <w:tc>
          <w:tcPr>
            <w:tcW w:w="5420" w:type="dxa"/>
            <w:tcBorders>
              <w:top w:val="single" w:sz="12" w:space="0" w:color="auto"/>
              <w:bottom w:val="single" w:sz="12" w:space="0" w:color="auto"/>
            </w:tcBorders>
            <w:shd w:val="clear" w:color="auto" w:fill="auto"/>
            <w:vAlign w:val="center"/>
            <w:hideMark/>
          </w:tcPr>
          <w:p w14:paraId="0E20806A" w14:textId="77777777" w:rsidR="00F0236A" w:rsidRPr="00073574" w:rsidRDefault="00F0236A" w:rsidP="00DF36E1">
            <w:pPr>
              <w:pStyle w:val="Tablehead"/>
              <w:rPr>
                <w:sz w:val="24"/>
                <w:szCs w:val="24"/>
              </w:rPr>
            </w:pPr>
            <w:r w:rsidRPr="00073574">
              <w:rPr>
                <w:sz w:val="24"/>
                <w:szCs w:val="24"/>
              </w:rPr>
              <w:t>Action</w:t>
            </w:r>
          </w:p>
        </w:tc>
        <w:tc>
          <w:tcPr>
            <w:tcW w:w="1170" w:type="dxa"/>
            <w:tcBorders>
              <w:top w:val="single" w:sz="12" w:space="0" w:color="auto"/>
              <w:bottom w:val="single" w:sz="12" w:space="0" w:color="auto"/>
            </w:tcBorders>
            <w:shd w:val="clear" w:color="auto" w:fill="auto"/>
            <w:vAlign w:val="center"/>
            <w:hideMark/>
          </w:tcPr>
          <w:p w14:paraId="0FEB1563" w14:textId="77777777" w:rsidR="00F0236A" w:rsidRPr="00073574" w:rsidRDefault="00F0236A" w:rsidP="00DF36E1">
            <w:pPr>
              <w:pStyle w:val="Tablehead"/>
              <w:rPr>
                <w:sz w:val="24"/>
                <w:szCs w:val="24"/>
              </w:rPr>
            </w:pPr>
            <w:r w:rsidRPr="00073574">
              <w:rPr>
                <w:sz w:val="24"/>
                <w:szCs w:val="24"/>
              </w:rPr>
              <w:t>Milestone</w:t>
            </w:r>
          </w:p>
        </w:tc>
        <w:tc>
          <w:tcPr>
            <w:tcW w:w="1149" w:type="dxa"/>
            <w:tcBorders>
              <w:top w:val="single" w:sz="12" w:space="0" w:color="auto"/>
              <w:bottom w:val="single" w:sz="12" w:space="0" w:color="auto"/>
            </w:tcBorders>
            <w:shd w:val="clear" w:color="auto" w:fill="auto"/>
          </w:tcPr>
          <w:p w14:paraId="48A03741" w14:textId="77777777" w:rsidR="00F0236A" w:rsidRPr="00073574" w:rsidRDefault="00F0236A" w:rsidP="00DF36E1">
            <w:pPr>
              <w:pStyle w:val="Tablehead"/>
              <w:rPr>
                <w:sz w:val="24"/>
                <w:szCs w:val="24"/>
              </w:rPr>
            </w:pPr>
            <w:r w:rsidRPr="00073574">
              <w:rPr>
                <w:sz w:val="24"/>
                <w:szCs w:val="24"/>
              </w:rPr>
              <w:t>Periodic goals met</w:t>
            </w:r>
          </w:p>
        </w:tc>
        <w:tc>
          <w:tcPr>
            <w:tcW w:w="1182" w:type="dxa"/>
            <w:tcBorders>
              <w:top w:val="single" w:sz="12" w:space="0" w:color="auto"/>
              <w:bottom w:val="single" w:sz="12" w:space="0" w:color="auto"/>
            </w:tcBorders>
            <w:shd w:val="clear" w:color="auto" w:fill="auto"/>
            <w:vAlign w:val="center"/>
          </w:tcPr>
          <w:p w14:paraId="45748C9C" w14:textId="77777777" w:rsidR="00F0236A" w:rsidRPr="00073574" w:rsidRDefault="00F0236A" w:rsidP="00DF36E1">
            <w:pPr>
              <w:pStyle w:val="Tablehead"/>
              <w:rPr>
                <w:sz w:val="24"/>
                <w:szCs w:val="24"/>
              </w:rPr>
            </w:pPr>
            <w:r w:rsidRPr="00073574">
              <w:rPr>
                <w:sz w:val="24"/>
                <w:szCs w:val="24"/>
              </w:rPr>
              <w:t>Completed</w:t>
            </w:r>
          </w:p>
        </w:tc>
      </w:tr>
      <w:tr w:rsidR="00F0236A" w:rsidRPr="00073574" w14:paraId="74EB4CEB" w14:textId="77777777" w:rsidTr="005B5893">
        <w:trPr>
          <w:jc w:val="center"/>
        </w:trPr>
        <w:tc>
          <w:tcPr>
            <w:tcW w:w="911" w:type="dxa"/>
            <w:vMerge w:val="restart"/>
            <w:tcBorders>
              <w:top w:val="single" w:sz="12" w:space="0" w:color="auto"/>
            </w:tcBorders>
            <w:shd w:val="clear" w:color="auto" w:fill="auto"/>
          </w:tcPr>
          <w:p w14:paraId="5D92EA7B" w14:textId="77777777" w:rsidR="00F0236A" w:rsidRPr="00073574" w:rsidRDefault="00F0236A" w:rsidP="00F8002A">
            <w:pPr>
              <w:pStyle w:val="Tabletext"/>
              <w:rPr>
                <w:b/>
                <w:bCs/>
                <w:sz w:val="24"/>
                <w:szCs w:val="24"/>
              </w:rPr>
            </w:pPr>
            <w:r w:rsidRPr="00073574">
              <w:rPr>
                <w:b/>
                <w:bCs/>
                <w:sz w:val="24"/>
                <w:szCs w:val="24"/>
              </w:rPr>
              <w:t>29-01</w:t>
            </w:r>
          </w:p>
        </w:tc>
        <w:tc>
          <w:tcPr>
            <w:tcW w:w="5420" w:type="dxa"/>
            <w:tcBorders>
              <w:top w:val="single" w:sz="12" w:space="0" w:color="auto"/>
              <w:bottom w:val="single" w:sz="4" w:space="0" w:color="auto"/>
            </w:tcBorders>
            <w:shd w:val="clear" w:color="auto" w:fill="auto"/>
            <w:hideMark/>
          </w:tcPr>
          <w:p w14:paraId="683A480C" w14:textId="77777777" w:rsidR="00F0236A" w:rsidRPr="00073574" w:rsidRDefault="00F0236A">
            <w:pPr>
              <w:pStyle w:val="Tabletext"/>
              <w:rPr>
                <w:b/>
                <w:bCs/>
                <w:sz w:val="24"/>
                <w:szCs w:val="24"/>
              </w:rPr>
            </w:pPr>
            <w:r w:rsidRPr="00073574">
              <w:rPr>
                <w:b/>
                <w:bCs/>
                <w:sz w:val="24"/>
                <w:szCs w:val="24"/>
              </w:rPr>
              <w:t>SG2 to study other aspects and all forms of alternative calling procedures, including those associated with the interworking of legacy and IP-based infrastructures, and the consequent instances of hindrance, obscuring or spoofing of OI or CLI information, and the evolution of alternative calling procedures, including the use of over-the-top telephone applications that use telephone numbers, that may give rise to instances of fraudulent practices, and to develop appropriate Recommendations and guidelines (resolves 4)</w:t>
            </w:r>
          </w:p>
        </w:tc>
        <w:tc>
          <w:tcPr>
            <w:tcW w:w="1170" w:type="dxa"/>
            <w:tcBorders>
              <w:top w:val="single" w:sz="12" w:space="0" w:color="auto"/>
              <w:bottom w:val="single" w:sz="4" w:space="0" w:color="auto"/>
            </w:tcBorders>
            <w:shd w:val="clear" w:color="auto" w:fill="auto"/>
            <w:vAlign w:val="center"/>
            <w:hideMark/>
          </w:tcPr>
          <w:p w14:paraId="1EEAEC9F" w14:textId="77777777" w:rsidR="00F0236A" w:rsidRPr="00073574" w:rsidRDefault="00F0236A">
            <w:pPr>
              <w:pStyle w:val="Tabletext"/>
              <w:jc w:val="center"/>
              <w:rPr>
                <w:b/>
                <w:bCs/>
                <w:sz w:val="24"/>
                <w:szCs w:val="24"/>
              </w:rPr>
            </w:pPr>
            <w:r w:rsidRPr="00073574">
              <w:rPr>
                <w:b/>
                <w:bCs/>
                <w:sz w:val="24"/>
                <w:szCs w:val="24"/>
              </w:rPr>
              <w:t>Ongoing</w:t>
            </w:r>
          </w:p>
        </w:tc>
        <w:tc>
          <w:tcPr>
            <w:tcW w:w="1149" w:type="dxa"/>
            <w:tcBorders>
              <w:top w:val="single" w:sz="12" w:space="0" w:color="auto"/>
              <w:bottom w:val="single" w:sz="4" w:space="0" w:color="auto"/>
            </w:tcBorders>
            <w:shd w:val="clear" w:color="auto" w:fill="auto"/>
            <w:vAlign w:val="center"/>
          </w:tcPr>
          <w:p w14:paraId="358457B2" w14:textId="77777777" w:rsidR="00F0236A" w:rsidRPr="00073574" w:rsidRDefault="00F0236A">
            <w:pPr>
              <w:pStyle w:val="Tabletext"/>
              <w:jc w:val="center"/>
              <w:rPr>
                <w:b/>
                <w:bCs/>
                <w:sz w:val="24"/>
                <w:szCs w:val="24"/>
              </w:rPr>
            </w:pPr>
            <w:r w:rsidRPr="00073574">
              <w:rPr>
                <w:b/>
                <w:bCs/>
                <w:sz w:val="24"/>
                <w:szCs w:val="24"/>
              </w:rPr>
              <w:t>√</w:t>
            </w:r>
          </w:p>
        </w:tc>
        <w:tc>
          <w:tcPr>
            <w:tcW w:w="1182" w:type="dxa"/>
            <w:tcBorders>
              <w:top w:val="single" w:sz="12" w:space="0" w:color="auto"/>
            </w:tcBorders>
            <w:shd w:val="clear" w:color="auto" w:fill="auto"/>
            <w:vAlign w:val="center"/>
          </w:tcPr>
          <w:p w14:paraId="31250987" w14:textId="77777777" w:rsidR="00F0236A" w:rsidRPr="00073574" w:rsidRDefault="00F0236A">
            <w:pPr>
              <w:pStyle w:val="Tabletext"/>
              <w:jc w:val="center"/>
              <w:rPr>
                <w:b/>
                <w:bCs/>
                <w:sz w:val="24"/>
                <w:szCs w:val="24"/>
              </w:rPr>
            </w:pPr>
          </w:p>
        </w:tc>
      </w:tr>
      <w:tr w:rsidR="00F0236A" w:rsidRPr="00073574" w14:paraId="6FB539CE" w14:textId="77777777" w:rsidTr="005B5893">
        <w:trPr>
          <w:jc w:val="center"/>
        </w:trPr>
        <w:tc>
          <w:tcPr>
            <w:tcW w:w="911" w:type="dxa"/>
            <w:vMerge/>
            <w:tcBorders>
              <w:bottom w:val="single" w:sz="12" w:space="0" w:color="auto"/>
            </w:tcBorders>
            <w:shd w:val="clear" w:color="auto" w:fill="auto"/>
          </w:tcPr>
          <w:p w14:paraId="01F2BB27" w14:textId="77777777" w:rsidR="00F0236A" w:rsidRPr="00073574" w:rsidRDefault="00F0236A">
            <w:pPr>
              <w:pStyle w:val="Tabletext"/>
              <w:rPr>
                <w:sz w:val="24"/>
                <w:szCs w:val="24"/>
              </w:rPr>
            </w:pPr>
          </w:p>
        </w:tc>
        <w:tc>
          <w:tcPr>
            <w:tcW w:w="8921" w:type="dxa"/>
            <w:gridSpan w:val="4"/>
            <w:tcBorders>
              <w:top w:val="single" w:sz="4" w:space="0" w:color="auto"/>
            </w:tcBorders>
            <w:shd w:val="clear" w:color="auto" w:fill="auto"/>
          </w:tcPr>
          <w:p w14:paraId="5F3DBBA6" w14:textId="5D8070E7" w:rsidR="00F0236A" w:rsidRPr="00073574" w:rsidRDefault="00CA6E2A">
            <w:pPr>
              <w:pStyle w:val="Tabletext"/>
              <w:rPr>
                <w:szCs w:val="22"/>
              </w:rPr>
            </w:pPr>
            <w:r w:rsidRPr="00073574">
              <w:rPr>
                <w:szCs w:val="22"/>
              </w:rPr>
              <w:t>SG2-C</w:t>
            </w:r>
            <w:r w:rsidR="00F0236A" w:rsidRPr="00073574">
              <w:rPr>
                <w:szCs w:val="22"/>
              </w:rPr>
              <w:t>26 from Egypt on Impact of fraudulent routing of OTT telecommunication applications was received in SG2 meeting of 29 March to 7 April 2017. Regarding the specific routing aspects falling under the remit of Study Group 2, the participants are calling for contributions to further identify problems, but more importantly, to suggest potential solutions to those problems.</w:t>
            </w:r>
          </w:p>
          <w:p w14:paraId="1DC6AA3B" w14:textId="77777777" w:rsidR="00EF7D61" w:rsidRPr="00073574" w:rsidRDefault="00CA6E2A">
            <w:pPr>
              <w:pStyle w:val="Tabletext"/>
              <w:rPr>
                <w:szCs w:val="22"/>
              </w:rPr>
            </w:pPr>
            <w:r w:rsidRPr="00073574">
              <w:rPr>
                <w:szCs w:val="22"/>
              </w:rPr>
              <w:t>SG2-C66 from Russia and SG2-C49 and SG2-C</w:t>
            </w:r>
            <w:r w:rsidR="00EF7D61" w:rsidRPr="00073574">
              <w:rPr>
                <w:szCs w:val="22"/>
              </w:rPr>
              <w:t>69 from Egypt were received and discussed in SG2 meeting of 27 November to 1 December</w:t>
            </w:r>
            <w:r w:rsidR="00785391" w:rsidRPr="00073574">
              <w:rPr>
                <w:szCs w:val="22"/>
              </w:rPr>
              <w:t xml:space="preserve"> 2017</w:t>
            </w:r>
            <w:r w:rsidR="00EF7D61" w:rsidRPr="00073574">
              <w:rPr>
                <w:szCs w:val="22"/>
              </w:rPr>
              <w:t>.</w:t>
            </w:r>
          </w:p>
          <w:p w14:paraId="26DB89A9" w14:textId="77777777" w:rsidR="00D72F5A" w:rsidRPr="00073574" w:rsidRDefault="00D72F5A">
            <w:pPr>
              <w:pStyle w:val="Tabletext"/>
              <w:rPr>
                <w:szCs w:val="22"/>
              </w:rPr>
            </w:pPr>
            <w:r w:rsidRPr="00073574">
              <w:rPr>
                <w:szCs w:val="22"/>
              </w:rPr>
              <w:t xml:space="preserve">A new work item on draft </w:t>
            </w:r>
            <w:r w:rsidR="00C868F8" w:rsidRPr="00073574">
              <w:rPr>
                <w:szCs w:val="22"/>
              </w:rPr>
              <w:t>R</w:t>
            </w:r>
            <w:r w:rsidRPr="00073574">
              <w:rPr>
                <w:szCs w:val="22"/>
              </w:rPr>
              <w:t xml:space="preserve">ecommendation </w:t>
            </w:r>
            <w:r w:rsidR="00C868F8" w:rsidRPr="00073574">
              <w:rPr>
                <w:szCs w:val="22"/>
              </w:rPr>
              <w:t xml:space="preserve">ITU-T E.ACP </w:t>
            </w:r>
            <w:r w:rsidRPr="00073574">
              <w:rPr>
                <w:szCs w:val="22"/>
              </w:rPr>
              <w:t xml:space="preserve">on Alternative Calling Procedure </w:t>
            </w:r>
            <w:r w:rsidR="00C868F8" w:rsidRPr="00073574">
              <w:rPr>
                <w:szCs w:val="22"/>
              </w:rPr>
              <w:t>was started</w:t>
            </w:r>
            <w:r w:rsidRPr="00073574">
              <w:rPr>
                <w:szCs w:val="22"/>
              </w:rPr>
              <w:t xml:space="preserve"> at the SG2 meeting in December 2019</w:t>
            </w:r>
            <w:r w:rsidR="008A62C7" w:rsidRPr="00073574">
              <w:rPr>
                <w:szCs w:val="22"/>
              </w:rPr>
              <w:t xml:space="preserve">, and the latest </w:t>
            </w:r>
            <w:r w:rsidR="00950995" w:rsidRPr="00073574">
              <w:rPr>
                <w:szCs w:val="22"/>
              </w:rPr>
              <w:t>draft can be found in SG2-TD1093</w:t>
            </w:r>
            <w:r w:rsidRPr="00073574">
              <w:rPr>
                <w:szCs w:val="22"/>
              </w:rPr>
              <w:t xml:space="preserve">. </w:t>
            </w:r>
            <w:r w:rsidR="00427A2F" w:rsidRPr="00073574">
              <w:rPr>
                <w:szCs w:val="22"/>
              </w:rPr>
              <w:t>L</w:t>
            </w:r>
            <w:r w:rsidRPr="00073574">
              <w:rPr>
                <w:szCs w:val="22"/>
              </w:rPr>
              <w:t>iaison statement</w:t>
            </w:r>
            <w:r w:rsidR="00427A2F" w:rsidRPr="00073574">
              <w:rPr>
                <w:szCs w:val="22"/>
              </w:rPr>
              <w:t>s</w:t>
            </w:r>
            <w:r w:rsidRPr="00073574">
              <w:rPr>
                <w:szCs w:val="22"/>
              </w:rPr>
              <w:t xml:space="preserve"> w</w:t>
            </w:r>
            <w:r w:rsidR="00427A2F" w:rsidRPr="00073574">
              <w:rPr>
                <w:szCs w:val="22"/>
              </w:rPr>
              <w:t>ere</w:t>
            </w:r>
            <w:r w:rsidRPr="00073574">
              <w:rPr>
                <w:szCs w:val="22"/>
              </w:rPr>
              <w:t xml:space="preserve"> agreed and sent to SG3.</w:t>
            </w:r>
          </w:p>
          <w:p w14:paraId="58026A4F" w14:textId="5FAC109C" w:rsidR="003A6324" w:rsidRPr="00073574" w:rsidRDefault="00BE213B">
            <w:pPr>
              <w:pStyle w:val="Tabletext"/>
              <w:rPr>
                <w:szCs w:val="22"/>
              </w:rPr>
            </w:pPr>
            <w:r w:rsidRPr="00073574">
              <w:rPr>
                <w:szCs w:val="22"/>
              </w:rPr>
              <w:t>SG2-</w:t>
            </w:r>
            <w:r w:rsidR="00BE4EB0" w:rsidRPr="00073574">
              <w:rPr>
                <w:szCs w:val="22"/>
              </w:rPr>
              <w:t>C315 and SG2-C316 from the United Arab Emirates</w:t>
            </w:r>
            <w:r w:rsidR="00FD490C" w:rsidRPr="00073574">
              <w:rPr>
                <w:szCs w:val="22"/>
              </w:rPr>
              <w:t xml:space="preserve"> were received and discussed at the the SG2 e-meeting of 31 May to 11 June 2021.</w:t>
            </w:r>
          </w:p>
        </w:tc>
      </w:tr>
      <w:tr w:rsidR="00F0236A" w:rsidRPr="00073574" w14:paraId="0A07D1B9" w14:textId="77777777" w:rsidTr="005B5893">
        <w:trPr>
          <w:jc w:val="center"/>
        </w:trPr>
        <w:tc>
          <w:tcPr>
            <w:tcW w:w="911" w:type="dxa"/>
            <w:vMerge w:val="restart"/>
            <w:tcBorders>
              <w:top w:val="single" w:sz="12" w:space="0" w:color="auto"/>
            </w:tcBorders>
            <w:shd w:val="clear" w:color="auto" w:fill="auto"/>
          </w:tcPr>
          <w:p w14:paraId="16779444" w14:textId="77777777" w:rsidR="00F0236A" w:rsidRPr="00073574" w:rsidRDefault="00F0236A" w:rsidP="00D73EE2">
            <w:pPr>
              <w:pStyle w:val="Tabletext"/>
              <w:keepNext/>
              <w:keepLines/>
              <w:rPr>
                <w:b/>
                <w:bCs/>
                <w:sz w:val="24"/>
                <w:szCs w:val="24"/>
              </w:rPr>
            </w:pPr>
            <w:r w:rsidRPr="00073574">
              <w:rPr>
                <w:b/>
                <w:bCs/>
                <w:sz w:val="24"/>
                <w:szCs w:val="24"/>
              </w:rPr>
              <w:t>29-02</w:t>
            </w:r>
          </w:p>
        </w:tc>
        <w:tc>
          <w:tcPr>
            <w:tcW w:w="5420" w:type="dxa"/>
            <w:tcBorders>
              <w:top w:val="single" w:sz="12" w:space="0" w:color="auto"/>
            </w:tcBorders>
            <w:shd w:val="clear" w:color="auto" w:fill="auto"/>
            <w:hideMark/>
          </w:tcPr>
          <w:p w14:paraId="047FB512" w14:textId="77777777" w:rsidR="00F0236A" w:rsidRPr="00073574" w:rsidRDefault="00F0236A" w:rsidP="00D73EE2">
            <w:pPr>
              <w:pStyle w:val="Tabletext"/>
              <w:keepNext/>
              <w:keepLines/>
              <w:rPr>
                <w:b/>
                <w:bCs/>
                <w:sz w:val="24"/>
                <w:szCs w:val="24"/>
              </w:rPr>
            </w:pPr>
            <w:r w:rsidRPr="00073574">
              <w:rPr>
                <w:b/>
                <w:bCs/>
                <w:sz w:val="24"/>
                <w:szCs w:val="24"/>
              </w:rPr>
              <w:t>SG3 to study the economic effects of alternative calling procedures, origin non-identification or spoofing and over-the-top telephone applications, etc. on the effort of developing countries for sound development of their local telecommunication networks and services, and to develop appropriate Recommendations and guidelines (resolves 5)</w:t>
            </w:r>
          </w:p>
        </w:tc>
        <w:tc>
          <w:tcPr>
            <w:tcW w:w="1170" w:type="dxa"/>
            <w:tcBorders>
              <w:top w:val="single" w:sz="12" w:space="0" w:color="auto"/>
            </w:tcBorders>
            <w:shd w:val="clear" w:color="auto" w:fill="auto"/>
            <w:vAlign w:val="center"/>
            <w:hideMark/>
          </w:tcPr>
          <w:p w14:paraId="32522824" w14:textId="77777777" w:rsidR="00F0236A" w:rsidRPr="00073574" w:rsidRDefault="00F0236A" w:rsidP="00D73EE2">
            <w:pPr>
              <w:pStyle w:val="Tabletext"/>
              <w:keepNext/>
              <w:keepLines/>
              <w:jc w:val="center"/>
              <w:rPr>
                <w:b/>
                <w:bCs/>
                <w:sz w:val="24"/>
                <w:szCs w:val="24"/>
              </w:rPr>
            </w:pPr>
            <w:r w:rsidRPr="00073574">
              <w:rPr>
                <w:b/>
                <w:bCs/>
                <w:sz w:val="24"/>
                <w:szCs w:val="24"/>
              </w:rPr>
              <w:t>Ongoing</w:t>
            </w:r>
          </w:p>
        </w:tc>
        <w:tc>
          <w:tcPr>
            <w:tcW w:w="1149" w:type="dxa"/>
            <w:tcBorders>
              <w:top w:val="single" w:sz="12" w:space="0" w:color="auto"/>
            </w:tcBorders>
            <w:shd w:val="clear" w:color="auto" w:fill="auto"/>
            <w:vAlign w:val="center"/>
          </w:tcPr>
          <w:p w14:paraId="14DAB430" w14:textId="77777777" w:rsidR="00F0236A" w:rsidRPr="00073574" w:rsidRDefault="00F0236A" w:rsidP="00D73EE2">
            <w:pPr>
              <w:pStyle w:val="Tabletext"/>
              <w:keepNext/>
              <w:keepLines/>
              <w:jc w:val="center"/>
              <w:rPr>
                <w:b/>
                <w:bCs/>
                <w:sz w:val="24"/>
                <w:szCs w:val="24"/>
              </w:rPr>
            </w:pPr>
            <w:r w:rsidRPr="00073574">
              <w:rPr>
                <w:b/>
                <w:bCs/>
                <w:sz w:val="24"/>
                <w:szCs w:val="24"/>
              </w:rPr>
              <w:t>√</w:t>
            </w:r>
          </w:p>
        </w:tc>
        <w:tc>
          <w:tcPr>
            <w:tcW w:w="1182" w:type="dxa"/>
            <w:tcBorders>
              <w:top w:val="single" w:sz="12" w:space="0" w:color="auto"/>
            </w:tcBorders>
            <w:shd w:val="clear" w:color="auto" w:fill="auto"/>
            <w:vAlign w:val="center"/>
          </w:tcPr>
          <w:p w14:paraId="253F5760" w14:textId="77777777" w:rsidR="00F0236A" w:rsidRPr="00073574" w:rsidRDefault="00F0236A" w:rsidP="00D73EE2">
            <w:pPr>
              <w:pStyle w:val="Tabletext"/>
              <w:keepNext/>
              <w:keepLines/>
              <w:jc w:val="center"/>
              <w:rPr>
                <w:b/>
                <w:bCs/>
                <w:sz w:val="24"/>
                <w:szCs w:val="24"/>
              </w:rPr>
            </w:pPr>
          </w:p>
        </w:tc>
      </w:tr>
      <w:tr w:rsidR="00F0236A" w:rsidRPr="00073574" w14:paraId="00D759F5" w14:textId="77777777" w:rsidTr="005B5893">
        <w:trPr>
          <w:jc w:val="center"/>
        </w:trPr>
        <w:tc>
          <w:tcPr>
            <w:tcW w:w="911" w:type="dxa"/>
            <w:vMerge/>
            <w:tcBorders>
              <w:bottom w:val="single" w:sz="12" w:space="0" w:color="auto"/>
            </w:tcBorders>
            <w:shd w:val="clear" w:color="auto" w:fill="auto"/>
          </w:tcPr>
          <w:p w14:paraId="6905637F" w14:textId="77777777" w:rsidR="00F0236A" w:rsidRPr="00073574" w:rsidRDefault="00F0236A" w:rsidP="00D73EE2">
            <w:pPr>
              <w:pStyle w:val="Tabletext"/>
              <w:keepNext/>
              <w:keepLines/>
              <w:rPr>
                <w:sz w:val="24"/>
                <w:szCs w:val="24"/>
              </w:rPr>
            </w:pPr>
          </w:p>
        </w:tc>
        <w:tc>
          <w:tcPr>
            <w:tcW w:w="8921" w:type="dxa"/>
            <w:gridSpan w:val="4"/>
            <w:tcBorders>
              <w:bottom w:val="single" w:sz="12" w:space="0" w:color="auto"/>
            </w:tcBorders>
            <w:shd w:val="clear" w:color="auto" w:fill="auto"/>
          </w:tcPr>
          <w:p w14:paraId="0EC6EF4F" w14:textId="008069AC" w:rsidR="003435F1" w:rsidRPr="00073574" w:rsidRDefault="005D0276" w:rsidP="005D1E49">
            <w:pPr>
              <w:pStyle w:val="Tabletext"/>
              <w:rPr>
                <w:szCs w:val="22"/>
              </w:rPr>
            </w:pPr>
            <w:r w:rsidRPr="00073574">
              <w:rPr>
                <w:szCs w:val="22"/>
              </w:rPr>
              <w:t>SG3 continues to liaise with SG2 on alternative calling procedures, especially in the development of the definition of “OTT Bypass”. The ongoing work item D.SIMBOX (Economic impact of SIMBOX bypass) and STUDY_ACPMIS (Alternative Calling Procedures, and misappropriation and misuse of facilities and services) have not received recent contributions to progress the work.</w:t>
            </w:r>
          </w:p>
        </w:tc>
      </w:tr>
      <w:tr w:rsidR="00F0236A" w:rsidRPr="00073574" w14:paraId="4D1339E4" w14:textId="77777777" w:rsidTr="005B5893">
        <w:trPr>
          <w:jc w:val="center"/>
        </w:trPr>
        <w:tc>
          <w:tcPr>
            <w:tcW w:w="911" w:type="dxa"/>
            <w:vMerge w:val="restart"/>
            <w:tcBorders>
              <w:top w:val="single" w:sz="12" w:space="0" w:color="auto"/>
            </w:tcBorders>
            <w:shd w:val="clear" w:color="auto" w:fill="auto"/>
          </w:tcPr>
          <w:p w14:paraId="60A2BE94" w14:textId="77777777" w:rsidR="00F0236A" w:rsidRPr="00073574" w:rsidRDefault="00F0236A" w:rsidP="000661CE">
            <w:pPr>
              <w:pStyle w:val="Tabletext"/>
              <w:keepNext/>
              <w:keepLines/>
              <w:rPr>
                <w:b/>
                <w:bCs/>
                <w:sz w:val="24"/>
                <w:szCs w:val="24"/>
              </w:rPr>
            </w:pPr>
            <w:r w:rsidRPr="00073574">
              <w:rPr>
                <w:b/>
                <w:bCs/>
                <w:sz w:val="24"/>
                <w:szCs w:val="24"/>
              </w:rPr>
              <w:t>29-03</w:t>
            </w:r>
          </w:p>
        </w:tc>
        <w:tc>
          <w:tcPr>
            <w:tcW w:w="5420" w:type="dxa"/>
            <w:tcBorders>
              <w:top w:val="single" w:sz="12" w:space="0" w:color="auto"/>
            </w:tcBorders>
            <w:shd w:val="clear" w:color="auto" w:fill="auto"/>
            <w:hideMark/>
          </w:tcPr>
          <w:p w14:paraId="5E7624E8" w14:textId="44D56A60" w:rsidR="00F0236A" w:rsidRPr="00073574" w:rsidRDefault="00F0236A" w:rsidP="00DF36E1">
            <w:pPr>
              <w:pStyle w:val="Tabletext"/>
              <w:rPr>
                <w:b/>
                <w:bCs/>
                <w:sz w:val="24"/>
                <w:szCs w:val="24"/>
              </w:rPr>
            </w:pPr>
            <w:r w:rsidRPr="00073574">
              <w:rPr>
                <w:b/>
                <w:bCs/>
                <w:sz w:val="24"/>
                <w:szCs w:val="24"/>
              </w:rPr>
              <w:t>TSB Director to facilitate developing countries</w:t>
            </w:r>
            <w:r w:rsidR="003C7E25" w:rsidRPr="00073574">
              <w:rPr>
                <w:b/>
                <w:bCs/>
                <w:sz w:val="24"/>
                <w:szCs w:val="24"/>
              </w:rPr>
              <w:t>'</w:t>
            </w:r>
            <w:r w:rsidRPr="00073574">
              <w:rPr>
                <w:b/>
                <w:bCs/>
                <w:sz w:val="24"/>
                <w:szCs w:val="24"/>
              </w:rPr>
              <w:t xml:space="preserve"> participation and make use of the work/studies of SG2 and SG3 on alternative calling procedures (i. TSBDir)</w:t>
            </w:r>
          </w:p>
        </w:tc>
        <w:tc>
          <w:tcPr>
            <w:tcW w:w="1170" w:type="dxa"/>
            <w:tcBorders>
              <w:top w:val="single" w:sz="12" w:space="0" w:color="auto"/>
            </w:tcBorders>
            <w:shd w:val="clear" w:color="auto" w:fill="auto"/>
            <w:vAlign w:val="center"/>
            <w:hideMark/>
          </w:tcPr>
          <w:p w14:paraId="7572C839"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49" w:type="dxa"/>
            <w:tcBorders>
              <w:top w:val="single" w:sz="12" w:space="0" w:color="auto"/>
            </w:tcBorders>
            <w:shd w:val="clear" w:color="auto" w:fill="auto"/>
            <w:vAlign w:val="center"/>
          </w:tcPr>
          <w:p w14:paraId="4F781AC8" w14:textId="77777777" w:rsidR="00F0236A" w:rsidRPr="00073574" w:rsidRDefault="00F0236A" w:rsidP="00DF36E1">
            <w:pPr>
              <w:pStyle w:val="Tabletext"/>
              <w:jc w:val="center"/>
              <w:rPr>
                <w:b/>
                <w:bCs/>
                <w:sz w:val="24"/>
                <w:szCs w:val="24"/>
              </w:rPr>
            </w:pPr>
            <w:r w:rsidRPr="00073574">
              <w:rPr>
                <w:b/>
                <w:bCs/>
                <w:sz w:val="24"/>
                <w:szCs w:val="24"/>
              </w:rPr>
              <w:t>√</w:t>
            </w:r>
          </w:p>
        </w:tc>
        <w:tc>
          <w:tcPr>
            <w:tcW w:w="1182" w:type="dxa"/>
            <w:tcBorders>
              <w:top w:val="single" w:sz="12" w:space="0" w:color="auto"/>
            </w:tcBorders>
            <w:shd w:val="clear" w:color="auto" w:fill="auto"/>
            <w:vAlign w:val="center"/>
          </w:tcPr>
          <w:p w14:paraId="4DA85009" w14:textId="77777777" w:rsidR="00F0236A" w:rsidRPr="00073574" w:rsidRDefault="00F0236A" w:rsidP="00DF36E1">
            <w:pPr>
              <w:pStyle w:val="Tabletext"/>
              <w:jc w:val="center"/>
              <w:rPr>
                <w:b/>
                <w:bCs/>
                <w:sz w:val="24"/>
                <w:szCs w:val="24"/>
              </w:rPr>
            </w:pPr>
          </w:p>
        </w:tc>
      </w:tr>
      <w:tr w:rsidR="00F0236A" w:rsidRPr="00073574" w14:paraId="6E64E25B" w14:textId="77777777" w:rsidTr="005B5893">
        <w:trPr>
          <w:jc w:val="center"/>
        </w:trPr>
        <w:tc>
          <w:tcPr>
            <w:tcW w:w="911" w:type="dxa"/>
            <w:vMerge/>
            <w:tcBorders>
              <w:bottom w:val="single" w:sz="12" w:space="0" w:color="auto"/>
            </w:tcBorders>
            <w:shd w:val="clear" w:color="auto" w:fill="auto"/>
          </w:tcPr>
          <w:p w14:paraId="75A0CABF" w14:textId="77777777" w:rsidR="00F0236A" w:rsidRPr="00073574" w:rsidRDefault="00F0236A" w:rsidP="00DF36E1">
            <w:pPr>
              <w:pStyle w:val="Tabletext"/>
              <w:rPr>
                <w:sz w:val="24"/>
                <w:szCs w:val="24"/>
              </w:rPr>
            </w:pPr>
          </w:p>
        </w:tc>
        <w:tc>
          <w:tcPr>
            <w:tcW w:w="8921" w:type="dxa"/>
            <w:gridSpan w:val="4"/>
            <w:tcBorders>
              <w:bottom w:val="single" w:sz="12" w:space="0" w:color="auto"/>
            </w:tcBorders>
            <w:shd w:val="clear" w:color="auto" w:fill="auto"/>
          </w:tcPr>
          <w:p w14:paraId="0428EDE8" w14:textId="77777777" w:rsidR="00F0236A" w:rsidRPr="00073574" w:rsidRDefault="00E32DAA" w:rsidP="00A123C4">
            <w:pPr>
              <w:pStyle w:val="Tabletext"/>
              <w:rPr>
                <w:szCs w:val="22"/>
              </w:rPr>
            </w:pPr>
            <w:r w:rsidRPr="00073574">
              <w:rPr>
                <w:szCs w:val="22"/>
              </w:rPr>
              <w:t>The SG2 ad hoc group on developing country issues met during ITU-T SG2 meetings. Misuse and alternative calling procedures were agreed to be listed as areas for actions. Developing countries were encouraged to submit contributions on these topics to the subsequent ITU-T SG2 meetings.</w:t>
            </w:r>
          </w:p>
          <w:p w14:paraId="348F094F" w14:textId="18F706EC" w:rsidR="00F0236A" w:rsidRPr="00073574" w:rsidRDefault="004C296E" w:rsidP="00DF36E1">
            <w:pPr>
              <w:pStyle w:val="Tabletext"/>
              <w:rPr>
                <w:szCs w:val="22"/>
              </w:rPr>
            </w:pPr>
            <w:r w:rsidRPr="00073574">
              <w:rPr>
                <w:szCs w:val="22"/>
              </w:rPr>
              <w:t xml:space="preserve">ITU Inter-regional Standardization Forum on “Operational issues on numbering, emergency service and OTTs”, Dubai, United Emirates on 22 October 2019 was organized </w:t>
            </w:r>
            <w:r w:rsidR="00A665F8" w:rsidRPr="00073574">
              <w:rPr>
                <w:szCs w:val="22"/>
              </w:rPr>
              <w:t>back-to-back with ITU-T SG2RG-AFR, SG2RG-ARB, and SG3RG-ARB.</w:t>
            </w:r>
          </w:p>
        </w:tc>
      </w:tr>
      <w:tr w:rsidR="00F0236A" w:rsidRPr="00073574" w14:paraId="7C62A9EB" w14:textId="77777777" w:rsidTr="005B5893">
        <w:trPr>
          <w:jc w:val="center"/>
        </w:trPr>
        <w:tc>
          <w:tcPr>
            <w:tcW w:w="911" w:type="dxa"/>
            <w:vMerge w:val="restart"/>
            <w:tcBorders>
              <w:top w:val="single" w:sz="12" w:space="0" w:color="auto"/>
            </w:tcBorders>
            <w:shd w:val="clear" w:color="auto" w:fill="auto"/>
          </w:tcPr>
          <w:p w14:paraId="2F4CA1EA" w14:textId="77777777" w:rsidR="00F0236A" w:rsidRPr="00073574" w:rsidRDefault="00F0236A" w:rsidP="004608C8">
            <w:pPr>
              <w:pStyle w:val="Tabletext"/>
              <w:rPr>
                <w:b/>
                <w:bCs/>
                <w:sz w:val="24"/>
                <w:szCs w:val="24"/>
              </w:rPr>
            </w:pPr>
            <w:r w:rsidRPr="00073574">
              <w:rPr>
                <w:b/>
                <w:bCs/>
                <w:sz w:val="24"/>
                <w:szCs w:val="24"/>
              </w:rPr>
              <w:lastRenderedPageBreak/>
              <w:t>29-04</w:t>
            </w:r>
          </w:p>
        </w:tc>
        <w:tc>
          <w:tcPr>
            <w:tcW w:w="5420" w:type="dxa"/>
            <w:tcBorders>
              <w:top w:val="single" w:sz="12" w:space="0" w:color="auto"/>
            </w:tcBorders>
            <w:shd w:val="clear" w:color="auto" w:fill="auto"/>
          </w:tcPr>
          <w:p w14:paraId="29EC545E" w14:textId="77777777" w:rsidR="00F0236A" w:rsidRPr="00073574" w:rsidRDefault="00F0236A" w:rsidP="00DF36E1">
            <w:pPr>
              <w:pStyle w:val="Tabletext"/>
              <w:keepNext/>
              <w:keepLines/>
              <w:rPr>
                <w:b/>
                <w:bCs/>
                <w:sz w:val="24"/>
                <w:szCs w:val="24"/>
              </w:rPr>
            </w:pPr>
            <w:r w:rsidRPr="00073574">
              <w:rPr>
                <w:b/>
                <w:bCs/>
                <w:sz w:val="24"/>
                <w:szCs w:val="24"/>
              </w:rPr>
              <w:t>SG12 to develop guidelines regarding the minimum QoS and QoE threshold to be fulfilled during the use of alternative calling procedures (resolves 6)</w:t>
            </w:r>
          </w:p>
        </w:tc>
        <w:tc>
          <w:tcPr>
            <w:tcW w:w="1170" w:type="dxa"/>
            <w:tcBorders>
              <w:top w:val="single" w:sz="12" w:space="0" w:color="auto"/>
            </w:tcBorders>
            <w:shd w:val="clear" w:color="auto" w:fill="auto"/>
            <w:vAlign w:val="center"/>
          </w:tcPr>
          <w:p w14:paraId="6A6D6320"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49" w:type="dxa"/>
            <w:tcBorders>
              <w:top w:val="single" w:sz="12" w:space="0" w:color="auto"/>
            </w:tcBorders>
            <w:shd w:val="clear" w:color="auto" w:fill="auto"/>
            <w:vAlign w:val="center"/>
          </w:tcPr>
          <w:p w14:paraId="0180BFAF" w14:textId="77777777" w:rsidR="00F0236A" w:rsidRPr="00073574" w:rsidDel="00960141" w:rsidRDefault="00F0236A" w:rsidP="00DF36E1">
            <w:pPr>
              <w:pStyle w:val="Tabletext"/>
              <w:jc w:val="center"/>
              <w:rPr>
                <w:b/>
                <w:bCs/>
                <w:sz w:val="24"/>
                <w:szCs w:val="24"/>
              </w:rPr>
            </w:pPr>
            <w:r w:rsidRPr="00073574">
              <w:rPr>
                <w:b/>
                <w:bCs/>
                <w:sz w:val="24"/>
                <w:szCs w:val="24"/>
              </w:rPr>
              <w:t>√</w:t>
            </w:r>
          </w:p>
        </w:tc>
        <w:tc>
          <w:tcPr>
            <w:tcW w:w="1182" w:type="dxa"/>
            <w:tcBorders>
              <w:top w:val="single" w:sz="12" w:space="0" w:color="auto"/>
            </w:tcBorders>
            <w:shd w:val="clear" w:color="auto" w:fill="auto"/>
            <w:vAlign w:val="center"/>
          </w:tcPr>
          <w:p w14:paraId="4346561F" w14:textId="77777777" w:rsidR="00F0236A" w:rsidRPr="00073574" w:rsidRDefault="00F0236A" w:rsidP="00DF36E1">
            <w:pPr>
              <w:pStyle w:val="Tabletext"/>
              <w:jc w:val="center"/>
              <w:rPr>
                <w:b/>
                <w:bCs/>
                <w:sz w:val="24"/>
                <w:szCs w:val="24"/>
              </w:rPr>
            </w:pPr>
          </w:p>
        </w:tc>
      </w:tr>
      <w:tr w:rsidR="00F0236A" w:rsidRPr="00073574" w14:paraId="180D326B" w14:textId="77777777" w:rsidTr="005B5893">
        <w:trPr>
          <w:jc w:val="center"/>
        </w:trPr>
        <w:tc>
          <w:tcPr>
            <w:tcW w:w="911" w:type="dxa"/>
            <w:vMerge/>
            <w:shd w:val="clear" w:color="auto" w:fill="auto"/>
            <w:vAlign w:val="center"/>
          </w:tcPr>
          <w:p w14:paraId="701D8CB0" w14:textId="77777777" w:rsidR="00F0236A" w:rsidRPr="00073574" w:rsidRDefault="00F0236A" w:rsidP="00DF36E1">
            <w:pPr>
              <w:pStyle w:val="Tabletext"/>
              <w:rPr>
                <w:sz w:val="24"/>
                <w:szCs w:val="24"/>
              </w:rPr>
            </w:pPr>
          </w:p>
        </w:tc>
        <w:tc>
          <w:tcPr>
            <w:tcW w:w="8921" w:type="dxa"/>
            <w:gridSpan w:val="4"/>
            <w:shd w:val="clear" w:color="auto" w:fill="auto"/>
          </w:tcPr>
          <w:p w14:paraId="38AB2091" w14:textId="5D64D9DC" w:rsidR="00F0236A" w:rsidRPr="00073574" w:rsidRDefault="00F0236A" w:rsidP="00BF5747">
            <w:pPr>
              <w:pStyle w:val="Tabletext"/>
              <w:rPr>
                <w:szCs w:val="22"/>
              </w:rPr>
            </w:pPr>
            <w:r w:rsidRPr="00073574">
              <w:rPr>
                <w:szCs w:val="22"/>
              </w:rPr>
              <w:t>SG12 reviewed WTSA-16 Resolution 29 in January 2017, calling for input on the QoS for ACP.</w:t>
            </w:r>
            <w:r w:rsidR="00D3798E" w:rsidRPr="00073574">
              <w:rPr>
                <w:szCs w:val="22"/>
              </w:rPr>
              <w:t xml:space="preserve"> </w:t>
            </w:r>
            <w:r w:rsidR="00973930" w:rsidRPr="00073574">
              <w:rPr>
                <w:szCs w:val="22"/>
              </w:rPr>
              <w:t xml:space="preserve">One </w:t>
            </w:r>
            <w:r w:rsidR="00D3798E" w:rsidRPr="00073574">
              <w:rPr>
                <w:szCs w:val="22"/>
              </w:rPr>
              <w:t xml:space="preserve">work item, G.ACP (Guidelines regarding the minimum QoS and QoE threshold to be fulfilled during the use of alternative calling procedures) </w:t>
            </w:r>
            <w:r w:rsidR="00973930" w:rsidRPr="00073574">
              <w:rPr>
                <w:szCs w:val="22"/>
              </w:rPr>
              <w:t xml:space="preserve">is </w:t>
            </w:r>
            <w:r w:rsidR="000822B4" w:rsidRPr="00073574">
              <w:rPr>
                <w:szCs w:val="22"/>
              </w:rPr>
              <w:t>open, contributions are welcome</w:t>
            </w:r>
            <w:r w:rsidR="00D3798E" w:rsidRPr="00073574">
              <w:rPr>
                <w:szCs w:val="22"/>
              </w:rPr>
              <w:t>.</w:t>
            </w:r>
          </w:p>
        </w:tc>
      </w:tr>
    </w:tbl>
    <w:bookmarkStart w:id="72" w:name="Item29_01"/>
    <w:bookmarkStart w:id="73" w:name="Item29_02"/>
    <w:bookmarkStart w:id="74" w:name="Item29_03"/>
    <w:bookmarkStart w:id="75" w:name="Item29_04"/>
    <w:bookmarkEnd w:id="72"/>
    <w:bookmarkEnd w:id="73"/>
    <w:bookmarkEnd w:id="74"/>
    <w:bookmarkEnd w:id="75"/>
    <w:p w14:paraId="4D54013F" w14:textId="77777777" w:rsidR="00F0236A" w:rsidRPr="00073574" w:rsidRDefault="00F0236A" w:rsidP="00F0236A">
      <w:pPr>
        <w:rPr>
          <w:rStyle w:val="Hyperlink"/>
          <w:sz w:val="24"/>
        </w:rPr>
      </w:pPr>
      <w:r w:rsidRPr="00073574">
        <w:rPr>
          <w:color w:val="2B579A"/>
          <w:shd w:val="clear" w:color="auto" w:fill="E6E6E6"/>
        </w:rPr>
        <w:fldChar w:fldCharType="begin"/>
      </w:r>
      <w:r w:rsidRPr="00073574">
        <w:rPr>
          <w:sz w:val="24"/>
        </w:rPr>
        <w:instrText xml:space="preserve"> HYPERLINK \l "Top" </w:instrText>
      </w:r>
      <w:r w:rsidRPr="00073574">
        <w:rPr>
          <w:color w:val="2B579A"/>
          <w:shd w:val="clear" w:color="auto" w:fill="E6E6E6"/>
        </w:rPr>
        <w:fldChar w:fldCharType="separate"/>
      </w:r>
      <w:r w:rsidRPr="00073574">
        <w:rPr>
          <w:rStyle w:val="Hyperlink"/>
          <w:sz w:val="24"/>
        </w:rPr>
        <w:t>» Top</w:t>
      </w:r>
      <w:r w:rsidRPr="00073574">
        <w:rPr>
          <w:rStyle w:val="Hyperlink"/>
          <w:sz w:val="24"/>
        </w:rPr>
        <w:fldChar w:fldCharType="end"/>
      </w:r>
    </w:p>
    <w:p w14:paraId="2AC0A794" w14:textId="77777777" w:rsidR="00F0236A" w:rsidRPr="00073574" w:rsidRDefault="00F0236A" w:rsidP="00F0236A">
      <w:pPr>
        <w:rPr>
          <w:sz w:val="24"/>
        </w:rPr>
      </w:pPr>
    </w:p>
    <w:p w14:paraId="3BE99C80" w14:textId="77777777" w:rsidR="00F0236A" w:rsidRPr="00073574" w:rsidRDefault="00F0236A" w:rsidP="00F0236A">
      <w:pPr>
        <w:pStyle w:val="Heading1"/>
        <w:rPr>
          <w:sz w:val="24"/>
          <w:szCs w:val="24"/>
          <w:lang w:val="en-GB"/>
        </w:rPr>
      </w:pPr>
      <w:bookmarkStart w:id="76" w:name="Resolution_31"/>
      <w:bookmarkStart w:id="77" w:name="_Toc304236422"/>
      <w:bookmarkStart w:id="78" w:name="_Toc470008572"/>
      <w:bookmarkStart w:id="79" w:name="_Toc471715361"/>
      <w:bookmarkStart w:id="80" w:name="_Toc93425247"/>
      <w:bookmarkEnd w:id="76"/>
      <w:r w:rsidRPr="00073574">
        <w:rPr>
          <w:sz w:val="24"/>
          <w:szCs w:val="24"/>
          <w:lang w:val="en-GB"/>
        </w:rPr>
        <w:t>Resolution 31 - Admission of entities or organizations to participate as Associates in the work of the ITU-T Telecommunication Standardization Sector</w:t>
      </w:r>
      <w:bookmarkEnd w:id="77"/>
      <w:bookmarkEnd w:id="78"/>
      <w:bookmarkEnd w:id="79"/>
      <w:bookmarkEnd w:id="80"/>
    </w:p>
    <w:p w14:paraId="0C25BC23" w14:textId="77777777" w:rsidR="00F0236A" w:rsidRPr="00073574" w:rsidRDefault="00F0236A" w:rsidP="00F0236A">
      <w:pPr>
        <w:rPr>
          <w:b/>
          <w:bCs/>
          <w:sz w:val="24"/>
        </w:rPr>
      </w:pPr>
      <w:r w:rsidRPr="00073574">
        <w:rPr>
          <w:b/>
          <w:bCs/>
          <w:sz w:val="24"/>
        </w:rPr>
        <w:t>Resolution 31</w:t>
      </w:r>
    </w:p>
    <w:p w14:paraId="1EAF31D4" w14:textId="77777777" w:rsidR="00F0236A" w:rsidRPr="00073574" w:rsidRDefault="00F0236A" w:rsidP="00F0236A">
      <w:pPr>
        <w:pStyle w:val="Call"/>
        <w:rPr>
          <w:sz w:val="24"/>
          <w:szCs w:val="24"/>
          <w:lang w:val="en-GB"/>
        </w:rPr>
      </w:pPr>
      <w:r w:rsidRPr="00073574">
        <w:rPr>
          <w:sz w:val="24"/>
          <w:szCs w:val="24"/>
          <w:lang w:val="en-GB"/>
        </w:rPr>
        <w:t>resolves</w:t>
      </w:r>
    </w:p>
    <w:p w14:paraId="421764D0" w14:textId="77777777" w:rsidR="00F0236A" w:rsidRPr="00073574" w:rsidRDefault="00F0236A" w:rsidP="00F0236A">
      <w:pPr>
        <w:rPr>
          <w:sz w:val="24"/>
        </w:rPr>
      </w:pPr>
      <w:r w:rsidRPr="00073574">
        <w:rPr>
          <w:sz w:val="24"/>
        </w:rPr>
        <w:t>1</w:t>
      </w:r>
      <w:r w:rsidRPr="00073574">
        <w:rPr>
          <w:sz w:val="24"/>
        </w:rPr>
        <w:tab/>
        <w:t>that an interested entity or organization may join ITU</w:t>
      </w:r>
      <w:r w:rsidRPr="00073574">
        <w:rPr>
          <w:sz w:val="24"/>
        </w:rPr>
        <w:noBreakHyphen/>
        <w:t>T as an Associate and be entitled to take part in the work of a selected single study group;</w:t>
      </w:r>
    </w:p>
    <w:p w14:paraId="16834E64" w14:textId="77777777" w:rsidR="00F0236A" w:rsidRPr="00073574" w:rsidRDefault="00F0236A" w:rsidP="00F0236A">
      <w:pPr>
        <w:rPr>
          <w:sz w:val="24"/>
        </w:rPr>
      </w:pPr>
      <w:r w:rsidRPr="00073574">
        <w:rPr>
          <w:sz w:val="24"/>
        </w:rPr>
        <w:t>2</w:t>
      </w:r>
      <w:r w:rsidRPr="00073574">
        <w:rPr>
          <w:sz w:val="24"/>
        </w:rPr>
        <w:tab/>
        <w:t>that Associates are limited to the study group roles described below and excluded from all others:</w:t>
      </w:r>
    </w:p>
    <w:p w14:paraId="4663091A" w14:textId="77777777" w:rsidR="00F0236A" w:rsidRPr="00073574" w:rsidRDefault="00F0236A" w:rsidP="00101BC9">
      <w:pPr>
        <w:pStyle w:val="enumlev10"/>
        <w:jc w:val="left"/>
        <w:rPr>
          <w:sz w:val="24"/>
          <w:szCs w:val="24"/>
        </w:rPr>
      </w:pPr>
      <w:r w:rsidRPr="00073574">
        <w:rPr>
          <w:sz w:val="24"/>
          <w:szCs w:val="24"/>
        </w:rPr>
        <w:t>•</w:t>
      </w:r>
      <w:r w:rsidRPr="00073574">
        <w:rPr>
          <w:sz w:val="24"/>
          <w:szCs w:val="24"/>
        </w:rPr>
        <w:tab/>
        <w:t>Associates may take part in the process of preparing Recommendations within a study group, including the following roles: meeting participant, contribution submitter, Recommendation editor, and, during the alternative approval process, provider of comments during the last-call period (but not during the additional review period);</w:t>
      </w:r>
    </w:p>
    <w:p w14:paraId="6060FBD1" w14:textId="77777777" w:rsidR="00F0236A" w:rsidRPr="00073574" w:rsidRDefault="00F0236A" w:rsidP="00F0236A">
      <w:pPr>
        <w:pStyle w:val="enumlev10"/>
        <w:rPr>
          <w:sz w:val="24"/>
          <w:szCs w:val="24"/>
        </w:rPr>
      </w:pPr>
      <w:r w:rsidRPr="00073574">
        <w:rPr>
          <w:sz w:val="24"/>
          <w:szCs w:val="24"/>
        </w:rPr>
        <w:t>•</w:t>
      </w:r>
      <w:r w:rsidRPr="00073574">
        <w:rPr>
          <w:sz w:val="24"/>
          <w:szCs w:val="24"/>
        </w:rPr>
        <w:tab/>
        <w:t>Associates may have access to documentation required for their work;</w:t>
      </w:r>
    </w:p>
    <w:p w14:paraId="03A964CF" w14:textId="77777777" w:rsidR="00F0236A" w:rsidRPr="00073574" w:rsidRDefault="00F0236A" w:rsidP="00101BC9">
      <w:pPr>
        <w:pStyle w:val="enumlev10"/>
        <w:jc w:val="left"/>
        <w:rPr>
          <w:sz w:val="24"/>
          <w:szCs w:val="24"/>
        </w:rPr>
      </w:pPr>
      <w:r w:rsidRPr="00073574">
        <w:rPr>
          <w:sz w:val="24"/>
          <w:szCs w:val="24"/>
        </w:rPr>
        <w:t>•</w:t>
      </w:r>
      <w:r w:rsidRPr="00073574">
        <w:rPr>
          <w:sz w:val="24"/>
          <w:szCs w:val="24"/>
        </w:rPr>
        <w:tab/>
        <w:t>an Associate may serve as rapporteur, responsible for directing the studies for the relevant study Question within the selected study group, except for taking part in any decision-making or liaison activities which are to be handled separately, in accordance with No. 248B of the Convention;</w:t>
      </w:r>
    </w:p>
    <w:p w14:paraId="148D118C" w14:textId="77777777" w:rsidR="00F0236A" w:rsidRPr="00073574" w:rsidRDefault="00F0236A" w:rsidP="00F0236A">
      <w:pPr>
        <w:rPr>
          <w:sz w:val="24"/>
        </w:rPr>
      </w:pPr>
      <w:r w:rsidRPr="00073574">
        <w:rPr>
          <w:sz w:val="24"/>
        </w:rPr>
        <w:t>3</w:t>
      </w:r>
      <w:r w:rsidRPr="00073574">
        <w:rPr>
          <w:sz w:val="24"/>
        </w:rPr>
        <w:tab/>
        <w:t>that the amount of the financial contribution for Associates be based upon the contributory unit for Sector Members as determined by Council for any particular biennial budgetary period,</w:t>
      </w:r>
    </w:p>
    <w:p w14:paraId="02E6F21E" w14:textId="77777777" w:rsidR="00F0236A" w:rsidRPr="00073574" w:rsidRDefault="00F0236A" w:rsidP="00F0236A">
      <w:pPr>
        <w:pStyle w:val="Call"/>
        <w:rPr>
          <w:sz w:val="24"/>
          <w:szCs w:val="24"/>
          <w:lang w:val="en-GB"/>
        </w:rPr>
      </w:pPr>
      <w:r w:rsidRPr="00073574">
        <w:rPr>
          <w:sz w:val="24"/>
          <w:szCs w:val="24"/>
          <w:lang w:val="en-GB"/>
        </w:rPr>
        <w:t>requests</w:t>
      </w:r>
    </w:p>
    <w:p w14:paraId="70E31C99" w14:textId="77777777" w:rsidR="00F0236A" w:rsidRPr="00073574" w:rsidRDefault="00F0236A" w:rsidP="00F0236A">
      <w:pPr>
        <w:rPr>
          <w:sz w:val="24"/>
        </w:rPr>
      </w:pPr>
      <w:r w:rsidRPr="00073574">
        <w:rPr>
          <w:sz w:val="24"/>
        </w:rPr>
        <w:t>1</w:t>
      </w:r>
      <w:r w:rsidRPr="00073574">
        <w:rPr>
          <w:sz w:val="24"/>
        </w:rPr>
        <w:tab/>
        <w:t>the Secretary-General to admit entities or organizations to participate as Associates in the work of a given study group or subgroups thereof following the principles set out in Nos. 241B, 241C, 241D and 241E of the Convention;</w:t>
      </w:r>
    </w:p>
    <w:p w14:paraId="53CD0029" w14:textId="77777777" w:rsidR="00F0236A" w:rsidRPr="00073574" w:rsidRDefault="00F0236A" w:rsidP="00F0236A">
      <w:pPr>
        <w:rPr>
          <w:sz w:val="24"/>
        </w:rPr>
      </w:pPr>
      <w:r w:rsidRPr="00073574">
        <w:rPr>
          <w:sz w:val="24"/>
        </w:rPr>
        <w:t>2</w:t>
      </w:r>
      <w:r w:rsidRPr="00073574">
        <w:rPr>
          <w:sz w:val="24"/>
        </w:rPr>
        <w:tab/>
        <w:t>the Telecommunication Standardization Advisory Group to review on an ongoing basis the conditions governing the participation (including financial impact on the Sector budget) of Associates based on the experience gained within ITU</w:t>
      </w:r>
      <w:r w:rsidRPr="00073574">
        <w:rPr>
          <w:sz w:val="24"/>
        </w:rPr>
        <w:noBreakHyphen/>
        <w:t>T,</w:t>
      </w:r>
    </w:p>
    <w:p w14:paraId="7A8C08EC" w14:textId="0EAAE4B1" w:rsidR="00F0236A" w:rsidRPr="00073574" w:rsidRDefault="00F0236A" w:rsidP="00F0236A">
      <w:pPr>
        <w:pStyle w:val="Call"/>
        <w:rPr>
          <w:sz w:val="24"/>
          <w:szCs w:val="24"/>
          <w:lang w:val="en-GB"/>
        </w:rPr>
      </w:pPr>
      <w:r w:rsidRPr="00073574">
        <w:rPr>
          <w:sz w:val="24"/>
          <w:szCs w:val="24"/>
          <w:lang w:val="en-GB"/>
        </w:rPr>
        <w:t>instructs the Director of the Telecommu</w:t>
      </w:r>
      <w:r w:rsidR="00E31596" w:rsidRPr="00073574">
        <w:rPr>
          <w:sz w:val="24"/>
          <w:szCs w:val="24"/>
          <w:lang w:val="en-GB"/>
        </w:rPr>
        <w:t>nication Standardization Bureau</w:t>
      </w:r>
    </w:p>
    <w:p w14:paraId="693F3261" w14:textId="77777777" w:rsidR="00F0236A" w:rsidRPr="00073574" w:rsidRDefault="00F0236A" w:rsidP="00F0236A">
      <w:pPr>
        <w:rPr>
          <w:sz w:val="24"/>
        </w:rPr>
      </w:pPr>
      <w:r w:rsidRPr="00073574">
        <w:rPr>
          <w:sz w:val="24"/>
        </w:rPr>
        <w:t>to prepare the necessary logistics for the participation of Associates in the work of ITU</w:t>
      </w:r>
      <w:r w:rsidRPr="00073574">
        <w:rPr>
          <w:sz w:val="24"/>
        </w:rPr>
        <w:noBreakHyphen/>
        <w:t>T, including possible impacts of study group reorganization.</w:t>
      </w:r>
    </w:p>
    <w:p w14:paraId="387C9BC4" w14:textId="77777777" w:rsidR="00F0236A" w:rsidRPr="00073574" w:rsidRDefault="00F0236A" w:rsidP="00F0236A">
      <w:pPr>
        <w:rPr>
          <w:sz w:val="24"/>
        </w:rPr>
      </w:pPr>
    </w:p>
    <w:tbl>
      <w:tblPr>
        <w:tblW w:w="98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12"/>
        <w:gridCol w:w="5223"/>
        <w:gridCol w:w="1216"/>
        <w:gridCol w:w="1145"/>
        <w:gridCol w:w="1336"/>
      </w:tblGrid>
      <w:tr w:rsidR="00F0236A" w:rsidRPr="00073574" w14:paraId="59E70D6B" w14:textId="77777777" w:rsidTr="1EE68BAF">
        <w:trPr>
          <w:tblHeader/>
          <w:jc w:val="center"/>
        </w:trPr>
        <w:tc>
          <w:tcPr>
            <w:tcW w:w="913" w:type="dxa"/>
            <w:tcBorders>
              <w:top w:val="single" w:sz="12" w:space="0" w:color="auto"/>
              <w:bottom w:val="single" w:sz="12" w:space="0" w:color="auto"/>
            </w:tcBorders>
            <w:shd w:val="clear" w:color="auto" w:fill="auto"/>
            <w:vAlign w:val="center"/>
          </w:tcPr>
          <w:p w14:paraId="1F707098" w14:textId="77777777" w:rsidR="00F0236A" w:rsidRPr="00073574" w:rsidRDefault="00F0236A" w:rsidP="00DF36E1">
            <w:pPr>
              <w:pStyle w:val="Tablehead"/>
              <w:rPr>
                <w:sz w:val="24"/>
                <w:szCs w:val="24"/>
              </w:rPr>
            </w:pPr>
            <w:r w:rsidRPr="00073574">
              <w:rPr>
                <w:sz w:val="24"/>
                <w:szCs w:val="24"/>
              </w:rPr>
              <w:lastRenderedPageBreak/>
              <w:t>Action Item</w:t>
            </w:r>
          </w:p>
        </w:tc>
        <w:tc>
          <w:tcPr>
            <w:tcW w:w="5418" w:type="dxa"/>
            <w:tcBorders>
              <w:top w:val="single" w:sz="12" w:space="0" w:color="auto"/>
              <w:bottom w:val="single" w:sz="12" w:space="0" w:color="auto"/>
            </w:tcBorders>
            <w:shd w:val="clear" w:color="auto" w:fill="auto"/>
            <w:vAlign w:val="center"/>
            <w:hideMark/>
          </w:tcPr>
          <w:p w14:paraId="379C2826" w14:textId="77777777" w:rsidR="00F0236A" w:rsidRPr="00073574" w:rsidRDefault="00F0236A" w:rsidP="00DF36E1">
            <w:pPr>
              <w:pStyle w:val="Tablehead"/>
              <w:rPr>
                <w:sz w:val="24"/>
                <w:szCs w:val="24"/>
              </w:rPr>
            </w:pPr>
            <w:r w:rsidRPr="00073574">
              <w:rPr>
                <w:sz w:val="24"/>
                <w:szCs w:val="24"/>
              </w:rPr>
              <w:t>Action</w:t>
            </w:r>
          </w:p>
        </w:tc>
        <w:tc>
          <w:tcPr>
            <w:tcW w:w="1170" w:type="dxa"/>
            <w:tcBorders>
              <w:top w:val="single" w:sz="12" w:space="0" w:color="auto"/>
              <w:bottom w:val="single" w:sz="12" w:space="0" w:color="auto"/>
            </w:tcBorders>
            <w:shd w:val="clear" w:color="auto" w:fill="auto"/>
            <w:vAlign w:val="center"/>
            <w:hideMark/>
          </w:tcPr>
          <w:p w14:paraId="7CBD04BB" w14:textId="77777777" w:rsidR="00F0236A" w:rsidRPr="00073574" w:rsidRDefault="00F0236A" w:rsidP="00DF36E1">
            <w:pPr>
              <w:pStyle w:val="Tablehead"/>
              <w:rPr>
                <w:sz w:val="24"/>
                <w:szCs w:val="24"/>
              </w:rPr>
            </w:pPr>
            <w:r w:rsidRPr="00073574">
              <w:rPr>
                <w:sz w:val="24"/>
                <w:szCs w:val="24"/>
              </w:rPr>
              <w:t>Milestone</w:t>
            </w:r>
          </w:p>
        </w:tc>
        <w:tc>
          <w:tcPr>
            <w:tcW w:w="1149" w:type="dxa"/>
            <w:tcBorders>
              <w:top w:val="single" w:sz="12" w:space="0" w:color="auto"/>
              <w:bottom w:val="single" w:sz="12" w:space="0" w:color="auto"/>
            </w:tcBorders>
            <w:shd w:val="clear" w:color="auto" w:fill="auto"/>
          </w:tcPr>
          <w:p w14:paraId="7A6B6C59" w14:textId="77777777" w:rsidR="00F0236A" w:rsidRPr="00073574" w:rsidRDefault="00F0236A" w:rsidP="00DF36E1">
            <w:pPr>
              <w:pStyle w:val="Tablehead"/>
              <w:rPr>
                <w:sz w:val="24"/>
                <w:szCs w:val="24"/>
              </w:rPr>
            </w:pPr>
            <w:r w:rsidRPr="00073574">
              <w:rPr>
                <w:sz w:val="24"/>
                <w:szCs w:val="24"/>
              </w:rPr>
              <w:t>Periodic goals met</w:t>
            </w:r>
          </w:p>
        </w:tc>
        <w:tc>
          <w:tcPr>
            <w:tcW w:w="1182" w:type="dxa"/>
            <w:tcBorders>
              <w:top w:val="single" w:sz="12" w:space="0" w:color="auto"/>
              <w:bottom w:val="single" w:sz="12" w:space="0" w:color="auto"/>
            </w:tcBorders>
            <w:shd w:val="clear" w:color="auto" w:fill="auto"/>
            <w:vAlign w:val="center"/>
          </w:tcPr>
          <w:p w14:paraId="06287A43" w14:textId="77777777" w:rsidR="00F0236A" w:rsidRPr="00073574" w:rsidRDefault="00F0236A" w:rsidP="00DF36E1">
            <w:pPr>
              <w:pStyle w:val="Tablehead"/>
              <w:rPr>
                <w:sz w:val="24"/>
                <w:szCs w:val="24"/>
              </w:rPr>
            </w:pPr>
            <w:r w:rsidRPr="00073574">
              <w:rPr>
                <w:sz w:val="24"/>
                <w:szCs w:val="24"/>
              </w:rPr>
              <w:t>Completed</w:t>
            </w:r>
          </w:p>
        </w:tc>
      </w:tr>
      <w:tr w:rsidR="00F0236A" w:rsidRPr="00073574" w14:paraId="113A5EB7" w14:textId="77777777" w:rsidTr="1EE68BAF">
        <w:trPr>
          <w:jc w:val="center"/>
        </w:trPr>
        <w:tc>
          <w:tcPr>
            <w:tcW w:w="913" w:type="dxa"/>
            <w:vMerge w:val="restart"/>
            <w:shd w:val="clear" w:color="auto" w:fill="auto"/>
          </w:tcPr>
          <w:p w14:paraId="0FFA9ABD" w14:textId="77777777" w:rsidR="00F0236A" w:rsidRPr="00073574" w:rsidRDefault="00F0236A" w:rsidP="00DF36E1">
            <w:pPr>
              <w:pStyle w:val="Tabletext"/>
              <w:rPr>
                <w:b/>
                <w:bCs/>
                <w:sz w:val="24"/>
                <w:szCs w:val="24"/>
              </w:rPr>
            </w:pPr>
            <w:r w:rsidRPr="00073574">
              <w:rPr>
                <w:b/>
                <w:bCs/>
                <w:sz w:val="24"/>
                <w:szCs w:val="24"/>
              </w:rPr>
              <w:t>31-02</w:t>
            </w:r>
          </w:p>
        </w:tc>
        <w:tc>
          <w:tcPr>
            <w:tcW w:w="5418" w:type="dxa"/>
            <w:shd w:val="clear" w:color="auto" w:fill="auto"/>
            <w:hideMark/>
          </w:tcPr>
          <w:p w14:paraId="1C0F0879" w14:textId="77777777" w:rsidR="00F0236A" w:rsidRPr="00073574" w:rsidRDefault="00F0236A" w:rsidP="00DF36E1">
            <w:pPr>
              <w:pStyle w:val="Tabletext"/>
              <w:rPr>
                <w:b/>
                <w:bCs/>
                <w:sz w:val="24"/>
                <w:szCs w:val="24"/>
              </w:rPr>
            </w:pPr>
            <w:r w:rsidRPr="00073574">
              <w:rPr>
                <w:b/>
                <w:bCs/>
                <w:sz w:val="24"/>
                <w:szCs w:val="24"/>
              </w:rPr>
              <w:t>TSB Director to continue to provide necessary logistics for participation of Associates</w:t>
            </w:r>
          </w:p>
        </w:tc>
        <w:tc>
          <w:tcPr>
            <w:tcW w:w="1170" w:type="dxa"/>
            <w:shd w:val="clear" w:color="auto" w:fill="auto"/>
            <w:vAlign w:val="center"/>
            <w:hideMark/>
          </w:tcPr>
          <w:p w14:paraId="07C4CC33"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49" w:type="dxa"/>
            <w:shd w:val="clear" w:color="auto" w:fill="auto"/>
            <w:vAlign w:val="center"/>
          </w:tcPr>
          <w:p w14:paraId="23DA6385" w14:textId="77777777" w:rsidR="00F0236A" w:rsidRPr="00073574" w:rsidRDefault="00F0236A" w:rsidP="00DF36E1">
            <w:pPr>
              <w:pStyle w:val="Tabletext"/>
              <w:jc w:val="center"/>
              <w:rPr>
                <w:b/>
                <w:bCs/>
                <w:sz w:val="24"/>
                <w:szCs w:val="24"/>
              </w:rPr>
            </w:pPr>
            <w:r w:rsidRPr="00073574">
              <w:rPr>
                <w:b/>
                <w:bCs/>
                <w:sz w:val="24"/>
                <w:szCs w:val="24"/>
              </w:rPr>
              <w:t>√</w:t>
            </w:r>
          </w:p>
        </w:tc>
        <w:tc>
          <w:tcPr>
            <w:tcW w:w="1182" w:type="dxa"/>
            <w:shd w:val="clear" w:color="auto" w:fill="auto"/>
            <w:vAlign w:val="center"/>
          </w:tcPr>
          <w:p w14:paraId="0C28B87E" w14:textId="77777777" w:rsidR="00F0236A" w:rsidRPr="00073574" w:rsidRDefault="00F0236A" w:rsidP="00DF36E1">
            <w:pPr>
              <w:pStyle w:val="Tabletext"/>
              <w:jc w:val="center"/>
              <w:rPr>
                <w:b/>
                <w:bCs/>
                <w:sz w:val="24"/>
                <w:szCs w:val="24"/>
              </w:rPr>
            </w:pPr>
          </w:p>
        </w:tc>
      </w:tr>
      <w:tr w:rsidR="00F0236A" w:rsidRPr="00073574" w14:paraId="4990D893" w14:textId="77777777" w:rsidTr="1EE68BAF">
        <w:trPr>
          <w:jc w:val="center"/>
        </w:trPr>
        <w:tc>
          <w:tcPr>
            <w:tcW w:w="913" w:type="dxa"/>
            <w:vMerge/>
            <w:vAlign w:val="center"/>
          </w:tcPr>
          <w:p w14:paraId="07505B04" w14:textId="77777777" w:rsidR="00F0236A" w:rsidRPr="00073574" w:rsidRDefault="00F0236A" w:rsidP="00DF36E1">
            <w:pPr>
              <w:pStyle w:val="Tabletext"/>
              <w:rPr>
                <w:sz w:val="24"/>
                <w:szCs w:val="24"/>
              </w:rPr>
            </w:pPr>
          </w:p>
        </w:tc>
        <w:tc>
          <w:tcPr>
            <w:tcW w:w="8919" w:type="dxa"/>
            <w:gridSpan w:val="4"/>
            <w:shd w:val="clear" w:color="auto" w:fill="auto"/>
          </w:tcPr>
          <w:p w14:paraId="30C05556" w14:textId="77777777" w:rsidR="00F0236A" w:rsidRPr="00073574" w:rsidRDefault="00F0236A" w:rsidP="00284A2E">
            <w:pPr>
              <w:spacing w:before="40"/>
              <w:rPr>
                <w:szCs w:val="22"/>
              </w:rPr>
            </w:pPr>
            <w:r w:rsidRPr="00073574">
              <w:rPr>
                <w:szCs w:val="22"/>
              </w:rPr>
              <w:t>All necessary logistics is being provided.</w:t>
            </w:r>
          </w:p>
          <w:p w14:paraId="5D969683" w14:textId="58BA608E" w:rsidR="00F0236A" w:rsidRPr="00073574" w:rsidRDefault="00F0236A" w:rsidP="002E241A">
            <w:pPr>
              <w:numPr>
                <w:ilvl w:val="0"/>
                <w:numId w:val="17"/>
              </w:numPr>
              <w:overflowPunct w:val="0"/>
              <w:autoSpaceDE w:val="0"/>
              <w:autoSpaceDN w:val="0"/>
              <w:adjustRightInd w:val="0"/>
              <w:spacing w:after="120"/>
              <w:ind w:left="567" w:hanging="567"/>
              <w:contextualSpacing/>
              <w:textAlignment w:val="baseline"/>
            </w:pPr>
            <w:r w:rsidRPr="00073574">
              <w:t>31 December 2016: 137 Associates</w:t>
            </w:r>
          </w:p>
          <w:p w14:paraId="75190A5C" w14:textId="77777777" w:rsidR="00F0236A" w:rsidRPr="00073574" w:rsidRDefault="00F0236A" w:rsidP="002E241A">
            <w:pPr>
              <w:numPr>
                <w:ilvl w:val="0"/>
                <w:numId w:val="17"/>
              </w:numPr>
              <w:overflowPunct w:val="0"/>
              <w:autoSpaceDE w:val="0"/>
              <w:autoSpaceDN w:val="0"/>
              <w:adjustRightInd w:val="0"/>
              <w:spacing w:after="120"/>
              <w:ind w:left="567" w:hanging="567"/>
              <w:contextualSpacing/>
              <w:textAlignment w:val="baseline"/>
            </w:pPr>
            <w:r w:rsidRPr="00073574">
              <w:t>28 February 2017: 136 Associates</w:t>
            </w:r>
          </w:p>
          <w:p w14:paraId="5CAF6567" w14:textId="4DA53848" w:rsidR="00F0236A" w:rsidRPr="00073574" w:rsidRDefault="00D51176" w:rsidP="002E241A">
            <w:pPr>
              <w:numPr>
                <w:ilvl w:val="0"/>
                <w:numId w:val="17"/>
              </w:numPr>
              <w:overflowPunct w:val="0"/>
              <w:autoSpaceDE w:val="0"/>
              <w:autoSpaceDN w:val="0"/>
              <w:adjustRightInd w:val="0"/>
              <w:spacing w:after="120"/>
              <w:ind w:left="567" w:hanging="567"/>
              <w:contextualSpacing/>
              <w:textAlignment w:val="baseline"/>
            </w:pPr>
            <w:r w:rsidRPr="00073574">
              <w:t xml:space="preserve">31 January </w:t>
            </w:r>
            <w:r w:rsidR="00F0236A" w:rsidRPr="00073574">
              <w:t xml:space="preserve">2018: </w:t>
            </w:r>
            <w:r w:rsidRPr="00073574">
              <w:t>142</w:t>
            </w:r>
            <w:r w:rsidR="00F0236A" w:rsidRPr="00073574">
              <w:t xml:space="preserve"> Associates</w:t>
            </w:r>
          </w:p>
          <w:p w14:paraId="57CC65D6" w14:textId="77777777" w:rsidR="00E63536" w:rsidRPr="00073574" w:rsidRDefault="00005C73" w:rsidP="002E241A">
            <w:pPr>
              <w:numPr>
                <w:ilvl w:val="0"/>
                <w:numId w:val="17"/>
              </w:numPr>
              <w:overflowPunct w:val="0"/>
              <w:autoSpaceDE w:val="0"/>
              <w:autoSpaceDN w:val="0"/>
              <w:adjustRightInd w:val="0"/>
              <w:spacing w:after="120"/>
              <w:ind w:left="567" w:hanging="567"/>
              <w:contextualSpacing/>
              <w:textAlignment w:val="baseline"/>
            </w:pPr>
            <w:r w:rsidRPr="00073574">
              <w:t>31 October 2018: 161 Asso</w:t>
            </w:r>
            <w:r w:rsidR="00AA69D7" w:rsidRPr="00073574">
              <w:t>c</w:t>
            </w:r>
            <w:r w:rsidRPr="00073574">
              <w:t>iates</w:t>
            </w:r>
          </w:p>
          <w:p w14:paraId="566D04D6" w14:textId="0106C410" w:rsidR="00005C73" w:rsidRPr="00073574" w:rsidRDefault="58062E59" w:rsidP="002E241A">
            <w:pPr>
              <w:numPr>
                <w:ilvl w:val="0"/>
                <w:numId w:val="17"/>
              </w:numPr>
              <w:overflowPunct w:val="0"/>
              <w:autoSpaceDE w:val="0"/>
              <w:autoSpaceDN w:val="0"/>
              <w:adjustRightInd w:val="0"/>
              <w:spacing w:after="120"/>
              <w:ind w:left="567" w:hanging="567"/>
              <w:contextualSpacing/>
              <w:textAlignment w:val="baseline"/>
            </w:pPr>
            <w:r w:rsidRPr="00073574">
              <w:t>31 December</w:t>
            </w:r>
            <w:r w:rsidR="6ADF53F5" w:rsidRPr="00073574">
              <w:t xml:space="preserve"> 2019: </w:t>
            </w:r>
            <w:r w:rsidR="2919085B" w:rsidRPr="00073574">
              <w:t>1</w:t>
            </w:r>
            <w:r w:rsidRPr="00073574">
              <w:t>84</w:t>
            </w:r>
            <w:r w:rsidR="6F264FA6" w:rsidRPr="00073574">
              <w:t xml:space="preserve"> </w:t>
            </w:r>
            <w:r w:rsidR="6ADF53F5" w:rsidRPr="00073574">
              <w:t>Associates</w:t>
            </w:r>
          </w:p>
          <w:p w14:paraId="52A822AC" w14:textId="77777777" w:rsidR="00575C7A" w:rsidRPr="00073574" w:rsidRDefault="27AF26F9" w:rsidP="00575C7A">
            <w:pPr>
              <w:numPr>
                <w:ilvl w:val="0"/>
                <w:numId w:val="17"/>
              </w:numPr>
              <w:overflowPunct w:val="0"/>
              <w:autoSpaceDE w:val="0"/>
              <w:autoSpaceDN w:val="0"/>
              <w:adjustRightInd w:val="0"/>
              <w:spacing w:after="120"/>
              <w:ind w:left="567" w:hanging="567"/>
              <w:contextualSpacing/>
              <w:textAlignment w:val="baseline"/>
            </w:pPr>
            <w:r w:rsidRPr="00073574">
              <w:t>31 August 2020: 199 Associates</w:t>
            </w:r>
          </w:p>
          <w:p w14:paraId="3D943D91" w14:textId="5D16B599" w:rsidR="003201BD" w:rsidRPr="00073574" w:rsidRDefault="00575C7A" w:rsidP="00575C7A">
            <w:pPr>
              <w:numPr>
                <w:ilvl w:val="0"/>
                <w:numId w:val="17"/>
              </w:numPr>
              <w:overflowPunct w:val="0"/>
              <w:autoSpaceDE w:val="0"/>
              <w:autoSpaceDN w:val="0"/>
              <w:adjustRightInd w:val="0"/>
              <w:spacing w:after="120"/>
              <w:ind w:left="567" w:hanging="567"/>
              <w:contextualSpacing/>
              <w:textAlignment w:val="baseline"/>
            </w:pPr>
            <w:r w:rsidRPr="00073574">
              <w:t>11 December 202</w:t>
            </w:r>
            <w:r w:rsidR="003201BD" w:rsidRPr="00073574">
              <w:t>0</w:t>
            </w:r>
            <w:r w:rsidRPr="00073574">
              <w:t>: 202 Associates</w:t>
            </w:r>
          </w:p>
          <w:p w14:paraId="3956D39B" w14:textId="193BB754" w:rsidR="27AF26F9" w:rsidRPr="00073574" w:rsidRDefault="003201BD" w:rsidP="00575C7A">
            <w:pPr>
              <w:numPr>
                <w:ilvl w:val="0"/>
                <w:numId w:val="17"/>
              </w:numPr>
              <w:overflowPunct w:val="0"/>
              <w:autoSpaceDE w:val="0"/>
              <w:autoSpaceDN w:val="0"/>
              <w:adjustRightInd w:val="0"/>
              <w:spacing w:after="120"/>
              <w:ind w:left="567" w:hanging="567"/>
              <w:contextualSpacing/>
              <w:textAlignment w:val="baseline"/>
            </w:pPr>
            <w:r w:rsidRPr="00073574">
              <w:t xml:space="preserve">30 November 2021: </w:t>
            </w:r>
            <w:r w:rsidR="004D5E06" w:rsidRPr="00073574">
              <w:t>224</w:t>
            </w:r>
            <w:r w:rsidRPr="00073574">
              <w:t xml:space="preserve"> Associates</w:t>
            </w:r>
            <w:r w:rsidR="00575C7A" w:rsidRPr="00073574">
              <w:t>.</w:t>
            </w:r>
          </w:p>
          <w:p w14:paraId="4FD21588" w14:textId="6CC8FF8F" w:rsidR="00F0236A" w:rsidRPr="00073574" w:rsidRDefault="00F0236A" w:rsidP="00B70D91">
            <w:pPr>
              <w:spacing w:after="40"/>
              <w:rPr>
                <w:sz w:val="24"/>
              </w:rPr>
            </w:pPr>
            <w:r w:rsidRPr="00073574">
              <w:rPr>
                <w:szCs w:val="22"/>
              </w:rPr>
              <w:t xml:space="preserve">The current list of Associates may be found at </w:t>
            </w:r>
            <w:hyperlink r:id="rId227" w:history="1">
              <w:r w:rsidR="00366432" w:rsidRPr="00073574">
                <w:rPr>
                  <w:rStyle w:val="Hyperlink"/>
                  <w:szCs w:val="22"/>
                </w:rPr>
                <w:t>https://www.itu.int/en/myitu/Membership/ITU-Members/SMEs/Associates</w:t>
              </w:r>
            </w:hyperlink>
            <w:r w:rsidR="00A45D77">
              <w:rPr>
                <w:rStyle w:val="Hyperlink"/>
                <w:szCs w:val="22"/>
              </w:rPr>
              <w:t>.</w:t>
            </w:r>
          </w:p>
        </w:tc>
      </w:tr>
    </w:tbl>
    <w:bookmarkStart w:id="81" w:name="Item31_01"/>
    <w:bookmarkEnd w:id="81"/>
    <w:p w14:paraId="54D154E5" w14:textId="77777777" w:rsidR="00F0236A" w:rsidRPr="00073574" w:rsidRDefault="00F0236A" w:rsidP="00F0236A">
      <w:pPr>
        <w:rPr>
          <w:rStyle w:val="Hyperlink"/>
          <w:sz w:val="24"/>
        </w:rPr>
      </w:pPr>
      <w:r w:rsidRPr="00073574">
        <w:rPr>
          <w:color w:val="2B579A"/>
          <w:shd w:val="clear" w:color="auto" w:fill="E6E6E6"/>
        </w:rPr>
        <w:fldChar w:fldCharType="begin"/>
      </w:r>
      <w:r w:rsidRPr="00073574">
        <w:rPr>
          <w:sz w:val="24"/>
        </w:rPr>
        <w:instrText xml:space="preserve"> HYPERLINK \l "Top" </w:instrText>
      </w:r>
      <w:r w:rsidRPr="00073574">
        <w:rPr>
          <w:color w:val="2B579A"/>
          <w:shd w:val="clear" w:color="auto" w:fill="E6E6E6"/>
        </w:rPr>
        <w:fldChar w:fldCharType="separate"/>
      </w:r>
      <w:r w:rsidRPr="00073574">
        <w:rPr>
          <w:rStyle w:val="Hyperlink"/>
          <w:sz w:val="24"/>
        </w:rPr>
        <w:t>» Top</w:t>
      </w:r>
      <w:r w:rsidRPr="00073574">
        <w:rPr>
          <w:rStyle w:val="Hyperlink"/>
          <w:sz w:val="24"/>
        </w:rPr>
        <w:fldChar w:fldCharType="end"/>
      </w:r>
    </w:p>
    <w:p w14:paraId="7DB2B8B1" w14:textId="77777777" w:rsidR="00F0236A" w:rsidRPr="00073574" w:rsidRDefault="00F0236A" w:rsidP="00F0236A">
      <w:pPr>
        <w:rPr>
          <w:sz w:val="24"/>
        </w:rPr>
      </w:pPr>
      <w:bookmarkStart w:id="82" w:name="Item31_02"/>
      <w:bookmarkEnd w:id="82"/>
    </w:p>
    <w:p w14:paraId="4C6466E5" w14:textId="77777777" w:rsidR="00F0236A" w:rsidRPr="00073574" w:rsidRDefault="00F0236A" w:rsidP="00F0236A">
      <w:pPr>
        <w:pStyle w:val="Heading1"/>
        <w:keepNext/>
        <w:keepLines/>
        <w:rPr>
          <w:sz w:val="24"/>
          <w:szCs w:val="24"/>
          <w:lang w:val="en-GB"/>
        </w:rPr>
      </w:pPr>
      <w:bookmarkStart w:id="83" w:name="Resolution_32"/>
      <w:bookmarkStart w:id="84" w:name="_Resolution_32_-"/>
      <w:bookmarkStart w:id="85" w:name="_Toc304236423"/>
      <w:bookmarkStart w:id="86" w:name="_Toc471715362"/>
      <w:bookmarkStart w:id="87" w:name="OLE_LINK3"/>
      <w:bookmarkStart w:id="88" w:name="OLE_LINK4"/>
      <w:bookmarkStart w:id="89" w:name="_Toc93425248"/>
      <w:bookmarkEnd w:id="83"/>
      <w:bookmarkEnd w:id="84"/>
      <w:r w:rsidRPr="00073574">
        <w:rPr>
          <w:sz w:val="24"/>
          <w:szCs w:val="24"/>
          <w:lang w:val="en-GB"/>
        </w:rPr>
        <w:t>Resolution 32 - Strengthening electronic working methods for the work of the ITU-T Telecommunication Standardization Sector</w:t>
      </w:r>
      <w:bookmarkEnd w:id="85"/>
      <w:bookmarkEnd w:id="86"/>
      <w:bookmarkEnd w:id="89"/>
    </w:p>
    <w:p w14:paraId="42CC3E20" w14:textId="77777777" w:rsidR="00F0236A" w:rsidRPr="00073574" w:rsidRDefault="00F0236A" w:rsidP="00F0236A">
      <w:pPr>
        <w:keepNext/>
        <w:keepLines/>
        <w:rPr>
          <w:b/>
          <w:bCs/>
          <w:sz w:val="24"/>
        </w:rPr>
      </w:pPr>
      <w:r w:rsidRPr="00073574">
        <w:rPr>
          <w:b/>
          <w:bCs/>
          <w:sz w:val="24"/>
        </w:rPr>
        <w:t>Resolution 32</w:t>
      </w:r>
    </w:p>
    <w:p w14:paraId="307830C9" w14:textId="77777777" w:rsidR="00F0236A" w:rsidRPr="00073574" w:rsidRDefault="00F0236A" w:rsidP="00F0236A">
      <w:pPr>
        <w:pStyle w:val="Call"/>
        <w:rPr>
          <w:sz w:val="24"/>
          <w:szCs w:val="24"/>
          <w:lang w:val="en-GB"/>
        </w:rPr>
      </w:pPr>
      <w:r w:rsidRPr="00073574">
        <w:rPr>
          <w:sz w:val="24"/>
          <w:szCs w:val="24"/>
          <w:lang w:val="en-GB"/>
        </w:rPr>
        <w:t>resolves</w:t>
      </w:r>
    </w:p>
    <w:p w14:paraId="0DF45CB9" w14:textId="77777777" w:rsidR="00F0236A" w:rsidRPr="00073574" w:rsidRDefault="00F0236A" w:rsidP="00F0236A">
      <w:pPr>
        <w:rPr>
          <w:sz w:val="24"/>
        </w:rPr>
      </w:pPr>
      <w:r w:rsidRPr="00073574">
        <w:rPr>
          <w:sz w:val="24"/>
        </w:rPr>
        <w:t>1</w:t>
      </w:r>
      <w:r w:rsidRPr="00073574">
        <w:rPr>
          <w:sz w:val="24"/>
        </w:rPr>
        <w:tab/>
        <w:t>that the principal EWM objectives of ITU</w:t>
      </w:r>
      <w:r w:rsidRPr="00073574">
        <w:rPr>
          <w:sz w:val="24"/>
        </w:rPr>
        <w:noBreakHyphen/>
        <w:t>T are:</w:t>
      </w:r>
    </w:p>
    <w:p w14:paraId="7295E68B" w14:textId="77777777" w:rsidR="00F0236A" w:rsidRPr="00073574" w:rsidRDefault="00F0236A" w:rsidP="00101BC9">
      <w:pPr>
        <w:pStyle w:val="enumlev10"/>
        <w:jc w:val="left"/>
        <w:rPr>
          <w:sz w:val="24"/>
          <w:szCs w:val="24"/>
        </w:rPr>
      </w:pPr>
      <w:r w:rsidRPr="00073574">
        <w:rPr>
          <w:sz w:val="24"/>
          <w:szCs w:val="24"/>
        </w:rPr>
        <w:t>•</w:t>
      </w:r>
      <w:r w:rsidRPr="00073574">
        <w:rPr>
          <w:sz w:val="24"/>
          <w:szCs w:val="24"/>
        </w:rPr>
        <w:tab/>
        <w:t>that collaboration between members on development of Recommendations should be by electronic means;</w:t>
      </w:r>
    </w:p>
    <w:p w14:paraId="7BBA4B51" w14:textId="77777777" w:rsidR="00F0236A" w:rsidRPr="00073574" w:rsidRDefault="00F0236A" w:rsidP="00101BC9">
      <w:pPr>
        <w:pStyle w:val="enumlev10"/>
        <w:jc w:val="left"/>
        <w:rPr>
          <w:sz w:val="24"/>
          <w:szCs w:val="24"/>
        </w:rPr>
      </w:pPr>
      <w:r w:rsidRPr="00073574">
        <w:rPr>
          <w:sz w:val="24"/>
          <w:szCs w:val="24"/>
        </w:rPr>
        <w:t>•</w:t>
      </w:r>
      <w:r w:rsidRPr="00073574">
        <w:rPr>
          <w:sz w:val="24"/>
          <w:szCs w:val="24"/>
        </w:rPr>
        <w:tab/>
        <w:t>that TSB, in close collaboration with the ITU Telecommunication Development Bureau (BDT), should provide facilities and capabilities for EWM at ITU-T meetings, workshops and training courses, particularly to assist developing countries that have bandwidth limitations and other constraints, including remote participation and electronic access, such as via LINUX-based platforms;</w:t>
      </w:r>
    </w:p>
    <w:p w14:paraId="34E86720" w14:textId="77777777" w:rsidR="00F0236A" w:rsidRPr="00073574" w:rsidRDefault="00F0236A" w:rsidP="00101BC9">
      <w:pPr>
        <w:pStyle w:val="enumlev10"/>
        <w:jc w:val="left"/>
        <w:rPr>
          <w:sz w:val="24"/>
          <w:szCs w:val="24"/>
        </w:rPr>
      </w:pPr>
      <w:r w:rsidRPr="00073574">
        <w:rPr>
          <w:sz w:val="24"/>
          <w:szCs w:val="24"/>
        </w:rPr>
        <w:t>•</w:t>
      </w:r>
      <w:r w:rsidRPr="00073574">
        <w:rPr>
          <w:sz w:val="24"/>
          <w:szCs w:val="24"/>
        </w:rPr>
        <w:tab/>
        <w:t>to encourage electronic participation of developing countries in ITU-T meetings, by providing simplified facilities and guidelines, and by waiving any expenses for those participants, other than the local call or Internet connectivity charges;</w:t>
      </w:r>
    </w:p>
    <w:p w14:paraId="52C9047A" w14:textId="77777777" w:rsidR="00F0236A" w:rsidRPr="00073574" w:rsidRDefault="00F0236A" w:rsidP="00101BC9">
      <w:pPr>
        <w:pStyle w:val="enumlev10"/>
        <w:jc w:val="left"/>
        <w:rPr>
          <w:sz w:val="24"/>
          <w:szCs w:val="24"/>
        </w:rPr>
      </w:pPr>
      <w:r w:rsidRPr="00073574">
        <w:rPr>
          <w:sz w:val="24"/>
          <w:szCs w:val="24"/>
        </w:rPr>
        <w:t>•</w:t>
      </w:r>
      <w:r w:rsidRPr="00073574">
        <w:rPr>
          <w:sz w:val="24"/>
          <w:szCs w:val="24"/>
        </w:rPr>
        <w:tab/>
        <w:t>that TSB, in close collaboration with BDT, should provide facilities and capabilities for EWM at ITU-T meetings, workshops and training courses, and encourage participation of developing countries, by waiving, within the credits that the Council is empowered to authorize, any expenses for those participants, other than the local call or Internet connectivity charges;</w:t>
      </w:r>
    </w:p>
    <w:p w14:paraId="04BD8B99" w14:textId="2336A995" w:rsidR="00F0236A" w:rsidRPr="00073574" w:rsidRDefault="00F0236A" w:rsidP="00101BC9">
      <w:pPr>
        <w:pStyle w:val="enumlev10"/>
        <w:jc w:val="left"/>
        <w:rPr>
          <w:sz w:val="24"/>
          <w:szCs w:val="24"/>
        </w:rPr>
      </w:pPr>
      <w:r w:rsidRPr="00073574">
        <w:rPr>
          <w:sz w:val="24"/>
          <w:szCs w:val="24"/>
        </w:rPr>
        <w:t>•</w:t>
      </w:r>
      <w:r w:rsidRPr="00073574">
        <w:rPr>
          <w:sz w:val="24"/>
          <w:szCs w:val="24"/>
        </w:rPr>
        <w:tab/>
        <w:t>that TSB should provide all members of ITU</w:t>
      </w:r>
      <w:r w:rsidRPr="00073574">
        <w:rPr>
          <w:sz w:val="24"/>
          <w:szCs w:val="24"/>
        </w:rPr>
        <w:noBreakHyphen/>
        <w:t>T with appropriate and ready access to electronic documentation for their work, including a global, unified and consolidated</w:t>
      </w:r>
      <w:r w:rsidR="00E31596" w:rsidRPr="00073574">
        <w:rPr>
          <w:sz w:val="24"/>
          <w:szCs w:val="24"/>
        </w:rPr>
        <w:t xml:space="preserve"> view of document traceability;</w:t>
      </w:r>
    </w:p>
    <w:p w14:paraId="76A126CC" w14:textId="2DF5991B" w:rsidR="00F0236A" w:rsidRPr="00073574" w:rsidRDefault="00F0236A" w:rsidP="00101BC9">
      <w:pPr>
        <w:pStyle w:val="enumlev10"/>
        <w:jc w:val="left"/>
        <w:rPr>
          <w:sz w:val="24"/>
          <w:szCs w:val="24"/>
        </w:rPr>
      </w:pPr>
      <w:r w:rsidRPr="00073574">
        <w:rPr>
          <w:sz w:val="24"/>
          <w:szCs w:val="24"/>
        </w:rPr>
        <w:t>•</w:t>
      </w:r>
      <w:r w:rsidRPr="00073574">
        <w:rPr>
          <w:sz w:val="24"/>
          <w:szCs w:val="24"/>
        </w:rPr>
        <w:tab/>
        <w:t>that TSB should provide appropriate systems and facilities to support the conduct of ITU</w:t>
      </w:r>
      <w:r w:rsidRPr="00073574">
        <w:rPr>
          <w:sz w:val="24"/>
          <w:szCs w:val="24"/>
        </w:rPr>
        <w:noBreakHyphen/>
        <w:t>T</w:t>
      </w:r>
      <w:r w:rsidR="003C7E25" w:rsidRPr="00073574">
        <w:rPr>
          <w:sz w:val="24"/>
          <w:szCs w:val="24"/>
        </w:rPr>
        <w:t>'</w:t>
      </w:r>
      <w:r w:rsidRPr="00073574">
        <w:rPr>
          <w:sz w:val="24"/>
          <w:szCs w:val="24"/>
        </w:rPr>
        <w:t>s work by electronic means;</w:t>
      </w:r>
    </w:p>
    <w:p w14:paraId="1F5A657C" w14:textId="77777777" w:rsidR="00F0236A" w:rsidRPr="00073574" w:rsidRDefault="00F0236A" w:rsidP="00101BC9">
      <w:pPr>
        <w:pStyle w:val="enumlev10"/>
        <w:jc w:val="left"/>
        <w:rPr>
          <w:sz w:val="24"/>
          <w:szCs w:val="24"/>
        </w:rPr>
      </w:pPr>
      <w:r w:rsidRPr="00073574">
        <w:rPr>
          <w:sz w:val="24"/>
          <w:szCs w:val="24"/>
        </w:rPr>
        <w:t>•</w:t>
      </w:r>
      <w:r w:rsidRPr="00073574">
        <w:rPr>
          <w:sz w:val="24"/>
          <w:szCs w:val="24"/>
        </w:rPr>
        <w:tab/>
        <w:t>that all activities, procedures, studies and reports of ITU-T study groups be posted on the ITU-T website so as to facilitate navigation to find all relevant information,</w:t>
      </w:r>
    </w:p>
    <w:p w14:paraId="69F405CF" w14:textId="77777777" w:rsidR="00F0236A" w:rsidRPr="00073574" w:rsidRDefault="00F0236A" w:rsidP="00101BC9">
      <w:pPr>
        <w:pStyle w:val="enumlev10"/>
        <w:jc w:val="left"/>
        <w:rPr>
          <w:sz w:val="24"/>
          <w:szCs w:val="24"/>
        </w:rPr>
      </w:pPr>
      <w:r w:rsidRPr="00073574">
        <w:rPr>
          <w:sz w:val="24"/>
          <w:szCs w:val="24"/>
        </w:rPr>
        <w:lastRenderedPageBreak/>
        <w:t>•</w:t>
      </w:r>
      <w:r w:rsidRPr="00073574">
        <w:rPr>
          <w:sz w:val="24"/>
          <w:szCs w:val="24"/>
        </w:rPr>
        <w:tab/>
        <w:t>to consider developing a mobile</w:t>
      </w:r>
      <w:r w:rsidRPr="00073574">
        <w:rPr>
          <w:sz w:val="24"/>
          <w:szCs w:val="24"/>
        </w:rPr>
        <w:noBreakHyphen/>
        <w:t>friendly version of the ITU</w:t>
      </w:r>
      <w:r w:rsidRPr="00073574">
        <w:rPr>
          <w:sz w:val="24"/>
          <w:szCs w:val="24"/>
        </w:rPr>
        <w:noBreakHyphen/>
        <w:t>T website to facilitate easy access by smart mobile devices to information; and</w:t>
      </w:r>
    </w:p>
    <w:p w14:paraId="518FC624" w14:textId="77777777" w:rsidR="00F0236A" w:rsidRPr="00073574" w:rsidRDefault="00F0236A" w:rsidP="00101BC9">
      <w:pPr>
        <w:pStyle w:val="enumlev10"/>
        <w:jc w:val="left"/>
        <w:rPr>
          <w:sz w:val="24"/>
          <w:szCs w:val="24"/>
        </w:rPr>
      </w:pPr>
      <w:r w:rsidRPr="00073574">
        <w:rPr>
          <w:sz w:val="24"/>
          <w:szCs w:val="24"/>
        </w:rPr>
        <w:t>•</w:t>
      </w:r>
      <w:r w:rsidRPr="00073574">
        <w:rPr>
          <w:sz w:val="24"/>
          <w:szCs w:val="24"/>
        </w:rPr>
        <w:tab/>
        <w:t>to simplify and facilitate enhanced searching for documents and/or information;</w:t>
      </w:r>
    </w:p>
    <w:p w14:paraId="13B13B28" w14:textId="77777777" w:rsidR="00F0236A" w:rsidRPr="00073574" w:rsidRDefault="00F0236A" w:rsidP="00101BC9">
      <w:pPr>
        <w:rPr>
          <w:sz w:val="24"/>
        </w:rPr>
      </w:pPr>
      <w:r w:rsidRPr="00073574">
        <w:rPr>
          <w:sz w:val="24"/>
        </w:rPr>
        <w:t>2</w:t>
      </w:r>
      <w:r w:rsidRPr="00073574">
        <w:rPr>
          <w:sz w:val="24"/>
        </w:rPr>
        <w:tab/>
        <w:t>that these objectives should be systematically addressed in an EWM Action Plan, including individual action items identified by the ITU</w:t>
      </w:r>
      <w:r w:rsidRPr="00073574">
        <w:rPr>
          <w:sz w:val="24"/>
        </w:rPr>
        <w:noBreakHyphen/>
        <w:t>T membership or TSB, and prioritized and managed by TSB with the advice of the Telecommunication Standardization Advisory Group (TSAG),</w:t>
      </w:r>
    </w:p>
    <w:p w14:paraId="11372C79" w14:textId="77777777" w:rsidR="00F0236A" w:rsidRPr="00073574" w:rsidRDefault="00F0236A" w:rsidP="00F0236A">
      <w:pPr>
        <w:pStyle w:val="Call"/>
        <w:rPr>
          <w:sz w:val="24"/>
          <w:szCs w:val="24"/>
          <w:lang w:val="en-GB"/>
        </w:rPr>
      </w:pPr>
      <w:r w:rsidRPr="00073574">
        <w:rPr>
          <w:sz w:val="24"/>
          <w:szCs w:val="24"/>
          <w:lang w:val="en-GB"/>
        </w:rPr>
        <w:t>instructs</w:t>
      </w:r>
    </w:p>
    <w:p w14:paraId="0CB1E79D" w14:textId="77777777" w:rsidR="00F0236A" w:rsidRPr="00073574" w:rsidRDefault="00F0236A" w:rsidP="00F0236A">
      <w:pPr>
        <w:rPr>
          <w:sz w:val="24"/>
        </w:rPr>
      </w:pPr>
      <w:r w:rsidRPr="00073574">
        <w:rPr>
          <w:sz w:val="24"/>
        </w:rPr>
        <w:t>1</w:t>
      </w:r>
      <w:r w:rsidRPr="00073574">
        <w:rPr>
          <w:sz w:val="24"/>
        </w:rPr>
        <w:tab/>
        <w:t>the Director of TSB to:</w:t>
      </w:r>
    </w:p>
    <w:p w14:paraId="200F3AB8" w14:textId="77777777" w:rsidR="00F0236A" w:rsidRPr="00073574" w:rsidRDefault="00F0236A" w:rsidP="00101BC9">
      <w:pPr>
        <w:pStyle w:val="enumlev10"/>
        <w:jc w:val="left"/>
        <w:rPr>
          <w:sz w:val="24"/>
          <w:szCs w:val="24"/>
        </w:rPr>
      </w:pPr>
      <w:r w:rsidRPr="00073574">
        <w:rPr>
          <w:sz w:val="24"/>
          <w:szCs w:val="24"/>
        </w:rPr>
        <w:t>•</w:t>
      </w:r>
      <w:r w:rsidRPr="00073574">
        <w:rPr>
          <w:sz w:val="24"/>
          <w:szCs w:val="24"/>
        </w:rPr>
        <w:tab/>
        <w:t>maintain the EWM Action Plan to address the practical and physical aspects of increasing the EWM capability of ITU</w:t>
      </w:r>
      <w:r w:rsidRPr="00073574">
        <w:rPr>
          <w:sz w:val="24"/>
          <w:szCs w:val="24"/>
        </w:rPr>
        <w:noBreakHyphen/>
        <w:t>T;</w:t>
      </w:r>
    </w:p>
    <w:p w14:paraId="034C5FAB" w14:textId="77777777" w:rsidR="00F0236A" w:rsidRPr="00073574" w:rsidRDefault="00F0236A" w:rsidP="00101BC9">
      <w:pPr>
        <w:pStyle w:val="enumlev10"/>
        <w:jc w:val="left"/>
        <w:rPr>
          <w:sz w:val="24"/>
          <w:szCs w:val="24"/>
        </w:rPr>
      </w:pPr>
      <w:r w:rsidRPr="00073574">
        <w:rPr>
          <w:sz w:val="24"/>
          <w:szCs w:val="24"/>
        </w:rPr>
        <w:t>•</w:t>
      </w:r>
      <w:r w:rsidRPr="00073574">
        <w:rPr>
          <w:sz w:val="24"/>
          <w:szCs w:val="24"/>
        </w:rPr>
        <w:tab/>
        <w:t>identify and review costs and benefits of the action items on a regular basis;</w:t>
      </w:r>
    </w:p>
    <w:p w14:paraId="23FEC6CA" w14:textId="77777777" w:rsidR="00F0236A" w:rsidRPr="00073574" w:rsidRDefault="00F0236A" w:rsidP="00101BC9">
      <w:pPr>
        <w:pStyle w:val="enumlev10"/>
        <w:jc w:val="left"/>
        <w:rPr>
          <w:sz w:val="24"/>
          <w:szCs w:val="24"/>
        </w:rPr>
      </w:pPr>
      <w:r w:rsidRPr="00073574">
        <w:rPr>
          <w:sz w:val="24"/>
          <w:szCs w:val="24"/>
        </w:rPr>
        <w:t>•</w:t>
      </w:r>
      <w:r w:rsidRPr="00073574">
        <w:rPr>
          <w:sz w:val="24"/>
          <w:szCs w:val="24"/>
        </w:rPr>
        <w:tab/>
        <w:t>report to each meeting of TSAG on the status of the Action Plan, including the results of the cost and benefit reviews described above;</w:t>
      </w:r>
    </w:p>
    <w:p w14:paraId="001CF88C" w14:textId="77777777" w:rsidR="00F0236A" w:rsidRPr="00073574" w:rsidRDefault="00F0236A" w:rsidP="00101BC9">
      <w:pPr>
        <w:pStyle w:val="enumlev10"/>
        <w:jc w:val="left"/>
        <w:rPr>
          <w:sz w:val="24"/>
          <w:szCs w:val="24"/>
        </w:rPr>
      </w:pPr>
      <w:r w:rsidRPr="00073574">
        <w:rPr>
          <w:sz w:val="24"/>
          <w:szCs w:val="24"/>
        </w:rPr>
        <w:t>•</w:t>
      </w:r>
      <w:r w:rsidRPr="00073574">
        <w:rPr>
          <w:sz w:val="24"/>
          <w:szCs w:val="24"/>
        </w:rPr>
        <w:tab/>
        <w:t>provide the executive authority, budget within TSB, and resources to execute the Action Plan with all possible speed;</w:t>
      </w:r>
    </w:p>
    <w:p w14:paraId="7277D013" w14:textId="77777777" w:rsidR="00F0236A" w:rsidRPr="00073574" w:rsidRDefault="00F0236A" w:rsidP="00101BC9">
      <w:pPr>
        <w:pStyle w:val="enumlev10"/>
        <w:jc w:val="left"/>
        <w:rPr>
          <w:sz w:val="24"/>
          <w:szCs w:val="24"/>
        </w:rPr>
      </w:pPr>
      <w:r w:rsidRPr="00073574">
        <w:rPr>
          <w:sz w:val="24"/>
          <w:szCs w:val="24"/>
        </w:rPr>
        <w:t>•</w:t>
      </w:r>
      <w:r w:rsidRPr="00073574">
        <w:rPr>
          <w:sz w:val="24"/>
          <w:szCs w:val="24"/>
        </w:rPr>
        <w:tab/>
        <w:t>develop and disseminate guidelines for the use of ITU</w:t>
      </w:r>
      <w:r w:rsidRPr="00073574">
        <w:rPr>
          <w:sz w:val="24"/>
          <w:szCs w:val="24"/>
        </w:rPr>
        <w:noBreakHyphen/>
        <w:t>T EWM facilities and capabilities;</w:t>
      </w:r>
    </w:p>
    <w:p w14:paraId="7976521A" w14:textId="77777777" w:rsidR="00F0236A" w:rsidRPr="00073574" w:rsidRDefault="00F0236A" w:rsidP="00101BC9">
      <w:pPr>
        <w:pStyle w:val="enumlev10"/>
        <w:jc w:val="left"/>
        <w:rPr>
          <w:sz w:val="24"/>
          <w:szCs w:val="24"/>
        </w:rPr>
      </w:pPr>
      <w:r w:rsidRPr="00073574">
        <w:rPr>
          <w:sz w:val="24"/>
          <w:szCs w:val="24"/>
        </w:rPr>
        <w:t>•</w:t>
      </w:r>
      <w:r w:rsidRPr="00073574">
        <w:rPr>
          <w:sz w:val="24"/>
          <w:szCs w:val="24"/>
        </w:rPr>
        <w:tab/>
        <w:t>take action, in order to provide appropriate electronic participation or observation facilities (e.g. webcast, audioconference, web conference/document sharing, videoconference, etc.) in ITU</w:t>
      </w:r>
      <w:r w:rsidRPr="00073574">
        <w:rPr>
          <w:sz w:val="24"/>
          <w:szCs w:val="24"/>
        </w:rPr>
        <w:noBreakHyphen/>
        <w:t>T meetings, workshops and training courses for delegates unable to attend events in person, and coordinate with BDT to assist in the provision of such facilities; and</w:t>
      </w:r>
    </w:p>
    <w:p w14:paraId="4B389892" w14:textId="77777777" w:rsidR="00F0236A" w:rsidRPr="00073574" w:rsidRDefault="00F0236A" w:rsidP="00101BC9">
      <w:pPr>
        <w:pStyle w:val="enumlev10"/>
        <w:jc w:val="left"/>
        <w:rPr>
          <w:sz w:val="24"/>
          <w:szCs w:val="24"/>
        </w:rPr>
      </w:pPr>
      <w:r w:rsidRPr="00073574">
        <w:rPr>
          <w:sz w:val="24"/>
          <w:szCs w:val="24"/>
        </w:rPr>
        <w:t>•</w:t>
      </w:r>
      <w:r w:rsidRPr="00073574">
        <w:rPr>
          <w:sz w:val="24"/>
          <w:szCs w:val="24"/>
        </w:rPr>
        <w:tab/>
        <w:t>provide an ITU-T website that is easy to navigate to find all relevant information, and in particular a classification mechanism and an enhanced search engine to extract documents and/or information that are related to a specific subject, topic or issue; and</w:t>
      </w:r>
    </w:p>
    <w:p w14:paraId="5541ECE2" w14:textId="77777777" w:rsidR="00F0236A" w:rsidRPr="00073574" w:rsidRDefault="00F0236A" w:rsidP="00101BC9">
      <w:pPr>
        <w:pStyle w:val="enumlev10"/>
        <w:jc w:val="left"/>
        <w:rPr>
          <w:sz w:val="24"/>
          <w:szCs w:val="24"/>
        </w:rPr>
      </w:pPr>
      <w:r w:rsidRPr="00073574">
        <w:rPr>
          <w:sz w:val="24"/>
          <w:szCs w:val="24"/>
        </w:rPr>
        <w:t>•</w:t>
      </w:r>
      <w:r w:rsidRPr="00073574">
        <w:rPr>
          <w:sz w:val="24"/>
          <w:szCs w:val="24"/>
        </w:rPr>
        <w:tab/>
        <w:t>provide a mobile</w:t>
      </w:r>
      <w:r w:rsidRPr="00073574">
        <w:rPr>
          <w:sz w:val="24"/>
          <w:szCs w:val="24"/>
        </w:rPr>
        <w:noBreakHyphen/>
        <w:t>friendly version of the ITU</w:t>
      </w:r>
      <w:r w:rsidRPr="00073574">
        <w:rPr>
          <w:sz w:val="24"/>
          <w:szCs w:val="24"/>
        </w:rPr>
        <w:noBreakHyphen/>
        <w:t>T website;</w:t>
      </w:r>
    </w:p>
    <w:p w14:paraId="5D297DC1" w14:textId="77777777" w:rsidR="00F0236A" w:rsidRPr="00073574" w:rsidRDefault="00F0236A" w:rsidP="00101BC9">
      <w:pPr>
        <w:rPr>
          <w:sz w:val="24"/>
        </w:rPr>
      </w:pPr>
      <w:r w:rsidRPr="00073574">
        <w:rPr>
          <w:sz w:val="24"/>
        </w:rPr>
        <w:t>2</w:t>
      </w:r>
      <w:r w:rsidRPr="00073574">
        <w:rPr>
          <w:sz w:val="24"/>
        </w:rPr>
        <w:tab/>
        <w:t>TSAG to continue to:</w:t>
      </w:r>
    </w:p>
    <w:p w14:paraId="1BCA4549" w14:textId="77777777" w:rsidR="00F0236A" w:rsidRPr="00073574" w:rsidRDefault="00F0236A" w:rsidP="00101BC9">
      <w:pPr>
        <w:pStyle w:val="enumlev10"/>
        <w:jc w:val="left"/>
        <w:rPr>
          <w:sz w:val="24"/>
          <w:szCs w:val="24"/>
        </w:rPr>
      </w:pPr>
      <w:r w:rsidRPr="00073574">
        <w:rPr>
          <w:sz w:val="24"/>
          <w:szCs w:val="24"/>
        </w:rPr>
        <w:t>•</w:t>
      </w:r>
      <w:r w:rsidRPr="00073574">
        <w:rPr>
          <w:sz w:val="24"/>
          <w:szCs w:val="24"/>
        </w:rPr>
        <w:tab/>
        <w:t>act as the point of contact between the ITU</w:t>
      </w:r>
      <w:r w:rsidRPr="00073574">
        <w:rPr>
          <w:sz w:val="24"/>
          <w:szCs w:val="24"/>
        </w:rPr>
        <w:noBreakHyphen/>
        <w:t>T membership and TSB on EWM matters, in particular providing feedback and advice on the contents, prioritization and implementation of the Action Plan;</w:t>
      </w:r>
    </w:p>
    <w:p w14:paraId="39D0B1C6" w14:textId="77777777" w:rsidR="00F0236A" w:rsidRPr="00073574" w:rsidRDefault="00F0236A" w:rsidP="00101BC9">
      <w:pPr>
        <w:pStyle w:val="enumlev10"/>
        <w:jc w:val="left"/>
        <w:rPr>
          <w:sz w:val="24"/>
          <w:szCs w:val="24"/>
        </w:rPr>
      </w:pPr>
      <w:r w:rsidRPr="00073574">
        <w:rPr>
          <w:sz w:val="24"/>
          <w:szCs w:val="24"/>
        </w:rPr>
        <w:t>•</w:t>
      </w:r>
      <w:r w:rsidRPr="00073574">
        <w:rPr>
          <w:sz w:val="24"/>
          <w:szCs w:val="24"/>
        </w:rPr>
        <w:tab/>
        <w:t>identify user needs and plan the introduction of suitable measures through appropriate subgroups and pilot programmes;</w:t>
      </w:r>
    </w:p>
    <w:p w14:paraId="1640D1DF" w14:textId="77777777" w:rsidR="00F0236A" w:rsidRPr="00073574" w:rsidRDefault="00F0236A" w:rsidP="00101BC9">
      <w:pPr>
        <w:pStyle w:val="enumlev10"/>
        <w:jc w:val="left"/>
        <w:rPr>
          <w:sz w:val="24"/>
          <w:szCs w:val="24"/>
        </w:rPr>
      </w:pPr>
      <w:r w:rsidRPr="00073574">
        <w:rPr>
          <w:sz w:val="24"/>
          <w:szCs w:val="24"/>
        </w:rPr>
        <w:t>•</w:t>
      </w:r>
      <w:r w:rsidRPr="00073574">
        <w:rPr>
          <w:sz w:val="24"/>
          <w:szCs w:val="24"/>
        </w:rPr>
        <w:tab/>
        <w:t>request study group chairmen to identify EWM liaisons;</w:t>
      </w:r>
    </w:p>
    <w:p w14:paraId="4FC022CA" w14:textId="77777777" w:rsidR="00F0236A" w:rsidRPr="00073574" w:rsidRDefault="00F0236A" w:rsidP="00101BC9">
      <w:pPr>
        <w:pStyle w:val="enumlev10"/>
        <w:jc w:val="left"/>
        <w:rPr>
          <w:sz w:val="24"/>
          <w:szCs w:val="24"/>
        </w:rPr>
      </w:pPr>
      <w:r w:rsidRPr="00073574">
        <w:rPr>
          <w:sz w:val="24"/>
          <w:szCs w:val="24"/>
        </w:rPr>
        <w:t>•</w:t>
      </w:r>
      <w:r w:rsidRPr="00073574">
        <w:rPr>
          <w:sz w:val="24"/>
          <w:szCs w:val="24"/>
        </w:rPr>
        <w:tab/>
        <w:t>encourage participation by all participants in the work of ITU</w:t>
      </w:r>
      <w:r w:rsidRPr="00073574">
        <w:rPr>
          <w:sz w:val="24"/>
          <w:szCs w:val="24"/>
        </w:rPr>
        <w:noBreakHyphen/>
        <w:t>T, especially EWM experts from TSAG, the study groups, TSB and appropriate ITU Bureaux and departments;</w:t>
      </w:r>
    </w:p>
    <w:p w14:paraId="190383DD" w14:textId="77777777" w:rsidR="00F0236A" w:rsidRPr="00073574" w:rsidRDefault="00F0236A" w:rsidP="00101BC9">
      <w:pPr>
        <w:pStyle w:val="enumlev10"/>
        <w:spacing w:after="240"/>
        <w:jc w:val="left"/>
        <w:rPr>
          <w:sz w:val="24"/>
          <w:szCs w:val="24"/>
        </w:rPr>
      </w:pPr>
      <w:r w:rsidRPr="00073574">
        <w:rPr>
          <w:sz w:val="24"/>
          <w:szCs w:val="24"/>
        </w:rPr>
        <w:t>•</w:t>
      </w:r>
      <w:r w:rsidRPr="00073574">
        <w:rPr>
          <w:sz w:val="24"/>
          <w:szCs w:val="24"/>
        </w:rPr>
        <w:tab/>
        <w:t>continue its work electronically outside TSAG meetings as necessary to carry out its objectives.</w:t>
      </w:r>
    </w:p>
    <w:tbl>
      <w:tblPr>
        <w:tblW w:w="98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09"/>
        <w:gridCol w:w="5228"/>
        <w:gridCol w:w="1216"/>
        <w:gridCol w:w="1143"/>
        <w:gridCol w:w="1336"/>
      </w:tblGrid>
      <w:tr w:rsidR="00F0236A" w:rsidRPr="00073574" w14:paraId="1BCAA49E" w14:textId="77777777" w:rsidTr="634A3A28">
        <w:trPr>
          <w:tblHeader/>
          <w:jc w:val="center"/>
        </w:trPr>
        <w:tc>
          <w:tcPr>
            <w:tcW w:w="911" w:type="dxa"/>
            <w:tcBorders>
              <w:top w:val="single" w:sz="12" w:space="0" w:color="auto"/>
              <w:bottom w:val="single" w:sz="12" w:space="0" w:color="auto"/>
            </w:tcBorders>
            <w:shd w:val="clear" w:color="auto" w:fill="auto"/>
            <w:vAlign w:val="center"/>
          </w:tcPr>
          <w:p w14:paraId="36E67F04" w14:textId="77777777" w:rsidR="00F0236A" w:rsidRPr="00073574" w:rsidRDefault="00F0236A" w:rsidP="006C782B">
            <w:pPr>
              <w:pStyle w:val="Tablehead"/>
              <w:keepNext w:val="0"/>
              <w:pageBreakBefore/>
              <w:rPr>
                <w:sz w:val="24"/>
                <w:szCs w:val="24"/>
              </w:rPr>
            </w:pPr>
            <w:r w:rsidRPr="00073574">
              <w:rPr>
                <w:sz w:val="24"/>
                <w:szCs w:val="24"/>
              </w:rPr>
              <w:lastRenderedPageBreak/>
              <w:t>Action Item</w:t>
            </w:r>
          </w:p>
        </w:tc>
        <w:tc>
          <w:tcPr>
            <w:tcW w:w="5494" w:type="dxa"/>
            <w:tcBorders>
              <w:top w:val="single" w:sz="12" w:space="0" w:color="auto"/>
              <w:bottom w:val="single" w:sz="12" w:space="0" w:color="auto"/>
            </w:tcBorders>
            <w:shd w:val="clear" w:color="auto" w:fill="auto"/>
            <w:vAlign w:val="center"/>
            <w:hideMark/>
          </w:tcPr>
          <w:p w14:paraId="43A38C1A" w14:textId="77777777" w:rsidR="00F0236A" w:rsidRPr="00073574" w:rsidRDefault="00F0236A" w:rsidP="00DF36E1">
            <w:pPr>
              <w:pStyle w:val="Tablehead"/>
              <w:keepNext w:val="0"/>
              <w:rPr>
                <w:sz w:val="24"/>
                <w:szCs w:val="24"/>
              </w:rPr>
            </w:pPr>
            <w:r w:rsidRPr="00073574">
              <w:rPr>
                <w:sz w:val="24"/>
                <w:szCs w:val="24"/>
              </w:rPr>
              <w:t>Action</w:t>
            </w:r>
          </w:p>
        </w:tc>
        <w:tc>
          <w:tcPr>
            <w:tcW w:w="1096" w:type="dxa"/>
            <w:tcBorders>
              <w:top w:val="single" w:sz="12" w:space="0" w:color="auto"/>
              <w:bottom w:val="single" w:sz="12" w:space="0" w:color="auto"/>
            </w:tcBorders>
            <w:shd w:val="clear" w:color="auto" w:fill="auto"/>
            <w:vAlign w:val="center"/>
            <w:hideMark/>
          </w:tcPr>
          <w:p w14:paraId="74429E81" w14:textId="77777777" w:rsidR="00F0236A" w:rsidRPr="00073574" w:rsidRDefault="00F0236A" w:rsidP="00DF36E1">
            <w:pPr>
              <w:pStyle w:val="Tablehead"/>
              <w:keepNext w:val="0"/>
              <w:rPr>
                <w:sz w:val="24"/>
                <w:szCs w:val="24"/>
              </w:rPr>
            </w:pPr>
            <w:r w:rsidRPr="00073574">
              <w:rPr>
                <w:sz w:val="24"/>
                <w:szCs w:val="24"/>
              </w:rPr>
              <w:t>Milestone</w:t>
            </w:r>
          </w:p>
        </w:tc>
        <w:tc>
          <w:tcPr>
            <w:tcW w:w="1149" w:type="dxa"/>
            <w:tcBorders>
              <w:top w:val="single" w:sz="12" w:space="0" w:color="auto"/>
              <w:bottom w:val="single" w:sz="12" w:space="0" w:color="auto"/>
            </w:tcBorders>
            <w:shd w:val="clear" w:color="auto" w:fill="auto"/>
          </w:tcPr>
          <w:p w14:paraId="3AC7ABA2" w14:textId="77777777" w:rsidR="00F0236A" w:rsidRPr="00073574" w:rsidRDefault="00F0236A" w:rsidP="00DF36E1">
            <w:pPr>
              <w:pStyle w:val="Tablehead"/>
              <w:keepNext w:val="0"/>
              <w:rPr>
                <w:sz w:val="24"/>
                <w:szCs w:val="24"/>
              </w:rPr>
            </w:pPr>
            <w:r w:rsidRPr="00073574">
              <w:rPr>
                <w:sz w:val="24"/>
                <w:szCs w:val="24"/>
              </w:rPr>
              <w:t>Periodic goals met</w:t>
            </w:r>
          </w:p>
        </w:tc>
        <w:tc>
          <w:tcPr>
            <w:tcW w:w="1182" w:type="dxa"/>
            <w:tcBorders>
              <w:top w:val="single" w:sz="12" w:space="0" w:color="auto"/>
              <w:bottom w:val="single" w:sz="12" w:space="0" w:color="auto"/>
            </w:tcBorders>
            <w:shd w:val="clear" w:color="auto" w:fill="auto"/>
            <w:vAlign w:val="center"/>
          </w:tcPr>
          <w:p w14:paraId="19102791" w14:textId="77777777" w:rsidR="00F0236A" w:rsidRPr="00073574" w:rsidRDefault="00F0236A" w:rsidP="00DF36E1">
            <w:pPr>
              <w:pStyle w:val="Tablehead"/>
              <w:keepNext w:val="0"/>
              <w:rPr>
                <w:sz w:val="24"/>
                <w:szCs w:val="24"/>
              </w:rPr>
            </w:pPr>
            <w:r w:rsidRPr="00073574">
              <w:rPr>
                <w:sz w:val="24"/>
                <w:szCs w:val="24"/>
              </w:rPr>
              <w:t>Completed</w:t>
            </w:r>
          </w:p>
        </w:tc>
      </w:tr>
      <w:tr w:rsidR="00F0236A" w:rsidRPr="00073574" w14:paraId="33B584B0" w14:textId="77777777" w:rsidTr="634A3A28">
        <w:trPr>
          <w:jc w:val="center"/>
        </w:trPr>
        <w:tc>
          <w:tcPr>
            <w:tcW w:w="911" w:type="dxa"/>
            <w:vMerge w:val="restart"/>
            <w:tcBorders>
              <w:top w:val="single" w:sz="12" w:space="0" w:color="auto"/>
            </w:tcBorders>
            <w:shd w:val="clear" w:color="auto" w:fill="auto"/>
          </w:tcPr>
          <w:p w14:paraId="481A0B0E" w14:textId="77777777" w:rsidR="00F0236A" w:rsidRPr="00073574" w:rsidRDefault="00F0236A" w:rsidP="00DF36E1">
            <w:pPr>
              <w:pStyle w:val="Tabletext"/>
              <w:rPr>
                <w:b/>
                <w:bCs/>
                <w:sz w:val="24"/>
                <w:szCs w:val="24"/>
              </w:rPr>
            </w:pPr>
            <w:r w:rsidRPr="00073574">
              <w:rPr>
                <w:b/>
                <w:bCs/>
                <w:sz w:val="24"/>
                <w:szCs w:val="24"/>
              </w:rPr>
              <w:t>32-01</w:t>
            </w:r>
          </w:p>
        </w:tc>
        <w:tc>
          <w:tcPr>
            <w:tcW w:w="5494" w:type="dxa"/>
            <w:tcBorders>
              <w:top w:val="single" w:sz="12" w:space="0" w:color="auto"/>
              <w:bottom w:val="single" w:sz="4" w:space="0" w:color="auto"/>
            </w:tcBorders>
            <w:shd w:val="clear" w:color="auto" w:fill="auto"/>
            <w:hideMark/>
          </w:tcPr>
          <w:p w14:paraId="2A26E0C5" w14:textId="59A77D0A" w:rsidR="00F0236A" w:rsidRPr="00073574" w:rsidRDefault="00F0236A" w:rsidP="00DF36E1">
            <w:pPr>
              <w:pStyle w:val="Tabletext"/>
              <w:rPr>
                <w:b/>
                <w:bCs/>
                <w:sz w:val="24"/>
                <w:szCs w:val="24"/>
              </w:rPr>
            </w:pPr>
            <w:r w:rsidRPr="00073574">
              <w:rPr>
                <w:b/>
                <w:bCs/>
                <w:sz w:val="24"/>
                <w:szCs w:val="24"/>
              </w:rPr>
              <w:t>TSB to maintain EWM Action Plan to address the practical and physical aspects of increasing the EWM capability of ITU</w:t>
            </w:r>
            <w:r w:rsidR="009859E9" w:rsidRPr="00073574">
              <w:rPr>
                <w:b/>
                <w:bCs/>
                <w:sz w:val="24"/>
                <w:szCs w:val="24"/>
              </w:rPr>
              <w:t>-</w:t>
            </w:r>
            <w:r w:rsidRPr="00073574">
              <w:rPr>
                <w:b/>
                <w:bCs/>
                <w:sz w:val="24"/>
                <w:szCs w:val="24"/>
              </w:rPr>
              <w:t>T (i. TSBDir 1)</w:t>
            </w:r>
          </w:p>
        </w:tc>
        <w:tc>
          <w:tcPr>
            <w:tcW w:w="1096" w:type="dxa"/>
            <w:tcBorders>
              <w:top w:val="single" w:sz="12" w:space="0" w:color="auto"/>
              <w:bottom w:val="single" w:sz="4" w:space="0" w:color="auto"/>
            </w:tcBorders>
            <w:shd w:val="clear" w:color="auto" w:fill="auto"/>
            <w:vAlign w:val="center"/>
            <w:hideMark/>
          </w:tcPr>
          <w:p w14:paraId="3089A063"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49" w:type="dxa"/>
            <w:tcBorders>
              <w:top w:val="single" w:sz="12" w:space="0" w:color="auto"/>
              <w:bottom w:val="single" w:sz="4" w:space="0" w:color="auto"/>
            </w:tcBorders>
            <w:shd w:val="clear" w:color="auto" w:fill="auto"/>
            <w:vAlign w:val="center"/>
          </w:tcPr>
          <w:p w14:paraId="2ADABFFF" w14:textId="77777777" w:rsidR="00F0236A" w:rsidRPr="00073574" w:rsidRDefault="00F0236A" w:rsidP="00DF36E1">
            <w:pPr>
              <w:pStyle w:val="Tabletext"/>
              <w:jc w:val="center"/>
              <w:rPr>
                <w:b/>
                <w:bCs/>
                <w:sz w:val="24"/>
                <w:szCs w:val="24"/>
              </w:rPr>
            </w:pPr>
            <w:r w:rsidRPr="00073574">
              <w:rPr>
                <w:b/>
                <w:bCs/>
                <w:sz w:val="24"/>
                <w:szCs w:val="24"/>
              </w:rPr>
              <w:t>√</w:t>
            </w:r>
          </w:p>
        </w:tc>
        <w:tc>
          <w:tcPr>
            <w:tcW w:w="1182" w:type="dxa"/>
            <w:tcBorders>
              <w:top w:val="single" w:sz="12" w:space="0" w:color="auto"/>
              <w:bottom w:val="single" w:sz="4" w:space="0" w:color="auto"/>
            </w:tcBorders>
            <w:shd w:val="clear" w:color="auto" w:fill="auto"/>
            <w:vAlign w:val="center"/>
          </w:tcPr>
          <w:p w14:paraId="25045ECC" w14:textId="77777777" w:rsidR="00F0236A" w:rsidRPr="00073574" w:rsidRDefault="00F0236A" w:rsidP="00DF36E1">
            <w:pPr>
              <w:pStyle w:val="Tabletext"/>
              <w:jc w:val="center"/>
              <w:rPr>
                <w:b/>
                <w:bCs/>
                <w:sz w:val="24"/>
                <w:szCs w:val="24"/>
              </w:rPr>
            </w:pPr>
          </w:p>
        </w:tc>
      </w:tr>
      <w:tr w:rsidR="00F0236A" w:rsidRPr="00073574" w14:paraId="1A447976" w14:textId="77777777" w:rsidTr="634A3A28">
        <w:trPr>
          <w:jc w:val="center"/>
        </w:trPr>
        <w:tc>
          <w:tcPr>
            <w:tcW w:w="911" w:type="dxa"/>
            <w:vMerge/>
          </w:tcPr>
          <w:p w14:paraId="55B01FD7" w14:textId="77777777" w:rsidR="00F0236A" w:rsidRPr="00073574" w:rsidRDefault="00F0236A" w:rsidP="00DF36E1">
            <w:pPr>
              <w:pStyle w:val="Tabletext"/>
              <w:rPr>
                <w:sz w:val="24"/>
                <w:szCs w:val="24"/>
              </w:rPr>
            </w:pPr>
          </w:p>
        </w:tc>
        <w:tc>
          <w:tcPr>
            <w:tcW w:w="8921" w:type="dxa"/>
            <w:gridSpan w:val="4"/>
            <w:tcBorders>
              <w:top w:val="single" w:sz="4" w:space="0" w:color="auto"/>
              <w:bottom w:val="single" w:sz="12" w:space="0" w:color="auto"/>
            </w:tcBorders>
            <w:shd w:val="clear" w:color="auto" w:fill="auto"/>
          </w:tcPr>
          <w:p w14:paraId="60C25505" w14:textId="3EAB592D" w:rsidR="00F0236A" w:rsidRPr="00073574" w:rsidRDefault="031112AB" w:rsidP="120EE188">
            <w:pPr>
              <w:spacing w:before="40" w:after="40"/>
              <w:rPr>
                <w:sz w:val="24"/>
              </w:rPr>
            </w:pPr>
            <w:r w:rsidRPr="00073574">
              <w:t xml:space="preserve">EWM Action Plan is being maintained. Progress reports by EWM are regularly provided to TSAG. The EWM services and database application report is available in </w:t>
            </w:r>
            <w:hyperlink r:id="rId228" w:history="1">
              <w:r w:rsidR="0023446A" w:rsidRPr="00073574">
                <w:rPr>
                  <w:rStyle w:val="Hyperlink"/>
                  <w:rFonts w:asciiTheme="majorBidi" w:hAnsiTheme="majorBidi" w:cstheme="majorBidi"/>
                  <w:szCs w:val="22"/>
                  <w:lang w:eastAsia="zh-CN"/>
                </w:rPr>
                <w:t>TS</w:t>
              </w:r>
              <w:r w:rsidR="0023446A" w:rsidRPr="00073574">
                <w:rPr>
                  <w:rStyle w:val="Hyperlink"/>
                  <w:rFonts w:asciiTheme="majorBidi" w:hAnsiTheme="majorBidi" w:cstheme="majorBidi"/>
                  <w:szCs w:val="22"/>
                </w:rPr>
                <w:t>AG-T</w:t>
              </w:r>
              <w:r w:rsidR="0023446A" w:rsidRPr="00073574">
                <w:rPr>
                  <w:rStyle w:val="Hyperlink"/>
                  <w:rFonts w:asciiTheme="majorBidi" w:hAnsiTheme="majorBidi" w:cstheme="majorBidi"/>
                  <w:szCs w:val="22"/>
                  <w:lang w:eastAsia="zh-CN"/>
                </w:rPr>
                <w:t>D1191</w:t>
              </w:r>
            </w:hyperlink>
            <w:r w:rsidRPr="00073574">
              <w:t>.</w:t>
            </w:r>
          </w:p>
        </w:tc>
      </w:tr>
      <w:tr w:rsidR="00F0236A" w:rsidRPr="00073574" w14:paraId="2E6D467E" w14:textId="77777777" w:rsidTr="634A3A28">
        <w:trPr>
          <w:jc w:val="center"/>
        </w:trPr>
        <w:tc>
          <w:tcPr>
            <w:tcW w:w="911" w:type="dxa"/>
            <w:vMerge w:val="restart"/>
            <w:tcBorders>
              <w:top w:val="single" w:sz="12" w:space="0" w:color="auto"/>
            </w:tcBorders>
            <w:shd w:val="clear" w:color="auto" w:fill="auto"/>
          </w:tcPr>
          <w:p w14:paraId="4FF452C6" w14:textId="77777777" w:rsidR="00F0236A" w:rsidRPr="00073574" w:rsidRDefault="00F0236A" w:rsidP="001F12FA">
            <w:pPr>
              <w:pStyle w:val="Tabletext"/>
              <w:keepNext/>
              <w:keepLines/>
              <w:rPr>
                <w:b/>
                <w:bCs/>
                <w:sz w:val="24"/>
                <w:szCs w:val="24"/>
              </w:rPr>
            </w:pPr>
            <w:r w:rsidRPr="00073574">
              <w:rPr>
                <w:b/>
                <w:bCs/>
                <w:sz w:val="24"/>
                <w:szCs w:val="24"/>
              </w:rPr>
              <w:t>32-02</w:t>
            </w:r>
          </w:p>
        </w:tc>
        <w:tc>
          <w:tcPr>
            <w:tcW w:w="5494" w:type="dxa"/>
            <w:tcBorders>
              <w:top w:val="single" w:sz="12" w:space="0" w:color="auto"/>
            </w:tcBorders>
            <w:shd w:val="clear" w:color="auto" w:fill="auto"/>
            <w:hideMark/>
          </w:tcPr>
          <w:p w14:paraId="6B184487" w14:textId="77777777" w:rsidR="00F0236A" w:rsidRPr="00073574" w:rsidRDefault="00F0236A" w:rsidP="00DF36E1">
            <w:pPr>
              <w:pStyle w:val="Tabletext"/>
              <w:rPr>
                <w:b/>
                <w:bCs/>
                <w:sz w:val="24"/>
                <w:szCs w:val="24"/>
              </w:rPr>
            </w:pPr>
            <w:r w:rsidRPr="00073574">
              <w:rPr>
                <w:b/>
                <w:bCs/>
                <w:sz w:val="24"/>
                <w:szCs w:val="24"/>
              </w:rPr>
              <w:t>TSB to review and recommend new and revised capabilities of ITU-T tools and applications, and TSB Director report status of EWM Action Plan to each meeting of TSAG</w:t>
            </w:r>
          </w:p>
        </w:tc>
        <w:tc>
          <w:tcPr>
            <w:tcW w:w="1096" w:type="dxa"/>
            <w:tcBorders>
              <w:top w:val="single" w:sz="12" w:space="0" w:color="auto"/>
            </w:tcBorders>
            <w:shd w:val="clear" w:color="auto" w:fill="auto"/>
            <w:vAlign w:val="center"/>
            <w:hideMark/>
          </w:tcPr>
          <w:p w14:paraId="1D09DDA4" w14:textId="1C4506A9" w:rsidR="00F0236A" w:rsidRPr="00073574" w:rsidRDefault="00F0236A" w:rsidP="00DF36E1">
            <w:pPr>
              <w:pStyle w:val="Tabletext"/>
              <w:jc w:val="center"/>
              <w:rPr>
                <w:b/>
                <w:bCs/>
                <w:sz w:val="24"/>
                <w:szCs w:val="24"/>
              </w:rPr>
            </w:pPr>
            <w:r w:rsidRPr="00073574">
              <w:rPr>
                <w:b/>
                <w:bCs/>
                <w:sz w:val="24"/>
                <w:szCs w:val="24"/>
              </w:rPr>
              <w:t>TSAG 20</w:t>
            </w:r>
            <w:r w:rsidR="0057414D" w:rsidRPr="00073574">
              <w:rPr>
                <w:b/>
                <w:bCs/>
                <w:sz w:val="24"/>
                <w:szCs w:val="24"/>
              </w:rPr>
              <w:t>20</w:t>
            </w:r>
            <w:r w:rsidRPr="00073574">
              <w:rPr>
                <w:b/>
                <w:bCs/>
                <w:sz w:val="24"/>
                <w:szCs w:val="24"/>
              </w:rPr>
              <w:t>,</w:t>
            </w:r>
          </w:p>
          <w:p w14:paraId="1E8893F4"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49" w:type="dxa"/>
            <w:tcBorders>
              <w:top w:val="single" w:sz="12" w:space="0" w:color="auto"/>
            </w:tcBorders>
            <w:shd w:val="clear" w:color="auto" w:fill="auto"/>
            <w:vAlign w:val="center"/>
          </w:tcPr>
          <w:p w14:paraId="78A0B408" w14:textId="77777777" w:rsidR="00F0236A" w:rsidRPr="00073574" w:rsidRDefault="00F0236A" w:rsidP="00DF36E1">
            <w:pPr>
              <w:pStyle w:val="Tabletext"/>
              <w:jc w:val="center"/>
              <w:rPr>
                <w:b/>
                <w:bCs/>
                <w:sz w:val="24"/>
                <w:szCs w:val="24"/>
              </w:rPr>
            </w:pPr>
            <w:r w:rsidRPr="00073574">
              <w:rPr>
                <w:b/>
                <w:bCs/>
                <w:sz w:val="24"/>
                <w:szCs w:val="24"/>
              </w:rPr>
              <w:t>√</w:t>
            </w:r>
          </w:p>
        </w:tc>
        <w:tc>
          <w:tcPr>
            <w:tcW w:w="1182" w:type="dxa"/>
            <w:tcBorders>
              <w:top w:val="single" w:sz="12" w:space="0" w:color="auto"/>
            </w:tcBorders>
            <w:shd w:val="clear" w:color="auto" w:fill="auto"/>
            <w:vAlign w:val="center"/>
          </w:tcPr>
          <w:p w14:paraId="4827802E" w14:textId="77777777" w:rsidR="00F0236A" w:rsidRPr="00073574" w:rsidRDefault="00F0236A" w:rsidP="00DF36E1">
            <w:pPr>
              <w:pStyle w:val="Tabletext"/>
              <w:jc w:val="center"/>
              <w:rPr>
                <w:b/>
                <w:bCs/>
                <w:sz w:val="24"/>
                <w:szCs w:val="24"/>
              </w:rPr>
            </w:pPr>
          </w:p>
        </w:tc>
      </w:tr>
      <w:tr w:rsidR="00F0236A" w:rsidRPr="00073574" w14:paraId="3BC2656C" w14:textId="77777777" w:rsidTr="634A3A28">
        <w:trPr>
          <w:jc w:val="center"/>
        </w:trPr>
        <w:tc>
          <w:tcPr>
            <w:tcW w:w="911" w:type="dxa"/>
            <w:vMerge/>
          </w:tcPr>
          <w:p w14:paraId="31362B30" w14:textId="77777777" w:rsidR="00F0236A" w:rsidRPr="00073574" w:rsidRDefault="00F0236A" w:rsidP="00DF36E1">
            <w:pPr>
              <w:pStyle w:val="Tabletext"/>
              <w:rPr>
                <w:sz w:val="24"/>
                <w:szCs w:val="24"/>
              </w:rPr>
            </w:pPr>
          </w:p>
        </w:tc>
        <w:tc>
          <w:tcPr>
            <w:tcW w:w="8921" w:type="dxa"/>
            <w:gridSpan w:val="4"/>
            <w:tcBorders>
              <w:bottom w:val="single" w:sz="12" w:space="0" w:color="auto"/>
            </w:tcBorders>
            <w:shd w:val="clear" w:color="auto" w:fill="auto"/>
          </w:tcPr>
          <w:p w14:paraId="06239AFF" w14:textId="29E7E1F7" w:rsidR="00F0236A" w:rsidRPr="00073574" w:rsidRDefault="00F0236A" w:rsidP="00284A2E">
            <w:pPr>
              <w:spacing w:before="40"/>
            </w:pPr>
            <w:r w:rsidRPr="00073574">
              <w:t xml:space="preserve">TSB in close collaboration with the ITU IS Department developed and introduced several new electronic applications and services and further enhanced existing electronic facilities to support and improve the electronic working methods of the members. Since TSAG </w:t>
            </w:r>
            <w:r w:rsidR="0026293E" w:rsidRPr="00073574">
              <w:t>January 2021</w:t>
            </w:r>
            <w:r w:rsidRPr="00073574">
              <w:t>, key achievements include:</w:t>
            </w:r>
          </w:p>
          <w:p w14:paraId="1EFDD1DA" w14:textId="77777777" w:rsidR="00F0236A" w:rsidRPr="00073574" w:rsidRDefault="00F0236A" w:rsidP="00DF36E1">
            <w:pPr>
              <w:rPr>
                <w:b/>
                <w:bCs/>
              </w:rPr>
            </w:pPr>
            <w:r w:rsidRPr="00073574">
              <w:rPr>
                <w:b/>
                <w:bCs/>
              </w:rPr>
              <w:t>Document Management System for Rapporteur Group Meetings</w:t>
            </w:r>
          </w:p>
          <w:p w14:paraId="555042CD" w14:textId="2C9D4132" w:rsidR="00892195" w:rsidRPr="00073574" w:rsidRDefault="00892195" w:rsidP="005579F8">
            <w:r w:rsidRPr="00073574">
              <w:t xml:space="preserve">The ITU IS Department together with TSB have developed a system for managing documents of ITU-T Rapporteur Group Meetings (RGM) in a well-structured and secured environment. This </w:t>
            </w:r>
            <w:r w:rsidRPr="00073574">
              <w:rPr>
                <w:rFonts w:asciiTheme="majorBidi" w:hAnsiTheme="majorBidi" w:cstheme="majorBidi"/>
              </w:rPr>
              <w:t xml:space="preserve">system which is based on MS SharePoint is now being </w:t>
            </w:r>
            <w:r w:rsidRPr="00073574">
              <w:t xml:space="preserve">used extensively by </w:t>
            </w:r>
            <w:r w:rsidR="00890D29" w:rsidRPr="00073574">
              <w:t xml:space="preserve">a </w:t>
            </w:r>
            <w:r w:rsidRPr="00073574">
              <w:t>majority of the ITU</w:t>
            </w:r>
            <w:r w:rsidR="00CE2F39" w:rsidRPr="00073574">
              <w:noBreakHyphen/>
            </w:r>
            <w:r w:rsidRPr="00073574">
              <w:t>T Study Groups</w:t>
            </w:r>
            <w:r w:rsidR="00094C3E">
              <w:t>,</w:t>
            </w:r>
            <w:r w:rsidRPr="00073574">
              <w:t xml:space="preserve"> notably Study Groups 2, 3, 9, </w:t>
            </w:r>
            <w:r w:rsidR="005579F8" w:rsidRPr="00073574">
              <w:t xml:space="preserve">11, </w:t>
            </w:r>
            <w:r w:rsidRPr="00073574">
              <w:t>13, 15, 16</w:t>
            </w:r>
            <w:r w:rsidR="00CE6E4E" w:rsidRPr="00073574">
              <w:t>, 17</w:t>
            </w:r>
            <w:r w:rsidRPr="00073574">
              <w:t xml:space="preserve"> and TSAG.</w:t>
            </w:r>
          </w:p>
          <w:p w14:paraId="031F8772" w14:textId="77777777" w:rsidR="00892195" w:rsidRPr="00073574" w:rsidRDefault="00892195" w:rsidP="00892195">
            <w:r w:rsidRPr="00073574">
              <w:t>The RGM system is continuously being improved following invaluable feedback from Rapporteurs. It is available for any Rapporteur group wishing to utilise it and take advantage of these improved capabilities such as:</w:t>
            </w:r>
          </w:p>
          <w:p w14:paraId="6B9BDE9A" w14:textId="77777777" w:rsidR="00892195" w:rsidRPr="00073574" w:rsidRDefault="00892195" w:rsidP="002E241A">
            <w:pPr>
              <w:pStyle w:val="ListParagraph"/>
              <w:numPr>
                <w:ilvl w:val="0"/>
                <w:numId w:val="48"/>
              </w:numPr>
              <w:tabs>
                <w:tab w:val="left" w:pos="794"/>
                <w:tab w:val="left" w:pos="1191"/>
                <w:tab w:val="left" w:pos="1588"/>
                <w:tab w:val="left" w:pos="1985"/>
              </w:tabs>
              <w:overflowPunct w:val="0"/>
              <w:autoSpaceDE w:val="0"/>
              <w:autoSpaceDN w:val="0"/>
              <w:adjustRightInd w:val="0"/>
              <w:textAlignment w:val="baseline"/>
              <w:rPr>
                <w:rFonts w:asciiTheme="majorBidi" w:hAnsiTheme="majorBidi" w:cstheme="majorBidi"/>
              </w:rPr>
            </w:pPr>
            <w:r w:rsidRPr="00073574">
              <w:rPr>
                <w:rFonts w:asciiTheme="majorBidi" w:hAnsiTheme="majorBidi" w:cstheme="majorBidi"/>
              </w:rPr>
              <w:t>Improved RGM Document Sync Tool.</w:t>
            </w:r>
          </w:p>
          <w:p w14:paraId="55B7B102" w14:textId="77777777" w:rsidR="00892195" w:rsidRPr="00073574" w:rsidRDefault="00892195" w:rsidP="002E241A">
            <w:pPr>
              <w:pStyle w:val="ListParagraph"/>
              <w:numPr>
                <w:ilvl w:val="0"/>
                <w:numId w:val="48"/>
              </w:numPr>
              <w:tabs>
                <w:tab w:val="left" w:pos="794"/>
                <w:tab w:val="left" w:pos="1191"/>
                <w:tab w:val="left" w:pos="1588"/>
                <w:tab w:val="left" w:pos="1985"/>
              </w:tabs>
              <w:overflowPunct w:val="0"/>
              <w:autoSpaceDE w:val="0"/>
              <w:autoSpaceDN w:val="0"/>
              <w:adjustRightInd w:val="0"/>
              <w:textAlignment w:val="baseline"/>
              <w:rPr>
                <w:rFonts w:asciiTheme="majorBidi" w:hAnsiTheme="majorBidi" w:cstheme="majorBidi"/>
              </w:rPr>
            </w:pPr>
            <w:r w:rsidRPr="00073574">
              <w:rPr>
                <w:rFonts w:asciiTheme="majorBidi" w:hAnsiTheme="majorBidi" w:cstheme="majorBidi"/>
              </w:rPr>
              <w:t>New RGM Document Sync Tool for Mac.</w:t>
            </w:r>
          </w:p>
          <w:p w14:paraId="030E7C43" w14:textId="77777777" w:rsidR="00892195" w:rsidRPr="00073574" w:rsidRDefault="00892195" w:rsidP="002E241A">
            <w:pPr>
              <w:pStyle w:val="ListParagraph"/>
              <w:numPr>
                <w:ilvl w:val="0"/>
                <w:numId w:val="48"/>
              </w:numPr>
              <w:tabs>
                <w:tab w:val="left" w:pos="794"/>
                <w:tab w:val="left" w:pos="1191"/>
                <w:tab w:val="left" w:pos="1588"/>
                <w:tab w:val="left" w:pos="1985"/>
              </w:tabs>
              <w:overflowPunct w:val="0"/>
              <w:autoSpaceDE w:val="0"/>
              <w:autoSpaceDN w:val="0"/>
              <w:adjustRightInd w:val="0"/>
              <w:textAlignment w:val="baseline"/>
              <w:rPr>
                <w:rFonts w:asciiTheme="majorBidi" w:hAnsiTheme="majorBidi" w:cstheme="majorBidi"/>
              </w:rPr>
            </w:pPr>
            <w:r w:rsidRPr="00073574">
              <w:rPr>
                <w:rFonts w:asciiTheme="majorBidi" w:hAnsiTheme="majorBidi" w:cstheme="majorBidi"/>
              </w:rPr>
              <w:t>Automatic and real-time mirroring of documents in the IFA.</w:t>
            </w:r>
          </w:p>
          <w:p w14:paraId="5DC1C458" w14:textId="77777777" w:rsidR="00892195" w:rsidRPr="00073574" w:rsidRDefault="00892195" w:rsidP="002E241A">
            <w:pPr>
              <w:pStyle w:val="ListParagraph"/>
              <w:numPr>
                <w:ilvl w:val="0"/>
                <w:numId w:val="48"/>
              </w:numPr>
              <w:tabs>
                <w:tab w:val="left" w:pos="794"/>
                <w:tab w:val="left" w:pos="1191"/>
                <w:tab w:val="left" w:pos="1588"/>
                <w:tab w:val="left" w:pos="1985"/>
              </w:tabs>
              <w:overflowPunct w:val="0"/>
              <w:autoSpaceDE w:val="0"/>
              <w:autoSpaceDN w:val="0"/>
              <w:adjustRightInd w:val="0"/>
              <w:textAlignment w:val="baseline"/>
              <w:rPr>
                <w:rFonts w:asciiTheme="majorBidi" w:hAnsiTheme="majorBidi" w:cstheme="majorBidi"/>
              </w:rPr>
            </w:pPr>
            <w:r w:rsidRPr="00073574">
              <w:rPr>
                <w:rFonts w:asciiTheme="majorBidi" w:hAnsiTheme="majorBidi" w:cstheme="majorBidi"/>
              </w:rPr>
              <w:t>Automatic generation and update of documents lists.</w:t>
            </w:r>
          </w:p>
          <w:p w14:paraId="6D96520A" w14:textId="77777777" w:rsidR="00892195" w:rsidRPr="00073574" w:rsidRDefault="00892195" w:rsidP="002E241A">
            <w:pPr>
              <w:pStyle w:val="ListParagraph"/>
              <w:numPr>
                <w:ilvl w:val="0"/>
                <w:numId w:val="48"/>
              </w:numPr>
              <w:tabs>
                <w:tab w:val="left" w:pos="794"/>
                <w:tab w:val="left" w:pos="1191"/>
                <w:tab w:val="left" w:pos="1588"/>
                <w:tab w:val="left" w:pos="1985"/>
              </w:tabs>
              <w:overflowPunct w:val="0"/>
              <w:autoSpaceDE w:val="0"/>
              <w:autoSpaceDN w:val="0"/>
              <w:adjustRightInd w:val="0"/>
              <w:textAlignment w:val="baseline"/>
              <w:rPr>
                <w:rFonts w:asciiTheme="majorBidi" w:hAnsiTheme="majorBidi" w:cstheme="majorBidi"/>
              </w:rPr>
            </w:pPr>
            <w:r w:rsidRPr="00073574">
              <w:rPr>
                <w:rFonts w:asciiTheme="majorBidi" w:hAnsiTheme="majorBidi" w:cstheme="majorBidi"/>
              </w:rPr>
              <w:t>Archiving of documents after the meeting.</w:t>
            </w:r>
          </w:p>
          <w:p w14:paraId="249124F6" w14:textId="77777777" w:rsidR="00892195" w:rsidRPr="00073574" w:rsidRDefault="00892195" w:rsidP="002E241A">
            <w:pPr>
              <w:pStyle w:val="ListParagraph"/>
              <w:numPr>
                <w:ilvl w:val="0"/>
                <w:numId w:val="48"/>
              </w:numPr>
              <w:tabs>
                <w:tab w:val="left" w:pos="794"/>
                <w:tab w:val="left" w:pos="1191"/>
                <w:tab w:val="left" w:pos="1588"/>
                <w:tab w:val="left" w:pos="1985"/>
              </w:tabs>
              <w:overflowPunct w:val="0"/>
              <w:autoSpaceDE w:val="0"/>
              <w:autoSpaceDN w:val="0"/>
              <w:adjustRightInd w:val="0"/>
              <w:textAlignment w:val="baseline"/>
            </w:pPr>
            <w:r w:rsidRPr="00073574">
              <w:rPr>
                <w:rFonts w:asciiTheme="majorBidi" w:hAnsiTheme="majorBidi" w:cstheme="majorBidi"/>
              </w:rPr>
              <w:t>Setting of deadlines with a procedure for managing late submissions.</w:t>
            </w:r>
          </w:p>
          <w:p w14:paraId="018B3A82" w14:textId="6F43B8EC" w:rsidR="00892195" w:rsidRPr="00073574" w:rsidRDefault="00892195" w:rsidP="002E241A">
            <w:pPr>
              <w:pStyle w:val="ListParagraph"/>
              <w:numPr>
                <w:ilvl w:val="0"/>
                <w:numId w:val="48"/>
              </w:numPr>
              <w:tabs>
                <w:tab w:val="left" w:pos="794"/>
                <w:tab w:val="left" w:pos="1191"/>
                <w:tab w:val="left" w:pos="1588"/>
                <w:tab w:val="left" w:pos="1985"/>
              </w:tabs>
              <w:overflowPunct w:val="0"/>
              <w:autoSpaceDE w:val="0"/>
              <w:autoSpaceDN w:val="0"/>
              <w:adjustRightInd w:val="0"/>
              <w:textAlignment w:val="baseline"/>
            </w:pPr>
            <w:r w:rsidRPr="00073574">
              <w:rPr>
                <w:rFonts w:asciiTheme="majorBidi" w:hAnsiTheme="majorBidi" w:cstheme="majorBidi"/>
              </w:rPr>
              <w:t>Distinct permission levels on RGM sites and documents.</w:t>
            </w:r>
          </w:p>
          <w:p w14:paraId="1CC8B05D" w14:textId="77777777" w:rsidR="00F0236A" w:rsidRPr="00073574" w:rsidRDefault="00F0236A" w:rsidP="00DF36E1">
            <w:pPr>
              <w:rPr>
                <w:rStyle w:val="Hyperlink"/>
              </w:rPr>
            </w:pPr>
            <w:r w:rsidRPr="00073574">
              <w:t xml:space="preserve">The current and past RGM meetings may be accessed here: </w:t>
            </w:r>
            <w:hyperlink r:id="rId229" w:history="1">
              <w:r w:rsidRPr="00073574">
                <w:rPr>
                  <w:rStyle w:val="Hyperlink"/>
                </w:rPr>
                <w:t>http://itu.int/go/itu-t/rgm</w:t>
              </w:r>
            </w:hyperlink>
          </w:p>
          <w:p w14:paraId="5A2299B4" w14:textId="77777777" w:rsidR="00F0236A" w:rsidRPr="00073574" w:rsidRDefault="00F0236A" w:rsidP="00DF36E1">
            <w:pPr>
              <w:rPr>
                <w:b/>
                <w:bCs/>
              </w:rPr>
            </w:pPr>
            <w:r w:rsidRPr="00073574">
              <w:rPr>
                <w:b/>
                <w:bCs/>
              </w:rPr>
              <w:t>ITU-T SharePoint Collaboration Sites</w:t>
            </w:r>
          </w:p>
          <w:p w14:paraId="7C6F77E3" w14:textId="74F7A801" w:rsidR="00F0236A" w:rsidRPr="00073574" w:rsidRDefault="00892195" w:rsidP="00B32D6F">
            <w:pPr>
              <w:rPr>
                <w:rStyle w:val="Hyperlink"/>
                <w:rFonts w:asciiTheme="majorBidi" w:hAnsiTheme="majorBidi" w:cstheme="majorBidi"/>
                <w:szCs w:val="22"/>
              </w:rPr>
            </w:pPr>
            <w:r w:rsidRPr="00073574">
              <w:t xml:space="preserve">The </w:t>
            </w:r>
            <w:r w:rsidRPr="00073574">
              <w:rPr>
                <w:szCs w:val="22"/>
              </w:rPr>
              <w:t>ITU-T SharePoint Collaboration sites have been developed to further improve the electronic working methods of ITU-T Study Groups, Focus Groups and other groups. The collaboration sites allow participants to conduct online discussions, work on projects, make meeting plans or schedules, manage and store documents in a secure and shared environment.</w:t>
            </w:r>
            <w:r w:rsidR="00F0236A" w:rsidRPr="00073574">
              <w:rPr>
                <w:rFonts w:asciiTheme="majorBidi" w:hAnsiTheme="majorBidi" w:cstheme="majorBidi"/>
                <w:szCs w:val="22"/>
              </w:rPr>
              <w:t xml:space="preserve"> The ITU-T SharePoint collaboration home site may be accessed here:</w:t>
            </w:r>
            <w:r w:rsidR="00101BC9" w:rsidRPr="00073574">
              <w:rPr>
                <w:rFonts w:asciiTheme="majorBidi" w:hAnsiTheme="majorBidi" w:cstheme="majorBidi"/>
                <w:szCs w:val="22"/>
              </w:rPr>
              <w:t xml:space="preserve"> </w:t>
            </w:r>
            <w:hyperlink r:id="rId230" w:history="1">
              <w:r w:rsidR="00C93173" w:rsidRPr="00073574">
                <w:rPr>
                  <w:rStyle w:val="Hyperlink"/>
                  <w:rFonts w:asciiTheme="majorBidi" w:hAnsiTheme="majorBidi" w:cstheme="majorBidi"/>
                  <w:szCs w:val="22"/>
                </w:rPr>
                <w:t>https://extranet.itu.int/sites/ITU-T</w:t>
              </w:r>
            </w:hyperlink>
          </w:p>
          <w:p w14:paraId="5B84CB1C" w14:textId="2E955B30" w:rsidR="003802D2" w:rsidRPr="00073574" w:rsidRDefault="003802D2" w:rsidP="00B32D6F">
            <w:pPr>
              <w:rPr>
                <w:b/>
                <w:bCs/>
                <w:szCs w:val="22"/>
              </w:rPr>
            </w:pPr>
            <w:r w:rsidRPr="00073574">
              <w:rPr>
                <w:b/>
                <w:bCs/>
                <w:szCs w:val="22"/>
              </w:rPr>
              <w:t>MyWorkspace</w:t>
            </w:r>
          </w:p>
          <w:p w14:paraId="05830889" w14:textId="5BF5299E" w:rsidR="031112AB" w:rsidRPr="00073574" w:rsidRDefault="031112AB" w:rsidP="00B32D6F">
            <w:pPr>
              <w:rPr>
                <w:rFonts w:asciiTheme="majorBidi" w:hAnsiTheme="majorBidi" w:cstheme="majorBidi"/>
                <w:szCs w:val="22"/>
              </w:rPr>
            </w:pPr>
            <w:r w:rsidRPr="00073574">
              <w:rPr>
                <w:szCs w:val="22"/>
              </w:rPr>
              <w:t xml:space="preserve">TSB created </w:t>
            </w:r>
            <w:hyperlink r:id="rId231">
              <w:r w:rsidRPr="00073574">
                <w:rPr>
                  <w:rStyle w:val="Hyperlink"/>
                  <w:rFonts w:eastAsiaTheme="majorEastAsia"/>
                  <w:szCs w:val="22"/>
                </w:rPr>
                <w:t>MyWorkspace</w:t>
              </w:r>
            </w:hyperlink>
            <w:r w:rsidRPr="00073574">
              <w:rPr>
                <w:szCs w:val="22"/>
              </w:rPr>
              <w:t xml:space="preserve">, </w:t>
            </w:r>
            <w:r w:rsidR="01511359" w:rsidRPr="00073574">
              <w:rPr>
                <w:rFonts w:eastAsia="Times New Roman"/>
                <w:szCs w:val="22"/>
              </w:rPr>
              <w:t xml:space="preserve">a user-friendly mobile platform that centralizes a set of applications and services developed to </w:t>
            </w:r>
            <w:r w:rsidR="01511359" w:rsidRPr="00073574">
              <w:rPr>
                <w:rFonts w:eastAsia="Times New Roman"/>
                <w:i/>
                <w:iCs/>
                <w:szCs w:val="22"/>
              </w:rPr>
              <w:t>strengthen electronic working methods for the work of ITU-T</w:t>
            </w:r>
            <w:r w:rsidR="01511359" w:rsidRPr="00073574">
              <w:rPr>
                <w:rFonts w:eastAsia="Times New Roman"/>
                <w:szCs w:val="22"/>
              </w:rPr>
              <w:t>, as stated in WTSA Resolution 32.</w:t>
            </w:r>
            <w:r w:rsidR="00CC77A0" w:rsidRPr="00073574">
              <w:rPr>
                <w:rFonts w:eastAsia="Times New Roman"/>
                <w:szCs w:val="22"/>
              </w:rPr>
              <w:t xml:space="preserve"> As of </w:t>
            </w:r>
            <w:r w:rsidR="00840CA0" w:rsidRPr="00073574">
              <w:rPr>
                <w:rFonts w:eastAsia="Times New Roman"/>
                <w:szCs w:val="22"/>
              </w:rPr>
              <w:t xml:space="preserve">December </w:t>
            </w:r>
            <w:r w:rsidR="00337A6F" w:rsidRPr="00073574">
              <w:rPr>
                <w:rFonts w:eastAsia="Times New Roman"/>
                <w:szCs w:val="22"/>
              </w:rPr>
              <w:t xml:space="preserve">2021, it receives </w:t>
            </w:r>
            <w:r w:rsidR="00357871" w:rsidRPr="00073574">
              <w:rPr>
                <w:rFonts w:eastAsia="Times New Roman"/>
                <w:szCs w:val="22"/>
              </w:rPr>
              <w:t>an average of</w:t>
            </w:r>
            <w:r w:rsidR="00337A6F" w:rsidRPr="00073574">
              <w:rPr>
                <w:rFonts w:eastAsia="Times New Roman"/>
                <w:szCs w:val="22"/>
              </w:rPr>
              <w:t xml:space="preserve"> </w:t>
            </w:r>
            <w:r w:rsidR="00357871" w:rsidRPr="00073574">
              <w:rPr>
                <w:rFonts w:eastAsia="Times New Roman"/>
                <w:szCs w:val="22"/>
              </w:rPr>
              <w:t>4</w:t>
            </w:r>
            <w:r w:rsidR="00337A6F" w:rsidRPr="00073574">
              <w:rPr>
                <w:rFonts w:eastAsia="Times New Roman"/>
                <w:szCs w:val="22"/>
              </w:rPr>
              <w:t>000 visits per month.</w:t>
            </w:r>
          </w:p>
          <w:p w14:paraId="335FA7E9" w14:textId="676A9130" w:rsidR="01511359" w:rsidRPr="00073574" w:rsidRDefault="5F4BD7EA" w:rsidP="00B32D6F">
            <w:pPr>
              <w:rPr>
                <w:szCs w:val="22"/>
              </w:rPr>
            </w:pPr>
            <w:r w:rsidRPr="00073574">
              <w:rPr>
                <w:rFonts w:eastAsia="Times New Roman"/>
                <w:szCs w:val="22"/>
              </w:rPr>
              <w:t xml:space="preserve">The platform is </w:t>
            </w:r>
            <w:r w:rsidR="00234F29" w:rsidRPr="00073574">
              <w:rPr>
                <w:rFonts w:eastAsia="Times New Roman"/>
                <w:szCs w:val="22"/>
              </w:rPr>
              <w:t>available as a Progressive Web Application for a better user experience on all types of devices.</w:t>
            </w:r>
            <w:r w:rsidRPr="00073574">
              <w:rPr>
                <w:rFonts w:eastAsia="Times New Roman"/>
                <w:szCs w:val="22"/>
              </w:rPr>
              <w:t xml:space="preserve"> Secure access to MyWorkspace is enabled with ITU User Account TIES credentials.</w:t>
            </w:r>
          </w:p>
          <w:p w14:paraId="625AA2A3" w14:textId="674A8AF5" w:rsidR="01511359" w:rsidRPr="00073574" w:rsidRDefault="00CC118C" w:rsidP="00B32D6F">
            <w:pPr>
              <w:rPr>
                <w:szCs w:val="22"/>
              </w:rPr>
            </w:pPr>
            <w:r w:rsidRPr="00073574">
              <w:rPr>
                <w:rFonts w:eastAsia="Times New Roman"/>
                <w:szCs w:val="22"/>
              </w:rPr>
              <w:t>The f</w:t>
            </w:r>
            <w:r w:rsidR="5F4BD7EA" w:rsidRPr="00073574">
              <w:rPr>
                <w:rFonts w:eastAsia="Times New Roman"/>
                <w:szCs w:val="22"/>
              </w:rPr>
              <w:t>ollowing applications and services are available from MyWorkspace:</w:t>
            </w:r>
          </w:p>
          <w:p w14:paraId="07C102AC" w14:textId="47E2C27A" w:rsidR="01511359" w:rsidRPr="00073574" w:rsidRDefault="0053741E" w:rsidP="002E241A">
            <w:pPr>
              <w:pStyle w:val="ListParagraph"/>
              <w:numPr>
                <w:ilvl w:val="0"/>
                <w:numId w:val="13"/>
              </w:numPr>
              <w:contextualSpacing w:val="0"/>
              <w:rPr>
                <w:rFonts w:eastAsia="Times New Roman"/>
                <w:color w:val="000000" w:themeColor="text1"/>
              </w:rPr>
            </w:pPr>
            <w:hyperlink r:id="rId232" w:anchor="/MyMeetings">
              <w:r w:rsidR="5F4BD7EA" w:rsidRPr="00073574">
                <w:rPr>
                  <w:rStyle w:val="Hyperlink"/>
                </w:rPr>
                <w:t>MyMeetings</w:t>
              </w:r>
            </w:hyperlink>
            <w:r w:rsidR="5F4BD7EA" w:rsidRPr="00073574">
              <w:rPr>
                <w:rFonts w:eastAsia="Times New Roman"/>
              </w:rPr>
              <w:t xml:space="preserve">: </w:t>
            </w:r>
            <w:r w:rsidR="5F4BD7EA" w:rsidRPr="00073574">
              <w:rPr>
                <w:rFonts w:eastAsia="Times New Roman"/>
                <w:color w:val="000000" w:themeColor="text1"/>
              </w:rPr>
              <w:t>Remote participation service based on an open-source solution customized in-house to support requirements of both statutory and non-statutory ITU-T meetings.</w:t>
            </w:r>
          </w:p>
          <w:p w14:paraId="58610935" w14:textId="51E6F1CE" w:rsidR="00D43210" w:rsidRPr="00073574" w:rsidRDefault="00D43210" w:rsidP="002E241A">
            <w:pPr>
              <w:pStyle w:val="ListParagraph"/>
              <w:numPr>
                <w:ilvl w:val="0"/>
                <w:numId w:val="13"/>
              </w:numPr>
              <w:contextualSpacing w:val="0"/>
              <w:rPr>
                <w:rFonts w:eastAsia="Times New Roman"/>
                <w:color w:val="000000" w:themeColor="text1"/>
              </w:rPr>
            </w:pPr>
            <w:r w:rsidRPr="00073574">
              <w:rPr>
                <w:rFonts w:eastAsia="Times New Roman"/>
                <w:color w:val="000000" w:themeColor="text1"/>
                <w:u w:val="single"/>
              </w:rPr>
              <w:t>ITU-T Chatbot</w:t>
            </w:r>
            <w:r w:rsidRPr="00073574">
              <w:rPr>
                <w:rFonts w:eastAsia="Times New Roman"/>
                <w:color w:val="000000" w:themeColor="text1"/>
              </w:rPr>
              <w:t>: Instantaneous assistance to ITU-T members during MyMeetings sessions.</w:t>
            </w:r>
          </w:p>
          <w:p w14:paraId="2226AEC2" w14:textId="003BA33F" w:rsidR="01511359" w:rsidRPr="00073574" w:rsidRDefault="0053741E" w:rsidP="002E241A">
            <w:pPr>
              <w:pStyle w:val="ListParagraph"/>
              <w:numPr>
                <w:ilvl w:val="0"/>
                <w:numId w:val="13"/>
              </w:numPr>
              <w:contextualSpacing w:val="0"/>
              <w:rPr>
                <w:rFonts w:eastAsia="Times New Roman"/>
                <w:color w:val="000000" w:themeColor="text1"/>
              </w:rPr>
            </w:pPr>
            <w:hyperlink r:id="rId233" w:anchor="/Myevents">
              <w:r w:rsidR="5F4BD7EA" w:rsidRPr="00073574">
                <w:rPr>
                  <w:rStyle w:val="Hyperlink"/>
                </w:rPr>
                <w:t>MyEvents</w:t>
              </w:r>
            </w:hyperlink>
            <w:r w:rsidR="5F4BD7EA" w:rsidRPr="00073574">
              <w:rPr>
                <w:rFonts w:eastAsia="Times New Roman"/>
                <w:color w:val="000000" w:themeColor="text1"/>
              </w:rPr>
              <w:t>: Events management platform, which provides real time ITU-T events agenda, list of registered participants, speakers, and exhibitors, as well as a ‘matchmaking’ function to enable networking among participants.</w:t>
            </w:r>
          </w:p>
          <w:p w14:paraId="4A3A4875" w14:textId="49BC9076" w:rsidR="01511359" w:rsidRPr="00073574" w:rsidRDefault="0053741E" w:rsidP="002E241A">
            <w:pPr>
              <w:pStyle w:val="ListParagraph"/>
              <w:numPr>
                <w:ilvl w:val="0"/>
                <w:numId w:val="13"/>
              </w:numPr>
              <w:contextualSpacing w:val="0"/>
              <w:rPr>
                <w:rFonts w:eastAsia="Times New Roman"/>
                <w:color w:val="000000" w:themeColor="text1"/>
              </w:rPr>
            </w:pPr>
            <w:hyperlink r:id="rId234" w:anchor="/Calendar" w:history="1">
              <w:r w:rsidR="004322AA" w:rsidRPr="00073574">
                <w:rPr>
                  <w:rStyle w:val="Hyperlink"/>
                  <w:rFonts w:eastAsia="Times New Roman"/>
                </w:rPr>
                <w:t>Calendar</w:t>
              </w:r>
            </w:hyperlink>
            <w:r w:rsidR="5F4BD7EA" w:rsidRPr="00073574">
              <w:rPr>
                <w:rFonts w:eastAsia="Times New Roman"/>
                <w:color w:val="000000" w:themeColor="text1"/>
              </w:rPr>
              <w:t xml:space="preserve">: </w:t>
            </w:r>
            <w:r w:rsidR="00BB3307" w:rsidRPr="00073574">
              <w:rPr>
                <w:rFonts w:eastAsia="Times New Roman"/>
                <w:color w:val="000000" w:themeColor="text1"/>
              </w:rPr>
              <w:t>Monthly calendar view of all ITU events with filters on ITU sectors and ITU-T working groups, with detailed information.</w:t>
            </w:r>
          </w:p>
          <w:p w14:paraId="7F6F4C4F" w14:textId="493B54C3" w:rsidR="01511359" w:rsidRPr="00073574" w:rsidRDefault="0053741E" w:rsidP="002E241A">
            <w:pPr>
              <w:pStyle w:val="ListParagraph"/>
              <w:numPr>
                <w:ilvl w:val="0"/>
                <w:numId w:val="13"/>
              </w:numPr>
              <w:contextualSpacing w:val="0"/>
              <w:rPr>
                <w:rFonts w:eastAsia="Times New Roman"/>
                <w:color w:val="000000" w:themeColor="text1"/>
              </w:rPr>
            </w:pPr>
            <w:hyperlink r:id="rId235" w:anchor="/Translate">
              <w:r w:rsidR="5F4BD7EA" w:rsidRPr="00073574">
                <w:rPr>
                  <w:rStyle w:val="Hyperlink"/>
                </w:rPr>
                <w:t>ITU Translate</w:t>
              </w:r>
            </w:hyperlink>
            <w:r w:rsidR="5F4BD7EA" w:rsidRPr="00073574">
              <w:rPr>
                <w:rFonts w:eastAsia="Times New Roman"/>
                <w:color w:val="000000" w:themeColor="text1"/>
              </w:rPr>
              <w:t xml:space="preserve">: Machine translation tool based on </w:t>
            </w:r>
            <w:r w:rsidR="00DB7468" w:rsidRPr="00073574">
              <w:rPr>
                <w:rFonts w:eastAsia="Times New Roman"/>
                <w:color w:val="000000" w:themeColor="text1"/>
              </w:rPr>
              <w:t xml:space="preserve">a </w:t>
            </w:r>
            <w:r w:rsidR="5F4BD7EA" w:rsidRPr="00073574">
              <w:rPr>
                <w:rFonts w:eastAsia="Times New Roman"/>
                <w:color w:val="000000" w:themeColor="text1"/>
              </w:rPr>
              <w:t>neural network trained in-house on ITU documents official translations, supporting the six (6) ITU official languages.</w:t>
            </w:r>
          </w:p>
          <w:p w14:paraId="1B9B8BBE" w14:textId="03C688A3" w:rsidR="01511359" w:rsidRPr="00073574" w:rsidRDefault="0053741E" w:rsidP="002E241A">
            <w:pPr>
              <w:pStyle w:val="ListParagraph"/>
              <w:numPr>
                <w:ilvl w:val="0"/>
                <w:numId w:val="13"/>
              </w:numPr>
              <w:contextualSpacing w:val="0"/>
              <w:rPr>
                <w:rFonts w:eastAsia="Times New Roman"/>
                <w:color w:val="000000" w:themeColor="text1"/>
              </w:rPr>
            </w:pPr>
            <w:hyperlink r:id="rId236">
              <w:r w:rsidR="5F4BD7EA" w:rsidRPr="00073574">
                <w:rPr>
                  <w:rStyle w:val="Hyperlink"/>
                </w:rPr>
                <w:t>ITU-T Cloud</w:t>
              </w:r>
            </w:hyperlink>
            <w:r w:rsidR="5F4BD7EA" w:rsidRPr="00073574">
              <w:rPr>
                <w:rFonts w:eastAsia="Times New Roman"/>
                <w:color w:val="000000" w:themeColor="text1"/>
              </w:rPr>
              <w:t xml:space="preserve">: </w:t>
            </w:r>
            <w:r w:rsidR="0034481F" w:rsidRPr="00073574">
              <w:rPr>
                <w:rFonts w:eastAsia="Times New Roman"/>
                <w:color w:val="000000" w:themeColor="text1"/>
              </w:rPr>
              <w:t>In-</w:t>
            </w:r>
            <w:r w:rsidR="5F4BD7EA" w:rsidRPr="00073574">
              <w:rPr>
                <w:rFonts w:eastAsia="Times New Roman"/>
                <w:color w:val="000000" w:themeColor="text1"/>
              </w:rPr>
              <w:t>ITU premises storage service allowing users to share and exchange files up to 10 GB per user.</w:t>
            </w:r>
          </w:p>
          <w:p w14:paraId="4146CBAC" w14:textId="7D82E0A5" w:rsidR="01511359" w:rsidRPr="00073574" w:rsidRDefault="0053741E" w:rsidP="002E241A">
            <w:pPr>
              <w:pStyle w:val="ListParagraph"/>
              <w:numPr>
                <w:ilvl w:val="0"/>
                <w:numId w:val="13"/>
              </w:numPr>
              <w:contextualSpacing w:val="0"/>
              <w:rPr>
                <w:rFonts w:eastAsia="Times New Roman"/>
                <w:color w:val="000000" w:themeColor="text1"/>
              </w:rPr>
            </w:pPr>
            <w:hyperlink r:id="rId237" w:anchor="/Mailing">
              <w:r w:rsidR="5F4BD7EA" w:rsidRPr="00073574">
                <w:rPr>
                  <w:rStyle w:val="Hyperlink"/>
                </w:rPr>
                <w:t>Mailing list</w:t>
              </w:r>
            </w:hyperlink>
            <w:r w:rsidR="5F4BD7EA" w:rsidRPr="00073574">
              <w:rPr>
                <w:rFonts w:eastAsia="Times New Roman"/>
                <w:color w:val="000000" w:themeColor="text1"/>
              </w:rPr>
              <w:t>: Subscription management with search function.</w:t>
            </w:r>
          </w:p>
          <w:p w14:paraId="4FCCCD7F" w14:textId="5C3C8EF8" w:rsidR="01511359" w:rsidRPr="00073574" w:rsidRDefault="0053741E" w:rsidP="002E241A">
            <w:pPr>
              <w:pStyle w:val="ListParagraph"/>
              <w:numPr>
                <w:ilvl w:val="0"/>
                <w:numId w:val="13"/>
              </w:numPr>
              <w:contextualSpacing w:val="0"/>
              <w:rPr>
                <w:rFonts w:eastAsia="Times New Roman"/>
                <w:color w:val="000000" w:themeColor="text1"/>
              </w:rPr>
            </w:pPr>
            <w:hyperlink r:id="rId238" w:anchor="/Community">
              <w:r w:rsidR="5F4BD7EA" w:rsidRPr="00073574">
                <w:rPr>
                  <w:rStyle w:val="Hyperlink"/>
                </w:rPr>
                <w:t>Community</w:t>
              </w:r>
            </w:hyperlink>
            <w:r w:rsidR="5F4BD7EA" w:rsidRPr="00073574">
              <w:rPr>
                <w:rFonts w:eastAsia="Times New Roman"/>
                <w:color w:val="000000" w:themeColor="text1"/>
              </w:rPr>
              <w:t>: MyWorkspace user’s directory.</w:t>
            </w:r>
          </w:p>
          <w:p w14:paraId="17767FB5" w14:textId="31C1BCCF" w:rsidR="009C3BD1" w:rsidRPr="00073574" w:rsidRDefault="0053741E" w:rsidP="002E241A">
            <w:pPr>
              <w:pStyle w:val="ListParagraph"/>
              <w:numPr>
                <w:ilvl w:val="0"/>
                <w:numId w:val="13"/>
              </w:numPr>
              <w:contextualSpacing w:val="0"/>
              <w:rPr>
                <w:rFonts w:eastAsia="Times New Roman"/>
                <w:color w:val="000000" w:themeColor="text1"/>
              </w:rPr>
            </w:pPr>
            <w:hyperlink r:id="rId239" w:anchor="/Documents/MyDocuments" w:history="1">
              <w:r w:rsidR="009C3BD1" w:rsidRPr="00073574">
                <w:rPr>
                  <w:rStyle w:val="Hyperlink"/>
                  <w:rFonts w:eastAsia="Times New Roman"/>
                </w:rPr>
                <w:t>MyDocuments</w:t>
              </w:r>
            </w:hyperlink>
            <w:r w:rsidR="009C3BD1" w:rsidRPr="00073574">
              <w:rPr>
                <w:rFonts w:eastAsia="Times New Roman"/>
                <w:color w:val="000000" w:themeColor="text1"/>
              </w:rPr>
              <w:t>: Simplified access to Study Group documents, per meeting, with multiple sorting and selection filters and full text search, and automatic translation from English into 5 other official ITU languages (available on request).</w:t>
            </w:r>
          </w:p>
          <w:p w14:paraId="7996E006" w14:textId="4B26ECEB" w:rsidR="01511359" w:rsidRPr="00073574" w:rsidRDefault="0053741E" w:rsidP="002E241A">
            <w:pPr>
              <w:pStyle w:val="ListParagraph"/>
              <w:numPr>
                <w:ilvl w:val="0"/>
                <w:numId w:val="13"/>
              </w:numPr>
              <w:contextualSpacing w:val="0"/>
              <w:rPr>
                <w:rFonts w:eastAsia="Times New Roman"/>
                <w:color w:val="000000" w:themeColor="text1"/>
              </w:rPr>
            </w:pPr>
            <w:hyperlink r:id="rId240" w:anchor="/Documents/Suggested-Documents" w:history="1">
              <w:r w:rsidR="5F4BD7EA" w:rsidRPr="00073574">
                <w:rPr>
                  <w:rStyle w:val="Hyperlink"/>
                  <w:rFonts w:eastAsia="Times New Roman"/>
                </w:rPr>
                <w:t>Suggested meeting documents</w:t>
              </w:r>
            </w:hyperlink>
            <w:r w:rsidR="5F4BD7EA" w:rsidRPr="00073574">
              <w:rPr>
                <w:rFonts w:eastAsia="Times New Roman"/>
                <w:color w:val="000000" w:themeColor="text1"/>
              </w:rPr>
              <w:t xml:space="preserve">: List of documents based on pre-set users’ interests, with the option to </w:t>
            </w:r>
            <w:r w:rsidR="5F4BD7EA" w:rsidRPr="00073574">
              <w:rPr>
                <w:rFonts w:eastAsia="Times New Roman"/>
                <w:color w:val="000000" w:themeColor="text1"/>
                <w:u w:val="single"/>
              </w:rPr>
              <w:t>bookmark</w:t>
            </w:r>
            <w:r w:rsidR="5F4BD7EA" w:rsidRPr="00073574">
              <w:rPr>
                <w:rFonts w:eastAsia="Times New Roman"/>
                <w:color w:val="000000" w:themeColor="text1"/>
              </w:rPr>
              <w:t xml:space="preserve"> favourites.</w:t>
            </w:r>
          </w:p>
          <w:p w14:paraId="17040035" w14:textId="707528F0" w:rsidR="01511359" w:rsidRPr="00073574" w:rsidRDefault="0053741E" w:rsidP="002E241A">
            <w:pPr>
              <w:pStyle w:val="ListParagraph"/>
              <w:numPr>
                <w:ilvl w:val="0"/>
                <w:numId w:val="13"/>
              </w:numPr>
              <w:contextualSpacing w:val="0"/>
              <w:rPr>
                <w:rFonts w:eastAsia="Times New Roman"/>
                <w:color w:val="000000" w:themeColor="text1"/>
              </w:rPr>
            </w:pPr>
            <w:hyperlink r:id="rId241" w:anchor="/profile">
              <w:r w:rsidR="00FF5AC0" w:rsidRPr="00073574">
                <w:rPr>
                  <w:rStyle w:val="Hyperlink"/>
                  <w:rFonts w:eastAsia="Times New Roman"/>
                </w:rPr>
                <w:t>Profile and preferences</w:t>
              </w:r>
            </w:hyperlink>
            <w:r w:rsidR="5F4BD7EA" w:rsidRPr="00073574">
              <w:rPr>
                <w:rFonts w:eastAsia="Times New Roman"/>
                <w:color w:val="000000" w:themeColor="text1"/>
              </w:rPr>
              <w:t>: User personal information and interests</w:t>
            </w:r>
            <w:r w:rsidR="003A5709" w:rsidRPr="00073574">
              <w:rPr>
                <w:rFonts w:eastAsia="Times New Roman"/>
                <w:color w:val="000000" w:themeColor="text1"/>
              </w:rPr>
              <w:t>.</w:t>
            </w:r>
          </w:p>
          <w:p w14:paraId="6A6E15AC" w14:textId="77777777" w:rsidR="00523E56" w:rsidRPr="00073574" w:rsidRDefault="00523E56" w:rsidP="00523E56">
            <w:pPr>
              <w:spacing w:before="240"/>
              <w:rPr>
                <w:rFonts w:asciiTheme="majorBidi" w:hAnsiTheme="majorBidi" w:cstheme="majorBidi"/>
                <w:szCs w:val="22"/>
              </w:rPr>
            </w:pPr>
            <w:r w:rsidRPr="00073574">
              <w:rPr>
                <w:rFonts w:asciiTheme="majorBidi" w:hAnsiTheme="majorBidi" w:cstheme="majorBidi"/>
                <w:b/>
                <w:bCs/>
                <w:szCs w:val="22"/>
              </w:rPr>
              <w:t>Databases</w:t>
            </w:r>
          </w:p>
          <w:p w14:paraId="06536E54" w14:textId="77777777" w:rsidR="00523E56" w:rsidRPr="00073574" w:rsidRDefault="00587608" w:rsidP="00D069AB">
            <w:pPr>
              <w:rPr>
                <w:rFonts w:asciiTheme="majorBidi" w:hAnsiTheme="majorBidi" w:cstheme="majorBidi"/>
                <w:szCs w:val="22"/>
              </w:rPr>
            </w:pPr>
            <w:r w:rsidRPr="00073574">
              <w:rPr>
                <w:rFonts w:asciiTheme="majorBidi" w:hAnsiTheme="majorBidi" w:cstheme="majorBidi"/>
                <w:szCs w:val="22"/>
              </w:rPr>
              <w:t xml:space="preserve">TSB </w:t>
            </w:r>
            <w:r w:rsidR="00523E56" w:rsidRPr="00073574">
              <w:rPr>
                <w:rFonts w:asciiTheme="majorBidi" w:hAnsiTheme="majorBidi" w:cstheme="majorBidi"/>
                <w:szCs w:val="22"/>
              </w:rPr>
              <w:t>also offers</w:t>
            </w:r>
            <w:r w:rsidRPr="00073574">
              <w:rPr>
                <w:rFonts w:asciiTheme="majorBidi" w:hAnsiTheme="majorBidi" w:cstheme="majorBidi"/>
                <w:szCs w:val="22"/>
              </w:rPr>
              <w:t xml:space="preserve"> online databases for standards group</w:t>
            </w:r>
            <w:r w:rsidR="00BF5585" w:rsidRPr="00073574">
              <w:rPr>
                <w:rFonts w:asciiTheme="majorBidi" w:hAnsiTheme="majorBidi" w:cstheme="majorBidi"/>
                <w:szCs w:val="22"/>
              </w:rPr>
              <w:t>ed</w:t>
            </w:r>
            <w:r w:rsidRPr="00073574">
              <w:rPr>
                <w:rFonts w:asciiTheme="majorBidi" w:hAnsiTheme="majorBidi" w:cstheme="majorBidi"/>
                <w:szCs w:val="22"/>
              </w:rPr>
              <w:t xml:space="preserve"> by technical topics on 5G, cloud, IoT, security</w:t>
            </w:r>
            <w:r w:rsidR="00314266" w:rsidRPr="00073574">
              <w:rPr>
                <w:rFonts w:asciiTheme="majorBidi" w:hAnsiTheme="majorBidi" w:cstheme="majorBidi"/>
                <w:szCs w:val="22"/>
              </w:rPr>
              <w:t>, </w:t>
            </w:r>
            <w:r w:rsidRPr="00073574">
              <w:rPr>
                <w:rFonts w:asciiTheme="majorBidi" w:hAnsiTheme="majorBidi" w:cstheme="majorBidi"/>
                <w:szCs w:val="22"/>
              </w:rPr>
              <w:t>…</w:t>
            </w:r>
          </w:p>
          <w:p w14:paraId="0B0F852A" w14:textId="533A8028" w:rsidR="00EC32A9" w:rsidRPr="00073574" w:rsidRDefault="00EC32A9" w:rsidP="00523E56">
            <w:pPr>
              <w:spacing w:before="240"/>
              <w:rPr>
                <w:rFonts w:asciiTheme="majorBidi" w:hAnsiTheme="majorBidi" w:cstheme="majorBidi"/>
                <w:b/>
                <w:bCs/>
                <w:szCs w:val="22"/>
              </w:rPr>
            </w:pPr>
            <w:r w:rsidRPr="00073574">
              <w:rPr>
                <w:rFonts w:asciiTheme="majorBidi" w:hAnsiTheme="majorBidi" w:cstheme="majorBidi"/>
                <w:b/>
                <w:szCs w:val="22"/>
              </w:rPr>
              <w:t>Meeting Documents Sync Application</w:t>
            </w:r>
          </w:p>
          <w:p w14:paraId="42FF5020" w14:textId="314072B0" w:rsidR="00EC32A9" w:rsidRPr="00073574" w:rsidRDefault="00EC32A9" w:rsidP="00D069AB">
            <w:pPr>
              <w:rPr>
                <w:rFonts w:asciiTheme="majorBidi" w:hAnsiTheme="majorBidi" w:cstheme="majorBidi"/>
                <w:szCs w:val="22"/>
              </w:rPr>
            </w:pPr>
            <w:r w:rsidRPr="00073574">
              <w:rPr>
                <w:rFonts w:asciiTheme="majorBidi" w:hAnsiTheme="majorBidi" w:cstheme="majorBidi"/>
                <w:szCs w:val="22"/>
              </w:rPr>
              <w:t>This application enables meeting participants to synchronize documents of ongoing ITU-T SG meetings from the ITU server to their local drive. The application is constantly enhanced and updated following feedback and suggestions from users.</w:t>
            </w:r>
          </w:p>
          <w:p w14:paraId="70EB9C96" w14:textId="77777777" w:rsidR="00EC32A9" w:rsidRPr="00073574" w:rsidRDefault="00EC32A9" w:rsidP="00EC32A9">
            <w:pPr>
              <w:spacing w:before="240"/>
              <w:rPr>
                <w:rFonts w:asciiTheme="majorBidi" w:hAnsiTheme="majorBidi" w:cstheme="majorBidi"/>
                <w:b/>
                <w:bCs/>
                <w:szCs w:val="22"/>
              </w:rPr>
            </w:pPr>
            <w:r w:rsidRPr="00073574">
              <w:rPr>
                <w:rFonts w:asciiTheme="majorBidi" w:hAnsiTheme="majorBidi" w:cstheme="majorBidi"/>
                <w:b/>
                <w:szCs w:val="22"/>
              </w:rPr>
              <w:t>Editing Workflow</w:t>
            </w:r>
          </w:p>
          <w:p w14:paraId="57B1A79A" w14:textId="156F7BC3" w:rsidR="00EC32A9" w:rsidRPr="00073574" w:rsidRDefault="00EC32A9" w:rsidP="00D069AB">
            <w:pPr>
              <w:rPr>
                <w:rFonts w:asciiTheme="majorBidi" w:hAnsiTheme="majorBidi" w:cstheme="majorBidi"/>
                <w:szCs w:val="22"/>
              </w:rPr>
            </w:pPr>
            <w:r w:rsidRPr="00073574">
              <w:rPr>
                <w:rFonts w:asciiTheme="majorBidi" w:hAnsiTheme="majorBidi" w:cstheme="majorBidi"/>
                <w:szCs w:val="22"/>
              </w:rPr>
              <w:t>Business process management internal for ITU-T Publications editing and Web publishing.</w:t>
            </w:r>
          </w:p>
          <w:p w14:paraId="51590D06" w14:textId="77777777" w:rsidR="00EC32A9" w:rsidRPr="00073574" w:rsidRDefault="00EC32A9" w:rsidP="00EC32A9">
            <w:pPr>
              <w:spacing w:before="240"/>
              <w:rPr>
                <w:rFonts w:asciiTheme="majorBidi" w:hAnsiTheme="majorBidi" w:cstheme="majorBidi"/>
                <w:b/>
                <w:bCs/>
                <w:szCs w:val="22"/>
              </w:rPr>
            </w:pPr>
            <w:r w:rsidRPr="00073574">
              <w:rPr>
                <w:rFonts w:asciiTheme="majorBidi" w:hAnsiTheme="majorBidi" w:cstheme="majorBidi"/>
                <w:b/>
                <w:szCs w:val="22"/>
              </w:rPr>
              <w:t>Alternative Approval Process System</w:t>
            </w:r>
          </w:p>
          <w:p w14:paraId="693B5C88" w14:textId="0D4CAB6C" w:rsidR="00EC32A9" w:rsidRPr="00073574" w:rsidRDefault="00EC32A9" w:rsidP="00D069AB">
            <w:pPr>
              <w:rPr>
                <w:rFonts w:asciiTheme="majorBidi" w:hAnsiTheme="majorBidi" w:cstheme="majorBidi"/>
                <w:szCs w:val="22"/>
              </w:rPr>
            </w:pPr>
            <w:r w:rsidRPr="00073574">
              <w:rPr>
                <w:rFonts w:asciiTheme="majorBidi" w:hAnsiTheme="majorBidi" w:cstheme="majorBidi"/>
                <w:szCs w:val="22"/>
              </w:rPr>
              <w:t>Online solution to apply the ITU-T A.8 simplified and faster procedure used for seeking the approval of draft new and revised Recommendations.</w:t>
            </w:r>
          </w:p>
          <w:p w14:paraId="16C931BE" w14:textId="77777777" w:rsidR="0040632F" w:rsidRPr="00073574" w:rsidRDefault="00EC32A9" w:rsidP="00EC32A9">
            <w:pPr>
              <w:spacing w:before="240"/>
              <w:rPr>
                <w:rFonts w:asciiTheme="majorBidi" w:hAnsiTheme="majorBidi" w:cstheme="majorBidi"/>
                <w:b/>
                <w:bCs/>
                <w:szCs w:val="22"/>
              </w:rPr>
            </w:pPr>
            <w:r w:rsidRPr="00073574">
              <w:rPr>
                <w:rFonts w:asciiTheme="majorBidi" w:hAnsiTheme="majorBidi" w:cstheme="majorBidi"/>
                <w:b/>
                <w:szCs w:val="22"/>
              </w:rPr>
              <w:t>ITU-T Work Programme</w:t>
            </w:r>
          </w:p>
          <w:p w14:paraId="4A1FFE7B" w14:textId="70C85254" w:rsidR="00EC32A9" w:rsidRPr="00073574" w:rsidRDefault="00EC32A9" w:rsidP="00D069AB">
            <w:pPr>
              <w:rPr>
                <w:rFonts w:asciiTheme="majorBidi" w:hAnsiTheme="majorBidi" w:cstheme="majorBidi"/>
                <w:szCs w:val="22"/>
              </w:rPr>
            </w:pPr>
            <w:r w:rsidRPr="00073574">
              <w:rPr>
                <w:rFonts w:asciiTheme="majorBidi" w:hAnsiTheme="majorBidi" w:cstheme="majorBidi"/>
                <w:szCs w:val="22"/>
              </w:rPr>
              <w:t>Suite of Windows and Web applications to follow ITU-T Working Group structure and work items.</w:t>
            </w:r>
          </w:p>
          <w:p w14:paraId="6718C3CC" w14:textId="77777777" w:rsidR="0040632F" w:rsidRPr="00073574" w:rsidRDefault="00EC32A9" w:rsidP="008B76A4">
            <w:pPr>
              <w:keepNext/>
              <w:spacing w:before="240"/>
              <w:rPr>
                <w:rFonts w:asciiTheme="majorBidi" w:hAnsiTheme="majorBidi" w:cstheme="majorBidi"/>
                <w:b/>
                <w:bCs/>
                <w:szCs w:val="22"/>
              </w:rPr>
            </w:pPr>
            <w:r w:rsidRPr="00073574">
              <w:rPr>
                <w:rFonts w:asciiTheme="majorBidi" w:hAnsiTheme="majorBidi" w:cstheme="majorBidi"/>
                <w:b/>
                <w:szCs w:val="22"/>
              </w:rPr>
              <w:lastRenderedPageBreak/>
              <w:t>ITU-T Liaison Statements</w:t>
            </w:r>
          </w:p>
          <w:p w14:paraId="6EAFDDDB" w14:textId="77ADC3EB" w:rsidR="00EC32A9" w:rsidRPr="00073574" w:rsidRDefault="00EC32A9" w:rsidP="00D069AB">
            <w:pPr>
              <w:keepNext/>
              <w:rPr>
                <w:rFonts w:asciiTheme="majorBidi" w:hAnsiTheme="majorBidi" w:cstheme="majorBidi"/>
                <w:szCs w:val="22"/>
              </w:rPr>
            </w:pPr>
            <w:r w:rsidRPr="00073574">
              <w:rPr>
                <w:rFonts w:asciiTheme="majorBidi" w:hAnsiTheme="majorBidi" w:cstheme="majorBidi"/>
                <w:szCs w:val="22"/>
              </w:rPr>
              <w:t>Online application to access the ITU-T Liaison Statement database.</w:t>
            </w:r>
          </w:p>
          <w:p w14:paraId="5F981A15" w14:textId="77777777" w:rsidR="0040632F" w:rsidRPr="00073574" w:rsidRDefault="00EC32A9" w:rsidP="00EC32A9">
            <w:pPr>
              <w:spacing w:before="240"/>
              <w:rPr>
                <w:rFonts w:asciiTheme="majorBidi" w:hAnsiTheme="majorBidi" w:cstheme="majorBidi"/>
                <w:b/>
                <w:bCs/>
                <w:szCs w:val="22"/>
              </w:rPr>
            </w:pPr>
            <w:r w:rsidRPr="00073574">
              <w:rPr>
                <w:rFonts w:asciiTheme="majorBidi" w:hAnsiTheme="majorBidi" w:cstheme="majorBidi"/>
                <w:b/>
                <w:szCs w:val="22"/>
              </w:rPr>
              <w:t>Events Dashboard</w:t>
            </w:r>
          </w:p>
          <w:p w14:paraId="663E1D2D" w14:textId="51DD7758" w:rsidR="00EC32A9" w:rsidRPr="00073574" w:rsidRDefault="00EC32A9" w:rsidP="00D069AB">
            <w:pPr>
              <w:rPr>
                <w:rFonts w:asciiTheme="majorBidi" w:hAnsiTheme="majorBidi" w:cstheme="majorBidi"/>
                <w:szCs w:val="22"/>
              </w:rPr>
            </w:pPr>
            <w:r w:rsidRPr="00073574">
              <w:rPr>
                <w:rFonts w:asciiTheme="majorBidi" w:hAnsiTheme="majorBidi" w:cstheme="majorBidi"/>
                <w:szCs w:val="22"/>
              </w:rPr>
              <w:t>Business process management solution for ITU-T event organization.</w:t>
            </w:r>
          </w:p>
          <w:p w14:paraId="06817BF1" w14:textId="77777777" w:rsidR="0040632F" w:rsidRPr="00073574" w:rsidRDefault="00EC32A9" w:rsidP="00EC32A9">
            <w:pPr>
              <w:spacing w:before="240"/>
              <w:rPr>
                <w:rFonts w:asciiTheme="majorBidi" w:hAnsiTheme="majorBidi" w:cstheme="majorBidi"/>
                <w:b/>
                <w:bCs/>
                <w:szCs w:val="22"/>
              </w:rPr>
            </w:pPr>
            <w:r w:rsidRPr="00073574">
              <w:rPr>
                <w:rFonts w:asciiTheme="majorBidi" w:hAnsiTheme="majorBidi" w:cstheme="majorBidi"/>
                <w:b/>
                <w:szCs w:val="22"/>
              </w:rPr>
              <w:t>IPR Database</w:t>
            </w:r>
          </w:p>
          <w:p w14:paraId="625C5627" w14:textId="3C899550" w:rsidR="00EC32A9" w:rsidRPr="00073574" w:rsidRDefault="00EC32A9" w:rsidP="00D069AB">
            <w:pPr>
              <w:rPr>
                <w:rFonts w:asciiTheme="majorBidi" w:hAnsiTheme="majorBidi" w:cstheme="majorBidi"/>
                <w:szCs w:val="22"/>
              </w:rPr>
            </w:pPr>
            <w:r w:rsidRPr="00073574">
              <w:rPr>
                <w:rFonts w:asciiTheme="majorBidi" w:hAnsiTheme="majorBidi" w:cstheme="majorBidi"/>
                <w:szCs w:val="22"/>
              </w:rPr>
              <w:t>It enables users to access all ITU-T Recommendations patents and software copyright declarations (</w:t>
            </w:r>
            <w:hyperlink r:id="rId242" w:history="1">
              <w:r w:rsidRPr="00073574">
                <w:rPr>
                  <w:rStyle w:val="Hyperlink"/>
                  <w:rFonts w:asciiTheme="majorBidi" w:hAnsiTheme="majorBidi" w:cstheme="majorBidi"/>
                  <w:szCs w:val="22"/>
                </w:rPr>
                <w:t>ITU-R and ITU-T Recommendations Patent Statement</w:t>
              </w:r>
            </w:hyperlink>
            <w:r w:rsidRPr="00073574">
              <w:rPr>
                <w:rFonts w:asciiTheme="majorBidi" w:hAnsiTheme="majorBidi" w:cstheme="majorBidi"/>
                <w:szCs w:val="22"/>
              </w:rPr>
              <w:t>).</w:t>
            </w:r>
          </w:p>
          <w:p w14:paraId="6C8DA1B8" w14:textId="77777777" w:rsidR="00120314" w:rsidRPr="00073574" w:rsidRDefault="00EC32A9" w:rsidP="00EC32A9">
            <w:pPr>
              <w:spacing w:before="240"/>
              <w:rPr>
                <w:rFonts w:asciiTheme="majorBidi" w:hAnsiTheme="majorBidi" w:cstheme="majorBidi"/>
                <w:b/>
                <w:bCs/>
                <w:szCs w:val="22"/>
              </w:rPr>
            </w:pPr>
            <w:r w:rsidRPr="00073574">
              <w:rPr>
                <w:rFonts w:asciiTheme="majorBidi" w:hAnsiTheme="majorBidi" w:cstheme="majorBidi"/>
                <w:b/>
                <w:szCs w:val="22"/>
              </w:rPr>
              <w:t>ITU-R/ITU-T Terms &amp; Definitions Database</w:t>
            </w:r>
          </w:p>
          <w:p w14:paraId="0FA4F740" w14:textId="59977655" w:rsidR="00EC32A9" w:rsidRPr="00073574" w:rsidRDefault="00EC32A9" w:rsidP="00D069AB">
            <w:pPr>
              <w:rPr>
                <w:rFonts w:asciiTheme="majorBidi" w:hAnsiTheme="majorBidi" w:cstheme="majorBidi"/>
                <w:szCs w:val="22"/>
              </w:rPr>
            </w:pPr>
            <w:r w:rsidRPr="00073574">
              <w:rPr>
                <w:rFonts w:asciiTheme="majorBidi" w:hAnsiTheme="majorBidi" w:cstheme="majorBidi"/>
                <w:szCs w:val="22"/>
              </w:rPr>
              <w:t>This application lets users access all ITU-T Recommendations terms and definitions (</w:t>
            </w:r>
            <w:hyperlink r:id="rId243" w:history="1">
              <w:r w:rsidRPr="00073574">
                <w:rPr>
                  <w:rStyle w:val="Hyperlink"/>
                  <w:rFonts w:asciiTheme="majorBidi" w:hAnsiTheme="majorBidi" w:cstheme="majorBidi"/>
                  <w:szCs w:val="22"/>
                </w:rPr>
                <w:t>ITU Recommendation System</w:t>
              </w:r>
            </w:hyperlink>
            <w:r w:rsidRPr="00073574">
              <w:rPr>
                <w:rFonts w:asciiTheme="majorBidi" w:hAnsiTheme="majorBidi" w:cstheme="majorBidi"/>
                <w:szCs w:val="22"/>
              </w:rPr>
              <w:t>).</w:t>
            </w:r>
          </w:p>
          <w:p w14:paraId="47B1A876" w14:textId="4D2F2889" w:rsidR="007A523F" w:rsidRPr="00073574" w:rsidRDefault="00EC32A9" w:rsidP="00EC32A9">
            <w:pPr>
              <w:spacing w:before="240"/>
              <w:rPr>
                <w:rFonts w:asciiTheme="majorBidi" w:hAnsiTheme="majorBidi" w:cstheme="majorBidi"/>
                <w:b/>
                <w:bCs/>
                <w:szCs w:val="22"/>
              </w:rPr>
            </w:pPr>
            <w:r w:rsidRPr="00073574">
              <w:rPr>
                <w:rFonts w:asciiTheme="majorBidi" w:hAnsiTheme="majorBidi" w:cstheme="majorBidi"/>
                <w:b/>
                <w:szCs w:val="22"/>
              </w:rPr>
              <w:t>Business Intelligence</w:t>
            </w:r>
          </w:p>
          <w:p w14:paraId="462AF2DA" w14:textId="3FE1777C" w:rsidR="00EC32A9" w:rsidRPr="00073574" w:rsidRDefault="00EC32A9" w:rsidP="00D069AB">
            <w:pPr>
              <w:rPr>
                <w:rFonts w:asciiTheme="majorBidi" w:hAnsiTheme="majorBidi" w:cstheme="majorBidi"/>
                <w:szCs w:val="22"/>
              </w:rPr>
            </w:pPr>
            <w:r w:rsidRPr="00073574">
              <w:rPr>
                <w:rFonts w:asciiTheme="majorBidi" w:hAnsiTheme="majorBidi" w:cstheme="majorBidi"/>
                <w:szCs w:val="22"/>
              </w:rPr>
              <w:t>Solutions based on Power BI and Google Analytics to extract statistics of ITU-T activities.</w:t>
            </w:r>
          </w:p>
          <w:p w14:paraId="402C2BBA" w14:textId="3079F363" w:rsidR="00CD5628" w:rsidRPr="00073574" w:rsidRDefault="00EC32A9" w:rsidP="00EC32A9">
            <w:pPr>
              <w:spacing w:before="240"/>
              <w:rPr>
                <w:rFonts w:asciiTheme="majorBidi" w:hAnsiTheme="majorBidi" w:cstheme="majorBidi"/>
                <w:b/>
                <w:bCs/>
                <w:szCs w:val="22"/>
              </w:rPr>
            </w:pPr>
            <w:r w:rsidRPr="00073574">
              <w:rPr>
                <w:rFonts w:asciiTheme="majorBidi" w:hAnsiTheme="majorBidi" w:cstheme="majorBidi"/>
                <w:b/>
                <w:szCs w:val="22"/>
              </w:rPr>
              <w:t>SDG Mappin</w:t>
            </w:r>
            <w:r w:rsidR="00CD5628" w:rsidRPr="00073574">
              <w:rPr>
                <w:rFonts w:asciiTheme="majorBidi" w:hAnsiTheme="majorBidi" w:cstheme="majorBidi"/>
                <w:b/>
                <w:bCs/>
                <w:szCs w:val="22"/>
              </w:rPr>
              <w:t>g</w:t>
            </w:r>
          </w:p>
          <w:p w14:paraId="168C5FE2" w14:textId="0E32712B" w:rsidR="00EC32A9" w:rsidRPr="00073574" w:rsidRDefault="00EC32A9" w:rsidP="00D069AB">
            <w:pPr>
              <w:rPr>
                <w:rFonts w:asciiTheme="majorBidi" w:hAnsiTheme="majorBidi" w:cstheme="majorBidi"/>
                <w:szCs w:val="22"/>
              </w:rPr>
            </w:pPr>
            <w:r w:rsidRPr="00073574">
              <w:rPr>
                <w:rFonts w:asciiTheme="majorBidi" w:hAnsiTheme="majorBidi" w:cstheme="majorBidi"/>
                <w:szCs w:val="22"/>
              </w:rPr>
              <w:t>Automatic mapping of ITU-T activities with UN SDGs by evaluating semantic relevance of texts.</w:t>
            </w:r>
          </w:p>
          <w:p w14:paraId="0942793B" w14:textId="23C06D67" w:rsidR="00CD5628" w:rsidRPr="00073574" w:rsidRDefault="00EC32A9" w:rsidP="00EC32A9">
            <w:pPr>
              <w:spacing w:before="240"/>
              <w:rPr>
                <w:rFonts w:asciiTheme="majorBidi" w:hAnsiTheme="majorBidi" w:cstheme="majorBidi"/>
                <w:b/>
                <w:bCs/>
                <w:szCs w:val="22"/>
              </w:rPr>
            </w:pPr>
            <w:r w:rsidRPr="00073574">
              <w:rPr>
                <w:rFonts w:asciiTheme="majorBidi" w:hAnsiTheme="majorBidi" w:cstheme="majorBidi"/>
                <w:b/>
                <w:szCs w:val="22"/>
              </w:rPr>
              <w:t>Biography Self-Service System</w:t>
            </w:r>
          </w:p>
          <w:p w14:paraId="24F85F67" w14:textId="6C551805" w:rsidR="00EC32A9" w:rsidRPr="00073574" w:rsidRDefault="00EC32A9" w:rsidP="00D069AB">
            <w:pPr>
              <w:rPr>
                <w:rFonts w:asciiTheme="majorBidi" w:hAnsiTheme="majorBidi" w:cstheme="majorBidi"/>
                <w:szCs w:val="22"/>
              </w:rPr>
            </w:pPr>
            <w:r w:rsidRPr="00073574">
              <w:rPr>
                <w:rFonts w:asciiTheme="majorBidi" w:hAnsiTheme="majorBidi" w:cstheme="majorBidi"/>
                <w:szCs w:val="22"/>
              </w:rPr>
              <w:t>It aids event organizers in searching for experts and helps them maintain the invitees’ biography up to date on the event website.</w:t>
            </w:r>
          </w:p>
          <w:p w14:paraId="32FD084D" w14:textId="03CC3BF3" w:rsidR="00CD5628" w:rsidRPr="00073574" w:rsidRDefault="00EC32A9" w:rsidP="00EC32A9">
            <w:pPr>
              <w:spacing w:before="240"/>
              <w:rPr>
                <w:rFonts w:asciiTheme="majorBidi" w:hAnsiTheme="majorBidi" w:cstheme="majorBidi"/>
                <w:b/>
                <w:bCs/>
                <w:szCs w:val="22"/>
              </w:rPr>
            </w:pPr>
            <w:r w:rsidRPr="00073574">
              <w:rPr>
                <w:rFonts w:asciiTheme="majorBidi" w:hAnsiTheme="majorBidi" w:cstheme="majorBidi"/>
                <w:b/>
                <w:szCs w:val="22"/>
              </w:rPr>
              <w:t>Voice Diarization</w:t>
            </w:r>
          </w:p>
          <w:p w14:paraId="5B573613" w14:textId="6BA57449" w:rsidR="00587608" w:rsidRPr="00073574" w:rsidRDefault="00EC32A9" w:rsidP="00D069AB">
            <w:pPr>
              <w:rPr>
                <w:rFonts w:asciiTheme="majorBidi" w:hAnsiTheme="majorBidi" w:cstheme="majorBidi"/>
                <w:szCs w:val="22"/>
              </w:rPr>
            </w:pPr>
            <w:r w:rsidRPr="00073574">
              <w:rPr>
                <w:rFonts w:asciiTheme="majorBidi" w:hAnsiTheme="majorBidi" w:cstheme="majorBidi"/>
                <w:szCs w:val="22"/>
              </w:rPr>
              <w:t>Speaker’s voice recognition and segmentation from recorded meeting.</w:t>
            </w:r>
          </w:p>
        </w:tc>
      </w:tr>
      <w:tr w:rsidR="00F0236A" w:rsidRPr="00073574" w14:paraId="4F959C1E" w14:textId="77777777" w:rsidTr="634A3A28">
        <w:trPr>
          <w:jc w:val="center"/>
        </w:trPr>
        <w:tc>
          <w:tcPr>
            <w:tcW w:w="911" w:type="dxa"/>
            <w:vMerge w:val="restart"/>
            <w:tcBorders>
              <w:top w:val="single" w:sz="12" w:space="0" w:color="auto"/>
            </w:tcBorders>
            <w:shd w:val="clear" w:color="auto" w:fill="auto"/>
          </w:tcPr>
          <w:p w14:paraId="2BB9B701" w14:textId="77777777" w:rsidR="00F0236A" w:rsidRPr="00073574" w:rsidRDefault="00F0236A" w:rsidP="00101BC9">
            <w:pPr>
              <w:pStyle w:val="Tabletext"/>
              <w:keepNext/>
              <w:keepLines/>
              <w:rPr>
                <w:b/>
                <w:bCs/>
                <w:sz w:val="24"/>
                <w:szCs w:val="24"/>
              </w:rPr>
            </w:pPr>
            <w:r w:rsidRPr="00073574">
              <w:rPr>
                <w:b/>
                <w:bCs/>
                <w:sz w:val="24"/>
                <w:szCs w:val="24"/>
              </w:rPr>
              <w:lastRenderedPageBreak/>
              <w:t>32-03</w:t>
            </w:r>
          </w:p>
        </w:tc>
        <w:tc>
          <w:tcPr>
            <w:tcW w:w="5494" w:type="dxa"/>
            <w:tcBorders>
              <w:top w:val="single" w:sz="12" w:space="0" w:color="auto"/>
            </w:tcBorders>
            <w:shd w:val="clear" w:color="auto" w:fill="auto"/>
            <w:hideMark/>
          </w:tcPr>
          <w:p w14:paraId="0EAE61E1" w14:textId="77777777" w:rsidR="00F0236A" w:rsidRPr="00073574" w:rsidRDefault="00F0236A" w:rsidP="00DF36E1">
            <w:pPr>
              <w:pStyle w:val="Tabletext"/>
              <w:rPr>
                <w:b/>
                <w:bCs/>
                <w:sz w:val="24"/>
                <w:szCs w:val="24"/>
              </w:rPr>
            </w:pPr>
            <w:r w:rsidRPr="00073574">
              <w:rPr>
                <w:b/>
                <w:bCs/>
                <w:sz w:val="24"/>
                <w:szCs w:val="24"/>
              </w:rPr>
              <w:t>TSB Director to develop budget estimate to implement EWM Action Plan and include it in budget request to Council; and identify and review costs and benefits of the action items on a regular basis; and to report to each meeting of TSAG on the status of the Action Plan, including the results of the cost and benefit reviews;</w:t>
            </w:r>
          </w:p>
          <w:p w14:paraId="52EDB746" w14:textId="77777777" w:rsidR="00F0236A" w:rsidRPr="00073574" w:rsidRDefault="00F0236A" w:rsidP="00DF36E1">
            <w:pPr>
              <w:pStyle w:val="Tabletext"/>
              <w:rPr>
                <w:b/>
                <w:bCs/>
                <w:sz w:val="24"/>
                <w:szCs w:val="24"/>
              </w:rPr>
            </w:pPr>
            <w:r w:rsidRPr="00073574">
              <w:rPr>
                <w:b/>
                <w:bCs/>
                <w:sz w:val="24"/>
                <w:szCs w:val="24"/>
              </w:rPr>
              <w:t>and provide the executive authority, budget within TSB, and resources to execute the Action Plan with all possible speed (i. TSBDir 1)</w:t>
            </w:r>
          </w:p>
        </w:tc>
        <w:tc>
          <w:tcPr>
            <w:tcW w:w="1096" w:type="dxa"/>
            <w:tcBorders>
              <w:top w:val="single" w:sz="12" w:space="0" w:color="auto"/>
            </w:tcBorders>
            <w:shd w:val="clear" w:color="auto" w:fill="auto"/>
            <w:vAlign w:val="center"/>
            <w:hideMark/>
          </w:tcPr>
          <w:p w14:paraId="049CDDA9" w14:textId="77777777" w:rsidR="00F0236A" w:rsidRPr="00073574" w:rsidRDefault="00F0236A" w:rsidP="00DF36E1">
            <w:pPr>
              <w:pStyle w:val="Tabletext"/>
              <w:jc w:val="center"/>
              <w:rPr>
                <w:b/>
                <w:bCs/>
                <w:sz w:val="24"/>
                <w:szCs w:val="24"/>
              </w:rPr>
            </w:pPr>
            <w:r w:rsidRPr="00073574">
              <w:rPr>
                <w:b/>
                <w:bCs/>
                <w:sz w:val="24"/>
                <w:szCs w:val="24"/>
              </w:rPr>
              <w:t>Council 2017,</w:t>
            </w:r>
          </w:p>
          <w:p w14:paraId="10F05F15" w14:textId="77777777" w:rsidR="00F0236A" w:rsidRPr="00073574" w:rsidRDefault="00F0236A" w:rsidP="00DF36E1">
            <w:pPr>
              <w:pStyle w:val="Tabletext"/>
              <w:jc w:val="center"/>
              <w:rPr>
                <w:b/>
                <w:bCs/>
                <w:sz w:val="24"/>
                <w:szCs w:val="24"/>
              </w:rPr>
            </w:pPr>
            <w:r w:rsidRPr="00073574">
              <w:rPr>
                <w:b/>
                <w:bCs/>
                <w:sz w:val="24"/>
                <w:szCs w:val="24"/>
              </w:rPr>
              <w:t>TSAG 2017, Ongoing</w:t>
            </w:r>
          </w:p>
        </w:tc>
        <w:tc>
          <w:tcPr>
            <w:tcW w:w="1149" w:type="dxa"/>
            <w:tcBorders>
              <w:top w:val="single" w:sz="12" w:space="0" w:color="auto"/>
            </w:tcBorders>
            <w:shd w:val="clear" w:color="auto" w:fill="auto"/>
            <w:vAlign w:val="center"/>
          </w:tcPr>
          <w:p w14:paraId="707C756E" w14:textId="77777777" w:rsidR="00F0236A" w:rsidRPr="00073574" w:rsidRDefault="00F0236A" w:rsidP="00DF36E1">
            <w:pPr>
              <w:pStyle w:val="Tabletext"/>
              <w:jc w:val="center"/>
              <w:rPr>
                <w:b/>
                <w:bCs/>
                <w:sz w:val="24"/>
                <w:szCs w:val="24"/>
              </w:rPr>
            </w:pPr>
            <w:r w:rsidRPr="00073574">
              <w:rPr>
                <w:b/>
                <w:bCs/>
                <w:sz w:val="24"/>
                <w:szCs w:val="24"/>
              </w:rPr>
              <w:t>√</w:t>
            </w:r>
          </w:p>
        </w:tc>
        <w:tc>
          <w:tcPr>
            <w:tcW w:w="1182" w:type="dxa"/>
            <w:tcBorders>
              <w:top w:val="single" w:sz="12" w:space="0" w:color="auto"/>
            </w:tcBorders>
            <w:shd w:val="clear" w:color="auto" w:fill="auto"/>
            <w:vAlign w:val="center"/>
          </w:tcPr>
          <w:p w14:paraId="71B1DDC4" w14:textId="77777777" w:rsidR="00F0236A" w:rsidRPr="00073574" w:rsidRDefault="00F0236A" w:rsidP="00DF36E1">
            <w:pPr>
              <w:pStyle w:val="Tabletext"/>
              <w:jc w:val="center"/>
              <w:rPr>
                <w:b/>
                <w:bCs/>
                <w:sz w:val="24"/>
                <w:szCs w:val="24"/>
              </w:rPr>
            </w:pPr>
          </w:p>
        </w:tc>
      </w:tr>
      <w:tr w:rsidR="00F0236A" w:rsidRPr="00073574" w14:paraId="4EC5CE45" w14:textId="77777777" w:rsidTr="634A3A28">
        <w:trPr>
          <w:jc w:val="center"/>
        </w:trPr>
        <w:tc>
          <w:tcPr>
            <w:tcW w:w="911" w:type="dxa"/>
            <w:vMerge/>
          </w:tcPr>
          <w:p w14:paraId="399304BD" w14:textId="77777777" w:rsidR="00F0236A" w:rsidRPr="00073574" w:rsidRDefault="00F0236A" w:rsidP="00DF36E1">
            <w:pPr>
              <w:pStyle w:val="Tabletext"/>
              <w:rPr>
                <w:sz w:val="24"/>
                <w:szCs w:val="24"/>
              </w:rPr>
            </w:pPr>
          </w:p>
        </w:tc>
        <w:tc>
          <w:tcPr>
            <w:tcW w:w="8921" w:type="dxa"/>
            <w:gridSpan w:val="4"/>
            <w:tcBorders>
              <w:bottom w:val="single" w:sz="12" w:space="0" w:color="auto"/>
            </w:tcBorders>
            <w:shd w:val="clear" w:color="auto" w:fill="auto"/>
          </w:tcPr>
          <w:p w14:paraId="58299855" w14:textId="50FB9DFB" w:rsidR="00F0236A" w:rsidRPr="00073574" w:rsidRDefault="00F0236A" w:rsidP="00DF36E1">
            <w:pPr>
              <w:spacing w:before="40" w:after="40"/>
              <w:rPr>
                <w:szCs w:val="22"/>
              </w:rPr>
            </w:pPr>
            <w:r w:rsidRPr="00073574">
              <w:rPr>
                <w:rFonts w:eastAsia="Times New Roman"/>
                <w:szCs w:val="22"/>
              </w:rPr>
              <w:t xml:space="preserve">The four-year rolling ITU-T Operational Plan (2018-2021), including resource requirements, was submitted to Council-2017 in document </w:t>
            </w:r>
            <w:hyperlink r:id="rId244" w:history="1">
              <w:r w:rsidRPr="00073574">
                <w:rPr>
                  <w:rStyle w:val="Hyperlink"/>
                  <w:rFonts w:eastAsia="Times New Roman"/>
                  <w:szCs w:val="22"/>
                </w:rPr>
                <w:t>C17/29</w:t>
              </w:r>
            </w:hyperlink>
            <w:r w:rsidRPr="00073574">
              <w:rPr>
                <w:rFonts w:eastAsia="Times New Roman"/>
                <w:szCs w:val="22"/>
              </w:rPr>
              <w:t xml:space="preserve">. It was also submitted to TSAG May 2017 as </w:t>
            </w:r>
            <w:hyperlink r:id="rId245" w:history="1">
              <w:r w:rsidR="00101BC9" w:rsidRPr="00073574">
                <w:rPr>
                  <w:rStyle w:val="Hyperlink"/>
                  <w:szCs w:val="22"/>
                </w:rPr>
                <w:t>TSAG-</w:t>
              </w:r>
              <w:r w:rsidR="00112C75" w:rsidRPr="00073574">
                <w:rPr>
                  <w:rStyle w:val="Hyperlink"/>
                  <w:rFonts w:eastAsia="Times New Roman"/>
                  <w:szCs w:val="22"/>
                </w:rPr>
                <w:t>TD</w:t>
              </w:r>
              <w:r w:rsidRPr="00073574">
                <w:rPr>
                  <w:rStyle w:val="Hyperlink"/>
                </w:rPr>
                <w:t>53</w:t>
              </w:r>
            </w:hyperlink>
            <w:r w:rsidRPr="00073574">
              <w:rPr>
                <w:rFonts w:eastAsia="Times New Roman"/>
                <w:szCs w:val="22"/>
              </w:rPr>
              <w:t>.</w:t>
            </w:r>
          </w:p>
        </w:tc>
      </w:tr>
      <w:tr w:rsidR="00F0236A" w:rsidRPr="00073574" w14:paraId="14C20B12" w14:textId="77777777" w:rsidTr="634A3A28">
        <w:trPr>
          <w:jc w:val="center"/>
        </w:trPr>
        <w:tc>
          <w:tcPr>
            <w:tcW w:w="911" w:type="dxa"/>
            <w:vMerge w:val="restart"/>
            <w:tcBorders>
              <w:top w:val="single" w:sz="12" w:space="0" w:color="auto"/>
            </w:tcBorders>
            <w:shd w:val="clear" w:color="auto" w:fill="auto"/>
          </w:tcPr>
          <w:p w14:paraId="1586FB4B" w14:textId="77777777" w:rsidR="00F0236A" w:rsidRPr="00073574" w:rsidRDefault="00F0236A" w:rsidP="00D30A54">
            <w:pPr>
              <w:pStyle w:val="Tabletext"/>
              <w:keepNext/>
              <w:keepLines/>
              <w:rPr>
                <w:b/>
                <w:bCs/>
                <w:sz w:val="24"/>
                <w:szCs w:val="24"/>
              </w:rPr>
            </w:pPr>
            <w:r w:rsidRPr="00073574">
              <w:rPr>
                <w:b/>
                <w:bCs/>
                <w:sz w:val="24"/>
                <w:szCs w:val="24"/>
              </w:rPr>
              <w:lastRenderedPageBreak/>
              <w:t>32-04</w:t>
            </w:r>
          </w:p>
        </w:tc>
        <w:tc>
          <w:tcPr>
            <w:tcW w:w="5494" w:type="dxa"/>
            <w:tcBorders>
              <w:top w:val="single" w:sz="12" w:space="0" w:color="auto"/>
            </w:tcBorders>
            <w:shd w:val="clear" w:color="auto" w:fill="auto"/>
          </w:tcPr>
          <w:p w14:paraId="766337FF" w14:textId="77777777" w:rsidR="00F0236A" w:rsidRPr="00073574" w:rsidRDefault="00F0236A" w:rsidP="00DF36E1">
            <w:pPr>
              <w:pStyle w:val="Tabletext"/>
              <w:rPr>
                <w:b/>
                <w:bCs/>
                <w:sz w:val="24"/>
                <w:szCs w:val="24"/>
              </w:rPr>
            </w:pPr>
            <w:r w:rsidRPr="00073574">
              <w:rPr>
                <w:b/>
                <w:bCs/>
                <w:sz w:val="24"/>
                <w:szCs w:val="24"/>
              </w:rPr>
              <w:t>TSB to develop and disseminate guidelines for use of ITU-T EWM facilities and capabilities; with appropriate and ready access to electronic documentation for their work, including a global, unified and consolidated view of document traceability (resolves 1)</w:t>
            </w:r>
          </w:p>
        </w:tc>
        <w:tc>
          <w:tcPr>
            <w:tcW w:w="1096" w:type="dxa"/>
            <w:tcBorders>
              <w:top w:val="single" w:sz="12" w:space="0" w:color="auto"/>
            </w:tcBorders>
            <w:shd w:val="clear" w:color="auto" w:fill="auto"/>
            <w:vAlign w:val="center"/>
          </w:tcPr>
          <w:p w14:paraId="576823FA"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49" w:type="dxa"/>
            <w:tcBorders>
              <w:top w:val="single" w:sz="12" w:space="0" w:color="auto"/>
            </w:tcBorders>
            <w:shd w:val="clear" w:color="auto" w:fill="auto"/>
            <w:vAlign w:val="center"/>
          </w:tcPr>
          <w:p w14:paraId="51390EDA" w14:textId="77777777" w:rsidR="00F0236A" w:rsidRPr="00073574" w:rsidRDefault="00F0236A" w:rsidP="00DF36E1">
            <w:pPr>
              <w:pStyle w:val="Tabletext"/>
              <w:jc w:val="center"/>
              <w:rPr>
                <w:b/>
                <w:bCs/>
                <w:sz w:val="24"/>
                <w:szCs w:val="24"/>
              </w:rPr>
            </w:pPr>
            <w:r w:rsidRPr="00073574">
              <w:rPr>
                <w:b/>
                <w:bCs/>
                <w:sz w:val="24"/>
                <w:szCs w:val="24"/>
              </w:rPr>
              <w:t>√</w:t>
            </w:r>
          </w:p>
        </w:tc>
        <w:tc>
          <w:tcPr>
            <w:tcW w:w="1182" w:type="dxa"/>
            <w:tcBorders>
              <w:top w:val="single" w:sz="12" w:space="0" w:color="auto"/>
            </w:tcBorders>
            <w:shd w:val="clear" w:color="auto" w:fill="auto"/>
            <w:vAlign w:val="center"/>
          </w:tcPr>
          <w:p w14:paraId="14FBA3A7" w14:textId="77777777" w:rsidR="00F0236A" w:rsidRPr="00073574" w:rsidRDefault="00F0236A" w:rsidP="00DF36E1">
            <w:pPr>
              <w:pStyle w:val="Tabletext"/>
              <w:jc w:val="center"/>
              <w:rPr>
                <w:b/>
                <w:bCs/>
                <w:sz w:val="24"/>
                <w:szCs w:val="24"/>
              </w:rPr>
            </w:pPr>
          </w:p>
        </w:tc>
      </w:tr>
      <w:tr w:rsidR="00F0236A" w:rsidRPr="00073574" w14:paraId="16A517A7" w14:textId="77777777" w:rsidTr="634A3A28">
        <w:trPr>
          <w:jc w:val="center"/>
        </w:trPr>
        <w:tc>
          <w:tcPr>
            <w:tcW w:w="911" w:type="dxa"/>
            <w:vMerge/>
          </w:tcPr>
          <w:p w14:paraId="732F7D5D" w14:textId="77777777" w:rsidR="00F0236A" w:rsidRPr="00073574" w:rsidRDefault="00F0236A" w:rsidP="00DF36E1">
            <w:pPr>
              <w:pStyle w:val="Tabletext"/>
              <w:rPr>
                <w:sz w:val="24"/>
                <w:szCs w:val="24"/>
              </w:rPr>
            </w:pPr>
          </w:p>
        </w:tc>
        <w:tc>
          <w:tcPr>
            <w:tcW w:w="8921" w:type="dxa"/>
            <w:gridSpan w:val="4"/>
            <w:tcBorders>
              <w:bottom w:val="single" w:sz="12" w:space="0" w:color="auto"/>
            </w:tcBorders>
            <w:shd w:val="clear" w:color="auto" w:fill="auto"/>
          </w:tcPr>
          <w:p w14:paraId="7FE95217" w14:textId="77777777" w:rsidR="00F0236A" w:rsidRPr="00073574" w:rsidRDefault="00F0236A" w:rsidP="00B32D6F">
            <w:pPr>
              <w:rPr>
                <w:rFonts w:eastAsia="Times New Roman"/>
                <w:szCs w:val="22"/>
              </w:rPr>
            </w:pPr>
            <w:r w:rsidRPr="00073574">
              <w:rPr>
                <w:rFonts w:eastAsia="Times New Roman"/>
                <w:szCs w:val="22"/>
              </w:rPr>
              <w:t xml:space="preserve">A site dedicated to providing immediate support and professional advice for SharePoint collaboration sites users is continuously being updated and is available at: </w:t>
            </w:r>
            <w:hyperlink r:id="rId246">
              <w:r w:rsidRPr="00073574">
                <w:rPr>
                  <w:rStyle w:val="Hyperlink"/>
                  <w:rFonts w:eastAsia="Times New Roman"/>
                  <w:szCs w:val="22"/>
                </w:rPr>
                <w:t>https://extranet.itu.int/ITU-T/support/</w:t>
              </w:r>
            </w:hyperlink>
            <w:r w:rsidRPr="00073574">
              <w:rPr>
                <w:rFonts w:eastAsia="Times New Roman"/>
                <w:szCs w:val="22"/>
              </w:rPr>
              <w:t>.</w:t>
            </w:r>
          </w:p>
          <w:p w14:paraId="5F376F42" w14:textId="2EFE951B" w:rsidR="00F0236A" w:rsidRPr="00073574" w:rsidRDefault="00F0236A" w:rsidP="00B32D6F">
            <w:pPr>
              <w:rPr>
                <w:rStyle w:val="Hyperlink"/>
                <w:szCs w:val="22"/>
              </w:rPr>
            </w:pPr>
            <w:r w:rsidRPr="00073574">
              <w:rPr>
                <w:szCs w:val="22"/>
              </w:rPr>
              <w:t>A comprehensive support and FAQs page offering RGM tips and best practices</w:t>
            </w:r>
            <w:r w:rsidR="00FC4DB2" w:rsidRPr="00073574">
              <w:rPr>
                <w:szCs w:val="22"/>
              </w:rPr>
              <w:t>,</w:t>
            </w:r>
            <w:r w:rsidRPr="00073574">
              <w:rPr>
                <w:szCs w:val="22"/>
              </w:rPr>
              <w:t xml:space="preserve"> </w:t>
            </w:r>
            <w:r w:rsidR="00FC4DB2" w:rsidRPr="00073574">
              <w:rPr>
                <w:szCs w:val="22"/>
              </w:rPr>
              <w:t>and a</w:t>
            </w:r>
            <w:r w:rsidRPr="00073574">
              <w:rPr>
                <w:szCs w:val="22"/>
              </w:rPr>
              <w:t xml:space="preserve"> very detailed online user guide for the RGM System complete with videos is available at: </w:t>
            </w:r>
            <w:r w:rsidRPr="00073574">
              <w:rPr>
                <w:szCs w:val="22"/>
              </w:rPr>
              <w:br/>
            </w:r>
            <w:hyperlink r:id="rId247" w:history="1">
              <w:r w:rsidRPr="00073574">
                <w:rPr>
                  <w:rStyle w:val="Hyperlink"/>
                  <w:szCs w:val="22"/>
                </w:rPr>
                <w:t>http://itu.int/go/itu-t/rgm-guide</w:t>
              </w:r>
            </w:hyperlink>
            <w:r w:rsidR="00151BB9" w:rsidRPr="00073574">
              <w:t>.</w:t>
            </w:r>
          </w:p>
          <w:p w14:paraId="3EFEA30D" w14:textId="737C0A65" w:rsidR="00B52A13" w:rsidRPr="00073574" w:rsidRDefault="67458955" w:rsidP="00B32D6F">
            <w:pPr>
              <w:rPr>
                <w:szCs w:val="22"/>
              </w:rPr>
            </w:pPr>
            <w:r w:rsidRPr="00073574">
              <w:rPr>
                <w:rStyle w:val="Hyperlink"/>
                <w:color w:val="auto"/>
                <w:szCs w:val="22"/>
                <w:u w:val="none"/>
              </w:rPr>
              <w:t xml:space="preserve">Information on the different Electronic Working Methods Services being provided by TSB is available </w:t>
            </w:r>
            <w:r w:rsidR="00EC58E6" w:rsidRPr="00073574">
              <w:t>and regularly updated</w:t>
            </w:r>
            <w:r w:rsidRPr="00073574">
              <w:rPr>
                <w:rStyle w:val="Hyperlink"/>
                <w:color w:val="auto"/>
                <w:szCs w:val="22"/>
                <w:u w:val="none"/>
              </w:rPr>
              <w:t xml:space="preserve"> at</w:t>
            </w:r>
            <w:r w:rsidR="00B32D6F" w:rsidRPr="00073574">
              <w:rPr>
                <w:rStyle w:val="Hyperlink"/>
                <w:color w:val="auto"/>
                <w:szCs w:val="22"/>
                <w:u w:val="none"/>
              </w:rPr>
              <w:t xml:space="preserve"> </w:t>
            </w:r>
            <w:hyperlink r:id="rId248">
              <w:r w:rsidR="00430A58" w:rsidRPr="00073574">
                <w:rPr>
                  <w:rStyle w:val="Hyperlink"/>
                  <w:szCs w:val="22"/>
                </w:rPr>
                <w:t>https://www.itu.int/en/ITU-T/ewm</w:t>
              </w:r>
            </w:hyperlink>
            <w:r w:rsidR="0070689D" w:rsidRPr="00073574">
              <w:t>.</w:t>
            </w:r>
          </w:p>
          <w:p w14:paraId="56B6D4E0" w14:textId="7B67588C" w:rsidR="00B52A13" w:rsidRPr="00073574" w:rsidRDefault="09B5EB45" w:rsidP="00B32D6F">
            <w:pPr>
              <w:rPr>
                <w:szCs w:val="22"/>
              </w:rPr>
            </w:pPr>
            <w:r w:rsidRPr="00073574">
              <w:rPr>
                <w:szCs w:val="22"/>
              </w:rPr>
              <w:t xml:space="preserve">TSB developed </w:t>
            </w:r>
            <w:hyperlink r:id="rId249" w:history="1">
              <w:r w:rsidRPr="00073574">
                <w:rPr>
                  <w:rStyle w:val="Hyperlink"/>
                  <w:rFonts w:eastAsia="Times New Roman"/>
                  <w:szCs w:val="22"/>
                </w:rPr>
                <w:t>ITUSearch</w:t>
              </w:r>
            </w:hyperlink>
            <w:r w:rsidRPr="00073574">
              <w:t xml:space="preserve">, </w:t>
            </w:r>
            <w:r w:rsidRPr="00073574">
              <w:rPr>
                <w:rFonts w:eastAsia="Times New Roman"/>
                <w:color w:val="000000" w:themeColor="text1"/>
                <w:szCs w:val="22"/>
              </w:rPr>
              <w:t>a mobile-friendly search engine covering all ITU documents, websites, publications, and other type of resources.</w:t>
            </w:r>
          </w:p>
          <w:p w14:paraId="3A81CFB8" w14:textId="78A7A738" w:rsidR="00B52A13" w:rsidRPr="00073574" w:rsidRDefault="09B5EB45" w:rsidP="00B32D6F">
            <w:pPr>
              <w:rPr>
                <w:szCs w:val="22"/>
              </w:rPr>
            </w:pPr>
            <w:r w:rsidRPr="00073574">
              <w:rPr>
                <w:rFonts w:eastAsia="Times New Roman"/>
                <w:color w:val="000000" w:themeColor="text1"/>
                <w:szCs w:val="22"/>
              </w:rPr>
              <w:t xml:space="preserve">On average, </w:t>
            </w:r>
            <w:r w:rsidR="00FC2B97" w:rsidRPr="00073574">
              <w:rPr>
                <w:rFonts w:eastAsia="Times New Roman"/>
                <w:color w:val="000000" w:themeColor="text1"/>
                <w:szCs w:val="22"/>
              </w:rPr>
              <w:t>65</w:t>
            </w:r>
            <w:r w:rsidRPr="00073574">
              <w:rPr>
                <w:rFonts w:eastAsia="Times New Roman"/>
                <w:color w:val="000000" w:themeColor="text1"/>
                <w:szCs w:val="22"/>
              </w:rPr>
              <w:t>,000 search requests are performed each month using ITUSearch.</w:t>
            </w:r>
            <w:r w:rsidR="00A55B3D" w:rsidRPr="00073574">
              <w:rPr>
                <w:rFonts w:eastAsia="Times New Roman"/>
                <w:color w:val="000000" w:themeColor="text1"/>
                <w:szCs w:val="22"/>
              </w:rPr>
              <w:t xml:space="preserve"> </w:t>
            </w:r>
            <w:r w:rsidRPr="00073574">
              <w:rPr>
                <w:rFonts w:eastAsia="Times New Roman"/>
                <w:color w:val="000000" w:themeColor="text1"/>
                <w:szCs w:val="22"/>
              </w:rPr>
              <w:t>The latest version of the search engine released includes following menus:</w:t>
            </w:r>
          </w:p>
          <w:p w14:paraId="5B8F7535" w14:textId="72CDF3F2" w:rsidR="00B52A13" w:rsidRPr="00073574" w:rsidRDefault="0053741E" w:rsidP="002E241A">
            <w:pPr>
              <w:pStyle w:val="ListParagraph"/>
              <w:numPr>
                <w:ilvl w:val="0"/>
                <w:numId w:val="12"/>
              </w:numPr>
              <w:contextualSpacing w:val="0"/>
              <w:rPr>
                <w:rFonts w:eastAsia="Times New Roman"/>
                <w:color w:val="000000" w:themeColor="text1"/>
              </w:rPr>
            </w:pPr>
            <w:hyperlink r:id="rId250" w:anchor="?target=All&amp;ex=false&amp;q=TSAG&amp;fl=0">
              <w:r w:rsidR="09B5EB45" w:rsidRPr="00073574">
                <w:rPr>
                  <w:rStyle w:val="Hyperlink"/>
                  <w:rFonts w:eastAsia="Times New Roman"/>
                </w:rPr>
                <w:t>All</w:t>
              </w:r>
            </w:hyperlink>
            <w:r w:rsidR="09B5EB45" w:rsidRPr="00073574">
              <w:rPr>
                <w:rFonts w:eastAsia="Times New Roman"/>
                <w:color w:val="000000" w:themeColor="text1"/>
              </w:rPr>
              <w:t>: Search on all ITU resources with Sector, type of document and language</w:t>
            </w:r>
            <w:r w:rsidR="00D415C6" w:rsidRPr="00073574">
              <w:rPr>
                <w:rFonts w:eastAsia="Times New Roman"/>
                <w:color w:val="000000" w:themeColor="text1"/>
              </w:rPr>
              <w:t xml:space="preserve"> </w:t>
            </w:r>
            <w:r w:rsidR="09B5EB45" w:rsidRPr="00073574">
              <w:rPr>
                <w:rFonts w:eastAsia="Times New Roman"/>
                <w:color w:val="000000" w:themeColor="text1"/>
              </w:rPr>
              <w:t>filtering.</w:t>
            </w:r>
          </w:p>
          <w:p w14:paraId="6622CE0F" w14:textId="6C7C2563" w:rsidR="00B52A13" w:rsidRPr="00073574" w:rsidRDefault="0053741E" w:rsidP="002E241A">
            <w:pPr>
              <w:pStyle w:val="ListParagraph"/>
              <w:numPr>
                <w:ilvl w:val="0"/>
                <w:numId w:val="12"/>
              </w:numPr>
              <w:contextualSpacing w:val="0"/>
              <w:rPr>
                <w:rFonts w:eastAsia="Times New Roman"/>
                <w:color w:val="000000" w:themeColor="text1"/>
              </w:rPr>
            </w:pPr>
            <w:hyperlink r:id="rId251" w:anchor="?target=Media&amp;ex=false&amp;q=TSAG&amp;fl=0">
              <w:r w:rsidR="09B5EB45" w:rsidRPr="00073574">
                <w:rPr>
                  <w:rStyle w:val="Hyperlink"/>
                  <w:rFonts w:eastAsia="Times New Roman"/>
                </w:rPr>
                <w:t>Multimedia</w:t>
              </w:r>
            </w:hyperlink>
            <w:r w:rsidR="09B5EB45" w:rsidRPr="00073574">
              <w:rPr>
                <w:rFonts w:eastAsia="Times New Roman"/>
                <w:color w:val="000000" w:themeColor="text1"/>
              </w:rPr>
              <w:t>: Search on ITU Facebook and Twitter accounts posts.</w:t>
            </w:r>
          </w:p>
          <w:p w14:paraId="7BCFD0DE" w14:textId="6174235B" w:rsidR="00B52A13" w:rsidRPr="00073574" w:rsidRDefault="0053741E" w:rsidP="002E241A">
            <w:pPr>
              <w:pStyle w:val="ListParagraph"/>
              <w:numPr>
                <w:ilvl w:val="0"/>
                <w:numId w:val="12"/>
              </w:numPr>
              <w:contextualSpacing w:val="0"/>
              <w:rPr>
                <w:rFonts w:eastAsia="Times New Roman"/>
                <w:color w:val="000000" w:themeColor="text1"/>
              </w:rPr>
            </w:pPr>
            <w:hyperlink r:id="rId252" w:anchor="?target=Social%20media">
              <w:r w:rsidR="09B5EB45" w:rsidRPr="00073574">
                <w:rPr>
                  <w:rStyle w:val="Hyperlink"/>
                  <w:rFonts w:eastAsia="Times New Roman"/>
                </w:rPr>
                <w:t>Social media</w:t>
              </w:r>
            </w:hyperlink>
            <w:r w:rsidR="09B5EB45" w:rsidRPr="00073574">
              <w:rPr>
                <w:rFonts w:eastAsia="Times New Roman"/>
                <w:color w:val="000000" w:themeColor="text1"/>
              </w:rPr>
              <w:t>: Search on ITU Flickr and YouTube accounts resources.</w:t>
            </w:r>
          </w:p>
          <w:p w14:paraId="3F360686" w14:textId="1BBE4F3D" w:rsidR="00B52A13" w:rsidRPr="00073574" w:rsidRDefault="0053741E" w:rsidP="002E241A">
            <w:pPr>
              <w:pStyle w:val="ListParagraph"/>
              <w:numPr>
                <w:ilvl w:val="0"/>
                <w:numId w:val="12"/>
              </w:numPr>
              <w:spacing w:after="40"/>
              <w:ind w:left="714" w:hanging="357"/>
              <w:contextualSpacing w:val="0"/>
              <w:rPr>
                <w:rFonts w:eastAsia="Times New Roman"/>
                <w:color w:val="000000" w:themeColor="text1"/>
                <w:sz w:val="24"/>
              </w:rPr>
            </w:pPr>
            <w:hyperlink r:id="rId253" w:anchor="?target=Base%20text&amp;ex=false&amp;q=Resolution%2032&amp;fl=0&amp;sector=t&amp;group=all&amp;collection=General">
              <w:r w:rsidR="09B5EB45" w:rsidRPr="00073574">
                <w:rPr>
                  <w:rStyle w:val="Hyperlink"/>
                  <w:rFonts w:eastAsia="Times New Roman"/>
                </w:rPr>
                <w:t>Basic text</w:t>
              </w:r>
            </w:hyperlink>
            <w:r w:rsidR="09B5EB45" w:rsidRPr="00073574">
              <w:rPr>
                <w:rFonts w:eastAsia="Times New Roman"/>
                <w:color w:val="000000" w:themeColor="text1"/>
              </w:rPr>
              <w:t xml:space="preserve">: Specialized full text search on latest ITU and Sectors Assemblies and Conferences in force basic texts in the </w:t>
            </w:r>
            <w:r w:rsidR="003C6400" w:rsidRPr="00073574">
              <w:rPr>
                <w:rFonts w:eastAsia="Times New Roman"/>
                <w:color w:val="000000" w:themeColor="text1"/>
              </w:rPr>
              <w:t>6</w:t>
            </w:r>
            <w:r w:rsidR="09B5EB45" w:rsidRPr="00073574">
              <w:rPr>
                <w:rFonts w:eastAsia="Times New Roman"/>
                <w:color w:val="000000" w:themeColor="text1"/>
              </w:rPr>
              <w:t xml:space="preserve"> (six) ITU official languages.</w:t>
            </w:r>
          </w:p>
        </w:tc>
      </w:tr>
      <w:tr w:rsidR="00F0236A" w:rsidRPr="00073574" w14:paraId="15F31732" w14:textId="77777777" w:rsidTr="634A3A28">
        <w:trPr>
          <w:jc w:val="center"/>
        </w:trPr>
        <w:tc>
          <w:tcPr>
            <w:tcW w:w="911" w:type="dxa"/>
            <w:vMerge w:val="restart"/>
            <w:tcBorders>
              <w:top w:val="single" w:sz="12" w:space="0" w:color="auto"/>
            </w:tcBorders>
            <w:shd w:val="clear" w:color="auto" w:fill="auto"/>
          </w:tcPr>
          <w:p w14:paraId="56891465" w14:textId="77777777" w:rsidR="00F0236A" w:rsidRPr="00073574" w:rsidRDefault="00F0236A" w:rsidP="00DF36E1">
            <w:pPr>
              <w:pStyle w:val="Tabletext"/>
              <w:rPr>
                <w:b/>
                <w:bCs/>
                <w:sz w:val="24"/>
                <w:szCs w:val="24"/>
              </w:rPr>
            </w:pPr>
            <w:r w:rsidRPr="00073574">
              <w:rPr>
                <w:b/>
                <w:bCs/>
                <w:sz w:val="24"/>
                <w:szCs w:val="24"/>
              </w:rPr>
              <w:t>32-05</w:t>
            </w:r>
          </w:p>
        </w:tc>
        <w:tc>
          <w:tcPr>
            <w:tcW w:w="5494" w:type="dxa"/>
            <w:tcBorders>
              <w:top w:val="single" w:sz="12" w:space="0" w:color="auto"/>
            </w:tcBorders>
            <w:shd w:val="clear" w:color="auto" w:fill="auto"/>
          </w:tcPr>
          <w:p w14:paraId="63E03F68" w14:textId="77777777" w:rsidR="00F0236A" w:rsidRPr="00073574" w:rsidRDefault="00F0236A" w:rsidP="00DF36E1">
            <w:pPr>
              <w:pStyle w:val="Tabletext"/>
              <w:rPr>
                <w:b/>
                <w:bCs/>
                <w:sz w:val="24"/>
                <w:szCs w:val="24"/>
              </w:rPr>
            </w:pPr>
            <w:r w:rsidRPr="00073574">
              <w:rPr>
                <w:b/>
                <w:bCs/>
                <w:sz w:val="24"/>
                <w:szCs w:val="24"/>
              </w:rPr>
              <w:t>TSAG to act as the point of contact between the ITU</w:t>
            </w:r>
            <w:r w:rsidRPr="00073574">
              <w:rPr>
                <w:b/>
                <w:bCs/>
                <w:sz w:val="24"/>
                <w:szCs w:val="24"/>
              </w:rPr>
              <w:noBreakHyphen/>
              <w:t>T membership and TSB on EWM matters, in particular providing feedback and advice on the contents, prioritization and implementation of the Action Plan (resolves 2)</w:t>
            </w:r>
          </w:p>
        </w:tc>
        <w:tc>
          <w:tcPr>
            <w:tcW w:w="1096" w:type="dxa"/>
            <w:tcBorders>
              <w:top w:val="single" w:sz="12" w:space="0" w:color="auto"/>
            </w:tcBorders>
            <w:shd w:val="clear" w:color="auto" w:fill="auto"/>
            <w:vAlign w:val="center"/>
          </w:tcPr>
          <w:p w14:paraId="2CED5505"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49" w:type="dxa"/>
            <w:tcBorders>
              <w:top w:val="single" w:sz="12" w:space="0" w:color="auto"/>
            </w:tcBorders>
            <w:shd w:val="clear" w:color="auto" w:fill="auto"/>
            <w:vAlign w:val="center"/>
          </w:tcPr>
          <w:p w14:paraId="27E36B4C" w14:textId="77777777" w:rsidR="00F0236A" w:rsidRPr="00073574" w:rsidRDefault="00F0236A" w:rsidP="00DF36E1">
            <w:pPr>
              <w:pStyle w:val="Tabletext"/>
              <w:jc w:val="center"/>
              <w:rPr>
                <w:b/>
                <w:bCs/>
                <w:sz w:val="24"/>
                <w:szCs w:val="24"/>
              </w:rPr>
            </w:pPr>
            <w:r w:rsidRPr="00073574">
              <w:rPr>
                <w:b/>
                <w:bCs/>
                <w:sz w:val="24"/>
                <w:szCs w:val="24"/>
              </w:rPr>
              <w:t>√</w:t>
            </w:r>
          </w:p>
        </w:tc>
        <w:tc>
          <w:tcPr>
            <w:tcW w:w="1182" w:type="dxa"/>
            <w:tcBorders>
              <w:top w:val="single" w:sz="12" w:space="0" w:color="auto"/>
            </w:tcBorders>
            <w:shd w:val="clear" w:color="auto" w:fill="auto"/>
            <w:vAlign w:val="center"/>
          </w:tcPr>
          <w:p w14:paraId="5A980B37" w14:textId="77777777" w:rsidR="00F0236A" w:rsidRPr="00073574" w:rsidRDefault="00F0236A" w:rsidP="00DF36E1">
            <w:pPr>
              <w:pStyle w:val="Tabletext"/>
              <w:jc w:val="center"/>
              <w:rPr>
                <w:b/>
                <w:bCs/>
                <w:sz w:val="24"/>
                <w:szCs w:val="24"/>
              </w:rPr>
            </w:pPr>
          </w:p>
        </w:tc>
      </w:tr>
      <w:tr w:rsidR="00F0236A" w:rsidRPr="00073574" w14:paraId="65544EB7" w14:textId="77777777" w:rsidTr="634A3A28">
        <w:trPr>
          <w:jc w:val="center"/>
        </w:trPr>
        <w:tc>
          <w:tcPr>
            <w:tcW w:w="911" w:type="dxa"/>
            <w:vMerge/>
          </w:tcPr>
          <w:p w14:paraId="29CDA751" w14:textId="77777777" w:rsidR="00F0236A" w:rsidRPr="00073574" w:rsidRDefault="00F0236A" w:rsidP="00DF36E1">
            <w:pPr>
              <w:pStyle w:val="Tabletext"/>
              <w:rPr>
                <w:sz w:val="24"/>
                <w:szCs w:val="24"/>
              </w:rPr>
            </w:pPr>
          </w:p>
        </w:tc>
        <w:tc>
          <w:tcPr>
            <w:tcW w:w="8921" w:type="dxa"/>
            <w:gridSpan w:val="4"/>
            <w:tcBorders>
              <w:bottom w:val="single" w:sz="12" w:space="0" w:color="auto"/>
            </w:tcBorders>
            <w:shd w:val="clear" w:color="auto" w:fill="auto"/>
          </w:tcPr>
          <w:p w14:paraId="51989336" w14:textId="77777777" w:rsidR="00F0236A" w:rsidRPr="00073574" w:rsidRDefault="00F0236A" w:rsidP="00DF36E1">
            <w:pPr>
              <w:pStyle w:val="Tabletext"/>
              <w:rPr>
                <w:szCs w:val="22"/>
              </w:rPr>
            </w:pPr>
            <w:r w:rsidRPr="00073574">
              <w:rPr>
                <w:szCs w:val="22"/>
              </w:rPr>
              <w:t>TSAG RG-WM is handling matters concerning electronic working methods. TSAG is considering contributions from membership and feedback from ITU-T study groups on EWM.</w:t>
            </w:r>
          </w:p>
        </w:tc>
      </w:tr>
      <w:tr w:rsidR="00F0236A" w:rsidRPr="00073574" w14:paraId="02E54B77" w14:textId="77777777" w:rsidTr="634A3A28">
        <w:trPr>
          <w:jc w:val="center"/>
        </w:trPr>
        <w:tc>
          <w:tcPr>
            <w:tcW w:w="911" w:type="dxa"/>
            <w:vMerge w:val="restart"/>
            <w:tcBorders>
              <w:top w:val="single" w:sz="12" w:space="0" w:color="auto"/>
            </w:tcBorders>
            <w:shd w:val="clear" w:color="auto" w:fill="auto"/>
          </w:tcPr>
          <w:p w14:paraId="6E5CA2FC" w14:textId="77777777" w:rsidR="00F0236A" w:rsidRPr="00073574" w:rsidRDefault="00F0236A" w:rsidP="00F83AC2">
            <w:pPr>
              <w:pStyle w:val="Tabletext"/>
              <w:keepNext/>
              <w:keepLines/>
              <w:rPr>
                <w:b/>
                <w:bCs/>
                <w:sz w:val="24"/>
                <w:szCs w:val="24"/>
              </w:rPr>
            </w:pPr>
            <w:r w:rsidRPr="00073574">
              <w:rPr>
                <w:b/>
                <w:bCs/>
                <w:sz w:val="24"/>
                <w:szCs w:val="24"/>
              </w:rPr>
              <w:t>32-06</w:t>
            </w:r>
          </w:p>
        </w:tc>
        <w:tc>
          <w:tcPr>
            <w:tcW w:w="5494" w:type="dxa"/>
            <w:tcBorders>
              <w:top w:val="single" w:sz="12" w:space="0" w:color="auto"/>
            </w:tcBorders>
            <w:shd w:val="clear" w:color="auto" w:fill="auto"/>
          </w:tcPr>
          <w:p w14:paraId="72E59BF3" w14:textId="77777777" w:rsidR="00F0236A" w:rsidRPr="00073574" w:rsidRDefault="00F0236A" w:rsidP="00DF36E1">
            <w:pPr>
              <w:pStyle w:val="Tabletext"/>
              <w:rPr>
                <w:b/>
                <w:bCs/>
                <w:sz w:val="24"/>
                <w:szCs w:val="24"/>
              </w:rPr>
            </w:pPr>
            <w:r w:rsidRPr="00073574">
              <w:rPr>
                <w:b/>
                <w:bCs/>
                <w:sz w:val="24"/>
                <w:szCs w:val="24"/>
              </w:rPr>
              <w:t>TSB Director to provide a mobile</w:t>
            </w:r>
            <w:r w:rsidRPr="00073574">
              <w:rPr>
                <w:b/>
                <w:bCs/>
                <w:sz w:val="24"/>
                <w:szCs w:val="24"/>
              </w:rPr>
              <w:noBreakHyphen/>
              <w:t>friendly version of the ITU</w:t>
            </w:r>
            <w:r w:rsidRPr="00073574">
              <w:rPr>
                <w:b/>
                <w:bCs/>
                <w:sz w:val="24"/>
                <w:szCs w:val="24"/>
              </w:rPr>
              <w:noBreakHyphen/>
              <w:t>T website;</w:t>
            </w:r>
          </w:p>
          <w:p w14:paraId="6D9CA399" w14:textId="77777777" w:rsidR="00F0236A" w:rsidRPr="00073574" w:rsidRDefault="00F0236A" w:rsidP="00DF36E1">
            <w:pPr>
              <w:pStyle w:val="Tabletext"/>
              <w:rPr>
                <w:b/>
                <w:bCs/>
                <w:sz w:val="24"/>
                <w:szCs w:val="24"/>
              </w:rPr>
            </w:pPr>
            <w:r w:rsidRPr="00073574">
              <w:rPr>
                <w:b/>
                <w:bCs/>
                <w:sz w:val="24"/>
                <w:szCs w:val="24"/>
              </w:rPr>
              <w:t>and to simplify and facilitate enhanced searching for documents and/or information, and in particular a classification mechanism and an enhanced search engine to extract documents and/or information that are related to a specific subject, topic or issue (resolves 1, i. TSBDir 1)</w:t>
            </w:r>
          </w:p>
        </w:tc>
        <w:tc>
          <w:tcPr>
            <w:tcW w:w="1096" w:type="dxa"/>
            <w:tcBorders>
              <w:top w:val="single" w:sz="12" w:space="0" w:color="auto"/>
            </w:tcBorders>
            <w:shd w:val="clear" w:color="auto" w:fill="auto"/>
            <w:vAlign w:val="center"/>
          </w:tcPr>
          <w:p w14:paraId="2D3D1B32"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49" w:type="dxa"/>
            <w:tcBorders>
              <w:top w:val="single" w:sz="12" w:space="0" w:color="auto"/>
            </w:tcBorders>
            <w:shd w:val="clear" w:color="auto" w:fill="auto"/>
            <w:vAlign w:val="center"/>
          </w:tcPr>
          <w:p w14:paraId="1C491553" w14:textId="77777777" w:rsidR="00F0236A" w:rsidRPr="00073574" w:rsidDel="00773BD1" w:rsidRDefault="00F0236A" w:rsidP="00DF36E1">
            <w:pPr>
              <w:pStyle w:val="Tabletext"/>
              <w:jc w:val="center"/>
              <w:rPr>
                <w:b/>
                <w:bCs/>
                <w:sz w:val="24"/>
                <w:szCs w:val="24"/>
              </w:rPr>
            </w:pPr>
            <w:r w:rsidRPr="00073574">
              <w:rPr>
                <w:b/>
                <w:bCs/>
                <w:sz w:val="24"/>
                <w:szCs w:val="24"/>
              </w:rPr>
              <w:t>√</w:t>
            </w:r>
          </w:p>
        </w:tc>
        <w:tc>
          <w:tcPr>
            <w:tcW w:w="1182" w:type="dxa"/>
            <w:tcBorders>
              <w:top w:val="single" w:sz="12" w:space="0" w:color="auto"/>
            </w:tcBorders>
            <w:shd w:val="clear" w:color="auto" w:fill="auto"/>
            <w:vAlign w:val="center"/>
          </w:tcPr>
          <w:p w14:paraId="3AC3C18F" w14:textId="77777777" w:rsidR="00F0236A" w:rsidRPr="00073574" w:rsidRDefault="00F0236A" w:rsidP="00DF36E1">
            <w:pPr>
              <w:pStyle w:val="Tabletext"/>
              <w:jc w:val="center"/>
              <w:rPr>
                <w:b/>
                <w:bCs/>
                <w:sz w:val="24"/>
                <w:szCs w:val="24"/>
              </w:rPr>
            </w:pPr>
          </w:p>
        </w:tc>
      </w:tr>
      <w:tr w:rsidR="00F0236A" w:rsidRPr="00073574" w14:paraId="7A7EFB30" w14:textId="77777777" w:rsidTr="634A3A28">
        <w:trPr>
          <w:jc w:val="center"/>
        </w:trPr>
        <w:tc>
          <w:tcPr>
            <w:tcW w:w="911" w:type="dxa"/>
            <w:vMerge/>
          </w:tcPr>
          <w:p w14:paraId="318CD6C5" w14:textId="77777777" w:rsidR="00F0236A" w:rsidRPr="00073574" w:rsidRDefault="00F0236A" w:rsidP="00DF36E1">
            <w:pPr>
              <w:pStyle w:val="Tabletext"/>
              <w:rPr>
                <w:sz w:val="24"/>
                <w:szCs w:val="24"/>
              </w:rPr>
            </w:pPr>
          </w:p>
        </w:tc>
        <w:tc>
          <w:tcPr>
            <w:tcW w:w="8921" w:type="dxa"/>
            <w:gridSpan w:val="4"/>
            <w:tcBorders>
              <w:bottom w:val="single" w:sz="12" w:space="0" w:color="auto"/>
            </w:tcBorders>
            <w:shd w:val="clear" w:color="auto" w:fill="auto"/>
          </w:tcPr>
          <w:p w14:paraId="59A236D9" w14:textId="5FE89228" w:rsidR="005F288F" w:rsidRPr="00073574" w:rsidRDefault="005F288F" w:rsidP="00284A2E">
            <w:pPr>
              <w:spacing w:before="40"/>
              <w:rPr>
                <w:szCs w:val="22"/>
              </w:rPr>
            </w:pPr>
            <w:r w:rsidRPr="00073574">
              <w:rPr>
                <w:szCs w:val="22"/>
              </w:rPr>
              <w:t>To improve and simplify access to ITU-T resources</w:t>
            </w:r>
            <w:r w:rsidR="000B63A5" w:rsidRPr="00073574">
              <w:rPr>
                <w:szCs w:val="22"/>
              </w:rPr>
              <w:t xml:space="preserve"> and information</w:t>
            </w:r>
            <w:r w:rsidRPr="00073574">
              <w:rPr>
                <w:szCs w:val="22"/>
              </w:rPr>
              <w:t xml:space="preserve">, </w:t>
            </w:r>
            <w:r w:rsidR="00F83AC2" w:rsidRPr="00073574">
              <w:rPr>
                <w:szCs w:val="22"/>
              </w:rPr>
              <w:t xml:space="preserve">the </w:t>
            </w:r>
            <w:r w:rsidRPr="00073574">
              <w:rPr>
                <w:szCs w:val="22"/>
              </w:rPr>
              <w:t>following websites have been developed:</w:t>
            </w:r>
          </w:p>
          <w:p w14:paraId="03180270" w14:textId="38DD48EB" w:rsidR="00F0236A" w:rsidRPr="00073574" w:rsidRDefault="0053741E" w:rsidP="002E241A">
            <w:pPr>
              <w:pStyle w:val="ListParagraph"/>
              <w:numPr>
                <w:ilvl w:val="0"/>
                <w:numId w:val="56"/>
              </w:numPr>
              <w:rPr>
                <w:rStyle w:val="Hyperlink"/>
                <w:color w:val="auto"/>
                <w:u w:val="none"/>
                <w:lang w:eastAsia="zh-CN"/>
              </w:rPr>
            </w:pPr>
            <w:hyperlink r:id="rId254">
              <w:r w:rsidR="00234F29" w:rsidRPr="00073574">
                <w:rPr>
                  <w:rStyle w:val="Hyperlink"/>
                </w:rPr>
                <w:t>ITUSearch</w:t>
              </w:r>
            </w:hyperlink>
            <w:r w:rsidR="0078665C" w:rsidRPr="00073574">
              <w:t>, which</w:t>
            </w:r>
            <w:r w:rsidR="000B63A5" w:rsidRPr="00073574">
              <w:t xml:space="preserve"> allows search </w:t>
            </w:r>
            <w:r w:rsidR="005F36EB" w:rsidRPr="00073574">
              <w:t>on</w:t>
            </w:r>
            <w:r w:rsidR="005F288F" w:rsidRPr="00073574">
              <w:t xml:space="preserve"> all ITU resources, including meeting docum</w:t>
            </w:r>
            <w:r w:rsidR="000B63A5" w:rsidRPr="00073574">
              <w:t>e</w:t>
            </w:r>
            <w:r w:rsidR="005F288F" w:rsidRPr="00073574">
              <w:t>nts, publications and web pages.</w:t>
            </w:r>
          </w:p>
          <w:p w14:paraId="7A293FCE" w14:textId="72A15B55" w:rsidR="005F288F" w:rsidRPr="00073574" w:rsidRDefault="0053741E" w:rsidP="002E241A">
            <w:pPr>
              <w:pStyle w:val="ListParagraph"/>
              <w:numPr>
                <w:ilvl w:val="0"/>
                <w:numId w:val="56"/>
              </w:numPr>
              <w:rPr>
                <w:rStyle w:val="Hyperlink"/>
                <w:color w:val="auto"/>
                <w:u w:val="none"/>
                <w:lang w:eastAsia="zh-CN"/>
              </w:rPr>
            </w:pPr>
            <w:hyperlink r:id="rId255">
              <w:r w:rsidR="005F288F" w:rsidRPr="00073574">
                <w:rPr>
                  <w:rStyle w:val="Hyperlink"/>
                </w:rPr>
                <w:t>MyWorkspace</w:t>
              </w:r>
            </w:hyperlink>
            <w:r w:rsidR="005F36EB" w:rsidRPr="00073574">
              <w:t>, a personalized website for TIES users that provides easy access to the information and services most valued by ITU-T delegates</w:t>
            </w:r>
            <w:r w:rsidR="005F288F" w:rsidRPr="00073574">
              <w:rPr>
                <w:rStyle w:val="Hyperlink"/>
              </w:rPr>
              <w:t>;</w:t>
            </w:r>
          </w:p>
          <w:p w14:paraId="342AFDFE" w14:textId="49A911A1" w:rsidR="005F288F" w:rsidRPr="00073574" w:rsidRDefault="0053741E" w:rsidP="002E241A">
            <w:pPr>
              <w:pStyle w:val="ListParagraph"/>
              <w:numPr>
                <w:ilvl w:val="0"/>
                <w:numId w:val="56"/>
              </w:numPr>
              <w:rPr>
                <w:lang w:eastAsia="zh-CN"/>
              </w:rPr>
            </w:pPr>
            <w:hyperlink r:id="rId256">
              <w:r w:rsidR="00234F29" w:rsidRPr="00073574">
                <w:rPr>
                  <w:rStyle w:val="Hyperlink"/>
                  <w:lang w:eastAsia="zh-CN"/>
                </w:rPr>
                <w:t xml:space="preserve">ICT </w:t>
              </w:r>
              <w:r w:rsidR="00C35226" w:rsidRPr="00073574">
                <w:rPr>
                  <w:rStyle w:val="Hyperlink"/>
                  <w:lang w:eastAsia="zh-CN"/>
                </w:rPr>
                <w:t>S</w:t>
              </w:r>
              <w:r w:rsidR="00234F29" w:rsidRPr="00073574">
                <w:rPr>
                  <w:rStyle w:val="Hyperlink"/>
                  <w:lang w:eastAsia="zh-CN"/>
                </w:rPr>
                <w:t xml:space="preserve">tandards </w:t>
              </w:r>
              <w:r w:rsidR="00C35226" w:rsidRPr="00073574">
                <w:rPr>
                  <w:rStyle w:val="Hyperlink"/>
                  <w:lang w:eastAsia="zh-CN"/>
                </w:rPr>
                <w:t>L</w:t>
              </w:r>
              <w:r w:rsidR="00234F29" w:rsidRPr="00073574">
                <w:rPr>
                  <w:rStyle w:val="Hyperlink"/>
                  <w:lang w:eastAsia="zh-CN"/>
                </w:rPr>
                <w:t>an</w:t>
              </w:r>
              <w:r w:rsidR="00501372" w:rsidRPr="00073574">
                <w:rPr>
                  <w:rStyle w:val="Hyperlink"/>
                  <w:lang w:eastAsia="zh-CN"/>
                </w:rPr>
                <w:t>d</w:t>
              </w:r>
              <w:r w:rsidR="00234F29" w:rsidRPr="00073574">
                <w:rPr>
                  <w:rStyle w:val="Hyperlink"/>
                  <w:lang w:eastAsia="zh-CN"/>
                </w:rPr>
                <w:t>scape</w:t>
              </w:r>
            </w:hyperlink>
            <w:r w:rsidR="005F36EB" w:rsidRPr="00073574">
              <w:rPr>
                <w:lang w:eastAsia="zh-CN"/>
              </w:rPr>
              <w:t xml:space="preserve">, </w:t>
            </w:r>
            <w:r w:rsidR="00BD6AB6" w:rsidRPr="00073574">
              <w:rPr>
                <w:lang w:eastAsia="zh-CN"/>
              </w:rPr>
              <w:t>which</w:t>
            </w:r>
            <w:r w:rsidR="005F36EB" w:rsidRPr="00073574">
              <w:rPr>
                <w:lang w:eastAsia="zh-CN"/>
              </w:rPr>
              <w:t xml:space="preserve"> provides simplified lists of ICT standards developed by </w:t>
            </w:r>
            <w:r w:rsidR="000B63A5" w:rsidRPr="00073574">
              <w:rPr>
                <w:lang w:eastAsia="zh-CN"/>
              </w:rPr>
              <w:t xml:space="preserve">ITU-T and other </w:t>
            </w:r>
            <w:r w:rsidR="005F36EB" w:rsidRPr="00073574">
              <w:rPr>
                <w:lang w:eastAsia="zh-CN"/>
              </w:rPr>
              <w:t>SDOs</w:t>
            </w:r>
            <w:r w:rsidR="000B63A5" w:rsidRPr="00073574">
              <w:rPr>
                <w:lang w:eastAsia="zh-CN"/>
              </w:rPr>
              <w:t>, pertaining to the same topics;</w:t>
            </w:r>
          </w:p>
          <w:p w14:paraId="3949707C" w14:textId="4C3184B4" w:rsidR="005F288F" w:rsidRPr="00073574" w:rsidRDefault="0053741E" w:rsidP="002E241A">
            <w:pPr>
              <w:pStyle w:val="ListParagraph"/>
              <w:numPr>
                <w:ilvl w:val="0"/>
                <w:numId w:val="56"/>
              </w:numPr>
              <w:rPr>
                <w:lang w:eastAsia="zh-CN"/>
              </w:rPr>
            </w:pPr>
            <w:hyperlink r:id="rId257">
              <w:r w:rsidR="005F288F" w:rsidRPr="00073574">
                <w:rPr>
                  <w:rStyle w:val="Hyperlink"/>
                  <w:lang w:eastAsia="zh-CN"/>
                </w:rPr>
                <w:t xml:space="preserve">National Numbering </w:t>
              </w:r>
              <w:r w:rsidR="00EF36E1" w:rsidRPr="00073574">
                <w:rPr>
                  <w:rStyle w:val="Hyperlink"/>
                  <w:lang w:eastAsia="zh-CN"/>
                </w:rPr>
                <w:t>P</w:t>
              </w:r>
              <w:r w:rsidR="005F288F" w:rsidRPr="00073574">
                <w:rPr>
                  <w:rStyle w:val="Hyperlink"/>
                  <w:lang w:eastAsia="zh-CN"/>
                </w:rPr>
                <w:t>lans</w:t>
              </w:r>
            </w:hyperlink>
            <w:r w:rsidR="000B63A5" w:rsidRPr="00073574">
              <w:rPr>
                <w:lang w:eastAsia="zh-CN"/>
              </w:rPr>
              <w:t xml:space="preserve">, </w:t>
            </w:r>
            <w:r w:rsidR="006F17F3" w:rsidRPr="00073574">
              <w:rPr>
                <w:lang w:eastAsia="zh-CN"/>
              </w:rPr>
              <w:t xml:space="preserve">a </w:t>
            </w:r>
            <w:r w:rsidR="000B63A5" w:rsidRPr="00073574">
              <w:rPr>
                <w:lang w:eastAsia="zh-CN"/>
              </w:rPr>
              <w:t>prototype that has been developed to ease access to the information.</w:t>
            </w:r>
          </w:p>
          <w:p w14:paraId="4B223603" w14:textId="22BCC5BC" w:rsidR="00F0236A" w:rsidRPr="00073574" w:rsidRDefault="0047337C" w:rsidP="005F288F">
            <w:pPr>
              <w:pStyle w:val="Tabletext"/>
              <w:rPr>
                <w:szCs w:val="22"/>
              </w:rPr>
            </w:pPr>
            <w:r w:rsidRPr="00073574">
              <w:rPr>
                <w:szCs w:val="22"/>
              </w:rPr>
              <w:t xml:space="preserve">All </w:t>
            </w:r>
            <w:r w:rsidR="00F0236A" w:rsidRPr="00073574">
              <w:rPr>
                <w:szCs w:val="22"/>
              </w:rPr>
              <w:t xml:space="preserve">new (dynamic) ITU-T web pages </w:t>
            </w:r>
            <w:r w:rsidRPr="00073574">
              <w:rPr>
                <w:szCs w:val="22"/>
              </w:rPr>
              <w:t xml:space="preserve">are </w:t>
            </w:r>
            <w:r w:rsidR="00F0236A" w:rsidRPr="00073574">
              <w:rPr>
                <w:szCs w:val="22"/>
              </w:rPr>
              <w:t>mobile-friendly.</w:t>
            </w:r>
          </w:p>
        </w:tc>
      </w:tr>
      <w:tr w:rsidR="00F0236A" w:rsidRPr="00073574" w14:paraId="777245D7" w14:textId="77777777" w:rsidTr="634A3A28">
        <w:trPr>
          <w:jc w:val="center"/>
        </w:trPr>
        <w:tc>
          <w:tcPr>
            <w:tcW w:w="911" w:type="dxa"/>
            <w:vMerge w:val="restart"/>
            <w:tcBorders>
              <w:top w:val="single" w:sz="12" w:space="0" w:color="auto"/>
            </w:tcBorders>
            <w:shd w:val="clear" w:color="auto" w:fill="auto"/>
          </w:tcPr>
          <w:p w14:paraId="74775912" w14:textId="77777777" w:rsidR="00F0236A" w:rsidRPr="00073574" w:rsidRDefault="00F0236A" w:rsidP="00D30A54">
            <w:pPr>
              <w:pStyle w:val="Tabletext"/>
              <w:keepNext/>
              <w:keepLines/>
              <w:rPr>
                <w:b/>
                <w:bCs/>
                <w:sz w:val="24"/>
                <w:szCs w:val="24"/>
              </w:rPr>
            </w:pPr>
            <w:r w:rsidRPr="00073574">
              <w:rPr>
                <w:b/>
                <w:bCs/>
                <w:sz w:val="24"/>
                <w:szCs w:val="24"/>
              </w:rPr>
              <w:lastRenderedPageBreak/>
              <w:t>32-07</w:t>
            </w:r>
          </w:p>
        </w:tc>
        <w:tc>
          <w:tcPr>
            <w:tcW w:w="5494" w:type="dxa"/>
            <w:tcBorders>
              <w:top w:val="single" w:sz="12" w:space="0" w:color="auto"/>
            </w:tcBorders>
            <w:shd w:val="clear" w:color="auto" w:fill="auto"/>
          </w:tcPr>
          <w:p w14:paraId="21A0F277" w14:textId="77777777" w:rsidR="00F0236A" w:rsidRPr="00073574" w:rsidRDefault="00F0236A" w:rsidP="00DF36E1">
            <w:pPr>
              <w:pStyle w:val="Tabletext"/>
              <w:rPr>
                <w:b/>
                <w:bCs/>
                <w:sz w:val="24"/>
                <w:szCs w:val="24"/>
              </w:rPr>
            </w:pPr>
            <w:r w:rsidRPr="00073574">
              <w:rPr>
                <w:b/>
                <w:bCs/>
                <w:sz w:val="24"/>
                <w:szCs w:val="24"/>
              </w:rPr>
              <w:t>TSB, in close collaboration with the ITU Telecommunication Development Bureau (BDT), should provide facilities and capabilities for EWM at ITU-T meetings, workshops and training courses, particularly to assist developing countries that have bandwidth limitations and other constraints, including remote participation and electronic access, such as via LINUX-based platforms;</w:t>
            </w:r>
          </w:p>
          <w:p w14:paraId="36827A80" w14:textId="77777777" w:rsidR="00F0236A" w:rsidRPr="00073574" w:rsidRDefault="00F0236A" w:rsidP="00DF36E1">
            <w:pPr>
              <w:pStyle w:val="Tabletext"/>
              <w:rPr>
                <w:b/>
                <w:bCs/>
                <w:sz w:val="24"/>
                <w:szCs w:val="24"/>
              </w:rPr>
            </w:pPr>
            <w:r w:rsidRPr="00073574">
              <w:rPr>
                <w:b/>
                <w:bCs/>
                <w:sz w:val="24"/>
                <w:szCs w:val="24"/>
              </w:rPr>
              <w:t>and encourage participation of developing countries, by waiving, within the credits that the Council is empowered to authorize, any expenses for those participants, other than the local call or Internet connectivity charges (resolves 1)</w:t>
            </w:r>
          </w:p>
        </w:tc>
        <w:tc>
          <w:tcPr>
            <w:tcW w:w="1096" w:type="dxa"/>
            <w:tcBorders>
              <w:top w:val="single" w:sz="12" w:space="0" w:color="auto"/>
            </w:tcBorders>
            <w:shd w:val="clear" w:color="auto" w:fill="auto"/>
            <w:vAlign w:val="center"/>
          </w:tcPr>
          <w:p w14:paraId="46A24DFA"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49" w:type="dxa"/>
            <w:tcBorders>
              <w:top w:val="single" w:sz="12" w:space="0" w:color="auto"/>
            </w:tcBorders>
            <w:shd w:val="clear" w:color="auto" w:fill="auto"/>
            <w:vAlign w:val="center"/>
          </w:tcPr>
          <w:p w14:paraId="5B96429D" w14:textId="72DD3B9B" w:rsidR="00F0236A" w:rsidRPr="00073574" w:rsidDel="00773BD1" w:rsidRDefault="00EA3F75" w:rsidP="00DF36E1">
            <w:pPr>
              <w:pStyle w:val="Tabletext"/>
              <w:jc w:val="center"/>
              <w:rPr>
                <w:b/>
                <w:bCs/>
                <w:sz w:val="24"/>
                <w:szCs w:val="24"/>
              </w:rPr>
            </w:pPr>
            <w:r w:rsidRPr="00073574">
              <w:rPr>
                <w:b/>
                <w:bCs/>
                <w:sz w:val="24"/>
                <w:szCs w:val="24"/>
              </w:rPr>
              <w:t>√</w:t>
            </w:r>
          </w:p>
        </w:tc>
        <w:tc>
          <w:tcPr>
            <w:tcW w:w="1182" w:type="dxa"/>
            <w:tcBorders>
              <w:top w:val="single" w:sz="12" w:space="0" w:color="auto"/>
            </w:tcBorders>
            <w:shd w:val="clear" w:color="auto" w:fill="auto"/>
            <w:vAlign w:val="center"/>
          </w:tcPr>
          <w:p w14:paraId="2E867639" w14:textId="77777777" w:rsidR="00F0236A" w:rsidRPr="00073574" w:rsidRDefault="00F0236A" w:rsidP="00DF36E1">
            <w:pPr>
              <w:pStyle w:val="Tabletext"/>
              <w:jc w:val="center"/>
              <w:rPr>
                <w:b/>
                <w:bCs/>
                <w:sz w:val="24"/>
                <w:szCs w:val="24"/>
              </w:rPr>
            </w:pPr>
          </w:p>
        </w:tc>
      </w:tr>
      <w:tr w:rsidR="00F0236A" w:rsidRPr="00073574" w14:paraId="69ED7112" w14:textId="77777777" w:rsidTr="634A3A28">
        <w:trPr>
          <w:jc w:val="center"/>
        </w:trPr>
        <w:tc>
          <w:tcPr>
            <w:tcW w:w="911" w:type="dxa"/>
            <w:vMerge/>
          </w:tcPr>
          <w:p w14:paraId="75EE40D7" w14:textId="77777777" w:rsidR="00F0236A" w:rsidRPr="00073574" w:rsidRDefault="00F0236A" w:rsidP="00DF36E1">
            <w:pPr>
              <w:pStyle w:val="Tabletext"/>
              <w:rPr>
                <w:sz w:val="24"/>
                <w:szCs w:val="24"/>
              </w:rPr>
            </w:pPr>
          </w:p>
        </w:tc>
        <w:tc>
          <w:tcPr>
            <w:tcW w:w="8921" w:type="dxa"/>
            <w:gridSpan w:val="4"/>
            <w:tcBorders>
              <w:bottom w:val="single" w:sz="12" w:space="0" w:color="auto"/>
            </w:tcBorders>
            <w:shd w:val="clear" w:color="auto" w:fill="auto"/>
          </w:tcPr>
          <w:p w14:paraId="7CDAC36A" w14:textId="7A6EF7E9" w:rsidR="00EA3F75" w:rsidRPr="00073574" w:rsidRDefault="00EA3F75" w:rsidP="00284A2E">
            <w:pPr>
              <w:spacing w:before="40"/>
            </w:pPr>
            <w:r w:rsidRPr="00073574">
              <w:t xml:space="preserve">TSB deployed a Web conferencing </w:t>
            </w:r>
            <w:r w:rsidR="3262D7D5" w:rsidRPr="00073574">
              <w:t xml:space="preserve">tool called MyMeetings, based on </w:t>
            </w:r>
            <w:r w:rsidRPr="00073574">
              <w:t>open source solution (</w:t>
            </w:r>
            <w:hyperlink r:id="rId258" w:history="1">
              <w:r w:rsidRPr="00073574">
                <w:rPr>
                  <w:rStyle w:val="Hyperlink"/>
                  <w:color w:val="044A91"/>
                </w:rPr>
                <w:t>BigBlueButton</w:t>
              </w:r>
            </w:hyperlink>
            <w:r w:rsidRPr="00073574">
              <w:t>) to provide a high-quality online meeting experience, with real-time sharing of</w:t>
            </w:r>
          </w:p>
          <w:p w14:paraId="6F87A7CD" w14:textId="77777777" w:rsidR="00EA3F75" w:rsidRPr="00073574" w:rsidRDefault="00EA3F75" w:rsidP="002E241A">
            <w:pPr>
              <w:pStyle w:val="ListParagraph"/>
              <w:numPr>
                <w:ilvl w:val="0"/>
                <w:numId w:val="67"/>
              </w:numPr>
              <w:spacing w:before="0" w:after="120"/>
            </w:pPr>
            <w:r w:rsidRPr="00073574">
              <w:t>sound,</w:t>
            </w:r>
          </w:p>
          <w:p w14:paraId="423D4BB3" w14:textId="77777777" w:rsidR="00EA3F75" w:rsidRPr="00073574" w:rsidRDefault="00EA3F75" w:rsidP="002E241A">
            <w:pPr>
              <w:pStyle w:val="ListParagraph"/>
              <w:numPr>
                <w:ilvl w:val="0"/>
                <w:numId w:val="67"/>
              </w:numPr>
              <w:spacing w:before="0" w:after="120"/>
            </w:pPr>
            <w:r w:rsidRPr="00073574">
              <w:t>video (according to ITU-T H.264 standard),</w:t>
            </w:r>
          </w:p>
          <w:p w14:paraId="448DDEFB" w14:textId="77777777" w:rsidR="00EA3F75" w:rsidRPr="00073574" w:rsidRDefault="00EA3F75" w:rsidP="002E241A">
            <w:pPr>
              <w:pStyle w:val="ListParagraph"/>
              <w:numPr>
                <w:ilvl w:val="0"/>
                <w:numId w:val="67"/>
              </w:numPr>
              <w:spacing w:before="0" w:after="120"/>
            </w:pPr>
            <w:r w:rsidRPr="00073574">
              <w:t>presentations,</w:t>
            </w:r>
          </w:p>
          <w:p w14:paraId="11B00B91" w14:textId="77777777" w:rsidR="00EA3F75" w:rsidRPr="00073574" w:rsidRDefault="00EA3F75" w:rsidP="002E241A">
            <w:pPr>
              <w:pStyle w:val="ListParagraph"/>
              <w:numPr>
                <w:ilvl w:val="0"/>
                <w:numId w:val="67"/>
              </w:numPr>
              <w:spacing w:before="0" w:after="120"/>
            </w:pPr>
            <w:r w:rsidRPr="00073574">
              <w:t>instant messaging (chat),</w:t>
            </w:r>
          </w:p>
          <w:p w14:paraId="29B87EFC" w14:textId="3B24B450" w:rsidR="00EA3F75" w:rsidRPr="00073574" w:rsidRDefault="00EA3F75" w:rsidP="002E241A">
            <w:pPr>
              <w:pStyle w:val="ListParagraph"/>
              <w:numPr>
                <w:ilvl w:val="0"/>
                <w:numId w:val="67"/>
              </w:numPr>
              <w:spacing w:before="0" w:after="120"/>
            </w:pPr>
            <w:r w:rsidRPr="00073574">
              <w:t>screen</w:t>
            </w:r>
            <w:r w:rsidR="00141140" w:rsidRPr="00073574">
              <w:t xml:space="preserve"> share</w:t>
            </w:r>
            <w:r w:rsidR="00B825AC" w:rsidRPr="00073574">
              <w:t>,</w:t>
            </w:r>
          </w:p>
          <w:p w14:paraId="256F4C4B" w14:textId="564546BC" w:rsidR="00141140" w:rsidRPr="00073574" w:rsidRDefault="00B825AC" w:rsidP="002E241A">
            <w:pPr>
              <w:pStyle w:val="ListParagraph"/>
              <w:numPr>
                <w:ilvl w:val="0"/>
                <w:numId w:val="67"/>
              </w:numPr>
              <w:spacing w:before="0" w:after="120"/>
            </w:pPr>
            <w:r w:rsidRPr="00073574">
              <w:t>raise hand,</w:t>
            </w:r>
          </w:p>
          <w:p w14:paraId="6E511106" w14:textId="11FF824E" w:rsidR="00B825AC" w:rsidRPr="00073574" w:rsidRDefault="00B825AC" w:rsidP="002E241A">
            <w:pPr>
              <w:pStyle w:val="ListParagraph"/>
              <w:numPr>
                <w:ilvl w:val="0"/>
                <w:numId w:val="67"/>
              </w:numPr>
              <w:spacing w:before="0" w:after="120"/>
            </w:pPr>
            <w:r w:rsidRPr="00073574">
              <w:t>captioning,</w:t>
            </w:r>
          </w:p>
          <w:p w14:paraId="5437CB28" w14:textId="0A914979" w:rsidR="00B825AC" w:rsidRPr="00073574" w:rsidRDefault="00B825AC" w:rsidP="002E241A">
            <w:pPr>
              <w:pStyle w:val="ListParagraph"/>
              <w:numPr>
                <w:ilvl w:val="0"/>
                <w:numId w:val="67"/>
              </w:numPr>
              <w:spacing w:before="0" w:after="120"/>
            </w:pPr>
            <w:r w:rsidRPr="00073574">
              <w:t>interpretation;</w:t>
            </w:r>
          </w:p>
          <w:p w14:paraId="25EC6410" w14:textId="77777777" w:rsidR="00EA3F75" w:rsidRPr="00073574" w:rsidRDefault="00EA3F75" w:rsidP="00EA3F75">
            <w:r w:rsidRPr="00073574">
              <w:t>This solution was chosen for its flexibility, ease of use and customization.</w:t>
            </w:r>
          </w:p>
          <w:p w14:paraId="78C77D78" w14:textId="77777777" w:rsidR="00EA3F75" w:rsidRPr="00073574" w:rsidRDefault="00EA3F75" w:rsidP="00EA3F75">
            <w:pPr>
              <w:spacing w:after="120"/>
            </w:pPr>
            <w:r w:rsidRPr="00073574">
              <w:t>This web-based solution:</w:t>
            </w:r>
          </w:p>
          <w:p w14:paraId="1825659F" w14:textId="658C807F" w:rsidR="00EA3F75" w:rsidRPr="00073574" w:rsidRDefault="008B0C00" w:rsidP="002E241A">
            <w:pPr>
              <w:pStyle w:val="ListParagraph"/>
              <w:numPr>
                <w:ilvl w:val="0"/>
                <w:numId w:val="68"/>
              </w:numPr>
              <w:spacing w:before="0" w:after="120"/>
            </w:pPr>
            <w:r w:rsidRPr="00073574">
              <w:t xml:space="preserve">spares </w:t>
            </w:r>
            <w:r w:rsidR="00EA3176" w:rsidRPr="00073574">
              <w:t xml:space="preserve">the user </w:t>
            </w:r>
            <w:r w:rsidR="00A255D7" w:rsidRPr="00073574">
              <w:t>having</w:t>
            </w:r>
            <w:r w:rsidR="000A0465" w:rsidRPr="00073574">
              <w:t xml:space="preserve"> </w:t>
            </w:r>
            <w:r w:rsidR="00DD2B47" w:rsidRPr="00073574">
              <w:t>to</w:t>
            </w:r>
            <w:r w:rsidR="000A0465" w:rsidRPr="00073574">
              <w:t xml:space="preserve"> </w:t>
            </w:r>
            <w:r w:rsidR="00EA3F75" w:rsidRPr="00073574">
              <w:t>install a third-party application;</w:t>
            </w:r>
          </w:p>
          <w:p w14:paraId="6DB85682" w14:textId="4CA54CEB" w:rsidR="00EA3F75" w:rsidRPr="00073574" w:rsidRDefault="00EA3F75" w:rsidP="002E241A">
            <w:pPr>
              <w:pStyle w:val="ListParagraph"/>
              <w:numPr>
                <w:ilvl w:val="0"/>
                <w:numId w:val="68"/>
              </w:numPr>
              <w:spacing w:before="0" w:after="120"/>
            </w:pPr>
            <w:r w:rsidRPr="00073574">
              <w:t>works on fix</w:t>
            </w:r>
            <w:r w:rsidR="00E227E4" w:rsidRPr="00073574">
              <w:t>ed</w:t>
            </w:r>
            <w:r w:rsidRPr="00073574">
              <w:t xml:space="preserve"> and mobile devices thanks to its responsive design;</w:t>
            </w:r>
          </w:p>
          <w:p w14:paraId="53DB9995" w14:textId="77777777" w:rsidR="00EA3F75" w:rsidRPr="00073574" w:rsidRDefault="00EA3F75" w:rsidP="002E241A">
            <w:pPr>
              <w:pStyle w:val="ListParagraph"/>
              <w:numPr>
                <w:ilvl w:val="0"/>
                <w:numId w:val="68"/>
              </w:numPr>
              <w:spacing w:before="0" w:after="120"/>
            </w:pPr>
            <w:r w:rsidRPr="00073574">
              <w:t>supports low bandwidth communications and VoIP;</w:t>
            </w:r>
          </w:p>
          <w:p w14:paraId="2A9FD9BF" w14:textId="77777777" w:rsidR="00EA3F75" w:rsidRPr="00073574" w:rsidRDefault="00EA3F75" w:rsidP="002E241A">
            <w:pPr>
              <w:pStyle w:val="ListParagraph"/>
              <w:numPr>
                <w:ilvl w:val="0"/>
                <w:numId w:val="68"/>
              </w:numPr>
              <w:spacing w:before="0" w:after="120"/>
            </w:pPr>
            <w:r w:rsidRPr="00073574">
              <w:t>uses ITU authentication mechanism;</w:t>
            </w:r>
          </w:p>
          <w:p w14:paraId="51714E73" w14:textId="77777777" w:rsidR="00EA3F75" w:rsidRPr="00073574" w:rsidRDefault="00EA3F75" w:rsidP="002E241A">
            <w:pPr>
              <w:pStyle w:val="ListParagraph"/>
              <w:numPr>
                <w:ilvl w:val="0"/>
                <w:numId w:val="68"/>
              </w:numPr>
              <w:spacing w:before="0" w:after="120"/>
            </w:pPr>
            <w:r w:rsidRPr="00073574">
              <w:t>is fully hosted on ITU premises;</w:t>
            </w:r>
          </w:p>
          <w:p w14:paraId="02DB785C" w14:textId="2D682C05" w:rsidR="00EA3F75" w:rsidRPr="00073574" w:rsidRDefault="00EA3F75" w:rsidP="00EA3F75">
            <w:r w:rsidRPr="00073574">
              <w:t>It covers</w:t>
            </w:r>
            <w:r w:rsidR="00E9346E" w:rsidRPr="00073574">
              <w:t xml:space="preserve"> the</w:t>
            </w:r>
            <w:r w:rsidRPr="00073574">
              <w:t xml:space="preserve"> following types of meetings:</w:t>
            </w:r>
          </w:p>
          <w:p w14:paraId="38A50816" w14:textId="77777777" w:rsidR="00EA3F75" w:rsidRPr="00073574" w:rsidRDefault="00EA3F75" w:rsidP="002E241A">
            <w:pPr>
              <w:pStyle w:val="ListParagraph"/>
              <w:numPr>
                <w:ilvl w:val="0"/>
                <w:numId w:val="69"/>
              </w:numPr>
              <w:spacing w:before="0" w:after="120"/>
            </w:pPr>
            <w:r w:rsidRPr="00073574">
              <w:t>Open E-Meetings (accessible to all users);</w:t>
            </w:r>
          </w:p>
          <w:p w14:paraId="05C30D23" w14:textId="3017FF06" w:rsidR="00047156" w:rsidRPr="00073574" w:rsidRDefault="00047156" w:rsidP="002E241A">
            <w:pPr>
              <w:pStyle w:val="ListParagraph"/>
              <w:numPr>
                <w:ilvl w:val="0"/>
                <w:numId w:val="69"/>
              </w:numPr>
              <w:spacing w:before="0" w:after="120"/>
            </w:pPr>
            <w:r w:rsidRPr="00073574">
              <w:t>Private E-Meetings (accessible to</w:t>
            </w:r>
            <w:r w:rsidR="00E07BF5" w:rsidRPr="00073574">
              <w:t xml:space="preserve"> a</w:t>
            </w:r>
            <w:r w:rsidRPr="00073574">
              <w:t xml:space="preserve"> selected number</w:t>
            </w:r>
            <w:r w:rsidR="003163C5" w:rsidRPr="00073574">
              <w:t xml:space="preserve"> of users</w:t>
            </w:r>
            <w:r w:rsidRPr="00073574">
              <w:t>)</w:t>
            </w:r>
            <w:r w:rsidR="003163C5" w:rsidRPr="00073574">
              <w:t>;</w:t>
            </w:r>
          </w:p>
          <w:p w14:paraId="125A6BA3" w14:textId="2A12239E" w:rsidR="00EA3F75" w:rsidRPr="00073574" w:rsidRDefault="00EA3F75" w:rsidP="002E241A">
            <w:pPr>
              <w:pStyle w:val="ListParagraph"/>
              <w:numPr>
                <w:ilvl w:val="0"/>
                <w:numId w:val="69"/>
              </w:numPr>
              <w:spacing w:before="0" w:after="120"/>
            </w:pPr>
            <w:r w:rsidRPr="00073574">
              <w:t>Restricted E-Meetings (restricted to registered users);</w:t>
            </w:r>
          </w:p>
          <w:p w14:paraId="724D6503" w14:textId="65F5AEAC" w:rsidR="77BBB5EB" w:rsidRPr="00073574" w:rsidRDefault="4CCB8299" w:rsidP="003766B9">
            <w:pPr>
              <w:spacing w:before="0" w:after="120"/>
            </w:pPr>
            <w:r w:rsidRPr="00073574">
              <w:t>MyMeeting</w:t>
            </w:r>
            <w:r w:rsidR="00A325B9" w:rsidRPr="00073574">
              <w:t>s</w:t>
            </w:r>
            <w:r w:rsidRPr="00073574">
              <w:t xml:space="preserve"> was sucessfully used </w:t>
            </w:r>
            <w:r w:rsidR="3CD9B5FB" w:rsidRPr="00073574">
              <w:t xml:space="preserve">since March 2020 as </w:t>
            </w:r>
            <w:r w:rsidR="0FBB4B1F" w:rsidRPr="00073574">
              <w:t xml:space="preserve">the </w:t>
            </w:r>
            <w:r w:rsidR="11EE982D" w:rsidRPr="00073574">
              <w:t xml:space="preserve">main </w:t>
            </w:r>
            <w:r w:rsidR="0FBB4B1F" w:rsidRPr="00073574">
              <w:t xml:space="preserve">tool for </w:t>
            </w:r>
            <w:r w:rsidR="19CD5FC6" w:rsidRPr="00073574">
              <w:t xml:space="preserve">all ITU-T </w:t>
            </w:r>
            <w:r w:rsidR="0DA72866" w:rsidRPr="00073574">
              <w:t xml:space="preserve">Statutory </w:t>
            </w:r>
            <w:r w:rsidR="0FBB4B1F" w:rsidRPr="00073574">
              <w:t>meetings</w:t>
            </w:r>
            <w:r w:rsidR="19CD5FC6" w:rsidRPr="00073574">
              <w:t xml:space="preserve"> running in fully virtual mode</w:t>
            </w:r>
            <w:r w:rsidR="7855982D" w:rsidRPr="00073574">
              <w:t xml:space="preserve"> due to the COVID-19 global pandemic.</w:t>
            </w:r>
          </w:p>
          <w:p w14:paraId="1C711F29" w14:textId="0A262759" w:rsidR="00EA3F75" w:rsidRPr="00073574" w:rsidRDefault="00EA3F75" w:rsidP="00EA3F75">
            <w:r w:rsidRPr="00073574">
              <w:t xml:space="preserve">It is available on the </w:t>
            </w:r>
            <w:hyperlink r:id="rId259">
              <w:r w:rsidRPr="00073574">
                <w:rPr>
                  <w:rStyle w:val="Hyperlink"/>
                  <w:color w:val="044A91"/>
                </w:rPr>
                <w:t>MyWorkspace</w:t>
              </w:r>
            </w:hyperlink>
            <w:r w:rsidRPr="00073574">
              <w:rPr>
                <w:color w:val="2E75B6"/>
              </w:rPr>
              <w:t xml:space="preserve"> </w:t>
            </w:r>
            <w:r w:rsidRPr="00073574">
              <w:t>platform (restricted to users with an ITU account) as an application called “</w:t>
            </w:r>
            <w:r w:rsidR="1D90E097" w:rsidRPr="00073574">
              <w:t>MyMeeting</w:t>
            </w:r>
            <w:r w:rsidR="00556CB6" w:rsidRPr="00073574">
              <w:t>s</w:t>
            </w:r>
            <w:r w:rsidRPr="00073574">
              <w:t>”.</w:t>
            </w:r>
          </w:p>
          <w:p w14:paraId="3AC539B8" w14:textId="5AF4DF17" w:rsidR="00EA3F75" w:rsidRPr="00073574" w:rsidRDefault="27078D80" w:rsidP="00EA3F75">
            <w:pPr>
              <w:spacing w:after="40"/>
            </w:pPr>
            <w:r w:rsidRPr="00073574">
              <w:lastRenderedPageBreak/>
              <w:t xml:space="preserve">As of </w:t>
            </w:r>
            <w:r w:rsidR="001625CE" w:rsidRPr="00073574">
              <w:t xml:space="preserve">December </w:t>
            </w:r>
            <w:r w:rsidRPr="00073574">
              <w:t>20</w:t>
            </w:r>
            <w:r w:rsidR="64F41926" w:rsidRPr="00073574">
              <w:t>2</w:t>
            </w:r>
            <w:r w:rsidR="00290EA4" w:rsidRPr="00073574">
              <w:t>1</w:t>
            </w:r>
            <w:r w:rsidRPr="00073574">
              <w:t>, since its implementation in January 2019,</w:t>
            </w:r>
            <w:r w:rsidR="008A203C" w:rsidRPr="00073574">
              <w:t xml:space="preserve"> </w:t>
            </w:r>
            <w:r w:rsidR="001625CE" w:rsidRPr="00073574">
              <w:t xml:space="preserve">4458 </w:t>
            </w:r>
            <w:r w:rsidRPr="00073574">
              <w:t xml:space="preserve">sessions with a total of </w:t>
            </w:r>
            <w:r w:rsidR="00456AC7" w:rsidRPr="00073574">
              <w:t>91</w:t>
            </w:r>
            <w:r w:rsidR="00E5669C" w:rsidRPr="00073574">
              <w:t>330</w:t>
            </w:r>
            <w:r w:rsidR="00456AC7" w:rsidRPr="00073574">
              <w:t xml:space="preserve"> </w:t>
            </w:r>
            <w:r w:rsidR="00601125" w:rsidRPr="00073574">
              <w:t>connections</w:t>
            </w:r>
            <w:r w:rsidRPr="00073574">
              <w:t xml:space="preserve"> </w:t>
            </w:r>
            <w:r w:rsidR="2F7A1CB1" w:rsidRPr="00073574">
              <w:t xml:space="preserve">from </w:t>
            </w:r>
            <w:r w:rsidR="00C358D5" w:rsidRPr="00073574">
              <w:t>156</w:t>
            </w:r>
            <w:r w:rsidR="00C358D5" w:rsidRPr="00073574">
              <w:rPr>
                <w:color w:val="FF0000"/>
              </w:rPr>
              <w:t xml:space="preserve"> </w:t>
            </w:r>
            <w:r w:rsidR="2F7A1CB1" w:rsidRPr="00073574">
              <w:t xml:space="preserve">different countries </w:t>
            </w:r>
            <w:r w:rsidRPr="00073574">
              <w:t>have been supported with this solution.</w:t>
            </w:r>
          </w:p>
          <w:p w14:paraId="503A5C22" w14:textId="701660F9" w:rsidR="00F0236A" w:rsidRPr="00073574" w:rsidRDefault="00EA3F75" w:rsidP="008628E9">
            <w:pPr>
              <w:pStyle w:val="Tabletext"/>
            </w:pPr>
            <w:r w:rsidRPr="00073574">
              <w:t xml:space="preserve">Additionally, in a continuous effort to improve working methods for our delegates, TSB </w:t>
            </w:r>
            <w:r w:rsidR="002B5018" w:rsidRPr="00073574">
              <w:t>also offers</w:t>
            </w:r>
            <w:r w:rsidRPr="00073574">
              <w:t xml:space="preserve"> the Zoom conferencing tool mainly for non-formal/ad-hoc meetings.</w:t>
            </w:r>
          </w:p>
        </w:tc>
      </w:tr>
      <w:tr w:rsidR="00F0236A" w:rsidRPr="00073574" w14:paraId="046B31F5" w14:textId="77777777" w:rsidTr="634A3A28">
        <w:trPr>
          <w:jc w:val="center"/>
        </w:trPr>
        <w:tc>
          <w:tcPr>
            <w:tcW w:w="911" w:type="dxa"/>
            <w:vMerge w:val="restart"/>
            <w:tcBorders>
              <w:top w:val="single" w:sz="12" w:space="0" w:color="auto"/>
            </w:tcBorders>
            <w:shd w:val="clear" w:color="auto" w:fill="auto"/>
          </w:tcPr>
          <w:p w14:paraId="5517AEE2" w14:textId="77777777" w:rsidR="00F0236A" w:rsidRPr="00073574" w:rsidRDefault="00F0236A" w:rsidP="00601595">
            <w:pPr>
              <w:pStyle w:val="Tabletext"/>
              <w:keepNext/>
              <w:keepLines/>
              <w:rPr>
                <w:b/>
                <w:bCs/>
                <w:sz w:val="24"/>
                <w:szCs w:val="24"/>
              </w:rPr>
            </w:pPr>
            <w:r w:rsidRPr="00073574">
              <w:rPr>
                <w:b/>
                <w:bCs/>
                <w:sz w:val="24"/>
                <w:szCs w:val="24"/>
              </w:rPr>
              <w:lastRenderedPageBreak/>
              <w:t>32-08</w:t>
            </w:r>
          </w:p>
        </w:tc>
        <w:tc>
          <w:tcPr>
            <w:tcW w:w="5494" w:type="dxa"/>
            <w:tcBorders>
              <w:top w:val="single" w:sz="12" w:space="0" w:color="auto"/>
            </w:tcBorders>
            <w:shd w:val="clear" w:color="auto" w:fill="auto"/>
          </w:tcPr>
          <w:p w14:paraId="089CEACC" w14:textId="77777777" w:rsidR="00F0236A" w:rsidRPr="00073574" w:rsidRDefault="00F0236A" w:rsidP="00DF36E1">
            <w:pPr>
              <w:pStyle w:val="Tabletext"/>
              <w:rPr>
                <w:b/>
                <w:bCs/>
                <w:sz w:val="24"/>
                <w:szCs w:val="24"/>
              </w:rPr>
            </w:pPr>
            <w:r w:rsidRPr="00073574">
              <w:rPr>
                <w:b/>
                <w:bCs/>
                <w:sz w:val="24"/>
                <w:szCs w:val="24"/>
              </w:rPr>
              <w:t>ITU-T study groups to post all activities, procedures, studies and ITU-T SG reports on the ITU-T website so as to facilitate navigation to find all relevant information (resolves 1)</w:t>
            </w:r>
          </w:p>
        </w:tc>
        <w:tc>
          <w:tcPr>
            <w:tcW w:w="1096" w:type="dxa"/>
            <w:tcBorders>
              <w:top w:val="single" w:sz="12" w:space="0" w:color="auto"/>
            </w:tcBorders>
            <w:shd w:val="clear" w:color="auto" w:fill="auto"/>
            <w:vAlign w:val="center"/>
          </w:tcPr>
          <w:p w14:paraId="06E84DA8"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49" w:type="dxa"/>
            <w:tcBorders>
              <w:top w:val="single" w:sz="12" w:space="0" w:color="auto"/>
            </w:tcBorders>
            <w:shd w:val="clear" w:color="auto" w:fill="auto"/>
            <w:vAlign w:val="center"/>
          </w:tcPr>
          <w:p w14:paraId="18F7ECB1" w14:textId="77777777" w:rsidR="00F0236A" w:rsidRPr="00073574" w:rsidDel="00773BD1" w:rsidRDefault="00F0236A" w:rsidP="00DF36E1">
            <w:pPr>
              <w:pStyle w:val="Tabletext"/>
              <w:jc w:val="center"/>
              <w:rPr>
                <w:b/>
                <w:bCs/>
                <w:sz w:val="24"/>
                <w:szCs w:val="24"/>
              </w:rPr>
            </w:pPr>
            <w:r w:rsidRPr="00073574">
              <w:rPr>
                <w:b/>
                <w:bCs/>
                <w:sz w:val="24"/>
                <w:szCs w:val="24"/>
              </w:rPr>
              <w:t>√</w:t>
            </w:r>
          </w:p>
        </w:tc>
        <w:tc>
          <w:tcPr>
            <w:tcW w:w="1182" w:type="dxa"/>
            <w:tcBorders>
              <w:top w:val="single" w:sz="12" w:space="0" w:color="auto"/>
            </w:tcBorders>
            <w:shd w:val="clear" w:color="auto" w:fill="auto"/>
            <w:vAlign w:val="center"/>
          </w:tcPr>
          <w:p w14:paraId="7A4000CA" w14:textId="77777777" w:rsidR="00F0236A" w:rsidRPr="00073574" w:rsidRDefault="00F0236A" w:rsidP="00DF36E1">
            <w:pPr>
              <w:pStyle w:val="Tabletext"/>
              <w:jc w:val="center"/>
              <w:rPr>
                <w:b/>
                <w:bCs/>
                <w:sz w:val="24"/>
                <w:szCs w:val="24"/>
              </w:rPr>
            </w:pPr>
          </w:p>
        </w:tc>
      </w:tr>
      <w:tr w:rsidR="00F0236A" w:rsidRPr="00073574" w14:paraId="0BB4C6A1" w14:textId="77777777" w:rsidTr="634A3A28">
        <w:trPr>
          <w:jc w:val="center"/>
        </w:trPr>
        <w:tc>
          <w:tcPr>
            <w:tcW w:w="911" w:type="dxa"/>
            <w:vMerge/>
          </w:tcPr>
          <w:p w14:paraId="1F683F20" w14:textId="77777777" w:rsidR="00F0236A" w:rsidRPr="00073574" w:rsidRDefault="00F0236A" w:rsidP="00DF36E1">
            <w:pPr>
              <w:pStyle w:val="Tabletext"/>
              <w:rPr>
                <w:sz w:val="24"/>
                <w:szCs w:val="24"/>
              </w:rPr>
            </w:pPr>
          </w:p>
        </w:tc>
        <w:tc>
          <w:tcPr>
            <w:tcW w:w="8921" w:type="dxa"/>
            <w:gridSpan w:val="4"/>
            <w:tcBorders>
              <w:bottom w:val="single" w:sz="12" w:space="0" w:color="auto"/>
            </w:tcBorders>
            <w:shd w:val="clear" w:color="auto" w:fill="auto"/>
          </w:tcPr>
          <w:p w14:paraId="7D4A6E29" w14:textId="77777777" w:rsidR="00F0236A" w:rsidRPr="00073574" w:rsidRDefault="00F0236A" w:rsidP="00DF36E1">
            <w:pPr>
              <w:pStyle w:val="Tabletext"/>
              <w:rPr>
                <w:szCs w:val="22"/>
              </w:rPr>
            </w:pPr>
            <w:r w:rsidRPr="00073574">
              <w:rPr>
                <w:szCs w:val="22"/>
              </w:rPr>
              <w:t>All ITU-T study groups regularly post their activities, reports on their respective websites.</w:t>
            </w:r>
          </w:p>
          <w:p w14:paraId="2B711C4C" w14:textId="0FEC95BF" w:rsidR="00F0236A" w:rsidRPr="00073574" w:rsidRDefault="00F0236A" w:rsidP="00DF36E1">
            <w:pPr>
              <w:pStyle w:val="Tabletext"/>
              <w:rPr>
                <w:szCs w:val="22"/>
              </w:rPr>
            </w:pPr>
            <w:r w:rsidRPr="00073574">
              <w:t xml:space="preserve">A website dedicated to ITU-T, Smart Sustainable Cities is available at: </w:t>
            </w:r>
            <w:hyperlink r:id="rId260">
              <w:r w:rsidR="366EFFBF" w:rsidRPr="00073574">
                <w:rPr>
                  <w:rStyle w:val="Hyperlink"/>
                </w:rPr>
                <w:t>https://www.itu.int/en/ITU-T/ssc</w:t>
              </w:r>
            </w:hyperlink>
            <w:r w:rsidRPr="00073574">
              <w:t>.</w:t>
            </w:r>
          </w:p>
          <w:p w14:paraId="30A02099" w14:textId="3957E7A2" w:rsidR="17104E4A" w:rsidRPr="00073574" w:rsidRDefault="17104E4A" w:rsidP="00203079">
            <w:pPr>
              <w:pStyle w:val="Tabletext"/>
              <w:rPr>
                <w:rStyle w:val="Hyperlink"/>
                <w:szCs w:val="22"/>
              </w:rPr>
            </w:pPr>
            <w:r w:rsidRPr="00073574">
              <w:t>Reports on smart sustainable cities are available at:</w:t>
            </w:r>
            <w:r w:rsidRPr="00073574">
              <w:rPr>
                <w:u w:val="single"/>
              </w:rPr>
              <w:t xml:space="preserve"> </w:t>
            </w:r>
            <w:hyperlink r:id="rId261" w:history="1">
              <w:r w:rsidR="004B68FC" w:rsidRPr="00073574">
                <w:rPr>
                  <w:rStyle w:val="Hyperlink"/>
                </w:rPr>
                <w:t>https://www.itu.int/en/ITU-T/ssc/united/Pages/reports-SSC.aspx</w:t>
              </w:r>
            </w:hyperlink>
          </w:p>
          <w:p w14:paraId="07EF23A0" w14:textId="501D6E0F" w:rsidR="00F0236A" w:rsidRPr="00073574" w:rsidRDefault="00F0236A">
            <w:pPr>
              <w:pStyle w:val="Tabletext"/>
              <w:rPr>
                <w:rStyle w:val="Hyperlink"/>
                <w:szCs w:val="22"/>
              </w:rPr>
            </w:pPr>
            <w:r w:rsidRPr="00073574">
              <w:rPr>
                <w:szCs w:val="22"/>
              </w:rPr>
              <w:t xml:space="preserve">A website dedicated to ITU-T, Environment, Climate Change and Circular Economy is available at: </w:t>
            </w:r>
            <w:hyperlink r:id="rId262" w:history="1">
              <w:r w:rsidR="008160DB" w:rsidRPr="00073574">
                <w:rPr>
                  <w:rStyle w:val="Hyperlink"/>
                  <w:szCs w:val="22"/>
                </w:rPr>
                <w:t>https://www.itu.int/en/ITU-T/climatechange</w:t>
              </w:r>
            </w:hyperlink>
          </w:p>
          <w:p w14:paraId="770E9E2A" w14:textId="2DEFA598" w:rsidR="00E344CE" w:rsidRPr="00073574" w:rsidRDefault="00AD491F">
            <w:pPr>
              <w:pStyle w:val="Tabletext"/>
              <w:rPr>
                <w:szCs w:val="22"/>
              </w:rPr>
            </w:pPr>
            <w:r w:rsidRPr="00073574">
              <w:rPr>
                <w:szCs w:val="22"/>
              </w:rPr>
              <w:t>A website dedicated to ITU-T activities on human exposure to electromagnetic fields (EMFs) due to radio systems and mobile equipment</w:t>
            </w:r>
            <w:r w:rsidRPr="00073574" w:rsidDel="00AD491F">
              <w:rPr>
                <w:szCs w:val="22"/>
              </w:rPr>
              <w:t xml:space="preserve"> </w:t>
            </w:r>
            <w:r w:rsidRPr="00073574">
              <w:rPr>
                <w:szCs w:val="22"/>
              </w:rPr>
              <w:t xml:space="preserve">is available at: </w:t>
            </w:r>
            <w:hyperlink r:id="rId263" w:history="1">
              <w:r w:rsidR="00E344CE" w:rsidRPr="00073574">
                <w:rPr>
                  <w:rStyle w:val="Hyperlink"/>
                  <w:szCs w:val="22"/>
                </w:rPr>
                <w:t>https://www.itu.int/en/ITU-T/emf/Pages/default.aspx</w:t>
              </w:r>
            </w:hyperlink>
          </w:p>
          <w:p w14:paraId="15E1C501" w14:textId="76D4FE80" w:rsidR="1497E29F" w:rsidRPr="00073574" w:rsidRDefault="62C78B04" w:rsidP="539711DF">
            <w:pPr>
              <w:rPr>
                <w:rFonts w:eastAsia="Times New Roman"/>
                <w:color w:val="008080"/>
                <w:szCs w:val="22"/>
                <w:u w:val="single"/>
              </w:rPr>
            </w:pPr>
            <w:r w:rsidRPr="00073574">
              <w:t xml:space="preserve">A website dedicated to the United for Smart Sustainable Cities (U4SSC) initiative is available at: </w:t>
            </w:r>
            <w:hyperlink r:id="rId264">
              <w:r w:rsidR="369C274F" w:rsidRPr="00073574">
                <w:rPr>
                  <w:rStyle w:val="Hyperlink"/>
                </w:rPr>
                <w:t>https://www.itu.int/en/ITU-T/ssc/united/</w:t>
              </w:r>
            </w:hyperlink>
            <w:r w:rsidR="00282079" w:rsidRPr="00073574">
              <w:rPr>
                <w:rStyle w:val="Hyperlink"/>
              </w:rPr>
              <w:t>.</w:t>
            </w:r>
            <w:r w:rsidR="0076422C" w:rsidRPr="00073574">
              <w:t xml:space="preserve"> </w:t>
            </w:r>
            <w:r w:rsidR="1497E29F" w:rsidRPr="00073574">
              <w:t>All publications on the U4SSC deliverables are available at:</w:t>
            </w:r>
            <w:r w:rsidR="1497E29F" w:rsidRPr="00073574">
              <w:rPr>
                <w:rFonts w:eastAsia="Times New Roman"/>
                <w:color w:val="008080"/>
                <w:u w:val="single"/>
              </w:rPr>
              <w:t xml:space="preserve"> </w:t>
            </w:r>
            <w:hyperlink r:id="rId265" w:history="1">
              <w:r w:rsidR="1497E29F" w:rsidRPr="00073574">
                <w:rPr>
                  <w:rStyle w:val="Hyperlink"/>
                  <w:rFonts w:eastAsia="Times New Roman"/>
                </w:rPr>
                <w:t>https://www.itu.int/en/ITU-T/ssc/united/Pages/publications-U4SSC.aspx</w:t>
              </w:r>
            </w:hyperlink>
            <w:r w:rsidR="1497E29F" w:rsidRPr="00073574">
              <w:rPr>
                <w:rFonts w:eastAsia="Times New Roman"/>
                <w:color w:val="008080"/>
                <w:u w:val="single"/>
              </w:rPr>
              <w:t xml:space="preserve">. </w:t>
            </w:r>
            <w:r w:rsidR="1497E29F" w:rsidRPr="00073574">
              <w:t>Publications on ITU’s implementation of the U4SSC KPIs are available at:</w:t>
            </w:r>
            <w:r w:rsidR="1497E29F" w:rsidRPr="00073574">
              <w:rPr>
                <w:rFonts w:eastAsia="Times New Roman"/>
                <w:color w:val="008080"/>
                <w:u w:val="single"/>
              </w:rPr>
              <w:t xml:space="preserve"> </w:t>
            </w:r>
            <w:hyperlink r:id="rId266" w:history="1">
              <w:r w:rsidR="1497E29F" w:rsidRPr="00073574">
                <w:rPr>
                  <w:rStyle w:val="Hyperlink"/>
                  <w:rFonts w:eastAsia="Times New Roman"/>
                </w:rPr>
                <w:t>https://www.itu.int/en/ITU-T/ssc/united/Pages/publication-U4SSC-KPIs.aspx</w:t>
              </w:r>
            </w:hyperlink>
          </w:p>
          <w:p w14:paraId="214CBFB6" w14:textId="5C383882" w:rsidR="00E53DB8" w:rsidRPr="00073574" w:rsidRDefault="00E53DB8">
            <w:pPr>
              <w:pStyle w:val="Tabletext"/>
              <w:rPr>
                <w:szCs w:val="22"/>
              </w:rPr>
            </w:pPr>
            <w:r w:rsidRPr="00073574">
              <w:t>A website dedicated to implementation of ITU Conformity and Interoperability (C&amp;I) programme is available at:</w:t>
            </w:r>
            <w:r w:rsidRPr="00073574">
              <w:rPr>
                <w:rStyle w:val="Hyperlink"/>
                <w:szCs w:val="22"/>
              </w:rPr>
              <w:t xml:space="preserve"> </w:t>
            </w:r>
            <w:hyperlink r:id="rId267" w:history="1">
              <w:r w:rsidRPr="00073574">
                <w:rPr>
                  <w:rStyle w:val="Hyperlink"/>
                  <w:szCs w:val="22"/>
                </w:rPr>
                <w:t>www.itu.int/go/citest</w:t>
              </w:r>
            </w:hyperlink>
          </w:p>
          <w:p w14:paraId="761CCAEC" w14:textId="77777777" w:rsidR="005E50C2" w:rsidRPr="00073574" w:rsidRDefault="00EF626F" w:rsidP="00EE2CEB">
            <w:pPr>
              <w:pStyle w:val="Tabletext"/>
              <w:rPr>
                <w:szCs w:val="22"/>
              </w:rPr>
            </w:pPr>
            <w:r w:rsidRPr="00073574">
              <w:rPr>
                <w:szCs w:val="22"/>
              </w:rPr>
              <w:t>SG2 maintains</w:t>
            </w:r>
            <w:r w:rsidR="009A79FE" w:rsidRPr="00073574">
              <w:rPr>
                <w:szCs w:val="22"/>
              </w:rPr>
              <w:t xml:space="preserve"> a dedicated webpage on </w:t>
            </w:r>
            <w:hyperlink r:id="rId268" w:history="1">
              <w:r w:rsidR="009A79FE" w:rsidRPr="00073574">
                <w:rPr>
                  <w:rStyle w:val="Hyperlink"/>
                  <w:szCs w:val="22"/>
                </w:rPr>
                <w:t>International Numbering Resources</w:t>
              </w:r>
            </w:hyperlink>
            <w:r w:rsidR="009A79FE" w:rsidRPr="00073574">
              <w:rPr>
                <w:szCs w:val="22"/>
              </w:rPr>
              <w:t xml:space="preserve"> and a numbering resource </w:t>
            </w:r>
            <w:hyperlink r:id="rId269" w:history="1">
              <w:r w:rsidR="009A79FE" w:rsidRPr="00073574">
                <w:rPr>
                  <w:rStyle w:val="Hyperlink"/>
                  <w:szCs w:val="22"/>
                </w:rPr>
                <w:t>Application Monitor</w:t>
              </w:r>
            </w:hyperlink>
            <w:r w:rsidR="009A79FE" w:rsidRPr="00073574">
              <w:rPr>
                <w:szCs w:val="22"/>
              </w:rPr>
              <w:t xml:space="preserve">, which </w:t>
            </w:r>
            <w:r w:rsidR="002722F2" w:rsidRPr="00073574">
              <w:rPr>
                <w:szCs w:val="22"/>
              </w:rPr>
              <w:t xml:space="preserve">provides up-to-date information on </w:t>
            </w:r>
            <w:r w:rsidR="008752F4" w:rsidRPr="00073574">
              <w:rPr>
                <w:szCs w:val="22"/>
              </w:rPr>
              <w:t xml:space="preserve">applications </w:t>
            </w:r>
          </w:p>
          <w:p w14:paraId="3BB5EE3F" w14:textId="7CC67975" w:rsidR="009A79FE" w:rsidRPr="00073574" w:rsidRDefault="008752F4" w:rsidP="00EE2CEB">
            <w:pPr>
              <w:pStyle w:val="Tabletext"/>
              <w:rPr>
                <w:szCs w:val="22"/>
              </w:rPr>
            </w:pPr>
            <w:r w:rsidRPr="00073574">
              <w:rPr>
                <w:szCs w:val="22"/>
              </w:rPr>
              <w:t>under study.</w:t>
            </w:r>
          </w:p>
          <w:p w14:paraId="652E8113" w14:textId="3C0A905A" w:rsidR="005E50C2" w:rsidRPr="00073574" w:rsidRDefault="005E50C2" w:rsidP="00EE2CEB">
            <w:pPr>
              <w:pStyle w:val="Tabletext"/>
              <w:rPr>
                <w:szCs w:val="22"/>
              </w:rPr>
            </w:pPr>
            <w:r w:rsidRPr="00073574">
              <w:rPr>
                <w:szCs w:val="22"/>
              </w:rPr>
              <w:t>SG9 maintains a dedicated webpage i</w:t>
            </w:r>
            <w:r w:rsidRPr="00073574">
              <w:t xml:space="preserve">ncluding </w:t>
            </w:r>
            <w:r w:rsidRPr="00073574">
              <w:rPr>
                <w:szCs w:val="22"/>
              </w:rPr>
              <w:t>all workshops organized to discuss the “</w:t>
            </w:r>
            <w:hyperlink r:id="rId270" w:history="1">
              <w:r w:rsidRPr="00073574">
                <w:rPr>
                  <w:rStyle w:val="Hyperlink"/>
                  <w:szCs w:val="22"/>
                </w:rPr>
                <w:t>Future of TV</w:t>
              </w:r>
            </w:hyperlink>
            <w:r w:rsidRPr="00073574">
              <w:rPr>
                <w:szCs w:val="22"/>
              </w:rPr>
              <w:t xml:space="preserve">”. </w:t>
            </w:r>
            <w:r w:rsidRPr="00073574">
              <w:t xml:space="preserve">Also the webpages on the </w:t>
            </w:r>
            <w:hyperlink r:id="rId271" w:history="1">
              <w:r w:rsidRPr="00073574">
                <w:rPr>
                  <w:rStyle w:val="Hyperlink"/>
                </w:rPr>
                <w:t>Intersector Rapporteurs Groups</w:t>
              </w:r>
            </w:hyperlink>
            <w:r w:rsidRPr="00073574">
              <w:t xml:space="preserve"> are maintained updated by the responsible SG secretariat</w:t>
            </w:r>
            <w:r w:rsidRPr="00073574">
              <w:rPr>
                <w:szCs w:val="22"/>
              </w:rPr>
              <w:t xml:space="preserve"> and linked from the SG9 and other SG pages.</w:t>
            </w:r>
          </w:p>
          <w:p w14:paraId="32D13AB4" w14:textId="642D5F82" w:rsidR="00596D74" w:rsidRPr="00073574" w:rsidRDefault="00596D74" w:rsidP="00EE2CEB">
            <w:pPr>
              <w:pStyle w:val="Tabletext"/>
              <w:rPr>
                <w:szCs w:val="22"/>
              </w:rPr>
            </w:pPr>
            <w:r w:rsidRPr="00073574">
              <w:rPr>
                <w:szCs w:val="22"/>
              </w:rPr>
              <w:t xml:space="preserve">SG11 activities to combat counterfeit and stolen ICT equipment are listed on a dedicated </w:t>
            </w:r>
            <w:hyperlink r:id="rId272" w:history="1">
              <w:r w:rsidRPr="00073574">
                <w:rPr>
                  <w:rStyle w:val="Hyperlink"/>
                  <w:szCs w:val="22"/>
                </w:rPr>
                <w:t>web page</w:t>
              </w:r>
            </w:hyperlink>
          </w:p>
          <w:p w14:paraId="31B6E3BD" w14:textId="11102111" w:rsidR="002378C3" w:rsidRPr="00073574" w:rsidRDefault="002378C3" w:rsidP="00EE2CEB">
            <w:pPr>
              <w:pStyle w:val="Tabletext"/>
              <w:rPr>
                <w:szCs w:val="22"/>
              </w:rPr>
            </w:pPr>
            <w:r w:rsidRPr="00073574">
              <w:rPr>
                <w:szCs w:val="22"/>
              </w:rPr>
              <w:t>The Technical Papers on the Economic impact of OTTs</w:t>
            </w:r>
            <w:r w:rsidR="00EE2CEB" w:rsidRPr="00073574">
              <w:rPr>
                <w:szCs w:val="22"/>
              </w:rPr>
              <w:t>, DFS G</w:t>
            </w:r>
            <w:r w:rsidR="00FF4331" w:rsidRPr="00073574">
              <w:rPr>
                <w:szCs w:val="22"/>
              </w:rPr>
              <w:t xml:space="preserve">lossary </w:t>
            </w:r>
            <w:r w:rsidRPr="00073574">
              <w:rPr>
                <w:szCs w:val="22"/>
              </w:rPr>
              <w:t>and the Methodologies for valuation of spectrum agreed by SG3 are publ</w:t>
            </w:r>
            <w:r w:rsidR="00100402" w:rsidRPr="00073574">
              <w:rPr>
                <w:szCs w:val="22"/>
              </w:rPr>
              <w:t xml:space="preserve">ished on ITU-T </w:t>
            </w:r>
            <w:r w:rsidRPr="00073574">
              <w:rPr>
                <w:szCs w:val="22"/>
              </w:rPr>
              <w:t>publications website.</w:t>
            </w:r>
          </w:p>
          <w:p w14:paraId="52279155" w14:textId="3734BC7B" w:rsidR="000574D5" w:rsidRPr="00073574" w:rsidRDefault="000574D5" w:rsidP="00EE2CEB">
            <w:pPr>
              <w:pStyle w:val="Tabletext"/>
              <w:rPr>
                <w:szCs w:val="22"/>
              </w:rPr>
            </w:pPr>
            <w:r w:rsidRPr="00073574">
              <w:rPr>
                <w:szCs w:val="22"/>
              </w:rPr>
              <w:t xml:space="preserve">SG12 maintains a </w:t>
            </w:r>
            <w:hyperlink r:id="rId273" w:history="1">
              <w:r w:rsidRPr="00073574">
                <w:rPr>
                  <w:rStyle w:val="Hyperlink"/>
                  <w:szCs w:val="22"/>
                </w:rPr>
                <w:t>dedicated webpage</w:t>
              </w:r>
            </w:hyperlink>
            <w:r w:rsidRPr="00073574">
              <w:rPr>
                <w:szCs w:val="22"/>
              </w:rPr>
              <w:t xml:space="preserve"> covering SG12 activities related to WTSA-16 Resolution 95.</w:t>
            </w:r>
          </w:p>
          <w:p w14:paraId="79B235BC" w14:textId="63E756C8" w:rsidR="007D1921" w:rsidRPr="00073574" w:rsidRDefault="007D1921" w:rsidP="00EE2CEB">
            <w:pPr>
              <w:pStyle w:val="Tabletext"/>
              <w:rPr>
                <w:szCs w:val="22"/>
              </w:rPr>
            </w:pPr>
            <w:r w:rsidRPr="00073574">
              <w:rPr>
                <w:szCs w:val="22"/>
              </w:rPr>
              <w:t>SG13 main</w:t>
            </w:r>
            <w:r w:rsidR="006271A0" w:rsidRPr="00073574">
              <w:rPr>
                <w:szCs w:val="22"/>
              </w:rPr>
              <w:t>tains</w:t>
            </w:r>
            <w:r w:rsidRPr="00073574">
              <w:rPr>
                <w:szCs w:val="22"/>
              </w:rPr>
              <w:t xml:space="preserve"> the </w:t>
            </w:r>
            <w:hyperlink r:id="rId274" w:tooltip="SG13 Chairman's blog" w:history="1">
              <w:r w:rsidRPr="00073574">
                <w:rPr>
                  <w:rStyle w:val="Hyperlink"/>
                  <w:rFonts w:eastAsiaTheme="majorEastAsia"/>
                  <w:color w:val="3789BD"/>
                  <w:bdr w:val="none" w:sz="0" w:space="0" w:color="auto" w:frame="1"/>
                </w:rPr>
                <w:t>SG13 Chairman's blog</w:t>
              </w:r>
            </w:hyperlink>
            <w:r w:rsidRPr="00073574">
              <w:t xml:space="preserve"> where</w:t>
            </w:r>
            <w:r w:rsidR="006271A0" w:rsidRPr="00073574">
              <w:t xml:space="preserve"> the</w:t>
            </w:r>
            <w:r w:rsidRPr="00073574">
              <w:t xml:space="preserve"> technical articles in the field of the SG </w:t>
            </w:r>
            <w:r w:rsidR="006271A0" w:rsidRPr="00073574">
              <w:t xml:space="preserve">written by the experts of the group </w:t>
            </w:r>
            <w:r w:rsidRPr="00073574">
              <w:t xml:space="preserve">are kept. Also it keeps </w:t>
            </w:r>
            <w:hyperlink r:id="rId275" w:history="1">
              <w:r w:rsidRPr="00073574">
                <w:rPr>
                  <w:rStyle w:val="Hyperlink"/>
                </w:rPr>
                <w:t>a dedicate webpage</w:t>
              </w:r>
            </w:hyperlink>
            <w:r w:rsidRPr="00073574">
              <w:t xml:space="preserve"> with the records</w:t>
            </w:r>
            <w:r w:rsidR="006271A0" w:rsidRPr="00073574">
              <w:t>/slides</w:t>
            </w:r>
            <w:r w:rsidRPr="00073574">
              <w:t xml:space="preserve"> of all Technical Tutorials given by experts to SG13. </w:t>
            </w:r>
            <w:r w:rsidR="006271A0" w:rsidRPr="00073574">
              <w:t>It keeps its surveys accessible from its frontpage and all its flipbooks under the Special Topics of the SG homepage.</w:t>
            </w:r>
          </w:p>
          <w:p w14:paraId="0A7BE1EF" w14:textId="77777777" w:rsidR="001B4796" w:rsidRPr="00073574" w:rsidRDefault="001B4796">
            <w:pPr>
              <w:pStyle w:val="Tabletext"/>
              <w:rPr>
                <w:szCs w:val="22"/>
              </w:rPr>
            </w:pPr>
            <w:r w:rsidRPr="00073574">
              <w:rPr>
                <w:szCs w:val="22"/>
              </w:rPr>
              <w:t>SG15 maintains a dedicated web page for each lead SG role in addition to the main page of SG15.</w:t>
            </w:r>
          </w:p>
          <w:p w14:paraId="7A6DE0D7" w14:textId="4DE4CA87" w:rsidR="000D47EF" w:rsidRPr="00073574" w:rsidRDefault="2B75DD90">
            <w:pPr>
              <w:pStyle w:val="Tabletext"/>
            </w:pPr>
            <w:r w:rsidRPr="00073574">
              <w:t>SG16 maintains a dedicated web page for each lead SG role, linked from the main page of SG16.</w:t>
            </w:r>
          </w:p>
          <w:p w14:paraId="2D575DC3" w14:textId="04FC28EE" w:rsidR="000D47EF" w:rsidRPr="00073574" w:rsidRDefault="00FB0420" w:rsidP="002A09E2">
            <w:pPr>
              <w:pStyle w:val="Tabletext"/>
              <w:rPr>
                <w:szCs w:val="22"/>
              </w:rPr>
            </w:pPr>
            <w:r w:rsidRPr="00073574">
              <w:t xml:space="preserve">SG17 maintains a </w:t>
            </w:r>
            <w:hyperlink r:id="rId276" w:history="1">
              <w:r w:rsidRPr="00073574">
                <w:rPr>
                  <w:rStyle w:val="Hyperlink"/>
                </w:rPr>
                <w:t>dedicated web page</w:t>
              </w:r>
            </w:hyperlink>
            <w:r w:rsidRPr="00073574">
              <w:t xml:space="preserve"> for </w:t>
            </w:r>
            <w:r w:rsidR="001955E5" w:rsidRPr="00073574">
              <w:t xml:space="preserve">its mandate and </w:t>
            </w:r>
            <w:r w:rsidRPr="00073574">
              <w:t>lead SG role, linked from the main page of SG1</w:t>
            </w:r>
            <w:r w:rsidR="002A09E2" w:rsidRPr="00073574">
              <w:t>7</w:t>
            </w:r>
            <w:r w:rsidRPr="00073574">
              <w:t>.</w:t>
            </w:r>
            <w:r w:rsidR="002A09E2" w:rsidRPr="00073574">
              <w:t xml:space="preserve"> </w:t>
            </w:r>
            <w:hyperlink r:id="rId277" w:history="1">
              <w:r w:rsidR="22CF45AF" w:rsidRPr="00073574">
                <w:rPr>
                  <w:rStyle w:val="Hyperlink"/>
                </w:rPr>
                <w:t>SG17 webpage</w:t>
              </w:r>
            </w:hyperlink>
            <w:r w:rsidR="22CF45AF" w:rsidRPr="00073574">
              <w:t xml:space="preserve"> contains a wealth of easily accessible information on its work available to the public.</w:t>
            </w:r>
          </w:p>
        </w:tc>
      </w:tr>
      <w:tr w:rsidR="00F0236A" w:rsidRPr="00073574" w14:paraId="729EB093" w14:textId="77777777" w:rsidTr="634A3A28">
        <w:trPr>
          <w:jc w:val="center"/>
        </w:trPr>
        <w:tc>
          <w:tcPr>
            <w:tcW w:w="911" w:type="dxa"/>
            <w:vMerge w:val="restart"/>
            <w:tcBorders>
              <w:top w:val="single" w:sz="12" w:space="0" w:color="auto"/>
            </w:tcBorders>
            <w:shd w:val="clear" w:color="auto" w:fill="auto"/>
          </w:tcPr>
          <w:p w14:paraId="3134B839" w14:textId="77777777" w:rsidR="00F0236A" w:rsidRPr="00073574" w:rsidRDefault="00F0236A" w:rsidP="001F12FA">
            <w:pPr>
              <w:pStyle w:val="Tabletext"/>
              <w:keepNext/>
              <w:keepLines/>
              <w:rPr>
                <w:b/>
                <w:bCs/>
                <w:sz w:val="24"/>
                <w:szCs w:val="24"/>
              </w:rPr>
            </w:pPr>
            <w:r w:rsidRPr="00073574">
              <w:rPr>
                <w:b/>
                <w:bCs/>
                <w:sz w:val="24"/>
                <w:szCs w:val="24"/>
              </w:rPr>
              <w:lastRenderedPageBreak/>
              <w:t>32-09</w:t>
            </w:r>
          </w:p>
        </w:tc>
        <w:tc>
          <w:tcPr>
            <w:tcW w:w="5494" w:type="dxa"/>
            <w:tcBorders>
              <w:top w:val="single" w:sz="12" w:space="0" w:color="auto"/>
            </w:tcBorders>
            <w:shd w:val="clear" w:color="auto" w:fill="auto"/>
          </w:tcPr>
          <w:p w14:paraId="4E8C4337" w14:textId="77777777" w:rsidR="00F0236A" w:rsidRPr="00073574" w:rsidRDefault="00F0236A" w:rsidP="00DF36E1">
            <w:pPr>
              <w:pStyle w:val="Tabletext"/>
              <w:rPr>
                <w:b/>
                <w:bCs/>
                <w:sz w:val="24"/>
                <w:szCs w:val="24"/>
              </w:rPr>
            </w:pPr>
            <w:r w:rsidRPr="00073574">
              <w:rPr>
                <w:b/>
                <w:bCs/>
                <w:sz w:val="24"/>
                <w:szCs w:val="24"/>
              </w:rPr>
              <w:t>TSAG to identify user needs and plan the introduction of suitable measures through appropriate subgroups and pilot programmes (resolves 2)</w:t>
            </w:r>
          </w:p>
        </w:tc>
        <w:tc>
          <w:tcPr>
            <w:tcW w:w="1096" w:type="dxa"/>
            <w:tcBorders>
              <w:top w:val="single" w:sz="12" w:space="0" w:color="auto"/>
            </w:tcBorders>
            <w:shd w:val="clear" w:color="auto" w:fill="auto"/>
            <w:vAlign w:val="center"/>
          </w:tcPr>
          <w:p w14:paraId="75FB6D05" w14:textId="77B79300" w:rsidR="00F0236A" w:rsidRPr="00073574" w:rsidRDefault="00F0236A" w:rsidP="000366FF">
            <w:pPr>
              <w:pStyle w:val="Tabletext"/>
              <w:jc w:val="center"/>
              <w:rPr>
                <w:b/>
                <w:bCs/>
                <w:sz w:val="24"/>
                <w:szCs w:val="24"/>
              </w:rPr>
            </w:pPr>
            <w:r w:rsidRPr="00073574">
              <w:rPr>
                <w:b/>
                <w:bCs/>
                <w:sz w:val="24"/>
                <w:szCs w:val="24"/>
              </w:rPr>
              <w:t>TSAG</w:t>
            </w:r>
          </w:p>
        </w:tc>
        <w:tc>
          <w:tcPr>
            <w:tcW w:w="1149" w:type="dxa"/>
            <w:tcBorders>
              <w:top w:val="single" w:sz="12" w:space="0" w:color="auto"/>
            </w:tcBorders>
            <w:shd w:val="clear" w:color="auto" w:fill="auto"/>
            <w:vAlign w:val="center"/>
          </w:tcPr>
          <w:p w14:paraId="49924311" w14:textId="742BAD7F" w:rsidR="00F0236A" w:rsidRPr="00073574" w:rsidDel="00773BD1" w:rsidRDefault="00EA3F75" w:rsidP="00DF36E1">
            <w:pPr>
              <w:pStyle w:val="Tabletext"/>
              <w:jc w:val="center"/>
              <w:rPr>
                <w:b/>
                <w:bCs/>
                <w:sz w:val="24"/>
                <w:szCs w:val="24"/>
              </w:rPr>
            </w:pPr>
            <w:r w:rsidRPr="00073574">
              <w:rPr>
                <w:b/>
                <w:bCs/>
                <w:sz w:val="24"/>
                <w:szCs w:val="24"/>
              </w:rPr>
              <w:t>√</w:t>
            </w:r>
          </w:p>
        </w:tc>
        <w:tc>
          <w:tcPr>
            <w:tcW w:w="1182" w:type="dxa"/>
            <w:tcBorders>
              <w:top w:val="single" w:sz="12" w:space="0" w:color="auto"/>
            </w:tcBorders>
            <w:shd w:val="clear" w:color="auto" w:fill="auto"/>
            <w:vAlign w:val="center"/>
          </w:tcPr>
          <w:p w14:paraId="0B23AC89" w14:textId="77777777" w:rsidR="00F0236A" w:rsidRPr="00073574" w:rsidRDefault="00F0236A" w:rsidP="00DF36E1">
            <w:pPr>
              <w:pStyle w:val="Tabletext"/>
              <w:jc w:val="center"/>
              <w:rPr>
                <w:b/>
                <w:bCs/>
                <w:sz w:val="24"/>
                <w:szCs w:val="24"/>
              </w:rPr>
            </w:pPr>
          </w:p>
        </w:tc>
      </w:tr>
      <w:tr w:rsidR="00F0236A" w:rsidRPr="00073574" w14:paraId="69D805A7" w14:textId="77777777" w:rsidTr="634A3A28">
        <w:trPr>
          <w:jc w:val="center"/>
        </w:trPr>
        <w:tc>
          <w:tcPr>
            <w:tcW w:w="911" w:type="dxa"/>
            <w:vMerge/>
          </w:tcPr>
          <w:p w14:paraId="4CE8E911" w14:textId="77777777" w:rsidR="00F0236A" w:rsidRPr="00073574" w:rsidRDefault="00F0236A" w:rsidP="00DF36E1">
            <w:pPr>
              <w:pStyle w:val="Tabletext"/>
              <w:rPr>
                <w:sz w:val="24"/>
                <w:szCs w:val="24"/>
              </w:rPr>
            </w:pPr>
          </w:p>
        </w:tc>
        <w:tc>
          <w:tcPr>
            <w:tcW w:w="8921" w:type="dxa"/>
            <w:gridSpan w:val="4"/>
            <w:tcBorders>
              <w:bottom w:val="single" w:sz="12" w:space="0" w:color="auto"/>
            </w:tcBorders>
            <w:shd w:val="clear" w:color="auto" w:fill="auto"/>
          </w:tcPr>
          <w:p w14:paraId="613AA4BD" w14:textId="77777777" w:rsidR="00F0236A" w:rsidRPr="00073574" w:rsidRDefault="00EA3F75" w:rsidP="00DF36E1">
            <w:pPr>
              <w:pStyle w:val="Tabletext"/>
              <w:rPr>
                <w:szCs w:val="22"/>
              </w:rPr>
            </w:pPr>
            <w:r w:rsidRPr="00073574">
              <w:rPr>
                <w:szCs w:val="22"/>
              </w:rPr>
              <w:t>TSB, when developing and piloting EWM tools and providing EWM services, is considering diverse user needs; see also 32-01, 32-02, 32-06, and 32-07; TSB does not see any additional needs for TSAG to create additional subgroups.</w:t>
            </w:r>
          </w:p>
          <w:p w14:paraId="1E422026" w14:textId="22665C11" w:rsidR="00F0236A" w:rsidRPr="00073574" w:rsidRDefault="004F2816" w:rsidP="00DF36E1">
            <w:pPr>
              <w:pStyle w:val="Tabletext"/>
              <w:rPr>
                <w:szCs w:val="22"/>
              </w:rPr>
            </w:pPr>
            <w:r w:rsidRPr="00073574">
              <w:rPr>
                <w:szCs w:val="22"/>
              </w:rPr>
              <w:t xml:space="preserve">TSAG </w:t>
            </w:r>
            <w:r w:rsidR="001C2393" w:rsidRPr="00073574">
              <w:rPr>
                <w:szCs w:val="22"/>
              </w:rPr>
              <w:t xml:space="preserve">established </w:t>
            </w:r>
            <w:hyperlink r:id="rId278" w:history="1">
              <w:r w:rsidR="001C2393" w:rsidRPr="00073574">
                <w:rPr>
                  <w:rStyle w:val="Hyperlink"/>
                  <w:rFonts w:eastAsiaTheme="majorEastAsia"/>
                  <w:color w:val="3789BD"/>
                  <w:szCs w:val="22"/>
                  <w:bdr w:val="none" w:sz="0" w:space="0" w:color="auto" w:frame="1"/>
                  <w:shd w:val="clear" w:color="auto" w:fill="FFFFFF"/>
                </w:rPr>
                <w:t>AHG on Governance and Management of E-meetings (AHG-GME)</w:t>
              </w:r>
            </w:hyperlink>
            <w:r w:rsidR="00562446" w:rsidRPr="00073574">
              <w:rPr>
                <w:szCs w:val="22"/>
              </w:rPr>
              <w:t xml:space="preserve">, which is </w:t>
            </w:r>
            <w:r w:rsidR="00417752" w:rsidRPr="00073574">
              <w:rPr>
                <w:szCs w:val="22"/>
              </w:rPr>
              <w:t>identifying an initial set of issues that will form the basis for future studies with respect to detailing the governance and management of e-meetings.</w:t>
            </w:r>
          </w:p>
        </w:tc>
      </w:tr>
      <w:tr w:rsidR="00F0236A" w:rsidRPr="00073574" w14:paraId="7A4F16CF" w14:textId="77777777" w:rsidTr="634A3A28">
        <w:trPr>
          <w:jc w:val="center"/>
        </w:trPr>
        <w:tc>
          <w:tcPr>
            <w:tcW w:w="911" w:type="dxa"/>
            <w:vMerge w:val="restart"/>
            <w:tcBorders>
              <w:top w:val="single" w:sz="12" w:space="0" w:color="auto"/>
            </w:tcBorders>
            <w:shd w:val="clear" w:color="auto" w:fill="auto"/>
          </w:tcPr>
          <w:p w14:paraId="1F5DCC2F" w14:textId="77777777" w:rsidR="00F0236A" w:rsidRPr="00073574" w:rsidRDefault="00F0236A" w:rsidP="000526ED">
            <w:pPr>
              <w:pStyle w:val="Tabletext"/>
              <w:keepNext/>
              <w:keepLines/>
              <w:rPr>
                <w:b/>
                <w:bCs/>
                <w:sz w:val="24"/>
                <w:szCs w:val="24"/>
              </w:rPr>
            </w:pPr>
            <w:r w:rsidRPr="00073574">
              <w:rPr>
                <w:b/>
                <w:bCs/>
                <w:sz w:val="24"/>
                <w:szCs w:val="24"/>
              </w:rPr>
              <w:t>32-10</w:t>
            </w:r>
          </w:p>
        </w:tc>
        <w:tc>
          <w:tcPr>
            <w:tcW w:w="5494" w:type="dxa"/>
            <w:tcBorders>
              <w:top w:val="single" w:sz="12" w:space="0" w:color="auto"/>
            </w:tcBorders>
            <w:shd w:val="clear" w:color="auto" w:fill="auto"/>
          </w:tcPr>
          <w:p w14:paraId="6C6EEBDB" w14:textId="77777777" w:rsidR="00F0236A" w:rsidRPr="00073574" w:rsidRDefault="00F0236A" w:rsidP="000526ED">
            <w:pPr>
              <w:pStyle w:val="Tabletext"/>
              <w:keepNext/>
              <w:keepLines/>
              <w:rPr>
                <w:b/>
                <w:bCs/>
                <w:sz w:val="24"/>
                <w:szCs w:val="24"/>
              </w:rPr>
            </w:pPr>
            <w:r w:rsidRPr="00073574">
              <w:rPr>
                <w:b/>
                <w:bCs/>
                <w:sz w:val="24"/>
                <w:szCs w:val="24"/>
              </w:rPr>
              <w:t>TSAG to request study group chairmen to identify EWM liaisons (resolves 2)</w:t>
            </w:r>
          </w:p>
        </w:tc>
        <w:tc>
          <w:tcPr>
            <w:tcW w:w="1096" w:type="dxa"/>
            <w:tcBorders>
              <w:top w:val="single" w:sz="12" w:space="0" w:color="auto"/>
            </w:tcBorders>
            <w:shd w:val="clear" w:color="auto" w:fill="auto"/>
            <w:vAlign w:val="center"/>
          </w:tcPr>
          <w:p w14:paraId="765B2704" w14:textId="14A9D03C" w:rsidR="00F0236A" w:rsidRPr="00073574" w:rsidRDefault="00F0236A" w:rsidP="000526ED">
            <w:pPr>
              <w:pStyle w:val="Tabletext"/>
              <w:keepNext/>
              <w:keepLines/>
              <w:jc w:val="center"/>
              <w:rPr>
                <w:b/>
                <w:bCs/>
                <w:sz w:val="24"/>
                <w:szCs w:val="24"/>
              </w:rPr>
            </w:pPr>
            <w:r w:rsidRPr="00073574">
              <w:rPr>
                <w:b/>
                <w:bCs/>
                <w:sz w:val="24"/>
                <w:szCs w:val="24"/>
              </w:rPr>
              <w:t>TSAG 20</w:t>
            </w:r>
            <w:r w:rsidR="0057414D" w:rsidRPr="00073574">
              <w:rPr>
                <w:b/>
                <w:bCs/>
                <w:sz w:val="24"/>
                <w:szCs w:val="24"/>
              </w:rPr>
              <w:t>20</w:t>
            </w:r>
          </w:p>
        </w:tc>
        <w:tc>
          <w:tcPr>
            <w:tcW w:w="1149" w:type="dxa"/>
            <w:tcBorders>
              <w:top w:val="single" w:sz="12" w:space="0" w:color="auto"/>
            </w:tcBorders>
            <w:shd w:val="clear" w:color="auto" w:fill="auto"/>
            <w:vAlign w:val="center"/>
          </w:tcPr>
          <w:p w14:paraId="21F4CB67" w14:textId="77777777" w:rsidR="00F0236A" w:rsidRPr="00073574" w:rsidDel="00773BD1" w:rsidRDefault="00F0236A" w:rsidP="000526ED">
            <w:pPr>
              <w:pStyle w:val="Tabletext"/>
              <w:keepNext/>
              <w:keepLines/>
              <w:jc w:val="center"/>
              <w:rPr>
                <w:b/>
                <w:bCs/>
                <w:sz w:val="24"/>
                <w:szCs w:val="24"/>
              </w:rPr>
            </w:pPr>
            <w:r w:rsidRPr="00073574">
              <w:rPr>
                <w:b/>
                <w:bCs/>
                <w:sz w:val="24"/>
                <w:szCs w:val="24"/>
              </w:rPr>
              <w:t>√</w:t>
            </w:r>
          </w:p>
        </w:tc>
        <w:tc>
          <w:tcPr>
            <w:tcW w:w="1182" w:type="dxa"/>
            <w:tcBorders>
              <w:top w:val="single" w:sz="12" w:space="0" w:color="auto"/>
            </w:tcBorders>
            <w:shd w:val="clear" w:color="auto" w:fill="auto"/>
            <w:vAlign w:val="center"/>
          </w:tcPr>
          <w:p w14:paraId="472BE723" w14:textId="77777777" w:rsidR="00F0236A" w:rsidRPr="00073574" w:rsidRDefault="00F0236A" w:rsidP="000526ED">
            <w:pPr>
              <w:pStyle w:val="Tabletext"/>
              <w:keepNext/>
              <w:keepLines/>
              <w:jc w:val="center"/>
              <w:rPr>
                <w:b/>
                <w:bCs/>
                <w:sz w:val="24"/>
                <w:szCs w:val="24"/>
              </w:rPr>
            </w:pPr>
          </w:p>
        </w:tc>
      </w:tr>
      <w:tr w:rsidR="00F0236A" w:rsidRPr="00073574" w14:paraId="63C2F759" w14:textId="77777777" w:rsidTr="634A3A28">
        <w:trPr>
          <w:cantSplit/>
          <w:jc w:val="center"/>
        </w:trPr>
        <w:tc>
          <w:tcPr>
            <w:tcW w:w="911" w:type="dxa"/>
            <w:vMerge/>
            <w:vAlign w:val="center"/>
          </w:tcPr>
          <w:p w14:paraId="472AEF05" w14:textId="77777777" w:rsidR="00F0236A" w:rsidRPr="00073574" w:rsidRDefault="00F0236A" w:rsidP="000526ED">
            <w:pPr>
              <w:pStyle w:val="Tabletext"/>
              <w:keepNext/>
              <w:keepLines/>
              <w:rPr>
                <w:sz w:val="24"/>
                <w:szCs w:val="24"/>
              </w:rPr>
            </w:pPr>
          </w:p>
        </w:tc>
        <w:tc>
          <w:tcPr>
            <w:tcW w:w="8921" w:type="dxa"/>
            <w:gridSpan w:val="4"/>
            <w:shd w:val="clear" w:color="auto" w:fill="auto"/>
          </w:tcPr>
          <w:p w14:paraId="55207B57" w14:textId="77777777" w:rsidR="00F0236A" w:rsidRPr="00073574" w:rsidRDefault="00F0236A" w:rsidP="634A3A28">
            <w:pPr>
              <w:pStyle w:val="ListParagraph"/>
              <w:keepNext/>
              <w:keepLines/>
              <w:numPr>
                <w:ilvl w:val="0"/>
                <w:numId w:val="30"/>
              </w:numPr>
              <w:spacing w:before="40"/>
              <w:ind w:left="357" w:hanging="357"/>
            </w:pPr>
            <w:r w:rsidRPr="00073574">
              <w:t>SG13 EWM focal point is the SG13 Chairman.</w:t>
            </w:r>
          </w:p>
          <w:p w14:paraId="5A28A15B" w14:textId="77777777" w:rsidR="00F0236A" w:rsidRPr="00073574" w:rsidRDefault="00F0236A" w:rsidP="634A3A28">
            <w:pPr>
              <w:pStyle w:val="ListParagraph"/>
              <w:keepNext/>
              <w:keepLines/>
              <w:numPr>
                <w:ilvl w:val="0"/>
                <w:numId w:val="30"/>
              </w:numPr>
              <w:spacing w:after="40"/>
              <w:ind w:left="357" w:hanging="357"/>
              <w:contextualSpacing w:val="0"/>
              <w:rPr>
                <w:sz w:val="24"/>
              </w:rPr>
            </w:pPr>
            <w:r w:rsidRPr="00073574">
              <w:t>SG15 EWM team meets regularly at every SG15 meeting and sends a Liaison to TSAG to report its activities.</w:t>
            </w:r>
          </w:p>
        </w:tc>
      </w:tr>
    </w:tbl>
    <w:bookmarkStart w:id="90" w:name="Item32_01"/>
    <w:bookmarkStart w:id="91" w:name="Item32_06"/>
    <w:bookmarkStart w:id="92" w:name="Item32_02"/>
    <w:bookmarkStart w:id="93" w:name="Item32_03"/>
    <w:bookmarkStart w:id="94" w:name="Item32_04"/>
    <w:bookmarkStart w:id="95" w:name="Item32_07"/>
    <w:bookmarkStart w:id="96" w:name="Item32_08"/>
    <w:bookmarkStart w:id="97" w:name="Item32_09"/>
    <w:bookmarkStart w:id="98" w:name="Item32_10"/>
    <w:bookmarkEnd w:id="87"/>
    <w:bookmarkEnd w:id="88"/>
    <w:bookmarkEnd w:id="90"/>
    <w:bookmarkEnd w:id="91"/>
    <w:bookmarkEnd w:id="92"/>
    <w:bookmarkEnd w:id="93"/>
    <w:bookmarkEnd w:id="94"/>
    <w:bookmarkEnd w:id="95"/>
    <w:bookmarkEnd w:id="96"/>
    <w:bookmarkEnd w:id="97"/>
    <w:bookmarkEnd w:id="98"/>
    <w:p w14:paraId="499802A0" w14:textId="77777777" w:rsidR="00F0236A" w:rsidRPr="00073574" w:rsidRDefault="00F0236A" w:rsidP="00F0236A">
      <w:pPr>
        <w:rPr>
          <w:rStyle w:val="Hyperlink"/>
          <w:sz w:val="24"/>
        </w:rPr>
      </w:pPr>
      <w:r w:rsidRPr="00073574">
        <w:rPr>
          <w:color w:val="2B579A"/>
          <w:shd w:val="clear" w:color="auto" w:fill="E6E6E6"/>
        </w:rPr>
        <w:fldChar w:fldCharType="begin"/>
      </w:r>
      <w:r w:rsidRPr="00073574">
        <w:rPr>
          <w:sz w:val="24"/>
        </w:rPr>
        <w:instrText xml:space="preserve"> HYPERLINK \l "Top" </w:instrText>
      </w:r>
      <w:r w:rsidRPr="00073574">
        <w:rPr>
          <w:color w:val="2B579A"/>
          <w:shd w:val="clear" w:color="auto" w:fill="E6E6E6"/>
        </w:rPr>
        <w:fldChar w:fldCharType="separate"/>
      </w:r>
      <w:r w:rsidRPr="00073574">
        <w:rPr>
          <w:rStyle w:val="Hyperlink"/>
          <w:sz w:val="24"/>
        </w:rPr>
        <w:t>» Top</w:t>
      </w:r>
      <w:r w:rsidRPr="00073574">
        <w:rPr>
          <w:rStyle w:val="Hyperlink"/>
          <w:sz w:val="24"/>
        </w:rPr>
        <w:fldChar w:fldCharType="end"/>
      </w:r>
    </w:p>
    <w:p w14:paraId="67A9802D" w14:textId="77777777" w:rsidR="00F0236A" w:rsidRPr="00073574" w:rsidRDefault="00F0236A" w:rsidP="00F0236A">
      <w:pPr>
        <w:rPr>
          <w:sz w:val="24"/>
        </w:rPr>
      </w:pPr>
      <w:bookmarkStart w:id="99" w:name="Resolution_33"/>
      <w:bookmarkEnd w:id="99"/>
    </w:p>
    <w:p w14:paraId="6CA72632" w14:textId="77777777" w:rsidR="00F0236A" w:rsidRPr="00073574" w:rsidRDefault="00F0236A" w:rsidP="00D30A54">
      <w:pPr>
        <w:pStyle w:val="Heading1"/>
        <w:keepNext/>
        <w:keepLines/>
        <w:rPr>
          <w:sz w:val="24"/>
          <w:szCs w:val="24"/>
          <w:lang w:val="en-GB"/>
        </w:rPr>
      </w:pPr>
      <w:bookmarkStart w:id="100" w:name="Resolution_34"/>
      <w:bookmarkStart w:id="101" w:name="_Toc304236425"/>
      <w:bookmarkStart w:id="102" w:name="_Toc471715363"/>
      <w:bookmarkStart w:id="103" w:name="_Toc93425249"/>
      <w:bookmarkEnd w:id="100"/>
      <w:r w:rsidRPr="00073574">
        <w:rPr>
          <w:sz w:val="24"/>
          <w:szCs w:val="24"/>
          <w:lang w:val="en-GB"/>
        </w:rPr>
        <w:t>Resolution 34 - Voluntary contributions</w:t>
      </w:r>
      <w:bookmarkEnd w:id="101"/>
      <w:bookmarkEnd w:id="102"/>
      <w:bookmarkEnd w:id="103"/>
    </w:p>
    <w:p w14:paraId="637142EC" w14:textId="77777777" w:rsidR="00F0236A" w:rsidRPr="00073574" w:rsidRDefault="00F0236A" w:rsidP="00D30A54">
      <w:pPr>
        <w:keepNext/>
        <w:keepLines/>
        <w:rPr>
          <w:b/>
          <w:bCs/>
          <w:sz w:val="24"/>
        </w:rPr>
      </w:pPr>
      <w:r w:rsidRPr="00073574">
        <w:rPr>
          <w:b/>
          <w:bCs/>
          <w:sz w:val="24"/>
        </w:rPr>
        <w:t>Resolution 34</w:t>
      </w:r>
    </w:p>
    <w:p w14:paraId="0B215432" w14:textId="77777777" w:rsidR="00F0236A" w:rsidRPr="00073574" w:rsidRDefault="00F0236A" w:rsidP="00D30A54">
      <w:pPr>
        <w:pStyle w:val="Call"/>
        <w:rPr>
          <w:sz w:val="24"/>
          <w:szCs w:val="24"/>
          <w:lang w:val="en-GB"/>
        </w:rPr>
      </w:pPr>
      <w:r w:rsidRPr="00073574">
        <w:rPr>
          <w:sz w:val="24"/>
          <w:szCs w:val="24"/>
          <w:lang w:val="en-GB"/>
        </w:rPr>
        <w:t>resolves</w:t>
      </w:r>
    </w:p>
    <w:p w14:paraId="18A7AA54" w14:textId="77777777" w:rsidR="00F0236A" w:rsidRPr="00073574" w:rsidRDefault="00F0236A" w:rsidP="00D30A54">
      <w:pPr>
        <w:keepNext/>
        <w:keepLines/>
        <w:rPr>
          <w:sz w:val="24"/>
        </w:rPr>
      </w:pPr>
      <w:r w:rsidRPr="00073574">
        <w:rPr>
          <w:sz w:val="24"/>
        </w:rPr>
        <w:t>1</w:t>
      </w:r>
      <w:r w:rsidRPr="00073574">
        <w:rPr>
          <w:sz w:val="24"/>
        </w:rPr>
        <w:tab/>
        <w:t>to encourage the financing of specific projects, focus groups or other new initiatives, including any activities which help achieve the objectives of Resolution 44 (Rev. Dubai, 2012) of this assembly, on bridging the standardization gap, by voluntary contributions;</w:t>
      </w:r>
    </w:p>
    <w:p w14:paraId="733E19C6" w14:textId="77777777" w:rsidR="00F0236A" w:rsidRPr="00073574" w:rsidRDefault="00F0236A" w:rsidP="00F0236A">
      <w:pPr>
        <w:rPr>
          <w:sz w:val="24"/>
        </w:rPr>
      </w:pPr>
      <w:r w:rsidRPr="00073574">
        <w:rPr>
          <w:sz w:val="24"/>
        </w:rPr>
        <w:t>2</w:t>
      </w:r>
      <w:r w:rsidRPr="00073574">
        <w:rPr>
          <w:sz w:val="24"/>
        </w:rPr>
        <w:tab/>
        <w:t>to invite Sector Members and Associates to finance voluntarily the participation of developing countries, and in particular remote participation using electronic working methods, in ITU-T meetings and workshops;</w:t>
      </w:r>
    </w:p>
    <w:p w14:paraId="306FC927" w14:textId="77777777" w:rsidR="00F0236A" w:rsidRPr="00073574" w:rsidRDefault="00F0236A" w:rsidP="00F0236A">
      <w:pPr>
        <w:spacing w:after="240"/>
        <w:rPr>
          <w:sz w:val="24"/>
        </w:rPr>
      </w:pPr>
      <w:r w:rsidRPr="00073574">
        <w:rPr>
          <w:sz w:val="24"/>
        </w:rPr>
        <w:t>3</w:t>
      </w:r>
      <w:r w:rsidRPr="00073574">
        <w:rPr>
          <w:sz w:val="24"/>
        </w:rPr>
        <w:tab/>
        <w:t>to invite Member States, Sector Members and Associates from both developing and developed countries to submit to the Director of the Telecommunication Standardization Bureau projects and other initiatives of interest for ITU</w:t>
      </w:r>
      <w:r w:rsidRPr="00073574">
        <w:rPr>
          <w:sz w:val="24"/>
        </w:rPr>
        <w:noBreakHyphen/>
        <w:t>T to be financed under voluntary contributions.</w:t>
      </w:r>
    </w:p>
    <w:tbl>
      <w:tblPr>
        <w:tblW w:w="952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10"/>
        <w:gridCol w:w="4895"/>
        <w:gridCol w:w="1216"/>
        <w:gridCol w:w="1165"/>
        <w:gridCol w:w="1336"/>
      </w:tblGrid>
      <w:tr w:rsidR="00F0236A" w:rsidRPr="00073574" w14:paraId="24CB5AE8" w14:textId="77777777" w:rsidTr="21540CF0">
        <w:trPr>
          <w:jc w:val="center"/>
        </w:trPr>
        <w:tc>
          <w:tcPr>
            <w:tcW w:w="911" w:type="dxa"/>
            <w:tcBorders>
              <w:top w:val="single" w:sz="12" w:space="0" w:color="auto"/>
              <w:bottom w:val="single" w:sz="12" w:space="0" w:color="auto"/>
            </w:tcBorders>
            <w:shd w:val="clear" w:color="auto" w:fill="auto"/>
            <w:vAlign w:val="center"/>
          </w:tcPr>
          <w:p w14:paraId="4B849956" w14:textId="77777777" w:rsidR="00F0236A" w:rsidRPr="00073574" w:rsidRDefault="00F0236A" w:rsidP="00C93943">
            <w:pPr>
              <w:pStyle w:val="Tablehead"/>
              <w:keepNext w:val="0"/>
              <w:rPr>
                <w:sz w:val="24"/>
                <w:szCs w:val="24"/>
              </w:rPr>
            </w:pPr>
            <w:r w:rsidRPr="00073574">
              <w:rPr>
                <w:sz w:val="24"/>
                <w:szCs w:val="24"/>
              </w:rPr>
              <w:t>Action Item</w:t>
            </w:r>
          </w:p>
        </w:tc>
        <w:tc>
          <w:tcPr>
            <w:tcW w:w="5073" w:type="dxa"/>
            <w:tcBorders>
              <w:top w:val="single" w:sz="12" w:space="0" w:color="auto"/>
              <w:bottom w:val="single" w:sz="12" w:space="0" w:color="auto"/>
            </w:tcBorders>
            <w:shd w:val="clear" w:color="auto" w:fill="auto"/>
            <w:vAlign w:val="center"/>
            <w:hideMark/>
          </w:tcPr>
          <w:p w14:paraId="38FB4C9D" w14:textId="77777777" w:rsidR="00F0236A" w:rsidRPr="00073574" w:rsidRDefault="00F0236A" w:rsidP="00601595">
            <w:pPr>
              <w:pStyle w:val="Tablehead"/>
              <w:keepLines/>
              <w:rPr>
                <w:sz w:val="24"/>
                <w:szCs w:val="24"/>
              </w:rPr>
            </w:pPr>
            <w:r w:rsidRPr="00073574">
              <w:rPr>
                <w:sz w:val="24"/>
                <w:szCs w:val="24"/>
              </w:rPr>
              <w:t>Action</w:t>
            </w:r>
          </w:p>
        </w:tc>
        <w:tc>
          <w:tcPr>
            <w:tcW w:w="1131" w:type="dxa"/>
            <w:tcBorders>
              <w:top w:val="single" w:sz="12" w:space="0" w:color="auto"/>
              <w:bottom w:val="single" w:sz="12" w:space="0" w:color="auto"/>
            </w:tcBorders>
            <w:shd w:val="clear" w:color="auto" w:fill="auto"/>
            <w:vAlign w:val="center"/>
            <w:hideMark/>
          </w:tcPr>
          <w:p w14:paraId="1BB6EABE" w14:textId="77777777" w:rsidR="00F0236A" w:rsidRPr="00073574" w:rsidRDefault="00F0236A" w:rsidP="00DF36E1">
            <w:pPr>
              <w:pStyle w:val="Tablehead"/>
              <w:rPr>
                <w:sz w:val="24"/>
                <w:szCs w:val="24"/>
              </w:rPr>
            </w:pPr>
            <w:r w:rsidRPr="00073574">
              <w:rPr>
                <w:sz w:val="24"/>
                <w:szCs w:val="24"/>
              </w:rPr>
              <w:t>Milestone</w:t>
            </w:r>
          </w:p>
        </w:tc>
        <w:tc>
          <w:tcPr>
            <w:tcW w:w="1170" w:type="dxa"/>
            <w:tcBorders>
              <w:top w:val="single" w:sz="12" w:space="0" w:color="auto"/>
              <w:bottom w:val="single" w:sz="12" w:space="0" w:color="auto"/>
            </w:tcBorders>
            <w:shd w:val="clear" w:color="auto" w:fill="auto"/>
          </w:tcPr>
          <w:p w14:paraId="53584E58" w14:textId="77777777" w:rsidR="00F0236A" w:rsidRPr="00073574" w:rsidRDefault="00F0236A" w:rsidP="00DF36E1">
            <w:pPr>
              <w:pStyle w:val="Tablehead"/>
              <w:rPr>
                <w:sz w:val="24"/>
                <w:szCs w:val="24"/>
              </w:rPr>
            </w:pPr>
            <w:r w:rsidRPr="00073574">
              <w:rPr>
                <w:sz w:val="24"/>
                <w:szCs w:val="24"/>
              </w:rPr>
              <w:t>Periodic goals met</w:t>
            </w:r>
          </w:p>
        </w:tc>
        <w:tc>
          <w:tcPr>
            <w:tcW w:w="1237" w:type="dxa"/>
            <w:tcBorders>
              <w:top w:val="single" w:sz="12" w:space="0" w:color="auto"/>
              <w:bottom w:val="single" w:sz="12" w:space="0" w:color="auto"/>
            </w:tcBorders>
            <w:shd w:val="clear" w:color="auto" w:fill="auto"/>
            <w:vAlign w:val="center"/>
          </w:tcPr>
          <w:p w14:paraId="7DC25F34" w14:textId="77777777" w:rsidR="00F0236A" w:rsidRPr="00073574" w:rsidRDefault="00F0236A" w:rsidP="00DF36E1">
            <w:pPr>
              <w:pStyle w:val="Tablehead"/>
              <w:rPr>
                <w:sz w:val="24"/>
                <w:szCs w:val="24"/>
              </w:rPr>
            </w:pPr>
            <w:r w:rsidRPr="00073574">
              <w:rPr>
                <w:sz w:val="24"/>
                <w:szCs w:val="24"/>
              </w:rPr>
              <w:t>Completed</w:t>
            </w:r>
          </w:p>
        </w:tc>
      </w:tr>
      <w:tr w:rsidR="00F0236A" w:rsidRPr="00073574" w14:paraId="6D4208E3" w14:textId="77777777" w:rsidTr="21540CF0">
        <w:trPr>
          <w:cantSplit/>
          <w:jc w:val="center"/>
        </w:trPr>
        <w:tc>
          <w:tcPr>
            <w:tcW w:w="911" w:type="dxa"/>
            <w:vMerge w:val="restart"/>
            <w:tcBorders>
              <w:top w:val="single" w:sz="12" w:space="0" w:color="auto"/>
            </w:tcBorders>
            <w:shd w:val="clear" w:color="auto" w:fill="auto"/>
          </w:tcPr>
          <w:p w14:paraId="286B4A6D" w14:textId="77777777" w:rsidR="00F0236A" w:rsidRPr="00073574" w:rsidRDefault="00F0236A" w:rsidP="009045D6">
            <w:pPr>
              <w:pStyle w:val="Tabletext"/>
              <w:rPr>
                <w:b/>
                <w:bCs/>
                <w:sz w:val="24"/>
                <w:szCs w:val="24"/>
              </w:rPr>
            </w:pPr>
            <w:r w:rsidRPr="00073574">
              <w:rPr>
                <w:b/>
                <w:bCs/>
                <w:sz w:val="24"/>
                <w:szCs w:val="24"/>
              </w:rPr>
              <w:t>34-01</w:t>
            </w:r>
          </w:p>
        </w:tc>
        <w:tc>
          <w:tcPr>
            <w:tcW w:w="5073" w:type="dxa"/>
            <w:tcBorders>
              <w:top w:val="single" w:sz="12" w:space="0" w:color="auto"/>
              <w:bottom w:val="single" w:sz="4" w:space="0" w:color="auto"/>
            </w:tcBorders>
            <w:shd w:val="clear" w:color="auto" w:fill="auto"/>
            <w:hideMark/>
          </w:tcPr>
          <w:p w14:paraId="371310C3" w14:textId="77777777" w:rsidR="00F0236A" w:rsidRPr="00073574" w:rsidRDefault="00F0236A" w:rsidP="009045D6">
            <w:pPr>
              <w:pStyle w:val="Tabletext"/>
              <w:rPr>
                <w:b/>
                <w:bCs/>
                <w:sz w:val="24"/>
                <w:szCs w:val="24"/>
              </w:rPr>
            </w:pPr>
            <w:r w:rsidRPr="00073574">
              <w:rPr>
                <w:b/>
                <w:bCs/>
                <w:sz w:val="24"/>
                <w:szCs w:val="24"/>
              </w:rPr>
              <w:t>TSB to solicit voluntary contributions for specific activities, e.g., projects, meetings, workshops, EWM</w:t>
            </w:r>
          </w:p>
        </w:tc>
        <w:tc>
          <w:tcPr>
            <w:tcW w:w="1131" w:type="dxa"/>
            <w:tcBorders>
              <w:top w:val="single" w:sz="12" w:space="0" w:color="auto"/>
              <w:bottom w:val="single" w:sz="4" w:space="0" w:color="auto"/>
            </w:tcBorders>
            <w:shd w:val="clear" w:color="auto" w:fill="auto"/>
            <w:vAlign w:val="center"/>
            <w:hideMark/>
          </w:tcPr>
          <w:p w14:paraId="7176E885" w14:textId="77777777" w:rsidR="00F0236A" w:rsidRPr="00073574" w:rsidRDefault="00F0236A" w:rsidP="009045D6">
            <w:pPr>
              <w:pStyle w:val="Tabletext"/>
              <w:jc w:val="center"/>
              <w:rPr>
                <w:b/>
                <w:bCs/>
                <w:sz w:val="24"/>
                <w:szCs w:val="24"/>
              </w:rPr>
            </w:pPr>
            <w:r w:rsidRPr="00073574">
              <w:rPr>
                <w:b/>
                <w:bCs/>
                <w:sz w:val="24"/>
                <w:szCs w:val="24"/>
              </w:rPr>
              <w:t>Ongoing</w:t>
            </w:r>
          </w:p>
        </w:tc>
        <w:tc>
          <w:tcPr>
            <w:tcW w:w="1170" w:type="dxa"/>
            <w:tcBorders>
              <w:top w:val="single" w:sz="12" w:space="0" w:color="auto"/>
              <w:bottom w:val="single" w:sz="4" w:space="0" w:color="auto"/>
            </w:tcBorders>
            <w:shd w:val="clear" w:color="auto" w:fill="auto"/>
            <w:vAlign w:val="center"/>
          </w:tcPr>
          <w:p w14:paraId="79C334CB" w14:textId="77777777" w:rsidR="00F0236A" w:rsidRPr="00073574" w:rsidRDefault="00F0236A" w:rsidP="009045D6">
            <w:pPr>
              <w:pStyle w:val="Tabletext"/>
              <w:jc w:val="center"/>
              <w:rPr>
                <w:b/>
                <w:bCs/>
                <w:sz w:val="24"/>
                <w:szCs w:val="24"/>
              </w:rPr>
            </w:pPr>
            <w:r w:rsidRPr="00073574">
              <w:rPr>
                <w:b/>
                <w:bCs/>
                <w:sz w:val="24"/>
                <w:szCs w:val="24"/>
              </w:rPr>
              <w:t>√</w:t>
            </w:r>
          </w:p>
        </w:tc>
        <w:tc>
          <w:tcPr>
            <w:tcW w:w="1237" w:type="dxa"/>
            <w:tcBorders>
              <w:top w:val="single" w:sz="12" w:space="0" w:color="auto"/>
              <w:bottom w:val="single" w:sz="4" w:space="0" w:color="auto"/>
            </w:tcBorders>
            <w:shd w:val="clear" w:color="auto" w:fill="auto"/>
            <w:vAlign w:val="center"/>
          </w:tcPr>
          <w:p w14:paraId="50CD40F6" w14:textId="77777777" w:rsidR="00F0236A" w:rsidRPr="00073574" w:rsidRDefault="00F0236A" w:rsidP="009045D6">
            <w:pPr>
              <w:pStyle w:val="Tabletext"/>
              <w:jc w:val="center"/>
              <w:rPr>
                <w:b/>
                <w:bCs/>
                <w:sz w:val="24"/>
                <w:szCs w:val="24"/>
              </w:rPr>
            </w:pPr>
          </w:p>
        </w:tc>
      </w:tr>
      <w:tr w:rsidR="00F0236A" w:rsidRPr="00073574" w14:paraId="48A7273B" w14:textId="77777777" w:rsidTr="00741E3C">
        <w:trPr>
          <w:jc w:val="center"/>
        </w:trPr>
        <w:tc>
          <w:tcPr>
            <w:tcW w:w="911" w:type="dxa"/>
            <w:vMerge/>
          </w:tcPr>
          <w:p w14:paraId="195BDF68" w14:textId="77777777" w:rsidR="00F0236A" w:rsidRPr="00073574" w:rsidRDefault="00F0236A" w:rsidP="009045D6">
            <w:pPr>
              <w:pStyle w:val="Tabletext"/>
              <w:rPr>
                <w:sz w:val="24"/>
                <w:szCs w:val="24"/>
              </w:rPr>
            </w:pPr>
          </w:p>
        </w:tc>
        <w:tc>
          <w:tcPr>
            <w:tcW w:w="8611" w:type="dxa"/>
            <w:gridSpan w:val="4"/>
            <w:tcBorders>
              <w:top w:val="single" w:sz="4" w:space="0" w:color="auto"/>
              <w:bottom w:val="single" w:sz="12" w:space="0" w:color="auto"/>
            </w:tcBorders>
            <w:shd w:val="clear" w:color="auto" w:fill="auto"/>
          </w:tcPr>
          <w:p w14:paraId="48E119F8" w14:textId="2C5C109B" w:rsidR="00F0236A" w:rsidRPr="00073574" w:rsidRDefault="00F0236A" w:rsidP="009045D6">
            <w:pPr>
              <w:pStyle w:val="Tabletext"/>
              <w:rPr>
                <w:szCs w:val="22"/>
              </w:rPr>
            </w:pPr>
            <w:r w:rsidRPr="00073574">
              <w:rPr>
                <w:szCs w:val="22"/>
              </w:rPr>
              <w:t>Over the period mid October 2016 to February 2017, the Ministry of Science</w:t>
            </w:r>
            <w:r w:rsidR="00E87C0E" w:rsidRPr="00073574">
              <w:t xml:space="preserve"> </w:t>
            </w:r>
            <w:r w:rsidR="00E87C0E" w:rsidRPr="00073574">
              <w:rPr>
                <w:szCs w:val="22"/>
              </w:rPr>
              <w:t>and</w:t>
            </w:r>
            <w:r w:rsidRPr="00073574">
              <w:rPr>
                <w:szCs w:val="22"/>
              </w:rPr>
              <w:t xml:space="preserve"> ICT (MSI</w:t>
            </w:r>
            <w:r w:rsidR="00E87C0E" w:rsidRPr="00073574">
              <w:rPr>
                <w:szCs w:val="22"/>
              </w:rPr>
              <w:t>T</w:t>
            </w:r>
            <w:r w:rsidRPr="00073574">
              <w:rPr>
                <w:szCs w:val="22"/>
              </w:rPr>
              <w:t xml:space="preserve">) of Korea </w:t>
            </w:r>
            <w:r w:rsidR="009853D8" w:rsidRPr="00073574">
              <w:rPr>
                <w:szCs w:val="22"/>
              </w:rPr>
              <w:t xml:space="preserve">(Rep. of) </w:t>
            </w:r>
            <w:r w:rsidRPr="00073574">
              <w:rPr>
                <w:szCs w:val="22"/>
              </w:rPr>
              <w:t>has made a contribution to the BSG Fund. TSB is encouraging other voluntary contributions to the BSG Fund.</w:t>
            </w:r>
          </w:p>
          <w:p w14:paraId="46075075" w14:textId="2E85416C" w:rsidR="0023696D" w:rsidRPr="00073574" w:rsidRDefault="0023696D" w:rsidP="009045D6">
            <w:pPr>
              <w:pStyle w:val="Tabletext"/>
              <w:rPr>
                <w:szCs w:val="22"/>
              </w:rPr>
            </w:pPr>
            <w:r w:rsidRPr="00073574">
              <w:rPr>
                <w:szCs w:val="22"/>
              </w:rPr>
              <w:lastRenderedPageBreak/>
              <w:t xml:space="preserve">Over the period </w:t>
            </w:r>
            <w:r w:rsidRPr="00073574">
              <w:rPr>
                <w:rFonts w:asciiTheme="majorBidi" w:hAnsiTheme="majorBidi" w:cstheme="majorBidi"/>
              </w:rPr>
              <w:t>March 2017 until January 2018</w:t>
            </w:r>
            <w:r w:rsidRPr="00073574">
              <w:rPr>
                <w:szCs w:val="22"/>
              </w:rPr>
              <w:t>, the Ministry of Science</w:t>
            </w:r>
            <w:r w:rsidRPr="00073574">
              <w:t xml:space="preserve"> </w:t>
            </w:r>
            <w:r w:rsidRPr="00073574">
              <w:rPr>
                <w:szCs w:val="22"/>
              </w:rPr>
              <w:t xml:space="preserve">and ICT (MSIT) of Korea </w:t>
            </w:r>
            <w:r w:rsidR="009853D8" w:rsidRPr="00073574">
              <w:rPr>
                <w:szCs w:val="22"/>
              </w:rPr>
              <w:t xml:space="preserve">(Rep. of) </w:t>
            </w:r>
            <w:r w:rsidRPr="00073574">
              <w:rPr>
                <w:szCs w:val="22"/>
              </w:rPr>
              <w:t>has made a contribution to the BSG Fund. TSB is encouraging other voluntary contributions to the BSG Fund.</w:t>
            </w:r>
          </w:p>
          <w:p w14:paraId="01118B9F" w14:textId="492B9284" w:rsidR="00056865" w:rsidRPr="00073574" w:rsidRDefault="00056865" w:rsidP="009045D6">
            <w:pPr>
              <w:pStyle w:val="Tabletext"/>
              <w:rPr>
                <w:szCs w:val="22"/>
              </w:rPr>
            </w:pPr>
            <w:r w:rsidRPr="00073574">
              <w:rPr>
                <w:szCs w:val="22"/>
              </w:rPr>
              <w:t xml:space="preserve">Over the period February 2018 until July 2019, the Ministry of Science and ICT (MSIT) of Korea </w:t>
            </w:r>
            <w:r w:rsidR="009853D8" w:rsidRPr="00073574">
              <w:rPr>
                <w:szCs w:val="22"/>
              </w:rPr>
              <w:t xml:space="preserve">(Rep. of) </w:t>
            </w:r>
            <w:r w:rsidRPr="00073574">
              <w:rPr>
                <w:szCs w:val="22"/>
              </w:rPr>
              <w:t>has made a contribution to the BSG Fund. TSB is encouraging other voluntary contributions to the BSG Fund.</w:t>
            </w:r>
          </w:p>
          <w:p w14:paraId="3EEB5E73" w14:textId="140A6F27" w:rsidR="00CF2E8E" w:rsidRPr="00073574" w:rsidRDefault="00CF2E8E" w:rsidP="00CF2E8E">
            <w:pPr>
              <w:pStyle w:val="Tabletext"/>
            </w:pPr>
            <w:r w:rsidRPr="00073574">
              <w:t xml:space="preserve">Over the period August 2019 until January 2020, the Ministry of Science and ICT (MSIT) of Korea </w:t>
            </w:r>
            <w:r w:rsidR="009853D8" w:rsidRPr="00073574">
              <w:rPr>
                <w:szCs w:val="22"/>
              </w:rPr>
              <w:t xml:space="preserve">(Rep. of) </w:t>
            </w:r>
            <w:r w:rsidR="00094C3E">
              <w:rPr>
                <w:szCs w:val="22"/>
              </w:rPr>
              <w:t>a</w:t>
            </w:r>
            <w:r w:rsidRPr="00073574">
              <w:t>nd the Telecommunications Regulatory Authority (TRA), UAE have made contributions to the BSG Fund. TSB is encouraging other voluntary contributions to the BSG Fund.</w:t>
            </w:r>
          </w:p>
          <w:p w14:paraId="66AFF54E" w14:textId="77777777" w:rsidR="00CF2E8E" w:rsidRPr="00073574" w:rsidRDefault="2D9B286A" w:rsidP="00845018">
            <w:pPr>
              <w:pStyle w:val="Tabletext"/>
              <w:rPr>
                <w:szCs w:val="22"/>
              </w:rPr>
            </w:pPr>
            <w:r w:rsidRPr="00073574">
              <w:rPr>
                <w:szCs w:val="22"/>
              </w:rPr>
              <w:t>Over the period January to August 2020, various entities have made contributions to specific activities (AI, FNC, ITU AI/ML in 5G Challenge and U4SCC).</w:t>
            </w:r>
          </w:p>
          <w:p w14:paraId="283EA9B5" w14:textId="77777777" w:rsidR="00CF2E8E" w:rsidRPr="00073574" w:rsidRDefault="00646063" w:rsidP="00845018">
            <w:pPr>
              <w:pStyle w:val="Tabletext"/>
              <w:rPr>
                <w:szCs w:val="22"/>
              </w:rPr>
            </w:pPr>
            <w:r w:rsidRPr="00073574">
              <w:rPr>
                <w:szCs w:val="22"/>
              </w:rPr>
              <w:t>Over the period September 2020 to September 2021, various entities have made contributions to specific activities (AI, FNC, BSG and U4SCC).</w:t>
            </w:r>
          </w:p>
          <w:p w14:paraId="749664D5" w14:textId="4A40FC44" w:rsidR="00CF2E8E" w:rsidRPr="00073574" w:rsidRDefault="003617D1" w:rsidP="00845018">
            <w:pPr>
              <w:pStyle w:val="Tabletext"/>
            </w:pPr>
            <w:r w:rsidRPr="00073574">
              <w:rPr>
                <w:szCs w:val="22"/>
              </w:rPr>
              <w:t>Over the period October 2021 until December 2021, various entities have made contributions to specific activities (AI and U4SCC).</w:t>
            </w:r>
          </w:p>
        </w:tc>
      </w:tr>
      <w:tr w:rsidR="00F0236A" w:rsidRPr="00073574" w14:paraId="3BAEE169" w14:textId="77777777" w:rsidTr="21540CF0">
        <w:trPr>
          <w:cantSplit/>
          <w:jc w:val="center"/>
        </w:trPr>
        <w:tc>
          <w:tcPr>
            <w:tcW w:w="911" w:type="dxa"/>
            <w:vMerge w:val="restart"/>
            <w:tcBorders>
              <w:top w:val="single" w:sz="12" w:space="0" w:color="auto"/>
            </w:tcBorders>
            <w:shd w:val="clear" w:color="auto" w:fill="auto"/>
          </w:tcPr>
          <w:p w14:paraId="4F98D2FB" w14:textId="77777777" w:rsidR="00F0236A" w:rsidRPr="00073574" w:rsidRDefault="00F0236A" w:rsidP="00DF36E1">
            <w:pPr>
              <w:pStyle w:val="Tabletext"/>
              <w:keepNext/>
              <w:keepLines/>
              <w:rPr>
                <w:b/>
                <w:bCs/>
                <w:sz w:val="24"/>
                <w:szCs w:val="24"/>
              </w:rPr>
            </w:pPr>
            <w:r w:rsidRPr="00073574">
              <w:rPr>
                <w:b/>
                <w:bCs/>
                <w:sz w:val="24"/>
                <w:szCs w:val="24"/>
              </w:rPr>
              <w:lastRenderedPageBreak/>
              <w:t>34-02</w:t>
            </w:r>
          </w:p>
        </w:tc>
        <w:tc>
          <w:tcPr>
            <w:tcW w:w="5073" w:type="dxa"/>
            <w:tcBorders>
              <w:top w:val="single" w:sz="12" w:space="0" w:color="auto"/>
            </w:tcBorders>
            <w:shd w:val="clear" w:color="auto" w:fill="auto"/>
            <w:hideMark/>
          </w:tcPr>
          <w:p w14:paraId="34E2CB24" w14:textId="77777777" w:rsidR="00F0236A" w:rsidRPr="00073574" w:rsidRDefault="00F0236A" w:rsidP="00DF36E1">
            <w:pPr>
              <w:pStyle w:val="Tabletext"/>
              <w:keepNext/>
              <w:keepLines/>
              <w:rPr>
                <w:b/>
                <w:bCs/>
                <w:sz w:val="24"/>
                <w:szCs w:val="24"/>
              </w:rPr>
            </w:pPr>
            <w:r w:rsidRPr="00073574">
              <w:rPr>
                <w:b/>
                <w:bCs/>
                <w:sz w:val="24"/>
                <w:szCs w:val="24"/>
              </w:rPr>
              <w:t xml:space="preserve">TSB presentations at workshops, regional meetings and other promotional events to include encouragement of voluntary contributions to fund new initiatives (also see </w:t>
            </w:r>
            <w:hyperlink w:anchor="Item44_01" w:history="1">
              <w:r w:rsidRPr="00073574">
                <w:rPr>
                  <w:rStyle w:val="Hyperlink"/>
                  <w:b/>
                  <w:bCs/>
                  <w:sz w:val="24"/>
                  <w:szCs w:val="24"/>
                </w:rPr>
                <w:t>Resolution 44</w:t>
              </w:r>
            </w:hyperlink>
            <w:r w:rsidRPr="00073574">
              <w:rPr>
                <w:b/>
                <w:bCs/>
                <w:sz w:val="24"/>
                <w:szCs w:val="24"/>
              </w:rPr>
              <w:t>)</w:t>
            </w:r>
          </w:p>
        </w:tc>
        <w:tc>
          <w:tcPr>
            <w:tcW w:w="1131" w:type="dxa"/>
            <w:tcBorders>
              <w:top w:val="single" w:sz="12" w:space="0" w:color="auto"/>
            </w:tcBorders>
            <w:shd w:val="clear" w:color="auto" w:fill="auto"/>
            <w:vAlign w:val="center"/>
            <w:hideMark/>
          </w:tcPr>
          <w:p w14:paraId="7B97E364" w14:textId="77777777" w:rsidR="00F0236A" w:rsidRPr="00073574" w:rsidRDefault="00F0236A" w:rsidP="00DF36E1">
            <w:pPr>
              <w:pStyle w:val="Tabletext"/>
              <w:keepNext/>
              <w:keepLines/>
              <w:jc w:val="center"/>
              <w:rPr>
                <w:b/>
                <w:bCs/>
                <w:sz w:val="24"/>
                <w:szCs w:val="24"/>
              </w:rPr>
            </w:pPr>
            <w:r w:rsidRPr="00073574">
              <w:rPr>
                <w:b/>
                <w:bCs/>
                <w:sz w:val="24"/>
                <w:szCs w:val="24"/>
              </w:rPr>
              <w:t>Ongoing</w:t>
            </w:r>
          </w:p>
        </w:tc>
        <w:tc>
          <w:tcPr>
            <w:tcW w:w="1170" w:type="dxa"/>
            <w:tcBorders>
              <w:top w:val="single" w:sz="12" w:space="0" w:color="auto"/>
            </w:tcBorders>
            <w:shd w:val="clear" w:color="auto" w:fill="auto"/>
            <w:vAlign w:val="center"/>
          </w:tcPr>
          <w:p w14:paraId="0CFB5FD4" w14:textId="4FD20196" w:rsidR="00F0236A" w:rsidRPr="00073574" w:rsidRDefault="00BD1ED4" w:rsidP="00DF36E1">
            <w:pPr>
              <w:pStyle w:val="Tabletext"/>
              <w:keepNext/>
              <w:keepLines/>
              <w:jc w:val="center"/>
              <w:rPr>
                <w:b/>
                <w:bCs/>
                <w:sz w:val="24"/>
                <w:szCs w:val="24"/>
              </w:rPr>
            </w:pPr>
            <w:r w:rsidRPr="00073574">
              <w:rPr>
                <w:b/>
                <w:bCs/>
                <w:sz w:val="24"/>
                <w:szCs w:val="24"/>
              </w:rPr>
              <w:t>√</w:t>
            </w:r>
          </w:p>
        </w:tc>
        <w:tc>
          <w:tcPr>
            <w:tcW w:w="1237" w:type="dxa"/>
            <w:tcBorders>
              <w:top w:val="single" w:sz="12" w:space="0" w:color="auto"/>
            </w:tcBorders>
            <w:shd w:val="clear" w:color="auto" w:fill="auto"/>
            <w:vAlign w:val="center"/>
          </w:tcPr>
          <w:p w14:paraId="2297FC18" w14:textId="77777777" w:rsidR="00F0236A" w:rsidRPr="00073574" w:rsidRDefault="00F0236A" w:rsidP="00DF36E1">
            <w:pPr>
              <w:pStyle w:val="Tabletext"/>
              <w:keepNext/>
              <w:keepLines/>
              <w:jc w:val="center"/>
              <w:rPr>
                <w:b/>
                <w:bCs/>
                <w:sz w:val="24"/>
                <w:szCs w:val="24"/>
              </w:rPr>
            </w:pPr>
          </w:p>
        </w:tc>
      </w:tr>
      <w:tr w:rsidR="00F0236A" w:rsidRPr="00073574" w14:paraId="385F0D85" w14:textId="77777777" w:rsidTr="21540CF0">
        <w:trPr>
          <w:cantSplit/>
          <w:jc w:val="center"/>
        </w:trPr>
        <w:tc>
          <w:tcPr>
            <w:tcW w:w="911" w:type="dxa"/>
            <w:vMerge/>
            <w:vAlign w:val="center"/>
          </w:tcPr>
          <w:p w14:paraId="3F0A57EE" w14:textId="77777777" w:rsidR="00F0236A" w:rsidRPr="00073574" w:rsidRDefault="00F0236A" w:rsidP="00DF36E1">
            <w:pPr>
              <w:pStyle w:val="Tabletext"/>
              <w:rPr>
                <w:sz w:val="24"/>
                <w:szCs w:val="24"/>
              </w:rPr>
            </w:pPr>
          </w:p>
        </w:tc>
        <w:tc>
          <w:tcPr>
            <w:tcW w:w="8611" w:type="dxa"/>
            <w:gridSpan w:val="4"/>
            <w:shd w:val="clear" w:color="auto" w:fill="auto"/>
          </w:tcPr>
          <w:p w14:paraId="0ADC16B0" w14:textId="7422B79D" w:rsidR="00F0236A" w:rsidRPr="00073574" w:rsidRDefault="00BD1ED4" w:rsidP="00BD1ED4">
            <w:pPr>
              <w:pStyle w:val="Tabletext"/>
              <w:keepNext/>
              <w:keepLines/>
              <w:rPr>
                <w:szCs w:val="22"/>
              </w:rPr>
            </w:pPr>
            <w:r w:rsidRPr="00073574">
              <w:rPr>
                <w:szCs w:val="22"/>
              </w:rPr>
              <w:t xml:space="preserve">TSB </w:t>
            </w:r>
            <w:r w:rsidR="00944F4E" w:rsidRPr="00073574">
              <w:rPr>
                <w:szCs w:val="22"/>
              </w:rPr>
              <w:t>prepar</w:t>
            </w:r>
            <w:r w:rsidRPr="00073574">
              <w:rPr>
                <w:szCs w:val="22"/>
              </w:rPr>
              <w:t>ed</w:t>
            </w:r>
            <w:r w:rsidR="00944F4E" w:rsidRPr="00073574">
              <w:rPr>
                <w:szCs w:val="22"/>
              </w:rPr>
              <w:t xml:space="preserve"> a slide on encouragement of voluntary contributions</w:t>
            </w:r>
            <w:r w:rsidRPr="00073574">
              <w:rPr>
                <w:szCs w:val="22"/>
              </w:rPr>
              <w:t>; this slide is included in the TSB workshop package since August 2018.</w:t>
            </w:r>
          </w:p>
        </w:tc>
      </w:tr>
    </w:tbl>
    <w:bookmarkStart w:id="104" w:name="Item34_01"/>
    <w:bookmarkStart w:id="105" w:name="Item34_02"/>
    <w:bookmarkEnd w:id="104"/>
    <w:bookmarkEnd w:id="105"/>
    <w:p w14:paraId="319667E8" w14:textId="77777777" w:rsidR="00F0236A" w:rsidRPr="00073574" w:rsidRDefault="00F0236A" w:rsidP="00F0236A">
      <w:pPr>
        <w:rPr>
          <w:sz w:val="24"/>
        </w:rPr>
      </w:pPr>
      <w:r w:rsidRPr="00073574">
        <w:rPr>
          <w:color w:val="2B579A"/>
          <w:shd w:val="clear" w:color="auto" w:fill="E6E6E6"/>
        </w:rPr>
        <w:fldChar w:fldCharType="begin"/>
      </w:r>
      <w:r w:rsidRPr="00073574">
        <w:rPr>
          <w:sz w:val="24"/>
        </w:rPr>
        <w:instrText xml:space="preserve"> HYPERLINK \l "Top" </w:instrText>
      </w:r>
      <w:r w:rsidRPr="00073574">
        <w:rPr>
          <w:color w:val="2B579A"/>
          <w:shd w:val="clear" w:color="auto" w:fill="E6E6E6"/>
        </w:rPr>
        <w:fldChar w:fldCharType="separate"/>
      </w:r>
      <w:r w:rsidRPr="00073574">
        <w:rPr>
          <w:rStyle w:val="Hyperlink"/>
          <w:rFonts w:eastAsia="Times New Roman"/>
          <w:sz w:val="24"/>
        </w:rPr>
        <w:t>» Top</w:t>
      </w:r>
      <w:r w:rsidRPr="00073574">
        <w:rPr>
          <w:rStyle w:val="Hyperlink"/>
          <w:rFonts w:eastAsia="Times New Roman"/>
          <w:sz w:val="24"/>
        </w:rPr>
        <w:fldChar w:fldCharType="end"/>
      </w:r>
    </w:p>
    <w:p w14:paraId="721CF8C8" w14:textId="77777777" w:rsidR="00F0236A" w:rsidRPr="00073574" w:rsidRDefault="00F0236A" w:rsidP="00F0236A">
      <w:pPr>
        <w:rPr>
          <w:sz w:val="24"/>
        </w:rPr>
      </w:pPr>
    </w:p>
    <w:p w14:paraId="5C811820" w14:textId="77777777" w:rsidR="00F0236A" w:rsidRPr="00073574" w:rsidRDefault="00F0236A" w:rsidP="00F0236A">
      <w:pPr>
        <w:pStyle w:val="Heading1"/>
        <w:rPr>
          <w:sz w:val="24"/>
          <w:szCs w:val="24"/>
          <w:lang w:val="en-GB"/>
        </w:rPr>
      </w:pPr>
      <w:bookmarkStart w:id="106" w:name="Resolution_35"/>
      <w:bookmarkStart w:id="107" w:name="_Resolution_35_-"/>
      <w:bookmarkStart w:id="108" w:name="_Toc471715364"/>
      <w:bookmarkStart w:id="109" w:name="_Toc304236426"/>
      <w:bookmarkStart w:id="110" w:name="_Toc93425250"/>
      <w:bookmarkEnd w:id="106"/>
      <w:bookmarkEnd w:id="107"/>
      <w:r w:rsidRPr="00073574">
        <w:rPr>
          <w:sz w:val="24"/>
          <w:szCs w:val="24"/>
          <w:lang w:val="en-GB"/>
        </w:rPr>
        <w:t>Resolution 35 - Appointment and maximum term of office for chairmen and vice chairmen of study groups of the Telecommunication Standardization Sector and of the Telecommunication Standardization Advisory Group</w:t>
      </w:r>
      <w:bookmarkEnd w:id="108"/>
      <w:bookmarkEnd w:id="109"/>
      <w:bookmarkEnd w:id="110"/>
    </w:p>
    <w:p w14:paraId="5F876D0C" w14:textId="77777777" w:rsidR="00F0236A" w:rsidRPr="00073574" w:rsidRDefault="00F0236A" w:rsidP="00F0236A">
      <w:pPr>
        <w:rPr>
          <w:b/>
          <w:bCs/>
          <w:sz w:val="24"/>
        </w:rPr>
      </w:pPr>
      <w:r w:rsidRPr="00073574">
        <w:rPr>
          <w:b/>
          <w:bCs/>
          <w:sz w:val="24"/>
        </w:rPr>
        <w:t>Resolution 35</w:t>
      </w:r>
    </w:p>
    <w:p w14:paraId="696F5500" w14:textId="77777777" w:rsidR="00F0236A" w:rsidRPr="00073574" w:rsidRDefault="00F0236A" w:rsidP="00F0236A">
      <w:pPr>
        <w:pStyle w:val="Call"/>
        <w:rPr>
          <w:sz w:val="24"/>
          <w:szCs w:val="24"/>
          <w:lang w:val="en-GB"/>
        </w:rPr>
      </w:pPr>
      <w:r w:rsidRPr="00073574">
        <w:rPr>
          <w:sz w:val="24"/>
          <w:szCs w:val="24"/>
          <w:lang w:val="en-GB"/>
        </w:rPr>
        <w:t>resolves</w:t>
      </w:r>
    </w:p>
    <w:p w14:paraId="6F1CD390" w14:textId="77777777" w:rsidR="00F0236A" w:rsidRPr="00073574" w:rsidRDefault="00F0236A" w:rsidP="00F0236A">
      <w:pPr>
        <w:rPr>
          <w:sz w:val="24"/>
        </w:rPr>
      </w:pPr>
      <w:r w:rsidRPr="00073574">
        <w:rPr>
          <w:sz w:val="24"/>
        </w:rPr>
        <w:t>1</w:t>
      </w:r>
      <w:r w:rsidRPr="00073574">
        <w:rPr>
          <w:sz w:val="24"/>
        </w:rPr>
        <w:tab/>
        <w:t xml:space="preserve">that candidates for the posts of chairmen and vice-chairmen of the ITU-T study groups and candidates for the posts of chairman and vice-chairmen of TSAG should be appointed according to the procedures given in Annex A, the qualifications given in Annex B and the guidelines given in Annex C to this resolution and </w:t>
      </w:r>
      <w:r w:rsidRPr="00073574">
        <w:rPr>
          <w:i/>
          <w:iCs/>
          <w:sz w:val="24"/>
        </w:rPr>
        <w:t>resolves</w:t>
      </w:r>
      <w:r w:rsidRPr="00073574">
        <w:rPr>
          <w:sz w:val="24"/>
        </w:rPr>
        <w:t> 2 of Resolution 58 (Rev. Busan, 2014);</w:t>
      </w:r>
    </w:p>
    <w:p w14:paraId="3FED311A" w14:textId="77777777" w:rsidR="00F0236A" w:rsidRPr="00073574" w:rsidRDefault="00F0236A" w:rsidP="00F0236A">
      <w:pPr>
        <w:rPr>
          <w:sz w:val="24"/>
        </w:rPr>
      </w:pPr>
      <w:r w:rsidRPr="00073574">
        <w:rPr>
          <w:sz w:val="24"/>
        </w:rPr>
        <w:t>2</w:t>
      </w:r>
      <w:r w:rsidRPr="00073574">
        <w:rPr>
          <w:sz w:val="24"/>
        </w:rPr>
        <w:tab/>
        <w:t>that candidates for the posts of study group chairmen and vice-chairmen and candidates for the posts of chairman and vice-chairmen of TSAG should be identified, taking into account that, for each study group and for TSAG, WTSA will appoint the chairman and only the number of vice-chairmen deemed necessary for the efficient and effective management and functioning of the group in question, applying the guidelines given in Annex C;</w:t>
      </w:r>
    </w:p>
    <w:p w14:paraId="09817A9B" w14:textId="77777777" w:rsidR="00F0236A" w:rsidRPr="00073574" w:rsidRDefault="00F0236A" w:rsidP="00F0236A">
      <w:pPr>
        <w:rPr>
          <w:sz w:val="24"/>
        </w:rPr>
      </w:pPr>
      <w:r w:rsidRPr="00073574">
        <w:rPr>
          <w:sz w:val="24"/>
        </w:rPr>
        <w:t>3</w:t>
      </w:r>
      <w:r w:rsidRPr="00073574">
        <w:rPr>
          <w:sz w:val="24"/>
        </w:rPr>
        <w:tab/>
        <w:t>that nominations for the posts of study group chairmen and vice</w:t>
      </w:r>
      <w:r w:rsidRPr="00073574">
        <w:rPr>
          <w:sz w:val="24"/>
        </w:rPr>
        <w:noBreakHyphen/>
        <w:t>chairmen or for a post of chairman and vice</w:t>
      </w:r>
      <w:r w:rsidRPr="00073574">
        <w:rPr>
          <w:sz w:val="24"/>
        </w:rPr>
        <w:noBreakHyphen/>
        <w:t>chairmen of TSAG should be accompanied by a biographical profile highlighting the qualifications of the individuals proposed, taking into careful consideration continuity in participation in ITU-T study groups or TSAG, and that the Director of the Telecommunication Standardization Bureau will circulate the profiles to the heads of delegation present at WTSA;</w:t>
      </w:r>
    </w:p>
    <w:p w14:paraId="47493CB6" w14:textId="77777777" w:rsidR="00F0236A" w:rsidRPr="00073574" w:rsidRDefault="00F0236A" w:rsidP="00F0236A">
      <w:pPr>
        <w:rPr>
          <w:sz w:val="24"/>
        </w:rPr>
      </w:pPr>
      <w:r w:rsidRPr="00073574">
        <w:rPr>
          <w:sz w:val="24"/>
        </w:rPr>
        <w:lastRenderedPageBreak/>
        <w:t>4</w:t>
      </w:r>
      <w:r w:rsidRPr="00073574">
        <w:rPr>
          <w:sz w:val="24"/>
        </w:rPr>
        <w:tab/>
        <w:t>that the term of office for both chairmen and vice-chairmen should not exceed two terms of office between consecutive assemblies;</w:t>
      </w:r>
    </w:p>
    <w:p w14:paraId="5FAAF8FE" w14:textId="77777777" w:rsidR="00F0236A" w:rsidRPr="00073574" w:rsidRDefault="00F0236A" w:rsidP="00F0236A">
      <w:pPr>
        <w:rPr>
          <w:sz w:val="24"/>
        </w:rPr>
      </w:pPr>
      <w:r w:rsidRPr="00073574">
        <w:rPr>
          <w:sz w:val="24"/>
        </w:rPr>
        <w:t>5</w:t>
      </w:r>
      <w:r w:rsidRPr="00073574">
        <w:rPr>
          <w:sz w:val="24"/>
        </w:rPr>
        <w:tab/>
        <w:t>that the term of office in one appointment (e.g. as a vice-chairman) does not count towards the term of office for another appointment (e.g. as a chairman) and that steps should be taken to provide some continuity between chairmen and vice-chairmen;</w:t>
      </w:r>
    </w:p>
    <w:p w14:paraId="3D1F112C" w14:textId="77777777" w:rsidR="00F0236A" w:rsidRPr="00073574" w:rsidRDefault="00F0236A" w:rsidP="00F0236A">
      <w:pPr>
        <w:rPr>
          <w:sz w:val="24"/>
        </w:rPr>
      </w:pPr>
      <w:r w:rsidRPr="00073574">
        <w:rPr>
          <w:sz w:val="24"/>
        </w:rPr>
        <w:t>6</w:t>
      </w:r>
      <w:r w:rsidRPr="00073574">
        <w:rPr>
          <w:sz w:val="24"/>
        </w:rPr>
        <w:tab/>
        <w:t>that the interval between assemblies during which a chairman or vice-chairman is elected under No. 244 of the Convention does not count towards the term of office,</w:t>
      </w:r>
    </w:p>
    <w:p w14:paraId="6BE2AA36" w14:textId="77777777" w:rsidR="00F0236A" w:rsidRPr="00073574" w:rsidRDefault="00F0236A" w:rsidP="00F0236A">
      <w:pPr>
        <w:pStyle w:val="Call"/>
        <w:rPr>
          <w:sz w:val="24"/>
          <w:szCs w:val="24"/>
          <w:lang w:val="en-GB"/>
        </w:rPr>
      </w:pPr>
      <w:r w:rsidRPr="00073574">
        <w:rPr>
          <w:sz w:val="24"/>
          <w:szCs w:val="24"/>
          <w:lang w:val="en-GB"/>
        </w:rPr>
        <w:t>resolves further</w:t>
      </w:r>
    </w:p>
    <w:p w14:paraId="71A8C2AA" w14:textId="77777777" w:rsidR="00F0236A" w:rsidRPr="00073574" w:rsidRDefault="00F0236A" w:rsidP="00F0236A">
      <w:pPr>
        <w:rPr>
          <w:sz w:val="24"/>
        </w:rPr>
      </w:pPr>
      <w:r w:rsidRPr="00073574">
        <w:rPr>
          <w:sz w:val="24"/>
        </w:rPr>
        <w:t>1</w:t>
      </w:r>
      <w:r w:rsidRPr="00073574">
        <w:rPr>
          <w:sz w:val="24"/>
        </w:rPr>
        <w:tab/>
        <w:t>that vice-chairmen of TSAG and study groups should be encouraged to assume the leadership role of activities in order to ensure equitable distribution of tasks and to achieve greater involvement by the vice-chairmen in the management and work of TSAG and the study groups;</w:t>
      </w:r>
    </w:p>
    <w:p w14:paraId="7240E712" w14:textId="77777777" w:rsidR="00F0236A" w:rsidRPr="00073574" w:rsidRDefault="00F0236A" w:rsidP="00F0236A">
      <w:pPr>
        <w:rPr>
          <w:sz w:val="24"/>
        </w:rPr>
      </w:pPr>
      <w:r w:rsidRPr="00073574">
        <w:rPr>
          <w:sz w:val="24"/>
        </w:rPr>
        <w:t>2</w:t>
      </w:r>
      <w:r w:rsidRPr="00073574">
        <w:rPr>
          <w:sz w:val="24"/>
        </w:rPr>
        <w:tab/>
        <w:t xml:space="preserve">that the appointment of vice-chairmen of study groups should be limited to three candidates from each region, taking into account Resolution 70 (Rev. Busan, 2014) and </w:t>
      </w:r>
      <w:r w:rsidRPr="00073574">
        <w:rPr>
          <w:i/>
          <w:iCs/>
          <w:sz w:val="24"/>
        </w:rPr>
        <w:t>resolves</w:t>
      </w:r>
      <w:r w:rsidRPr="00073574">
        <w:rPr>
          <w:sz w:val="24"/>
        </w:rPr>
        <w:t> 2 of Resolution 58 (Rev. Busan, 2014), to ensure equitable geographical distribution among the ITU regions so as to ensure that every region is represented by not more than three competent and qualified candidates,</w:t>
      </w:r>
    </w:p>
    <w:p w14:paraId="3EED8C5C" w14:textId="77777777" w:rsidR="00F0236A" w:rsidRPr="00073574" w:rsidRDefault="00F0236A" w:rsidP="00F0236A">
      <w:pPr>
        <w:pStyle w:val="Call"/>
        <w:rPr>
          <w:sz w:val="24"/>
          <w:szCs w:val="24"/>
          <w:lang w:val="en-GB"/>
        </w:rPr>
      </w:pPr>
      <w:r w:rsidRPr="00073574">
        <w:rPr>
          <w:sz w:val="24"/>
          <w:szCs w:val="24"/>
          <w:lang w:val="en-GB"/>
        </w:rPr>
        <w:t>invites Member States and Sector Members</w:t>
      </w:r>
    </w:p>
    <w:p w14:paraId="3A2E71C6" w14:textId="77777777" w:rsidR="00F0236A" w:rsidRPr="00073574" w:rsidRDefault="00F0236A" w:rsidP="00F0236A">
      <w:pPr>
        <w:pStyle w:val="Call"/>
        <w:ind w:left="0"/>
        <w:rPr>
          <w:i w:val="0"/>
          <w:iCs/>
          <w:sz w:val="24"/>
          <w:szCs w:val="24"/>
          <w:lang w:val="en-GB"/>
        </w:rPr>
      </w:pPr>
      <w:r w:rsidRPr="00073574">
        <w:rPr>
          <w:i w:val="0"/>
          <w:iCs/>
          <w:sz w:val="24"/>
          <w:szCs w:val="24"/>
          <w:lang w:val="en-GB"/>
        </w:rPr>
        <w:t>1</w:t>
      </w:r>
      <w:r w:rsidRPr="00073574">
        <w:rPr>
          <w:i w:val="0"/>
          <w:iCs/>
          <w:sz w:val="24"/>
          <w:szCs w:val="24"/>
          <w:lang w:val="en-GB"/>
        </w:rPr>
        <w:tab/>
        <w:t>to support their successful candidates for such posts in ITU-T, and support and facilitate their task during their term of office;</w:t>
      </w:r>
    </w:p>
    <w:p w14:paraId="22CF964B" w14:textId="77777777" w:rsidR="00F0236A" w:rsidRPr="00073574" w:rsidRDefault="00F0236A" w:rsidP="00F0236A">
      <w:pPr>
        <w:spacing w:after="240"/>
        <w:rPr>
          <w:sz w:val="24"/>
        </w:rPr>
      </w:pPr>
      <w:r w:rsidRPr="00073574">
        <w:rPr>
          <w:sz w:val="24"/>
        </w:rPr>
        <w:t>2</w:t>
      </w:r>
      <w:r w:rsidRPr="00073574">
        <w:rPr>
          <w:sz w:val="24"/>
        </w:rPr>
        <w:tab/>
        <w:t>to promote the nomination of women candidates for the posts of chairmen and vice-chairmen of the ITU-T study groups and for the posts of chairman and vice-chairmen of TSAG.</w:t>
      </w:r>
    </w:p>
    <w:tbl>
      <w:tblPr>
        <w:tblW w:w="952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11"/>
        <w:gridCol w:w="4872"/>
        <w:gridCol w:w="1216"/>
        <w:gridCol w:w="1187"/>
        <w:gridCol w:w="1336"/>
      </w:tblGrid>
      <w:tr w:rsidR="00F0236A" w:rsidRPr="00073574" w14:paraId="11F60CFD" w14:textId="77777777" w:rsidTr="00CA1EB0">
        <w:trPr>
          <w:jc w:val="center"/>
        </w:trPr>
        <w:tc>
          <w:tcPr>
            <w:tcW w:w="912" w:type="dxa"/>
            <w:tcBorders>
              <w:top w:val="single" w:sz="12" w:space="0" w:color="auto"/>
              <w:bottom w:val="single" w:sz="12" w:space="0" w:color="auto"/>
            </w:tcBorders>
            <w:shd w:val="clear" w:color="auto" w:fill="auto"/>
            <w:vAlign w:val="center"/>
          </w:tcPr>
          <w:p w14:paraId="10C57B2A" w14:textId="77777777" w:rsidR="00F0236A" w:rsidRPr="00073574" w:rsidRDefault="00F0236A" w:rsidP="000526ED">
            <w:pPr>
              <w:pStyle w:val="Tablehead"/>
              <w:keepNext w:val="0"/>
              <w:rPr>
                <w:sz w:val="24"/>
                <w:szCs w:val="24"/>
              </w:rPr>
            </w:pPr>
            <w:r w:rsidRPr="00073574">
              <w:rPr>
                <w:sz w:val="24"/>
                <w:szCs w:val="24"/>
              </w:rPr>
              <w:t>Action Item</w:t>
            </w:r>
          </w:p>
        </w:tc>
        <w:tc>
          <w:tcPr>
            <w:tcW w:w="5126" w:type="dxa"/>
            <w:tcBorders>
              <w:top w:val="single" w:sz="12" w:space="0" w:color="auto"/>
              <w:bottom w:val="single" w:sz="12" w:space="0" w:color="auto"/>
            </w:tcBorders>
            <w:shd w:val="clear" w:color="auto" w:fill="auto"/>
            <w:vAlign w:val="center"/>
            <w:hideMark/>
          </w:tcPr>
          <w:p w14:paraId="0312AB6A" w14:textId="77777777" w:rsidR="00F0236A" w:rsidRPr="00073574" w:rsidRDefault="00F0236A" w:rsidP="00CA1EB0">
            <w:pPr>
              <w:pStyle w:val="Tablehead"/>
              <w:keepLines/>
              <w:rPr>
                <w:sz w:val="24"/>
                <w:szCs w:val="24"/>
              </w:rPr>
            </w:pPr>
            <w:r w:rsidRPr="00073574">
              <w:rPr>
                <w:sz w:val="24"/>
                <w:szCs w:val="24"/>
              </w:rPr>
              <w:t>Action</w:t>
            </w:r>
          </w:p>
        </w:tc>
        <w:tc>
          <w:tcPr>
            <w:tcW w:w="1050" w:type="dxa"/>
            <w:tcBorders>
              <w:top w:val="single" w:sz="12" w:space="0" w:color="auto"/>
              <w:bottom w:val="single" w:sz="12" w:space="0" w:color="auto"/>
            </w:tcBorders>
            <w:shd w:val="clear" w:color="auto" w:fill="auto"/>
            <w:vAlign w:val="center"/>
            <w:hideMark/>
          </w:tcPr>
          <w:p w14:paraId="7E46BAF9" w14:textId="77777777" w:rsidR="00F0236A" w:rsidRPr="00073574" w:rsidRDefault="00F0236A" w:rsidP="00DF36E1">
            <w:pPr>
              <w:pStyle w:val="Tablehead"/>
              <w:rPr>
                <w:sz w:val="24"/>
                <w:szCs w:val="24"/>
              </w:rPr>
            </w:pPr>
            <w:r w:rsidRPr="00073574">
              <w:rPr>
                <w:sz w:val="24"/>
                <w:szCs w:val="24"/>
              </w:rPr>
              <w:t>Milestone</w:t>
            </w:r>
          </w:p>
        </w:tc>
        <w:tc>
          <w:tcPr>
            <w:tcW w:w="1197" w:type="dxa"/>
            <w:tcBorders>
              <w:top w:val="single" w:sz="12" w:space="0" w:color="auto"/>
              <w:bottom w:val="single" w:sz="12" w:space="0" w:color="auto"/>
            </w:tcBorders>
            <w:shd w:val="clear" w:color="auto" w:fill="auto"/>
          </w:tcPr>
          <w:p w14:paraId="7A7FEEDF" w14:textId="77777777" w:rsidR="00F0236A" w:rsidRPr="00073574" w:rsidRDefault="00F0236A" w:rsidP="00DF36E1">
            <w:pPr>
              <w:pStyle w:val="Tablehead"/>
              <w:rPr>
                <w:sz w:val="24"/>
                <w:szCs w:val="24"/>
              </w:rPr>
            </w:pPr>
            <w:r w:rsidRPr="00073574">
              <w:rPr>
                <w:sz w:val="24"/>
                <w:szCs w:val="24"/>
              </w:rPr>
              <w:t>Periodic goals met</w:t>
            </w:r>
          </w:p>
        </w:tc>
        <w:tc>
          <w:tcPr>
            <w:tcW w:w="1237" w:type="dxa"/>
            <w:tcBorders>
              <w:top w:val="single" w:sz="12" w:space="0" w:color="auto"/>
              <w:bottom w:val="single" w:sz="12" w:space="0" w:color="auto"/>
            </w:tcBorders>
            <w:shd w:val="clear" w:color="auto" w:fill="auto"/>
            <w:vAlign w:val="center"/>
          </w:tcPr>
          <w:p w14:paraId="18FBE111" w14:textId="77777777" w:rsidR="00F0236A" w:rsidRPr="00073574" w:rsidRDefault="00F0236A" w:rsidP="00DF36E1">
            <w:pPr>
              <w:pStyle w:val="Tablehead"/>
              <w:rPr>
                <w:sz w:val="24"/>
                <w:szCs w:val="24"/>
              </w:rPr>
            </w:pPr>
            <w:r w:rsidRPr="00073574">
              <w:rPr>
                <w:sz w:val="24"/>
                <w:szCs w:val="24"/>
              </w:rPr>
              <w:t>Completed</w:t>
            </w:r>
          </w:p>
        </w:tc>
      </w:tr>
      <w:tr w:rsidR="00F0236A" w:rsidRPr="00073574" w14:paraId="708F0639" w14:textId="77777777" w:rsidTr="00586F97">
        <w:trPr>
          <w:cantSplit/>
          <w:jc w:val="center"/>
        </w:trPr>
        <w:tc>
          <w:tcPr>
            <w:tcW w:w="912" w:type="dxa"/>
            <w:vMerge w:val="restart"/>
            <w:tcBorders>
              <w:top w:val="single" w:sz="12" w:space="0" w:color="auto"/>
            </w:tcBorders>
            <w:shd w:val="clear" w:color="auto" w:fill="auto"/>
          </w:tcPr>
          <w:p w14:paraId="275D0826" w14:textId="77777777" w:rsidR="00F0236A" w:rsidRPr="00073574" w:rsidRDefault="00F0236A" w:rsidP="00B27337">
            <w:pPr>
              <w:pStyle w:val="Tabletext"/>
              <w:rPr>
                <w:b/>
                <w:bCs/>
                <w:sz w:val="24"/>
                <w:szCs w:val="24"/>
              </w:rPr>
            </w:pPr>
            <w:r w:rsidRPr="00073574">
              <w:rPr>
                <w:b/>
                <w:bCs/>
                <w:sz w:val="24"/>
                <w:szCs w:val="24"/>
              </w:rPr>
              <w:t>35-01</w:t>
            </w:r>
          </w:p>
        </w:tc>
        <w:tc>
          <w:tcPr>
            <w:tcW w:w="5126" w:type="dxa"/>
            <w:tcBorders>
              <w:top w:val="single" w:sz="12" w:space="0" w:color="auto"/>
              <w:bottom w:val="single" w:sz="4" w:space="0" w:color="auto"/>
            </w:tcBorders>
            <w:shd w:val="clear" w:color="auto" w:fill="auto"/>
            <w:hideMark/>
          </w:tcPr>
          <w:p w14:paraId="370E6329" w14:textId="77777777" w:rsidR="00F0236A" w:rsidRPr="00073574" w:rsidRDefault="00F0236A" w:rsidP="00CA1EB0">
            <w:pPr>
              <w:pStyle w:val="Tabletext"/>
              <w:keepNext/>
              <w:keepLines/>
              <w:rPr>
                <w:b/>
                <w:bCs/>
                <w:sz w:val="24"/>
                <w:szCs w:val="24"/>
              </w:rPr>
            </w:pPr>
            <w:r w:rsidRPr="00073574">
              <w:rPr>
                <w:b/>
                <w:bCs/>
                <w:sz w:val="24"/>
                <w:szCs w:val="24"/>
              </w:rPr>
              <w:t xml:space="preserve">TSB Director to issue Circular soliciting candidates for SG chairmen and vice chairmen, especially to make the BSG responsibilities known before the appointment of chairmen/vice-chairmen of TSAG and ITU-T study groups (see also </w:t>
            </w:r>
            <w:hyperlink w:anchor="Item44_01" w:history="1">
              <w:r w:rsidRPr="00073574">
                <w:rPr>
                  <w:rStyle w:val="Hyperlink"/>
                  <w:b/>
                  <w:bCs/>
                  <w:sz w:val="24"/>
                  <w:szCs w:val="24"/>
                </w:rPr>
                <w:t>Resolution 44</w:t>
              </w:r>
            </w:hyperlink>
            <w:r w:rsidRPr="00073574">
              <w:rPr>
                <w:b/>
                <w:bCs/>
                <w:sz w:val="24"/>
                <w:szCs w:val="24"/>
              </w:rPr>
              <w:t xml:space="preserve">) and to encourage women experts (see also </w:t>
            </w:r>
            <w:hyperlink w:anchor="Item55_01" w:history="1">
              <w:r w:rsidRPr="00073574">
                <w:rPr>
                  <w:rStyle w:val="Hyperlink"/>
                  <w:rFonts w:eastAsia="Malgun Gothic"/>
                  <w:b/>
                  <w:bCs/>
                  <w:sz w:val="24"/>
                  <w:szCs w:val="24"/>
                  <w:lang w:eastAsia="ja-JP"/>
                </w:rPr>
                <w:t>Resolution 55</w:t>
              </w:r>
            </w:hyperlink>
            <w:r w:rsidRPr="00073574">
              <w:rPr>
                <w:b/>
                <w:bCs/>
                <w:sz w:val="24"/>
                <w:szCs w:val="24"/>
              </w:rPr>
              <w:t>)</w:t>
            </w:r>
          </w:p>
        </w:tc>
        <w:tc>
          <w:tcPr>
            <w:tcW w:w="1050" w:type="dxa"/>
            <w:tcBorders>
              <w:top w:val="single" w:sz="12" w:space="0" w:color="auto"/>
              <w:bottom w:val="single" w:sz="4" w:space="0" w:color="auto"/>
            </w:tcBorders>
            <w:shd w:val="clear" w:color="auto" w:fill="auto"/>
            <w:vAlign w:val="center"/>
            <w:hideMark/>
          </w:tcPr>
          <w:p w14:paraId="3DFEEF11" w14:textId="22A47858" w:rsidR="00F0236A" w:rsidRPr="00073574" w:rsidRDefault="00F0236A" w:rsidP="00DF36E1">
            <w:pPr>
              <w:pStyle w:val="Tabletext"/>
              <w:jc w:val="center"/>
              <w:rPr>
                <w:b/>
                <w:bCs/>
                <w:sz w:val="24"/>
                <w:szCs w:val="24"/>
              </w:rPr>
            </w:pPr>
            <w:r w:rsidRPr="00073574">
              <w:rPr>
                <w:b/>
                <w:bCs/>
                <w:sz w:val="24"/>
                <w:szCs w:val="24"/>
              </w:rPr>
              <w:t>202</w:t>
            </w:r>
            <w:r w:rsidR="000806E6" w:rsidRPr="00073574">
              <w:rPr>
                <w:b/>
                <w:bCs/>
                <w:sz w:val="24"/>
                <w:szCs w:val="24"/>
              </w:rPr>
              <w:t>1</w:t>
            </w:r>
          </w:p>
        </w:tc>
        <w:tc>
          <w:tcPr>
            <w:tcW w:w="1197" w:type="dxa"/>
            <w:tcBorders>
              <w:top w:val="single" w:sz="12" w:space="0" w:color="auto"/>
              <w:bottom w:val="single" w:sz="4" w:space="0" w:color="auto"/>
            </w:tcBorders>
            <w:shd w:val="clear" w:color="auto" w:fill="auto"/>
            <w:vAlign w:val="center"/>
          </w:tcPr>
          <w:p w14:paraId="78262A7A" w14:textId="75D53C7C" w:rsidR="00F0236A" w:rsidRPr="00073574" w:rsidRDefault="00E35AA8" w:rsidP="00DF36E1">
            <w:pPr>
              <w:pStyle w:val="Tabletext"/>
              <w:jc w:val="center"/>
              <w:rPr>
                <w:b/>
                <w:bCs/>
                <w:sz w:val="24"/>
                <w:szCs w:val="24"/>
              </w:rPr>
            </w:pPr>
            <w:r w:rsidRPr="00073574">
              <w:rPr>
                <w:b/>
                <w:bCs/>
                <w:sz w:val="24"/>
                <w:szCs w:val="24"/>
              </w:rPr>
              <w:t>√</w:t>
            </w:r>
          </w:p>
        </w:tc>
        <w:tc>
          <w:tcPr>
            <w:tcW w:w="1237" w:type="dxa"/>
            <w:tcBorders>
              <w:top w:val="single" w:sz="12" w:space="0" w:color="auto"/>
              <w:bottom w:val="single" w:sz="4" w:space="0" w:color="auto"/>
            </w:tcBorders>
            <w:shd w:val="clear" w:color="auto" w:fill="auto"/>
            <w:vAlign w:val="center"/>
          </w:tcPr>
          <w:p w14:paraId="6B387936" w14:textId="107E5BB5" w:rsidR="00F0236A" w:rsidRPr="00073574" w:rsidRDefault="00E35AA8" w:rsidP="00DF36E1">
            <w:pPr>
              <w:pStyle w:val="Tabletext"/>
              <w:jc w:val="center"/>
              <w:rPr>
                <w:b/>
                <w:bCs/>
                <w:sz w:val="24"/>
                <w:szCs w:val="24"/>
              </w:rPr>
            </w:pPr>
            <w:r w:rsidRPr="00073574">
              <w:rPr>
                <w:b/>
                <w:bCs/>
                <w:sz w:val="24"/>
                <w:szCs w:val="24"/>
              </w:rPr>
              <w:t>√</w:t>
            </w:r>
          </w:p>
        </w:tc>
      </w:tr>
      <w:tr w:rsidR="00F0236A" w:rsidRPr="00073574" w14:paraId="002043A0" w14:textId="77777777" w:rsidTr="00DF36E1">
        <w:trPr>
          <w:cantSplit/>
          <w:jc w:val="center"/>
        </w:trPr>
        <w:tc>
          <w:tcPr>
            <w:tcW w:w="912" w:type="dxa"/>
            <w:vMerge/>
            <w:tcBorders>
              <w:bottom w:val="single" w:sz="12" w:space="0" w:color="auto"/>
            </w:tcBorders>
            <w:shd w:val="clear" w:color="auto" w:fill="auto"/>
            <w:vAlign w:val="center"/>
          </w:tcPr>
          <w:p w14:paraId="39EEB16B" w14:textId="77777777" w:rsidR="00F0236A" w:rsidRPr="00073574" w:rsidRDefault="00F0236A" w:rsidP="00DF36E1">
            <w:pPr>
              <w:pStyle w:val="Tabletext"/>
              <w:rPr>
                <w:sz w:val="24"/>
                <w:szCs w:val="24"/>
              </w:rPr>
            </w:pPr>
          </w:p>
        </w:tc>
        <w:tc>
          <w:tcPr>
            <w:tcW w:w="8610" w:type="dxa"/>
            <w:gridSpan w:val="4"/>
            <w:tcBorders>
              <w:top w:val="single" w:sz="4" w:space="0" w:color="auto"/>
              <w:bottom w:val="single" w:sz="12" w:space="0" w:color="auto"/>
            </w:tcBorders>
            <w:shd w:val="clear" w:color="auto" w:fill="auto"/>
          </w:tcPr>
          <w:p w14:paraId="15192154" w14:textId="24E28EF5" w:rsidR="006F6457" w:rsidRPr="00073574" w:rsidDel="0020176B" w:rsidRDefault="0053741E" w:rsidP="006F6457">
            <w:pPr>
              <w:pStyle w:val="Tabletext"/>
              <w:rPr>
                <w:szCs w:val="22"/>
              </w:rPr>
            </w:pPr>
            <w:hyperlink r:id="rId279" w:history="1">
              <w:r w:rsidR="006F6457" w:rsidRPr="00073574">
                <w:rPr>
                  <w:rStyle w:val="Hyperlink"/>
                  <w:szCs w:val="22"/>
                </w:rPr>
                <w:t xml:space="preserve">TSB </w:t>
              </w:r>
              <w:r w:rsidR="006F6457" w:rsidRPr="00073574">
                <w:rPr>
                  <w:rStyle w:val="Hyperlink"/>
                </w:rPr>
                <w:t>Circular 202</w:t>
              </w:r>
            </w:hyperlink>
            <w:r w:rsidR="006F6457" w:rsidRPr="00073574">
              <w:t xml:space="preserve"> </w:t>
            </w:r>
            <w:r w:rsidR="00887451" w:rsidRPr="00073574">
              <w:t xml:space="preserve">and Corrigendum </w:t>
            </w:r>
            <w:r w:rsidR="004219EF" w:rsidRPr="00073574">
              <w:t>4</w:t>
            </w:r>
            <w:r w:rsidR="00887451" w:rsidRPr="00073574">
              <w:t xml:space="preserve"> </w:t>
            </w:r>
            <w:r w:rsidR="006F6457" w:rsidRPr="00073574">
              <w:t xml:space="preserve">“Candidates for chairmen and vice-chairmen of ITU-T study groups, the Telecommunication Standardization Advisory Group (TSAG) and the Standardization Committee for Vocabulary (SCV) for 2021-2024” </w:t>
            </w:r>
            <w:r w:rsidR="00887451" w:rsidRPr="00073574">
              <w:t>are</w:t>
            </w:r>
            <w:r w:rsidR="006F6457" w:rsidRPr="00073574">
              <w:t xml:space="preserve"> posted.</w:t>
            </w:r>
          </w:p>
        </w:tc>
      </w:tr>
    </w:tbl>
    <w:bookmarkStart w:id="111" w:name="Item35_01"/>
    <w:bookmarkEnd w:id="111"/>
    <w:p w14:paraId="70CEF5C3" w14:textId="77777777" w:rsidR="00F0236A" w:rsidRPr="00073574" w:rsidRDefault="00F0236A" w:rsidP="00F0236A">
      <w:pPr>
        <w:rPr>
          <w:rStyle w:val="Hyperlink"/>
          <w:sz w:val="24"/>
        </w:rPr>
      </w:pPr>
      <w:r w:rsidRPr="00073574">
        <w:rPr>
          <w:color w:val="2B579A"/>
          <w:shd w:val="clear" w:color="auto" w:fill="E6E6E6"/>
        </w:rPr>
        <w:fldChar w:fldCharType="begin"/>
      </w:r>
      <w:r w:rsidRPr="00073574">
        <w:rPr>
          <w:sz w:val="24"/>
        </w:rPr>
        <w:instrText xml:space="preserve"> HYPERLINK \l "Top" </w:instrText>
      </w:r>
      <w:r w:rsidRPr="00073574">
        <w:rPr>
          <w:color w:val="2B579A"/>
          <w:shd w:val="clear" w:color="auto" w:fill="E6E6E6"/>
        </w:rPr>
        <w:fldChar w:fldCharType="separate"/>
      </w:r>
      <w:r w:rsidRPr="00073574">
        <w:rPr>
          <w:rStyle w:val="Hyperlink"/>
          <w:sz w:val="24"/>
        </w:rPr>
        <w:t>» Top</w:t>
      </w:r>
      <w:r w:rsidRPr="00073574">
        <w:rPr>
          <w:rStyle w:val="Hyperlink"/>
          <w:sz w:val="24"/>
        </w:rPr>
        <w:fldChar w:fldCharType="end"/>
      </w:r>
    </w:p>
    <w:p w14:paraId="4EB73339" w14:textId="77777777" w:rsidR="00F0236A" w:rsidRPr="00073574" w:rsidRDefault="00F0236A" w:rsidP="00F0236A">
      <w:pPr>
        <w:rPr>
          <w:sz w:val="24"/>
        </w:rPr>
      </w:pPr>
      <w:bookmarkStart w:id="112" w:name="Resolution_38"/>
      <w:bookmarkStart w:id="113" w:name="Item38_01"/>
      <w:bookmarkEnd w:id="112"/>
      <w:bookmarkEnd w:id="113"/>
    </w:p>
    <w:p w14:paraId="653503D2" w14:textId="77777777" w:rsidR="00F0236A" w:rsidRPr="00073574" w:rsidRDefault="00F0236A" w:rsidP="000B676B">
      <w:pPr>
        <w:pStyle w:val="Heading1"/>
        <w:keepNext/>
        <w:keepLines/>
        <w:rPr>
          <w:sz w:val="24"/>
          <w:szCs w:val="24"/>
          <w:lang w:val="en-GB"/>
        </w:rPr>
      </w:pPr>
      <w:bookmarkStart w:id="114" w:name="Resolution_40"/>
      <w:bookmarkStart w:id="115" w:name="_Toc304236428"/>
      <w:bookmarkStart w:id="116" w:name="_Toc471715365"/>
      <w:bookmarkStart w:id="117" w:name="_Toc93425251"/>
      <w:bookmarkEnd w:id="114"/>
      <w:r w:rsidRPr="00073574">
        <w:rPr>
          <w:sz w:val="24"/>
          <w:szCs w:val="24"/>
          <w:lang w:val="en-GB"/>
        </w:rPr>
        <w:lastRenderedPageBreak/>
        <w:t>Resolution 40 - Regulatory aspects of work</w:t>
      </w:r>
      <w:bookmarkEnd w:id="115"/>
      <w:r w:rsidRPr="00073574">
        <w:rPr>
          <w:sz w:val="24"/>
          <w:szCs w:val="24"/>
          <w:lang w:val="en-GB"/>
        </w:rPr>
        <w:t xml:space="preserve"> of the ITU Telecommunication Standardization Sector</w:t>
      </w:r>
      <w:bookmarkEnd w:id="116"/>
      <w:bookmarkEnd w:id="117"/>
    </w:p>
    <w:p w14:paraId="3DE081A1" w14:textId="77777777" w:rsidR="00F0236A" w:rsidRPr="00073574" w:rsidRDefault="00F0236A" w:rsidP="000B676B">
      <w:pPr>
        <w:keepNext/>
        <w:keepLines/>
        <w:rPr>
          <w:b/>
          <w:bCs/>
          <w:sz w:val="24"/>
        </w:rPr>
      </w:pPr>
      <w:r w:rsidRPr="00073574">
        <w:rPr>
          <w:b/>
          <w:bCs/>
          <w:sz w:val="24"/>
        </w:rPr>
        <w:t>Resolution 40</w:t>
      </w:r>
    </w:p>
    <w:p w14:paraId="68D9DE5E" w14:textId="77777777" w:rsidR="00F0236A" w:rsidRPr="00073574" w:rsidRDefault="00F0236A" w:rsidP="000B676B">
      <w:pPr>
        <w:pStyle w:val="Call"/>
        <w:rPr>
          <w:sz w:val="24"/>
          <w:szCs w:val="24"/>
          <w:lang w:val="en-GB"/>
        </w:rPr>
      </w:pPr>
      <w:r w:rsidRPr="00073574">
        <w:rPr>
          <w:sz w:val="24"/>
          <w:szCs w:val="24"/>
          <w:lang w:val="en-GB"/>
        </w:rPr>
        <w:t>resolves</w:t>
      </w:r>
    </w:p>
    <w:p w14:paraId="0934B709" w14:textId="77777777" w:rsidR="00F0236A" w:rsidRPr="00073574" w:rsidRDefault="00F0236A" w:rsidP="000B676B">
      <w:pPr>
        <w:keepNext/>
        <w:keepLines/>
        <w:widowControl w:val="0"/>
        <w:rPr>
          <w:sz w:val="24"/>
        </w:rPr>
      </w:pPr>
      <w:r w:rsidRPr="00073574">
        <w:rPr>
          <w:sz w:val="24"/>
        </w:rPr>
        <w:t>1</w:t>
      </w:r>
      <w:r w:rsidRPr="00073574">
        <w:rPr>
          <w:sz w:val="24"/>
        </w:rPr>
        <w:tab/>
        <w:t>that, when determining whether a Question or Recommendation has policy or regulatory implications, particularly Questions or Recommendations which relate to tariff and accounting issues, study groups shall more generally consider possible topics such as:</w:t>
      </w:r>
    </w:p>
    <w:p w14:paraId="465E838D" w14:textId="77777777" w:rsidR="00F0236A" w:rsidRPr="00073574" w:rsidRDefault="00F0236A" w:rsidP="00F0236A">
      <w:pPr>
        <w:pStyle w:val="enumlev10"/>
        <w:rPr>
          <w:sz w:val="24"/>
          <w:szCs w:val="24"/>
        </w:rPr>
      </w:pPr>
      <w:r w:rsidRPr="00073574">
        <w:rPr>
          <w:sz w:val="24"/>
          <w:szCs w:val="24"/>
        </w:rPr>
        <w:t>–</w:t>
      </w:r>
      <w:r w:rsidRPr="00073574">
        <w:rPr>
          <w:sz w:val="24"/>
          <w:szCs w:val="24"/>
        </w:rPr>
        <w:tab/>
        <w:t>the right of the public to correspond;</w:t>
      </w:r>
    </w:p>
    <w:p w14:paraId="32E9834D" w14:textId="77777777" w:rsidR="00F0236A" w:rsidRPr="00073574" w:rsidRDefault="00F0236A" w:rsidP="00F0236A">
      <w:pPr>
        <w:pStyle w:val="enumlev10"/>
        <w:rPr>
          <w:sz w:val="24"/>
          <w:szCs w:val="24"/>
        </w:rPr>
      </w:pPr>
      <w:r w:rsidRPr="00073574">
        <w:rPr>
          <w:sz w:val="24"/>
          <w:szCs w:val="24"/>
        </w:rPr>
        <w:t>–</w:t>
      </w:r>
      <w:r w:rsidRPr="00073574">
        <w:rPr>
          <w:sz w:val="24"/>
          <w:szCs w:val="24"/>
        </w:rPr>
        <w:tab/>
        <w:t>protection of telecommunication channels and installations;</w:t>
      </w:r>
    </w:p>
    <w:p w14:paraId="435EFAF6" w14:textId="77777777" w:rsidR="00F0236A" w:rsidRPr="00073574" w:rsidRDefault="00F0236A" w:rsidP="00F0236A">
      <w:pPr>
        <w:pStyle w:val="enumlev10"/>
        <w:rPr>
          <w:sz w:val="24"/>
          <w:szCs w:val="24"/>
        </w:rPr>
      </w:pPr>
      <w:r w:rsidRPr="00073574">
        <w:rPr>
          <w:sz w:val="24"/>
          <w:szCs w:val="24"/>
        </w:rPr>
        <w:t>–</w:t>
      </w:r>
      <w:r w:rsidRPr="00073574">
        <w:rPr>
          <w:sz w:val="24"/>
          <w:szCs w:val="24"/>
        </w:rPr>
        <w:tab/>
        <w:t>use of the limited numbering and addressing resources;</w:t>
      </w:r>
    </w:p>
    <w:p w14:paraId="2DCE8EFA" w14:textId="77777777" w:rsidR="00F0236A" w:rsidRPr="00073574" w:rsidRDefault="00F0236A" w:rsidP="00F0236A">
      <w:pPr>
        <w:pStyle w:val="enumlev10"/>
        <w:rPr>
          <w:sz w:val="24"/>
          <w:szCs w:val="24"/>
        </w:rPr>
      </w:pPr>
      <w:r w:rsidRPr="00073574">
        <w:rPr>
          <w:sz w:val="24"/>
          <w:szCs w:val="24"/>
        </w:rPr>
        <w:t>–</w:t>
      </w:r>
      <w:r w:rsidRPr="00073574">
        <w:rPr>
          <w:sz w:val="24"/>
          <w:szCs w:val="24"/>
        </w:rPr>
        <w:tab/>
        <w:t>naming and identification;</w:t>
      </w:r>
    </w:p>
    <w:p w14:paraId="684FDDF7" w14:textId="77777777" w:rsidR="00F0236A" w:rsidRPr="00073574" w:rsidRDefault="00F0236A" w:rsidP="00F0236A">
      <w:pPr>
        <w:pStyle w:val="enumlev10"/>
        <w:rPr>
          <w:sz w:val="24"/>
          <w:szCs w:val="24"/>
        </w:rPr>
      </w:pPr>
      <w:r w:rsidRPr="00073574">
        <w:rPr>
          <w:sz w:val="24"/>
          <w:szCs w:val="24"/>
        </w:rPr>
        <w:t>–</w:t>
      </w:r>
      <w:r w:rsidRPr="00073574">
        <w:rPr>
          <w:sz w:val="24"/>
          <w:szCs w:val="24"/>
        </w:rPr>
        <w:tab/>
        <w:t>secrecy and authenticity of telecommunications;</w:t>
      </w:r>
    </w:p>
    <w:p w14:paraId="5B034211" w14:textId="77777777" w:rsidR="00F0236A" w:rsidRPr="00073574" w:rsidRDefault="00F0236A" w:rsidP="00F0236A">
      <w:pPr>
        <w:pStyle w:val="enumlev10"/>
        <w:rPr>
          <w:sz w:val="24"/>
          <w:szCs w:val="24"/>
        </w:rPr>
      </w:pPr>
      <w:r w:rsidRPr="00073574">
        <w:rPr>
          <w:sz w:val="24"/>
          <w:szCs w:val="24"/>
        </w:rPr>
        <w:t>–</w:t>
      </w:r>
      <w:r w:rsidRPr="00073574">
        <w:rPr>
          <w:sz w:val="24"/>
          <w:szCs w:val="24"/>
        </w:rPr>
        <w:tab/>
        <w:t>safety of life;</w:t>
      </w:r>
    </w:p>
    <w:p w14:paraId="270A7140" w14:textId="3D1E62A6" w:rsidR="00F0236A" w:rsidRPr="00073574" w:rsidRDefault="00F0236A" w:rsidP="00F0236A">
      <w:pPr>
        <w:pStyle w:val="enumlev10"/>
        <w:rPr>
          <w:sz w:val="24"/>
          <w:szCs w:val="24"/>
        </w:rPr>
      </w:pPr>
      <w:r w:rsidRPr="00073574">
        <w:rPr>
          <w:sz w:val="24"/>
          <w:szCs w:val="24"/>
        </w:rPr>
        <w:t>–</w:t>
      </w:r>
      <w:r w:rsidRPr="00073574">
        <w:rPr>
          <w:sz w:val="24"/>
          <w:szCs w:val="24"/>
        </w:rPr>
        <w:tab/>
        <w:t>practices app</w:t>
      </w:r>
      <w:r w:rsidR="00E31596" w:rsidRPr="00073574">
        <w:rPr>
          <w:sz w:val="24"/>
          <w:szCs w:val="24"/>
        </w:rPr>
        <w:t>licable to competitive markets;</w:t>
      </w:r>
    </w:p>
    <w:p w14:paraId="56A76D61" w14:textId="77777777" w:rsidR="00F0236A" w:rsidRPr="00073574" w:rsidRDefault="00F0236A" w:rsidP="00F0236A">
      <w:pPr>
        <w:pStyle w:val="enumlev10"/>
        <w:rPr>
          <w:sz w:val="24"/>
          <w:szCs w:val="24"/>
        </w:rPr>
      </w:pPr>
      <w:r w:rsidRPr="00073574">
        <w:rPr>
          <w:sz w:val="24"/>
          <w:szCs w:val="24"/>
        </w:rPr>
        <w:t>–</w:t>
      </w:r>
      <w:r w:rsidRPr="00073574">
        <w:rPr>
          <w:sz w:val="24"/>
          <w:szCs w:val="24"/>
        </w:rPr>
        <w:tab/>
        <w:t>misuse of numbering resources; and</w:t>
      </w:r>
    </w:p>
    <w:p w14:paraId="701C06DD" w14:textId="77777777" w:rsidR="00F0236A" w:rsidRPr="00073574" w:rsidRDefault="00F0236A" w:rsidP="00F0236A">
      <w:pPr>
        <w:pStyle w:val="enumlev10"/>
        <w:rPr>
          <w:sz w:val="24"/>
          <w:szCs w:val="24"/>
        </w:rPr>
      </w:pPr>
      <w:r w:rsidRPr="00073574">
        <w:rPr>
          <w:sz w:val="24"/>
          <w:szCs w:val="24"/>
        </w:rPr>
        <w:t>–</w:t>
      </w:r>
      <w:r w:rsidRPr="00073574">
        <w:rPr>
          <w:sz w:val="24"/>
          <w:szCs w:val="24"/>
        </w:rPr>
        <w:tab/>
        <w:t>any other relevant matters, including those identified by a decision of Member States, or recommended by TSAG, or Questions or Recommendations where there is any doubt about their scope;</w:t>
      </w:r>
    </w:p>
    <w:p w14:paraId="7E404A50" w14:textId="77777777" w:rsidR="00F0236A" w:rsidRPr="00073574" w:rsidRDefault="00F0236A" w:rsidP="00F0236A">
      <w:pPr>
        <w:rPr>
          <w:sz w:val="24"/>
        </w:rPr>
      </w:pPr>
      <w:r w:rsidRPr="00073574">
        <w:rPr>
          <w:sz w:val="24"/>
        </w:rPr>
        <w:t>2</w:t>
      </w:r>
      <w:r w:rsidRPr="00073574">
        <w:rPr>
          <w:sz w:val="24"/>
        </w:rPr>
        <w:tab/>
        <w:t>to request TSAG to consult Member States on any relevant issues other than those specified above;</w:t>
      </w:r>
    </w:p>
    <w:p w14:paraId="036FCCFD" w14:textId="77777777" w:rsidR="00F0236A" w:rsidRPr="00073574" w:rsidRDefault="00F0236A" w:rsidP="00F0236A">
      <w:pPr>
        <w:rPr>
          <w:sz w:val="24"/>
        </w:rPr>
      </w:pPr>
      <w:r w:rsidRPr="00073574">
        <w:rPr>
          <w:sz w:val="24"/>
        </w:rPr>
        <w:t>3</w:t>
      </w:r>
      <w:r w:rsidRPr="00073574">
        <w:rPr>
          <w:sz w:val="24"/>
        </w:rPr>
        <w:tab/>
        <w:t>to instruct TSAG to study and identify the operational and technical areas related to quality of service/quality of experience (QoS/QoE) of telecommunications/information and communication technologies that might have policy and regulatory nature, taking into account the studies being carried out by the relevant study groups, and report that to the next WTSA,</w:t>
      </w:r>
    </w:p>
    <w:p w14:paraId="7317A501" w14:textId="77777777" w:rsidR="00F0236A" w:rsidRPr="00073574" w:rsidRDefault="00F0236A" w:rsidP="00F0236A">
      <w:pPr>
        <w:pStyle w:val="Call"/>
        <w:rPr>
          <w:sz w:val="24"/>
          <w:szCs w:val="24"/>
          <w:lang w:val="en-GB"/>
        </w:rPr>
      </w:pPr>
      <w:r w:rsidRPr="00073574">
        <w:rPr>
          <w:sz w:val="24"/>
          <w:szCs w:val="24"/>
          <w:lang w:val="en-GB"/>
        </w:rPr>
        <w:t>invites Member States</w:t>
      </w:r>
    </w:p>
    <w:p w14:paraId="6D21FFD0" w14:textId="77777777" w:rsidR="00F0236A" w:rsidRPr="00073574" w:rsidRDefault="00F0236A" w:rsidP="00F0236A">
      <w:pPr>
        <w:spacing w:after="240"/>
        <w:rPr>
          <w:sz w:val="24"/>
        </w:rPr>
      </w:pPr>
      <w:r w:rsidRPr="00073574">
        <w:rPr>
          <w:sz w:val="24"/>
        </w:rPr>
        <w:t>to contribute actively to the work to be carried out on this matter.</w:t>
      </w:r>
    </w:p>
    <w:tbl>
      <w:tblPr>
        <w:tblW w:w="952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09"/>
        <w:gridCol w:w="4818"/>
        <w:gridCol w:w="1216"/>
        <w:gridCol w:w="1243"/>
        <w:gridCol w:w="1336"/>
      </w:tblGrid>
      <w:tr w:rsidR="00F0236A" w:rsidRPr="00073574" w14:paraId="005D91A2" w14:textId="77777777" w:rsidTr="4D78197E">
        <w:trPr>
          <w:jc w:val="center"/>
        </w:trPr>
        <w:tc>
          <w:tcPr>
            <w:tcW w:w="911" w:type="dxa"/>
            <w:tcBorders>
              <w:top w:val="single" w:sz="12" w:space="0" w:color="auto"/>
              <w:bottom w:val="single" w:sz="12" w:space="0" w:color="auto"/>
            </w:tcBorders>
            <w:shd w:val="clear" w:color="auto" w:fill="auto"/>
            <w:vAlign w:val="center"/>
          </w:tcPr>
          <w:p w14:paraId="4C5FB07E" w14:textId="77777777" w:rsidR="00F0236A" w:rsidRPr="00073574" w:rsidRDefault="00F0236A" w:rsidP="00DF36E1">
            <w:pPr>
              <w:pStyle w:val="Tablehead"/>
              <w:rPr>
                <w:sz w:val="24"/>
                <w:szCs w:val="24"/>
              </w:rPr>
            </w:pPr>
            <w:r w:rsidRPr="00073574">
              <w:rPr>
                <w:sz w:val="24"/>
                <w:szCs w:val="24"/>
              </w:rPr>
              <w:t>Action Item</w:t>
            </w:r>
          </w:p>
        </w:tc>
        <w:tc>
          <w:tcPr>
            <w:tcW w:w="4944" w:type="dxa"/>
            <w:tcBorders>
              <w:top w:val="single" w:sz="12" w:space="0" w:color="auto"/>
              <w:bottom w:val="single" w:sz="12" w:space="0" w:color="auto"/>
            </w:tcBorders>
            <w:shd w:val="clear" w:color="auto" w:fill="auto"/>
            <w:vAlign w:val="center"/>
            <w:hideMark/>
          </w:tcPr>
          <w:p w14:paraId="0E02BB33" w14:textId="77777777" w:rsidR="00F0236A" w:rsidRPr="00073574" w:rsidRDefault="00F0236A" w:rsidP="00DF36E1">
            <w:pPr>
              <w:pStyle w:val="Tablehead"/>
              <w:rPr>
                <w:sz w:val="24"/>
                <w:szCs w:val="24"/>
              </w:rPr>
            </w:pPr>
            <w:r w:rsidRPr="00073574">
              <w:rPr>
                <w:sz w:val="24"/>
                <w:szCs w:val="24"/>
              </w:rPr>
              <w:t>Action</w:t>
            </w:r>
          </w:p>
        </w:tc>
        <w:tc>
          <w:tcPr>
            <w:tcW w:w="1170" w:type="dxa"/>
            <w:tcBorders>
              <w:top w:val="single" w:sz="12" w:space="0" w:color="auto"/>
              <w:bottom w:val="single" w:sz="12" w:space="0" w:color="auto"/>
            </w:tcBorders>
            <w:shd w:val="clear" w:color="auto" w:fill="auto"/>
            <w:vAlign w:val="center"/>
            <w:hideMark/>
          </w:tcPr>
          <w:p w14:paraId="19D45CCF" w14:textId="77777777" w:rsidR="00F0236A" w:rsidRPr="00073574" w:rsidRDefault="00F0236A" w:rsidP="00DF36E1">
            <w:pPr>
              <w:pStyle w:val="Tablehead"/>
              <w:rPr>
                <w:sz w:val="24"/>
                <w:szCs w:val="24"/>
              </w:rPr>
            </w:pPr>
            <w:r w:rsidRPr="00073574">
              <w:rPr>
                <w:sz w:val="24"/>
                <w:szCs w:val="24"/>
              </w:rPr>
              <w:t>Milestone</w:t>
            </w:r>
          </w:p>
        </w:tc>
        <w:tc>
          <w:tcPr>
            <w:tcW w:w="1260" w:type="dxa"/>
            <w:tcBorders>
              <w:top w:val="single" w:sz="12" w:space="0" w:color="auto"/>
              <w:bottom w:val="single" w:sz="12" w:space="0" w:color="auto"/>
            </w:tcBorders>
            <w:shd w:val="clear" w:color="auto" w:fill="auto"/>
          </w:tcPr>
          <w:p w14:paraId="02F93D68" w14:textId="77777777" w:rsidR="00F0236A" w:rsidRPr="00073574" w:rsidRDefault="00F0236A" w:rsidP="00DF36E1">
            <w:pPr>
              <w:pStyle w:val="Tablehead"/>
              <w:rPr>
                <w:sz w:val="24"/>
                <w:szCs w:val="24"/>
              </w:rPr>
            </w:pPr>
            <w:r w:rsidRPr="00073574">
              <w:rPr>
                <w:sz w:val="24"/>
                <w:szCs w:val="24"/>
              </w:rPr>
              <w:t>Periodic goals met</w:t>
            </w:r>
          </w:p>
        </w:tc>
        <w:tc>
          <w:tcPr>
            <w:tcW w:w="1237" w:type="dxa"/>
            <w:tcBorders>
              <w:top w:val="single" w:sz="12" w:space="0" w:color="auto"/>
              <w:bottom w:val="single" w:sz="12" w:space="0" w:color="auto"/>
            </w:tcBorders>
            <w:shd w:val="clear" w:color="auto" w:fill="auto"/>
            <w:vAlign w:val="center"/>
          </w:tcPr>
          <w:p w14:paraId="2EB567D8" w14:textId="77777777" w:rsidR="00F0236A" w:rsidRPr="00073574" w:rsidRDefault="00F0236A" w:rsidP="00DF36E1">
            <w:pPr>
              <w:pStyle w:val="Tablehead"/>
              <w:rPr>
                <w:sz w:val="24"/>
                <w:szCs w:val="24"/>
              </w:rPr>
            </w:pPr>
            <w:r w:rsidRPr="00073574">
              <w:rPr>
                <w:sz w:val="24"/>
                <w:szCs w:val="24"/>
              </w:rPr>
              <w:t>Completed</w:t>
            </w:r>
          </w:p>
        </w:tc>
      </w:tr>
      <w:tr w:rsidR="00F0236A" w:rsidRPr="00073574" w14:paraId="7C5628BE" w14:textId="77777777" w:rsidTr="4D78197E">
        <w:trPr>
          <w:jc w:val="center"/>
        </w:trPr>
        <w:tc>
          <w:tcPr>
            <w:tcW w:w="911" w:type="dxa"/>
            <w:vMerge w:val="restart"/>
            <w:tcBorders>
              <w:top w:val="single" w:sz="12" w:space="0" w:color="auto"/>
            </w:tcBorders>
            <w:shd w:val="clear" w:color="auto" w:fill="auto"/>
          </w:tcPr>
          <w:p w14:paraId="20A894E6" w14:textId="77777777" w:rsidR="00F0236A" w:rsidRPr="00073574" w:rsidRDefault="00F0236A" w:rsidP="00DF36E1">
            <w:pPr>
              <w:pStyle w:val="Tabletext"/>
              <w:rPr>
                <w:b/>
                <w:bCs/>
                <w:sz w:val="24"/>
                <w:szCs w:val="24"/>
              </w:rPr>
            </w:pPr>
            <w:r w:rsidRPr="00073574">
              <w:rPr>
                <w:b/>
                <w:bCs/>
                <w:sz w:val="24"/>
                <w:szCs w:val="24"/>
              </w:rPr>
              <w:t>40-01</w:t>
            </w:r>
          </w:p>
        </w:tc>
        <w:tc>
          <w:tcPr>
            <w:tcW w:w="4944" w:type="dxa"/>
            <w:tcBorders>
              <w:top w:val="single" w:sz="12" w:space="0" w:color="auto"/>
              <w:bottom w:val="single" w:sz="4" w:space="0" w:color="auto"/>
            </w:tcBorders>
            <w:shd w:val="clear" w:color="auto" w:fill="auto"/>
            <w:hideMark/>
          </w:tcPr>
          <w:p w14:paraId="7E64F300" w14:textId="77777777" w:rsidR="00F0236A" w:rsidRPr="00073574" w:rsidRDefault="00F0236A" w:rsidP="00DF36E1">
            <w:pPr>
              <w:pStyle w:val="Tabletext"/>
              <w:rPr>
                <w:b/>
                <w:bCs/>
                <w:sz w:val="24"/>
                <w:szCs w:val="24"/>
              </w:rPr>
            </w:pPr>
            <w:r w:rsidRPr="00073574">
              <w:rPr>
                <w:b/>
                <w:bCs/>
                <w:sz w:val="24"/>
                <w:szCs w:val="24"/>
              </w:rPr>
              <w:t>Study Groups to consider the Resolution when determining whether a Question or Recommendation has policy or regulatory implications (resolves 1)</w:t>
            </w:r>
          </w:p>
        </w:tc>
        <w:tc>
          <w:tcPr>
            <w:tcW w:w="1170" w:type="dxa"/>
            <w:tcBorders>
              <w:top w:val="single" w:sz="12" w:space="0" w:color="auto"/>
              <w:bottom w:val="single" w:sz="4" w:space="0" w:color="auto"/>
            </w:tcBorders>
            <w:shd w:val="clear" w:color="auto" w:fill="auto"/>
            <w:vAlign w:val="center"/>
            <w:hideMark/>
          </w:tcPr>
          <w:p w14:paraId="01CB3F1D" w14:textId="77777777" w:rsidR="00F0236A" w:rsidRPr="00073574" w:rsidRDefault="00F0236A" w:rsidP="00DF36E1">
            <w:pPr>
              <w:pStyle w:val="Tabletext"/>
              <w:jc w:val="center"/>
              <w:rPr>
                <w:b/>
                <w:bCs/>
                <w:sz w:val="24"/>
                <w:szCs w:val="24"/>
              </w:rPr>
            </w:pPr>
            <w:r w:rsidRPr="00073574">
              <w:rPr>
                <w:b/>
                <w:bCs/>
                <w:sz w:val="24"/>
                <w:szCs w:val="24"/>
              </w:rPr>
              <w:t>First SG meeting,</w:t>
            </w:r>
          </w:p>
          <w:p w14:paraId="6D40F59A" w14:textId="77777777" w:rsidR="00F0236A" w:rsidRPr="00073574" w:rsidRDefault="00F0236A" w:rsidP="00DF36E1">
            <w:pPr>
              <w:pStyle w:val="Tabletext"/>
              <w:jc w:val="center"/>
              <w:rPr>
                <w:b/>
                <w:bCs/>
                <w:sz w:val="24"/>
                <w:szCs w:val="24"/>
              </w:rPr>
            </w:pPr>
            <w:r w:rsidRPr="00073574">
              <w:rPr>
                <w:b/>
                <w:bCs/>
                <w:sz w:val="24"/>
                <w:szCs w:val="24"/>
              </w:rPr>
              <w:t>Ongoing</w:t>
            </w:r>
          </w:p>
        </w:tc>
        <w:tc>
          <w:tcPr>
            <w:tcW w:w="1260" w:type="dxa"/>
            <w:tcBorders>
              <w:top w:val="single" w:sz="12" w:space="0" w:color="auto"/>
              <w:bottom w:val="single" w:sz="4" w:space="0" w:color="auto"/>
            </w:tcBorders>
            <w:shd w:val="clear" w:color="auto" w:fill="auto"/>
            <w:vAlign w:val="center"/>
          </w:tcPr>
          <w:p w14:paraId="701B0C61" w14:textId="77777777" w:rsidR="00F0236A" w:rsidRPr="00073574" w:rsidRDefault="00F0236A" w:rsidP="00DF36E1">
            <w:pPr>
              <w:pStyle w:val="Tabletext"/>
              <w:jc w:val="center"/>
              <w:rPr>
                <w:b/>
                <w:bCs/>
                <w:sz w:val="24"/>
                <w:szCs w:val="24"/>
              </w:rPr>
            </w:pPr>
            <w:r w:rsidRPr="00073574">
              <w:rPr>
                <w:b/>
                <w:bCs/>
                <w:sz w:val="24"/>
                <w:szCs w:val="24"/>
              </w:rPr>
              <w:t>√</w:t>
            </w:r>
          </w:p>
        </w:tc>
        <w:tc>
          <w:tcPr>
            <w:tcW w:w="1237" w:type="dxa"/>
            <w:tcBorders>
              <w:top w:val="single" w:sz="12" w:space="0" w:color="auto"/>
              <w:bottom w:val="single" w:sz="4" w:space="0" w:color="auto"/>
            </w:tcBorders>
            <w:shd w:val="clear" w:color="auto" w:fill="auto"/>
            <w:vAlign w:val="center"/>
          </w:tcPr>
          <w:p w14:paraId="58B6EAAF" w14:textId="77777777" w:rsidR="00F0236A" w:rsidRPr="00073574" w:rsidRDefault="00F0236A" w:rsidP="00DF36E1">
            <w:pPr>
              <w:pStyle w:val="Tabletext"/>
              <w:jc w:val="center"/>
              <w:rPr>
                <w:b/>
                <w:bCs/>
                <w:sz w:val="24"/>
                <w:szCs w:val="24"/>
              </w:rPr>
            </w:pPr>
          </w:p>
        </w:tc>
      </w:tr>
      <w:tr w:rsidR="00F0236A" w:rsidRPr="00073574" w14:paraId="45927D70" w14:textId="77777777" w:rsidTr="4D78197E">
        <w:trPr>
          <w:jc w:val="center"/>
        </w:trPr>
        <w:tc>
          <w:tcPr>
            <w:tcW w:w="911" w:type="dxa"/>
            <w:vMerge/>
          </w:tcPr>
          <w:p w14:paraId="1065F3D1" w14:textId="77777777" w:rsidR="00F0236A" w:rsidRPr="00073574" w:rsidRDefault="00F0236A" w:rsidP="00DF36E1">
            <w:pPr>
              <w:pStyle w:val="Tabletext"/>
              <w:rPr>
                <w:sz w:val="24"/>
                <w:szCs w:val="24"/>
              </w:rPr>
            </w:pPr>
          </w:p>
        </w:tc>
        <w:tc>
          <w:tcPr>
            <w:tcW w:w="8611" w:type="dxa"/>
            <w:gridSpan w:val="4"/>
            <w:tcBorders>
              <w:top w:val="single" w:sz="4" w:space="0" w:color="auto"/>
              <w:bottom w:val="single" w:sz="12" w:space="0" w:color="auto"/>
            </w:tcBorders>
            <w:shd w:val="clear" w:color="auto" w:fill="auto"/>
          </w:tcPr>
          <w:p w14:paraId="003E07AF" w14:textId="30744632" w:rsidR="000E3A18" w:rsidRPr="00073574" w:rsidRDefault="00100786" w:rsidP="00E17182">
            <w:pPr>
              <w:pStyle w:val="ListParagraph"/>
              <w:numPr>
                <w:ilvl w:val="0"/>
                <w:numId w:val="31"/>
              </w:numPr>
              <w:ind w:left="357" w:hanging="357"/>
              <w:contextualSpacing w:val="0"/>
            </w:pPr>
            <w:r w:rsidRPr="00073574">
              <w:t>SG</w:t>
            </w:r>
            <w:r w:rsidR="000E3A18" w:rsidRPr="00073574">
              <w:t>2 uses both TAP and AAP</w:t>
            </w:r>
            <w:r w:rsidR="00D15007" w:rsidRPr="00073574">
              <w:t xml:space="preserve">. </w:t>
            </w:r>
            <w:r w:rsidR="00BE4A78" w:rsidRPr="00073574">
              <w:t xml:space="preserve">WP1/2 </w:t>
            </w:r>
            <w:r w:rsidR="00337A7B" w:rsidRPr="00073574">
              <w:t xml:space="preserve">(Numbering, naming, addressing, routing and service provision) uses TAP by default, </w:t>
            </w:r>
            <w:r w:rsidR="00D33009" w:rsidRPr="00073574">
              <w:t>whereas</w:t>
            </w:r>
            <w:r w:rsidR="00337A7B" w:rsidRPr="00073574">
              <w:t xml:space="preserve"> WP2/2 (</w:t>
            </w:r>
            <w:r w:rsidR="00D33009" w:rsidRPr="00073574">
              <w:t>Telecommunication management and network and service operations</w:t>
            </w:r>
            <w:r w:rsidR="00337A7B" w:rsidRPr="00073574">
              <w:t>) uses AAP by default.</w:t>
            </w:r>
          </w:p>
          <w:p w14:paraId="27F1443D" w14:textId="054FFC5E" w:rsidR="000B5D57" w:rsidRPr="00073574" w:rsidRDefault="000B5D57" w:rsidP="00E17182">
            <w:pPr>
              <w:pStyle w:val="ListParagraph"/>
              <w:numPr>
                <w:ilvl w:val="0"/>
                <w:numId w:val="31"/>
              </w:numPr>
              <w:ind w:left="357" w:hanging="357"/>
              <w:contextualSpacing w:val="0"/>
            </w:pPr>
            <w:r w:rsidRPr="00073574">
              <w:t>SG3 uses TAP as the default process.</w:t>
            </w:r>
          </w:p>
          <w:p w14:paraId="7E21B10D" w14:textId="69C0E3D5" w:rsidR="00F740B5" w:rsidRPr="00073574" w:rsidRDefault="53C4B874" w:rsidP="00E17182">
            <w:pPr>
              <w:pStyle w:val="ListParagraph"/>
              <w:numPr>
                <w:ilvl w:val="0"/>
                <w:numId w:val="31"/>
              </w:numPr>
              <w:ind w:left="357" w:hanging="357"/>
              <w:contextualSpacing w:val="0"/>
            </w:pPr>
            <w:r w:rsidRPr="00073574">
              <w:t>SG5 took a decision at its first meeting in the study period that all its Recommendations will follow the AAP process as default.</w:t>
            </w:r>
          </w:p>
          <w:p w14:paraId="256B0439" w14:textId="60D81949" w:rsidR="00FE25EA" w:rsidRPr="00073574" w:rsidRDefault="122084AD" w:rsidP="00E17182">
            <w:pPr>
              <w:pStyle w:val="ListParagraph"/>
              <w:numPr>
                <w:ilvl w:val="0"/>
                <w:numId w:val="31"/>
              </w:numPr>
              <w:ind w:left="357" w:hanging="357"/>
              <w:contextualSpacing w:val="0"/>
            </w:pPr>
            <w:r w:rsidRPr="00073574">
              <w:t xml:space="preserve">SG9 uses the AAP as the default process. </w:t>
            </w:r>
            <w:r w:rsidR="00510D87" w:rsidRPr="00073574">
              <w:t>During this Study Period five</w:t>
            </w:r>
            <w:r w:rsidRPr="00073574">
              <w:t xml:space="preserve"> TAP Recommendation</w:t>
            </w:r>
            <w:r w:rsidR="00510D87" w:rsidRPr="00073574">
              <w:t>s related to “Embedded common interface for exchangeable CA/DRM solutions”</w:t>
            </w:r>
            <w:r w:rsidR="000B676B" w:rsidRPr="00073574">
              <w:t xml:space="preserve"> </w:t>
            </w:r>
            <w:r w:rsidRPr="00073574">
              <w:t>w</w:t>
            </w:r>
            <w:r w:rsidR="00510D87" w:rsidRPr="00073574">
              <w:t>ere</w:t>
            </w:r>
            <w:r w:rsidRPr="00073574">
              <w:t xml:space="preserve"> developed</w:t>
            </w:r>
            <w:r w:rsidR="00510D87" w:rsidRPr="00073574">
              <w:t xml:space="preserve"> and approved (ITU-T J.1012-J-1015.1)</w:t>
            </w:r>
            <w:r w:rsidRPr="00073574">
              <w:t>.</w:t>
            </w:r>
          </w:p>
          <w:p w14:paraId="6306A613" w14:textId="1D78F6F3" w:rsidR="0042298B" w:rsidRPr="00073574" w:rsidRDefault="37A514CD" w:rsidP="00E17182">
            <w:pPr>
              <w:pStyle w:val="ListParagraph"/>
              <w:numPr>
                <w:ilvl w:val="0"/>
                <w:numId w:val="31"/>
              </w:numPr>
              <w:ind w:left="357" w:hanging="357"/>
              <w:contextualSpacing w:val="0"/>
            </w:pPr>
            <w:r w:rsidRPr="00073574">
              <w:lastRenderedPageBreak/>
              <w:t>SG11 uses the AAP in general</w:t>
            </w:r>
            <w:r w:rsidR="45990114" w:rsidRPr="00073574">
              <w:t>.</w:t>
            </w:r>
            <w:r w:rsidRPr="00073574">
              <w:t xml:space="preserve"> TAP </w:t>
            </w:r>
            <w:r w:rsidR="45990114" w:rsidRPr="00073574">
              <w:t xml:space="preserve">was </w:t>
            </w:r>
            <w:r w:rsidRPr="00073574">
              <w:t xml:space="preserve">used for </w:t>
            </w:r>
            <w:r w:rsidR="74F1AC05" w:rsidRPr="00073574">
              <w:t xml:space="preserve">new </w:t>
            </w:r>
            <w:r w:rsidRPr="00073574">
              <w:t>Recommendation</w:t>
            </w:r>
            <w:r w:rsidR="701D58C0" w:rsidRPr="00073574">
              <w:t xml:space="preserve"> </w:t>
            </w:r>
            <w:r w:rsidR="2F92A075" w:rsidRPr="00073574">
              <w:t>on</w:t>
            </w:r>
            <w:r w:rsidRPr="00073574">
              <w:t xml:space="preserve"> ENUM signalling architecture</w:t>
            </w:r>
            <w:r w:rsidR="337B10C1" w:rsidRPr="00073574">
              <w:t xml:space="preserve"> (ITU-T Q.3643) and combating counterfeit and stolen ICT devices (ITU-T Q.5050 and ITU-T Q.5051)</w:t>
            </w:r>
            <w:r w:rsidRPr="00073574">
              <w:t>.</w:t>
            </w:r>
          </w:p>
          <w:p w14:paraId="05D4B948" w14:textId="36F2851B" w:rsidR="000574D5" w:rsidRPr="00073574" w:rsidRDefault="58F80499" w:rsidP="00E17182">
            <w:pPr>
              <w:pStyle w:val="ListParagraph"/>
              <w:numPr>
                <w:ilvl w:val="0"/>
                <w:numId w:val="31"/>
              </w:numPr>
              <w:contextualSpacing w:val="0"/>
            </w:pPr>
            <w:r w:rsidRPr="00073574">
              <w:t xml:space="preserve">SG12 </w:t>
            </w:r>
            <w:r w:rsidR="1CE16C18" w:rsidRPr="00073574">
              <w:t xml:space="preserve">applied TAP for ITU-T E.805 (ex E.RQUAL) and </w:t>
            </w:r>
            <w:r w:rsidR="002B5F4F" w:rsidRPr="00073574">
              <w:t xml:space="preserve">E.805.1 (ex </w:t>
            </w:r>
            <w:r w:rsidRPr="00073574">
              <w:t>E.QoSMgtMod</w:t>
            </w:r>
            <w:r w:rsidR="002B5F4F" w:rsidRPr="00073574">
              <w:t>)</w:t>
            </w:r>
            <w:r w:rsidRPr="00073574">
              <w:t>, both in Question 12/12.</w:t>
            </w:r>
          </w:p>
          <w:p w14:paraId="324756E5" w14:textId="3030A95F" w:rsidR="00F0236A" w:rsidRPr="00073574" w:rsidRDefault="00F0236A" w:rsidP="00E17182">
            <w:pPr>
              <w:pStyle w:val="ListParagraph"/>
              <w:numPr>
                <w:ilvl w:val="0"/>
                <w:numId w:val="31"/>
              </w:numPr>
              <w:ind w:left="357" w:hanging="357"/>
              <w:contextualSpacing w:val="0"/>
            </w:pPr>
            <w:r w:rsidRPr="00073574">
              <w:t>SG13 took a decision at its first meeting in the study period that all its Question Recommendations will follow the AAP path as default.</w:t>
            </w:r>
            <w:r w:rsidR="7D3F499F" w:rsidRPr="00073574">
              <w:t xml:space="preserve"> In November 2017 the approval process for one SG13 Recommendation was changed to TAP per Member States</w:t>
            </w:r>
            <w:r w:rsidR="534D8C66" w:rsidRPr="00073574">
              <w:t>’</w:t>
            </w:r>
            <w:r w:rsidR="7D3F499F" w:rsidRPr="00073574">
              <w:t xml:space="preserve"> request.</w:t>
            </w:r>
            <w:r w:rsidR="009D5526" w:rsidRPr="00073574">
              <w:t xml:space="preserve"> Three new work items in 2021 were agreed to be develo</w:t>
            </w:r>
            <w:r w:rsidR="002C239A" w:rsidRPr="00073574">
              <w:t>p</w:t>
            </w:r>
            <w:r w:rsidR="009D5526" w:rsidRPr="00073574">
              <w:t>ed under TAP as those might have regulatory aspects</w:t>
            </w:r>
            <w:r w:rsidR="00CD4B39" w:rsidRPr="00073574">
              <w:t xml:space="preserve"> (</w:t>
            </w:r>
            <w:r w:rsidR="00556913" w:rsidRPr="00073574">
              <w:t>Y.MNS-DLT-fr, Y.DPI-IMM-PIB and Y.NRS-DLT-arch</w:t>
            </w:r>
            <w:r w:rsidR="00CD4B39" w:rsidRPr="00073574">
              <w:t>)</w:t>
            </w:r>
            <w:r w:rsidR="009D5526" w:rsidRPr="00073574">
              <w:t>.</w:t>
            </w:r>
          </w:p>
          <w:p w14:paraId="3E4352B6" w14:textId="74775327" w:rsidR="00540738" w:rsidRPr="00073574" w:rsidRDefault="7AACAEAA" w:rsidP="00E17182">
            <w:pPr>
              <w:pStyle w:val="ListParagraph"/>
              <w:numPr>
                <w:ilvl w:val="0"/>
                <w:numId w:val="31"/>
              </w:numPr>
              <w:ind w:left="357" w:hanging="357"/>
              <w:contextualSpacing w:val="0"/>
            </w:pPr>
            <w:r w:rsidRPr="00073574">
              <w:t xml:space="preserve">SG15 uses the AAP as the default process but uses TAP as appropriate (e.g., </w:t>
            </w:r>
            <w:r w:rsidR="05E2CA23" w:rsidRPr="00073574">
              <w:t xml:space="preserve">for </w:t>
            </w:r>
            <w:r w:rsidRPr="00073574">
              <w:t>Rec</w:t>
            </w:r>
            <w:r w:rsidR="05E2CA23" w:rsidRPr="00073574">
              <w:t>ommendation</w:t>
            </w:r>
            <w:r w:rsidRPr="00073574">
              <w:t xml:space="preserve">s on power spectrum density on </w:t>
            </w:r>
            <w:r w:rsidR="529C6B0F" w:rsidRPr="00073574">
              <w:t xml:space="preserve">G.fast/G.mgfast, xDSL, </w:t>
            </w:r>
            <w:r w:rsidRPr="00073574">
              <w:t>PLC and home networking).</w:t>
            </w:r>
          </w:p>
          <w:p w14:paraId="30A2D559" w14:textId="2180C9A4" w:rsidR="00FE25EA" w:rsidRPr="00073574" w:rsidRDefault="122084AD" w:rsidP="00E17182">
            <w:pPr>
              <w:pStyle w:val="ListParagraph"/>
              <w:numPr>
                <w:ilvl w:val="0"/>
                <w:numId w:val="31"/>
              </w:numPr>
              <w:ind w:left="357" w:hanging="357"/>
              <w:contextualSpacing w:val="0"/>
              <w:rPr>
                <w:sz w:val="24"/>
              </w:rPr>
            </w:pPr>
            <w:r w:rsidRPr="00073574">
              <w:t>SG16 uses the AAP as the default process. ITU-T T.35, its only TAP Recommendation, has not been reviewed in almost 20 years.</w:t>
            </w:r>
          </w:p>
          <w:p w14:paraId="65E2EA50" w14:textId="1FCC2104" w:rsidR="00F0236A" w:rsidRPr="00073574" w:rsidRDefault="00F0236A" w:rsidP="00E17182">
            <w:pPr>
              <w:pStyle w:val="ListParagraph"/>
              <w:numPr>
                <w:ilvl w:val="0"/>
                <w:numId w:val="31"/>
              </w:numPr>
              <w:ind w:left="357" w:hanging="357"/>
              <w:contextualSpacing w:val="0"/>
            </w:pPr>
            <w:r w:rsidRPr="00073574">
              <w:t xml:space="preserve">SG17 at its first meeting </w:t>
            </w:r>
            <w:r w:rsidR="31BBE51F" w:rsidRPr="00073574">
              <w:t xml:space="preserve">reviewed and </w:t>
            </w:r>
            <w:r w:rsidRPr="00073574">
              <w:t>assigned the default approval process to all its Questions.</w:t>
            </w:r>
            <w:r w:rsidR="49D90527" w:rsidRPr="00073574">
              <w:t xml:space="preserve"> </w:t>
            </w:r>
            <w:r w:rsidR="49D90527" w:rsidRPr="00073574">
              <w:rPr>
                <w:rFonts w:eastAsia="Times New Roman"/>
              </w:rPr>
              <w:t xml:space="preserve">In addition, the approval process of each Recommendation is assigned when it is </w:t>
            </w:r>
            <w:r w:rsidR="49D90527" w:rsidRPr="00073574">
              <w:t>proposed to be established.</w:t>
            </w:r>
          </w:p>
          <w:p w14:paraId="75DD4AFB" w14:textId="1F1CEECA" w:rsidR="00F740B5" w:rsidRPr="00073574" w:rsidRDefault="5662B86A" w:rsidP="00E17182">
            <w:pPr>
              <w:pStyle w:val="ListParagraph"/>
              <w:numPr>
                <w:ilvl w:val="0"/>
                <w:numId w:val="31"/>
              </w:numPr>
              <w:ind w:left="357" w:hanging="357"/>
              <w:contextualSpacing w:val="0"/>
              <w:rPr>
                <w:rFonts w:eastAsia="Times New Roman"/>
                <w:u w:val="single"/>
              </w:rPr>
            </w:pPr>
            <w:r w:rsidRPr="00073574">
              <w:t>SG20 uses the AAP as the default process but uses TAP as appropriate.</w:t>
            </w:r>
            <w:r w:rsidR="3167A765" w:rsidRPr="00073574">
              <w:t xml:space="preserve"> </w:t>
            </w:r>
            <w:r w:rsidR="3167A765" w:rsidRPr="00073574">
              <w:rPr>
                <w:rFonts w:eastAsia="Times New Roman"/>
              </w:rPr>
              <w:t>SG20 applied TAP for</w:t>
            </w:r>
            <w:r w:rsidR="265B2513" w:rsidRPr="00073574">
              <w:rPr>
                <w:rFonts w:eastAsia="Times New Roman"/>
              </w:rPr>
              <w:t xml:space="preserve"> Recommendations</w:t>
            </w:r>
            <w:r w:rsidR="3167A765" w:rsidRPr="00073574">
              <w:rPr>
                <w:rFonts w:eastAsia="Times New Roman"/>
              </w:rPr>
              <w:t xml:space="preserve"> ITU-T Y.4471, Y.4559</w:t>
            </w:r>
            <w:r w:rsidR="006B05F2" w:rsidRPr="00073574">
              <w:rPr>
                <w:rFonts w:eastAsia="Times New Roman"/>
              </w:rPr>
              <w:t xml:space="preserve">, </w:t>
            </w:r>
            <w:r w:rsidR="3167A765" w:rsidRPr="00073574">
              <w:rPr>
                <w:rFonts w:eastAsia="Times New Roman"/>
              </w:rPr>
              <w:t>Y.4908</w:t>
            </w:r>
            <w:r w:rsidR="006B05F2" w:rsidRPr="00073574">
              <w:rPr>
                <w:rFonts w:eastAsia="Times New Roman"/>
              </w:rPr>
              <w:t>, Y.</w:t>
            </w:r>
            <w:r w:rsidR="00C52A11" w:rsidRPr="00073574">
              <w:rPr>
                <w:rFonts w:eastAsia="Times New Roman"/>
              </w:rPr>
              <w:t>4421</w:t>
            </w:r>
            <w:r w:rsidR="00A27CB3" w:rsidRPr="00073574">
              <w:rPr>
                <w:rFonts w:eastAsia="Times New Roman"/>
              </w:rPr>
              <w:t>,</w:t>
            </w:r>
            <w:r w:rsidR="00C52A11" w:rsidRPr="00073574">
              <w:rPr>
                <w:rFonts w:eastAsia="Times New Roman"/>
              </w:rPr>
              <w:t xml:space="preserve"> Y.4809</w:t>
            </w:r>
            <w:r w:rsidR="00A27CB3" w:rsidRPr="00073574">
              <w:rPr>
                <w:rFonts w:eastAsia="Times New Roman"/>
              </w:rPr>
              <w:t>, Y.4559</w:t>
            </w:r>
            <w:r w:rsidR="0052353A" w:rsidRPr="00073574">
              <w:rPr>
                <w:rFonts w:eastAsia="Times New Roman"/>
              </w:rPr>
              <w:t>,</w:t>
            </w:r>
            <w:r w:rsidR="00962F0D" w:rsidRPr="00073574">
              <w:rPr>
                <w:rFonts w:eastAsia="Times New Roman"/>
              </w:rPr>
              <w:t xml:space="preserve"> Y.4908</w:t>
            </w:r>
            <w:r w:rsidR="0052353A" w:rsidRPr="00073574">
              <w:rPr>
                <w:rFonts w:eastAsia="Times New Roman"/>
              </w:rPr>
              <w:t xml:space="preserve"> and draft Recommendation ITU-T Y.4214 and Y.4215</w:t>
            </w:r>
            <w:r w:rsidR="3167A765" w:rsidRPr="00073574">
              <w:rPr>
                <w:rFonts w:eastAsia="Times New Roman"/>
              </w:rPr>
              <w:t xml:space="preserve"> and</w:t>
            </w:r>
            <w:r w:rsidR="60E77943" w:rsidRPr="00073574">
              <w:rPr>
                <w:rFonts w:eastAsia="Times New Roman"/>
              </w:rPr>
              <w:t xml:space="preserve"> plans to apply</w:t>
            </w:r>
            <w:r w:rsidR="3167A765" w:rsidRPr="00073574">
              <w:rPr>
                <w:rFonts w:eastAsia="Times New Roman"/>
              </w:rPr>
              <w:t xml:space="preserve"> TAP for </w:t>
            </w:r>
            <w:r w:rsidR="14C7F920" w:rsidRPr="00073574">
              <w:rPr>
                <w:rFonts w:eastAsia="Times New Roman"/>
              </w:rPr>
              <w:t xml:space="preserve">the following </w:t>
            </w:r>
            <w:r w:rsidR="3167A765" w:rsidRPr="00073574">
              <w:rPr>
                <w:rFonts w:eastAsia="Times New Roman"/>
              </w:rPr>
              <w:t>work items Y.RA-PHE</w:t>
            </w:r>
            <w:r w:rsidR="00891474" w:rsidRPr="00073574">
              <w:rPr>
                <w:rFonts w:eastAsia="Times New Roman"/>
              </w:rPr>
              <w:t>,</w:t>
            </w:r>
            <w:r w:rsidR="3167A765" w:rsidRPr="00073574">
              <w:rPr>
                <w:rFonts w:eastAsia="Times New Roman"/>
              </w:rPr>
              <w:t xml:space="preserve"> </w:t>
            </w:r>
            <w:r w:rsidR="00C93179" w:rsidRPr="00073574">
              <w:rPr>
                <w:rFonts w:eastAsia="Times New Roman"/>
              </w:rPr>
              <w:t>Y.</w:t>
            </w:r>
            <w:r w:rsidR="00E828BF" w:rsidRPr="00073574">
              <w:rPr>
                <w:rFonts w:eastAsia="Times New Roman"/>
              </w:rPr>
              <w:t>dt-ITS</w:t>
            </w:r>
            <w:r w:rsidR="008D3496" w:rsidRPr="00073574">
              <w:rPr>
                <w:rFonts w:eastAsia="Times New Roman"/>
              </w:rPr>
              <w:t>, Y.RMDFS</w:t>
            </w:r>
            <w:r w:rsidR="00BA4933" w:rsidRPr="00073574">
              <w:rPr>
                <w:rFonts w:eastAsia="Times New Roman"/>
              </w:rPr>
              <w:t>, Y.energy-data</w:t>
            </w:r>
            <w:r w:rsidR="0013462F" w:rsidRPr="00073574">
              <w:rPr>
                <w:rFonts w:eastAsia="Times New Roman"/>
              </w:rPr>
              <w:t>, Y.IoT-SPWE</w:t>
            </w:r>
            <w:r w:rsidR="005E47EC" w:rsidRPr="00073574">
              <w:rPr>
                <w:rFonts w:eastAsia="Times New Roman"/>
              </w:rPr>
              <w:t>,</w:t>
            </w:r>
            <w:r w:rsidR="00621481" w:rsidRPr="00073574">
              <w:rPr>
                <w:rFonts w:eastAsia="Times New Roman"/>
              </w:rPr>
              <w:t xml:space="preserve"> Y.UIM-cs-framework</w:t>
            </w:r>
            <w:r w:rsidR="005E47EC" w:rsidRPr="00073574">
              <w:rPr>
                <w:rFonts w:eastAsia="Times New Roman"/>
              </w:rPr>
              <w:t>, Y.EMM-Reqts</w:t>
            </w:r>
            <w:r w:rsidR="009002AA" w:rsidRPr="00073574">
              <w:rPr>
                <w:rFonts w:eastAsia="Times New Roman"/>
              </w:rPr>
              <w:t>, Y.EV-charging</w:t>
            </w:r>
            <w:r w:rsidR="00C90106" w:rsidRPr="00073574">
              <w:rPr>
                <w:rFonts w:eastAsia="Times New Roman"/>
              </w:rPr>
              <w:t>, Y.IoT-SFFS</w:t>
            </w:r>
            <w:r w:rsidR="007F457B" w:rsidRPr="00073574">
              <w:rPr>
                <w:rFonts w:eastAsia="Times New Roman"/>
              </w:rPr>
              <w:t>, Y.IoT-Vreqs</w:t>
            </w:r>
            <w:r w:rsidR="00064E0B" w:rsidRPr="00073574">
              <w:rPr>
                <w:rFonts w:eastAsia="Times New Roman"/>
              </w:rPr>
              <w:t>, Y.IoT-MCSI</w:t>
            </w:r>
            <w:r w:rsidR="00FC5E9E" w:rsidRPr="00073574">
              <w:rPr>
                <w:rFonts w:eastAsia="Times New Roman"/>
              </w:rPr>
              <w:t xml:space="preserve"> and Y.KPI-Flood</w:t>
            </w:r>
            <w:r w:rsidR="3167A765" w:rsidRPr="00073574">
              <w:rPr>
                <w:rFonts w:eastAsia="Times New Roman"/>
              </w:rPr>
              <w:t>.</w:t>
            </w:r>
          </w:p>
        </w:tc>
      </w:tr>
      <w:tr w:rsidR="00F0236A" w:rsidRPr="00073574" w14:paraId="2C415DAF" w14:textId="77777777" w:rsidTr="4D78197E">
        <w:trPr>
          <w:jc w:val="center"/>
        </w:trPr>
        <w:tc>
          <w:tcPr>
            <w:tcW w:w="911" w:type="dxa"/>
            <w:vMerge w:val="restart"/>
            <w:tcBorders>
              <w:top w:val="single" w:sz="12" w:space="0" w:color="auto"/>
            </w:tcBorders>
            <w:shd w:val="clear" w:color="auto" w:fill="auto"/>
          </w:tcPr>
          <w:p w14:paraId="1FE30E14" w14:textId="77777777" w:rsidR="00F0236A" w:rsidRPr="00073574" w:rsidRDefault="00F0236A" w:rsidP="009A461E">
            <w:pPr>
              <w:pStyle w:val="Tabletext"/>
              <w:rPr>
                <w:b/>
                <w:bCs/>
                <w:sz w:val="24"/>
                <w:szCs w:val="24"/>
              </w:rPr>
            </w:pPr>
            <w:r w:rsidRPr="00073574">
              <w:rPr>
                <w:b/>
                <w:bCs/>
                <w:sz w:val="24"/>
                <w:szCs w:val="24"/>
              </w:rPr>
              <w:lastRenderedPageBreak/>
              <w:t>40-02</w:t>
            </w:r>
          </w:p>
        </w:tc>
        <w:tc>
          <w:tcPr>
            <w:tcW w:w="4944" w:type="dxa"/>
            <w:tcBorders>
              <w:top w:val="single" w:sz="12" w:space="0" w:color="auto"/>
            </w:tcBorders>
            <w:shd w:val="clear" w:color="auto" w:fill="auto"/>
            <w:hideMark/>
          </w:tcPr>
          <w:p w14:paraId="649FC751" w14:textId="1159CA71" w:rsidR="00F0236A" w:rsidRPr="00073574" w:rsidRDefault="00F0236A">
            <w:pPr>
              <w:pStyle w:val="Tabletext"/>
              <w:rPr>
                <w:b/>
                <w:bCs/>
                <w:sz w:val="24"/>
                <w:szCs w:val="24"/>
              </w:rPr>
            </w:pPr>
            <w:r w:rsidRPr="00073574">
              <w:rPr>
                <w:b/>
                <w:bCs/>
                <w:sz w:val="24"/>
                <w:szCs w:val="24"/>
              </w:rPr>
              <w:t xml:space="preserve">TSAG to study and identify the operational and technical areas related to quality of service/quality of experience (QoS/QoE) of telecommunications/information and communication technologies that might have policy and regulatory nature </w:t>
            </w:r>
            <w:r w:rsidR="00B741D4" w:rsidRPr="00073574">
              <w:rPr>
                <w:b/>
                <w:bCs/>
                <w:sz w:val="24"/>
                <w:szCs w:val="24"/>
              </w:rPr>
              <w:t xml:space="preserve">and report that to the next WTSA </w:t>
            </w:r>
            <w:r w:rsidRPr="00073574">
              <w:rPr>
                <w:b/>
                <w:bCs/>
                <w:sz w:val="24"/>
                <w:szCs w:val="24"/>
              </w:rPr>
              <w:t>(resolves 3)</w:t>
            </w:r>
          </w:p>
        </w:tc>
        <w:tc>
          <w:tcPr>
            <w:tcW w:w="1170" w:type="dxa"/>
            <w:tcBorders>
              <w:top w:val="single" w:sz="12" w:space="0" w:color="auto"/>
            </w:tcBorders>
            <w:shd w:val="clear" w:color="auto" w:fill="auto"/>
            <w:vAlign w:val="center"/>
            <w:hideMark/>
          </w:tcPr>
          <w:p w14:paraId="60AE5527" w14:textId="29D1951A" w:rsidR="00F0236A" w:rsidRPr="00073574" w:rsidRDefault="00F0236A">
            <w:pPr>
              <w:pStyle w:val="Tabletext"/>
              <w:jc w:val="center"/>
              <w:rPr>
                <w:b/>
                <w:bCs/>
                <w:sz w:val="24"/>
                <w:szCs w:val="24"/>
              </w:rPr>
            </w:pPr>
            <w:r w:rsidRPr="00073574">
              <w:rPr>
                <w:b/>
                <w:bCs/>
                <w:sz w:val="24"/>
                <w:szCs w:val="24"/>
              </w:rPr>
              <w:t>TSAG 20</w:t>
            </w:r>
            <w:r w:rsidR="0057414D" w:rsidRPr="00073574">
              <w:rPr>
                <w:b/>
                <w:bCs/>
                <w:sz w:val="24"/>
                <w:szCs w:val="24"/>
              </w:rPr>
              <w:t>2</w:t>
            </w:r>
            <w:r w:rsidR="009F6E67" w:rsidRPr="00073574">
              <w:rPr>
                <w:b/>
                <w:bCs/>
                <w:sz w:val="24"/>
                <w:szCs w:val="24"/>
              </w:rPr>
              <w:t>1</w:t>
            </w:r>
            <w:r w:rsidRPr="00073574">
              <w:rPr>
                <w:b/>
                <w:bCs/>
                <w:sz w:val="24"/>
                <w:szCs w:val="24"/>
              </w:rPr>
              <w:t>,</w:t>
            </w:r>
          </w:p>
          <w:p w14:paraId="68271CF9" w14:textId="38419202" w:rsidR="00DE0AD7" w:rsidRPr="00073574" w:rsidRDefault="00DE0AD7">
            <w:pPr>
              <w:pStyle w:val="Tabletext"/>
              <w:jc w:val="center"/>
              <w:rPr>
                <w:b/>
                <w:bCs/>
                <w:sz w:val="24"/>
                <w:szCs w:val="24"/>
              </w:rPr>
            </w:pPr>
            <w:r w:rsidRPr="00073574">
              <w:rPr>
                <w:b/>
                <w:bCs/>
                <w:sz w:val="24"/>
                <w:szCs w:val="24"/>
              </w:rPr>
              <w:t>WTSA-20</w:t>
            </w:r>
          </w:p>
          <w:p w14:paraId="1B059422" w14:textId="77777777" w:rsidR="00F0236A" w:rsidRPr="00073574" w:rsidRDefault="00F0236A">
            <w:pPr>
              <w:pStyle w:val="Tabletext"/>
              <w:jc w:val="center"/>
              <w:rPr>
                <w:b/>
                <w:bCs/>
                <w:sz w:val="24"/>
                <w:szCs w:val="24"/>
              </w:rPr>
            </w:pPr>
            <w:r w:rsidRPr="00073574">
              <w:rPr>
                <w:b/>
                <w:bCs/>
                <w:sz w:val="24"/>
                <w:szCs w:val="24"/>
              </w:rPr>
              <w:t>Ongoing</w:t>
            </w:r>
          </w:p>
        </w:tc>
        <w:tc>
          <w:tcPr>
            <w:tcW w:w="1260" w:type="dxa"/>
            <w:tcBorders>
              <w:top w:val="single" w:sz="12" w:space="0" w:color="auto"/>
            </w:tcBorders>
            <w:shd w:val="clear" w:color="auto" w:fill="auto"/>
            <w:vAlign w:val="center"/>
          </w:tcPr>
          <w:p w14:paraId="4010A375" w14:textId="20C8FF1C" w:rsidR="00F0236A" w:rsidRPr="00073574" w:rsidRDefault="002B0CBC">
            <w:pPr>
              <w:pStyle w:val="Tabletext"/>
              <w:jc w:val="center"/>
              <w:rPr>
                <w:b/>
                <w:bCs/>
                <w:sz w:val="24"/>
                <w:szCs w:val="24"/>
              </w:rPr>
            </w:pPr>
            <w:r w:rsidRPr="00073574">
              <w:rPr>
                <w:b/>
                <w:bCs/>
                <w:sz w:val="24"/>
                <w:szCs w:val="24"/>
              </w:rPr>
              <w:t>√</w:t>
            </w:r>
          </w:p>
        </w:tc>
        <w:tc>
          <w:tcPr>
            <w:tcW w:w="1237" w:type="dxa"/>
            <w:tcBorders>
              <w:top w:val="single" w:sz="12" w:space="0" w:color="auto"/>
            </w:tcBorders>
            <w:shd w:val="clear" w:color="auto" w:fill="auto"/>
            <w:vAlign w:val="center"/>
          </w:tcPr>
          <w:p w14:paraId="595BA7CE" w14:textId="446ED9FE" w:rsidR="00F0236A" w:rsidRPr="00073574" w:rsidRDefault="00E81DA9">
            <w:pPr>
              <w:pStyle w:val="Tabletext"/>
              <w:jc w:val="center"/>
              <w:rPr>
                <w:b/>
                <w:bCs/>
                <w:sz w:val="24"/>
                <w:szCs w:val="24"/>
              </w:rPr>
            </w:pPr>
            <w:r w:rsidRPr="00073574">
              <w:rPr>
                <w:b/>
                <w:bCs/>
                <w:sz w:val="24"/>
                <w:szCs w:val="24"/>
              </w:rPr>
              <w:t>√</w:t>
            </w:r>
          </w:p>
        </w:tc>
      </w:tr>
      <w:tr w:rsidR="00F0236A" w:rsidRPr="00073574" w14:paraId="051145C3" w14:textId="77777777" w:rsidTr="4D78197E">
        <w:trPr>
          <w:jc w:val="center"/>
        </w:trPr>
        <w:tc>
          <w:tcPr>
            <w:tcW w:w="911" w:type="dxa"/>
            <w:vMerge/>
            <w:vAlign w:val="center"/>
          </w:tcPr>
          <w:p w14:paraId="62B3BFDD" w14:textId="77777777" w:rsidR="00F0236A" w:rsidRPr="00073574" w:rsidRDefault="00F0236A">
            <w:pPr>
              <w:pStyle w:val="Tabletext"/>
              <w:rPr>
                <w:sz w:val="24"/>
                <w:szCs w:val="24"/>
              </w:rPr>
            </w:pPr>
          </w:p>
        </w:tc>
        <w:tc>
          <w:tcPr>
            <w:tcW w:w="8611" w:type="dxa"/>
            <w:gridSpan w:val="4"/>
            <w:shd w:val="clear" w:color="auto" w:fill="auto"/>
          </w:tcPr>
          <w:p w14:paraId="0B16AA80" w14:textId="77777777" w:rsidR="00F0236A" w:rsidRPr="00073574" w:rsidRDefault="7731FD69" w:rsidP="4D78197E">
            <w:pPr>
              <w:pStyle w:val="ListParagraph"/>
              <w:numPr>
                <w:ilvl w:val="0"/>
                <w:numId w:val="31"/>
              </w:numPr>
              <w:spacing w:before="40"/>
              <w:ind w:left="357" w:hanging="357"/>
              <w:contextualSpacing w:val="0"/>
            </w:pPr>
            <w:r w:rsidRPr="00073574">
              <w:t xml:space="preserve">In response to </w:t>
            </w:r>
            <w:r w:rsidR="534D8C66" w:rsidRPr="00073574">
              <w:t xml:space="preserve">WTSA </w:t>
            </w:r>
            <w:r w:rsidRPr="00073574">
              <w:t>Resolution 95, a number of work items have been created in SG12 Question 12 (Operational aspects of telecommunication network service quality)</w:t>
            </w:r>
            <w:r w:rsidR="534D8C66" w:rsidRPr="00073574">
              <w:t>.</w:t>
            </w:r>
          </w:p>
          <w:p w14:paraId="7DFA4D8D" w14:textId="77777777" w:rsidR="000574D5" w:rsidRPr="00073574" w:rsidRDefault="58F80499" w:rsidP="4D78197E">
            <w:pPr>
              <w:pStyle w:val="ListParagraph"/>
              <w:numPr>
                <w:ilvl w:val="0"/>
                <w:numId w:val="31"/>
              </w:numPr>
              <w:contextualSpacing w:val="0"/>
            </w:pPr>
            <w:r w:rsidRPr="00073574">
              <w:t xml:space="preserve">SG12 </w:t>
            </w:r>
            <w:r w:rsidR="7E5BCFB4" w:rsidRPr="00073574">
              <w:t xml:space="preserve">applied </w:t>
            </w:r>
            <w:r w:rsidRPr="00073574">
              <w:t xml:space="preserve">TAP for </w:t>
            </w:r>
            <w:r w:rsidR="7E5BCFB4" w:rsidRPr="00073574">
              <w:t xml:space="preserve">ITU-T E.805 (ex </w:t>
            </w:r>
            <w:r w:rsidRPr="00073574">
              <w:t>E.RQUAL</w:t>
            </w:r>
            <w:r w:rsidR="7E5BCFB4" w:rsidRPr="00073574">
              <w:t>;</w:t>
            </w:r>
            <w:r w:rsidRPr="00073574">
              <w:t xml:space="preserve"> Strategies to establish quality regulatory frameworks) and </w:t>
            </w:r>
            <w:r w:rsidR="00D23B3B" w:rsidRPr="00073574">
              <w:t xml:space="preserve">ITU-T E.805.1 (ex </w:t>
            </w:r>
            <w:r w:rsidRPr="00073574">
              <w:t>E.QoSMgtMod</w:t>
            </w:r>
            <w:r w:rsidR="00D23B3B" w:rsidRPr="00073574">
              <w:t xml:space="preserve">; </w:t>
            </w:r>
            <w:r w:rsidR="005A6A1B" w:rsidRPr="00073574">
              <w:t>Quality of service operational strategy for improved regulatory supervision of providers of mobile telecommunication services</w:t>
            </w:r>
            <w:r w:rsidRPr="00073574">
              <w:t>), both in Question 12/12.</w:t>
            </w:r>
          </w:p>
          <w:p w14:paraId="7BB3BDF0" w14:textId="00E48CBC" w:rsidR="00D57F89" w:rsidRPr="00073574" w:rsidRDefault="00D57F89" w:rsidP="4D78197E">
            <w:pPr>
              <w:pStyle w:val="ListParagraph"/>
              <w:numPr>
                <w:ilvl w:val="0"/>
                <w:numId w:val="31"/>
              </w:numPr>
              <w:contextualSpacing w:val="0"/>
            </w:pPr>
            <w:r w:rsidRPr="00073574">
              <w:t xml:space="preserve">SG12 also agreed on an updated edition of </w:t>
            </w:r>
            <w:r w:rsidR="00B95525" w:rsidRPr="00073574">
              <w:t>Supplement 9 (Guidelines on regulatory aspects of QoS)</w:t>
            </w:r>
            <w:r w:rsidR="00D30046" w:rsidRPr="00073574">
              <w:t xml:space="preserve"> </w:t>
            </w:r>
            <w:r w:rsidR="00B95525" w:rsidRPr="00073574">
              <w:t>to ITU-T E.800-series Recommendations</w:t>
            </w:r>
            <w:r w:rsidR="008F1D82" w:rsidRPr="00073574">
              <w:t>, also in Question 12/12.</w:t>
            </w:r>
            <w:r w:rsidR="00B95525" w:rsidRPr="00073574">
              <w:t xml:space="preserve"> </w:t>
            </w:r>
          </w:p>
          <w:p w14:paraId="1D282492" w14:textId="77777777" w:rsidR="00827943" w:rsidRPr="00073574" w:rsidRDefault="00827943" w:rsidP="00827943">
            <w:r w:rsidRPr="00073574">
              <w:t>Resolution 40 (</w:t>
            </w:r>
            <w:r w:rsidR="00455276" w:rsidRPr="00073574">
              <w:t>Rev. Hammamet, 2016</w:t>
            </w:r>
            <w:r w:rsidRPr="00073574">
              <w:t xml:space="preserve">) on “Regulatory aspects of work of the ITU Telecommunication Standardization Sector” </w:t>
            </w:r>
            <w:r w:rsidR="00F904F5" w:rsidRPr="00073574">
              <w:t>instructs TSAG to study and identify the operational and technical areas related to quality of service/quality of experience (QoS/QoE) of telecommunications/information and communication technologies that might have policy and regulatory nature and report that to the next WTSA:</w:t>
            </w:r>
          </w:p>
          <w:p w14:paraId="24D47174" w14:textId="41764634" w:rsidR="00F904F5" w:rsidRPr="00073574" w:rsidRDefault="00676109" w:rsidP="00827943">
            <w:r w:rsidRPr="00073574">
              <w:t xml:space="preserve">While TSAG did not </w:t>
            </w:r>
            <w:r w:rsidR="00937796" w:rsidRPr="00073574">
              <w:t>study this issue, t</w:t>
            </w:r>
            <w:r w:rsidR="00A21125" w:rsidRPr="00073574">
              <w:t xml:space="preserve">he </w:t>
            </w:r>
            <w:r w:rsidR="00656304" w:rsidRPr="00073574">
              <w:t xml:space="preserve">subject matter </w:t>
            </w:r>
            <w:r w:rsidR="00904DFF" w:rsidRPr="00073574">
              <w:t xml:space="preserve">of QoS/QoE </w:t>
            </w:r>
            <w:r w:rsidR="00E81DA9" w:rsidRPr="00073574">
              <w:t>has been</w:t>
            </w:r>
            <w:r w:rsidR="00904DFF" w:rsidRPr="00073574">
              <w:t xml:space="preserve"> studied by ITU-T SG12 as the lead study group </w:t>
            </w:r>
            <w:r w:rsidR="004B370E" w:rsidRPr="00073574">
              <w:t xml:space="preserve">on quality of service and quality of experience, </w:t>
            </w:r>
            <w:r w:rsidR="00E81DA9" w:rsidRPr="00073574">
              <w:t>but also in several other study groups</w:t>
            </w:r>
            <w:r w:rsidR="00841BE4" w:rsidRPr="00073574">
              <w:t xml:space="preserve"> such as </w:t>
            </w:r>
            <w:r w:rsidR="00EC0034" w:rsidRPr="00073574">
              <w:t xml:space="preserve">in </w:t>
            </w:r>
            <w:r w:rsidR="00841BE4" w:rsidRPr="00073574">
              <w:t xml:space="preserve">SG3, 13, </w:t>
            </w:r>
            <w:r w:rsidR="00EC0034" w:rsidRPr="00073574">
              <w:t>16 and 20</w:t>
            </w:r>
            <w:r w:rsidR="003930F1" w:rsidRPr="00073574">
              <w:t>, where QoS and/or QoE aspects have been studied in their respective domains</w:t>
            </w:r>
            <w:r w:rsidR="00E81DA9" w:rsidRPr="00073574">
              <w:t>.</w:t>
            </w:r>
            <w:r w:rsidR="00E379BD" w:rsidRPr="00073574">
              <w:t xml:space="preserve"> The approval processes </w:t>
            </w:r>
            <w:r w:rsidR="008164AE" w:rsidRPr="00073574">
              <w:t xml:space="preserve">for such texts on QoS/QoE </w:t>
            </w:r>
            <w:r w:rsidR="00E379BD" w:rsidRPr="00073574">
              <w:t>vary</w:t>
            </w:r>
            <w:r w:rsidR="00F52988" w:rsidRPr="00073574">
              <w:t xml:space="preserve"> and are selected on various </w:t>
            </w:r>
            <w:r w:rsidR="00B66489" w:rsidRPr="00073574">
              <w:t xml:space="preserve">criteria, where </w:t>
            </w:r>
            <w:r w:rsidR="00B3780A" w:rsidRPr="00073574">
              <w:t xml:space="preserve">AAP </w:t>
            </w:r>
            <w:r w:rsidR="00187499" w:rsidRPr="00073574">
              <w:t>is chosen</w:t>
            </w:r>
            <w:r w:rsidR="00B3780A" w:rsidRPr="00073574">
              <w:t xml:space="preserve"> when there are no regulatory or </w:t>
            </w:r>
            <w:r w:rsidR="00B3780A" w:rsidRPr="00073574">
              <w:lastRenderedPageBreak/>
              <w:t xml:space="preserve">policy implications in the texts, and otherwise, TAP </w:t>
            </w:r>
            <w:r w:rsidR="00187499" w:rsidRPr="00073574">
              <w:t>applies.</w:t>
            </w:r>
            <w:r w:rsidR="003E4F42" w:rsidRPr="00073574">
              <w:t xml:space="preserve"> The technical study groups </w:t>
            </w:r>
            <w:r w:rsidR="00042CD0" w:rsidRPr="00073574">
              <w:t>decide the nature of the approval process for a QoS/QoE related on a case-by-case basis.</w:t>
            </w:r>
          </w:p>
        </w:tc>
      </w:tr>
    </w:tbl>
    <w:bookmarkStart w:id="118" w:name="Item40_01"/>
    <w:bookmarkStart w:id="119" w:name="Item40_02"/>
    <w:bookmarkEnd w:id="118"/>
    <w:bookmarkEnd w:id="119"/>
    <w:p w14:paraId="02ADFC6C" w14:textId="77777777" w:rsidR="00F0236A" w:rsidRPr="00073574" w:rsidRDefault="00F0236A" w:rsidP="00F0236A">
      <w:pPr>
        <w:rPr>
          <w:rStyle w:val="Hyperlink"/>
          <w:sz w:val="24"/>
        </w:rPr>
      </w:pPr>
      <w:r w:rsidRPr="00073574">
        <w:rPr>
          <w:color w:val="2B579A"/>
          <w:shd w:val="clear" w:color="auto" w:fill="E6E6E6"/>
        </w:rPr>
        <w:lastRenderedPageBreak/>
        <w:fldChar w:fldCharType="begin"/>
      </w:r>
      <w:r w:rsidRPr="00073574">
        <w:rPr>
          <w:sz w:val="24"/>
        </w:rPr>
        <w:instrText xml:space="preserve"> HYPERLINK \l "Top" </w:instrText>
      </w:r>
      <w:r w:rsidRPr="00073574">
        <w:rPr>
          <w:color w:val="2B579A"/>
          <w:shd w:val="clear" w:color="auto" w:fill="E6E6E6"/>
        </w:rPr>
        <w:fldChar w:fldCharType="separate"/>
      </w:r>
      <w:r w:rsidRPr="00073574">
        <w:rPr>
          <w:rStyle w:val="Hyperlink"/>
          <w:sz w:val="24"/>
        </w:rPr>
        <w:t>» Top</w:t>
      </w:r>
      <w:r w:rsidRPr="00073574">
        <w:rPr>
          <w:rStyle w:val="Hyperlink"/>
          <w:sz w:val="24"/>
        </w:rPr>
        <w:fldChar w:fldCharType="end"/>
      </w:r>
    </w:p>
    <w:p w14:paraId="67B95FA6" w14:textId="77777777" w:rsidR="00F0236A" w:rsidRPr="00073574" w:rsidRDefault="00F0236A" w:rsidP="00F0236A">
      <w:pPr>
        <w:rPr>
          <w:sz w:val="24"/>
        </w:rPr>
      </w:pPr>
    </w:p>
    <w:p w14:paraId="4D9747C9" w14:textId="77777777" w:rsidR="00F0236A" w:rsidRPr="00073574" w:rsidRDefault="00F0236A" w:rsidP="00F0236A">
      <w:pPr>
        <w:pStyle w:val="Heading1"/>
        <w:keepNext/>
        <w:keepLines/>
        <w:rPr>
          <w:sz w:val="24"/>
          <w:szCs w:val="24"/>
          <w:lang w:val="en-GB"/>
        </w:rPr>
      </w:pPr>
      <w:bookmarkStart w:id="120" w:name="Resolution_43"/>
      <w:bookmarkStart w:id="121" w:name="_Toc304236429"/>
      <w:bookmarkStart w:id="122" w:name="_Toc471715366"/>
      <w:bookmarkStart w:id="123" w:name="_Toc93425252"/>
      <w:bookmarkEnd w:id="120"/>
      <w:r w:rsidRPr="00073574">
        <w:rPr>
          <w:sz w:val="24"/>
          <w:szCs w:val="24"/>
          <w:lang w:val="en-GB"/>
        </w:rPr>
        <w:t>Resolution 43 - Regional preparations for world telecommunication standardization assemblies</w:t>
      </w:r>
      <w:bookmarkEnd w:id="121"/>
      <w:bookmarkEnd w:id="122"/>
      <w:bookmarkEnd w:id="123"/>
    </w:p>
    <w:p w14:paraId="3FA9CAC1" w14:textId="77777777" w:rsidR="00F0236A" w:rsidRPr="00073574" w:rsidRDefault="00F0236A" w:rsidP="00F0236A">
      <w:pPr>
        <w:keepNext/>
        <w:keepLines/>
        <w:rPr>
          <w:b/>
          <w:bCs/>
          <w:sz w:val="24"/>
        </w:rPr>
      </w:pPr>
      <w:r w:rsidRPr="00073574">
        <w:rPr>
          <w:b/>
          <w:bCs/>
          <w:sz w:val="24"/>
        </w:rPr>
        <w:t>Resolution 43</w:t>
      </w:r>
    </w:p>
    <w:p w14:paraId="6FD414B1" w14:textId="77777777" w:rsidR="00F0236A" w:rsidRPr="00073574" w:rsidRDefault="00F0236A" w:rsidP="00F0236A">
      <w:pPr>
        <w:pStyle w:val="Call"/>
        <w:rPr>
          <w:sz w:val="24"/>
          <w:szCs w:val="24"/>
          <w:lang w:val="en-GB"/>
        </w:rPr>
      </w:pPr>
      <w:r w:rsidRPr="00073574">
        <w:rPr>
          <w:sz w:val="24"/>
          <w:szCs w:val="24"/>
          <w:lang w:val="en-GB"/>
        </w:rPr>
        <w:t>resolves to instruct the Director of the Telecommunication Standardization Bureau</w:t>
      </w:r>
    </w:p>
    <w:p w14:paraId="362ACE8D" w14:textId="77777777" w:rsidR="00F0236A" w:rsidRPr="00073574" w:rsidRDefault="00F0236A" w:rsidP="00F0236A">
      <w:pPr>
        <w:rPr>
          <w:sz w:val="24"/>
        </w:rPr>
      </w:pPr>
      <w:r w:rsidRPr="00073574">
        <w:rPr>
          <w:sz w:val="24"/>
        </w:rPr>
        <w:t>to maintain the organization, within the financial limitations established by the Plenipotentiary Conference, of at least one regional preparatory meeting per region, the closest in time possible to the next WTSA, followed by an informal meeting of the chairmen and vice-chairmen of the regional preparatory meetings and other interested parties, to be held not earlier than twelve months prior to WTSA,</w:t>
      </w:r>
    </w:p>
    <w:p w14:paraId="2342C1A1" w14:textId="77777777" w:rsidR="00F0236A" w:rsidRPr="00073574" w:rsidRDefault="00F0236A" w:rsidP="00F0236A">
      <w:pPr>
        <w:pStyle w:val="Call"/>
        <w:rPr>
          <w:sz w:val="24"/>
          <w:szCs w:val="24"/>
          <w:lang w:val="en-GB"/>
        </w:rPr>
      </w:pPr>
      <w:r w:rsidRPr="00073574">
        <w:rPr>
          <w:sz w:val="24"/>
          <w:szCs w:val="24"/>
          <w:lang w:val="en-GB"/>
        </w:rPr>
        <w:t>invites the Secretary-General, in cooperation with the Directors of the Bureaux of the three Sectors</w:t>
      </w:r>
    </w:p>
    <w:p w14:paraId="530AFF20" w14:textId="6BEC20FA" w:rsidR="00F0236A" w:rsidRPr="00073574" w:rsidRDefault="00F0236A" w:rsidP="00F0236A">
      <w:pPr>
        <w:rPr>
          <w:sz w:val="24"/>
        </w:rPr>
      </w:pPr>
      <w:r w:rsidRPr="00073574">
        <w:rPr>
          <w:sz w:val="24"/>
        </w:rPr>
        <w:t>1</w:t>
      </w:r>
      <w:r w:rsidRPr="00073574">
        <w:rPr>
          <w:sz w:val="24"/>
        </w:rPr>
        <w:tab/>
        <w:t xml:space="preserve">to consult with Member States and regional and subregional telecommunication organizations on the means by which assistance can be provided in support of their preparations for future WTSAs, including support for the organization of a </w:t>
      </w:r>
      <w:r w:rsidR="003C7E25" w:rsidRPr="00073574">
        <w:rPr>
          <w:sz w:val="24"/>
        </w:rPr>
        <w:t>"</w:t>
      </w:r>
      <w:r w:rsidRPr="00073574">
        <w:rPr>
          <w:sz w:val="24"/>
        </w:rPr>
        <w:t>Bridging the Standardization Gap Forum</w:t>
      </w:r>
      <w:r w:rsidR="003C7E25" w:rsidRPr="00073574">
        <w:rPr>
          <w:sz w:val="24"/>
        </w:rPr>
        <w:t>"</w:t>
      </w:r>
      <w:r w:rsidRPr="00073574">
        <w:rPr>
          <w:sz w:val="24"/>
        </w:rPr>
        <w:t xml:space="preserve"> per region to address major issues of the next WTSA of interest to developing countries</w:t>
      </w:r>
      <w:r w:rsidRPr="00073574">
        <w:rPr>
          <w:rStyle w:val="FootnoteReference"/>
          <w:sz w:val="24"/>
        </w:rPr>
        <w:footnoteReference w:customMarkFollows="1" w:id="3"/>
        <w:t>1</w:t>
      </w:r>
      <w:r w:rsidRPr="00073574">
        <w:rPr>
          <w:sz w:val="24"/>
        </w:rPr>
        <w:t>;</w:t>
      </w:r>
    </w:p>
    <w:p w14:paraId="67EA4CF5" w14:textId="77777777" w:rsidR="00F0236A" w:rsidRPr="00073574" w:rsidRDefault="00F0236A" w:rsidP="00F0236A">
      <w:pPr>
        <w:rPr>
          <w:sz w:val="24"/>
        </w:rPr>
      </w:pPr>
      <w:r w:rsidRPr="00073574">
        <w:rPr>
          <w:sz w:val="24"/>
        </w:rPr>
        <w:t>2</w:t>
      </w:r>
      <w:r w:rsidRPr="00073574">
        <w:rPr>
          <w:sz w:val="24"/>
        </w:rPr>
        <w:tab/>
        <w:t>on the basis of such consultations, to assist Member States and regional and subregional telecommunication organizations in such areas as:</w:t>
      </w:r>
    </w:p>
    <w:p w14:paraId="22974725" w14:textId="77777777" w:rsidR="00F0236A" w:rsidRPr="00073574" w:rsidRDefault="00F0236A" w:rsidP="00F0236A">
      <w:pPr>
        <w:pStyle w:val="enumlev10"/>
        <w:rPr>
          <w:sz w:val="24"/>
          <w:szCs w:val="24"/>
        </w:rPr>
      </w:pPr>
      <w:r w:rsidRPr="00073574">
        <w:rPr>
          <w:sz w:val="24"/>
          <w:szCs w:val="24"/>
        </w:rPr>
        <w:t>i)</w:t>
      </w:r>
      <w:r w:rsidRPr="00073574">
        <w:rPr>
          <w:sz w:val="24"/>
          <w:szCs w:val="24"/>
        </w:rPr>
        <w:tab/>
        <w:t>the organization of informal regional and interregional preparatory meetings, and formal regional preparatory meetings if a region so requests;</w:t>
      </w:r>
    </w:p>
    <w:p w14:paraId="20911EC0" w14:textId="77777777" w:rsidR="00F0236A" w:rsidRPr="00073574" w:rsidRDefault="00F0236A" w:rsidP="00F0236A">
      <w:pPr>
        <w:pStyle w:val="enumlev10"/>
        <w:rPr>
          <w:sz w:val="24"/>
          <w:szCs w:val="24"/>
        </w:rPr>
      </w:pPr>
      <w:r w:rsidRPr="00073574">
        <w:rPr>
          <w:sz w:val="24"/>
          <w:szCs w:val="24"/>
        </w:rPr>
        <w:t>ii)</w:t>
      </w:r>
      <w:r w:rsidRPr="00073574">
        <w:rPr>
          <w:sz w:val="24"/>
          <w:szCs w:val="24"/>
        </w:rPr>
        <w:tab/>
        <w:t>the identification of major issues to be resolved by the next WTSA;</w:t>
      </w:r>
    </w:p>
    <w:p w14:paraId="7A556A16" w14:textId="77777777" w:rsidR="00F0236A" w:rsidRPr="00073574" w:rsidRDefault="00F0236A" w:rsidP="00F0236A">
      <w:pPr>
        <w:pStyle w:val="enumlev10"/>
        <w:rPr>
          <w:sz w:val="24"/>
          <w:szCs w:val="24"/>
        </w:rPr>
      </w:pPr>
      <w:r w:rsidRPr="00073574">
        <w:rPr>
          <w:sz w:val="24"/>
          <w:szCs w:val="24"/>
        </w:rPr>
        <w:t>iii)</w:t>
      </w:r>
      <w:r w:rsidRPr="00073574">
        <w:rPr>
          <w:sz w:val="24"/>
          <w:szCs w:val="24"/>
        </w:rPr>
        <w:tab/>
        <w:t>the development of coordination methods;</w:t>
      </w:r>
    </w:p>
    <w:p w14:paraId="39D3D2FE" w14:textId="77777777" w:rsidR="00F0236A" w:rsidRPr="00073574" w:rsidRDefault="00F0236A" w:rsidP="00F0236A">
      <w:pPr>
        <w:pStyle w:val="enumlev10"/>
        <w:rPr>
          <w:sz w:val="24"/>
          <w:szCs w:val="24"/>
        </w:rPr>
      </w:pPr>
      <w:r w:rsidRPr="00073574">
        <w:rPr>
          <w:sz w:val="24"/>
          <w:szCs w:val="24"/>
        </w:rPr>
        <w:t>iv)</w:t>
      </w:r>
      <w:r w:rsidRPr="00073574">
        <w:rPr>
          <w:sz w:val="24"/>
          <w:szCs w:val="24"/>
        </w:rPr>
        <w:tab/>
        <w:t>the organization of information sessions on expected work for WTSA;</w:t>
      </w:r>
    </w:p>
    <w:p w14:paraId="0E521DA3" w14:textId="77777777" w:rsidR="00F0236A" w:rsidRPr="00073574" w:rsidRDefault="00F0236A" w:rsidP="00F0236A">
      <w:pPr>
        <w:rPr>
          <w:sz w:val="24"/>
        </w:rPr>
      </w:pPr>
      <w:r w:rsidRPr="00073574">
        <w:rPr>
          <w:sz w:val="24"/>
        </w:rPr>
        <w:t>3</w:t>
      </w:r>
      <w:r w:rsidRPr="00073574">
        <w:rPr>
          <w:sz w:val="24"/>
        </w:rPr>
        <w:tab/>
        <w:t>to submit, no later than the 2013 session of the ITU Council, a report on feedback from Member States concerning WTSA regional preparatory meetings, their results and the application of this resolution,</w:t>
      </w:r>
    </w:p>
    <w:p w14:paraId="7F47B500" w14:textId="77777777" w:rsidR="00F0236A" w:rsidRPr="00073574" w:rsidRDefault="00F0236A" w:rsidP="00F0236A">
      <w:pPr>
        <w:pStyle w:val="Call"/>
        <w:rPr>
          <w:sz w:val="24"/>
          <w:szCs w:val="24"/>
          <w:lang w:val="en-GB"/>
        </w:rPr>
      </w:pPr>
      <w:r w:rsidRPr="00073574">
        <w:rPr>
          <w:sz w:val="24"/>
          <w:szCs w:val="24"/>
          <w:lang w:val="en-GB"/>
        </w:rPr>
        <w:t>invites Member States</w:t>
      </w:r>
    </w:p>
    <w:p w14:paraId="7CF7C971" w14:textId="77777777" w:rsidR="00F0236A" w:rsidRPr="00073574" w:rsidRDefault="00F0236A" w:rsidP="00F0236A">
      <w:pPr>
        <w:rPr>
          <w:sz w:val="24"/>
        </w:rPr>
      </w:pPr>
      <w:r w:rsidRPr="00073574">
        <w:rPr>
          <w:sz w:val="24"/>
        </w:rPr>
        <w:t>to participate actively in the implementation of this resolution,</w:t>
      </w:r>
    </w:p>
    <w:p w14:paraId="48F7EB69" w14:textId="063F5B42" w:rsidR="00F0236A" w:rsidRPr="00073574" w:rsidRDefault="00F0236A" w:rsidP="00F0236A">
      <w:pPr>
        <w:pStyle w:val="Call"/>
        <w:rPr>
          <w:sz w:val="24"/>
          <w:szCs w:val="24"/>
          <w:lang w:val="en-GB"/>
        </w:rPr>
      </w:pPr>
      <w:r w:rsidRPr="00073574">
        <w:rPr>
          <w:sz w:val="24"/>
          <w:szCs w:val="24"/>
          <w:lang w:val="en-GB"/>
        </w:rPr>
        <w:t xml:space="preserve">invites regional and subregional </w:t>
      </w:r>
      <w:r w:rsidR="007A4213" w:rsidRPr="00073574">
        <w:rPr>
          <w:sz w:val="24"/>
          <w:szCs w:val="24"/>
          <w:lang w:val="en-GB"/>
        </w:rPr>
        <w:t>telecommunication organizations</w:t>
      </w:r>
    </w:p>
    <w:p w14:paraId="6A0F029E" w14:textId="531878F7" w:rsidR="00F0236A" w:rsidRPr="00073574" w:rsidRDefault="00F0236A" w:rsidP="00F0236A">
      <w:pPr>
        <w:rPr>
          <w:sz w:val="24"/>
        </w:rPr>
      </w:pPr>
      <w:r w:rsidRPr="00073574">
        <w:rPr>
          <w:sz w:val="24"/>
        </w:rPr>
        <w:t>1</w:t>
      </w:r>
      <w:r w:rsidRPr="00073574">
        <w:rPr>
          <w:sz w:val="24"/>
        </w:rPr>
        <w:tab/>
        <w:t>to participate in coordinating and harmonizing the contributions of their respective Member States in order to generate c</w:t>
      </w:r>
      <w:r w:rsidR="007A4213" w:rsidRPr="00073574">
        <w:rPr>
          <w:sz w:val="24"/>
        </w:rPr>
        <w:t>ommon proposals where possible;</w:t>
      </w:r>
    </w:p>
    <w:p w14:paraId="5CE461AE" w14:textId="77777777" w:rsidR="00F0236A" w:rsidRPr="00073574" w:rsidRDefault="00F0236A" w:rsidP="00F0236A">
      <w:pPr>
        <w:spacing w:after="240"/>
        <w:rPr>
          <w:sz w:val="24"/>
        </w:rPr>
      </w:pPr>
      <w:r w:rsidRPr="00073574">
        <w:rPr>
          <w:sz w:val="24"/>
        </w:rPr>
        <w:t>2</w:t>
      </w:r>
      <w:r w:rsidRPr="00073574">
        <w:rPr>
          <w:sz w:val="24"/>
        </w:rPr>
        <w:tab/>
        <w:t>to convene, if possible, informal interregional meetings in order to arrive at interregional common proposals.</w:t>
      </w:r>
    </w:p>
    <w:tbl>
      <w:tblPr>
        <w:tblW w:w="952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11"/>
        <w:gridCol w:w="4850"/>
        <w:gridCol w:w="1254"/>
        <w:gridCol w:w="1171"/>
        <w:gridCol w:w="1336"/>
      </w:tblGrid>
      <w:tr w:rsidR="00F0236A" w:rsidRPr="00073574" w14:paraId="61E8FA15" w14:textId="77777777" w:rsidTr="4D78197E">
        <w:trPr>
          <w:tblHeader/>
          <w:jc w:val="center"/>
        </w:trPr>
        <w:tc>
          <w:tcPr>
            <w:tcW w:w="911" w:type="dxa"/>
            <w:tcBorders>
              <w:top w:val="single" w:sz="12" w:space="0" w:color="auto"/>
              <w:bottom w:val="single" w:sz="12" w:space="0" w:color="auto"/>
            </w:tcBorders>
            <w:shd w:val="clear" w:color="auto" w:fill="auto"/>
            <w:vAlign w:val="center"/>
          </w:tcPr>
          <w:p w14:paraId="40843AD6" w14:textId="77777777" w:rsidR="00F0236A" w:rsidRPr="00073574" w:rsidRDefault="00F0236A" w:rsidP="00DF36E1">
            <w:pPr>
              <w:pStyle w:val="Tablehead"/>
              <w:rPr>
                <w:sz w:val="24"/>
                <w:szCs w:val="24"/>
              </w:rPr>
            </w:pPr>
            <w:r w:rsidRPr="00073574">
              <w:rPr>
                <w:sz w:val="24"/>
                <w:szCs w:val="24"/>
              </w:rPr>
              <w:lastRenderedPageBreak/>
              <w:t>Action Item</w:t>
            </w:r>
          </w:p>
        </w:tc>
        <w:tc>
          <w:tcPr>
            <w:tcW w:w="4944" w:type="dxa"/>
            <w:tcBorders>
              <w:top w:val="single" w:sz="12" w:space="0" w:color="auto"/>
              <w:bottom w:val="single" w:sz="12" w:space="0" w:color="auto"/>
            </w:tcBorders>
            <w:shd w:val="clear" w:color="auto" w:fill="auto"/>
            <w:vAlign w:val="center"/>
            <w:hideMark/>
          </w:tcPr>
          <w:p w14:paraId="2BD1E96D" w14:textId="77777777" w:rsidR="00F0236A" w:rsidRPr="00073574" w:rsidRDefault="00F0236A" w:rsidP="00DF36E1">
            <w:pPr>
              <w:pStyle w:val="Tablehead"/>
              <w:rPr>
                <w:sz w:val="24"/>
                <w:szCs w:val="24"/>
              </w:rPr>
            </w:pPr>
            <w:r w:rsidRPr="00073574">
              <w:rPr>
                <w:sz w:val="24"/>
                <w:szCs w:val="24"/>
              </w:rPr>
              <w:t>Action</w:t>
            </w:r>
          </w:p>
        </w:tc>
        <w:tc>
          <w:tcPr>
            <w:tcW w:w="1255" w:type="dxa"/>
            <w:tcBorders>
              <w:top w:val="single" w:sz="12" w:space="0" w:color="auto"/>
              <w:bottom w:val="single" w:sz="12" w:space="0" w:color="auto"/>
            </w:tcBorders>
            <w:shd w:val="clear" w:color="auto" w:fill="auto"/>
            <w:vAlign w:val="center"/>
            <w:hideMark/>
          </w:tcPr>
          <w:p w14:paraId="2EF4D197" w14:textId="77777777" w:rsidR="00F0236A" w:rsidRPr="00073574" w:rsidRDefault="00F0236A" w:rsidP="00DF36E1">
            <w:pPr>
              <w:pStyle w:val="Tablehead"/>
              <w:rPr>
                <w:sz w:val="24"/>
                <w:szCs w:val="24"/>
              </w:rPr>
            </w:pPr>
            <w:r w:rsidRPr="00073574">
              <w:rPr>
                <w:sz w:val="24"/>
                <w:szCs w:val="24"/>
              </w:rPr>
              <w:t>Milestone</w:t>
            </w:r>
          </w:p>
        </w:tc>
        <w:tc>
          <w:tcPr>
            <w:tcW w:w="1175" w:type="dxa"/>
            <w:tcBorders>
              <w:top w:val="single" w:sz="12" w:space="0" w:color="auto"/>
              <w:bottom w:val="single" w:sz="12" w:space="0" w:color="auto"/>
            </w:tcBorders>
            <w:shd w:val="clear" w:color="auto" w:fill="auto"/>
          </w:tcPr>
          <w:p w14:paraId="01196347" w14:textId="77777777" w:rsidR="00F0236A" w:rsidRPr="00073574" w:rsidRDefault="00F0236A" w:rsidP="00DF36E1">
            <w:pPr>
              <w:pStyle w:val="Tablehead"/>
              <w:rPr>
                <w:sz w:val="24"/>
                <w:szCs w:val="24"/>
              </w:rPr>
            </w:pPr>
            <w:r w:rsidRPr="00073574">
              <w:rPr>
                <w:sz w:val="24"/>
                <w:szCs w:val="24"/>
              </w:rPr>
              <w:t>Periodic goals met</w:t>
            </w:r>
          </w:p>
        </w:tc>
        <w:tc>
          <w:tcPr>
            <w:tcW w:w="1237" w:type="dxa"/>
            <w:tcBorders>
              <w:top w:val="single" w:sz="12" w:space="0" w:color="auto"/>
              <w:bottom w:val="single" w:sz="12" w:space="0" w:color="auto"/>
            </w:tcBorders>
            <w:shd w:val="clear" w:color="auto" w:fill="auto"/>
            <w:vAlign w:val="center"/>
          </w:tcPr>
          <w:p w14:paraId="460250F7" w14:textId="77777777" w:rsidR="00F0236A" w:rsidRPr="00073574" w:rsidRDefault="00F0236A" w:rsidP="00DF36E1">
            <w:pPr>
              <w:pStyle w:val="Tablehead"/>
              <w:rPr>
                <w:sz w:val="24"/>
                <w:szCs w:val="24"/>
              </w:rPr>
            </w:pPr>
            <w:r w:rsidRPr="00073574">
              <w:rPr>
                <w:sz w:val="24"/>
                <w:szCs w:val="24"/>
              </w:rPr>
              <w:t>Completed</w:t>
            </w:r>
          </w:p>
        </w:tc>
      </w:tr>
      <w:tr w:rsidR="00F0236A" w:rsidRPr="00073574" w14:paraId="511D11DA" w14:textId="77777777" w:rsidTr="4D78197E">
        <w:trPr>
          <w:cantSplit/>
          <w:jc w:val="center"/>
        </w:trPr>
        <w:tc>
          <w:tcPr>
            <w:tcW w:w="911" w:type="dxa"/>
            <w:vMerge w:val="restart"/>
            <w:tcBorders>
              <w:top w:val="single" w:sz="12" w:space="0" w:color="auto"/>
            </w:tcBorders>
            <w:shd w:val="clear" w:color="auto" w:fill="auto"/>
          </w:tcPr>
          <w:p w14:paraId="41CEE194" w14:textId="77777777" w:rsidR="00F0236A" w:rsidRPr="00073574" w:rsidRDefault="00F0236A" w:rsidP="00F05254">
            <w:pPr>
              <w:pStyle w:val="Tabletext"/>
              <w:rPr>
                <w:b/>
                <w:bCs/>
                <w:sz w:val="24"/>
                <w:szCs w:val="24"/>
              </w:rPr>
            </w:pPr>
            <w:r w:rsidRPr="00073574">
              <w:rPr>
                <w:b/>
                <w:bCs/>
                <w:sz w:val="24"/>
                <w:szCs w:val="24"/>
              </w:rPr>
              <w:t>43-01</w:t>
            </w:r>
          </w:p>
        </w:tc>
        <w:tc>
          <w:tcPr>
            <w:tcW w:w="4944" w:type="dxa"/>
            <w:tcBorders>
              <w:top w:val="single" w:sz="12" w:space="0" w:color="auto"/>
              <w:bottom w:val="single" w:sz="4" w:space="0" w:color="auto"/>
            </w:tcBorders>
            <w:shd w:val="clear" w:color="auto" w:fill="auto"/>
          </w:tcPr>
          <w:p w14:paraId="38B0BE76" w14:textId="30DC6EC2" w:rsidR="00F0236A" w:rsidRPr="00073574" w:rsidRDefault="00F0236A" w:rsidP="00DF36E1">
            <w:pPr>
              <w:pStyle w:val="Tabletext"/>
              <w:keepNext/>
              <w:keepLines/>
              <w:rPr>
                <w:b/>
                <w:bCs/>
                <w:sz w:val="24"/>
                <w:szCs w:val="24"/>
              </w:rPr>
            </w:pPr>
            <w:r w:rsidRPr="00073574">
              <w:rPr>
                <w:b/>
                <w:bCs/>
                <w:sz w:val="24"/>
                <w:szCs w:val="24"/>
              </w:rPr>
              <w:t>TSB Director to organize, at the request of the region, at least one regional preparatory meeting per region for WTSA-20 between Oct</w:t>
            </w:r>
            <w:r w:rsidR="005C7177" w:rsidRPr="00073574">
              <w:rPr>
                <w:b/>
                <w:bCs/>
                <w:sz w:val="24"/>
                <w:szCs w:val="24"/>
              </w:rPr>
              <w:t>ober</w:t>
            </w:r>
            <w:r w:rsidRPr="00073574">
              <w:rPr>
                <w:b/>
                <w:bCs/>
                <w:sz w:val="24"/>
                <w:szCs w:val="24"/>
              </w:rPr>
              <w:t xml:space="preserve"> 2019 and June 2020 (resolves)</w:t>
            </w:r>
          </w:p>
        </w:tc>
        <w:tc>
          <w:tcPr>
            <w:tcW w:w="1255" w:type="dxa"/>
            <w:tcBorders>
              <w:top w:val="single" w:sz="12" w:space="0" w:color="auto"/>
              <w:bottom w:val="single" w:sz="4" w:space="0" w:color="auto"/>
            </w:tcBorders>
            <w:shd w:val="clear" w:color="auto" w:fill="auto"/>
            <w:vAlign w:val="center"/>
          </w:tcPr>
          <w:p w14:paraId="6F878A95" w14:textId="426F475F" w:rsidR="00F0236A" w:rsidRPr="00073574" w:rsidRDefault="0057414D" w:rsidP="0057414D">
            <w:pPr>
              <w:pStyle w:val="Tabletext"/>
              <w:jc w:val="center"/>
              <w:rPr>
                <w:b/>
                <w:bCs/>
                <w:sz w:val="24"/>
                <w:szCs w:val="24"/>
              </w:rPr>
            </w:pPr>
            <w:r w:rsidRPr="00073574">
              <w:rPr>
                <w:b/>
                <w:bCs/>
                <w:sz w:val="24"/>
                <w:szCs w:val="24"/>
              </w:rPr>
              <w:t>202</w:t>
            </w:r>
            <w:r w:rsidR="009F6E67" w:rsidRPr="00073574">
              <w:rPr>
                <w:b/>
                <w:bCs/>
                <w:sz w:val="24"/>
                <w:szCs w:val="24"/>
              </w:rPr>
              <w:t>1</w:t>
            </w:r>
          </w:p>
        </w:tc>
        <w:tc>
          <w:tcPr>
            <w:tcW w:w="1175" w:type="dxa"/>
            <w:tcBorders>
              <w:top w:val="single" w:sz="12" w:space="0" w:color="auto"/>
              <w:bottom w:val="single" w:sz="4" w:space="0" w:color="auto"/>
            </w:tcBorders>
            <w:shd w:val="clear" w:color="auto" w:fill="auto"/>
            <w:vAlign w:val="center"/>
          </w:tcPr>
          <w:p w14:paraId="3DDC6E8A" w14:textId="725793C8" w:rsidR="00F0236A" w:rsidRPr="00073574" w:rsidRDefault="00E746DC" w:rsidP="00DF36E1">
            <w:pPr>
              <w:pStyle w:val="Tabletext"/>
              <w:jc w:val="center"/>
              <w:rPr>
                <w:b/>
                <w:bCs/>
                <w:sz w:val="24"/>
                <w:szCs w:val="24"/>
              </w:rPr>
            </w:pPr>
            <w:r w:rsidRPr="00073574">
              <w:rPr>
                <w:b/>
                <w:bCs/>
                <w:sz w:val="24"/>
                <w:szCs w:val="24"/>
              </w:rPr>
              <w:t>√</w:t>
            </w:r>
          </w:p>
        </w:tc>
        <w:tc>
          <w:tcPr>
            <w:tcW w:w="1237" w:type="dxa"/>
            <w:tcBorders>
              <w:top w:val="single" w:sz="12" w:space="0" w:color="auto"/>
            </w:tcBorders>
            <w:shd w:val="clear" w:color="auto" w:fill="auto"/>
            <w:vAlign w:val="center"/>
          </w:tcPr>
          <w:p w14:paraId="4C897A13" w14:textId="77777777" w:rsidR="00F0236A" w:rsidRPr="00073574" w:rsidRDefault="00F0236A" w:rsidP="00DF36E1">
            <w:pPr>
              <w:pStyle w:val="Tabletext"/>
              <w:jc w:val="center"/>
              <w:rPr>
                <w:b/>
                <w:bCs/>
                <w:sz w:val="24"/>
                <w:szCs w:val="24"/>
              </w:rPr>
            </w:pPr>
          </w:p>
        </w:tc>
      </w:tr>
      <w:tr w:rsidR="00F0236A" w:rsidRPr="00073574" w14:paraId="293796CC" w14:textId="77777777" w:rsidTr="008628E9">
        <w:trPr>
          <w:jc w:val="center"/>
        </w:trPr>
        <w:tc>
          <w:tcPr>
            <w:tcW w:w="911" w:type="dxa"/>
            <w:vMerge/>
            <w:tcBorders>
              <w:right w:val="single" w:sz="4" w:space="0" w:color="auto"/>
            </w:tcBorders>
          </w:tcPr>
          <w:p w14:paraId="6342C810" w14:textId="77777777" w:rsidR="00F0236A" w:rsidRPr="00073574" w:rsidRDefault="00F0236A" w:rsidP="00DF36E1">
            <w:pPr>
              <w:pStyle w:val="Tabletext"/>
              <w:rPr>
                <w:sz w:val="24"/>
                <w:szCs w:val="24"/>
              </w:rPr>
            </w:pPr>
          </w:p>
        </w:tc>
        <w:tc>
          <w:tcPr>
            <w:tcW w:w="8611" w:type="dxa"/>
            <w:gridSpan w:val="4"/>
            <w:tcBorders>
              <w:top w:val="single" w:sz="4" w:space="0" w:color="auto"/>
              <w:left w:val="single" w:sz="4" w:space="0" w:color="auto"/>
              <w:bottom w:val="single" w:sz="12" w:space="0" w:color="auto"/>
              <w:right w:val="single" w:sz="12" w:space="0" w:color="auto"/>
            </w:tcBorders>
            <w:shd w:val="clear" w:color="auto" w:fill="auto"/>
          </w:tcPr>
          <w:p w14:paraId="2EE1C468" w14:textId="3612DF45" w:rsidR="00B47A53" w:rsidRPr="00073574" w:rsidRDefault="001342CB" w:rsidP="00164B30">
            <w:pPr>
              <w:pStyle w:val="Tabletext"/>
            </w:pPr>
            <w:r w:rsidRPr="00073574">
              <w:t xml:space="preserve">The </w:t>
            </w:r>
            <w:r w:rsidR="00164B30" w:rsidRPr="00073574">
              <w:t xml:space="preserve">TSB Focal point for the Regions setup a webpage for the WTSA-20 regional preparatory meetings at </w:t>
            </w:r>
            <w:hyperlink r:id="rId280">
              <w:r w:rsidR="00164B30" w:rsidRPr="00073574">
                <w:rPr>
                  <w:rStyle w:val="Hyperlink"/>
                </w:rPr>
                <w:t>https://www.itu.int/en/ITU-T/wtsa20/prepmeet/Pages/default.aspx</w:t>
              </w:r>
            </w:hyperlink>
            <w:r w:rsidR="00A25E84" w:rsidRPr="00073574">
              <w:rPr>
                <w:rStyle w:val="Hyperlink"/>
              </w:rPr>
              <w:t>.</w:t>
            </w:r>
            <w:r w:rsidR="00A25E84" w:rsidRPr="00073574">
              <w:rPr>
                <w:rStyle w:val="Hyperlink"/>
              </w:rPr>
              <w:br/>
            </w:r>
            <w:r w:rsidR="00B47A53" w:rsidRPr="00073574">
              <w:t xml:space="preserve">Another webpage was </w:t>
            </w:r>
            <w:r w:rsidR="00960777" w:rsidRPr="00073574">
              <w:t>established</w:t>
            </w:r>
            <w:r w:rsidR="00B47A53" w:rsidRPr="00073574">
              <w:t xml:space="preserve"> to further extend and </w:t>
            </w:r>
            <w:r w:rsidR="007A2D2C" w:rsidRPr="00073574">
              <w:t>facilitate</w:t>
            </w:r>
            <w:r w:rsidR="00BF10BB" w:rsidRPr="00073574">
              <w:t xml:space="preserve"> </w:t>
            </w:r>
            <w:r w:rsidR="00B47A53" w:rsidRPr="00073574">
              <w:t>the dialogue with and across the Regions.</w:t>
            </w:r>
            <w:r w:rsidR="000B7525" w:rsidRPr="00073574">
              <w:t xml:space="preserve"> </w:t>
            </w:r>
            <w:r w:rsidR="00A25E84" w:rsidRPr="00073574">
              <w:t xml:space="preserve">The new page </w:t>
            </w:r>
            <w:r w:rsidR="00960777" w:rsidRPr="00073574">
              <w:t>is</w:t>
            </w:r>
            <w:r w:rsidR="00A25E84" w:rsidRPr="00073574">
              <w:t xml:space="preserve"> </w:t>
            </w:r>
            <w:r w:rsidR="00B47A53" w:rsidRPr="00073574">
              <w:t>“WTSA-20 Inter Regional Coordination</w:t>
            </w:r>
            <w:r w:rsidR="00960777" w:rsidRPr="00073574">
              <w:t xml:space="preserve">” and can be found </w:t>
            </w:r>
            <w:hyperlink r:id="rId281" w:history="1">
              <w:r w:rsidR="00BF10BB" w:rsidRPr="00073574">
                <w:rPr>
                  <w:rStyle w:val="Hyperlink"/>
                </w:rPr>
                <w:t>here</w:t>
              </w:r>
            </w:hyperlink>
            <w:r w:rsidR="00960777" w:rsidRPr="00073574">
              <w:t>.</w:t>
            </w:r>
          </w:p>
          <w:p w14:paraId="5DFD72DB" w14:textId="7AFEE557" w:rsidR="00164B30" w:rsidRPr="00073574" w:rsidRDefault="00164B30" w:rsidP="00164B30">
            <w:pPr>
              <w:pStyle w:val="Tabletext"/>
            </w:pPr>
            <w:r w:rsidRPr="00073574">
              <w:t xml:space="preserve">TSB </w:t>
            </w:r>
            <w:r w:rsidR="000D58AA" w:rsidRPr="00073574">
              <w:t>participated and contributed to the preparatory work and over the Study Period assisted in</w:t>
            </w:r>
            <w:r w:rsidRPr="00073574">
              <w:t xml:space="preserve"> the process of the Regional Preparatory Meetings with the Regional Organizations</w:t>
            </w:r>
            <w:r w:rsidR="009C0AB4" w:rsidRPr="00073574">
              <w:t xml:space="preserve">, </w:t>
            </w:r>
            <w:r w:rsidRPr="00073574">
              <w:t xml:space="preserve">and </w:t>
            </w:r>
            <w:r w:rsidR="009C0AB4" w:rsidRPr="00073574">
              <w:t>when necessary,</w:t>
            </w:r>
            <w:r w:rsidRPr="00073574">
              <w:t xml:space="preserve"> with the assistance and in close cooperation with the ITU Regional Offices as necessary.</w:t>
            </w:r>
          </w:p>
          <w:p w14:paraId="03E4E12A" w14:textId="2AFCC4F1" w:rsidR="004644FF" w:rsidRPr="00073574" w:rsidRDefault="00164B30" w:rsidP="00164B30">
            <w:pPr>
              <w:pStyle w:val="Tabletext"/>
              <w:rPr>
                <w:szCs w:val="22"/>
              </w:rPr>
            </w:pPr>
            <w:r w:rsidRPr="00073574">
              <w:rPr>
                <w:szCs w:val="22"/>
              </w:rPr>
              <w:t xml:space="preserve">The process of regional preparatory meetings for WTSA-20 has started </w:t>
            </w:r>
            <w:r w:rsidR="004644FF" w:rsidRPr="00073574">
              <w:rPr>
                <w:szCs w:val="22"/>
              </w:rPr>
              <w:t>in 2019. T</w:t>
            </w:r>
            <w:r w:rsidRPr="00073574">
              <w:rPr>
                <w:szCs w:val="22"/>
              </w:rPr>
              <w:t>he following meetings took place:</w:t>
            </w:r>
          </w:p>
          <w:p w14:paraId="0F036243" w14:textId="3E1C0C85" w:rsidR="00A5164A" w:rsidRPr="00073574" w:rsidRDefault="00A5164A" w:rsidP="000B7525">
            <w:pPr>
              <w:keepNext/>
              <w:keepLines/>
              <w:shd w:val="clear" w:color="auto" w:fill="FFFFFF"/>
              <w:tabs>
                <w:tab w:val="num" w:pos="720"/>
              </w:tabs>
              <w:textAlignment w:val="baseline"/>
              <w:rPr>
                <w:b/>
                <w:color w:val="000000" w:themeColor="text1"/>
                <w:szCs w:val="22"/>
              </w:rPr>
            </w:pPr>
            <w:r w:rsidRPr="00073574">
              <w:rPr>
                <w:b/>
                <w:color w:val="000000" w:themeColor="text1"/>
                <w:szCs w:val="22"/>
              </w:rPr>
              <w:t>AFRICA – ATU</w:t>
            </w:r>
          </w:p>
          <w:p w14:paraId="0FDD5CD7" w14:textId="40450770" w:rsidR="00A5164A" w:rsidRPr="00073574" w:rsidRDefault="00A5164A" w:rsidP="003C7BC9">
            <w:pPr>
              <w:keepNext/>
              <w:keepLines/>
              <w:numPr>
                <w:ilvl w:val="0"/>
                <w:numId w:val="94"/>
              </w:numPr>
              <w:shd w:val="clear" w:color="auto" w:fill="FFFFFF"/>
              <w:textAlignment w:val="baseline"/>
              <w:rPr>
                <w:rFonts w:eastAsia="Times New Roman"/>
                <w:color w:val="000000" w:themeColor="text1"/>
                <w:szCs w:val="22"/>
                <w:lang w:eastAsia="en-GB"/>
              </w:rPr>
            </w:pPr>
            <w:r w:rsidRPr="00073574">
              <w:rPr>
                <w:rFonts w:eastAsia="Times New Roman"/>
                <w:color w:val="000000" w:themeColor="text1"/>
                <w:szCs w:val="22"/>
                <w:lang w:eastAsia="en-GB"/>
              </w:rPr>
              <w:t>ATU-1</w:t>
            </w:r>
            <w:r w:rsidR="0014749D" w:rsidRPr="00073574">
              <w:rPr>
                <w:rFonts w:eastAsia="Times New Roman"/>
                <w:color w:val="000000" w:themeColor="text1"/>
                <w:szCs w:val="22"/>
                <w:lang w:eastAsia="en-GB"/>
              </w:rPr>
              <w:t>,</w:t>
            </w:r>
            <w:r w:rsidR="00C07D47" w:rsidRPr="00073574">
              <w:rPr>
                <w:rFonts w:eastAsia="Times New Roman"/>
                <w:color w:val="000000" w:themeColor="text1"/>
                <w:szCs w:val="22"/>
                <w:lang w:eastAsia="en-GB"/>
              </w:rPr>
              <w:t xml:space="preserve"> </w:t>
            </w:r>
            <w:r w:rsidRPr="00073574">
              <w:rPr>
                <w:rFonts w:eastAsia="Times New Roman"/>
                <w:color w:val="000000" w:themeColor="text1"/>
                <w:szCs w:val="22"/>
                <w:lang w:eastAsia="en-GB"/>
              </w:rPr>
              <w:t>4 - 7 March 2019, Rabat, Morocco</w:t>
            </w:r>
          </w:p>
          <w:p w14:paraId="3A3F55EF" w14:textId="7E6E5B4F" w:rsidR="00A5164A" w:rsidRPr="00073574" w:rsidRDefault="00A5164A" w:rsidP="003C7BC9">
            <w:pPr>
              <w:numPr>
                <w:ilvl w:val="0"/>
                <w:numId w:val="94"/>
              </w:numPr>
              <w:shd w:val="clear" w:color="auto" w:fill="FFFFFF"/>
              <w:textAlignment w:val="baseline"/>
              <w:rPr>
                <w:rFonts w:eastAsia="Times New Roman"/>
                <w:color w:val="000000" w:themeColor="text1"/>
                <w:szCs w:val="22"/>
                <w:lang w:eastAsia="en-GB"/>
              </w:rPr>
            </w:pPr>
            <w:r w:rsidRPr="00073574">
              <w:rPr>
                <w:rFonts w:eastAsia="Times New Roman"/>
                <w:color w:val="000000" w:themeColor="text1"/>
                <w:szCs w:val="22"/>
                <w:lang w:eastAsia="en-GB"/>
              </w:rPr>
              <w:t>ATU-2</w:t>
            </w:r>
            <w:r w:rsidR="0014749D" w:rsidRPr="00073574">
              <w:rPr>
                <w:rFonts w:eastAsia="Times New Roman"/>
                <w:color w:val="000000" w:themeColor="text1"/>
                <w:szCs w:val="22"/>
                <w:lang w:eastAsia="en-GB"/>
              </w:rPr>
              <w:t>,</w:t>
            </w:r>
            <w:r w:rsidR="00C07D47" w:rsidRPr="00073574">
              <w:rPr>
                <w:rFonts w:eastAsia="Times New Roman"/>
                <w:color w:val="000000" w:themeColor="text1"/>
                <w:szCs w:val="22"/>
                <w:lang w:eastAsia="en-GB"/>
              </w:rPr>
              <w:t xml:space="preserve"> </w:t>
            </w:r>
            <w:r w:rsidRPr="00073574">
              <w:rPr>
                <w:rFonts w:eastAsia="Times New Roman"/>
                <w:color w:val="000000" w:themeColor="text1"/>
                <w:szCs w:val="22"/>
                <w:lang w:eastAsia="en-GB"/>
              </w:rPr>
              <w:t>7 - 11 October 2019, Entebbe,</w:t>
            </w:r>
            <w:r w:rsidR="00C07D47" w:rsidRPr="00073574">
              <w:rPr>
                <w:rFonts w:eastAsia="Times New Roman"/>
                <w:color w:val="000000" w:themeColor="text1"/>
                <w:szCs w:val="22"/>
                <w:lang w:eastAsia="en-GB"/>
              </w:rPr>
              <w:t xml:space="preserve"> </w:t>
            </w:r>
            <w:r w:rsidRPr="00073574">
              <w:rPr>
                <w:rFonts w:eastAsia="Times New Roman"/>
                <w:color w:val="000000" w:themeColor="text1"/>
                <w:szCs w:val="22"/>
                <w:lang w:eastAsia="en-GB"/>
              </w:rPr>
              <w:t>Uganda</w:t>
            </w:r>
          </w:p>
          <w:p w14:paraId="2AD083A6" w14:textId="6AB1E320" w:rsidR="00A5164A" w:rsidRPr="00073574" w:rsidRDefault="00A5164A" w:rsidP="003C7BC9">
            <w:pPr>
              <w:numPr>
                <w:ilvl w:val="0"/>
                <w:numId w:val="94"/>
              </w:numPr>
              <w:shd w:val="clear" w:color="auto" w:fill="FFFFFF"/>
              <w:textAlignment w:val="baseline"/>
              <w:rPr>
                <w:rFonts w:eastAsia="Times New Roman"/>
                <w:color w:val="000000" w:themeColor="text1"/>
                <w:szCs w:val="22"/>
                <w:lang w:eastAsia="en-GB"/>
              </w:rPr>
            </w:pPr>
            <w:r w:rsidRPr="00073574">
              <w:rPr>
                <w:rFonts w:eastAsia="Times New Roman"/>
                <w:color w:val="000000" w:themeColor="text1"/>
                <w:szCs w:val="22"/>
                <w:lang w:eastAsia="en-GB"/>
              </w:rPr>
              <w:t>ATU coordination meeting for WTSA-20 preparation</w:t>
            </w:r>
            <w:r w:rsidR="00C07D47" w:rsidRPr="00073574">
              <w:rPr>
                <w:rFonts w:eastAsia="Times New Roman"/>
                <w:color w:val="000000" w:themeColor="text1"/>
                <w:szCs w:val="22"/>
                <w:lang w:eastAsia="en-GB"/>
              </w:rPr>
              <w:t xml:space="preserve">: </w:t>
            </w:r>
            <w:r w:rsidRPr="00073574">
              <w:rPr>
                <w:rFonts w:eastAsia="Times New Roman"/>
                <w:color w:val="000000" w:themeColor="text1"/>
                <w:szCs w:val="22"/>
                <w:lang w:eastAsia="en-GB"/>
              </w:rPr>
              <w:t>11 - 13 February 2020, Geneva, Switzerland, (in side-line with the TSAG meeting)</w:t>
            </w:r>
          </w:p>
          <w:p w14:paraId="1C573845" w14:textId="45634586" w:rsidR="00A5164A" w:rsidRPr="00073574" w:rsidRDefault="00A5164A" w:rsidP="003C7BC9">
            <w:pPr>
              <w:numPr>
                <w:ilvl w:val="0"/>
                <w:numId w:val="94"/>
              </w:numPr>
              <w:shd w:val="clear" w:color="auto" w:fill="FFFFFF"/>
              <w:textAlignment w:val="baseline"/>
              <w:rPr>
                <w:rFonts w:eastAsia="Times New Roman"/>
                <w:color w:val="000000" w:themeColor="text1"/>
                <w:szCs w:val="22"/>
                <w:lang w:eastAsia="en-GB"/>
              </w:rPr>
            </w:pPr>
            <w:r w:rsidRPr="00073574">
              <w:rPr>
                <w:rFonts w:eastAsia="Times New Roman"/>
                <w:color w:val="000000" w:themeColor="text1"/>
                <w:szCs w:val="22"/>
                <w:lang w:eastAsia="en-GB"/>
              </w:rPr>
              <w:t>ATU-3</w:t>
            </w:r>
            <w:r w:rsidR="0014749D" w:rsidRPr="00073574">
              <w:rPr>
                <w:rFonts w:eastAsia="Times New Roman"/>
                <w:color w:val="000000" w:themeColor="text1"/>
                <w:szCs w:val="22"/>
                <w:lang w:eastAsia="en-GB"/>
              </w:rPr>
              <w:t>,</w:t>
            </w:r>
            <w:r w:rsidR="00C07D47" w:rsidRPr="00073574">
              <w:rPr>
                <w:rFonts w:eastAsia="Times New Roman"/>
                <w:color w:val="000000" w:themeColor="text1"/>
                <w:szCs w:val="22"/>
                <w:lang w:eastAsia="en-GB"/>
              </w:rPr>
              <w:t xml:space="preserve"> </w:t>
            </w:r>
            <w:r w:rsidRPr="00073574">
              <w:rPr>
                <w:rFonts w:eastAsia="Times New Roman"/>
                <w:color w:val="000000" w:themeColor="text1"/>
                <w:szCs w:val="22"/>
                <w:lang w:eastAsia="en-GB"/>
              </w:rPr>
              <w:t>28 - 30 July 2020, virtual meeting</w:t>
            </w:r>
          </w:p>
          <w:p w14:paraId="5916750C" w14:textId="1B2D6D65" w:rsidR="00A5164A" w:rsidRPr="00073574" w:rsidRDefault="00A5164A" w:rsidP="003C7BC9">
            <w:pPr>
              <w:numPr>
                <w:ilvl w:val="0"/>
                <w:numId w:val="94"/>
              </w:numPr>
              <w:shd w:val="clear" w:color="auto" w:fill="FFFFFF"/>
              <w:textAlignment w:val="baseline"/>
              <w:rPr>
                <w:rFonts w:eastAsia="Times New Roman"/>
                <w:color w:val="000000" w:themeColor="text1"/>
                <w:szCs w:val="22"/>
                <w:lang w:eastAsia="en-GB"/>
              </w:rPr>
            </w:pPr>
            <w:r w:rsidRPr="00073574">
              <w:rPr>
                <w:rFonts w:eastAsia="Times New Roman"/>
                <w:color w:val="000000" w:themeColor="text1"/>
                <w:szCs w:val="22"/>
                <w:lang w:eastAsia="en-GB"/>
              </w:rPr>
              <w:t>ATU-4</w:t>
            </w:r>
            <w:r w:rsidR="0014749D" w:rsidRPr="00073574">
              <w:rPr>
                <w:rFonts w:eastAsia="Times New Roman"/>
                <w:color w:val="000000" w:themeColor="text1"/>
                <w:szCs w:val="22"/>
                <w:lang w:eastAsia="en-GB"/>
              </w:rPr>
              <w:t>,</w:t>
            </w:r>
            <w:r w:rsidR="00C07D47" w:rsidRPr="00073574">
              <w:rPr>
                <w:rFonts w:eastAsia="Times New Roman"/>
                <w:color w:val="000000" w:themeColor="text1"/>
                <w:szCs w:val="22"/>
                <w:lang w:eastAsia="en-GB"/>
              </w:rPr>
              <w:t xml:space="preserve"> </w:t>
            </w:r>
            <w:r w:rsidRPr="00073574">
              <w:rPr>
                <w:rFonts w:eastAsia="Times New Roman"/>
                <w:color w:val="000000" w:themeColor="text1"/>
                <w:szCs w:val="22"/>
                <w:lang w:eastAsia="en-GB"/>
              </w:rPr>
              <w:t>27 September - 1 October 2021,</w:t>
            </w:r>
            <w:r w:rsidR="00C07D47" w:rsidRPr="00073574">
              <w:rPr>
                <w:rFonts w:eastAsia="Times New Roman"/>
                <w:color w:val="000000" w:themeColor="text1"/>
                <w:szCs w:val="22"/>
                <w:lang w:eastAsia="en-GB"/>
              </w:rPr>
              <w:t xml:space="preserve"> </w:t>
            </w:r>
            <w:r w:rsidRPr="00073574">
              <w:rPr>
                <w:rFonts w:eastAsia="Times New Roman"/>
                <w:color w:val="000000" w:themeColor="text1"/>
                <w:szCs w:val="22"/>
                <w:lang w:eastAsia="en-GB"/>
              </w:rPr>
              <w:t>virtual meeting</w:t>
            </w:r>
            <w:r w:rsidR="0014749D" w:rsidRPr="00073574">
              <w:rPr>
                <w:rFonts w:eastAsia="Times New Roman"/>
                <w:color w:val="000000" w:themeColor="text1"/>
                <w:szCs w:val="22"/>
                <w:lang w:eastAsia="en-GB"/>
              </w:rPr>
              <w:t>.</w:t>
            </w:r>
          </w:p>
          <w:p w14:paraId="4D954039" w14:textId="77777777" w:rsidR="00A5164A" w:rsidRPr="00073574" w:rsidRDefault="00A5164A" w:rsidP="00A5164A">
            <w:pPr>
              <w:shd w:val="clear" w:color="auto" w:fill="FFFFFF"/>
              <w:spacing w:before="240" w:line="276" w:lineRule="auto"/>
              <w:textAlignment w:val="baseline"/>
              <w:rPr>
                <w:rFonts w:eastAsia="Times New Roman"/>
                <w:b/>
                <w:color w:val="000000" w:themeColor="text1"/>
                <w:szCs w:val="22"/>
                <w:bdr w:val="none" w:sz="0" w:space="0" w:color="auto" w:frame="1"/>
                <w:lang w:eastAsia="en-GB"/>
              </w:rPr>
            </w:pPr>
            <w:r w:rsidRPr="00073574">
              <w:rPr>
                <w:rFonts w:eastAsia="Times New Roman"/>
                <w:b/>
                <w:color w:val="000000" w:themeColor="text1"/>
                <w:szCs w:val="22"/>
                <w:bdr w:val="none" w:sz="0" w:space="0" w:color="auto" w:frame="1"/>
                <w:lang w:eastAsia="en-GB"/>
              </w:rPr>
              <w:t>AMERICAS – CITEL</w:t>
            </w:r>
          </w:p>
          <w:p w14:paraId="71CDB600" w14:textId="0FDFD483" w:rsidR="00A5164A" w:rsidRPr="00073574" w:rsidRDefault="00A5164A" w:rsidP="003C7BC9">
            <w:pPr>
              <w:numPr>
                <w:ilvl w:val="0"/>
                <w:numId w:val="94"/>
              </w:numPr>
              <w:shd w:val="clear" w:color="auto" w:fill="FFFFFF"/>
              <w:textAlignment w:val="baseline"/>
              <w:rPr>
                <w:rFonts w:eastAsia="Times New Roman"/>
                <w:color w:val="000000" w:themeColor="text1"/>
                <w:szCs w:val="22"/>
                <w:bdr w:val="none" w:sz="0" w:space="0" w:color="auto" w:frame="1"/>
                <w:lang w:eastAsia="en-GB"/>
              </w:rPr>
            </w:pPr>
            <w:r w:rsidRPr="00073574">
              <w:rPr>
                <w:rFonts w:eastAsia="Times New Roman"/>
                <w:color w:val="000000" w:themeColor="text1"/>
                <w:szCs w:val="22"/>
                <w:lang w:eastAsia="en-GB"/>
              </w:rPr>
              <w:t xml:space="preserve">35th </w:t>
            </w:r>
            <w:r w:rsidR="0014749D" w:rsidRPr="00073574">
              <w:rPr>
                <w:rFonts w:eastAsia="Times New Roman"/>
                <w:color w:val="000000" w:themeColor="text1"/>
                <w:szCs w:val="22"/>
                <w:lang w:eastAsia="en-GB"/>
              </w:rPr>
              <w:t>m</w:t>
            </w:r>
            <w:r w:rsidRPr="00073574">
              <w:rPr>
                <w:rFonts w:eastAsia="Times New Roman"/>
                <w:color w:val="000000" w:themeColor="text1"/>
                <w:szCs w:val="22"/>
                <w:lang w:eastAsia="en-GB"/>
              </w:rPr>
              <w:t>eeting of PCC.I</w:t>
            </w:r>
            <w:r w:rsidR="00C07D47" w:rsidRPr="00073574">
              <w:rPr>
                <w:rFonts w:eastAsia="Times New Roman"/>
                <w:color w:val="000000" w:themeColor="text1"/>
                <w:szCs w:val="22"/>
                <w:lang w:eastAsia="en-GB"/>
              </w:rPr>
              <w:t xml:space="preserve"> </w:t>
            </w:r>
            <w:r w:rsidRPr="00073574">
              <w:rPr>
                <w:rFonts w:eastAsia="Times New Roman"/>
                <w:color w:val="000000" w:themeColor="text1"/>
                <w:szCs w:val="22"/>
                <w:lang w:eastAsia="en-GB"/>
              </w:rPr>
              <w:t>Working Group for the preparation and follow-up of WTSA, WCIT and WTDC</w:t>
            </w:r>
            <w:r w:rsidR="008446BB" w:rsidRPr="00073574">
              <w:rPr>
                <w:rFonts w:eastAsia="Times New Roman"/>
                <w:color w:val="000000" w:themeColor="text1"/>
                <w:szCs w:val="22"/>
                <w:lang w:eastAsia="en-GB"/>
              </w:rPr>
              <w:t xml:space="preserve">, </w:t>
            </w:r>
            <w:r w:rsidRPr="00073574">
              <w:rPr>
                <w:rFonts w:eastAsia="Times New Roman"/>
                <w:color w:val="000000" w:themeColor="text1"/>
                <w:szCs w:val="22"/>
                <w:lang w:eastAsia="en-GB"/>
              </w:rPr>
              <w:t>3 October 2019, Asunción, Paraguay</w:t>
            </w:r>
          </w:p>
          <w:p w14:paraId="7BCC2265" w14:textId="0B7249B0" w:rsidR="00A5164A" w:rsidRPr="00073574" w:rsidRDefault="00A5164A" w:rsidP="003C7BC9">
            <w:pPr>
              <w:numPr>
                <w:ilvl w:val="0"/>
                <w:numId w:val="94"/>
              </w:numPr>
              <w:shd w:val="clear" w:color="auto" w:fill="FFFFFF"/>
              <w:textAlignment w:val="baseline"/>
              <w:rPr>
                <w:rFonts w:eastAsia="Times New Roman"/>
                <w:color w:val="000000" w:themeColor="text1"/>
                <w:szCs w:val="22"/>
                <w:bdr w:val="none" w:sz="0" w:space="0" w:color="auto" w:frame="1"/>
                <w:lang w:eastAsia="en-GB"/>
              </w:rPr>
            </w:pPr>
            <w:r w:rsidRPr="00073574">
              <w:rPr>
                <w:rFonts w:eastAsia="Times New Roman"/>
                <w:color w:val="000000" w:themeColor="text1"/>
                <w:szCs w:val="22"/>
                <w:lang w:eastAsia="en-GB"/>
              </w:rPr>
              <w:t>36th</w:t>
            </w:r>
            <w:r w:rsidR="0014749D" w:rsidRPr="00073574">
              <w:rPr>
                <w:rFonts w:eastAsia="Times New Roman"/>
                <w:color w:val="000000" w:themeColor="text1"/>
                <w:szCs w:val="22"/>
                <w:lang w:eastAsia="en-GB"/>
              </w:rPr>
              <w:t xml:space="preserve"> m</w:t>
            </w:r>
            <w:r w:rsidRPr="00073574">
              <w:rPr>
                <w:rFonts w:eastAsia="Times New Roman"/>
                <w:color w:val="000000" w:themeColor="text1"/>
                <w:szCs w:val="22"/>
                <w:lang w:eastAsia="en-GB"/>
              </w:rPr>
              <w:t>eeting of COM/CITEL,</w:t>
            </w:r>
            <w:r w:rsidR="008446BB" w:rsidRPr="00073574">
              <w:rPr>
                <w:rFonts w:eastAsia="Times New Roman"/>
                <w:color w:val="000000" w:themeColor="text1"/>
                <w:szCs w:val="22"/>
                <w:lang w:eastAsia="en-GB"/>
              </w:rPr>
              <w:t xml:space="preserve"> </w:t>
            </w:r>
            <w:r w:rsidRPr="00073574">
              <w:rPr>
                <w:rFonts w:eastAsia="Times New Roman"/>
                <w:color w:val="000000" w:themeColor="text1"/>
                <w:szCs w:val="22"/>
                <w:lang w:eastAsia="en-GB"/>
              </w:rPr>
              <w:t>4-6 December 2019, Buenos Aires, Argentina</w:t>
            </w:r>
          </w:p>
          <w:p w14:paraId="61507B65" w14:textId="5CD125C8" w:rsidR="00A5164A" w:rsidRPr="00073574" w:rsidRDefault="00A5164A" w:rsidP="003C7BC9">
            <w:pPr>
              <w:numPr>
                <w:ilvl w:val="0"/>
                <w:numId w:val="94"/>
              </w:numPr>
              <w:shd w:val="clear" w:color="auto" w:fill="FFFFFF"/>
              <w:textAlignment w:val="baseline"/>
              <w:rPr>
                <w:rFonts w:eastAsia="Times New Roman"/>
                <w:color w:val="000000" w:themeColor="text1"/>
                <w:szCs w:val="22"/>
                <w:bdr w:val="none" w:sz="0" w:space="0" w:color="auto" w:frame="1"/>
                <w:lang w:eastAsia="en-GB"/>
              </w:rPr>
            </w:pPr>
            <w:r w:rsidRPr="00073574">
              <w:rPr>
                <w:rFonts w:eastAsia="Times New Roman"/>
                <w:color w:val="000000" w:themeColor="text1"/>
                <w:szCs w:val="22"/>
                <w:lang w:eastAsia="en-GB"/>
              </w:rPr>
              <w:t>36th</w:t>
            </w:r>
            <w:r w:rsidR="0014749D" w:rsidRPr="00073574">
              <w:rPr>
                <w:rFonts w:eastAsia="Times New Roman"/>
                <w:color w:val="000000" w:themeColor="text1"/>
                <w:szCs w:val="22"/>
                <w:lang w:eastAsia="en-GB"/>
              </w:rPr>
              <w:t xml:space="preserve"> m</w:t>
            </w:r>
            <w:r w:rsidRPr="00073574">
              <w:rPr>
                <w:rFonts w:eastAsia="Times New Roman"/>
                <w:color w:val="000000" w:themeColor="text1"/>
                <w:szCs w:val="22"/>
                <w:lang w:eastAsia="en-GB"/>
              </w:rPr>
              <w:t>eeting of PCC.I</w:t>
            </w:r>
            <w:r w:rsidR="008446BB" w:rsidRPr="00073574">
              <w:rPr>
                <w:rFonts w:eastAsia="Times New Roman"/>
                <w:color w:val="000000" w:themeColor="text1"/>
                <w:szCs w:val="22"/>
                <w:lang w:eastAsia="en-GB"/>
              </w:rPr>
              <w:t xml:space="preserve">, </w:t>
            </w:r>
            <w:r w:rsidRPr="00073574">
              <w:rPr>
                <w:rFonts w:eastAsia="Times New Roman"/>
                <w:color w:val="000000" w:themeColor="text1"/>
                <w:szCs w:val="22"/>
                <w:lang w:eastAsia="en-GB"/>
              </w:rPr>
              <w:t>20 - 24 April 2020, virtual meeting</w:t>
            </w:r>
          </w:p>
          <w:p w14:paraId="679AB186" w14:textId="1553E4B3" w:rsidR="00A5164A" w:rsidRPr="00073574" w:rsidRDefault="00A5164A" w:rsidP="003C7BC9">
            <w:pPr>
              <w:numPr>
                <w:ilvl w:val="0"/>
                <w:numId w:val="94"/>
              </w:numPr>
              <w:shd w:val="clear" w:color="auto" w:fill="FFFFFF"/>
              <w:textAlignment w:val="baseline"/>
              <w:rPr>
                <w:rFonts w:eastAsia="Times New Roman"/>
                <w:color w:val="000000" w:themeColor="text1"/>
                <w:szCs w:val="22"/>
                <w:bdr w:val="none" w:sz="0" w:space="0" w:color="auto" w:frame="1"/>
                <w:lang w:eastAsia="en-GB"/>
              </w:rPr>
            </w:pPr>
            <w:r w:rsidRPr="00073574">
              <w:rPr>
                <w:rFonts w:eastAsia="Times New Roman"/>
                <w:color w:val="000000" w:themeColor="text1"/>
                <w:szCs w:val="22"/>
                <w:lang w:eastAsia="en-GB"/>
              </w:rPr>
              <w:t xml:space="preserve">37th </w:t>
            </w:r>
            <w:r w:rsidR="0014749D" w:rsidRPr="00073574">
              <w:rPr>
                <w:rFonts w:eastAsia="Times New Roman"/>
                <w:color w:val="000000" w:themeColor="text1"/>
                <w:szCs w:val="22"/>
                <w:lang w:eastAsia="en-GB"/>
              </w:rPr>
              <w:t>m</w:t>
            </w:r>
            <w:r w:rsidRPr="00073574">
              <w:rPr>
                <w:rFonts w:eastAsia="Times New Roman"/>
                <w:color w:val="000000" w:themeColor="text1"/>
                <w:szCs w:val="22"/>
                <w:lang w:eastAsia="en-GB"/>
              </w:rPr>
              <w:t>eeting of PCC.I</w:t>
            </w:r>
            <w:r w:rsidR="008446BB" w:rsidRPr="00073574">
              <w:rPr>
                <w:rFonts w:eastAsia="Times New Roman"/>
                <w:color w:val="000000" w:themeColor="text1"/>
                <w:szCs w:val="22"/>
                <w:lang w:eastAsia="en-GB"/>
              </w:rPr>
              <w:t xml:space="preserve">, </w:t>
            </w:r>
            <w:r w:rsidRPr="00073574">
              <w:rPr>
                <w:rFonts w:eastAsia="Times New Roman"/>
                <w:color w:val="000000" w:themeColor="text1"/>
                <w:szCs w:val="22"/>
                <w:lang w:eastAsia="en-GB"/>
              </w:rPr>
              <w:t>26 - 30 October 2020, virtual meeting</w:t>
            </w:r>
          </w:p>
          <w:p w14:paraId="349947BC" w14:textId="2485AB04" w:rsidR="00A5164A" w:rsidRPr="00073574" w:rsidRDefault="00A5164A" w:rsidP="003C7BC9">
            <w:pPr>
              <w:numPr>
                <w:ilvl w:val="0"/>
                <w:numId w:val="94"/>
              </w:numPr>
              <w:shd w:val="clear" w:color="auto" w:fill="FFFFFF"/>
              <w:textAlignment w:val="baseline"/>
              <w:rPr>
                <w:rFonts w:eastAsia="Times New Roman"/>
                <w:color w:val="000000" w:themeColor="text1"/>
                <w:szCs w:val="22"/>
                <w:bdr w:val="none" w:sz="0" w:space="0" w:color="auto" w:frame="1"/>
                <w:lang w:eastAsia="en-GB"/>
              </w:rPr>
            </w:pPr>
            <w:r w:rsidRPr="00073574">
              <w:rPr>
                <w:rFonts w:eastAsia="Times New Roman"/>
                <w:color w:val="000000" w:themeColor="text1"/>
                <w:szCs w:val="22"/>
                <w:lang w:eastAsia="en-GB"/>
              </w:rPr>
              <w:t xml:space="preserve">Virtual </w:t>
            </w:r>
            <w:r w:rsidR="0014749D" w:rsidRPr="00073574">
              <w:rPr>
                <w:rFonts w:eastAsia="Times New Roman"/>
                <w:color w:val="000000" w:themeColor="text1"/>
                <w:szCs w:val="22"/>
                <w:lang w:eastAsia="en-GB"/>
              </w:rPr>
              <w:t>m</w:t>
            </w:r>
            <w:r w:rsidRPr="00073574">
              <w:rPr>
                <w:rFonts w:eastAsia="Times New Roman"/>
                <w:color w:val="000000" w:themeColor="text1"/>
                <w:szCs w:val="22"/>
                <w:lang w:eastAsia="en-GB"/>
              </w:rPr>
              <w:t>eeting of the Working Group for the preparation and follow-up of WTSA, WCIT and WTDC</w:t>
            </w:r>
            <w:r w:rsidR="008446BB" w:rsidRPr="00073574">
              <w:rPr>
                <w:rFonts w:eastAsia="Times New Roman"/>
                <w:color w:val="000000" w:themeColor="text1"/>
                <w:szCs w:val="22"/>
                <w:lang w:eastAsia="en-GB"/>
              </w:rPr>
              <w:t xml:space="preserve">, </w:t>
            </w:r>
            <w:r w:rsidRPr="00073574">
              <w:rPr>
                <w:rFonts w:eastAsia="Times New Roman"/>
                <w:color w:val="000000" w:themeColor="text1"/>
                <w:szCs w:val="22"/>
                <w:lang w:eastAsia="en-GB"/>
              </w:rPr>
              <w:t>22 January 2021, virtual meeting</w:t>
            </w:r>
          </w:p>
          <w:p w14:paraId="7761B9E8" w14:textId="1945263C" w:rsidR="00A5164A" w:rsidRPr="00073574" w:rsidRDefault="00A5164A" w:rsidP="003C7BC9">
            <w:pPr>
              <w:numPr>
                <w:ilvl w:val="0"/>
                <w:numId w:val="94"/>
              </w:numPr>
              <w:shd w:val="clear" w:color="auto" w:fill="FFFFFF"/>
              <w:textAlignment w:val="baseline"/>
              <w:rPr>
                <w:rFonts w:eastAsia="Times New Roman"/>
                <w:color w:val="000000" w:themeColor="text1"/>
                <w:szCs w:val="22"/>
                <w:bdr w:val="none" w:sz="0" w:space="0" w:color="auto" w:frame="1"/>
                <w:lang w:eastAsia="en-GB"/>
              </w:rPr>
            </w:pPr>
            <w:r w:rsidRPr="00073574">
              <w:rPr>
                <w:rFonts w:eastAsia="Times New Roman"/>
                <w:color w:val="000000" w:themeColor="text1"/>
                <w:szCs w:val="22"/>
                <w:lang w:eastAsia="en-GB"/>
              </w:rPr>
              <w:t>38th Meeting of PCC.I</w:t>
            </w:r>
            <w:r w:rsidR="0014749D" w:rsidRPr="00073574">
              <w:rPr>
                <w:rFonts w:eastAsia="Times New Roman"/>
                <w:color w:val="000000" w:themeColor="text1"/>
                <w:szCs w:val="22"/>
                <w:lang w:eastAsia="en-GB"/>
              </w:rPr>
              <w:t xml:space="preserve">, </w:t>
            </w:r>
            <w:r w:rsidRPr="00073574">
              <w:rPr>
                <w:rFonts w:eastAsia="Times New Roman"/>
                <w:color w:val="000000" w:themeColor="text1"/>
                <w:szCs w:val="22"/>
                <w:lang w:eastAsia="en-GB"/>
              </w:rPr>
              <w:t>28</w:t>
            </w:r>
            <w:r w:rsidR="008041DD">
              <w:rPr>
                <w:rFonts w:eastAsia="Times New Roman"/>
                <w:color w:val="000000" w:themeColor="text1"/>
                <w:szCs w:val="22"/>
                <w:lang w:eastAsia="en-GB"/>
              </w:rPr>
              <w:t xml:space="preserve"> </w:t>
            </w:r>
            <w:r w:rsidRPr="00073574">
              <w:rPr>
                <w:rFonts w:eastAsia="Times New Roman"/>
                <w:color w:val="000000" w:themeColor="text1"/>
                <w:szCs w:val="22"/>
                <w:lang w:eastAsia="en-GB"/>
              </w:rPr>
              <w:t>‐ 30 April 2021, virtual meeting</w:t>
            </w:r>
          </w:p>
          <w:p w14:paraId="40245D3B" w14:textId="77777777" w:rsidR="003434E7" w:rsidRPr="00073574" w:rsidRDefault="00A5164A" w:rsidP="003C7BC9">
            <w:pPr>
              <w:numPr>
                <w:ilvl w:val="0"/>
                <w:numId w:val="94"/>
              </w:numPr>
              <w:shd w:val="clear" w:color="auto" w:fill="FFFFFF"/>
              <w:textAlignment w:val="baseline"/>
              <w:rPr>
                <w:rFonts w:eastAsia="Times New Roman"/>
                <w:color w:val="000000" w:themeColor="text1"/>
                <w:szCs w:val="22"/>
                <w:bdr w:val="none" w:sz="0" w:space="0" w:color="auto" w:frame="1"/>
                <w:lang w:eastAsia="en-GB"/>
              </w:rPr>
            </w:pPr>
            <w:r w:rsidRPr="00073574">
              <w:rPr>
                <w:rFonts w:eastAsia="Times New Roman"/>
                <w:color w:val="000000" w:themeColor="text1"/>
                <w:szCs w:val="22"/>
                <w:lang w:eastAsia="en-GB"/>
              </w:rPr>
              <w:t>39th Meeting of PCC.I</w:t>
            </w:r>
            <w:r w:rsidR="0014749D" w:rsidRPr="00073574">
              <w:rPr>
                <w:rFonts w:eastAsia="Times New Roman"/>
                <w:color w:val="000000" w:themeColor="text1"/>
                <w:szCs w:val="22"/>
                <w:lang w:eastAsia="en-GB"/>
              </w:rPr>
              <w:t xml:space="preserve">, </w:t>
            </w:r>
            <w:r w:rsidRPr="00073574">
              <w:rPr>
                <w:rFonts w:eastAsia="Times New Roman"/>
                <w:color w:val="000000" w:themeColor="text1"/>
                <w:szCs w:val="22"/>
                <w:lang w:eastAsia="en-GB"/>
              </w:rPr>
              <w:t>4 - 8 October 2021, virtual meeting</w:t>
            </w:r>
          </w:p>
          <w:p w14:paraId="7B25E579" w14:textId="4FC9C703" w:rsidR="00A5164A" w:rsidRPr="00073574" w:rsidRDefault="00FF4F45" w:rsidP="003C7BC9">
            <w:pPr>
              <w:numPr>
                <w:ilvl w:val="0"/>
                <w:numId w:val="94"/>
              </w:numPr>
              <w:shd w:val="clear" w:color="auto" w:fill="FFFFFF"/>
              <w:textAlignment w:val="baseline"/>
              <w:rPr>
                <w:rFonts w:eastAsia="Times New Roman"/>
                <w:color w:val="000000" w:themeColor="text1"/>
                <w:szCs w:val="22"/>
                <w:lang w:eastAsia="en-GB"/>
              </w:rPr>
            </w:pPr>
            <w:r w:rsidRPr="00073574">
              <w:rPr>
                <w:rFonts w:eastAsia="Times New Roman"/>
                <w:color w:val="000000" w:themeColor="text1"/>
                <w:szCs w:val="22"/>
                <w:lang w:eastAsia="en-GB"/>
              </w:rPr>
              <w:t>WGCONF – CITEL PCC.I Working Group for the Preparation and follow-up</w:t>
            </w:r>
            <w:r w:rsidR="000B7525" w:rsidRPr="00073574">
              <w:rPr>
                <w:rFonts w:eastAsia="Times New Roman"/>
                <w:color w:val="000000" w:themeColor="text1"/>
                <w:szCs w:val="22"/>
                <w:lang w:eastAsia="en-GB"/>
              </w:rPr>
              <w:t xml:space="preserve"> </w:t>
            </w:r>
            <w:r w:rsidRPr="00073574">
              <w:rPr>
                <w:rFonts w:eastAsia="Times New Roman"/>
                <w:color w:val="000000" w:themeColor="text1"/>
                <w:szCs w:val="22"/>
                <w:lang w:eastAsia="en-GB"/>
              </w:rPr>
              <w:t>of WTSA, WTDC and WCIT, 17 January 2022 (virtual meeting)</w:t>
            </w:r>
            <w:r w:rsidR="00612125" w:rsidRPr="00073574">
              <w:rPr>
                <w:rFonts w:eastAsia="Times New Roman"/>
                <w:color w:val="000000" w:themeColor="text1"/>
                <w:szCs w:val="22"/>
                <w:lang w:eastAsia="en-GB"/>
              </w:rPr>
              <w:t>.</w:t>
            </w:r>
          </w:p>
          <w:p w14:paraId="77E15E3F" w14:textId="77777777" w:rsidR="00A5164A" w:rsidRPr="00073574" w:rsidRDefault="00A5164A" w:rsidP="00A5164A">
            <w:pPr>
              <w:shd w:val="clear" w:color="auto" w:fill="FFFFFF"/>
              <w:spacing w:before="240" w:line="276" w:lineRule="auto"/>
              <w:textAlignment w:val="baseline"/>
              <w:rPr>
                <w:rFonts w:eastAsia="Times New Roman"/>
                <w:b/>
                <w:color w:val="000000" w:themeColor="text1"/>
                <w:szCs w:val="22"/>
                <w:lang w:eastAsia="en-GB"/>
              </w:rPr>
            </w:pPr>
            <w:r w:rsidRPr="00073574">
              <w:rPr>
                <w:rFonts w:eastAsia="Times New Roman"/>
                <w:b/>
                <w:color w:val="000000" w:themeColor="text1"/>
                <w:szCs w:val="22"/>
                <w:lang w:eastAsia="en-GB"/>
              </w:rPr>
              <w:t>ARAB STATES – LoS/ASTeam</w:t>
            </w:r>
          </w:p>
          <w:p w14:paraId="1BE98A81" w14:textId="515B623F" w:rsidR="00A5164A" w:rsidRPr="00073574" w:rsidRDefault="00A5164A" w:rsidP="003C7BC9">
            <w:pPr>
              <w:numPr>
                <w:ilvl w:val="0"/>
                <w:numId w:val="94"/>
              </w:numPr>
              <w:shd w:val="clear" w:color="auto" w:fill="FFFFFF"/>
              <w:textAlignment w:val="baseline"/>
              <w:rPr>
                <w:rFonts w:eastAsia="Times New Roman"/>
                <w:color w:val="000000" w:themeColor="text1"/>
                <w:szCs w:val="22"/>
                <w:bdr w:val="none" w:sz="0" w:space="0" w:color="auto" w:frame="1"/>
                <w:lang w:eastAsia="en-GB"/>
              </w:rPr>
            </w:pPr>
            <w:r w:rsidRPr="00073574">
              <w:rPr>
                <w:rFonts w:eastAsia="Times New Roman"/>
                <w:color w:val="000000" w:themeColor="text1"/>
                <w:szCs w:val="22"/>
                <w:lang w:eastAsia="en-GB"/>
              </w:rPr>
              <w:t>14th Arab Standardization team (ASTeam) meeting</w:t>
            </w:r>
            <w:r w:rsidR="0014749D" w:rsidRPr="00073574">
              <w:rPr>
                <w:rFonts w:eastAsia="Times New Roman"/>
                <w:color w:val="000000" w:themeColor="text1"/>
                <w:szCs w:val="22"/>
                <w:lang w:eastAsia="en-GB"/>
              </w:rPr>
              <w:t xml:space="preserve">, </w:t>
            </w:r>
            <w:r w:rsidRPr="00073574">
              <w:rPr>
                <w:rFonts w:eastAsia="Times New Roman"/>
                <w:color w:val="000000" w:themeColor="text1"/>
                <w:szCs w:val="22"/>
                <w:lang w:eastAsia="en-GB"/>
              </w:rPr>
              <w:t>8 - 10 October 2019, Riyadh, Saudi Arabia</w:t>
            </w:r>
          </w:p>
          <w:p w14:paraId="697334D4" w14:textId="3660505D" w:rsidR="00A5164A" w:rsidRPr="00073574" w:rsidRDefault="00A5164A" w:rsidP="003C7BC9">
            <w:pPr>
              <w:numPr>
                <w:ilvl w:val="0"/>
                <w:numId w:val="94"/>
              </w:numPr>
              <w:shd w:val="clear" w:color="auto" w:fill="FFFFFF"/>
              <w:textAlignment w:val="baseline"/>
              <w:rPr>
                <w:rFonts w:eastAsia="Times New Roman"/>
                <w:color w:val="000000" w:themeColor="text1"/>
                <w:szCs w:val="22"/>
                <w:bdr w:val="none" w:sz="0" w:space="0" w:color="auto" w:frame="1"/>
                <w:lang w:eastAsia="en-GB"/>
              </w:rPr>
            </w:pPr>
            <w:r w:rsidRPr="00073574">
              <w:rPr>
                <w:rFonts w:eastAsia="Times New Roman"/>
                <w:color w:val="000000" w:themeColor="text1"/>
                <w:szCs w:val="22"/>
                <w:lang w:eastAsia="en-GB"/>
              </w:rPr>
              <w:t>15th ASTeam meeting</w:t>
            </w:r>
            <w:r w:rsidR="0014749D" w:rsidRPr="00073574">
              <w:rPr>
                <w:rFonts w:eastAsia="Times New Roman"/>
                <w:color w:val="000000" w:themeColor="text1"/>
                <w:szCs w:val="22"/>
                <w:lang w:eastAsia="en-GB"/>
              </w:rPr>
              <w:t xml:space="preserve">, </w:t>
            </w:r>
            <w:r w:rsidRPr="00073574">
              <w:rPr>
                <w:rFonts w:eastAsia="Times New Roman"/>
                <w:color w:val="000000" w:themeColor="text1"/>
                <w:szCs w:val="22"/>
                <w:lang w:eastAsia="en-GB"/>
              </w:rPr>
              <w:t>15 - 16 April 2020, Virtual meeting</w:t>
            </w:r>
          </w:p>
          <w:p w14:paraId="03BE8B2D" w14:textId="68DC6EFF" w:rsidR="00A5164A" w:rsidRPr="00073574" w:rsidRDefault="00A5164A" w:rsidP="003C7BC9">
            <w:pPr>
              <w:numPr>
                <w:ilvl w:val="0"/>
                <w:numId w:val="94"/>
              </w:numPr>
              <w:shd w:val="clear" w:color="auto" w:fill="FFFFFF"/>
              <w:textAlignment w:val="baseline"/>
              <w:rPr>
                <w:rFonts w:eastAsia="Times New Roman"/>
                <w:color w:val="000000" w:themeColor="text1"/>
                <w:szCs w:val="22"/>
                <w:bdr w:val="none" w:sz="0" w:space="0" w:color="auto" w:frame="1"/>
                <w:lang w:eastAsia="en-GB"/>
              </w:rPr>
            </w:pPr>
            <w:r w:rsidRPr="00073574">
              <w:rPr>
                <w:rFonts w:eastAsia="Times New Roman"/>
                <w:color w:val="000000" w:themeColor="text1"/>
                <w:szCs w:val="22"/>
                <w:lang w:eastAsia="en-GB"/>
              </w:rPr>
              <w:t>16th ASTeam</w:t>
            </w:r>
            <w:r w:rsidR="008041DD">
              <w:rPr>
                <w:rFonts w:eastAsia="Times New Roman"/>
                <w:color w:val="000000" w:themeColor="text1"/>
                <w:szCs w:val="22"/>
                <w:lang w:eastAsia="en-GB"/>
              </w:rPr>
              <w:t xml:space="preserve"> </w:t>
            </w:r>
            <w:r w:rsidRPr="00073574">
              <w:rPr>
                <w:rFonts w:eastAsia="Times New Roman"/>
                <w:color w:val="000000" w:themeColor="text1"/>
                <w:szCs w:val="22"/>
                <w:lang w:eastAsia="en-GB"/>
              </w:rPr>
              <w:t>meeting</w:t>
            </w:r>
            <w:r w:rsidR="0014749D" w:rsidRPr="00073574">
              <w:rPr>
                <w:rFonts w:eastAsia="Times New Roman"/>
                <w:color w:val="000000" w:themeColor="text1"/>
                <w:szCs w:val="22"/>
                <w:lang w:eastAsia="en-GB"/>
              </w:rPr>
              <w:t xml:space="preserve">, </w:t>
            </w:r>
            <w:r w:rsidRPr="00073574">
              <w:rPr>
                <w:rFonts w:eastAsia="Times New Roman"/>
                <w:color w:val="000000" w:themeColor="text1"/>
                <w:szCs w:val="22"/>
                <w:lang w:eastAsia="en-GB"/>
              </w:rPr>
              <w:t>2 September 2021, virtual meeting</w:t>
            </w:r>
            <w:r w:rsidR="00612125" w:rsidRPr="00073574">
              <w:rPr>
                <w:rFonts w:eastAsia="Times New Roman"/>
                <w:color w:val="000000" w:themeColor="text1"/>
                <w:szCs w:val="22"/>
                <w:lang w:eastAsia="en-GB"/>
              </w:rPr>
              <w:t>.</w:t>
            </w:r>
          </w:p>
          <w:p w14:paraId="3FEDEEE0" w14:textId="123DE032" w:rsidR="00A5164A" w:rsidRPr="00073574" w:rsidRDefault="00A5164A" w:rsidP="00612125">
            <w:pPr>
              <w:shd w:val="clear" w:color="auto" w:fill="FFFFFF"/>
              <w:spacing w:before="240" w:line="276" w:lineRule="auto"/>
              <w:textAlignment w:val="baseline"/>
              <w:rPr>
                <w:rFonts w:eastAsia="Times New Roman"/>
                <w:color w:val="000000" w:themeColor="text1"/>
                <w:szCs w:val="22"/>
                <w:bdr w:val="none" w:sz="0" w:space="0" w:color="auto" w:frame="1"/>
                <w:lang w:eastAsia="en-GB"/>
              </w:rPr>
            </w:pPr>
            <w:r w:rsidRPr="00073574">
              <w:rPr>
                <w:rFonts w:eastAsia="Times New Roman"/>
                <w:color w:val="000000" w:themeColor="text1"/>
                <w:szCs w:val="22"/>
                <w:lang w:eastAsia="en-GB"/>
              </w:rPr>
              <w:t>Other preparatory meetings are planned as following:</w:t>
            </w:r>
          </w:p>
          <w:p w14:paraId="25F1E3B0" w14:textId="03318BBB" w:rsidR="00A5164A" w:rsidRPr="00073574" w:rsidRDefault="00A5164A" w:rsidP="003C7BC9">
            <w:pPr>
              <w:pStyle w:val="ListParagraph"/>
              <w:numPr>
                <w:ilvl w:val="0"/>
                <w:numId w:val="94"/>
              </w:numPr>
              <w:shd w:val="clear" w:color="auto" w:fill="FFFFFF"/>
              <w:contextualSpacing w:val="0"/>
              <w:textAlignment w:val="baseline"/>
              <w:rPr>
                <w:rFonts w:eastAsia="Times New Roman"/>
                <w:color w:val="000000" w:themeColor="text1"/>
                <w:szCs w:val="22"/>
                <w:bdr w:val="none" w:sz="0" w:space="0" w:color="auto" w:frame="1"/>
                <w:lang w:eastAsia="en-GB"/>
              </w:rPr>
            </w:pPr>
            <w:r w:rsidRPr="00073574">
              <w:rPr>
                <w:rFonts w:eastAsia="Times New Roman"/>
                <w:color w:val="000000" w:themeColor="text1"/>
                <w:szCs w:val="22"/>
                <w:lang w:eastAsia="en-GB"/>
              </w:rPr>
              <w:lastRenderedPageBreak/>
              <w:t>ASTeam</w:t>
            </w:r>
            <w:r w:rsidR="00C47E32" w:rsidRPr="00073574">
              <w:rPr>
                <w:rFonts w:eastAsia="Times New Roman"/>
                <w:color w:val="000000" w:themeColor="text1"/>
                <w:szCs w:val="22"/>
                <w:lang w:eastAsia="en-GB"/>
              </w:rPr>
              <w:t xml:space="preserve"> </w:t>
            </w:r>
            <w:r w:rsidRPr="00073574">
              <w:rPr>
                <w:rFonts w:eastAsia="Times New Roman"/>
                <w:color w:val="000000" w:themeColor="text1"/>
                <w:szCs w:val="22"/>
                <w:lang w:eastAsia="en-GB"/>
              </w:rPr>
              <w:t>meeting</w:t>
            </w:r>
            <w:r w:rsidR="0014749D" w:rsidRPr="00073574">
              <w:rPr>
                <w:rFonts w:eastAsia="Times New Roman"/>
                <w:color w:val="000000" w:themeColor="text1"/>
                <w:szCs w:val="22"/>
                <w:lang w:eastAsia="en-GB"/>
              </w:rPr>
              <w:t xml:space="preserve">, </w:t>
            </w:r>
            <w:r w:rsidR="00412FA7" w:rsidRPr="00073574">
              <w:rPr>
                <w:rFonts w:eastAsia="Times New Roman"/>
                <w:color w:val="000000" w:themeColor="text1"/>
                <w:szCs w:val="22"/>
                <w:lang w:eastAsia="en-GB"/>
              </w:rPr>
              <w:t xml:space="preserve">6 – 9 </w:t>
            </w:r>
            <w:r w:rsidRPr="00073574">
              <w:rPr>
                <w:rFonts w:eastAsia="Times New Roman"/>
                <w:color w:val="000000" w:themeColor="text1"/>
                <w:szCs w:val="22"/>
                <w:lang w:eastAsia="en-GB"/>
              </w:rPr>
              <w:t>December 2021</w:t>
            </w:r>
          </w:p>
          <w:p w14:paraId="4BB8A862" w14:textId="57B5CD89" w:rsidR="00A5164A" w:rsidRPr="00073574" w:rsidRDefault="00A5164A" w:rsidP="003C7BC9">
            <w:pPr>
              <w:numPr>
                <w:ilvl w:val="0"/>
                <w:numId w:val="94"/>
              </w:numPr>
              <w:shd w:val="clear" w:color="auto" w:fill="FFFFFF"/>
              <w:textAlignment w:val="baseline"/>
              <w:rPr>
                <w:rFonts w:eastAsia="Times New Roman"/>
                <w:color w:val="000000" w:themeColor="text1"/>
                <w:szCs w:val="22"/>
                <w:bdr w:val="none" w:sz="0" w:space="0" w:color="auto" w:frame="1"/>
                <w:lang w:eastAsia="en-GB"/>
              </w:rPr>
            </w:pPr>
            <w:r w:rsidRPr="00073574">
              <w:rPr>
                <w:rFonts w:eastAsia="Times New Roman"/>
                <w:color w:val="000000" w:themeColor="text1"/>
                <w:szCs w:val="22"/>
                <w:lang w:eastAsia="en-GB"/>
              </w:rPr>
              <w:t>ASTeam</w:t>
            </w:r>
            <w:r w:rsidR="00C47E32" w:rsidRPr="00073574">
              <w:rPr>
                <w:rFonts w:eastAsia="Times New Roman"/>
                <w:color w:val="000000" w:themeColor="text1"/>
                <w:szCs w:val="22"/>
                <w:lang w:eastAsia="en-GB"/>
              </w:rPr>
              <w:t xml:space="preserve"> </w:t>
            </w:r>
            <w:r w:rsidRPr="00073574">
              <w:rPr>
                <w:rFonts w:eastAsia="Times New Roman"/>
                <w:color w:val="000000" w:themeColor="text1"/>
                <w:szCs w:val="22"/>
                <w:lang w:eastAsia="en-GB"/>
              </w:rPr>
              <w:t>meeting</w:t>
            </w:r>
            <w:r w:rsidR="0014749D" w:rsidRPr="00073574">
              <w:rPr>
                <w:rFonts w:eastAsia="Times New Roman"/>
                <w:color w:val="000000" w:themeColor="text1"/>
                <w:szCs w:val="22"/>
                <w:lang w:eastAsia="en-GB"/>
              </w:rPr>
              <w:t xml:space="preserve">, </w:t>
            </w:r>
            <w:r w:rsidR="00412FA7" w:rsidRPr="00073574">
              <w:rPr>
                <w:rFonts w:eastAsia="Times New Roman"/>
                <w:color w:val="000000" w:themeColor="text1"/>
                <w:szCs w:val="22"/>
                <w:lang w:eastAsia="en-GB"/>
              </w:rPr>
              <w:t xml:space="preserve">6 – 9 </w:t>
            </w:r>
            <w:r w:rsidRPr="00073574">
              <w:rPr>
                <w:rFonts w:eastAsia="Times New Roman"/>
                <w:color w:val="000000" w:themeColor="text1"/>
                <w:szCs w:val="22"/>
                <w:lang w:eastAsia="en-GB"/>
              </w:rPr>
              <w:t>February 2022 (</w:t>
            </w:r>
            <w:r w:rsidR="00A25E84" w:rsidRPr="00073574">
              <w:rPr>
                <w:rFonts w:eastAsia="Times New Roman"/>
                <w:color w:val="000000" w:themeColor="text1"/>
                <w:szCs w:val="22"/>
                <w:lang w:eastAsia="en-GB"/>
              </w:rPr>
              <w:t xml:space="preserve">exact dates </w:t>
            </w:r>
            <w:r w:rsidR="00412FA7" w:rsidRPr="00073574">
              <w:rPr>
                <w:rFonts w:eastAsia="Times New Roman"/>
                <w:color w:val="000000" w:themeColor="text1"/>
                <w:szCs w:val="22"/>
                <w:lang w:eastAsia="en-GB"/>
              </w:rPr>
              <w:t>to be confirmed</w:t>
            </w:r>
            <w:r w:rsidRPr="00073574">
              <w:rPr>
                <w:rFonts w:eastAsia="Times New Roman"/>
                <w:color w:val="000000" w:themeColor="text1"/>
                <w:szCs w:val="22"/>
                <w:lang w:eastAsia="en-GB"/>
              </w:rPr>
              <w:t>)</w:t>
            </w:r>
            <w:r w:rsidR="00C47E32" w:rsidRPr="00073574">
              <w:rPr>
                <w:rFonts w:eastAsia="Times New Roman"/>
                <w:color w:val="000000" w:themeColor="text1"/>
                <w:szCs w:val="22"/>
                <w:lang w:eastAsia="en-GB"/>
              </w:rPr>
              <w:t>.</w:t>
            </w:r>
          </w:p>
          <w:p w14:paraId="0620A274" w14:textId="77777777" w:rsidR="00A5164A" w:rsidRPr="00073574" w:rsidRDefault="00A5164A" w:rsidP="00A5164A">
            <w:pPr>
              <w:shd w:val="clear" w:color="auto" w:fill="FFFFFF"/>
              <w:spacing w:before="240" w:line="276" w:lineRule="auto"/>
              <w:textAlignment w:val="baseline"/>
              <w:rPr>
                <w:rFonts w:eastAsia="Times New Roman"/>
                <w:b/>
                <w:color w:val="000000" w:themeColor="text1"/>
                <w:szCs w:val="22"/>
                <w:lang w:eastAsia="en-GB"/>
              </w:rPr>
            </w:pPr>
            <w:r w:rsidRPr="00073574">
              <w:rPr>
                <w:rFonts w:eastAsia="Times New Roman"/>
                <w:b/>
                <w:color w:val="000000" w:themeColor="text1"/>
                <w:szCs w:val="22"/>
                <w:lang w:eastAsia="en-GB"/>
              </w:rPr>
              <w:t>ASIA and the PACIFIC - APT</w:t>
            </w:r>
          </w:p>
          <w:p w14:paraId="2D04F05E" w14:textId="344328FC" w:rsidR="00A5164A" w:rsidRPr="00073574" w:rsidRDefault="00A5164A" w:rsidP="003C7BC9">
            <w:pPr>
              <w:numPr>
                <w:ilvl w:val="0"/>
                <w:numId w:val="94"/>
              </w:numPr>
              <w:shd w:val="clear" w:color="auto" w:fill="FFFFFF"/>
              <w:textAlignment w:val="baseline"/>
              <w:rPr>
                <w:rFonts w:eastAsia="Times New Roman"/>
                <w:color w:val="000000" w:themeColor="text1"/>
                <w:szCs w:val="22"/>
                <w:bdr w:val="none" w:sz="0" w:space="0" w:color="auto" w:frame="1"/>
                <w:lang w:eastAsia="en-GB"/>
              </w:rPr>
            </w:pPr>
            <w:r w:rsidRPr="00073574">
              <w:rPr>
                <w:rFonts w:eastAsia="Times New Roman"/>
                <w:color w:val="000000" w:themeColor="text1"/>
                <w:szCs w:val="22"/>
                <w:lang w:eastAsia="en-GB"/>
              </w:rPr>
              <w:t>APT WTSA20-1</w:t>
            </w:r>
            <w:r w:rsidR="0014749D" w:rsidRPr="00073574">
              <w:rPr>
                <w:rFonts w:eastAsia="Times New Roman"/>
                <w:color w:val="000000" w:themeColor="text1"/>
                <w:szCs w:val="22"/>
                <w:lang w:eastAsia="en-GB"/>
              </w:rPr>
              <w:t xml:space="preserve">, </w:t>
            </w:r>
            <w:r w:rsidRPr="00073574">
              <w:rPr>
                <w:rFonts w:eastAsia="Times New Roman"/>
                <w:color w:val="000000" w:themeColor="text1"/>
                <w:szCs w:val="22"/>
                <w:lang w:eastAsia="en-GB"/>
              </w:rPr>
              <w:t>11-15 June 2019,</w:t>
            </w:r>
            <w:r w:rsidR="0014749D" w:rsidRPr="00073574">
              <w:rPr>
                <w:rFonts w:eastAsia="Times New Roman"/>
                <w:color w:val="000000" w:themeColor="text1"/>
                <w:szCs w:val="22"/>
                <w:lang w:eastAsia="en-GB"/>
              </w:rPr>
              <w:t xml:space="preserve"> </w:t>
            </w:r>
            <w:r w:rsidRPr="00073574">
              <w:rPr>
                <w:rFonts w:eastAsia="Times New Roman"/>
                <w:color w:val="000000" w:themeColor="text1"/>
                <w:szCs w:val="22"/>
                <w:lang w:eastAsia="en-GB"/>
              </w:rPr>
              <w:t>Tokyo, Japan</w:t>
            </w:r>
          </w:p>
          <w:p w14:paraId="318610C7" w14:textId="73266E9F" w:rsidR="00A5164A" w:rsidRPr="00073574" w:rsidRDefault="00A5164A" w:rsidP="003C7BC9">
            <w:pPr>
              <w:numPr>
                <w:ilvl w:val="0"/>
                <w:numId w:val="94"/>
              </w:numPr>
              <w:shd w:val="clear" w:color="auto" w:fill="FFFFFF"/>
              <w:textAlignment w:val="baseline"/>
              <w:rPr>
                <w:rFonts w:eastAsia="Times New Roman"/>
                <w:color w:val="000000" w:themeColor="text1"/>
                <w:szCs w:val="22"/>
                <w:bdr w:val="none" w:sz="0" w:space="0" w:color="auto" w:frame="1"/>
                <w:lang w:eastAsia="en-GB"/>
              </w:rPr>
            </w:pPr>
            <w:r w:rsidRPr="00073574">
              <w:rPr>
                <w:rFonts w:eastAsia="Times New Roman"/>
                <w:color w:val="000000" w:themeColor="text1"/>
                <w:szCs w:val="22"/>
                <w:lang w:eastAsia="en-GB"/>
              </w:rPr>
              <w:t>APT WTSA20-2</w:t>
            </w:r>
            <w:r w:rsidR="0014749D" w:rsidRPr="00073574">
              <w:rPr>
                <w:rFonts w:eastAsia="Times New Roman"/>
                <w:color w:val="000000" w:themeColor="text1"/>
                <w:szCs w:val="22"/>
                <w:lang w:eastAsia="en-GB"/>
              </w:rPr>
              <w:t xml:space="preserve">, </w:t>
            </w:r>
            <w:r w:rsidRPr="00073574">
              <w:rPr>
                <w:rFonts w:eastAsia="Times New Roman"/>
                <w:color w:val="000000" w:themeColor="text1"/>
                <w:szCs w:val="22"/>
                <w:lang w:eastAsia="en-GB"/>
              </w:rPr>
              <w:t>13 - 15 May 2020, virtual</w:t>
            </w:r>
            <w:r w:rsidR="0014749D" w:rsidRPr="00073574">
              <w:rPr>
                <w:rFonts w:eastAsia="Times New Roman"/>
                <w:color w:val="000000" w:themeColor="text1"/>
                <w:szCs w:val="22"/>
                <w:lang w:eastAsia="en-GB"/>
              </w:rPr>
              <w:t xml:space="preserve"> </w:t>
            </w:r>
            <w:r w:rsidRPr="00073574">
              <w:rPr>
                <w:rFonts w:eastAsia="Times New Roman"/>
                <w:color w:val="000000" w:themeColor="text1"/>
                <w:szCs w:val="22"/>
                <w:lang w:eastAsia="en-GB"/>
              </w:rPr>
              <w:t>meeting</w:t>
            </w:r>
          </w:p>
          <w:p w14:paraId="7F3E78D5" w14:textId="20834174" w:rsidR="00A5164A" w:rsidRPr="00073574" w:rsidRDefault="00A5164A" w:rsidP="003C7BC9">
            <w:pPr>
              <w:numPr>
                <w:ilvl w:val="0"/>
                <w:numId w:val="94"/>
              </w:numPr>
              <w:shd w:val="clear" w:color="auto" w:fill="FFFFFF"/>
              <w:textAlignment w:val="baseline"/>
              <w:rPr>
                <w:rFonts w:eastAsia="Times New Roman"/>
                <w:color w:val="000000" w:themeColor="text1"/>
                <w:szCs w:val="22"/>
                <w:bdr w:val="none" w:sz="0" w:space="0" w:color="auto" w:frame="1"/>
                <w:lang w:eastAsia="en-GB"/>
              </w:rPr>
            </w:pPr>
            <w:r w:rsidRPr="00073574">
              <w:rPr>
                <w:rFonts w:eastAsia="Times New Roman"/>
                <w:color w:val="000000" w:themeColor="text1"/>
                <w:szCs w:val="22"/>
                <w:lang w:eastAsia="en-GB"/>
              </w:rPr>
              <w:t>APT WTSA20-3</w:t>
            </w:r>
            <w:r w:rsidR="0014749D" w:rsidRPr="00073574">
              <w:rPr>
                <w:rFonts w:eastAsia="Times New Roman"/>
                <w:color w:val="000000" w:themeColor="text1"/>
                <w:szCs w:val="22"/>
                <w:lang w:eastAsia="en-GB"/>
              </w:rPr>
              <w:t xml:space="preserve">, </w:t>
            </w:r>
            <w:r w:rsidRPr="00073574">
              <w:rPr>
                <w:rFonts w:eastAsia="Times New Roman"/>
                <w:color w:val="000000" w:themeColor="text1"/>
                <w:szCs w:val="22"/>
                <w:lang w:eastAsia="en-GB"/>
              </w:rPr>
              <w:t>13 - 17 July 2020, virtual</w:t>
            </w:r>
            <w:r w:rsidR="0014749D" w:rsidRPr="00073574">
              <w:rPr>
                <w:rFonts w:eastAsia="Times New Roman"/>
                <w:color w:val="000000" w:themeColor="text1"/>
                <w:szCs w:val="22"/>
                <w:lang w:eastAsia="en-GB"/>
              </w:rPr>
              <w:t xml:space="preserve"> </w:t>
            </w:r>
            <w:r w:rsidRPr="00073574">
              <w:rPr>
                <w:rFonts w:eastAsia="Times New Roman"/>
                <w:color w:val="000000" w:themeColor="text1"/>
                <w:szCs w:val="22"/>
                <w:lang w:eastAsia="en-GB"/>
              </w:rPr>
              <w:t>meeting</w:t>
            </w:r>
          </w:p>
          <w:p w14:paraId="1AAE7BB7" w14:textId="525C3502" w:rsidR="00A5164A" w:rsidRPr="00073574" w:rsidRDefault="00A5164A" w:rsidP="003C7BC9">
            <w:pPr>
              <w:numPr>
                <w:ilvl w:val="0"/>
                <w:numId w:val="94"/>
              </w:numPr>
              <w:shd w:val="clear" w:color="auto" w:fill="FFFFFF"/>
              <w:textAlignment w:val="baseline"/>
              <w:rPr>
                <w:rFonts w:eastAsia="Times New Roman"/>
                <w:color w:val="000000" w:themeColor="text1"/>
                <w:szCs w:val="22"/>
                <w:bdr w:val="none" w:sz="0" w:space="0" w:color="auto" w:frame="1"/>
                <w:lang w:eastAsia="en-GB"/>
              </w:rPr>
            </w:pPr>
            <w:r w:rsidRPr="00073574">
              <w:rPr>
                <w:rFonts w:eastAsia="Times New Roman"/>
                <w:color w:val="000000" w:themeColor="text1"/>
                <w:szCs w:val="22"/>
                <w:lang w:eastAsia="en-GB"/>
              </w:rPr>
              <w:t>Virtual Interim Meeting of Working Groups of the</w:t>
            </w:r>
            <w:r w:rsidR="00C47E32" w:rsidRPr="00073574">
              <w:rPr>
                <w:rFonts w:eastAsia="Times New Roman"/>
                <w:color w:val="000000" w:themeColor="text1"/>
                <w:szCs w:val="22"/>
                <w:lang w:eastAsia="en-GB"/>
              </w:rPr>
              <w:t xml:space="preserve"> </w:t>
            </w:r>
            <w:r w:rsidRPr="00073574">
              <w:rPr>
                <w:rFonts w:eastAsia="Times New Roman"/>
                <w:color w:val="000000" w:themeColor="text1"/>
                <w:szCs w:val="22"/>
                <w:lang w:eastAsia="en-GB"/>
              </w:rPr>
              <w:t>APT WTSA-20</w:t>
            </w:r>
            <w:r w:rsidR="0014749D" w:rsidRPr="00073574">
              <w:rPr>
                <w:rFonts w:eastAsia="Times New Roman"/>
                <w:color w:val="000000" w:themeColor="text1"/>
                <w:szCs w:val="22"/>
                <w:lang w:eastAsia="en-GB"/>
              </w:rPr>
              <w:t xml:space="preserve">, </w:t>
            </w:r>
            <w:r w:rsidRPr="00073574">
              <w:rPr>
                <w:rFonts w:eastAsia="Times New Roman"/>
                <w:color w:val="000000" w:themeColor="text1"/>
                <w:szCs w:val="22"/>
                <w:lang w:eastAsia="en-GB"/>
              </w:rPr>
              <w:t>18 - 21 August 2020</w:t>
            </w:r>
          </w:p>
          <w:p w14:paraId="32CCEA88" w14:textId="5C89E8F0" w:rsidR="00A5164A" w:rsidRPr="00073574" w:rsidRDefault="00A5164A" w:rsidP="003C7BC9">
            <w:pPr>
              <w:numPr>
                <w:ilvl w:val="0"/>
                <w:numId w:val="94"/>
              </w:numPr>
              <w:shd w:val="clear" w:color="auto" w:fill="FFFFFF"/>
              <w:textAlignment w:val="baseline"/>
              <w:rPr>
                <w:rFonts w:eastAsia="Times New Roman"/>
                <w:color w:val="000000" w:themeColor="text1"/>
                <w:szCs w:val="22"/>
                <w:bdr w:val="none" w:sz="0" w:space="0" w:color="auto" w:frame="1"/>
                <w:lang w:eastAsia="en-GB"/>
              </w:rPr>
            </w:pPr>
            <w:r w:rsidRPr="00073574">
              <w:rPr>
                <w:rFonts w:eastAsia="Times New Roman"/>
                <w:color w:val="000000" w:themeColor="text1"/>
                <w:szCs w:val="22"/>
                <w:lang w:eastAsia="en-GB"/>
              </w:rPr>
              <w:t>Virtual Interim Meeting of Working Groups of the</w:t>
            </w:r>
            <w:r w:rsidR="00C47E32" w:rsidRPr="00073574">
              <w:rPr>
                <w:rFonts w:eastAsia="Times New Roman"/>
                <w:color w:val="000000" w:themeColor="text1"/>
                <w:szCs w:val="22"/>
                <w:lang w:eastAsia="en-GB"/>
              </w:rPr>
              <w:t xml:space="preserve"> </w:t>
            </w:r>
            <w:r w:rsidRPr="00073574">
              <w:rPr>
                <w:rFonts w:eastAsia="Times New Roman"/>
                <w:color w:val="000000" w:themeColor="text1"/>
                <w:szCs w:val="22"/>
                <w:lang w:eastAsia="en-GB"/>
              </w:rPr>
              <w:t>APT WTSA-20</w:t>
            </w:r>
            <w:r w:rsidR="004C7C86" w:rsidRPr="00073574">
              <w:rPr>
                <w:rFonts w:eastAsia="Times New Roman"/>
                <w:color w:val="000000" w:themeColor="text1"/>
                <w:szCs w:val="22"/>
                <w:lang w:eastAsia="en-GB"/>
              </w:rPr>
              <w:t xml:space="preserve">, </w:t>
            </w:r>
            <w:r w:rsidRPr="00073574">
              <w:rPr>
                <w:rFonts w:eastAsia="Times New Roman"/>
                <w:color w:val="000000" w:themeColor="text1"/>
                <w:szCs w:val="22"/>
                <w:lang w:eastAsia="en-GB"/>
              </w:rPr>
              <w:t>13 - 16 October 2020</w:t>
            </w:r>
          </w:p>
          <w:p w14:paraId="7A4E2F15" w14:textId="6B9B1635" w:rsidR="00A5164A" w:rsidRPr="00073574" w:rsidRDefault="00A5164A" w:rsidP="003C7BC9">
            <w:pPr>
              <w:numPr>
                <w:ilvl w:val="0"/>
                <w:numId w:val="94"/>
              </w:numPr>
              <w:shd w:val="clear" w:color="auto" w:fill="FFFFFF"/>
              <w:textAlignment w:val="baseline"/>
              <w:rPr>
                <w:rFonts w:eastAsia="Times New Roman"/>
                <w:color w:val="000000" w:themeColor="text1"/>
                <w:szCs w:val="22"/>
                <w:bdr w:val="none" w:sz="0" w:space="0" w:color="auto" w:frame="1"/>
                <w:lang w:eastAsia="en-GB"/>
              </w:rPr>
            </w:pPr>
            <w:r w:rsidRPr="00073574">
              <w:rPr>
                <w:rFonts w:eastAsia="Times New Roman"/>
                <w:color w:val="000000" w:themeColor="text1"/>
                <w:szCs w:val="22"/>
                <w:lang w:eastAsia="en-GB"/>
              </w:rPr>
              <w:t>APT WTSA20-4</w:t>
            </w:r>
            <w:r w:rsidR="004C7C86" w:rsidRPr="00073574">
              <w:rPr>
                <w:rFonts w:eastAsia="Times New Roman"/>
                <w:color w:val="000000" w:themeColor="text1"/>
                <w:szCs w:val="22"/>
                <w:lang w:eastAsia="en-GB"/>
              </w:rPr>
              <w:t xml:space="preserve">, </w:t>
            </w:r>
            <w:r w:rsidRPr="00073574">
              <w:rPr>
                <w:rFonts w:eastAsia="Times New Roman"/>
                <w:color w:val="000000" w:themeColor="text1"/>
                <w:szCs w:val="22"/>
                <w:lang w:eastAsia="en-GB"/>
              </w:rPr>
              <w:t>16 - 20 November 2020, virtual meeting</w:t>
            </w:r>
          </w:p>
          <w:p w14:paraId="2607E7F8" w14:textId="731D91B3" w:rsidR="00EC2E68" w:rsidRPr="00073574" w:rsidRDefault="001A1E25" w:rsidP="00C47E32">
            <w:pPr>
              <w:numPr>
                <w:ilvl w:val="0"/>
                <w:numId w:val="94"/>
              </w:numPr>
              <w:shd w:val="clear" w:color="auto" w:fill="FFFFFF"/>
              <w:textAlignment w:val="baseline"/>
              <w:rPr>
                <w:rFonts w:eastAsia="Times New Roman"/>
                <w:color w:val="000000" w:themeColor="text1"/>
                <w:szCs w:val="22"/>
                <w:bdr w:val="none" w:sz="0" w:space="0" w:color="auto" w:frame="1"/>
                <w:lang w:eastAsia="en-GB"/>
              </w:rPr>
            </w:pPr>
            <w:r w:rsidRPr="00073574">
              <w:rPr>
                <w:rFonts w:eastAsia="Times New Roman"/>
                <w:color w:val="000000" w:themeColor="text1"/>
                <w:szCs w:val="22"/>
                <w:bdr w:val="none" w:sz="0" w:space="0" w:color="auto" w:frame="1"/>
                <w:lang w:eastAsia="en-GB"/>
              </w:rPr>
              <w:t>APT WTSA20-e, Extra-ordinary meeting of APT preparatory meeting</w:t>
            </w:r>
            <w:r w:rsidR="00C47E32" w:rsidRPr="00073574">
              <w:rPr>
                <w:rFonts w:eastAsia="Times New Roman"/>
                <w:color w:val="000000" w:themeColor="text1"/>
                <w:szCs w:val="22"/>
                <w:bdr w:val="none" w:sz="0" w:space="0" w:color="auto" w:frame="1"/>
                <w:lang w:eastAsia="en-GB"/>
              </w:rPr>
              <w:t xml:space="preserve"> </w:t>
            </w:r>
            <w:r w:rsidRPr="00073574">
              <w:rPr>
                <w:rFonts w:eastAsia="Times New Roman"/>
                <w:color w:val="000000" w:themeColor="text1"/>
                <w:szCs w:val="22"/>
                <w:bdr w:val="none" w:sz="0" w:space="0" w:color="auto" w:frame="1"/>
                <w:lang w:eastAsia="en-GB"/>
              </w:rPr>
              <w:t>for WTSA-20, 17 - 19 November 2021</w:t>
            </w:r>
            <w:r w:rsidR="00A25E84" w:rsidRPr="00073574">
              <w:rPr>
                <w:rFonts w:eastAsia="Times New Roman"/>
                <w:color w:val="000000" w:themeColor="text1"/>
                <w:szCs w:val="22"/>
                <w:bdr w:val="none" w:sz="0" w:space="0" w:color="auto" w:frame="1"/>
                <w:lang w:eastAsia="en-GB"/>
              </w:rPr>
              <w:t xml:space="preserve"> (</w:t>
            </w:r>
            <w:r w:rsidR="00A25E84" w:rsidRPr="00073574">
              <w:rPr>
                <w:rFonts w:eastAsia="Times New Roman"/>
                <w:color w:val="000000" w:themeColor="text1"/>
                <w:szCs w:val="22"/>
                <w:lang w:eastAsia="en-GB"/>
              </w:rPr>
              <w:t>virtual</w:t>
            </w:r>
            <w:r w:rsidR="008041DD">
              <w:rPr>
                <w:rFonts w:eastAsia="Times New Roman"/>
                <w:color w:val="000000" w:themeColor="text1"/>
                <w:szCs w:val="22"/>
                <w:lang w:eastAsia="en-GB"/>
              </w:rPr>
              <w:t xml:space="preserve"> </w:t>
            </w:r>
            <w:r w:rsidR="00A5164A" w:rsidRPr="00073574">
              <w:rPr>
                <w:rFonts w:eastAsia="Times New Roman"/>
                <w:color w:val="000000" w:themeColor="text1"/>
                <w:szCs w:val="22"/>
                <w:lang w:eastAsia="en-GB"/>
              </w:rPr>
              <w:t>meeting</w:t>
            </w:r>
            <w:r w:rsidR="00A25E84" w:rsidRPr="00073574">
              <w:rPr>
                <w:rFonts w:eastAsia="Times New Roman"/>
                <w:color w:val="000000" w:themeColor="text1"/>
                <w:szCs w:val="22"/>
                <w:lang w:eastAsia="en-GB"/>
              </w:rPr>
              <w:t>)</w:t>
            </w:r>
          </w:p>
          <w:p w14:paraId="59264F61" w14:textId="63A5EE6F" w:rsidR="00A5164A" w:rsidRPr="00073574" w:rsidRDefault="00A5164A" w:rsidP="00A5164A">
            <w:pPr>
              <w:spacing w:before="240" w:line="276" w:lineRule="auto"/>
              <w:rPr>
                <w:rFonts w:eastAsia="Times New Roman"/>
                <w:b/>
                <w:color w:val="000000" w:themeColor="text1"/>
                <w:szCs w:val="22"/>
                <w:lang w:eastAsia="en-GB"/>
              </w:rPr>
            </w:pPr>
            <w:r w:rsidRPr="00073574">
              <w:rPr>
                <w:rFonts w:eastAsia="Times New Roman"/>
                <w:b/>
                <w:color w:val="000000" w:themeColor="text1"/>
                <w:szCs w:val="22"/>
                <w:lang w:eastAsia="en-GB"/>
              </w:rPr>
              <w:t>COMMONWEALTH OF INDIPENDENT COUNTRIES – RCC</w:t>
            </w:r>
          </w:p>
          <w:p w14:paraId="3C63D737" w14:textId="5787C939" w:rsidR="00A5164A" w:rsidRPr="00073574" w:rsidRDefault="00A5164A" w:rsidP="003C7BC9">
            <w:pPr>
              <w:numPr>
                <w:ilvl w:val="0"/>
                <w:numId w:val="94"/>
              </w:numPr>
              <w:shd w:val="clear" w:color="auto" w:fill="FFFFFF"/>
              <w:textAlignment w:val="baseline"/>
              <w:rPr>
                <w:rFonts w:eastAsia="Times New Roman"/>
                <w:color w:val="000000" w:themeColor="text1"/>
                <w:szCs w:val="22"/>
                <w:bdr w:val="none" w:sz="0" w:space="0" w:color="auto" w:frame="1"/>
                <w:lang w:eastAsia="en-GB"/>
              </w:rPr>
            </w:pPr>
            <w:r w:rsidRPr="00073574">
              <w:rPr>
                <w:rFonts w:eastAsia="Times New Roman"/>
                <w:color w:val="000000" w:themeColor="text1"/>
                <w:szCs w:val="22"/>
                <w:lang w:eastAsia="en-GB"/>
              </w:rPr>
              <w:t>Board of RCC Communication Administration Heads</w:t>
            </w:r>
            <w:r w:rsidR="004C7C86" w:rsidRPr="00073574">
              <w:rPr>
                <w:rFonts w:eastAsia="Times New Roman"/>
                <w:color w:val="000000" w:themeColor="text1"/>
                <w:szCs w:val="22"/>
                <w:lang w:eastAsia="en-GB"/>
              </w:rPr>
              <w:t xml:space="preserve">, </w:t>
            </w:r>
            <w:r w:rsidRPr="00073574">
              <w:rPr>
                <w:rFonts w:eastAsia="Times New Roman"/>
                <w:color w:val="000000" w:themeColor="text1"/>
                <w:szCs w:val="22"/>
                <w:lang w:eastAsia="en-GB"/>
              </w:rPr>
              <w:t>9 - 10 October 2018, Ashgabat Turkmenistan</w:t>
            </w:r>
          </w:p>
          <w:p w14:paraId="5D442D93" w14:textId="0EA432D4" w:rsidR="00A5164A" w:rsidRPr="00073574" w:rsidRDefault="00A5164A" w:rsidP="003C7BC9">
            <w:pPr>
              <w:numPr>
                <w:ilvl w:val="0"/>
                <w:numId w:val="94"/>
              </w:numPr>
              <w:shd w:val="clear" w:color="auto" w:fill="FFFFFF"/>
              <w:textAlignment w:val="baseline"/>
              <w:rPr>
                <w:rFonts w:eastAsia="Times New Roman"/>
                <w:color w:val="000000" w:themeColor="text1"/>
                <w:szCs w:val="22"/>
                <w:bdr w:val="none" w:sz="0" w:space="0" w:color="auto" w:frame="1"/>
                <w:lang w:eastAsia="en-GB"/>
              </w:rPr>
            </w:pPr>
            <w:r w:rsidRPr="00073574">
              <w:rPr>
                <w:rFonts w:eastAsia="Times New Roman"/>
                <w:color w:val="000000" w:themeColor="text1"/>
                <w:szCs w:val="22"/>
                <w:lang w:eastAsia="en-GB"/>
              </w:rPr>
              <w:t>Working Group on ITU of the RCC Commission on International cooperation coordination</w:t>
            </w:r>
            <w:r w:rsidR="004C7C86" w:rsidRPr="00073574">
              <w:rPr>
                <w:rFonts w:eastAsia="Times New Roman"/>
                <w:color w:val="000000" w:themeColor="text1"/>
                <w:szCs w:val="22"/>
                <w:lang w:eastAsia="en-GB"/>
              </w:rPr>
              <w:t xml:space="preserve">, </w:t>
            </w:r>
            <w:r w:rsidRPr="00073574">
              <w:rPr>
                <w:rFonts w:eastAsia="Times New Roman"/>
                <w:color w:val="000000" w:themeColor="text1"/>
                <w:szCs w:val="22"/>
                <w:lang w:eastAsia="en-GB"/>
              </w:rPr>
              <w:t>28 February 2019, Minsk, Belarus</w:t>
            </w:r>
          </w:p>
          <w:p w14:paraId="1B953D04" w14:textId="7AF93B0F" w:rsidR="00A5164A" w:rsidRPr="00073574" w:rsidRDefault="00A5164A" w:rsidP="003C7BC9">
            <w:pPr>
              <w:numPr>
                <w:ilvl w:val="0"/>
                <w:numId w:val="94"/>
              </w:numPr>
              <w:shd w:val="clear" w:color="auto" w:fill="FFFFFF"/>
              <w:textAlignment w:val="baseline"/>
              <w:rPr>
                <w:rFonts w:eastAsia="Times New Roman"/>
                <w:color w:val="000000" w:themeColor="text1"/>
                <w:szCs w:val="22"/>
                <w:bdr w:val="none" w:sz="0" w:space="0" w:color="auto" w:frame="1"/>
                <w:lang w:eastAsia="en-GB"/>
              </w:rPr>
            </w:pPr>
            <w:r w:rsidRPr="00073574">
              <w:rPr>
                <w:rFonts w:eastAsia="Times New Roman"/>
                <w:color w:val="000000" w:themeColor="text1"/>
                <w:szCs w:val="22"/>
                <w:lang w:eastAsia="en-GB"/>
              </w:rPr>
              <w:t>RCC Commission on International cooperation coordination / Working Group on ITU of the RCC Commission on International cooperation coordination</w:t>
            </w:r>
            <w:r w:rsidR="004066C5" w:rsidRPr="00073574">
              <w:rPr>
                <w:rFonts w:eastAsia="Times New Roman"/>
                <w:color w:val="000000" w:themeColor="text1"/>
                <w:szCs w:val="22"/>
                <w:lang w:eastAsia="en-GB"/>
              </w:rPr>
              <w:t xml:space="preserve">, </w:t>
            </w:r>
            <w:r w:rsidRPr="00073574">
              <w:rPr>
                <w:rFonts w:eastAsia="Times New Roman"/>
                <w:color w:val="000000" w:themeColor="text1"/>
                <w:szCs w:val="22"/>
                <w:lang w:eastAsia="en-GB"/>
              </w:rPr>
              <w:t>23 August 2019 (web-meeting)</w:t>
            </w:r>
          </w:p>
          <w:p w14:paraId="47528969" w14:textId="46C772F8" w:rsidR="00A5164A" w:rsidRPr="00073574" w:rsidRDefault="00A5164A" w:rsidP="003C7BC9">
            <w:pPr>
              <w:numPr>
                <w:ilvl w:val="0"/>
                <w:numId w:val="94"/>
              </w:numPr>
              <w:shd w:val="clear" w:color="auto" w:fill="FFFFFF"/>
              <w:textAlignment w:val="baseline"/>
              <w:rPr>
                <w:rFonts w:eastAsia="Times New Roman"/>
                <w:color w:val="000000" w:themeColor="text1"/>
                <w:szCs w:val="22"/>
                <w:bdr w:val="none" w:sz="0" w:space="0" w:color="auto" w:frame="1"/>
                <w:lang w:eastAsia="en-GB"/>
              </w:rPr>
            </w:pPr>
            <w:r w:rsidRPr="00073574">
              <w:rPr>
                <w:rFonts w:eastAsia="Times New Roman"/>
                <w:color w:val="000000" w:themeColor="text1"/>
                <w:szCs w:val="22"/>
                <w:lang w:eastAsia="en-GB"/>
              </w:rPr>
              <w:t>RCC Commission on International cooperation coordination / Working Group on ITU of the RCC Commission on International cooperation coordination</w:t>
            </w:r>
            <w:r w:rsidR="004066C5" w:rsidRPr="00073574">
              <w:rPr>
                <w:rFonts w:eastAsia="Times New Roman"/>
                <w:color w:val="000000" w:themeColor="text1"/>
                <w:szCs w:val="22"/>
                <w:lang w:eastAsia="en-GB"/>
              </w:rPr>
              <w:t xml:space="preserve">, </w:t>
            </w:r>
            <w:r w:rsidRPr="00073574">
              <w:rPr>
                <w:rFonts w:eastAsia="Times New Roman"/>
                <w:color w:val="000000" w:themeColor="text1"/>
                <w:szCs w:val="22"/>
                <w:lang w:eastAsia="en-GB"/>
              </w:rPr>
              <w:t>1 June 2020 (by correspondence)</w:t>
            </w:r>
          </w:p>
          <w:p w14:paraId="58B96650" w14:textId="2124C29F" w:rsidR="00A5164A" w:rsidRPr="00073574" w:rsidRDefault="00A5164A" w:rsidP="003C7BC9">
            <w:pPr>
              <w:numPr>
                <w:ilvl w:val="0"/>
                <w:numId w:val="94"/>
              </w:numPr>
              <w:shd w:val="clear" w:color="auto" w:fill="FFFFFF"/>
              <w:textAlignment w:val="baseline"/>
              <w:rPr>
                <w:rFonts w:eastAsia="Times New Roman"/>
                <w:color w:val="000000" w:themeColor="text1"/>
                <w:szCs w:val="22"/>
                <w:bdr w:val="none" w:sz="0" w:space="0" w:color="auto" w:frame="1"/>
                <w:lang w:eastAsia="en-GB"/>
              </w:rPr>
            </w:pPr>
            <w:r w:rsidRPr="00073574">
              <w:rPr>
                <w:rFonts w:eastAsia="Times New Roman"/>
                <w:color w:val="000000" w:themeColor="text1"/>
                <w:szCs w:val="22"/>
                <w:lang w:eastAsia="en-GB"/>
              </w:rPr>
              <w:t>RCC Telecommunications and Infocommunication Operators Board</w:t>
            </w:r>
            <w:r w:rsidR="004066C5" w:rsidRPr="00073574">
              <w:rPr>
                <w:rFonts w:eastAsia="Times New Roman"/>
                <w:color w:val="000000" w:themeColor="text1"/>
                <w:szCs w:val="22"/>
                <w:lang w:eastAsia="en-GB"/>
              </w:rPr>
              <w:t xml:space="preserve">, </w:t>
            </w:r>
            <w:r w:rsidRPr="00073574">
              <w:rPr>
                <w:rFonts w:eastAsia="Times New Roman"/>
                <w:color w:val="000000" w:themeColor="text1"/>
                <w:szCs w:val="22"/>
                <w:lang w:eastAsia="en-GB"/>
              </w:rPr>
              <w:t>14 August 2020 (web-meeting)</w:t>
            </w:r>
          </w:p>
          <w:p w14:paraId="483413F1" w14:textId="457CAB18" w:rsidR="00A5164A" w:rsidRPr="00073574" w:rsidRDefault="00A5164A" w:rsidP="003C7BC9">
            <w:pPr>
              <w:numPr>
                <w:ilvl w:val="0"/>
                <w:numId w:val="94"/>
              </w:numPr>
              <w:shd w:val="clear" w:color="auto" w:fill="FFFFFF"/>
              <w:textAlignment w:val="baseline"/>
              <w:rPr>
                <w:rFonts w:eastAsia="Times New Roman"/>
                <w:color w:val="000000" w:themeColor="text1"/>
                <w:szCs w:val="22"/>
                <w:bdr w:val="none" w:sz="0" w:space="0" w:color="auto" w:frame="1"/>
                <w:lang w:eastAsia="en-GB"/>
              </w:rPr>
            </w:pPr>
            <w:r w:rsidRPr="00073574">
              <w:rPr>
                <w:rFonts w:eastAsia="Times New Roman"/>
                <w:color w:val="000000" w:themeColor="text1"/>
                <w:szCs w:val="22"/>
                <w:lang w:eastAsia="en-GB"/>
              </w:rPr>
              <w:t>RCC Commission on International cooperation coordination / Working Group on ITU of the RCC Commission on International cooperation coordination</w:t>
            </w:r>
            <w:r w:rsidR="004066C5" w:rsidRPr="00073574">
              <w:rPr>
                <w:rFonts w:eastAsia="Times New Roman"/>
                <w:color w:val="000000" w:themeColor="text1"/>
                <w:szCs w:val="22"/>
                <w:lang w:eastAsia="en-GB"/>
              </w:rPr>
              <w:t xml:space="preserve">, </w:t>
            </w:r>
            <w:r w:rsidRPr="00073574">
              <w:rPr>
                <w:rFonts w:eastAsia="Times New Roman"/>
                <w:color w:val="000000" w:themeColor="text1"/>
                <w:szCs w:val="22"/>
                <w:lang w:eastAsia="en-GB"/>
              </w:rPr>
              <w:t>29 September 2020 (web-meeting)</w:t>
            </w:r>
          </w:p>
          <w:p w14:paraId="106B14A6" w14:textId="41A07994" w:rsidR="00A5164A" w:rsidRPr="00073574" w:rsidRDefault="00A5164A" w:rsidP="003C7BC9">
            <w:pPr>
              <w:numPr>
                <w:ilvl w:val="0"/>
                <w:numId w:val="94"/>
              </w:numPr>
              <w:shd w:val="clear" w:color="auto" w:fill="FFFFFF"/>
              <w:textAlignment w:val="baseline"/>
              <w:rPr>
                <w:rFonts w:eastAsia="Times New Roman"/>
                <w:color w:val="000000" w:themeColor="text1"/>
                <w:szCs w:val="22"/>
                <w:bdr w:val="none" w:sz="0" w:space="0" w:color="auto" w:frame="1"/>
                <w:lang w:eastAsia="en-GB"/>
              </w:rPr>
            </w:pPr>
            <w:r w:rsidRPr="00073574">
              <w:rPr>
                <w:rFonts w:eastAsia="Times New Roman"/>
                <w:color w:val="000000" w:themeColor="text1"/>
                <w:szCs w:val="22"/>
                <w:lang w:eastAsia="en-GB"/>
              </w:rPr>
              <w:t>Working Group on ITU of the RCC Commission on International cooperation coordination</w:t>
            </w:r>
            <w:r w:rsidR="004C7C86" w:rsidRPr="00073574">
              <w:rPr>
                <w:rFonts w:eastAsia="Times New Roman"/>
                <w:color w:val="000000" w:themeColor="text1"/>
                <w:szCs w:val="22"/>
                <w:lang w:eastAsia="en-GB"/>
              </w:rPr>
              <w:t xml:space="preserve">, </w:t>
            </w:r>
            <w:r w:rsidRPr="00073574">
              <w:rPr>
                <w:rFonts w:eastAsia="Times New Roman"/>
                <w:color w:val="000000" w:themeColor="text1"/>
                <w:szCs w:val="22"/>
                <w:lang w:eastAsia="en-GB"/>
              </w:rPr>
              <w:t>8 December 2020</w:t>
            </w:r>
          </w:p>
          <w:p w14:paraId="6C7F2289" w14:textId="5E602FFD" w:rsidR="00A5164A" w:rsidRPr="00073574" w:rsidRDefault="00A5164A" w:rsidP="003C7BC9">
            <w:pPr>
              <w:numPr>
                <w:ilvl w:val="0"/>
                <w:numId w:val="94"/>
              </w:numPr>
              <w:shd w:val="clear" w:color="auto" w:fill="FFFFFF"/>
              <w:textAlignment w:val="baseline"/>
              <w:rPr>
                <w:rFonts w:eastAsia="Times New Roman"/>
                <w:color w:val="000000" w:themeColor="text1"/>
                <w:szCs w:val="22"/>
                <w:bdr w:val="none" w:sz="0" w:space="0" w:color="auto" w:frame="1"/>
                <w:lang w:eastAsia="en-GB"/>
              </w:rPr>
            </w:pPr>
            <w:r w:rsidRPr="00073574">
              <w:rPr>
                <w:rFonts w:eastAsia="Times New Roman"/>
                <w:color w:val="000000" w:themeColor="text1"/>
                <w:szCs w:val="22"/>
                <w:lang w:eastAsia="en-GB"/>
              </w:rPr>
              <w:t>RCC Commission on International cooperation coordination / Working Group on ITU of the RCC Commission on International cooperation coordination</w:t>
            </w:r>
            <w:r w:rsidR="004C7C86" w:rsidRPr="00073574">
              <w:rPr>
                <w:rFonts w:eastAsia="Times New Roman"/>
                <w:color w:val="000000" w:themeColor="text1"/>
                <w:szCs w:val="22"/>
                <w:lang w:eastAsia="en-GB"/>
              </w:rPr>
              <w:t xml:space="preserve">, </w:t>
            </w:r>
            <w:r w:rsidRPr="00073574">
              <w:rPr>
                <w:rFonts w:eastAsia="Times New Roman"/>
                <w:color w:val="000000" w:themeColor="text1"/>
                <w:szCs w:val="22"/>
                <w:lang w:eastAsia="en-GB"/>
              </w:rPr>
              <w:t>17 February 2021</w:t>
            </w:r>
          </w:p>
          <w:p w14:paraId="6BFBE495" w14:textId="506B7690" w:rsidR="00E80E0C" w:rsidRPr="00073574" w:rsidRDefault="00A5164A" w:rsidP="004066C5">
            <w:pPr>
              <w:numPr>
                <w:ilvl w:val="0"/>
                <w:numId w:val="94"/>
              </w:numPr>
              <w:shd w:val="clear" w:color="auto" w:fill="FFFFFF"/>
              <w:ind w:left="714" w:hanging="357"/>
              <w:textAlignment w:val="baseline"/>
              <w:rPr>
                <w:rFonts w:eastAsia="Times New Roman"/>
                <w:color w:val="000000" w:themeColor="text1"/>
                <w:szCs w:val="22"/>
                <w:bdr w:val="none" w:sz="0" w:space="0" w:color="auto" w:frame="1"/>
                <w:lang w:eastAsia="en-GB"/>
              </w:rPr>
            </w:pPr>
            <w:r w:rsidRPr="00073574">
              <w:rPr>
                <w:rFonts w:eastAsia="Times New Roman"/>
                <w:color w:val="000000" w:themeColor="text1"/>
                <w:szCs w:val="22"/>
                <w:lang w:eastAsia="en-GB"/>
              </w:rPr>
              <w:t>40th/31st Joint Meeting of the RCC Commission on the Coordination of International Cooperation and the RCC Working Group on Work with ITU</w:t>
            </w:r>
            <w:r w:rsidR="004C7C86" w:rsidRPr="00073574">
              <w:rPr>
                <w:rFonts w:eastAsia="Times New Roman"/>
                <w:color w:val="000000" w:themeColor="text1"/>
                <w:szCs w:val="22"/>
                <w:lang w:eastAsia="en-GB"/>
              </w:rPr>
              <w:t xml:space="preserve">, </w:t>
            </w:r>
            <w:r w:rsidRPr="00073574">
              <w:rPr>
                <w:rFonts w:eastAsia="Times New Roman"/>
                <w:color w:val="000000" w:themeColor="text1"/>
                <w:szCs w:val="22"/>
                <w:lang w:eastAsia="en-GB"/>
              </w:rPr>
              <w:t>27 August 2021</w:t>
            </w:r>
          </w:p>
          <w:p w14:paraId="11985C8B" w14:textId="14FE518A" w:rsidR="003E7709" w:rsidRPr="00073574" w:rsidRDefault="00E80E0C" w:rsidP="004066C5">
            <w:pPr>
              <w:numPr>
                <w:ilvl w:val="0"/>
                <w:numId w:val="94"/>
              </w:numPr>
              <w:shd w:val="clear" w:color="auto" w:fill="FFFFFF"/>
              <w:ind w:left="714" w:hanging="357"/>
              <w:textAlignment w:val="baseline"/>
              <w:rPr>
                <w:rFonts w:eastAsia="Times New Roman"/>
                <w:color w:val="000000" w:themeColor="text1"/>
                <w:szCs w:val="22"/>
                <w:lang w:eastAsia="en-GB"/>
              </w:rPr>
            </w:pPr>
            <w:r w:rsidRPr="00073574">
              <w:rPr>
                <w:rFonts w:eastAsia="Times New Roman"/>
                <w:color w:val="000000" w:themeColor="text1"/>
                <w:szCs w:val="22"/>
                <w:lang w:eastAsia="en-GB"/>
              </w:rPr>
              <w:t>32nd Meeting of the Working Group on the Work with ITU under the RCC Commission on International Cooperation Coordination</w:t>
            </w:r>
            <w:r w:rsidR="004066C5" w:rsidRPr="00073574">
              <w:rPr>
                <w:rFonts w:eastAsia="Times New Roman"/>
                <w:color w:val="000000" w:themeColor="text1"/>
                <w:szCs w:val="22"/>
                <w:lang w:eastAsia="en-GB"/>
              </w:rPr>
              <w:t xml:space="preserve">, </w:t>
            </w:r>
            <w:r w:rsidRPr="00073574">
              <w:rPr>
                <w:rFonts w:eastAsia="Times New Roman"/>
                <w:color w:val="000000" w:themeColor="text1"/>
                <w:szCs w:val="22"/>
                <w:lang w:eastAsia="en-GB"/>
              </w:rPr>
              <w:t>19, 21 and 22 October 2021</w:t>
            </w:r>
          </w:p>
          <w:p w14:paraId="57B5B67B" w14:textId="2AEA0EE8" w:rsidR="00673F92" w:rsidRPr="00073574" w:rsidRDefault="00E80E0C" w:rsidP="004066C5">
            <w:pPr>
              <w:numPr>
                <w:ilvl w:val="0"/>
                <w:numId w:val="94"/>
              </w:numPr>
              <w:shd w:val="clear" w:color="auto" w:fill="FFFFFF"/>
              <w:ind w:left="714" w:hanging="357"/>
              <w:textAlignment w:val="baseline"/>
              <w:rPr>
                <w:rFonts w:eastAsia="Times New Roman"/>
                <w:color w:val="000000" w:themeColor="text1"/>
                <w:szCs w:val="22"/>
                <w:lang w:eastAsia="en-GB"/>
              </w:rPr>
            </w:pPr>
            <w:r w:rsidRPr="00073574">
              <w:rPr>
                <w:rFonts w:eastAsia="Times New Roman"/>
                <w:color w:val="000000" w:themeColor="text1"/>
                <w:szCs w:val="22"/>
                <w:lang w:eastAsia="en-GB"/>
              </w:rPr>
              <w:t>Board of RCC Communication Administration Heads</w:t>
            </w:r>
            <w:r w:rsidR="00673F92" w:rsidRPr="00073574">
              <w:rPr>
                <w:rFonts w:eastAsia="Times New Roman"/>
                <w:color w:val="000000" w:themeColor="text1"/>
                <w:szCs w:val="22"/>
                <w:lang w:eastAsia="en-GB"/>
              </w:rPr>
              <w:t xml:space="preserve">, </w:t>
            </w:r>
            <w:r w:rsidRPr="00073574">
              <w:rPr>
                <w:rFonts w:eastAsia="Times New Roman"/>
                <w:color w:val="000000" w:themeColor="text1"/>
                <w:szCs w:val="22"/>
                <w:lang w:eastAsia="en-GB"/>
              </w:rPr>
              <w:t>23 - 24 November 2021 (Tashkent, Uzbekistan)</w:t>
            </w:r>
          </w:p>
          <w:p w14:paraId="38E15575" w14:textId="70602D5E" w:rsidR="00E80E0C" w:rsidRPr="00073574" w:rsidRDefault="00E80E0C" w:rsidP="004066C5">
            <w:pPr>
              <w:numPr>
                <w:ilvl w:val="0"/>
                <w:numId w:val="94"/>
              </w:numPr>
              <w:shd w:val="clear" w:color="auto" w:fill="FFFFFF"/>
              <w:ind w:left="714" w:hanging="357"/>
              <w:textAlignment w:val="baseline"/>
              <w:rPr>
                <w:rFonts w:eastAsia="Times New Roman"/>
                <w:color w:val="000000" w:themeColor="text1"/>
                <w:szCs w:val="22"/>
                <w:lang w:eastAsia="en-GB"/>
              </w:rPr>
            </w:pPr>
            <w:r w:rsidRPr="00073574">
              <w:rPr>
                <w:rFonts w:eastAsia="Times New Roman"/>
                <w:color w:val="000000" w:themeColor="text1"/>
                <w:szCs w:val="22"/>
                <w:lang w:eastAsia="en-GB"/>
              </w:rPr>
              <w:lastRenderedPageBreak/>
              <w:t>41st/33rd</w:t>
            </w:r>
            <w:r w:rsidR="008041DD">
              <w:rPr>
                <w:rFonts w:eastAsia="Times New Roman"/>
                <w:color w:val="000000" w:themeColor="text1"/>
                <w:szCs w:val="22"/>
                <w:lang w:eastAsia="en-GB"/>
              </w:rPr>
              <w:t xml:space="preserve"> </w:t>
            </w:r>
            <w:r w:rsidRPr="00073574">
              <w:rPr>
                <w:rFonts w:eastAsia="Times New Roman"/>
                <w:color w:val="000000" w:themeColor="text1"/>
                <w:szCs w:val="22"/>
                <w:lang w:eastAsia="en-GB"/>
              </w:rPr>
              <w:t>Joint</w:t>
            </w:r>
            <w:r w:rsidR="008041DD">
              <w:rPr>
                <w:rFonts w:eastAsia="Times New Roman"/>
                <w:color w:val="000000" w:themeColor="text1"/>
                <w:szCs w:val="22"/>
                <w:lang w:eastAsia="en-GB"/>
              </w:rPr>
              <w:t xml:space="preserve"> </w:t>
            </w:r>
            <w:r w:rsidRPr="00073574">
              <w:rPr>
                <w:rFonts w:eastAsia="Times New Roman"/>
                <w:color w:val="000000" w:themeColor="text1"/>
                <w:szCs w:val="22"/>
                <w:lang w:eastAsia="en-GB"/>
              </w:rPr>
              <w:t>RCC Commission</w:t>
            </w:r>
            <w:r w:rsidR="008041DD">
              <w:rPr>
                <w:rFonts w:eastAsia="Times New Roman"/>
                <w:color w:val="000000" w:themeColor="text1"/>
                <w:szCs w:val="22"/>
                <w:lang w:eastAsia="en-GB"/>
              </w:rPr>
              <w:t xml:space="preserve"> </w:t>
            </w:r>
            <w:r w:rsidRPr="00073574">
              <w:rPr>
                <w:rFonts w:eastAsia="Times New Roman"/>
                <w:color w:val="000000" w:themeColor="text1"/>
                <w:szCs w:val="22"/>
                <w:lang w:eastAsia="en-GB"/>
              </w:rPr>
              <w:t>on the Coordination of International Cooperation and the RCC Working Group on Work with ITU</w:t>
            </w:r>
            <w:r w:rsidR="004066C5" w:rsidRPr="00073574">
              <w:rPr>
                <w:rFonts w:eastAsia="Times New Roman"/>
                <w:color w:val="000000" w:themeColor="text1"/>
                <w:szCs w:val="22"/>
                <w:lang w:eastAsia="en-GB"/>
              </w:rPr>
              <w:t xml:space="preserve">, </w:t>
            </w:r>
            <w:r w:rsidRPr="00073574">
              <w:rPr>
                <w:rFonts w:eastAsia="Times New Roman"/>
                <w:color w:val="000000" w:themeColor="text1"/>
                <w:szCs w:val="22"/>
                <w:lang w:eastAsia="en-GB"/>
              </w:rPr>
              <w:t>December 2021</w:t>
            </w:r>
            <w:r w:rsidR="008041DD">
              <w:rPr>
                <w:rFonts w:eastAsia="Times New Roman"/>
                <w:color w:val="000000" w:themeColor="text1"/>
                <w:szCs w:val="22"/>
                <w:lang w:eastAsia="en-GB"/>
              </w:rPr>
              <w:t xml:space="preserve"> </w:t>
            </w:r>
            <w:r w:rsidRPr="00073574">
              <w:rPr>
                <w:rFonts w:eastAsia="Times New Roman"/>
                <w:color w:val="000000" w:themeColor="text1"/>
                <w:szCs w:val="22"/>
                <w:lang w:eastAsia="en-GB"/>
              </w:rPr>
              <w:t>(exact dates to be confirmed)</w:t>
            </w:r>
            <w:r w:rsidR="00673F92" w:rsidRPr="00073574">
              <w:rPr>
                <w:rFonts w:eastAsia="Times New Roman"/>
                <w:color w:val="000000" w:themeColor="text1"/>
                <w:szCs w:val="22"/>
                <w:lang w:eastAsia="en-GB"/>
              </w:rPr>
              <w:t xml:space="preserve">, </w:t>
            </w:r>
            <w:r w:rsidRPr="00073574">
              <w:rPr>
                <w:rFonts w:eastAsia="Times New Roman"/>
                <w:color w:val="000000" w:themeColor="text1"/>
                <w:szCs w:val="22"/>
                <w:lang w:eastAsia="en-GB"/>
              </w:rPr>
              <w:t>(hybrid meeting)</w:t>
            </w:r>
            <w:r w:rsidR="00612125" w:rsidRPr="00073574">
              <w:rPr>
                <w:rFonts w:eastAsia="Times New Roman"/>
                <w:color w:val="000000" w:themeColor="text1"/>
                <w:szCs w:val="22"/>
                <w:lang w:eastAsia="en-GB"/>
              </w:rPr>
              <w:t>.</w:t>
            </w:r>
          </w:p>
          <w:p w14:paraId="58948900" w14:textId="55AD4B44" w:rsidR="00A5164A" w:rsidRPr="00073574" w:rsidRDefault="00A5164A" w:rsidP="00A5164A">
            <w:pPr>
              <w:shd w:val="clear" w:color="auto" w:fill="FFFFFF"/>
              <w:tabs>
                <w:tab w:val="num" w:pos="720"/>
              </w:tabs>
              <w:spacing w:before="240" w:line="276" w:lineRule="auto"/>
              <w:ind w:left="720" w:hanging="360"/>
              <w:textAlignment w:val="baseline"/>
              <w:rPr>
                <w:rFonts w:eastAsiaTheme="minorHAnsi"/>
                <w:b/>
                <w:color w:val="000000" w:themeColor="text1"/>
                <w:szCs w:val="22"/>
                <w:lang w:eastAsia="en-US"/>
              </w:rPr>
            </w:pPr>
            <w:r w:rsidRPr="00073574">
              <w:rPr>
                <w:rFonts w:eastAsiaTheme="minorHAnsi"/>
                <w:b/>
                <w:color w:val="000000" w:themeColor="text1"/>
                <w:szCs w:val="22"/>
                <w:lang w:eastAsia="en-US"/>
              </w:rPr>
              <w:t>EUROPE</w:t>
            </w:r>
            <w:r w:rsidRPr="00073574">
              <w:rPr>
                <w:b/>
                <w:color w:val="000000" w:themeColor="text1"/>
                <w:szCs w:val="22"/>
              </w:rPr>
              <w:t xml:space="preserve"> – CEPT</w:t>
            </w:r>
          </w:p>
          <w:p w14:paraId="5558A116" w14:textId="077C95E8" w:rsidR="00A5164A" w:rsidRPr="00073574" w:rsidRDefault="00A5164A" w:rsidP="003C7BC9">
            <w:pPr>
              <w:numPr>
                <w:ilvl w:val="0"/>
                <w:numId w:val="94"/>
              </w:numPr>
              <w:shd w:val="clear" w:color="auto" w:fill="FFFFFF"/>
              <w:textAlignment w:val="baseline"/>
              <w:rPr>
                <w:rFonts w:eastAsia="Times New Roman"/>
                <w:color w:val="000000" w:themeColor="text1"/>
                <w:szCs w:val="22"/>
                <w:bdr w:val="none" w:sz="0" w:space="0" w:color="auto" w:frame="1"/>
                <w:lang w:eastAsia="en-GB"/>
              </w:rPr>
            </w:pPr>
            <w:r w:rsidRPr="00073574">
              <w:rPr>
                <w:rFonts w:eastAsia="Times New Roman"/>
                <w:color w:val="000000" w:themeColor="text1"/>
                <w:szCs w:val="22"/>
                <w:lang w:eastAsia="en-GB"/>
              </w:rPr>
              <w:t xml:space="preserve">PT ITU-T </w:t>
            </w:r>
            <w:r w:rsidR="001F41DE" w:rsidRPr="00073574">
              <w:rPr>
                <w:rFonts w:eastAsia="Times New Roman"/>
                <w:color w:val="000000" w:themeColor="text1"/>
                <w:szCs w:val="22"/>
                <w:lang w:eastAsia="en-GB"/>
              </w:rPr>
              <w:t>m</w:t>
            </w:r>
            <w:r w:rsidRPr="00073574">
              <w:rPr>
                <w:rFonts w:eastAsia="Times New Roman"/>
                <w:color w:val="000000" w:themeColor="text1"/>
                <w:szCs w:val="22"/>
                <w:lang w:eastAsia="en-GB"/>
              </w:rPr>
              <w:t>eeting</w:t>
            </w:r>
            <w:r w:rsidR="004C7C86" w:rsidRPr="00073574">
              <w:rPr>
                <w:rFonts w:eastAsia="Times New Roman"/>
                <w:color w:val="000000" w:themeColor="text1"/>
                <w:szCs w:val="22"/>
                <w:lang w:eastAsia="en-GB"/>
              </w:rPr>
              <w:t xml:space="preserve">, </w:t>
            </w:r>
            <w:r w:rsidRPr="00073574">
              <w:rPr>
                <w:rFonts w:eastAsia="Times New Roman"/>
                <w:color w:val="000000" w:themeColor="text1"/>
                <w:szCs w:val="22"/>
                <w:lang w:eastAsia="en-GB"/>
              </w:rPr>
              <w:t>4 - 5 September 2019, Vilnius, Lithuania</w:t>
            </w:r>
          </w:p>
          <w:p w14:paraId="4428ABE6" w14:textId="0C5A225C" w:rsidR="00A5164A" w:rsidRPr="00073574" w:rsidRDefault="00A5164A" w:rsidP="003C7BC9">
            <w:pPr>
              <w:numPr>
                <w:ilvl w:val="0"/>
                <w:numId w:val="94"/>
              </w:numPr>
              <w:shd w:val="clear" w:color="auto" w:fill="FFFFFF"/>
              <w:textAlignment w:val="baseline"/>
              <w:rPr>
                <w:rFonts w:eastAsia="Times New Roman"/>
                <w:color w:val="000000" w:themeColor="text1"/>
                <w:szCs w:val="22"/>
                <w:bdr w:val="none" w:sz="0" w:space="0" w:color="auto" w:frame="1"/>
                <w:lang w:eastAsia="en-GB"/>
              </w:rPr>
            </w:pPr>
            <w:r w:rsidRPr="00073574">
              <w:rPr>
                <w:rFonts w:eastAsia="Times New Roman"/>
                <w:color w:val="000000" w:themeColor="text1"/>
                <w:szCs w:val="22"/>
                <w:lang w:eastAsia="en-GB"/>
              </w:rPr>
              <w:t xml:space="preserve">PT ITU-T </w:t>
            </w:r>
            <w:r w:rsidR="001F41DE" w:rsidRPr="00073574">
              <w:rPr>
                <w:rFonts w:eastAsia="Times New Roman"/>
                <w:color w:val="000000" w:themeColor="text1"/>
                <w:szCs w:val="22"/>
                <w:lang w:eastAsia="en-GB"/>
              </w:rPr>
              <w:t>m</w:t>
            </w:r>
            <w:r w:rsidRPr="00073574">
              <w:rPr>
                <w:rFonts w:eastAsia="Times New Roman"/>
                <w:color w:val="000000" w:themeColor="text1"/>
                <w:szCs w:val="22"/>
                <w:lang w:eastAsia="en-GB"/>
              </w:rPr>
              <w:t>eeting</w:t>
            </w:r>
            <w:r w:rsidR="004C7C86" w:rsidRPr="00073574">
              <w:rPr>
                <w:rFonts w:eastAsia="Times New Roman"/>
                <w:color w:val="000000" w:themeColor="text1"/>
                <w:szCs w:val="22"/>
                <w:lang w:eastAsia="en-GB"/>
              </w:rPr>
              <w:t xml:space="preserve">, </w:t>
            </w:r>
            <w:r w:rsidRPr="00073574">
              <w:rPr>
                <w:rFonts w:eastAsia="Times New Roman"/>
                <w:color w:val="000000" w:themeColor="text1"/>
                <w:szCs w:val="22"/>
                <w:lang w:eastAsia="en-GB"/>
              </w:rPr>
              <w:t>21 - 23 January 2020, Copenhagen, Denmark</w:t>
            </w:r>
          </w:p>
          <w:p w14:paraId="67576766" w14:textId="7EE9BDA7" w:rsidR="00A5164A" w:rsidRPr="00073574" w:rsidRDefault="00A5164A" w:rsidP="003C7BC9">
            <w:pPr>
              <w:numPr>
                <w:ilvl w:val="0"/>
                <w:numId w:val="94"/>
              </w:numPr>
              <w:shd w:val="clear" w:color="auto" w:fill="FFFFFF"/>
              <w:textAlignment w:val="baseline"/>
              <w:rPr>
                <w:rFonts w:eastAsia="Times New Roman"/>
                <w:color w:val="000000" w:themeColor="text1"/>
                <w:szCs w:val="22"/>
                <w:bdr w:val="none" w:sz="0" w:space="0" w:color="auto" w:frame="1"/>
                <w:lang w:eastAsia="en-GB"/>
              </w:rPr>
            </w:pPr>
            <w:r w:rsidRPr="00073574">
              <w:rPr>
                <w:rFonts w:eastAsia="Times New Roman"/>
                <w:color w:val="000000" w:themeColor="text1"/>
                <w:szCs w:val="22"/>
                <w:lang w:eastAsia="en-GB"/>
              </w:rPr>
              <w:t>Com-ITU</w:t>
            </w:r>
            <w:r w:rsidR="004C7C86" w:rsidRPr="00073574">
              <w:rPr>
                <w:rFonts w:eastAsia="Times New Roman"/>
                <w:color w:val="000000" w:themeColor="text1"/>
                <w:szCs w:val="22"/>
                <w:lang w:eastAsia="en-GB"/>
              </w:rPr>
              <w:t xml:space="preserve">, </w:t>
            </w:r>
            <w:r w:rsidRPr="00073574">
              <w:rPr>
                <w:rFonts w:eastAsia="Times New Roman"/>
                <w:color w:val="000000" w:themeColor="text1"/>
                <w:szCs w:val="22"/>
                <w:lang w:eastAsia="en-GB"/>
              </w:rPr>
              <w:t>27 - 29 May 2020, virtual meeting</w:t>
            </w:r>
          </w:p>
          <w:p w14:paraId="1F26B3E2" w14:textId="562A4D2C" w:rsidR="00A5164A" w:rsidRPr="00073574" w:rsidRDefault="00A5164A" w:rsidP="003C7BC9">
            <w:pPr>
              <w:numPr>
                <w:ilvl w:val="0"/>
                <w:numId w:val="94"/>
              </w:numPr>
              <w:shd w:val="clear" w:color="auto" w:fill="FFFFFF"/>
              <w:textAlignment w:val="baseline"/>
              <w:rPr>
                <w:rFonts w:eastAsia="Times New Roman"/>
                <w:color w:val="000000" w:themeColor="text1"/>
                <w:szCs w:val="22"/>
                <w:bdr w:val="none" w:sz="0" w:space="0" w:color="auto" w:frame="1"/>
                <w:lang w:eastAsia="en-GB"/>
              </w:rPr>
            </w:pPr>
            <w:r w:rsidRPr="00073574">
              <w:rPr>
                <w:rFonts w:eastAsia="Times New Roman"/>
                <w:color w:val="000000" w:themeColor="text1"/>
                <w:szCs w:val="22"/>
                <w:lang w:eastAsia="en-GB"/>
              </w:rPr>
              <w:t xml:space="preserve">PT ITU-T </w:t>
            </w:r>
            <w:r w:rsidR="001F41DE" w:rsidRPr="00073574">
              <w:rPr>
                <w:rFonts w:eastAsia="Times New Roman"/>
                <w:color w:val="000000" w:themeColor="text1"/>
                <w:szCs w:val="22"/>
                <w:lang w:eastAsia="en-GB"/>
              </w:rPr>
              <w:t>m</w:t>
            </w:r>
            <w:r w:rsidRPr="00073574">
              <w:rPr>
                <w:rFonts w:eastAsia="Times New Roman"/>
                <w:color w:val="000000" w:themeColor="text1"/>
                <w:szCs w:val="22"/>
                <w:lang w:eastAsia="en-GB"/>
              </w:rPr>
              <w:t>eeting</w:t>
            </w:r>
            <w:r w:rsidR="004C7C86" w:rsidRPr="00073574">
              <w:rPr>
                <w:rFonts w:eastAsia="Times New Roman"/>
                <w:color w:val="000000" w:themeColor="text1"/>
                <w:szCs w:val="22"/>
                <w:lang w:eastAsia="en-GB"/>
              </w:rPr>
              <w:t xml:space="preserve">, </w:t>
            </w:r>
            <w:r w:rsidRPr="00073574">
              <w:rPr>
                <w:rFonts w:eastAsia="Times New Roman"/>
                <w:color w:val="000000" w:themeColor="text1"/>
                <w:szCs w:val="22"/>
                <w:lang w:eastAsia="en-GB"/>
              </w:rPr>
              <w:t>30 June - 1 July 2020, virtual meeting</w:t>
            </w:r>
          </w:p>
          <w:p w14:paraId="2ACFBA4C" w14:textId="6D90C056" w:rsidR="00A5164A" w:rsidRPr="00073574" w:rsidRDefault="00A5164A" w:rsidP="003C7BC9">
            <w:pPr>
              <w:numPr>
                <w:ilvl w:val="0"/>
                <w:numId w:val="94"/>
              </w:numPr>
              <w:shd w:val="clear" w:color="auto" w:fill="FFFFFF"/>
              <w:textAlignment w:val="baseline"/>
              <w:rPr>
                <w:rFonts w:eastAsia="Times New Roman"/>
                <w:color w:val="000000" w:themeColor="text1"/>
                <w:szCs w:val="22"/>
                <w:bdr w:val="none" w:sz="0" w:space="0" w:color="auto" w:frame="1"/>
                <w:lang w:eastAsia="en-GB"/>
              </w:rPr>
            </w:pPr>
            <w:r w:rsidRPr="00073574">
              <w:rPr>
                <w:rFonts w:eastAsia="Times New Roman"/>
                <w:color w:val="000000" w:themeColor="text1"/>
                <w:szCs w:val="22"/>
                <w:lang w:eastAsia="en-GB"/>
              </w:rPr>
              <w:t xml:space="preserve">PT ITU-T Web </w:t>
            </w:r>
            <w:r w:rsidR="001F41DE" w:rsidRPr="00073574">
              <w:rPr>
                <w:rFonts w:eastAsia="Times New Roman"/>
                <w:color w:val="000000" w:themeColor="text1"/>
                <w:szCs w:val="22"/>
                <w:lang w:eastAsia="en-GB"/>
              </w:rPr>
              <w:t>m</w:t>
            </w:r>
            <w:r w:rsidRPr="00073574">
              <w:rPr>
                <w:rFonts w:eastAsia="Times New Roman"/>
                <w:color w:val="000000" w:themeColor="text1"/>
                <w:szCs w:val="22"/>
                <w:lang w:eastAsia="en-GB"/>
              </w:rPr>
              <w:t>eeting</w:t>
            </w:r>
            <w:r w:rsidR="004C7C86" w:rsidRPr="00073574">
              <w:rPr>
                <w:rFonts w:eastAsia="Times New Roman"/>
                <w:color w:val="000000" w:themeColor="text1"/>
                <w:szCs w:val="22"/>
                <w:lang w:eastAsia="en-GB"/>
              </w:rPr>
              <w:t xml:space="preserve">, </w:t>
            </w:r>
            <w:r w:rsidRPr="00073574">
              <w:rPr>
                <w:rFonts w:eastAsia="Times New Roman"/>
                <w:color w:val="000000" w:themeColor="text1"/>
                <w:szCs w:val="22"/>
                <w:lang w:eastAsia="en-GB"/>
              </w:rPr>
              <w:t>24 August 2020</w:t>
            </w:r>
          </w:p>
          <w:p w14:paraId="7E2ABD3D" w14:textId="2AB98BD0" w:rsidR="00A5164A" w:rsidRPr="00073574" w:rsidRDefault="00A5164A" w:rsidP="003C7BC9">
            <w:pPr>
              <w:numPr>
                <w:ilvl w:val="0"/>
                <w:numId w:val="94"/>
              </w:numPr>
              <w:shd w:val="clear" w:color="auto" w:fill="FFFFFF"/>
              <w:textAlignment w:val="baseline"/>
              <w:rPr>
                <w:rFonts w:eastAsia="Times New Roman"/>
                <w:color w:val="000000" w:themeColor="text1"/>
                <w:szCs w:val="22"/>
                <w:bdr w:val="none" w:sz="0" w:space="0" w:color="auto" w:frame="1"/>
                <w:lang w:eastAsia="en-GB"/>
              </w:rPr>
            </w:pPr>
            <w:r w:rsidRPr="00073574">
              <w:rPr>
                <w:rFonts w:eastAsia="Times New Roman"/>
                <w:color w:val="000000" w:themeColor="text1"/>
                <w:szCs w:val="22"/>
                <w:lang w:eastAsia="en-GB"/>
              </w:rPr>
              <w:t xml:space="preserve">PT ITU-T </w:t>
            </w:r>
            <w:r w:rsidR="001F41DE" w:rsidRPr="00073574">
              <w:rPr>
                <w:rFonts w:eastAsia="Times New Roman"/>
                <w:color w:val="000000" w:themeColor="text1"/>
                <w:szCs w:val="22"/>
                <w:lang w:eastAsia="en-GB"/>
              </w:rPr>
              <w:t>m</w:t>
            </w:r>
            <w:r w:rsidRPr="00073574">
              <w:rPr>
                <w:rFonts w:eastAsia="Times New Roman"/>
                <w:color w:val="000000" w:themeColor="text1"/>
                <w:szCs w:val="22"/>
                <w:lang w:eastAsia="en-GB"/>
              </w:rPr>
              <w:t>eeting</w:t>
            </w:r>
            <w:r w:rsidR="004C7C86" w:rsidRPr="00073574">
              <w:rPr>
                <w:rFonts w:eastAsia="Times New Roman"/>
                <w:color w:val="000000" w:themeColor="text1"/>
                <w:szCs w:val="22"/>
                <w:lang w:eastAsia="en-GB"/>
              </w:rPr>
              <w:t xml:space="preserve">, </w:t>
            </w:r>
            <w:r w:rsidRPr="00073574">
              <w:rPr>
                <w:rFonts w:eastAsia="Times New Roman"/>
                <w:color w:val="000000" w:themeColor="text1"/>
                <w:szCs w:val="22"/>
                <w:lang w:eastAsia="en-GB"/>
              </w:rPr>
              <w:t>8 - 9 September 2020, virtual meeting</w:t>
            </w:r>
          </w:p>
          <w:p w14:paraId="48AABFE0" w14:textId="0B7FA658" w:rsidR="00A5164A" w:rsidRPr="00073574" w:rsidRDefault="00A5164A" w:rsidP="003C7BC9">
            <w:pPr>
              <w:numPr>
                <w:ilvl w:val="0"/>
                <w:numId w:val="94"/>
              </w:numPr>
              <w:shd w:val="clear" w:color="auto" w:fill="FFFFFF"/>
              <w:textAlignment w:val="baseline"/>
              <w:rPr>
                <w:rFonts w:eastAsia="Times New Roman"/>
                <w:color w:val="000000" w:themeColor="text1"/>
                <w:szCs w:val="22"/>
                <w:bdr w:val="none" w:sz="0" w:space="0" w:color="auto" w:frame="1"/>
                <w:lang w:eastAsia="en-GB"/>
              </w:rPr>
            </w:pPr>
            <w:r w:rsidRPr="00073574">
              <w:rPr>
                <w:rFonts w:eastAsia="Times New Roman"/>
                <w:color w:val="000000" w:themeColor="text1"/>
                <w:szCs w:val="22"/>
                <w:lang w:eastAsia="en-GB"/>
              </w:rPr>
              <w:t xml:space="preserve">Com-ITU </w:t>
            </w:r>
            <w:r w:rsidR="001F41DE" w:rsidRPr="00073574">
              <w:rPr>
                <w:rFonts w:eastAsia="Times New Roman"/>
                <w:color w:val="000000" w:themeColor="text1"/>
                <w:szCs w:val="22"/>
                <w:lang w:eastAsia="en-GB"/>
              </w:rPr>
              <w:t>m</w:t>
            </w:r>
            <w:r w:rsidRPr="00073574">
              <w:rPr>
                <w:rFonts w:eastAsia="Times New Roman"/>
                <w:color w:val="000000" w:themeColor="text1"/>
                <w:szCs w:val="22"/>
                <w:lang w:eastAsia="en-GB"/>
              </w:rPr>
              <w:t>eeting</w:t>
            </w:r>
            <w:r w:rsidR="001F41DE" w:rsidRPr="00073574">
              <w:rPr>
                <w:rFonts w:eastAsia="Times New Roman"/>
                <w:color w:val="000000" w:themeColor="text1"/>
                <w:szCs w:val="22"/>
                <w:lang w:eastAsia="en-GB"/>
              </w:rPr>
              <w:t xml:space="preserve">, </w:t>
            </w:r>
            <w:r w:rsidRPr="00073574">
              <w:rPr>
                <w:rFonts w:eastAsia="Times New Roman"/>
                <w:color w:val="000000" w:themeColor="text1"/>
                <w:szCs w:val="22"/>
                <w:lang w:eastAsia="en-GB"/>
              </w:rPr>
              <w:t>8 - 10 September 2020, virtual meeting</w:t>
            </w:r>
          </w:p>
          <w:p w14:paraId="598FD1CF" w14:textId="697D59E7" w:rsidR="00A5164A" w:rsidRPr="00073574" w:rsidRDefault="00A5164A" w:rsidP="003C7BC9">
            <w:pPr>
              <w:numPr>
                <w:ilvl w:val="0"/>
                <w:numId w:val="94"/>
              </w:numPr>
              <w:shd w:val="clear" w:color="auto" w:fill="FFFFFF"/>
              <w:textAlignment w:val="baseline"/>
              <w:rPr>
                <w:rFonts w:eastAsia="Times New Roman"/>
                <w:color w:val="000000" w:themeColor="text1"/>
                <w:szCs w:val="22"/>
                <w:bdr w:val="none" w:sz="0" w:space="0" w:color="auto" w:frame="1"/>
                <w:lang w:eastAsia="en-GB"/>
              </w:rPr>
            </w:pPr>
            <w:r w:rsidRPr="00073574">
              <w:rPr>
                <w:rFonts w:eastAsia="Times New Roman"/>
                <w:color w:val="000000" w:themeColor="text1"/>
                <w:szCs w:val="22"/>
                <w:lang w:eastAsia="en-GB"/>
              </w:rPr>
              <w:t xml:space="preserve">Com-ITU </w:t>
            </w:r>
            <w:r w:rsidR="001F41DE" w:rsidRPr="00073574">
              <w:rPr>
                <w:rFonts w:eastAsia="Times New Roman"/>
                <w:color w:val="000000" w:themeColor="text1"/>
                <w:szCs w:val="22"/>
                <w:lang w:eastAsia="en-GB"/>
              </w:rPr>
              <w:t>m</w:t>
            </w:r>
            <w:r w:rsidRPr="00073574">
              <w:rPr>
                <w:rFonts w:eastAsia="Times New Roman"/>
                <w:color w:val="000000" w:themeColor="text1"/>
                <w:szCs w:val="22"/>
                <w:lang w:eastAsia="en-GB"/>
              </w:rPr>
              <w:t>eeting</w:t>
            </w:r>
            <w:r w:rsidR="001F41DE" w:rsidRPr="00073574">
              <w:rPr>
                <w:rFonts w:eastAsia="Times New Roman"/>
                <w:color w:val="000000" w:themeColor="text1"/>
                <w:szCs w:val="22"/>
                <w:lang w:eastAsia="en-GB"/>
              </w:rPr>
              <w:t xml:space="preserve">, </w:t>
            </w:r>
            <w:r w:rsidRPr="00073574">
              <w:rPr>
                <w:rFonts w:eastAsia="Times New Roman"/>
                <w:color w:val="000000" w:themeColor="text1"/>
                <w:szCs w:val="22"/>
                <w:lang w:eastAsia="en-GB"/>
              </w:rPr>
              <w:t>10 November 2020, virtual meeting</w:t>
            </w:r>
          </w:p>
          <w:p w14:paraId="7D70DF71" w14:textId="50EC29B4" w:rsidR="00A5164A" w:rsidRPr="00073574" w:rsidRDefault="00A5164A" w:rsidP="003C7BC9">
            <w:pPr>
              <w:numPr>
                <w:ilvl w:val="0"/>
                <w:numId w:val="94"/>
              </w:numPr>
              <w:shd w:val="clear" w:color="auto" w:fill="FFFFFF"/>
              <w:textAlignment w:val="baseline"/>
              <w:rPr>
                <w:rFonts w:eastAsia="Times New Roman"/>
                <w:color w:val="000000" w:themeColor="text1"/>
                <w:szCs w:val="22"/>
                <w:bdr w:val="none" w:sz="0" w:space="0" w:color="auto" w:frame="1"/>
                <w:lang w:eastAsia="en-GB"/>
              </w:rPr>
            </w:pPr>
            <w:r w:rsidRPr="00073574">
              <w:rPr>
                <w:rFonts w:eastAsia="Times New Roman"/>
                <w:color w:val="000000" w:themeColor="text1"/>
                <w:szCs w:val="22"/>
                <w:lang w:eastAsia="en-GB"/>
              </w:rPr>
              <w:t xml:space="preserve">Com-ITU </w:t>
            </w:r>
            <w:r w:rsidR="001F41DE" w:rsidRPr="00073574">
              <w:rPr>
                <w:rFonts w:eastAsia="Times New Roman"/>
                <w:color w:val="000000" w:themeColor="text1"/>
                <w:szCs w:val="22"/>
                <w:lang w:eastAsia="en-GB"/>
              </w:rPr>
              <w:t>m</w:t>
            </w:r>
            <w:r w:rsidRPr="00073574">
              <w:rPr>
                <w:rFonts w:eastAsia="Times New Roman"/>
                <w:color w:val="000000" w:themeColor="text1"/>
                <w:szCs w:val="22"/>
                <w:lang w:eastAsia="en-GB"/>
              </w:rPr>
              <w:t>eeting</w:t>
            </w:r>
            <w:r w:rsidR="001F41DE" w:rsidRPr="00073574">
              <w:rPr>
                <w:rFonts w:eastAsia="Times New Roman"/>
                <w:color w:val="000000" w:themeColor="text1"/>
                <w:szCs w:val="22"/>
                <w:lang w:eastAsia="en-GB"/>
              </w:rPr>
              <w:t xml:space="preserve">, </w:t>
            </w:r>
            <w:r w:rsidRPr="00073574">
              <w:rPr>
                <w:rFonts w:eastAsia="Times New Roman"/>
                <w:color w:val="000000" w:themeColor="text1"/>
                <w:szCs w:val="22"/>
                <w:lang w:eastAsia="en-GB"/>
              </w:rPr>
              <w:t>10 December 2020, virtual meeting</w:t>
            </w:r>
          </w:p>
          <w:p w14:paraId="6E38EBCF" w14:textId="5B34B0C1" w:rsidR="00A5164A" w:rsidRPr="00073574" w:rsidRDefault="00A5164A" w:rsidP="003C7BC9">
            <w:pPr>
              <w:numPr>
                <w:ilvl w:val="0"/>
                <w:numId w:val="94"/>
              </w:numPr>
              <w:shd w:val="clear" w:color="auto" w:fill="FFFFFF"/>
              <w:textAlignment w:val="baseline"/>
              <w:rPr>
                <w:rFonts w:eastAsia="Times New Roman"/>
                <w:color w:val="000000" w:themeColor="text1"/>
                <w:szCs w:val="22"/>
                <w:bdr w:val="none" w:sz="0" w:space="0" w:color="auto" w:frame="1"/>
                <w:lang w:eastAsia="en-GB"/>
              </w:rPr>
            </w:pPr>
            <w:r w:rsidRPr="00073574">
              <w:rPr>
                <w:rFonts w:eastAsia="Times New Roman"/>
                <w:color w:val="000000" w:themeColor="text1"/>
                <w:szCs w:val="22"/>
                <w:lang w:eastAsia="en-GB"/>
              </w:rPr>
              <w:t xml:space="preserve">PT ITU-T </w:t>
            </w:r>
            <w:r w:rsidR="001F41DE" w:rsidRPr="00073574">
              <w:rPr>
                <w:rFonts w:eastAsia="Times New Roman"/>
                <w:color w:val="000000" w:themeColor="text1"/>
                <w:szCs w:val="22"/>
                <w:lang w:eastAsia="en-GB"/>
              </w:rPr>
              <w:t>m</w:t>
            </w:r>
            <w:r w:rsidRPr="00073574">
              <w:rPr>
                <w:rFonts w:eastAsia="Times New Roman"/>
                <w:color w:val="000000" w:themeColor="text1"/>
                <w:szCs w:val="22"/>
                <w:lang w:eastAsia="en-GB"/>
              </w:rPr>
              <w:t>eeting</w:t>
            </w:r>
            <w:r w:rsidR="001F41DE" w:rsidRPr="00073574">
              <w:rPr>
                <w:rFonts w:eastAsia="Times New Roman"/>
                <w:color w:val="000000" w:themeColor="text1"/>
                <w:szCs w:val="22"/>
                <w:lang w:eastAsia="en-GB"/>
              </w:rPr>
              <w:t xml:space="preserve">, </w:t>
            </w:r>
            <w:r w:rsidRPr="00073574">
              <w:rPr>
                <w:rFonts w:eastAsia="Times New Roman"/>
                <w:color w:val="000000" w:themeColor="text1"/>
                <w:szCs w:val="22"/>
                <w:lang w:eastAsia="en-GB"/>
              </w:rPr>
              <w:t>10 December 2020, virtual meeting</w:t>
            </w:r>
          </w:p>
          <w:p w14:paraId="18BB447C" w14:textId="7ED60437" w:rsidR="00A5164A" w:rsidRPr="00073574" w:rsidRDefault="00A5164A" w:rsidP="003C7BC9">
            <w:pPr>
              <w:numPr>
                <w:ilvl w:val="0"/>
                <w:numId w:val="94"/>
              </w:numPr>
              <w:shd w:val="clear" w:color="auto" w:fill="FFFFFF"/>
              <w:textAlignment w:val="baseline"/>
              <w:rPr>
                <w:rFonts w:eastAsia="Times New Roman"/>
                <w:color w:val="000000" w:themeColor="text1"/>
                <w:szCs w:val="22"/>
                <w:bdr w:val="none" w:sz="0" w:space="0" w:color="auto" w:frame="1"/>
                <w:lang w:eastAsia="en-GB"/>
              </w:rPr>
            </w:pPr>
            <w:r w:rsidRPr="00073574">
              <w:rPr>
                <w:rFonts w:eastAsia="Times New Roman"/>
                <w:color w:val="000000" w:themeColor="text1"/>
                <w:szCs w:val="22"/>
                <w:lang w:eastAsia="en-GB"/>
              </w:rPr>
              <w:t xml:space="preserve">Com-ITU </w:t>
            </w:r>
            <w:r w:rsidR="001F41DE" w:rsidRPr="00073574">
              <w:rPr>
                <w:rFonts w:eastAsia="Times New Roman"/>
                <w:color w:val="000000" w:themeColor="text1"/>
                <w:szCs w:val="22"/>
                <w:lang w:eastAsia="en-GB"/>
              </w:rPr>
              <w:t>m</w:t>
            </w:r>
            <w:r w:rsidRPr="00073574">
              <w:rPr>
                <w:rFonts w:eastAsia="Times New Roman"/>
                <w:color w:val="000000" w:themeColor="text1"/>
                <w:szCs w:val="22"/>
                <w:lang w:eastAsia="en-GB"/>
              </w:rPr>
              <w:t>eeting</w:t>
            </w:r>
            <w:r w:rsidR="001F41DE" w:rsidRPr="00073574">
              <w:rPr>
                <w:rFonts w:eastAsia="Times New Roman"/>
                <w:color w:val="000000" w:themeColor="text1"/>
                <w:szCs w:val="22"/>
                <w:lang w:eastAsia="en-GB"/>
              </w:rPr>
              <w:t xml:space="preserve">, </w:t>
            </w:r>
            <w:r w:rsidRPr="00073574">
              <w:rPr>
                <w:rFonts w:eastAsia="Times New Roman"/>
                <w:color w:val="000000" w:themeColor="text1"/>
                <w:szCs w:val="22"/>
                <w:lang w:eastAsia="en-GB"/>
              </w:rPr>
              <w:t>20 – 22 January 2021, virtual meeting</w:t>
            </w:r>
          </w:p>
          <w:p w14:paraId="633F0C41" w14:textId="473AE322" w:rsidR="00A5164A" w:rsidRPr="00073574" w:rsidRDefault="00A5164A" w:rsidP="003C7BC9">
            <w:pPr>
              <w:numPr>
                <w:ilvl w:val="0"/>
                <w:numId w:val="94"/>
              </w:numPr>
              <w:shd w:val="clear" w:color="auto" w:fill="FFFFFF"/>
              <w:textAlignment w:val="baseline"/>
              <w:rPr>
                <w:rFonts w:eastAsia="Times New Roman"/>
                <w:color w:val="000000" w:themeColor="text1"/>
                <w:szCs w:val="22"/>
                <w:bdr w:val="none" w:sz="0" w:space="0" w:color="auto" w:frame="1"/>
                <w:lang w:eastAsia="en-GB"/>
              </w:rPr>
            </w:pPr>
            <w:r w:rsidRPr="00073574">
              <w:rPr>
                <w:rFonts w:eastAsia="Times New Roman"/>
                <w:color w:val="000000" w:themeColor="text1"/>
                <w:szCs w:val="22"/>
                <w:lang w:eastAsia="en-GB"/>
              </w:rPr>
              <w:t xml:space="preserve">PT ITU-T </w:t>
            </w:r>
            <w:r w:rsidR="001F41DE" w:rsidRPr="00073574">
              <w:rPr>
                <w:rFonts w:eastAsia="Times New Roman"/>
                <w:color w:val="000000" w:themeColor="text1"/>
                <w:szCs w:val="22"/>
                <w:lang w:eastAsia="en-GB"/>
              </w:rPr>
              <w:t>m</w:t>
            </w:r>
            <w:r w:rsidRPr="00073574">
              <w:rPr>
                <w:rFonts w:eastAsia="Times New Roman"/>
                <w:color w:val="000000" w:themeColor="text1"/>
                <w:szCs w:val="22"/>
                <w:lang w:eastAsia="en-GB"/>
              </w:rPr>
              <w:t>eeting</w:t>
            </w:r>
            <w:r w:rsidR="001F41DE" w:rsidRPr="00073574">
              <w:rPr>
                <w:rFonts w:eastAsia="Times New Roman"/>
                <w:color w:val="000000" w:themeColor="text1"/>
                <w:szCs w:val="22"/>
                <w:lang w:eastAsia="en-GB"/>
              </w:rPr>
              <w:t xml:space="preserve">, </w:t>
            </w:r>
            <w:r w:rsidRPr="00073574">
              <w:rPr>
                <w:rFonts w:eastAsia="Times New Roman"/>
                <w:color w:val="000000" w:themeColor="text1"/>
                <w:szCs w:val="22"/>
                <w:lang w:eastAsia="en-GB"/>
              </w:rPr>
              <w:t>1 - 3 March 2021, virtual meeting</w:t>
            </w:r>
          </w:p>
          <w:p w14:paraId="04C61732" w14:textId="6E472779" w:rsidR="00A5164A" w:rsidRPr="00073574" w:rsidRDefault="00A5164A" w:rsidP="003C7BC9">
            <w:pPr>
              <w:numPr>
                <w:ilvl w:val="0"/>
                <w:numId w:val="94"/>
              </w:numPr>
              <w:shd w:val="clear" w:color="auto" w:fill="FFFFFF"/>
              <w:textAlignment w:val="baseline"/>
              <w:rPr>
                <w:rFonts w:eastAsia="Times New Roman"/>
                <w:color w:val="000000" w:themeColor="text1"/>
                <w:szCs w:val="22"/>
                <w:bdr w:val="none" w:sz="0" w:space="0" w:color="auto" w:frame="1"/>
                <w:lang w:eastAsia="en-GB"/>
              </w:rPr>
            </w:pPr>
            <w:r w:rsidRPr="00073574">
              <w:rPr>
                <w:rFonts w:eastAsia="Times New Roman"/>
                <w:color w:val="000000" w:themeColor="text1"/>
                <w:szCs w:val="22"/>
                <w:lang w:eastAsia="en-GB"/>
              </w:rPr>
              <w:t xml:space="preserve">PT ITU-T </w:t>
            </w:r>
            <w:r w:rsidR="001F41DE" w:rsidRPr="00073574">
              <w:rPr>
                <w:rFonts w:eastAsia="Times New Roman"/>
                <w:color w:val="000000" w:themeColor="text1"/>
                <w:szCs w:val="22"/>
                <w:lang w:eastAsia="en-GB"/>
              </w:rPr>
              <w:t>m</w:t>
            </w:r>
            <w:r w:rsidRPr="00073574">
              <w:rPr>
                <w:rFonts w:eastAsia="Times New Roman"/>
                <w:color w:val="000000" w:themeColor="text1"/>
                <w:szCs w:val="22"/>
                <w:lang w:eastAsia="en-GB"/>
              </w:rPr>
              <w:t>eeting</w:t>
            </w:r>
            <w:r w:rsidR="001F41DE" w:rsidRPr="00073574">
              <w:rPr>
                <w:rFonts w:eastAsia="Times New Roman"/>
                <w:color w:val="000000" w:themeColor="text1"/>
                <w:szCs w:val="22"/>
                <w:lang w:eastAsia="en-GB"/>
              </w:rPr>
              <w:t xml:space="preserve">, </w:t>
            </w:r>
            <w:r w:rsidRPr="00073574">
              <w:rPr>
                <w:rFonts w:eastAsia="Times New Roman"/>
                <w:color w:val="000000" w:themeColor="text1"/>
                <w:szCs w:val="22"/>
                <w:lang w:eastAsia="en-GB"/>
              </w:rPr>
              <w:t>5 - 7 May 2021, virtual meeting</w:t>
            </w:r>
          </w:p>
          <w:p w14:paraId="3E749D20" w14:textId="30E03AA8" w:rsidR="00A5164A" w:rsidRPr="00073574" w:rsidRDefault="00A5164A" w:rsidP="003C7BC9">
            <w:pPr>
              <w:numPr>
                <w:ilvl w:val="0"/>
                <w:numId w:val="94"/>
              </w:numPr>
              <w:shd w:val="clear" w:color="auto" w:fill="FFFFFF"/>
              <w:textAlignment w:val="baseline"/>
              <w:rPr>
                <w:rFonts w:eastAsia="Times New Roman"/>
                <w:color w:val="000000" w:themeColor="text1"/>
                <w:szCs w:val="22"/>
                <w:bdr w:val="none" w:sz="0" w:space="0" w:color="auto" w:frame="1"/>
                <w:lang w:eastAsia="en-GB"/>
              </w:rPr>
            </w:pPr>
            <w:r w:rsidRPr="00073574">
              <w:rPr>
                <w:rFonts w:eastAsia="Times New Roman"/>
                <w:color w:val="000000" w:themeColor="text1"/>
                <w:szCs w:val="22"/>
                <w:lang w:eastAsia="en-GB"/>
              </w:rPr>
              <w:t xml:space="preserve">Com-ITU </w:t>
            </w:r>
            <w:r w:rsidR="001F41DE" w:rsidRPr="00073574">
              <w:rPr>
                <w:rFonts w:eastAsia="Times New Roman"/>
                <w:color w:val="000000" w:themeColor="text1"/>
                <w:szCs w:val="22"/>
                <w:lang w:eastAsia="en-GB"/>
              </w:rPr>
              <w:t>m</w:t>
            </w:r>
            <w:r w:rsidRPr="00073574">
              <w:rPr>
                <w:rFonts w:eastAsia="Times New Roman"/>
                <w:color w:val="000000" w:themeColor="text1"/>
                <w:szCs w:val="22"/>
                <w:lang w:eastAsia="en-GB"/>
              </w:rPr>
              <w:t>eeting</w:t>
            </w:r>
            <w:r w:rsidR="001F41DE" w:rsidRPr="00073574">
              <w:rPr>
                <w:rFonts w:eastAsia="Times New Roman"/>
                <w:color w:val="000000" w:themeColor="text1"/>
                <w:szCs w:val="22"/>
                <w:lang w:eastAsia="en-GB"/>
              </w:rPr>
              <w:t xml:space="preserve">, </w:t>
            </w:r>
            <w:r w:rsidRPr="00073574">
              <w:rPr>
                <w:rFonts w:eastAsia="Times New Roman"/>
                <w:color w:val="000000" w:themeColor="text1"/>
                <w:szCs w:val="22"/>
                <w:lang w:eastAsia="en-GB"/>
              </w:rPr>
              <w:t>21 - 23 June 2021, virtual meeting</w:t>
            </w:r>
          </w:p>
          <w:p w14:paraId="1ABCA4CD" w14:textId="31A24112" w:rsidR="00A5164A" w:rsidRPr="00073574" w:rsidRDefault="00A5164A" w:rsidP="003C7BC9">
            <w:pPr>
              <w:numPr>
                <w:ilvl w:val="0"/>
                <w:numId w:val="94"/>
              </w:numPr>
              <w:shd w:val="clear" w:color="auto" w:fill="FFFFFF"/>
              <w:textAlignment w:val="baseline"/>
              <w:rPr>
                <w:rFonts w:eastAsia="Times New Roman"/>
                <w:color w:val="000000" w:themeColor="text1"/>
                <w:szCs w:val="22"/>
                <w:bdr w:val="none" w:sz="0" w:space="0" w:color="auto" w:frame="1"/>
                <w:lang w:eastAsia="en-GB"/>
              </w:rPr>
            </w:pPr>
            <w:r w:rsidRPr="00073574">
              <w:rPr>
                <w:rFonts w:eastAsia="Times New Roman"/>
                <w:color w:val="000000" w:themeColor="text1"/>
                <w:szCs w:val="22"/>
                <w:lang w:eastAsia="en-GB"/>
              </w:rPr>
              <w:t xml:space="preserve">PT ITU-T </w:t>
            </w:r>
            <w:r w:rsidR="001F41DE" w:rsidRPr="00073574">
              <w:rPr>
                <w:rFonts w:eastAsia="Times New Roman"/>
                <w:color w:val="000000" w:themeColor="text1"/>
                <w:szCs w:val="22"/>
                <w:lang w:eastAsia="en-GB"/>
              </w:rPr>
              <w:t>m</w:t>
            </w:r>
            <w:r w:rsidRPr="00073574">
              <w:rPr>
                <w:rFonts w:eastAsia="Times New Roman"/>
                <w:color w:val="000000" w:themeColor="text1"/>
                <w:szCs w:val="22"/>
                <w:lang w:eastAsia="en-GB"/>
              </w:rPr>
              <w:t>eeting</w:t>
            </w:r>
            <w:r w:rsidR="001F41DE" w:rsidRPr="00073574">
              <w:rPr>
                <w:rFonts w:eastAsia="Times New Roman"/>
                <w:color w:val="000000" w:themeColor="text1"/>
                <w:szCs w:val="22"/>
                <w:lang w:eastAsia="en-GB"/>
              </w:rPr>
              <w:t xml:space="preserve">, </w:t>
            </w:r>
            <w:r w:rsidRPr="00073574">
              <w:rPr>
                <w:rFonts w:eastAsia="Times New Roman"/>
                <w:color w:val="000000" w:themeColor="text1"/>
                <w:szCs w:val="22"/>
                <w:lang w:eastAsia="en-GB"/>
              </w:rPr>
              <w:t>21 - 23 June 2021, virtual meeting</w:t>
            </w:r>
          </w:p>
          <w:p w14:paraId="0D15076A" w14:textId="00A61782" w:rsidR="00A5164A" w:rsidRPr="00073574" w:rsidRDefault="00A5164A" w:rsidP="003C7BC9">
            <w:pPr>
              <w:numPr>
                <w:ilvl w:val="0"/>
                <w:numId w:val="94"/>
              </w:numPr>
              <w:shd w:val="clear" w:color="auto" w:fill="FFFFFF"/>
              <w:textAlignment w:val="baseline"/>
              <w:rPr>
                <w:rFonts w:eastAsia="Times New Roman"/>
                <w:color w:val="000000" w:themeColor="text1"/>
                <w:szCs w:val="22"/>
                <w:bdr w:val="none" w:sz="0" w:space="0" w:color="auto" w:frame="1"/>
                <w:lang w:eastAsia="en-GB"/>
              </w:rPr>
            </w:pPr>
            <w:r w:rsidRPr="00073574">
              <w:rPr>
                <w:rFonts w:eastAsia="Times New Roman"/>
                <w:color w:val="000000" w:themeColor="text1"/>
                <w:szCs w:val="22"/>
                <w:lang w:eastAsia="en-GB"/>
              </w:rPr>
              <w:t xml:space="preserve">Com-ITU </w:t>
            </w:r>
            <w:r w:rsidR="001F41DE" w:rsidRPr="00073574">
              <w:rPr>
                <w:rFonts w:eastAsia="Times New Roman"/>
                <w:color w:val="000000" w:themeColor="text1"/>
                <w:szCs w:val="22"/>
                <w:lang w:eastAsia="en-GB"/>
              </w:rPr>
              <w:t>m</w:t>
            </w:r>
            <w:r w:rsidRPr="00073574">
              <w:rPr>
                <w:rFonts w:eastAsia="Times New Roman"/>
                <w:color w:val="000000" w:themeColor="text1"/>
                <w:szCs w:val="22"/>
                <w:lang w:eastAsia="en-GB"/>
              </w:rPr>
              <w:t>eeting</w:t>
            </w:r>
            <w:r w:rsidR="001F41DE" w:rsidRPr="00073574">
              <w:rPr>
                <w:rFonts w:eastAsia="Times New Roman"/>
                <w:color w:val="000000" w:themeColor="text1"/>
                <w:szCs w:val="22"/>
                <w:lang w:eastAsia="en-GB"/>
              </w:rPr>
              <w:t xml:space="preserve">, </w:t>
            </w:r>
            <w:r w:rsidRPr="00073574">
              <w:rPr>
                <w:rFonts w:eastAsia="Times New Roman"/>
                <w:color w:val="000000" w:themeColor="text1"/>
                <w:szCs w:val="22"/>
                <w:lang w:eastAsia="en-GB"/>
              </w:rPr>
              <w:t>13 September (PM) - 15 September 2021, virtual meeting</w:t>
            </w:r>
          </w:p>
          <w:p w14:paraId="79D8370A" w14:textId="5610C9CF" w:rsidR="00254269" w:rsidRPr="00073574" w:rsidRDefault="00254269" w:rsidP="003C7BC9">
            <w:pPr>
              <w:numPr>
                <w:ilvl w:val="0"/>
                <w:numId w:val="94"/>
              </w:numPr>
              <w:shd w:val="clear" w:color="auto" w:fill="FFFFFF"/>
              <w:textAlignment w:val="baseline"/>
              <w:rPr>
                <w:rFonts w:eastAsia="Times New Roman"/>
                <w:color w:val="000000" w:themeColor="text1"/>
                <w:szCs w:val="22"/>
                <w:bdr w:val="none" w:sz="0" w:space="0" w:color="auto" w:frame="1"/>
                <w:lang w:eastAsia="en-GB"/>
              </w:rPr>
            </w:pPr>
            <w:r w:rsidRPr="00073574">
              <w:rPr>
                <w:rFonts w:eastAsia="Times New Roman"/>
                <w:color w:val="000000" w:themeColor="text1"/>
                <w:szCs w:val="22"/>
                <w:lang w:eastAsia="en-GB"/>
              </w:rPr>
              <w:t xml:space="preserve">PT ITU-T </w:t>
            </w:r>
            <w:r w:rsidR="001F41DE" w:rsidRPr="00073574">
              <w:rPr>
                <w:rFonts w:eastAsia="Times New Roman"/>
                <w:color w:val="000000" w:themeColor="text1"/>
                <w:szCs w:val="22"/>
                <w:lang w:eastAsia="en-GB"/>
              </w:rPr>
              <w:t>m</w:t>
            </w:r>
            <w:r w:rsidRPr="00073574">
              <w:rPr>
                <w:rFonts w:eastAsia="Times New Roman"/>
                <w:color w:val="000000" w:themeColor="text1"/>
                <w:szCs w:val="22"/>
                <w:lang w:eastAsia="en-GB"/>
              </w:rPr>
              <w:t>eeting</w:t>
            </w:r>
            <w:r w:rsidR="001F41DE" w:rsidRPr="00073574">
              <w:rPr>
                <w:rFonts w:eastAsia="Times New Roman"/>
                <w:color w:val="000000" w:themeColor="text1"/>
                <w:szCs w:val="22"/>
                <w:lang w:eastAsia="en-GB"/>
              </w:rPr>
              <w:t xml:space="preserve">, </w:t>
            </w:r>
            <w:r w:rsidRPr="00073574">
              <w:rPr>
                <w:rFonts w:eastAsia="Times New Roman"/>
                <w:color w:val="000000" w:themeColor="text1"/>
                <w:szCs w:val="22"/>
                <w:lang w:eastAsia="en-GB"/>
              </w:rPr>
              <w:t>15 September 2021, virtual meeting</w:t>
            </w:r>
          </w:p>
          <w:p w14:paraId="25EBA7F0" w14:textId="540919A0" w:rsidR="003A2624" w:rsidRPr="00073574" w:rsidRDefault="003A2624" w:rsidP="003C7BC9">
            <w:pPr>
              <w:numPr>
                <w:ilvl w:val="0"/>
                <w:numId w:val="94"/>
              </w:numPr>
              <w:shd w:val="clear" w:color="auto" w:fill="FFFFFF"/>
              <w:textAlignment w:val="baseline"/>
              <w:rPr>
                <w:rFonts w:eastAsia="Times New Roman"/>
                <w:color w:val="000000" w:themeColor="text1"/>
                <w:szCs w:val="22"/>
                <w:bdr w:val="none" w:sz="0" w:space="0" w:color="auto" w:frame="1"/>
                <w:lang w:eastAsia="en-GB"/>
              </w:rPr>
            </w:pPr>
            <w:r w:rsidRPr="00073574">
              <w:rPr>
                <w:rFonts w:eastAsia="Times New Roman"/>
                <w:color w:val="000000" w:themeColor="text1"/>
                <w:szCs w:val="22"/>
                <w:lang w:eastAsia="en-GB"/>
              </w:rPr>
              <w:t>PT ITU-T Meeting, 19 October 2021 (AM), virtual meeting</w:t>
            </w:r>
          </w:p>
          <w:p w14:paraId="05053F41" w14:textId="54D191AC" w:rsidR="003A2624" w:rsidRPr="00073574" w:rsidRDefault="003A2624" w:rsidP="003C7BC9">
            <w:pPr>
              <w:numPr>
                <w:ilvl w:val="0"/>
                <w:numId w:val="94"/>
              </w:numPr>
              <w:shd w:val="clear" w:color="auto" w:fill="FFFFFF"/>
              <w:textAlignment w:val="baseline"/>
              <w:rPr>
                <w:rFonts w:eastAsia="Times New Roman"/>
                <w:color w:val="000000" w:themeColor="text1"/>
                <w:szCs w:val="22"/>
                <w:bdr w:val="none" w:sz="0" w:space="0" w:color="auto" w:frame="1"/>
                <w:lang w:eastAsia="en-GB"/>
              </w:rPr>
            </w:pPr>
            <w:r w:rsidRPr="00073574">
              <w:rPr>
                <w:rFonts w:eastAsia="Times New Roman"/>
                <w:color w:val="000000" w:themeColor="text1"/>
                <w:szCs w:val="22"/>
                <w:lang w:eastAsia="en-GB"/>
              </w:rPr>
              <w:t>Com-ITU Meeting, 22 - 25 November 2021, virtual meeting</w:t>
            </w:r>
          </w:p>
          <w:p w14:paraId="35585810" w14:textId="1F5ED3D1" w:rsidR="003A2624" w:rsidRPr="00073574" w:rsidRDefault="003A2624" w:rsidP="003C7BC9">
            <w:pPr>
              <w:numPr>
                <w:ilvl w:val="0"/>
                <w:numId w:val="94"/>
              </w:numPr>
              <w:shd w:val="clear" w:color="auto" w:fill="FFFFFF"/>
              <w:textAlignment w:val="baseline"/>
              <w:rPr>
                <w:rFonts w:eastAsia="Times New Roman"/>
                <w:color w:val="000000" w:themeColor="text1"/>
                <w:szCs w:val="22"/>
                <w:bdr w:val="none" w:sz="0" w:space="0" w:color="auto" w:frame="1"/>
                <w:lang w:eastAsia="en-GB"/>
              </w:rPr>
            </w:pPr>
            <w:r w:rsidRPr="00073574">
              <w:rPr>
                <w:rFonts w:eastAsia="Times New Roman"/>
                <w:color w:val="000000" w:themeColor="text1"/>
                <w:szCs w:val="22"/>
                <w:lang w:eastAsia="en-GB"/>
              </w:rPr>
              <w:t>PT ITU-T Meeting, 22 – 25 November 2021, virtual meeting</w:t>
            </w:r>
          </w:p>
          <w:p w14:paraId="39E41840" w14:textId="5D1AF8CB" w:rsidR="00A5164A" w:rsidRPr="00073574" w:rsidRDefault="004F41BF" w:rsidP="000F4780">
            <w:pPr>
              <w:spacing w:before="0"/>
              <w:rPr>
                <w:rFonts w:eastAsia="Times New Roman"/>
                <w:color w:val="000000" w:themeColor="text1"/>
                <w:szCs w:val="22"/>
                <w:lang w:eastAsia="en-GB"/>
              </w:rPr>
            </w:pPr>
            <w:r w:rsidRPr="00073574">
              <w:rPr>
                <w:rFonts w:eastAsia="Times New Roman"/>
                <w:color w:val="444444"/>
                <w:szCs w:val="22"/>
                <w:bdr w:val="none" w:sz="0" w:space="0" w:color="auto" w:frame="1"/>
                <w:lang w:eastAsia="en-GB"/>
              </w:rPr>
              <w:br/>
            </w:r>
            <w:r w:rsidR="00A5164A" w:rsidRPr="00073574">
              <w:rPr>
                <w:rFonts w:eastAsia="Times New Roman"/>
                <w:color w:val="000000" w:themeColor="text1"/>
                <w:szCs w:val="22"/>
                <w:lang w:eastAsia="en-GB"/>
              </w:rPr>
              <w:t>Other preparatory meetings are planned as following:</w:t>
            </w:r>
          </w:p>
          <w:p w14:paraId="5F1AAFFA" w14:textId="77777777" w:rsidR="003C7BC9" w:rsidRPr="00073574" w:rsidRDefault="003C7BC9" w:rsidP="003C7BC9">
            <w:pPr>
              <w:numPr>
                <w:ilvl w:val="0"/>
                <w:numId w:val="94"/>
              </w:numPr>
              <w:shd w:val="clear" w:color="auto" w:fill="FFFFFF"/>
              <w:textAlignment w:val="baseline"/>
              <w:rPr>
                <w:rFonts w:eastAsia="Times New Roman"/>
                <w:color w:val="000000" w:themeColor="text1"/>
                <w:szCs w:val="22"/>
                <w:lang w:eastAsia="en-GB"/>
              </w:rPr>
            </w:pPr>
            <w:r w:rsidRPr="00073574">
              <w:rPr>
                <w:rFonts w:eastAsia="Times New Roman"/>
                <w:color w:val="000000" w:themeColor="text1"/>
                <w:szCs w:val="22"/>
                <w:lang w:eastAsia="en-GB"/>
              </w:rPr>
              <w:t>PT ITU-T Meeting, 7 January 2022 (virtual meeting)</w:t>
            </w:r>
          </w:p>
          <w:p w14:paraId="180961B7" w14:textId="710925E3" w:rsidR="003C7BC9" w:rsidRPr="00073574" w:rsidRDefault="00557551" w:rsidP="003C7BC9">
            <w:pPr>
              <w:numPr>
                <w:ilvl w:val="0"/>
                <w:numId w:val="94"/>
              </w:numPr>
              <w:shd w:val="clear" w:color="auto" w:fill="FFFFFF"/>
              <w:textAlignment w:val="baseline"/>
              <w:rPr>
                <w:rFonts w:eastAsia="Times New Roman"/>
                <w:color w:val="000000" w:themeColor="text1"/>
                <w:szCs w:val="22"/>
                <w:lang w:eastAsia="en-GB"/>
              </w:rPr>
            </w:pPr>
            <w:r w:rsidRPr="00073574">
              <w:rPr>
                <w:rFonts w:eastAsia="Times New Roman"/>
                <w:color w:val="000000" w:themeColor="text1"/>
                <w:szCs w:val="22"/>
                <w:lang w:eastAsia="en-GB"/>
              </w:rPr>
              <w:t xml:space="preserve">Com-ITU Meeting, 25 </w:t>
            </w:r>
            <w:r w:rsidR="00817410">
              <w:rPr>
                <w:rFonts w:eastAsia="Times New Roman"/>
                <w:color w:val="000000" w:themeColor="text1"/>
                <w:szCs w:val="22"/>
                <w:lang w:eastAsia="en-GB"/>
              </w:rPr>
              <w:t>–</w:t>
            </w:r>
            <w:r w:rsidRPr="00073574">
              <w:rPr>
                <w:rFonts w:eastAsia="Times New Roman"/>
                <w:color w:val="000000" w:themeColor="text1"/>
                <w:szCs w:val="22"/>
                <w:lang w:eastAsia="en-GB"/>
              </w:rPr>
              <w:t xml:space="preserve"> 28</w:t>
            </w:r>
            <w:r w:rsidR="00817410">
              <w:rPr>
                <w:rFonts w:eastAsia="Times New Roman"/>
                <w:color w:val="000000" w:themeColor="text1"/>
                <w:szCs w:val="22"/>
                <w:lang w:eastAsia="en-GB"/>
              </w:rPr>
              <w:t xml:space="preserve"> </w:t>
            </w:r>
            <w:r w:rsidRPr="00073574">
              <w:rPr>
                <w:rFonts w:eastAsia="Times New Roman"/>
                <w:color w:val="000000" w:themeColor="text1"/>
                <w:szCs w:val="22"/>
                <w:lang w:eastAsia="en-GB"/>
              </w:rPr>
              <w:t>January 2022</w:t>
            </w:r>
            <w:r w:rsidR="001E25BB" w:rsidRPr="00073574">
              <w:rPr>
                <w:rFonts w:eastAsia="Times New Roman"/>
                <w:color w:val="000000" w:themeColor="text1"/>
                <w:szCs w:val="22"/>
                <w:lang w:eastAsia="en-GB"/>
              </w:rPr>
              <w:t>(virtual</w:t>
            </w:r>
            <w:r w:rsidRPr="00073574">
              <w:rPr>
                <w:rFonts w:eastAsia="Times New Roman"/>
                <w:color w:val="000000" w:themeColor="text1"/>
                <w:szCs w:val="22"/>
                <w:lang w:eastAsia="en-GB"/>
              </w:rPr>
              <w:t xml:space="preserve"> meeting)</w:t>
            </w:r>
          </w:p>
          <w:p w14:paraId="1401EEEC" w14:textId="05C8E41C" w:rsidR="00D27FF7" w:rsidRPr="00073574" w:rsidDel="00185EAB" w:rsidRDefault="00D5496A" w:rsidP="00582D0E">
            <w:pPr>
              <w:numPr>
                <w:ilvl w:val="0"/>
                <w:numId w:val="94"/>
              </w:numPr>
              <w:shd w:val="clear" w:color="auto" w:fill="FFFFFF"/>
              <w:textAlignment w:val="baseline"/>
              <w:rPr>
                <w:rFonts w:eastAsia="Times New Roman"/>
                <w:color w:val="000000" w:themeColor="text1"/>
                <w:szCs w:val="22"/>
                <w:lang w:eastAsia="en-GB"/>
              </w:rPr>
            </w:pPr>
            <w:r w:rsidRPr="00073574">
              <w:rPr>
                <w:rFonts w:eastAsia="Times New Roman"/>
                <w:color w:val="000000" w:themeColor="text1"/>
                <w:szCs w:val="22"/>
                <w:lang w:eastAsia="en-GB"/>
              </w:rPr>
              <w:t>Com-ITU Meeting, 15 - 18 February 2022 (</w:t>
            </w:r>
            <w:r w:rsidR="00480357" w:rsidRPr="00073574">
              <w:rPr>
                <w:rFonts w:eastAsia="Times New Roman"/>
                <w:color w:val="000000" w:themeColor="text1"/>
                <w:szCs w:val="22"/>
                <w:lang w:eastAsia="en-GB"/>
              </w:rPr>
              <w:t>virtual meeting)</w:t>
            </w:r>
          </w:p>
        </w:tc>
      </w:tr>
      <w:tr w:rsidR="00F0236A" w:rsidRPr="00073574" w14:paraId="18053CA6" w14:textId="77777777" w:rsidTr="4D78197E">
        <w:trPr>
          <w:cantSplit/>
          <w:jc w:val="center"/>
        </w:trPr>
        <w:tc>
          <w:tcPr>
            <w:tcW w:w="911" w:type="dxa"/>
            <w:vMerge w:val="restart"/>
            <w:tcBorders>
              <w:top w:val="single" w:sz="12" w:space="0" w:color="auto"/>
            </w:tcBorders>
            <w:shd w:val="clear" w:color="auto" w:fill="auto"/>
          </w:tcPr>
          <w:p w14:paraId="54A0D963" w14:textId="77777777" w:rsidR="00F0236A" w:rsidRPr="00073574" w:rsidRDefault="00F0236A" w:rsidP="00601595">
            <w:pPr>
              <w:pStyle w:val="Tabletext"/>
              <w:keepNext/>
              <w:keepLines/>
              <w:rPr>
                <w:b/>
                <w:bCs/>
                <w:sz w:val="24"/>
                <w:szCs w:val="24"/>
              </w:rPr>
            </w:pPr>
            <w:r w:rsidRPr="00073574">
              <w:rPr>
                <w:b/>
                <w:bCs/>
                <w:sz w:val="24"/>
                <w:szCs w:val="24"/>
              </w:rPr>
              <w:lastRenderedPageBreak/>
              <w:t>43-02</w:t>
            </w:r>
          </w:p>
        </w:tc>
        <w:tc>
          <w:tcPr>
            <w:tcW w:w="4944" w:type="dxa"/>
            <w:tcBorders>
              <w:top w:val="single" w:sz="12" w:space="0" w:color="auto"/>
            </w:tcBorders>
            <w:shd w:val="clear" w:color="auto" w:fill="auto"/>
          </w:tcPr>
          <w:p w14:paraId="39C09D88" w14:textId="77777777" w:rsidR="00F0236A" w:rsidRPr="00073574" w:rsidRDefault="00F0236A" w:rsidP="00DF36E1">
            <w:pPr>
              <w:pStyle w:val="Tabletext"/>
              <w:rPr>
                <w:b/>
                <w:bCs/>
                <w:sz w:val="24"/>
                <w:szCs w:val="24"/>
              </w:rPr>
            </w:pPr>
            <w:r w:rsidRPr="00073574">
              <w:rPr>
                <w:b/>
                <w:bCs/>
                <w:sz w:val="24"/>
                <w:szCs w:val="24"/>
              </w:rPr>
              <w:t>TSB Director to invite Secretary General to consult Member States and regional telecommunication organizations on the means by which their preparations for WTSA-20 can be supported, including support for a Bridging the Standardization Gap Forum per region.</w:t>
            </w:r>
          </w:p>
        </w:tc>
        <w:tc>
          <w:tcPr>
            <w:tcW w:w="1255" w:type="dxa"/>
            <w:tcBorders>
              <w:top w:val="single" w:sz="12" w:space="0" w:color="auto"/>
            </w:tcBorders>
            <w:shd w:val="clear" w:color="auto" w:fill="auto"/>
            <w:vAlign w:val="center"/>
          </w:tcPr>
          <w:p w14:paraId="2D6839D5" w14:textId="5A0299BF" w:rsidR="00F0236A" w:rsidRPr="00073574" w:rsidRDefault="0057414D" w:rsidP="0057414D">
            <w:pPr>
              <w:pStyle w:val="Tabletext"/>
              <w:jc w:val="center"/>
              <w:rPr>
                <w:b/>
                <w:bCs/>
                <w:sz w:val="24"/>
                <w:szCs w:val="24"/>
                <w:highlight w:val="yellow"/>
              </w:rPr>
            </w:pPr>
            <w:r w:rsidRPr="00073574">
              <w:rPr>
                <w:b/>
                <w:bCs/>
                <w:sz w:val="24"/>
                <w:szCs w:val="24"/>
              </w:rPr>
              <w:t>202</w:t>
            </w:r>
            <w:r w:rsidR="00E01434" w:rsidRPr="00073574">
              <w:rPr>
                <w:b/>
                <w:bCs/>
                <w:sz w:val="24"/>
                <w:szCs w:val="24"/>
              </w:rPr>
              <w:t>1</w:t>
            </w:r>
          </w:p>
        </w:tc>
        <w:tc>
          <w:tcPr>
            <w:tcW w:w="1175" w:type="dxa"/>
            <w:tcBorders>
              <w:top w:val="single" w:sz="12" w:space="0" w:color="auto"/>
            </w:tcBorders>
            <w:shd w:val="clear" w:color="auto" w:fill="auto"/>
            <w:vAlign w:val="center"/>
          </w:tcPr>
          <w:p w14:paraId="127F688A" w14:textId="682A8AE8" w:rsidR="00F0236A" w:rsidRPr="00073574" w:rsidRDefault="006F3B11" w:rsidP="00DF36E1">
            <w:pPr>
              <w:pStyle w:val="Tabletext"/>
              <w:jc w:val="center"/>
              <w:rPr>
                <w:b/>
                <w:bCs/>
                <w:sz w:val="24"/>
                <w:szCs w:val="24"/>
              </w:rPr>
            </w:pPr>
            <w:r w:rsidRPr="00073574">
              <w:rPr>
                <w:b/>
                <w:bCs/>
                <w:sz w:val="24"/>
                <w:szCs w:val="24"/>
              </w:rPr>
              <w:t>√</w:t>
            </w:r>
          </w:p>
        </w:tc>
        <w:tc>
          <w:tcPr>
            <w:tcW w:w="1237" w:type="dxa"/>
            <w:tcBorders>
              <w:top w:val="single" w:sz="12" w:space="0" w:color="auto"/>
            </w:tcBorders>
            <w:shd w:val="clear" w:color="auto" w:fill="auto"/>
            <w:vAlign w:val="center"/>
          </w:tcPr>
          <w:p w14:paraId="3CDA2689" w14:textId="77777777" w:rsidR="00F0236A" w:rsidRPr="00073574" w:rsidRDefault="00F0236A" w:rsidP="00DF36E1">
            <w:pPr>
              <w:pStyle w:val="Tabletext"/>
              <w:jc w:val="center"/>
              <w:rPr>
                <w:b/>
                <w:bCs/>
                <w:sz w:val="24"/>
                <w:szCs w:val="24"/>
              </w:rPr>
            </w:pPr>
          </w:p>
        </w:tc>
      </w:tr>
      <w:tr w:rsidR="00F0236A" w:rsidRPr="00073574" w14:paraId="26EB8CEE" w14:textId="77777777" w:rsidTr="4D78197E">
        <w:trPr>
          <w:cantSplit/>
          <w:jc w:val="center"/>
        </w:trPr>
        <w:tc>
          <w:tcPr>
            <w:tcW w:w="911" w:type="dxa"/>
            <w:vMerge/>
            <w:vAlign w:val="center"/>
          </w:tcPr>
          <w:p w14:paraId="1BF46ED8" w14:textId="77777777" w:rsidR="00F0236A" w:rsidRPr="00073574" w:rsidRDefault="00F0236A" w:rsidP="00DF36E1">
            <w:pPr>
              <w:pStyle w:val="Tabletext"/>
              <w:rPr>
                <w:sz w:val="24"/>
                <w:szCs w:val="24"/>
              </w:rPr>
            </w:pPr>
          </w:p>
        </w:tc>
        <w:tc>
          <w:tcPr>
            <w:tcW w:w="8611" w:type="dxa"/>
            <w:gridSpan w:val="4"/>
            <w:shd w:val="clear" w:color="auto" w:fill="auto"/>
          </w:tcPr>
          <w:p w14:paraId="0B4D1356" w14:textId="06FF5FDE" w:rsidR="00F0236A" w:rsidRPr="00073574" w:rsidDel="00B94D6B" w:rsidRDefault="006F3B11" w:rsidP="00284A2E">
            <w:pPr>
              <w:spacing w:before="40" w:after="40"/>
            </w:pPr>
            <w:r w:rsidRPr="00073574">
              <w:t xml:space="preserve">After WTSA-16, the strategy of organizing regional meetings, co-located with other events, has </w:t>
            </w:r>
            <w:r w:rsidR="0A72353D" w:rsidRPr="00073574">
              <w:t>greatly been enhanced</w:t>
            </w:r>
            <w:r w:rsidR="001342CB" w:rsidRPr="00073574">
              <w:t xml:space="preserve"> and was implemented to a great extent, allowing further coordination and increasing efficiency and </w:t>
            </w:r>
            <w:r w:rsidR="00F05E53" w:rsidRPr="00073574">
              <w:t>lowering</w:t>
            </w:r>
            <w:r w:rsidR="001342CB" w:rsidRPr="00073574">
              <w:t xml:space="preserve"> duplications of efforts.</w:t>
            </w:r>
          </w:p>
        </w:tc>
      </w:tr>
    </w:tbl>
    <w:bookmarkStart w:id="124" w:name="Item43_01"/>
    <w:bookmarkStart w:id="125" w:name="Item43_02"/>
    <w:bookmarkStart w:id="126" w:name="Item43_03"/>
    <w:bookmarkEnd w:id="124"/>
    <w:bookmarkEnd w:id="125"/>
    <w:bookmarkEnd w:id="126"/>
    <w:p w14:paraId="358A5343" w14:textId="77777777" w:rsidR="00F0236A" w:rsidRPr="00073574" w:rsidRDefault="00F0236A" w:rsidP="00F0236A">
      <w:pPr>
        <w:rPr>
          <w:rStyle w:val="Hyperlink"/>
          <w:sz w:val="24"/>
        </w:rPr>
      </w:pPr>
      <w:r w:rsidRPr="00073574">
        <w:rPr>
          <w:color w:val="2B579A"/>
          <w:shd w:val="clear" w:color="auto" w:fill="E6E6E6"/>
        </w:rPr>
        <w:fldChar w:fldCharType="begin"/>
      </w:r>
      <w:r w:rsidRPr="00073574">
        <w:rPr>
          <w:sz w:val="24"/>
        </w:rPr>
        <w:instrText xml:space="preserve"> HYPERLINK \l "Top" </w:instrText>
      </w:r>
      <w:r w:rsidRPr="00073574">
        <w:rPr>
          <w:color w:val="2B579A"/>
          <w:shd w:val="clear" w:color="auto" w:fill="E6E6E6"/>
        </w:rPr>
        <w:fldChar w:fldCharType="separate"/>
      </w:r>
      <w:r w:rsidRPr="00073574">
        <w:rPr>
          <w:rStyle w:val="Hyperlink"/>
          <w:sz w:val="24"/>
        </w:rPr>
        <w:t>» Top</w:t>
      </w:r>
      <w:r w:rsidRPr="00073574">
        <w:rPr>
          <w:rStyle w:val="Hyperlink"/>
          <w:sz w:val="24"/>
        </w:rPr>
        <w:fldChar w:fldCharType="end"/>
      </w:r>
    </w:p>
    <w:p w14:paraId="16A91226" w14:textId="77777777" w:rsidR="00F0236A" w:rsidRPr="00073574" w:rsidRDefault="00F0236A" w:rsidP="00F0236A">
      <w:pPr>
        <w:rPr>
          <w:sz w:val="24"/>
        </w:rPr>
      </w:pPr>
    </w:p>
    <w:p w14:paraId="6F2A095A" w14:textId="77777777" w:rsidR="00F0236A" w:rsidRPr="00073574" w:rsidRDefault="00F0236A" w:rsidP="00F0236A">
      <w:pPr>
        <w:pStyle w:val="Heading1"/>
        <w:keepNext/>
        <w:rPr>
          <w:sz w:val="24"/>
          <w:szCs w:val="24"/>
          <w:lang w:val="en-GB"/>
        </w:rPr>
      </w:pPr>
      <w:bookmarkStart w:id="127" w:name="Resolution_44"/>
      <w:bookmarkStart w:id="128" w:name="_Resolution_44_-"/>
      <w:bookmarkStart w:id="129" w:name="_Toc304236430"/>
      <w:bookmarkStart w:id="130" w:name="_Toc471715367"/>
      <w:bookmarkStart w:id="131" w:name="_Toc93425253"/>
      <w:bookmarkEnd w:id="127"/>
      <w:bookmarkEnd w:id="128"/>
      <w:r w:rsidRPr="00073574">
        <w:rPr>
          <w:sz w:val="24"/>
          <w:szCs w:val="24"/>
          <w:lang w:val="en-GB"/>
        </w:rPr>
        <w:t>Resolution 44 - Bridging the standardization gap between developing and developed countries</w:t>
      </w:r>
      <w:bookmarkEnd w:id="129"/>
      <w:bookmarkEnd w:id="130"/>
      <w:bookmarkEnd w:id="131"/>
    </w:p>
    <w:p w14:paraId="3AB5C1D3" w14:textId="77777777" w:rsidR="00F0236A" w:rsidRPr="00073574" w:rsidRDefault="00F0236A" w:rsidP="00F0236A">
      <w:pPr>
        <w:keepNext/>
        <w:rPr>
          <w:b/>
          <w:bCs/>
          <w:sz w:val="24"/>
        </w:rPr>
      </w:pPr>
      <w:r w:rsidRPr="00073574">
        <w:rPr>
          <w:b/>
          <w:bCs/>
          <w:sz w:val="24"/>
        </w:rPr>
        <w:t>Resolution 44</w:t>
      </w:r>
    </w:p>
    <w:p w14:paraId="69D98681" w14:textId="77777777" w:rsidR="00F0236A" w:rsidRPr="00073574" w:rsidRDefault="00F0236A" w:rsidP="00F0236A">
      <w:pPr>
        <w:pStyle w:val="Call"/>
        <w:rPr>
          <w:sz w:val="24"/>
          <w:szCs w:val="24"/>
          <w:lang w:val="en-GB"/>
        </w:rPr>
      </w:pPr>
      <w:r w:rsidRPr="00073574">
        <w:rPr>
          <w:sz w:val="24"/>
          <w:szCs w:val="24"/>
          <w:lang w:val="en-GB"/>
        </w:rPr>
        <w:t>resolves</w:t>
      </w:r>
    </w:p>
    <w:p w14:paraId="5909EE4F" w14:textId="77777777" w:rsidR="00F0236A" w:rsidRPr="00073574" w:rsidRDefault="00F0236A" w:rsidP="00F0236A">
      <w:pPr>
        <w:rPr>
          <w:sz w:val="24"/>
        </w:rPr>
      </w:pPr>
      <w:r w:rsidRPr="00073574">
        <w:rPr>
          <w:sz w:val="24"/>
        </w:rPr>
        <w:t>1</w:t>
      </w:r>
      <w:r w:rsidRPr="00073574">
        <w:rPr>
          <w:sz w:val="24"/>
        </w:rPr>
        <w:tab/>
        <w:t>that the action plan annexed to this resolution, having the objective of bridging the standardization gap between developed and developing countries, should be continued and be reviewed on an annual basis to take into account the requirements of developing countries;</w:t>
      </w:r>
    </w:p>
    <w:p w14:paraId="6D0838AB" w14:textId="77777777" w:rsidR="00F0236A" w:rsidRPr="00073574" w:rsidRDefault="00F0236A" w:rsidP="00F0236A">
      <w:pPr>
        <w:rPr>
          <w:sz w:val="24"/>
        </w:rPr>
      </w:pPr>
      <w:r w:rsidRPr="00073574">
        <w:rPr>
          <w:sz w:val="24"/>
        </w:rPr>
        <w:t>2</w:t>
      </w:r>
      <w:r w:rsidRPr="00073574">
        <w:rPr>
          <w:sz w:val="24"/>
        </w:rPr>
        <w:tab/>
        <w:t>that ITU-T, in collaboration with the other Sectors, especially the ITU Telecommunication Development Sector (ITU</w:t>
      </w:r>
      <w:r w:rsidRPr="00073574">
        <w:rPr>
          <w:sz w:val="24"/>
        </w:rPr>
        <w:noBreakHyphen/>
        <w:t>D), as appropriate, shall develop a programme to:</w:t>
      </w:r>
    </w:p>
    <w:p w14:paraId="6F72EE81" w14:textId="77777777" w:rsidR="00F0236A" w:rsidRPr="00073574" w:rsidRDefault="00F0236A" w:rsidP="00F0236A">
      <w:pPr>
        <w:pStyle w:val="enumlev10"/>
        <w:rPr>
          <w:sz w:val="24"/>
          <w:szCs w:val="24"/>
        </w:rPr>
      </w:pPr>
      <w:r w:rsidRPr="00073574">
        <w:rPr>
          <w:sz w:val="24"/>
          <w:szCs w:val="24"/>
        </w:rPr>
        <w:t>i)</w:t>
      </w:r>
      <w:r w:rsidRPr="00073574">
        <w:rPr>
          <w:sz w:val="24"/>
          <w:szCs w:val="24"/>
        </w:rPr>
        <w:tab/>
        <w:t>assist developing countries in developing strategies and methods that facilitate the process of linking innovations to the standardization process;</w:t>
      </w:r>
    </w:p>
    <w:p w14:paraId="2734CAC5" w14:textId="77777777" w:rsidR="00F0236A" w:rsidRPr="00073574" w:rsidRDefault="00F0236A" w:rsidP="00F0236A">
      <w:pPr>
        <w:pStyle w:val="enumlev10"/>
        <w:rPr>
          <w:sz w:val="24"/>
          <w:szCs w:val="24"/>
        </w:rPr>
      </w:pPr>
      <w:r w:rsidRPr="00073574">
        <w:rPr>
          <w:sz w:val="24"/>
          <w:szCs w:val="24"/>
        </w:rPr>
        <w:t>ii)</w:t>
      </w:r>
      <w:r w:rsidRPr="00073574">
        <w:rPr>
          <w:sz w:val="24"/>
          <w:szCs w:val="24"/>
        </w:rPr>
        <w:tab/>
        <w:t>assist developing countries in developing means to align their national industrial and innovation strategies towards the goal of achieving highest impact on their socio-economic ecosystems;</w:t>
      </w:r>
    </w:p>
    <w:p w14:paraId="2F539D71" w14:textId="77777777" w:rsidR="00F0236A" w:rsidRPr="00073574" w:rsidRDefault="00F0236A" w:rsidP="00F0236A">
      <w:pPr>
        <w:pStyle w:val="enumlev10"/>
        <w:jc w:val="left"/>
        <w:rPr>
          <w:sz w:val="24"/>
          <w:szCs w:val="24"/>
        </w:rPr>
      </w:pPr>
      <w:r w:rsidRPr="00073574">
        <w:rPr>
          <w:sz w:val="24"/>
          <w:szCs w:val="24"/>
        </w:rPr>
        <w:t>iii)</w:t>
      </w:r>
      <w:r w:rsidRPr="00073574">
        <w:rPr>
          <w:sz w:val="24"/>
          <w:szCs w:val="24"/>
        </w:rPr>
        <w:tab/>
        <w:t>assist developing countries on developing strategies in establishing national/international test laboratories for emerging technologies;</w:t>
      </w:r>
    </w:p>
    <w:p w14:paraId="35CBC288" w14:textId="77777777" w:rsidR="00F0236A" w:rsidRPr="00073574" w:rsidRDefault="00F0236A" w:rsidP="00F0236A">
      <w:pPr>
        <w:rPr>
          <w:sz w:val="24"/>
        </w:rPr>
      </w:pPr>
      <w:r w:rsidRPr="00073574">
        <w:rPr>
          <w:sz w:val="24"/>
        </w:rPr>
        <w:t>3</w:t>
      </w:r>
      <w:r w:rsidRPr="00073574">
        <w:rPr>
          <w:sz w:val="24"/>
        </w:rPr>
        <w:tab/>
        <w:t>that, subject to Council approval, there should be free online access to the manuals, handbooks, directives and other ITU material related to understanding and implementation of ITU</w:t>
      </w:r>
      <w:r w:rsidRPr="00073574">
        <w:rPr>
          <w:sz w:val="24"/>
        </w:rPr>
        <w:noBreakHyphen/>
        <w:t>T Recommendations, particularly in the area of developing planning, operation and maintenance of telecommunication equipment and networks;</w:t>
      </w:r>
    </w:p>
    <w:p w14:paraId="64F2A403" w14:textId="77777777" w:rsidR="00F0236A" w:rsidRPr="00073574" w:rsidRDefault="00F0236A" w:rsidP="00F0236A">
      <w:pPr>
        <w:rPr>
          <w:sz w:val="24"/>
        </w:rPr>
      </w:pPr>
      <w:r w:rsidRPr="00073574">
        <w:rPr>
          <w:sz w:val="24"/>
        </w:rPr>
        <w:t>4</w:t>
      </w:r>
      <w:r w:rsidRPr="00073574">
        <w:rPr>
          <w:sz w:val="24"/>
        </w:rPr>
        <w:tab/>
        <w:t>to support, within available or otherwise contributed resources, and on a case-by-case basis, the coordinated creation of regional groups of ITU-T study groups, and encourage cooperation and collaboration of these groups with other regional standardization entities;</w:t>
      </w:r>
    </w:p>
    <w:p w14:paraId="4B8AE14E" w14:textId="6AB26E34" w:rsidR="00F0236A" w:rsidRPr="00073574" w:rsidRDefault="00F0236A" w:rsidP="00F0236A">
      <w:pPr>
        <w:rPr>
          <w:sz w:val="24"/>
        </w:rPr>
      </w:pPr>
      <w:r w:rsidRPr="00073574">
        <w:rPr>
          <w:sz w:val="24"/>
        </w:rPr>
        <w:t>5</w:t>
      </w:r>
      <w:r w:rsidRPr="00073574">
        <w:rPr>
          <w:sz w:val="24"/>
        </w:rPr>
        <w:tab/>
        <w:t>to maintain in the annual budget of the Union a separate expenditure line item for bridging the standardization gap activities, while at the same time voluntary contributions s</w:t>
      </w:r>
      <w:r w:rsidR="00E31596" w:rsidRPr="00073574">
        <w:rPr>
          <w:sz w:val="24"/>
        </w:rPr>
        <w:t>hould be further encouraged;</w:t>
      </w:r>
    </w:p>
    <w:p w14:paraId="29F23B7D" w14:textId="77777777" w:rsidR="00F0236A" w:rsidRPr="00073574" w:rsidRDefault="00F0236A" w:rsidP="00F0236A">
      <w:pPr>
        <w:rPr>
          <w:sz w:val="24"/>
        </w:rPr>
      </w:pPr>
      <w:r w:rsidRPr="00073574">
        <w:rPr>
          <w:sz w:val="24"/>
        </w:rPr>
        <w:t>6</w:t>
      </w:r>
      <w:r w:rsidRPr="00073574">
        <w:rPr>
          <w:sz w:val="24"/>
        </w:rPr>
        <w:tab/>
        <w:t>that interpretation shall be provided, based on the requests of participants, at all study group and working party plenary meetings and the entire meeting of TSAG,</w:t>
      </w:r>
    </w:p>
    <w:p w14:paraId="4CE0EF32" w14:textId="77777777" w:rsidR="00F0236A" w:rsidRPr="00073574" w:rsidRDefault="00F0236A" w:rsidP="00F0236A">
      <w:pPr>
        <w:pStyle w:val="Call"/>
        <w:rPr>
          <w:sz w:val="24"/>
          <w:szCs w:val="24"/>
          <w:lang w:val="en-GB"/>
        </w:rPr>
      </w:pPr>
      <w:r w:rsidRPr="00073574">
        <w:rPr>
          <w:sz w:val="24"/>
          <w:szCs w:val="24"/>
          <w:lang w:val="en-GB"/>
        </w:rPr>
        <w:lastRenderedPageBreak/>
        <w:t>further resolves that ITU regional offices</w:t>
      </w:r>
    </w:p>
    <w:p w14:paraId="6C452143" w14:textId="77777777" w:rsidR="00F0236A" w:rsidRPr="00073574" w:rsidRDefault="00F0236A" w:rsidP="00F0236A">
      <w:pPr>
        <w:rPr>
          <w:sz w:val="24"/>
        </w:rPr>
      </w:pPr>
      <w:r w:rsidRPr="00073574">
        <w:rPr>
          <w:sz w:val="24"/>
        </w:rPr>
        <w:t>1</w:t>
      </w:r>
      <w:r w:rsidRPr="00073574">
        <w:rPr>
          <w:sz w:val="24"/>
        </w:rPr>
        <w:tab/>
        <w:t>be engaged in the activities of TSB in order to promote and coordinate standardization activities in their regions so as to support the implementation of the relevant parts of this resolution and carry out the objectives of the action plan, launch campaigns to attract new Sector Members, Associates and academia from developing countries to join ITU-T, and provide the necessary assistance to the regional groups of ITU</w:t>
      </w:r>
      <w:r w:rsidRPr="00073574">
        <w:rPr>
          <w:sz w:val="24"/>
        </w:rPr>
        <w:noBreakHyphen/>
        <w:t>T study groups;</w:t>
      </w:r>
    </w:p>
    <w:p w14:paraId="3319E7D9" w14:textId="7D902C53" w:rsidR="00F0236A" w:rsidRPr="00073574" w:rsidRDefault="00F0236A" w:rsidP="00F0236A">
      <w:pPr>
        <w:rPr>
          <w:sz w:val="24"/>
        </w:rPr>
      </w:pPr>
      <w:r w:rsidRPr="00073574">
        <w:rPr>
          <w:sz w:val="24"/>
        </w:rPr>
        <w:t>2</w:t>
      </w:r>
      <w:r w:rsidRPr="00073574">
        <w:rPr>
          <w:sz w:val="24"/>
        </w:rPr>
        <w:tab/>
        <w:t>assist, within the offices</w:t>
      </w:r>
      <w:r w:rsidR="003C7E25" w:rsidRPr="00073574">
        <w:rPr>
          <w:sz w:val="24"/>
        </w:rPr>
        <w:t>'</w:t>
      </w:r>
      <w:r w:rsidRPr="00073574">
        <w:rPr>
          <w:sz w:val="24"/>
        </w:rPr>
        <w:t xml:space="preserve"> budgets, the vice-chairmen appointed with specific responsibilities, including, among others, the following:</w:t>
      </w:r>
    </w:p>
    <w:p w14:paraId="03E047E0" w14:textId="77777777" w:rsidR="00F0236A" w:rsidRPr="00073574" w:rsidRDefault="00F0236A" w:rsidP="00F0236A">
      <w:pPr>
        <w:pStyle w:val="enumlev10"/>
        <w:rPr>
          <w:sz w:val="24"/>
          <w:szCs w:val="24"/>
        </w:rPr>
      </w:pPr>
      <w:r w:rsidRPr="00073574">
        <w:rPr>
          <w:sz w:val="24"/>
          <w:szCs w:val="24"/>
        </w:rPr>
        <w:t>i)</w:t>
      </w:r>
      <w:r w:rsidRPr="00073574">
        <w:rPr>
          <w:sz w:val="24"/>
          <w:szCs w:val="24"/>
        </w:rPr>
        <w:tab/>
        <w:t>closely work with ITU members in the region in order to mobilize them to participate in ITU standardization activities to assist in bridging the standardization gap;</w:t>
      </w:r>
    </w:p>
    <w:p w14:paraId="4E322042" w14:textId="77777777" w:rsidR="00F0236A" w:rsidRPr="00073574" w:rsidRDefault="00F0236A" w:rsidP="00F0236A">
      <w:pPr>
        <w:pStyle w:val="enumlev10"/>
        <w:rPr>
          <w:sz w:val="24"/>
          <w:szCs w:val="24"/>
        </w:rPr>
      </w:pPr>
      <w:r w:rsidRPr="00073574">
        <w:rPr>
          <w:sz w:val="24"/>
          <w:szCs w:val="24"/>
        </w:rPr>
        <w:t>ii)</w:t>
      </w:r>
      <w:r w:rsidRPr="00073574">
        <w:rPr>
          <w:sz w:val="24"/>
          <w:szCs w:val="24"/>
        </w:rPr>
        <w:tab/>
        <w:t>make mobilization and participation reports to the ITU body concerning the region;</w:t>
      </w:r>
    </w:p>
    <w:p w14:paraId="740C738B" w14:textId="77777777" w:rsidR="00F0236A" w:rsidRPr="00073574" w:rsidRDefault="00F0236A" w:rsidP="00F0236A">
      <w:pPr>
        <w:pStyle w:val="enumlev10"/>
        <w:rPr>
          <w:sz w:val="24"/>
          <w:szCs w:val="24"/>
        </w:rPr>
      </w:pPr>
      <w:r w:rsidRPr="00073574">
        <w:rPr>
          <w:sz w:val="24"/>
          <w:szCs w:val="24"/>
        </w:rPr>
        <w:t>iii)</w:t>
      </w:r>
      <w:r w:rsidRPr="00073574">
        <w:rPr>
          <w:sz w:val="24"/>
          <w:szCs w:val="24"/>
        </w:rPr>
        <w:tab/>
        <w:t>prepare and submit a mobilization programme for the regions that they represent at the first meeting of TSAG or a study group and send a report to TSAG;</w:t>
      </w:r>
    </w:p>
    <w:p w14:paraId="1CB98718" w14:textId="77777777" w:rsidR="00F0236A" w:rsidRPr="00073574" w:rsidRDefault="00F0236A" w:rsidP="00F0236A">
      <w:pPr>
        <w:pStyle w:val="enumlev10"/>
        <w:rPr>
          <w:sz w:val="24"/>
          <w:szCs w:val="24"/>
        </w:rPr>
      </w:pPr>
      <w:r w:rsidRPr="00073574">
        <w:rPr>
          <w:sz w:val="24"/>
          <w:szCs w:val="24"/>
        </w:rPr>
        <w:t>iv)</w:t>
      </w:r>
      <w:r w:rsidRPr="00073574">
        <w:rPr>
          <w:sz w:val="24"/>
          <w:szCs w:val="24"/>
        </w:rPr>
        <w:tab/>
        <w:t>inform ITU members of programmes and initiatives within ITU-D that could assist in bridging the standardization gap;</w:t>
      </w:r>
    </w:p>
    <w:p w14:paraId="14807744" w14:textId="77777777" w:rsidR="00F0236A" w:rsidRPr="00073574" w:rsidRDefault="00F0236A" w:rsidP="00F0236A">
      <w:pPr>
        <w:rPr>
          <w:sz w:val="24"/>
        </w:rPr>
      </w:pPr>
      <w:r w:rsidRPr="00073574">
        <w:rPr>
          <w:sz w:val="24"/>
        </w:rPr>
        <w:t>3</w:t>
      </w:r>
      <w:r w:rsidRPr="00073574">
        <w:rPr>
          <w:sz w:val="24"/>
        </w:rPr>
        <w:tab/>
        <w:t>organize and coordinate the activities of the regional groups of ITU-T study groups,</w:t>
      </w:r>
    </w:p>
    <w:p w14:paraId="1F6C337D" w14:textId="77777777" w:rsidR="00F0236A" w:rsidRPr="00073574" w:rsidRDefault="00F0236A" w:rsidP="00F0236A">
      <w:pPr>
        <w:pStyle w:val="Call"/>
        <w:rPr>
          <w:sz w:val="24"/>
          <w:szCs w:val="24"/>
          <w:lang w:val="en-GB"/>
        </w:rPr>
      </w:pPr>
      <w:r w:rsidRPr="00073574">
        <w:rPr>
          <w:sz w:val="24"/>
          <w:szCs w:val="24"/>
          <w:lang w:val="en-GB"/>
        </w:rPr>
        <w:t>invites the Council</w:t>
      </w:r>
    </w:p>
    <w:p w14:paraId="14FFF657" w14:textId="77777777" w:rsidR="00F0236A" w:rsidRPr="00073574" w:rsidRDefault="00F0236A" w:rsidP="00F0236A">
      <w:pPr>
        <w:rPr>
          <w:sz w:val="24"/>
        </w:rPr>
      </w:pPr>
      <w:r w:rsidRPr="00073574">
        <w:rPr>
          <w:sz w:val="24"/>
        </w:rPr>
        <w:t>1</w:t>
      </w:r>
      <w:r w:rsidRPr="00073574">
        <w:rPr>
          <w:sz w:val="24"/>
        </w:rPr>
        <w:tab/>
        <w:t xml:space="preserve">in view of the above </w:t>
      </w:r>
      <w:r w:rsidRPr="00073574">
        <w:rPr>
          <w:i/>
          <w:iCs/>
          <w:sz w:val="24"/>
        </w:rPr>
        <w:t>resolves</w:t>
      </w:r>
      <w:r w:rsidRPr="00073574">
        <w:rPr>
          <w:sz w:val="24"/>
        </w:rPr>
        <w:t xml:space="preserve">, in particular </w:t>
      </w:r>
      <w:r w:rsidRPr="00073574">
        <w:rPr>
          <w:i/>
          <w:iCs/>
          <w:sz w:val="24"/>
        </w:rPr>
        <w:t>resolves </w:t>
      </w:r>
      <w:r w:rsidRPr="00073574">
        <w:rPr>
          <w:sz w:val="24"/>
        </w:rPr>
        <w:t>6, to increase the ITU-T budgetary provisions for fellowships, interpretation and translation of documents for meetings of TSAG, ITU-T study groups and regional groups of ITU-T study groups,</w:t>
      </w:r>
    </w:p>
    <w:p w14:paraId="3A9A165D" w14:textId="77777777" w:rsidR="00F0236A" w:rsidRPr="00073574" w:rsidRDefault="00F0236A" w:rsidP="00F0236A">
      <w:pPr>
        <w:pStyle w:val="Call"/>
        <w:rPr>
          <w:sz w:val="24"/>
          <w:szCs w:val="24"/>
          <w:lang w:val="en-GB"/>
        </w:rPr>
      </w:pPr>
      <w:r w:rsidRPr="00073574">
        <w:rPr>
          <w:sz w:val="24"/>
          <w:szCs w:val="24"/>
          <w:lang w:val="en-GB"/>
        </w:rPr>
        <w:t>instructs the Director of the Telecommunication Standardization Bureau, in collaboration with the Directors of the Radiocommunication Bureau and the Telecommunication Development Bureau</w:t>
      </w:r>
    </w:p>
    <w:p w14:paraId="4458AE73" w14:textId="77777777" w:rsidR="00F0236A" w:rsidRPr="00073574" w:rsidRDefault="00F0236A" w:rsidP="00F0236A">
      <w:pPr>
        <w:rPr>
          <w:sz w:val="24"/>
        </w:rPr>
      </w:pPr>
      <w:r w:rsidRPr="00073574">
        <w:rPr>
          <w:sz w:val="24"/>
        </w:rPr>
        <w:t>within available resources</w:t>
      </w:r>
    </w:p>
    <w:p w14:paraId="19294241" w14:textId="77777777" w:rsidR="00F0236A" w:rsidRPr="00073574" w:rsidRDefault="00F0236A" w:rsidP="00F0236A">
      <w:pPr>
        <w:rPr>
          <w:sz w:val="24"/>
        </w:rPr>
      </w:pPr>
      <w:r w:rsidRPr="00073574">
        <w:rPr>
          <w:sz w:val="24"/>
        </w:rPr>
        <w:t>1</w:t>
      </w:r>
      <w:r w:rsidRPr="00073574">
        <w:rPr>
          <w:sz w:val="24"/>
        </w:rPr>
        <w:tab/>
        <w:t>to continue implementing the objectives of the action plan annexed to this resolution;</w:t>
      </w:r>
    </w:p>
    <w:p w14:paraId="5EDF6E3C" w14:textId="77777777" w:rsidR="00F0236A" w:rsidRPr="00073574" w:rsidRDefault="00F0236A" w:rsidP="00F0236A">
      <w:pPr>
        <w:rPr>
          <w:sz w:val="24"/>
        </w:rPr>
      </w:pPr>
      <w:r w:rsidRPr="00073574">
        <w:rPr>
          <w:sz w:val="24"/>
        </w:rPr>
        <w:t>2</w:t>
      </w:r>
      <w:r w:rsidRPr="00073574">
        <w:rPr>
          <w:sz w:val="24"/>
        </w:rPr>
        <w:tab/>
        <w:t>to encourage the formation of partnerships under the patronage of ITU</w:t>
      </w:r>
      <w:r w:rsidRPr="00073574">
        <w:rPr>
          <w:sz w:val="24"/>
        </w:rPr>
        <w:noBreakHyphen/>
        <w:t>T as one of the means for financing and implementing the objectives of the action plan annexed to this resolution;</w:t>
      </w:r>
    </w:p>
    <w:p w14:paraId="3C94DD99" w14:textId="77777777" w:rsidR="00F0236A" w:rsidRPr="00073574" w:rsidRDefault="00F0236A" w:rsidP="00F0236A">
      <w:pPr>
        <w:rPr>
          <w:sz w:val="24"/>
        </w:rPr>
      </w:pPr>
      <w:r w:rsidRPr="00073574">
        <w:rPr>
          <w:sz w:val="24"/>
        </w:rPr>
        <w:t>3</w:t>
      </w:r>
      <w:r w:rsidRPr="00073574">
        <w:rPr>
          <w:sz w:val="24"/>
        </w:rPr>
        <w:tab/>
        <w:t>to consider, whenever possible, holding workshops concurrently with meetings of the ITU</w:t>
      </w:r>
      <w:r w:rsidRPr="00073574">
        <w:rPr>
          <w:sz w:val="24"/>
        </w:rPr>
        <w:noBreakHyphen/>
        <w:t>T regional groups, in coordination and collaboration with the Director of BDT;</w:t>
      </w:r>
    </w:p>
    <w:p w14:paraId="3605FC57" w14:textId="77777777" w:rsidR="00F0236A" w:rsidRPr="00073574" w:rsidRDefault="00F0236A" w:rsidP="00F0236A">
      <w:pPr>
        <w:rPr>
          <w:sz w:val="24"/>
        </w:rPr>
      </w:pPr>
      <w:r w:rsidRPr="00073574">
        <w:rPr>
          <w:sz w:val="24"/>
        </w:rPr>
        <w:t>4</w:t>
      </w:r>
      <w:r w:rsidRPr="00073574">
        <w:rPr>
          <w:sz w:val="24"/>
        </w:rPr>
        <w:tab/>
        <w:t>to assist developing countries with their studies, particularly in respect of their priority questions and towards developing and implementing ITU-T Recommendations;</w:t>
      </w:r>
    </w:p>
    <w:p w14:paraId="1EAE7391" w14:textId="77777777" w:rsidR="00F0236A" w:rsidRPr="00073574" w:rsidRDefault="00F0236A" w:rsidP="00F0236A">
      <w:pPr>
        <w:rPr>
          <w:sz w:val="24"/>
        </w:rPr>
      </w:pPr>
      <w:r w:rsidRPr="00073574">
        <w:rPr>
          <w:sz w:val="24"/>
        </w:rPr>
        <w:t>5</w:t>
      </w:r>
      <w:r w:rsidRPr="00073574">
        <w:rPr>
          <w:sz w:val="24"/>
        </w:rPr>
        <w:tab/>
        <w:t>to continue the activities of the implementation group established within TSB to organize, mobilize resources, coordinate efforts and monitor work related to this resolution and the associated action plan;</w:t>
      </w:r>
    </w:p>
    <w:p w14:paraId="259452FA" w14:textId="77777777" w:rsidR="00F0236A" w:rsidRPr="00073574" w:rsidRDefault="00F0236A" w:rsidP="00F0236A">
      <w:pPr>
        <w:rPr>
          <w:sz w:val="24"/>
        </w:rPr>
      </w:pPr>
      <w:r w:rsidRPr="00073574">
        <w:rPr>
          <w:sz w:val="24"/>
        </w:rPr>
        <w:t>6</w:t>
      </w:r>
      <w:r w:rsidRPr="00073574">
        <w:rPr>
          <w:sz w:val="24"/>
        </w:rPr>
        <w:tab/>
        <w:t>to carry out the necessary studies on the role of innovation management and innovation stimulation programmes on bridging the standardization gap between the developed and developing countries;</w:t>
      </w:r>
    </w:p>
    <w:p w14:paraId="463FF75E" w14:textId="77777777" w:rsidR="00F0236A" w:rsidRPr="00073574" w:rsidRDefault="00F0236A" w:rsidP="00F0236A">
      <w:pPr>
        <w:rPr>
          <w:sz w:val="24"/>
        </w:rPr>
      </w:pPr>
      <w:r w:rsidRPr="00073574">
        <w:rPr>
          <w:sz w:val="24"/>
        </w:rPr>
        <w:t>7</w:t>
      </w:r>
      <w:r w:rsidRPr="00073574">
        <w:rPr>
          <w:sz w:val="24"/>
        </w:rPr>
        <w:tab/>
        <w:t>to include in the TSB budget proposal to the Council funds identified for the implementation of this resolution, taking into account financial constraints and existing and planned BDT activities;</w:t>
      </w:r>
    </w:p>
    <w:p w14:paraId="1F01B3FB" w14:textId="77777777" w:rsidR="00F0236A" w:rsidRPr="00073574" w:rsidRDefault="00F0236A" w:rsidP="00F0236A">
      <w:pPr>
        <w:rPr>
          <w:sz w:val="24"/>
        </w:rPr>
      </w:pPr>
      <w:r w:rsidRPr="00073574">
        <w:rPr>
          <w:sz w:val="24"/>
        </w:rPr>
        <w:t>8</w:t>
      </w:r>
      <w:r w:rsidRPr="00073574">
        <w:rPr>
          <w:sz w:val="24"/>
        </w:rPr>
        <w:tab/>
        <w:t xml:space="preserve">to report on the implementation of this plan to future world telecommunication standardization assemblies and plenipotentiary conferences, with a view to reviewing this </w:t>
      </w:r>
      <w:r w:rsidRPr="00073574">
        <w:rPr>
          <w:sz w:val="24"/>
        </w:rPr>
        <w:lastRenderedPageBreak/>
        <w:t>resolution and introducing the appropriate amendments in the light of implementation outcomes, as well as the budgetary adjustments needed;</w:t>
      </w:r>
    </w:p>
    <w:p w14:paraId="1F626E11" w14:textId="77777777" w:rsidR="00F0236A" w:rsidRPr="00073574" w:rsidRDefault="00F0236A" w:rsidP="00F0236A">
      <w:pPr>
        <w:rPr>
          <w:sz w:val="24"/>
        </w:rPr>
      </w:pPr>
      <w:r w:rsidRPr="00073574">
        <w:rPr>
          <w:sz w:val="24"/>
        </w:rPr>
        <w:t>9</w:t>
      </w:r>
      <w:r w:rsidRPr="00073574">
        <w:rPr>
          <w:sz w:val="24"/>
        </w:rPr>
        <w:tab/>
        <w:t>to provide support and assistance to developing countries, if requested, in drafting/developing a set of guidelines on the application of ITU</w:t>
      </w:r>
      <w:r w:rsidRPr="00073574">
        <w:rPr>
          <w:sz w:val="24"/>
        </w:rPr>
        <w:noBreakHyphen/>
        <w:t>T Recommendations at the national level in order to enhance their participation in ITU-T study groups, with the assistance of the ITU regional offices, for bridging the standardization gap;</w:t>
      </w:r>
    </w:p>
    <w:p w14:paraId="1E253966" w14:textId="77777777" w:rsidR="00F0236A" w:rsidRPr="00073574" w:rsidRDefault="00F0236A" w:rsidP="00F0236A">
      <w:pPr>
        <w:rPr>
          <w:sz w:val="24"/>
        </w:rPr>
      </w:pPr>
      <w:r w:rsidRPr="00073574">
        <w:rPr>
          <w:sz w:val="24"/>
        </w:rPr>
        <w:t>10</w:t>
      </w:r>
      <w:r w:rsidRPr="00073574">
        <w:rPr>
          <w:sz w:val="24"/>
        </w:rPr>
        <w:tab/>
        <w:t>to enhance the use of electronic channels such as webinars or e-learning for education and training on the implementation of ITU-T Recommendations;</w:t>
      </w:r>
    </w:p>
    <w:p w14:paraId="1517D2E0" w14:textId="77777777" w:rsidR="00F0236A" w:rsidRPr="00073574" w:rsidRDefault="00F0236A" w:rsidP="00F0236A">
      <w:pPr>
        <w:rPr>
          <w:sz w:val="24"/>
        </w:rPr>
      </w:pPr>
      <w:r w:rsidRPr="00073574">
        <w:rPr>
          <w:sz w:val="24"/>
        </w:rPr>
        <w:t>11</w:t>
      </w:r>
      <w:r w:rsidRPr="00073574">
        <w:rPr>
          <w:sz w:val="24"/>
        </w:rPr>
        <w:tab/>
        <w:t>to provide support and all necessary measures for creating and ensuring the smooth functioning of the regional groups and to facilitate the organization of regional group meetings and workshops for disseminating information and increasing understanding of new Recommendations, in particular for developing countries;</w:t>
      </w:r>
    </w:p>
    <w:p w14:paraId="4E01A687" w14:textId="77777777" w:rsidR="00F0236A" w:rsidRPr="00073574" w:rsidRDefault="00F0236A" w:rsidP="00F0236A">
      <w:pPr>
        <w:rPr>
          <w:sz w:val="24"/>
        </w:rPr>
      </w:pPr>
      <w:r w:rsidRPr="00073574">
        <w:rPr>
          <w:sz w:val="24"/>
        </w:rPr>
        <w:t>12</w:t>
      </w:r>
      <w:r w:rsidRPr="00073574">
        <w:rPr>
          <w:sz w:val="24"/>
        </w:rPr>
        <w:tab/>
        <w:t>to report on the effectiveness of the regional groups to the Council;</w:t>
      </w:r>
    </w:p>
    <w:p w14:paraId="305E6A00" w14:textId="77777777" w:rsidR="00F0236A" w:rsidRPr="00073574" w:rsidRDefault="00F0236A" w:rsidP="00F0236A">
      <w:pPr>
        <w:rPr>
          <w:sz w:val="24"/>
        </w:rPr>
      </w:pPr>
      <w:r w:rsidRPr="00073574">
        <w:rPr>
          <w:sz w:val="24"/>
        </w:rPr>
        <w:t>13</w:t>
      </w:r>
      <w:r w:rsidRPr="00073574">
        <w:rPr>
          <w:sz w:val="24"/>
        </w:rPr>
        <w:tab/>
        <w:t>to conduct workshops and seminars, as appropriate, for disseminating information and increasing understanding of new Recommendations and implementation guidelines for Recommendations, in particular for developing countries;</w:t>
      </w:r>
    </w:p>
    <w:p w14:paraId="31155D7D" w14:textId="77777777" w:rsidR="00F0236A" w:rsidRPr="00073574" w:rsidRDefault="00F0236A" w:rsidP="00F0236A">
      <w:pPr>
        <w:rPr>
          <w:sz w:val="24"/>
        </w:rPr>
      </w:pPr>
      <w:r w:rsidRPr="00073574">
        <w:rPr>
          <w:sz w:val="24"/>
        </w:rPr>
        <w:t>14</w:t>
      </w:r>
      <w:r w:rsidRPr="00073574">
        <w:rPr>
          <w:sz w:val="24"/>
        </w:rPr>
        <w:tab/>
        <w:t>to provide remote participation, where possible, for more ITU</w:t>
      </w:r>
      <w:r w:rsidRPr="00073574">
        <w:rPr>
          <w:sz w:val="24"/>
        </w:rPr>
        <w:noBreakHyphen/>
        <w:t>T workshops, seminars and forums, encouraging greater participation by developing countries;</w:t>
      </w:r>
    </w:p>
    <w:p w14:paraId="1BB055EF" w14:textId="11CC91A8" w:rsidR="00F0236A" w:rsidRPr="00073574" w:rsidRDefault="00F0236A" w:rsidP="00F0236A">
      <w:pPr>
        <w:rPr>
          <w:sz w:val="24"/>
        </w:rPr>
      </w:pPr>
      <w:r w:rsidRPr="00073574">
        <w:rPr>
          <w:sz w:val="24"/>
        </w:rPr>
        <w:t>15</w:t>
      </w:r>
      <w:r w:rsidRPr="00073574">
        <w:rPr>
          <w:sz w:val="24"/>
        </w:rPr>
        <w:tab/>
        <w:t>to leverage existing ITU</w:t>
      </w:r>
      <w:r w:rsidRPr="00073574">
        <w:rPr>
          <w:sz w:val="24"/>
        </w:rPr>
        <w:noBreakHyphen/>
        <w:t>D platforms, such as the Global Innovation Platform, in order for developing countries to have greater involvement in ITU</w:t>
      </w:r>
      <w:r w:rsidRPr="00073574">
        <w:rPr>
          <w:sz w:val="24"/>
        </w:rPr>
        <w:noBreakHyphen/>
        <w:t>T</w:t>
      </w:r>
      <w:r w:rsidR="003C7E25" w:rsidRPr="00073574">
        <w:rPr>
          <w:sz w:val="24"/>
        </w:rPr>
        <w:t>'</w:t>
      </w:r>
      <w:r w:rsidRPr="00073574">
        <w:rPr>
          <w:sz w:val="24"/>
        </w:rPr>
        <w:t>s standardization work;</w:t>
      </w:r>
    </w:p>
    <w:p w14:paraId="56DD7D47" w14:textId="77777777" w:rsidR="00F0236A" w:rsidRPr="00073574" w:rsidRDefault="00F0236A" w:rsidP="00F0236A">
      <w:pPr>
        <w:rPr>
          <w:sz w:val="24"/>
        </w:rPr>
      </w:pPr>
      <w:r w:rsidRPr="00073574">
        <w:rPr>
          <w:sz w:val="24"/>
        </w:rPr>
        <w:t>16</w:t>
      </w:r>
      <w:r w:rsidRPr="00073574">
        <w:rPr>
          <w:sz w:val="24"/>
        </w:rPr>
        <w:tab/>
        <w:t>to study the possibility of generating additional revenue for ITU</w:t>
      </w:r>
      <w:r w:rsidRPr="00073574">
        <w:rPr>
          <w:sz w:val="24"/>
        </w:rPr>
        <w:noBreakHyphen/>
        <w:t>T activities on bridging the standardization gap, through identifying new financial resources not related to the voluntary contributions mentioned above,</w:t>
      </w:r>
    </w:p>
    <w:p w14:paraId="0A1BE344" w14:textId="77777777" w:rsidR="00F0236A" w:rsidRPr="00073574" w:rsidRDefault="00F0236A" w:rsidP="00F0236A">
      <w:pPr>
        <w:pStyle w:val="Call"/>
        <w:rPr>
          <w:sz w:val="24"/>
          <w:szCs w:val="24"/>
          <w:lang w:val="en-GB"/>
        </w:rPr>
      </w:pPr>
      <w:r w:rsidRPr="00073574">
        <w:rPr>
          <w:sz w:val="24"/>
          <w:szCs w:val="24"/>
          <w:lang w:val="en-GB"/>
        </w:rPr>
        <w:t>instructs study groups of the ITU Telecommunication Standardization Sector and the Telecommunication Standardization Advisory Group</w:t>
      </w:r>
    </w:p>
    <w:p w14:paraId="6AEA4C57" w14:textId="77777777" w:rsidR="00F0236A" w:rsidRPr="00073574" w:rsidRDefault="00F0236A" w:rsidP="00F0236A">
      <w:pPr>
        <w:rPr>
          <w:sz w:val="24"/>
        </w:rPr>
      </w:pPr>
      <w:r w:rsidRPr="00073574">
        <w:rPr>
          <w:sz w:val="24"/>
        </w:rPr>
        <w:t>1</w:t>
      </w:r>
      <w:r w:rsidRPr="00073574">
        <w:rPr>
          <w:sz w:val="24"/>
        </w:rPr>
        <w:tab/>
        <w:t>to be actively involved in the implementation of the programmes set forth in the action plan annexed to this resolution;</w:t>
      </w:r>
    </w:p>
    <w:p w14:paraId="397F9EFD" w14:textId="77777777" w:rsidR="00F0236A" w:rsidRPr="00073574" w:rsidRDefault="00F0236A" w:rsidP="00F0236A">
      <w:pPr>
        <w:rPr>
          <w:sz w:val="24"/>
        </w:rPr>
      </w:pPr>
      <w:r w:rsidRPr="00073574">
        <w:rPr>
          <w:sz w:val="24"/>
        </w:rPr>
        <w:t>2</w:t>
      </w:r>
      <w:r w:rsidRPr="00073574">
        <w:rPr>
          <w:sz w:val="24"/>
        </w:rPr>
        <w:tab/>
        <w:t>to consider including implementation guidelines for ITU</w:t>
      </w:r>
      <w:r w:rsidRPr="00073574">
        <w:rPr>
          <w:sz w:val="24"/>
        </w:rPr>
        <w:noBreakHyphen/>
        <w:t>T Recommendations where these could provide advice to assist developing countries in adopting them, with emphasis on Recommendations having regulatory and policy implications;</w:t>
      </w:r>
    </w:p>
    <w:p w14:paraId="700333A3" w14:textId="77777777" w:rsidR="00F0236A" w:rsidRPr="00073574" w:rsidRDefault="00F0236A" w:rsidP="00F0236A">
      <w:pPr>
        <w:rPr>
          <w:sz w:val="24"/>
        </w:rPr>
      </w:pPr>
      <w:r w:rsidRPr="00073574">
        <w:rPr>
          <w:sz w:val="24"/>
        </w:rPr>
        <w:t>3</w:t>
      </w:r>
      <w:r w:rsidRPr="00073574">
        <w:rPr>
          <w:sz w:val="24"/>
        </w:rPr>
        <w:tab/>
        <w:t>to coordinate joint meetings of regional groups of ITU-T study groups,</w:t>
      </w:r>
    </w:p>
    <w:p w14:paraId="45E0EB5A" w14:textId="77777777" w:rsidR="00F0236A" w:rsidRPr="00073574" w:rsidRDefault="00F0236A" w:rsidP="00F0236A">
      <w:pPr>
        <w:pStyle w:val="Call"/>
        <w:rPr>
          <w:sz w:val="24"/>
          <w:szCs w:val="24"/>
          <w:lang w:val="en-GB"/>
        </w:rPr>
      </w:pPr>
      <w:r w:rsidRPr="00073574">
        <w:rPr>
          <w:sz w:val="24"/>
          <w:szCs w:val="24"/>
          <w:lang w:val="en-GB"/>
        </w:rPr>
        <w:t>further instructs the study groups</w:t>
      </w:r>
    </w:p>
    <w:p w14:paraId="60B1AE57" w14:textId="77777777" w:rsidR="00F0236A" w:rsidRPr="00073574" w:rsidRDefault="00F0236A" w:rsidP="00F0236A">
      <w:pPr>
        <w:rPr>
          <w:sz w:val="24"/>
        </w:rPr>
      </w:pPr>
      <w:r w:rsidRPr="00073574">
        <w:rPr>
          <w:sz w:val="24"/>
        </w:rPr>
        <w:t>1</w:t>
      </w:r>
      <w:r w:rsidRPr="00073574">
        <w:rPr>
          <w:sz w:val="24"/>
        </w:rPr>
        <w:tab/>
        <w:t>to take account of the specific characteristics of the telecommunication environment of the developing countries in the process of establishing standards in the fields of planning, services, systems, operation, tariffs and maintenance, and to provide solutions/options relevant to developing countries wherever possible;</w:t>
      </w:r>
    </w:p>
    <w:p w14:paraId="1B7A26DC" w14:textId="77777777" w:rsidR="00F0236A" w:rsidRPr="00073574" w:rsidRDefault="00F0236A" w:rsidP="00F0236A">
      <w:pPr>
        <w:rPr>
          <w:sz w:val="24"/>
        </w:rPr>
      </w:pPr>
      <w:r w:rsidRPr="00073574">
        <w:rPr>
          <w:sz w:val="24"/>
        </w:rPr>
        <w:t>2</w:t>
      </w:r>
      <w:r w:rsidRPr="00073574">
        <w:rPr>
          <w:sz w:val="24"/>
        </w:rPr>
        <w:tab/>
        <w:t>to take appropriate steps to have studies carried out on questions connected with standardization which are identified by WTDCs;</w:t>
      </w:r>
    </w:p>
    <w:p w14:paraId="383184F0" w14:textId="77777777" w:rsidR="00F0236A" w:rsidRPr="00073574" w:rsidRDefault="00F0236A" w:rsidP="00F0236A">
      <w:pPr>
        <w:rPr>
          <w:sz w:val="24"/>
        </w:rPr>
      </w:pPr>
      <w:r w:rsidRPr="00073574">
        <w:rPr>
          <w:sz w:val="24"/>
        </w:rPr>
        <w:t>3</w:t>
      </w:r>
      <w:r w:rsidRPr="00073574">
        <w:rPr>
          <w:sz w:val="24"/>
        </w:rPr>
        <w:tab/>
        <w:t>to continue liaising with ITU</w:t>
      </w:r>
      <w:r w:rsidRPr="00073574">
        <w:rPr>
          <w:sz w:val="24"/>
        </w:rPr>
        <w:noBreakHyphen/>
        <w:t>D study groups, where appropriate, when developing new or revised ITU-T Recommendations, on the specific needs and requirements of developing countries, in order to broaden the appeal and applicability of the Recommendations in those countries;</w:t>
      </w:r>
    </w:p>
    <w:p w14:paraId="5EC5BBCF" w14:textId="77777777" w:rsidR="00F0236A" w:rsidRPr="00073574" w:rsidRDefault="00F0236A" w:rsidP="00F0236A">
      <w:pPr>
        <w:rPr>
          <w:sz w:val="24"/>
        </w:rPr>
      </w:pPr>
      <w:r w:rsidRPr="00073574">
        <w:rPr>
          <w:sz w:val="24"/>
        </w:rPr>
        <w:lastRenderedPageBreak/>
        <w:t>4</w:t>
      </w:r>
      <w:r w:rsidRPr="00073574">
        <w:rPr>
          <w:sz w:val="24"/>
        </w:rPr>
        <w:tab/>
        <w:t>to identify the challenges that developing countries are facing with a view to bridging the standardization gap among Member States,</w:t>
      </w:r>
    </w:p>
    <w:p w14:paraId="62C2DF1F" w14:textId="75D98DAA" w:rsidR="00F0236A" w:rsidRPr="00073574" w:rsidRDefault="00F0236A" w:rsidP="00F0236A">
      <w:pPr>
        <w:pStyle w:val="Call"/>
        <w:rPr>
          <w:sz w:val="24"/>
          <w:szCs w:val="24"/>
          <w:lang w:val="en-GB"/>
        </w:rPr>
      </w:pPr>
      <w:r w:rsidRPr="00073574">
        <w:rPr>
          <w:sz w:val="24"/>
          <w:szCs w:val="24"/>
          <w:lang w:val="en-GB"/>
        </w:rPr>
        <w:t>invites the Director of the Telecommu</w:t>
      </w:r>
      <w:r w:rsidR="00E31596" w:rsidRPr="00073574">
        <w:rPr>
          <w:sz w:val="24"/>
          <w:szCs w:val="24"/>
          <w:lang w:val="en-GB"/>
        </w:rPr>
        <w:t>nication Standardization Bureau</w:t>
      </w:r>
    </w:p>
    <w:p w14:paraId="68F689D1" w14:textId="77777777" w:rsidR="00F0236A" w:rsidRPr="00073574" w:rsidRDefault="00F0236A" w:rsidP="00F0236A">
      <w:pPr>
        <w:rPr>
          <w:sz w:val="24"/>
        </w:rPr>
      </w:pPr>
      <w:r w:rsidRPr="00073574">
        <w:rPr>
          <w:sz w:val="24"/>
        </w:rPr>
        <w:t>1</w:t>
      </w:r>
      <w:r w:rsidRPr="00073574">
        <w:rPr>
          <w:sz w:val="24"/>
        </w:rPr>
        <w:tab/>
        <w:t>to work closely with the Directors of BDT and the Radiocommunication Bureau (BR) in order to encourage the formation of partnerships under the patronage of ITU-T as one of the means for financing the action plan;</w:t>
      </w:r>
    </w:p>
    <w:p w14:paraId="551203CC" w14:textId="77777777" w:rsidR="00F0236A" w:rsidRPr="00073574" w:rsidRDefault="00F0236A" w:rsidP="00F0236A">
      <w:pPr>
        <w:rPr>
          <w:sz w:val="24"/>
        </w:rPr>
      </w:pPr>
      <w:r w:rsidRPr="00073574">
        <w:rPr>
          <w:sz w:val="24"/>
        </w:rPr>
        <w:t>2</w:t>
      </w:r>
      <w:r w:rsidRPr="00073574">
        <w:rPr>
          <w:sz w:val="24"/>
        </w:rPr>
        <w:tab/>
        <w:t>to consider, whenever possible, holding workshops concurrently with meetings of the ITU-T regional groups, in coordination and collaboration with the Director of BDT,</w:t>
      </w:r>
    </w:p>
    <w:p w14:paraId="2F288007" w14:textId="77777777" w:rsidR="00F0236A" w:rsidRPr="00073574" w:rsidRDefault="00F0236A" w:rsidP="00F0236A">
      <w:pPr>
        <w:pStyle w:val="Call"/>
        <w:spacing w:after="240"/>
        <w:rPr>
          <w:sz w:val="24"/>
          <w:szCs w:val="24"/>
          <w:lang w:val="en-GB"/>
        </w:rPr>
      </w:pPr>
      <w:r w:rsidRPr="00073574">
        <w:rPr>
          <w:sz w:val="24"/>
          <w:szCs w:val="24"/>
          <w:lang w:val="en-GB"/>
        </w:rPr>
        <w:t>invites regions and their Member States</w:t>
      </w:r>
    </w:p>
    <w:p w14:paraId="3FC45AFE" w14:textId="77777777" w:rsidR="00F0236A" w:rsidRPr="00073574" w:rsidRDefault="00F0236A" w:rsidP="00F0236A">
      <w:pPr>
        <w:spacing w:after="240"/>
        <w:rPr>
          <w:sz w:val="24"/>
        </w:rPr>
      </w:pPr>
      <w:r w:rsidRPr="00073574">
        <w:rPr>
          <w:sz w:val="24"/>
        </w:rPr>
        <w:t>1</w:t>
      </w:r>
      <w:r w:rsidRPr="00073574">
        <w:rPr>
          <w:sz w:val="24"/>
        </w:rPr>
        <w:tab/>
        <w:t xml:space="preserve">to pursue the creation of regional groups of parent ITU-T study groups in their respective regions in accordance with </w:t>
      </w:r>
      <w:r w:rsidRPr="00073574">
        <w:rPr>
          <w:i/>
          <w:iCs/>
          <w:sz w:val="24"/>
        </w:rPr>
        <w:t>resolves</w:t>
      </w:r>
      <w:r w:rsidRPr="00073574">
        <w:rPr>
          <w:sz w:val="24"/>
        </w:rPr>
        <w:t xml:space="preserve"> 4 of this resolution and Resolution 54 (Rev. Hammamet, 2016) of this assembly, and to support their meetings and activities, as appropriate, in coordination with TSB;</w:t>
      </w:r>
    </w:p>
    <w:p w14:paraId="6AE3A2EE" w14:textId="77777777" w:rsidR="00F0236A" w:rsidRPr="00073574" w:rsidRDefault="00F0236A" w:rsidP="00F0236A">
      <w:pPr>
        <w:spacing w:after="240"/>
        <w:rPr>
          <w:sz w:val="24"/>
        </w:rPr>
      </w:pPr>
      <w:r w:rsidRPr="00073574">
        <w:rPr>
          <w:sz w:val="24"/>
        </w:rPr>
        <w:t>2</w:t>
      </w:r>
      <w:r w:rsidRPr="00073574">
        <w:rPr>
          <w:sz w:val="24"/>
        </w:rPr>
        <w:tab/>
        <w:t>to take an active part in the activities of the ITU-T regional groups and support regional organizations in setting up regional frameworks for the development of standardization activities;</w:t>
      </w:r>
    </w:p>
    <w:p w14:paraId="39EE6A70" w14:textId="77777777" w:rsidR="00F0236A" w:rsidRPr="00073574" w:rsidRDefault="00F0236A" w:rsidP="00F0236A">
      <w:pPr>
        <w:spacing w:after="240"/>
        <w:rPr>
          <w:sz w:val="24"/>
        </w:rPr>
      </w:pPr>
      <w:r w:rsidRPr="00073574">
        <w:rPr>
          <w:sz w:val="24"/>
        </w:rPr>
        <w:t>3</w:t>
      </w:r>
      <w:r w:rsidRPr="00073574">
        <w:rPr>
          <w:sz w:val="24"/>
        </w:rPr>
        <w:tab/>
        <w:t>to create regional standardization bodies, as appropriate, and encourage joint and coordinated meetings of such bodies with the regional groups of the ITU-T study groups in the respective regions, so that these standardization bodies act as an umbrella for such regional group meetings;</w:t>
      </w:r>
    </w:p>
    <w:p w14:paraId="0A762CC6" w14:textId="77777777" w:rsidR="00F0236A" w:rsidRPr="00073574" w:rsidRDefault="00F0236A" w:rsidP="00F0236A">
      <w:pPr>
        <w:spacing w:after="240"/>
        <w:rPr>
          <w:sz w:val="24"/>
        </w:rPr>
      </w:pPr>
      <w:r w:rsidRPr="00073574">
        <w:rPr>
          <w:sz w:val="24"/>
        </w:rPr>
        <w:t>4</w:t>
      </w:r>
      <w:r w:rsidRPr="00073574">
        <w:rPr>
          <w:sz w:val="24"/>
        </w:rPr>
        <w:tab/>
        <w:t>to develop draft terms of reference and working methods for regional groups, for approval by the parent study group;</w:t>
      </w:r>
    </w:p>
    <w:p w14:paraId="72A0527C" w14:textId="77777777" w:rsidR="00F0236A" w:rsidRPr="00073574" w:rsidRDefault="00F0236A" w:rsidP="00F0236A">
      <w:pPr>
        <w:rPr>
          <w:sz w:val="24"/>
        </w:rPr>
      </w:pPr>
      <w:r w:rsidRPr="00073574">
        <w:rPr>
          <w:sz w:val="24"/>
        </w:rPr>
        <w:t>5</w:t>
      </w:r>
      <w:r w:rsidRPr="00073574">
        <w:rPr>
          <w:sz w:val="24"/>
        </w:rPr>
        <w:tab/>
        <w:t>to share information on utilizing ITU</w:t>
      </w:r>
      <w:r w:rsidRPr="00073574">
        <w:rPr>
          <w:sz w:val="24"/>
        </w:rPr>
        <w:noBreakHyphen/>
        <w:t>T Recommendations,</w:t>
      </w:r>
    </w:p>
    <w:p w14:paraId="0B8965D9" w14:textId="77777777" w:rsidR="00F0236A" w:rsidRPr="00073574" w:rsidRDefault="00F0236A" w:rsidP="00F0236A">
      <w:pPr>
        <w:pStyle w:val="Call"/>
        <w:spacing w:after="240"/>
        <w:rPr>
          <w:sz w:val="24"/>
          <w:szCs w:val="24"/>
          <w:lang w:val="en-GB"/>
        </w:rPr>
      </w:pPr>
      <w:r w:rsidRPr="00073574">
        <w:rPr>
          <w:sz w:val="24"/>
          <w:szCs w:val="24"/>
          <w:lang w:val="en-GB"/>
        </w:rPr>
        <w:t>encourages Member States and Sector Members</w:t>
      </w:r>
    </w:p>
    <w:p w14:paraId="3114E09E" w14:textId="77777777" w:rsidR="00F0236A" w:rsidRPr="00073574" w:rsidRDefault="00F0236A" w:rsidP="00F0236A">
      <w:pPr>
        <w:spacing w:after="240"/>
        <w:rPr>
          <w:sz w:val="24"/>
        </w:rPr>
      </w:pPr>
      <w:r w:rsidRPr="00073574">
        <w:rPr>
          <w:sz w:val="24"/>
        </w:rPr>
        <w:t>to take the objectives set out in the action plan in the annex to this resolution into account in their participation in ITU</w:t>
      </w:r>
      <w:r w:rsidRPr="00073574">
        <w:rPr>
          <w:sz w:val="24"/>
        </w:rPr>
        <w:noBreakHyphen/>
        <w:t>T.</w:t>
      </w:r>
    </w:p>
    <w:tbl>
      <w:tblPr>
        <w:tblW w:w="952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96"/>
        <w:gridCol w:w="4512"/>
        <w:gridCol w:w="1637"/>
        <w:gridCol w:w="1129"/>
        <w:gridCol w:w="1336"/>
        <w:gridCol w:w="12"/>
      </w:tblGrid>
      <w:tr w:rsidR="00F0236A" w:rsidRPr="00073574" w14:paraId="5911EF0B" w14:textId="77777777" w:rsidTr="4D78197E">
        <w:trPr>
          <w:gridAfter w:val="1"/>
          <w:wAfter w:w="12" w:type="dxa"/>
          <w:tblHeader/>
          <w:jc w:val="center"/>
        </w:trPr>
        <w:tc>
          <w:tcPr>
            <w:tcW w:w="896" w:type="dxa"/>
            <w:tcBorders>
              <w:top w:val="single" w:sz="12" w:space="0" w:color="auto"/>
              <w:bottom w:val="single" w:sz="12" w:space="0" w:color="auto"/>
            </w:tcBorders>
            <w:shd w:val="clear" w:color="auto" w:fill="auto"/>
          </w:tcPr>
          <w:p w14:paraId="08F9DC60" w14:textId="77777777" w:rsidR="00F0236A" w:rsidRPr="00073574" w:rsidRDefault="00F0236A" w:rsidP="006E5B3E">
            <w:pPr>
              <w:pStyle w:val="Tablehead"/>
              <w:keepNext w:val="0"/>
              <w:rPr>
                <w:sz w:val="24"/>
                <w:szCs w:val="24"/>
              </w:rPr>
            </w:pPr>
            <w:r w:rsidRPr="00073574">
              <w:rPr>
                <w:sz w:val="24"/>
                <w:szCs w:val="24"/>
              </w:rPr>
              <w:t>Action Item</w:t>
            </w:r>
          </w:p>
        </w:tc>
        <w:tc>
          <w:tcPr>
            <w:tcW w:w="4512" w:type="dxa"/>
            <w:tcBorders>
              <w:top w:val="single" w:sz="12" w:space="0" w:color="auto"/>
              <w:bottom w:val="single" w:sz="12" w:space="0" w:color="auto"/>
            </w:tcBorders>
            <w:shd w:val="clear" w:color="auto" w:fill="auto"/>
            <w:hideMark/>
          </w:tcPr>
          <w:p w14:paraId="74881395" w14:textId="77777777" w:rsidR="00F0236A" w:rsidRPr="00073574" w:rsidRDefault="00F0236A" w:rsidP="006E5B3E">
            <w:pPr>
              <w:pStyle w:val="Tablehead"/>
              <w:keepNext w:val="0"/>
              <w:rPr>
                <w:sz w:val="24"/>
                <w:szCs w:val="24"/>
              </w:rPr>
            </w:pPr>
            <w:r w:rsidRPr="00073574">
              <w:rPr>
                <w:sz w:val="24"/>
                <w:szCs w:val="24"/>
              </w:rPr>
              <w:t>Action</w:t>
            </w:r>
          </w:p>
        </w:tc>
        <w:tc>
          <w:tcPr>
            <w:tcW w:w="1637" w:type="dxa"/>
            <w:tcBorders>
              <w:top w:val="single" w:sz="12" w:space="0" w:color="auto"/>
              <w:bottom w:val="single" w:sz="12" w:space="0" w:color="auto"/>
            </w:tcBorders>
            <w:shd w:val="clear" w:color="auto" w:fill="auto"/>
            <w:hideMark/>
          </w:tcPr>
          <w:p w14:paraId="23642AA0" w14:textId="77777777" w:rsidR="00F0236A" w:rsidRPr="00073574" w:rsidRDefault="00F0236A" w:rsidP="006E5B3E">
            <w:pPr>
              <w:pStyle w:val="Tablehead"/>
              <w:keepNext w:val="0"/>
              <w:rPr>
                <w:sz w:val="24"/>
                <w:szCs w:val="24"/>
              </w:rPr>
            </w:pPr>
            <w:r w:rsidRPr="00073574">
              <w:rPr>
                <w:sz w:val="24"/>
                <w:szCs w:val="24"/>
              </w:rPr>
              <w:t>Milestone</w:t>
            </w:r>
          </w:p>
        </w:tc>
        <w:tc>
          <w:tcPr>
            <w:tcW w:w="1129" w:type="dxa"/>
            <w:tcBorders>
              <w:top w:val="single" w:sz="12" w:space="0" w:color="auto"/>
              <w:bottom w:val="single" w:sz="12" w:space="0" w:color="auto"/>
            </w:tcBorders>
            <w:shd w:val="clear" w:color="auto" w:fill="auto"/>
          </w:tcPr>
          <w:p w14:paraId="54C3FA64" w14:textId="77777777" w:rsidR="00F0236A" w:rsidRPr="00073574" w:rsidRDefault="00F0236A" w:rsidP="006E5B3E">
            <w:pPr>
              <w:pStyle w:val="Tablehead"/>
              <w:keepNext w:val="0"/>
              <w:rPr>
                <w:sz w:val="24"/>
                <w:szCs w:val="24"/>
              </w:rPr>
            </w:pPr>
            <w:r w:rsidRPr="00073574">
              <w:rPr>
                <w:sz w:val="24"/>
                <w:szCs w:val="24"/>
              </w:rPr>
              <w:t>Periodic goals met</w:t>
            </w:r>
          </w:p>
        </w:tc>
        <w:tc>
          <w:tcPr>
            <w:tcW w:w="1336" w:type="dxa"/>
            <w:tcBorders>
              <w:top w:val="single" w:sz="12" w:space="0" w:color="auto"/>
              <w:bottom w:val="single" w:sz="12" w:space="0" w:color="auto"/>
            </w:tcBorders>
            <w:shd w:val="clear" w:color="auto" w:fill="auto"/>
          </w:tcPr>
          <w:p w14:paraId="7D69A5FE" w14:textId="77777777" w:rsidR="00F0236A" w:rsidRPr="00073574" w:rsidRDefault="00F0236A" w:rsidP="006E5B3E">
            <w:pPr>
              <w:pStyle w:val="Tablehead"/>
              <w:keepNext w:val="0"/>
              <w:rPr>
                <w:sz w:val="24"/>
                <w:szCs w:val="24"/>
              </w:rPr>
            </w:pPr>
            <w:r w:rsidRPr="00073574">
              <w:rPr>
                <w:sz w:val="24"/>
                <w:szCs w:val="24"/>
              </w:rPr>
              <w:t>Completed</w:t>
            </w:r>
          </w:p>
        </w:tc>
      </w:tr>
      <w:tr w:rsidR="00F0236A" w:rsidRPr="00073574" w14:paraId="57E3877C" w14:textId="77777777" w:rsidTr="4D78197E">
        <w:trPr>
          <w:jc w:val="center"/>
        </w:trPr>
        <w:tc>
          <w:tcPr>
            <w:tcW w:w="896" w:type="dxa"/>
            <w:vMerge w:val="restart"/>
            <w:shd w:val="clear" w:color="auto" w:fill="auto"/>
          </w:tcPr>
          <w:p w14:paraId="200C56E2" w14:textId="77777777" w:rsidR="00F0236A" w:rsidRPr="00073574" w:rsidRDefault="00F0236A" w:rsidP="006E5B3E">
            <w:pPr>
              <w:pStyle w:val="Tabletext"/>
              <w:rPr>
                <w:b/>
                <w:bCs/>
                <w:sz w:val="24"/>
                <w:szCs w:val="24"/>
              </w:rPr>
            </w:pPr>
            <w:r w:rsidRPr="00073574">
              <w:rPr>
                <w:b/>
                <w:bCs/>
                <w:sz w:val="24"/>
                <w:szCs w:val="24"/>
              </w:rPr>
              <w:t>44-01</w:t>
            </w:r>
          </w:p>
        </w:tc>
        <w:tc>
          <w:tcPr>
            <w:tcW w:w="4512" w:type="dxa"/>
            <w:shd w:val="clear" w:color="auto" w:fill="auto"/>
          </w:tcPr>
          <w:p w14:paraId="146DE66F" w14:textId="77777777" w:rsidR="00F0236A" w:rsidRPr="00073574" w:rsidRDefault="00F0236A" w:rsidP="006E5B3E">
            <w:pPr>
              <w:pStyle w:val="Tabletext"/>
              <w:rPr>
                <w:b/>
                <w:bCs/>
                <w:sz w:val="24"/>
                <w:szCs w:val="24"/>
              </w:rPr>
            </w:pPr>
            <w:r w:rsidRPr="00073574">
              <w:rPr>
                <w:b/>
                <w:bCs/>
                <w:sz w:val="24"/>
                <w:szCs w:val="24"/>
              </w:rPr>
              <w:t>TSB to continue maintaining the BSG action plan in annex of Res. 44 and be reviewed by TSAG on an annual basis (resolves 1)</w:t>
            </w:r>
          </w:p>
        </w:tc>
        <w:tc>
          <w:tcPr>
            <w:tcW w:w="1637" w:type="dxa"/>
            <w:shd w:val="clear" w:color="auto" w:fill="auto"/>
            <w:vAlign w:val="center"/>
          </w:tcPr>
          <w:p w14:paraId="572DEAFE" w14:textId="5A68CF7D" w:rsidR="00F0236A" w:rsidRPr="00073574" w:rsidRDefault="00F0236A" w:rsidP="006E5B3E">
            <w:pPr>
              <w:pStyle w:val="Tabletext"/>
              <w:jc w:val="center"/>
              <w:rPr>
                <w:b/>
                <w:bCs/>
                <w:sz w:val="24"/>
                <w:szCs w:val="24"/>
              </w:rPr>
            </w:pPr>
            <w:r w:rsidRPr="00073574">
              <w:rPr>
                <w:b/>
                <w:bCs/>
                <w:sz w:val="24"/>
                <w:szCs w:val="24"/>
              </w:rPr>
              <w:t>TSAG 20</w:t>
            </w:r>
            <w:r w:rsidR="0057414D" w:rsidRPr="00073574">
              <w:rPr>
                <w:b/>
                <w:bCs/>
                <w:sz w:val="24"/>
                <w:szCs w:val="24"/>
              </w:rPr>
              <w:t>2</w:t>
            </w:r>
            <w:r w:rsidR="00E01434" w:rsidRPr="00073574">
              <w:rPr>
                <w:b/>
                <w:bCs/>
                <w:sz w:val="24"/>
                <w:szCs w:val="24"/>
              </w:rPr>
              <w:t>1</w:t>
            </w:r>
            <w:r w:rsidRPr="00073574">
              <w:rPr>
                <w:b/>
                <w:bCs/>
                <w:sz w:val="24"/>
                <w:szCs w:val="24"/>
              </w:rPr>
              <w:t>,</w:t>
            </w:r>
          </w:p>
          <w:p w14:paraId="179CF4BB" w14:textId="77777777" w:rsidR="00F0236A" w:rsidRPr="00073574" w:rsidRDefault="00F0236A" w:rsidP="006E5B3E">
            <w:pPr>
              <w:pStyle w:val="Tabletext"/>
              <w:jc w:val="center"/>
              <w:rPr>
                <w:b/>
                <w:bCs/>
                <w:sz w:val="24"/>
                <w:szCs w:val="24"/>
              </w:rPr>
            </w:pPr>
            <w:r w:rsidRPr="00073574">
              <w:rPr>
                <w:b/>
                <w:bCs/>
                <w:sz w:val="24"/>
                <w:szCs w:val="24"/>
              </w:rPr>
              <w:t>Ongoing</w:t>
            </w:r>
          </w:p>
        </w:tc>
        <w:tc>
          <w:tcPr>
            <w:tcW w:w="1129" w:type="dxa"/>
            <w:shd w:val="clear" w:color="auto" w:fill="auto"/>
            <w:vAlign w:val="center"/>
          </w:tcPr>
          <w:p w14:paraId="7B657755" w14:textId="77777777" w:rsidR="00F0236A" w:rsidRPr="00073574" w:rsidRDefault="00F0236A" w:rsidP="006E5B3E">
            <w:pPr>
              <w:pStyle w:val="Tabletext"/>
              <w:jc w:val="center"/>
              <w:rPr>
                <w:b/>
                <w:bCs/>
                <w:sz w:val="24"/>
                <w:szCs w:val="24"/>
              </w:rPr>
            </w:pPr>
            <w:r w:rsidRPr="00073574">
              <w:rPr>
                <w:b/>
                <w:bCs/>
                <w:sz w:val="24"/>
                <w:szCs w:val="24"/>
              </w:rPr>
              <w:t>√</w:t>
            </w:r>
          </w:p>
        </w:tc>
        <w:tc>
          <w:tcPr>
            <w:tcW w:w="1348" w:type="dxa"/>
            <w:gridSpan w:val="2"/>
            <w:shd w:val="clear" w:color="auto" w:fill="auto"/>
            <w:vAlign w:val="center"/>
          </w:tcPr>
          <w:p w14:paraId="7E9FEA11" w14:textId="77777777" w:rsidR="00F0236A" w:rsidRPr="00073574" w:rsidRDefault="00F0236A" w:rsidP="006E5B3E">
            <w:pPr>
              <w:pStyle w:val="Tabletext"/>
              <w:jc w:val="center"/>
              <w:rPr>
                <w:b/>
                <w:bCs/>
                <w:sz w:val="24"/>
                <w:szCs w:val="24"/>
              </w:rPr>
            </w:pPr>
          </w:p>
        </w:tc>
      </w:tr>
      <w:tr w:rsidR="00F0236A" w:rsidRPr="00073574" w14:paraId="79A762BA" w14:textId="77777777" w:rsidTr="4D78197E">
        <w:trPr>
          <w:jc w:val="center"/>
        </w:trPr>
        <w:tc>
          <w:tcPr>
            <w:tcW w:w="896" w:type="dxa"/>
            <w:vMerge/>
          </w:tcPr>
          <w:p w14:paraId="4ED17CE2" w14:textId="77777777" w:rsidR="00F0236A" w:rsidRPr="00073574" w:rsidRDefault="00F0236A" w:rsidP="006E5B3E">
            <w:pPr>
              <w:pStyle w:val="Tabletext"/>
              <w:rPr>
                <w:sz w:val="24"/>
                <w:szCs w:val="24"/>
              </w:rPr>
            </w:pPr>
          </w:p>
        </w:tc>
        <w:tc>
          <w:tcPr>
            <w:tcW w:w="8626" w:type="dxa"/>
            <w:gridSpan w:val="5"/>
            <w:tcBorders>
              <w:bottom w:val="single" w:sz="12" w:space="0" w:color="auto"/>
            </w:tcBorders>
            <w:shd w:val="clear" w:color="auto" w:fill="auto"/>
          </w:tcPr>
          <w:p w14:paraId="1017FFCD" w14:textId="77777777" w:rsidR="00F0236A" w:rsidRPr="00073574" w:rsidRDefault="00A85D3B" w:rsidP="00284A2E">
            <w:pPr>
              <w:spacing w:before="40" w:after="40"/>
              <w:rPr>
                <w:szCs w:val="22"/>
              </w:rPr>
            </w:pPr>
            <w:r w:rsidRPr="00073574">
              <w:rPr>
                <w:szCs w:val="22"/>
              </w:rPr>
              <w:t>The intersectoral task force</w:t>
            </w:r>
            <w:r w:rsidR="00E771FD" w:rsidRPr="00073574">
              <w:rPr>
                <w:szCs w:val="22"/>
              </w:rPr>
              <w:t xml:space="preserve"> </w:t>
            </w:r>
            <w:r w:rsidRPr="00073574">
              <w:rPr>
                <w:szCs w:val="22"/>
              </w:rPr>
              <w:t>is working on monitoring progress of implementation of Action Plan in Resolution 44.</w:t>
            </w:r>
          </w:p>
          <w:p w14:paraId="55B0C5F6" w14:textId="35EFDF6B" w:rsidR="007274D7" w:rsidRPr="00073574" w:rsidRDefault="0053741E" w:rsidP="006E5B3E">
            <w:pPr>
              <w:spacing w:after="40"/>
              <w:rPr>
                <w:szCs w:val="22"/>
              </w:rPr>
            </w:pPr>
            <w:hyperlink r:id="rId282" w:history="1">
              <w:r w:rsidR="007274D7" w:rsidRPr="00073574">
                <w:rPr>
                  <w:rStyle w:val="Hyperlink"/>
                  <w:szCs w:val="22"/>
                </w:rPr>
                <w:t>TSAG-TD610</w:t>
              </w:r>
            </w:hyperlink>
            <w:r w:rsidR="008D617E" w:rsidRPr="00073574">
              <w:rPr>
                <w:szCs w:val="22"/>
              </w:rPr>
              <w:t xml:space="preserve">, and </w:t>
            </w:r>
            <w:hyperlink r:id="rId283" w:history="1">
              <w:r w:rsidR="008D617E" w:rsidRPr="00073574">
                <w:rPr>
                  <w:rStyle w:val="Hyperlink"/>
                </w:rPr>
                <w:t>TD727</w:t>
              </w:r>
            </w:hyperlink>
            <w:r w:rsidR="008D617E" w:rsidRPr="00073574">
              <w:rPr>
                <w:rStyle w:val="Hyperlink"/>
              </w:rPr>
              <w:t>-R1</w:t>
            </w:r>
            <w:r w:rsidR="008D617E" w:rsidRPr="00073574">
              <w:rPr>
                <w:rFonts w:asciiTheme="majorBidi" w:hAnsiTheme="majorBidi" w:cstheme="majorBidi"/>
              </w:rPr>
              <w:t xml:space="preserve"> </w:t>
            </w:r>
            <w:r w:rsidR="007274D7" w:rsidRPr="00073574">
              <w:rPr>
                <w:szCs w:val="22"/>
              </w:rPr>
              <w:t>provide an overview of the activities carried out under the purview of WTSA-16 Resolution 44.</w:t>
            </w:r>
          </w:p>
        </w:tc>
      </w:tr>
      <w:tr w:rsidR="00F0236A" w:rsidRPr="00073574" w14:paraId="6A11BBF8" w14:textId="77777777" w:rsidTr="4D78197E">
        <w:trPr>
          <w:jc w:val="center"/>
        </w:trPr>
        <w:tc>
          <w:tcPr>
            <w:tcW w:w="896" w:type="dxa"/>
            <w:vMerge w:val="restart"/>
            <w:tcBorders>
              <w:top w:val="single" w:sz="12" w:space="0" w:color="auto"/>
            </w:tcBorders>
            <w:shd w:val="clear" w:color="auto" w:fill="auto"/>
          </w:tcPr>
          <w:p w14:paraId="25837D25" w14:textId="77777777" w:rsidR="00F0236A" w:rsidRPr="00073574" w:rsidRDefault="00F0236A" w:rsidP="006E5B3E">
            <w:pPr>
              <w:pStyle w:val="Tabletext"/>
              <w:keepNext/>
              <w:keepLines/>
              <w:rPr>
                <w:b/>
                <w:bCs/>
                <w:sz w:val="24"/>
                <w:szCs w:val="24"/>
              </w:rPr>
            </w:pPr>
            <w:r w:rsidRPr="00073574">
              <w:rPr>
                <w:b/>
                <w:bCs/>
                <w:sz w:val="24"/>
                <w:szCs w:val="24"/>
              </w:rPr>
              <w:lastRenderedPageBreak/>
              <w:t>44-02</w:t>
            </w:r>
          </w:p>
        </w:tc>
        <w:tc>
          <w:tcPr>
            <w:tcW w:w="4512" w:type="dxa"/>
            <w:tcBorders>
              <w:top w:val="single" w:sz="12" w:space="0" w:color="auto"/>
            </w:tcBorders>
            <w:shd w:val="clear" w:color="auto" w:fill="auto"/>
          </w:tcPr>
          <w:p w14:paraId="4064CCC8" w14:textId="77777777" w:rsidR="00F0236A" w:rsidRPr="00073574" w:rsidRDefault="00F0236A" w:rsidP="006E5B3E">
            <w:pPr>
              <w:pStyle w:val="Tabletext"/>
              <w:keepNext/>
              <w:keepLines/>
              <w:rPr>
                <w:b/>
                <w:bCs/>
                <w:sz w:val="24"/>
                <w:szCs w:val="24"/>
              </w:rPr>
            </w:pPr>
            <w:r w:rsidRPr="00073574">
              <w:rPr>
                <w:b/>
                <w:bCs/>
                <w:sz w:val="24"/>
                <w:szCs w:val="24"/>
              </w:rPr>
              <w:t>TSB to develop a programme to assist developing countries to develop methods, strategies, and means to link national innovations to standardization process (resolves 2)</w:t>
            </w:r>
          </w:p>
        </w:tc>
        <w:tc>
          <w:tcPr>
            <w:tcW w:w="1637" w:type="dxa"/>
            <w:tcBorders>
              <w:top w:val="single" w:sz="12" w:space="0" w:color="auto"/>
            </w:tcBorders>
            <w:shd w:val="clear" w:color="auto" w:fill="auto"/>
            <w:vAlign w:val="center"/>
          </w:tcPr>
          <w:p w14:paraId="7610F469" w14:textId="77777777" w:rsidR="00F0236A" w:rsidRPr="00073574" w:rsidRDefault="00F0236A" w:rsidP="006E5B3E">
            <w:pPr>
              <w:pStyle w:val="Tabletext"/>
              <w:keepNext/>
              <w:keepLines/>
              <w:jc w:val="center"/>
              <w:rPr>
                <w:b/>
                <w:bCs/>
                <w:sz w:val="24"/>
                <w:szCs w:val="24"/>
              </w:rPr>
            </w:pPr>
            <w:r w:rsidRPr="00073574">
              <w:rPr>
                <w:b/>
                <w:bCs/>
                <w:sz w:val="24"/>
                <w:szCs w:val="24"/>
              </w:rPr>
              <w:t>Ongoing</w:t>
            </w:r>
          </w:p>
        </w:tc>
        <w:tc>
          <w:tcPr>
            <w:tcW w:w="1129" w:type="dxa"/>
            <w:tcBorders>
              <w:top w:val="single" w:sz="12" w:space="0" w:color="auto"/>
            </w:tcBorders>
            <w:shd w:val="clear" w:color="auto" w:fill="auto"/>
            <w:vAlign w:val="center"/>
          </w:tcPr>
          <w:p w14:paraId="037D6599" w14:textId="77777777" w:rsidR="00F0236A" w:rsidRPr="00073574" w:rsidRDefault="00F0236A" w:rsidP="006E5B3E">
            <w:pPr>
              <w:pStyle w:val="Tabletext"/>
              <w:keepNext/>
              <w:keepLines/>
              <w:jc w:val="center"/>
              <w:rPr>
                <w:b/>
                <w:bCs/>
                <w:sz w:val="24"/>
                <w:szCs w:val="24"/>
              </w:rPr>
            </w:pPr>
            <w:r w:rsidRPr="00073574">
              <w:rPr>
                <w:b/>
                <w:bCs/>
                <w:sz w:val="24"/>
                <w:szCs w:val="24"/>
              </w:rPr>
              <w:t>√</w:t>
            </w:r>
          </w:p>
        </w:tc>
        <w:tc>
          <w:tcPr>
            <w:tcW w:w="1348" w:type="dxa"/>
            <w:gridSpan w:val="2"/>
            <w:tcBorders>
              <w:top w:val="single" w:sz="12" w:space="0" w:color="auto"/>
            </w:tcBorders>
            <w:shd w:val="clear" w:color="auto" w:fill="auto"/>
            <w:vAlign w:val="center"/>
          </w:tcPr>
          <w:p w14:paraId="7CAF3F06" w14:textId="77777777" w:rsidR="00F0236A" w:rsidRPr="00073574" w:rsidRDefault="00F0236A" w:rsidP="006E5B3E">
            <w:pPr>
              <w:pStyle w:val="Tabletext"/>
              <w:keepNext/>
              <w:keepLines/>
              <w:jc w:val="center"/>
              <w:rPr>
                <w:b/>
                <w:bCs/>
                <w:sz w:val="24"/>
                <w:szCs w:val="24"/>
              </w:rPr>
            </w:pPr>
          </w:p>
        </w:tc>
      </w:tr>
      <w:tr w:rsidR="00F0236A" w:rsidRPr="00073574" w14:paraId="71950735" w14:textId="77777777" w:rsidTr="4D78197E">
        <w:trPr>
          <w:jc w:val="center"/>
        </w:trPr>
        <w:tc>
          <w:tcPr>
            <w:tcW w:w="896" w:type="dxa"/>
            <w:vMerge/>
          </w:tcPr>
          <w:p w14:paraId="4564FD6C" w14:textId="77777777" w:rsidR="00F0236A" w:rsidRPr="00073574" w:rsidRDefault="00F0236A" w:rsidP="006E5B3E">
            <w:pPr>
              <w:pStyle w:val="Tabletext"/>
              <w:keepNext/>
              <w:keepLines/>
              <w:rPr>
                <w:sz w:val="24"/>
                <w:szCs w:val="24"/>
              </w:rPr>
            </w:pPr>
          </w:p>
        </w:tc>
        <w:tc>
          <w:tcPr>
            <w:tcW w:w="8626" w:type="dxa"/>
            <w:gridSpan w:val="5"/>
            <w:shd w:val="clear" w:color="auto" w:fill="auto"/>
          </w:tcPr>
          <w:p w14:paraId="6ECE0E9F" w14:textId="2AA06D43" w:rsidR="006271A0" w:rsidRPr="00073574" w:rsidRDefault="00F0236A" w:rsidP="00FF6AC8">
            <w:pPr>
              <w:pStyle w:val="ListParagraph"/>
              <w:numPr>
                <w:ilvl w:val="0"/>
                <w:numId w:val="31"/>
              </w:numPr>
              <w:spacing w:before="40"/>
              <w:ind w:left="357" w:hanging="357"/>
              <w:rPr>
                <w:rFonts w:eastAsia="Times New Roman"/>
              </w:rPr>
            </w:pPr>
            <w:r w:rsidRPr="00073574">
              <w:t>SG13 at its February 2017 meeting, reconfirmed the SG13 mentor</w:t>
            </w:r>
            <w:r w:rsidR="0D3F23E4" w:rsidRPr="00073574">
              <w:t>.</w:t>
            </w:r>
            <w:r w:rsidRPr="00073574">
              <w:br/>
            </w:r>
            <w:r w:rsidR="3A3F2179" w:rsidRPr="00073574">
              <w:t xml:space="preserve">SG13 established the new work item Supplement Y.STS on </w:t>
            </w:r>
            <w:r w:rsidR="3A3F2179" w:rsidRPr="00073574">
              <w:rPr>
                <w:i/>
                <w:iCs/>
              </w:rPr>
              <w:t>Development of socio-technical standards and their requirements</w:t>
            </w:r>
            <w:r w:rsidR="3A3F2179" w:rsidRPr="00073574">
              <w:t xml:space="preserve"> to look at the needs of developing countries from the perspective of required standardization.</w:t>
            </w:r>
            <w:r w:rsidR="5A6FF4B6" w:rsidRPr="00073574">
              <w:t xml:space="preserve"> </w:t>
            </w:r>
            <w:r w:rsidR="175FDA0E" w:rsidRPr="00073574">
              <w:t xml:space="preserve">Later in 2018 it was turned into </w:t>
            </w:r>
            <w:r w:rsidR="13DD7645" w:rsidRPr="00073574">
              <w:t xml:space="preserve">a </w:t>
            </w:r>
            <w:r w:rsidR="175FDA0E" w:rsidRPr="00073574">
              <w:t xml:space="preserve">Recommendation. A new Supplement on </w:t>
            </w:r>
            <w:r w:rsidR="175FDA0E" w:rsidRPr="00073574">
              <w:rPr>
                <w:i/>
                <w:iCs/>
              </w:rPr>
              <w:t xml:space="preserve">Awareness on Use Cases and Migration Aspects of IMT-2020 </w:t>
            </w:r>
            <w:r w:rsidR="175FDA0E" w:rsidRPr="00073574">
              <w:t xml:space="preserve">was set up </w:t>
            </w:r>
            <w:r w:rsidR="060CD9C3" w:rsidRPr="00073574">
              <w:t>to help developing countries to implement 5G.</w:t>
            </w:r>
            <w:r w:rsidR="79C3DA12" w:rsidRPr="00073574">
              <w:t xml:space="preserve"> It was a</w:t>
            </w:r>
            <w:r w:rsidR="00A61229" w:rsidRPr="00073574">
              <w:t>greed</w:t>
            </w:r>
            <w:r w:rsidR="79C3DA12" w:rsidRPr="00073574">
              <w:t xml:space="preserve"> in July 2020 as Supplement 64 to Y.3100-series. Likewise Supplement </w:t>
            </w:r>
            <w:r w:rsidR="7D588B8C" w:rsidRPr="00073574">
              <w:t xml:space="preserve">65 to </w:t>
            </w:r>
            <w:r w:rsidR="00FF6AC8" w:rsidRPr="00073574">
              <w:t xml:space="preserve">ITU-T </w:t>
            </w:r>
            <w:r w:rsidR="7D588B8C" w:rsidRPr="00073574">
              <w:t>Y.3600-series (a</w:t>
            </w:r>
            <w:r w:rsidR="00A61229" w:rsidRPr="00073574">
              <w:t>greed</w:t>
            </w:r>
            <w:r w:rsidR="7D588B8C" w:rsidRPr="00073574">
              <w:t xml:space="preserve"> in July 2020) gives guidance/shares experience about big data adop</w:t>
            </w:r>
            <w:r w:rsidR="473D315F" w:rsidRPr="00073574">
              <w:t xml:space="preserve">tion in </w:t>
            </w:r>
            <w:r w:rsidR="00FF6AC8" w:rsidRPr="00073574">
              <w:t>d</w:t>
            </w:r>
            <w:r w:rsidR="473D315F" w:rsidRPr="00073574">
              <w:t xml:space="preserve">eveloping </w:t>
            </w:r>
            <w:r w:rsidR="00FF6AC8" w:rsidRPr="00073574">
              <w:t>c</w:t>
            </w:r>
            <w:r w:rsidR="473D315F" w:rsidRPr="00073574">
              <w:t>ountries.</w:t>
            </w:r>
            <w:r w:rsidR="08B1ECC0" w:rsidRPr="00073574">
              <w:t xml:space="preserve"> In addition, the new technical report on use of ITU-T Recommendations </w:t>
            </w:r>
            <w:r w:rsidR="022A4AD0" w:rsidRPr="00073574">
              <w:t>by</w:t>
            </w:r>
            <w:r w:rsidR="08B1ECC0" w:rsidRPr="00073574">
              <w:t xml:space="preserve"> developing countries was approved in July 2020.</w:t>
            </w:r>
          </w:p>
          <w:p w14:paraId="1344A639" w14:textId="0202B386" w:rsidR="00F0236A" w:rsidRPr="00073574" w:rsidRDefault="00F0236A" w:rsidP="4D78197E">
            <w:pPr>
              <w:pStyle w:val="ListParagraph"/>
              <w:keepNext/>
              <w:keepLines/>
              <w:numPr>
                <w:ilvl w:val="0"/>
                <w:numId w:val="31"/>
              </w:numPr>
              <w:ind w:left="357" w:hanging="357"/>
              <w:contextualSpacing w:val="0"/>
            </w:pPr>
            <w:r w:rsidRPr="00073574">
              <w:t xml:space="preserve">SG17 at its March 2017 meeting, appointed </w:t>
            </w:r>
            <w:r w:rsidR="6196BBAF" w:rsidRPr="00073574">
              <w:t xml:space="preserve">an </w:t>
            </w:r>
            <w:r w:rsidRPr="00073574">
              <w:t>SG17 mentor.</w:t>
            </w:r>
          </w:p>
          <w:p w14:paraId="2396F72C" w14:textId="58B00746" w:rsidR="00562ED4" w:rsidRPr="00073574" w:rsidRDefault="00CD764B" w:rsidP="002E241A">
            <w:pPr>
              <w:pStyle w:val="ListParagraph"/>
              <w:keepNext/>
              <w:keepLines/>
              <w:numPr>
                <w:ilvl w:val="0"/>
                <w:numId w:val="31"/>
              </w:numPr>
              <w:spacing w:after="40"/>
              <w:ind w:left="357" w:hanging="357"/>
              <w:contextualSpacing w:val="0"/>
            </w:pPr>
            <w:r w:rsidRPr="00073574">
              <w:t xml:space="preserve">The </w:t>
            </w:r>
            <w:hyperlink r:id="rId284" w:history="1">
              <w:r w:rsidRPr="00073574">
                <w:rPr>
                  <w:rStyle w:val="Hyperlink"/>
                </w:rPr>
                <w:t>r</w:t>
              </w:r>
              <w:r w:rsidR="7472D32C" w:rsidRPr="00073574">
                <w:rPr>
                  <w:rStyle w:val="Hyperlink"/>
                </w:rPr>
                <w:t>evised Guidelines</w:t>
              </w:r>
            </w:hyperlink>
            <w:r w:rsidR="7472D32C" w:rsidRPr="00073574">
              <w:t xml:space="preserve"> on </w:t>
            </w:r>
            <w:r w:rsidR="003C281F" w:rsidRPr="00073574">
              <w:t xml:space="preserve">establishing </w:t>
            </w:r>
            <w:r w:rsidR="7472D32C" w:rsidRPr="00073574">
              <w:t>NSS</w:t>
            </w:r>
            <w:r w:rsidRPr="00073574">
              <w:t xml:space="preserve"> were published in 2019</w:t>
            </w:r>
            <w:r w:rsidR="00044F3A" w:rsidRPr="00073574">
              <w:t>.</w:t>
            </w:r>
          </w:p>
        </w:tc>
      </w:tr>
      <w:tr w:rsidR="00F0236A" w:rsidRPr="00073574" w14:paraId="7C53A546" w14:textId="77777777" w:rsidTr="4D78197E">
        <w:trPr>
          <w:jc w:val="center"/>
        </w:trPr>
        <w:tc>
          <w:tcPr>
            <w:tcW w:w="896" w:type="dxa"/>
            <w:vMerge w:val="restart"/>
            <w:tcBorders>
              <w:top w:val="single" w:sz="12" w:space="0" w:color="auto"/>
            </w:tcBorders>
            <w:shd w:val="clear" w:color="auto" w:fill="auto"/>
          </w:tcPr>
          <w:p w14:paraId="7D426D3E" w14:textId="77777777" w:rsidR="00F0236A" w:rsidRPr="00073574" w:rsidRDefault="00F0236A" w:rsidP="00DF36E1">
            <w:pPr>
              <w:pStyle w:val="Tabletext"/>
              <w:rPr>
                <w:b/>
                <w:bCs/>
                <w:sz w:val="24"/>
                <w:szCs w:val="24"/>
              </w:rPr>
            </w:pPr>
            <w:r w:rsidRPr="00073574">
              <w:rPr>
                <w:b/>
                <w:bCs/>
                <w:sz w:val="24"/>
                <w:szCs w:val="24"/>
              </w:rPr>
              <w:t>44-03</w:t>
            </w:r>
          </w:p>
        </w:tc>
        <w:tc>
          <w:tcPr>
            <w:tcW w:w="4512" w:type="dxa"/>
            <w:tcBorders>
              <w:top w:val="single" w:sz="12" w:space="0" w:color="auto"/>
            </w:tcBorders>
            <w:shd w:val="clear" w:color="auto" w:fill="auto"/>
          </w:tcPr>
          <w:p w14:paraId="7865E06D" w14:textId="77777777" w:rsidR="00F0236A" w:rsidRPr="00073574" w:rsidRDefault="00F0236A" w:rsidP="00DF36E1">
            <w:pPr>
              <w:pStyle w:val="Tabletext"/>
              <w:rPr>
                <w:b/>
                <w:bCs/>
                <w:sz w:val="24"/>
                <w:szCs w:val="24"/>
              </w:rPr>
            </w:pPr>
            <w:r w:rsidRPr="00073574">
              <w:rPr>
                <w:b/>
                <w:bCs/>
                <w:sz w:val="24"/>
                <w:szCs w:val="24"/>
              </w:rPr>
              <w:t>TSB Director to assist developing countries on developing strategies in establishing national/international test laboratories for emerging technologies (resolves 2, iii)</w:t>
            </w:r>
          </w:p>
        </w:tc>
        <w:tc>
          <w:tcPr>
            <w:tcW w:w="1637" w:type="dxa"/>
            <w:tcBorders>
              <w:top w:val="single" w:sz="12" w:space="0" w:color="auto"/>
            </w:tcBorders>
            <w:shd w:val="clear" w:color="auto" w:fill="auto"/>
            <w:vAlign w:val="center"/>
          </w:tcPr>
          <w:p w14:paraId="775FAE01"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29" w:type="dxa"/>
            <w:tcBorders>
              <w:top w:val="single" w:sz="12" w:space="0" w:color="auto"/>
            </w:tcBorders>
            <w:shd w:val="clear" w:color="auto" w:fill="auto"/>
            <w:vAlign w:val="center"/>
          </w:tcPr>
          <w:p w14:paraId="2CA358AC" w14:textId="4878B6E0" w:rsidR="00F0236A" w:rsidRPr="00073574" w:rsidRDefault="00D8447D" w:rsidP="00DF36E1">
            <w:pPr>
              <w:pStyle w:val="Tabletext"/>
              <w:jc w:val="center"/>
              <w:rPr>
                <w:b/>
                <w:bCs/>
                <w:sz w:val="24"/>
                <w:szCs w:val="24"/>
              </w:rPr>
            </w:pPr>
            <w:r w:rsidRPr="00073574">
              <w:rPr>
                <w:b/>
                <w:bCs/>
                <w:sz w:val="24"/>
                <w:szCs w:val="24"/>
              </w:rPr>
              <w:t>√</w:t>
            </w:r>
          </w:p>
        </w:tc>
        <w:tc>
          <w:tcPr>
            <w:tcW w:w="1348" w:type="dxa"/>
            <w:gridSpan w:val="2"/>
            <w:tcBorders>
              <w:top w:val="single" w:sz="12" w:space="0" w:color="auto"/>
            </w:tcBorders>
            <w:shd w:val="clear" w:color="auto" w:fill="auto"/>
            <w:vAlign w:val="center"/>
          </w:tcPr>
          <w:p w14:paraId="118D7F27" w14:textId="77777777" w:rsidR="00F0236A" w:rsidRPr="00073574" w:rsidRDefault="00F0236A" w:rsidP="00DF36E1">
            <w:pPr>
              <w:pStyle w:val="Tabletext"/>
              <w:jc w:val="center"/>
              <w:rPr>
                <w:b/>
                <w:bCs/>
                <w:sz w:val="24"/>
                <w:szCs w:val="24"/>
              </w:rPr>
            </w:pPr>
          </w:p>
        </w:tc>
      </w:tr>
      <w:tr w:rsidR="00F0236A" w:rsidRPr="00073574" w14:paraId="35FF4359" w14:textId="77777777" w:rsidTr="4D78197E">
        <w:trPr>
          <w:jc w:val="center"/>
        </w:trPr>
        <w:tc>
          <w:tcPr>
            <w:tcW w:w="896" w:type="dxa"/>
            <w:vMerge/>
          </w:tcPr>
          <w:p w14:paraId="2FF871C8" w14:textId="77777777" w:rsidR="00F0236A" w:rsidRPr="00073574" w:rsidRDefault="00F0236A" w:rsidP="00DF36E1">
            <w:pPr>
              <w:pStyle w:val="Tabletext"/>
              <w:rPr>
                <w:sz w:val="24"/>
                <w:szCs w:val="24"/>
              </w:rPr>
            </w:pPr>
          </w:p>
        </w:tc>
        <w:tc>
          <w:tcPr>
            <w:tcW w:w="8626" w:type="dxa"/>
            <w:gridSpan w:val="5"/>
            <w:shd w:val="clear" w:color="auto" w:fill="auto"/>
          </w:tcPr>
          <w:p w14:paraId="6931C92A" w14:textId="148E0269" w:rsidR="00F0236A" w:rsidRPr="00073574" w:rsidRDefault="00D8447D" w:rsidP="00DF36E1">
            <w:pPr>
              <w:pStyle w:val="Tabletext"/>
              <w:rPr>
                <w:szCs w:val="22"/>
              </w:rPr>
            </w:pPr>
            <w:r w:rsidRPr="00073574">
              <w:rPr>
                <w:szCs w:val="22"/>
              </w:rPr>
              <w:t>A Guideline on strategies in establishing national/international test laboratories for emerging technologies is currently under development.</w:t>
            </w:r>
          </w:p>
        </w:tc>
      </w:tr>
      <w:tr w:rsidR="00F0236A" w:rsidRPr="00073574" w14:paraId="154068BE" w14:textId="77777777" w:rsidTr="4D78197E">
        <w:trPr>
          <w:jc w:val="center"/>
        </w:trPr>
        <w:tc>
          <w:tcPr>
            <w:tcW w:w="896" w:type="dxa"/>
            <w:vMerge w:val="restart"/>
            <w:tcBorders>
              <w:top w:val="single" w:sz="12" w:space="0" w:color="auto"/>
            </w:tcBorders>
            <w:shd w:val="clear" w:color="auto" w:fill="auto"/>
          </w:tcPr>
          <w:p w14:paraId="1CC7872C" w14:textId="77777777" w:rsidR="00F0236A" w:rsidRPr="00073574" w:rsidRDefault="00F0236A" w:rsidP="00516D2C">
            <w:pPr>
              <w:pStyle w:val="Tabletext"/>
              <w:rPr>
                <w:b/>
                <w:bCs/>
                <w:sz w:val="24"/>
                <w:szCs w:val="24"/>
              </w:rPr>
            </w:pPr>
            <w:r w:rsidRPr="00073574">
              <w:rPr>
                <w:b/>
                <w:bCs/>
                <w:sz w:val="24"/>
                <w:szCs w:val="24"/>
              </w:rPr>
              <w:t>44-05</w:t>
            </w:r>
          </w:p>
        </w:tc>
        <w:tc>
          <w:tcPr>
            <w:tcW w:w="4512" w:type="dxa"/>
            <w:tcBorders>
              <w:top w:val="single" w:sz="12" w:space="0" w:color="auto"/>
            </w:tcBorders>
            <w:shd w:val="clear" w:color="auto" w:fill="auto"/>
          </w:tcPr>
          <w:p w14:paraId="2D9974A8" w14:textId="77777777" w:rsidR="00F0236A" w:rsidRPr="00073574" w:rsidRDefault="00F0236A" w:rsidP="00516D2C">
            <w:pPr>
              <w:pStyle w:val="Tabletext"/>
              <w:rPr>
                <w:b/>
                <w:bCs/>
                <w:sz w:val="24"/>
                <w:szCs w:val="24"/>
              </w:rPr>
            </w:pPr>
            <w:r w:rsidRPr="00073574">
              <w:rPr>
                <w:b/>
                <w:bCs/>
                <w:sz w:val="24"/>
                <w:szCs w:val="24"/>
              </w:rPr>
              <w:t xml:space="preserve">TSB further encourage voluntary contributions to the bridging the standardization gap fund (see also </w:t>
            </w:r>
            <w:hyperlink w:anchor="Resolution_34" w:history="1">
              <w:r w:rsidRPr="00073574">
                <w:rPr>
                  <w:rStyle w:val="Hyperlink"/>
                  <w:b/>
                  <w:bCs/>
                  <w:sz w:val="24"/>
                  <w:szCs w:val="24"/>
                </w:rPr>
                <w:t>Resolution 34</w:t>
              </w:r>
            </w:hyperlink>
            <w:r w:rsidRPr="00073574">
              <w:rPr>
                <w:b/>
                <w:bCs/>
                <w:sz w:val="24"/>
                <w:szCs w:val="24"/>
              </w:rPr>
              <w:t>) (resolves 4)</w:t>
            </w:r>
          </w:p>
        </w:tc>
        <w:tc>
          <w:tcPr>
            <w:tcW w:w="1637" w:type="dxa"/>
            <w:tcBorders>
              <w:top w:val="single" w:sz="12" w:space="0" w:color="auto"/>
            </w:tcBorders>
            <w:shd w:val="clear" w:color="auto" w:fill="auto"/>
            <w:vAlign w:val="center"/>
          </w:tcPr>
          <w:p w14:paraId="731D2A6B" w14:textId="77777777" w:rsidR="00F0236A" w:rsidRPr="00073574" w:rsidRDefault="00F0236A" w:rsidP="00516D2C">
            <w:pPr>
              <w:pStyle w:val="Tabletext"/>
              <w:jc w:val="center"/>
              <w:rPr>
                <w:b/>
                <w:bCs/>
                <w:sz w:val="24"/>
                <w:szCs w:val="24"/>
              </w:rPr>
            </w:pPr>
            <w:r w:rsidRPr="00073574">
              <w:rPr>
                <w:b/>
                <w:bCs/>
                <w:sz w:val="24"/>
                <w:szCs w:val="24"/>
              </w:rPr>
              <w:t>Ongoing</w:t>
            </w:r>
          </w:p>
        </w:tc>
        <w:tc>
          <w:tcPr>
            <w:tcW w:w="1129" w:type="dxa"/>
            <w:tcBorders>
              <w:top w:val="single" w:sz="12" w:space="0" w:color="auto"/>
            </w:tcBorders>
            <w:shd w:val="clear" w:color="auto" w:fill="auto"/>
            <w:vAlign w:val="center"/>
          </w:tcPr>
          <w:p w14:paraId="40F13F76" w14:textId="77777777" w:rsidR="00F0236A" w:rsidRPr="00073574" w:rsidRDefault="00F0236A" w:rsidP="00516D2C">
            <w:pPr>
              <w:pStyle w:val="Tabletext"/>
              <w:jc w:val="center"/>
              <w:rPr>
                <w:b/>
                <w:bCs/>
                <w:sz w:val="24"/>
                <w:szCs w:val="24"/>
              </w:rPr>
            </w:pPr>
            <w:r w:rsidRPr="00073574">
              <w:rPr>
                <w:b/>
                <w:bCs/>
                <w:sz w:val="24"/>
                <w:szCs w:val="24"/>
              </w:rPr>
              <w:t>√</w:t>
            </w:r>
          </w:p>
        </w:tc>
        <w:tc>
          <w:tcPr>
            <w:tcW w:w="1348" w:type="dxa"/>
            <w:gridSpan w:val="2"/>
            <w:tcBorders>
              <w:top w:val="single" w:sz="12" w:space="0" w:color="auto"/>
            </w:tcBorders>
            <w:shd w:val="clear" w:color="auto" w:fill="auto"/>
            <w:vAlign w:val="center"/>
          </w:tcPr>
          <w:p w14:paraId="021C5DA0" w14:textId="77777777" w:rsidR="00F0236A" w:rsidRPr="00073574" w:rsidRDefault="00F0236A" w:rsidP="00516D2C">
            <w:pPr>
              <w:pStyle w:val="Tabletext"/>
              <w:jc w:val="center"/>
              <w:rPr>
                <w:b/>
                <w:bCs/>
                <w:sz w:val="24"/>
                <w:szCs w:val="24"/>
              </w:rPr>
            </w:pPr>
          </w:p>
        </w:tc>
      </w:tr>
      <w:tr w:rsidR="00F0236A" w:rsidRPr="00073574" w14:paraId="37525F65" w14:textId="77777777" w:rsidTr="4D78197E">
        <w:trPr>
          <w:jc w:val="center"/>
        </w:trPr>
        <w:tc>
          <w:tcPr>
            <w:tcW w:w="896" w:type="dxa"/>
            <w:vMerge/>
          </w:tcPr>
          <w:p w14:paraId="62FEFB8B" w14:textId="77777777" w:rsidR="00F0236A" w:rsidRPr="00073574" w:rsidRDefault="00F0236A" w:rsidP="00516D2C">
            <w:pPr>
              <w:pStyle w:val="Tabletext"/>
              <w:rPr>
                <w:sz w:val="24"/>
                <w:szCs w:val="24"/>
              </w:rPr>
            </w:pPr>
          </w:p>
        </w:tc>
        <w:tc>
          <w:tcPr>
            <w:tcW w:w="8626" w:type="dxa"/>
            <w:gridSpan w:val="5"/>
            <w:shd w:val="clear" w:color="auto" w:fill="auto"/>
          </w:tcPr>
          <w:p w14:paraId="6B04EF04" w14:textId="1014440A" w:rsidR="00F0236A" w:rsidRPr="00073574" w:rsidRDefault="00BA0B92" w:rsidP="00516D2C">
            <w:pPr>
              <w:pStyle w:val="Tabletext"/>
              <w:rPr>
                <w:szCs w:val="22"/>
              </w:rPr>
            </w:pPr>
            <w:r w:rsidRPr="00073574">
              <w:rPr>
                <w:szCs w:val="22"/>
              </w:rPr>
              <w:t>TSB Director reports (TSAG-</w:t>
            </w:r>
            <w:r w:rsidR="00112C75" w:rsidRPr="00073574">
              <w:rPr>
                <w:szCs w:val="22"/>
              </w:rPr>
              <w:t>TD</w:t>
            </w:r>
            <w:r w:rsidR="00F0236A" w:rsidRPr="00073574">
              <w:rPr>
                <w:szCs w:val="22"/>
              </w:rPr>
              <w:t xml:space="preserve">24, </w:t>
            </w:r>
            <w:r w:rsidR="00112C75" w:rsidRPr="00073574">
              <w:rPr>
                <w:szCs w:val="22"/>
              </w:rPr>
              <w:t>TD</w:t>
            </w:r>
            <w:r w:rsidR="00F0236A" w:rsidRPr="00073574">
              <w:rPr>
                <w:szCs w:val="22"/>
              </w:rPr>
              <w:t>123) contain statements encouraging other voluntary contributions to the BSG Fund.</w:t>
            </w:r>
          </w:p>
        </w:tc>
      </w:tr>
      <w:tr w:rsidR="00F0236A" w:rsidRPr="00073574" w14:paraId="5C7C6F88" w14:textId="77777777" w:rsidTr="4D78197E">
        <w:trPr>
          <w:jc w:val="center"/>
        </w:trPr>
        <w:tc>
          <w:tcPr>
            <w:tcW w:w="896" w:type="dxa"/>
            <w:vMerge w:val="restart"/>
            <w:tcBorders>
              <w:top w:val="single" w:sz="12" w:space="0" w:color="auto"/>
            </w:tcBorders>
            <w:shd w:val="clear" w:color="auto" w:fill="auto"/>
          </w:tcPr>
          <w:p w14:paraId="6E2271BE" w14:textId="77777777" w:rsidR="00F0236A" w:rsidRPr="00073574" w:rsidRDefault="00F0236A" w:rsidP="008128E2">
            <w:pPr>
              <w:pStyle w:val="Tabletext"/>
              <w:keepNext/>
              <w:keepLines/>
              <w:rPr>
                <w:b/>
                <w:bCs/>
                <w:sz w:val="24"/>
                <w:szCs w:val="24"/>
              </w:rPr>
            </w:pPr>
            <w:r w:rsidRPr="00073574">
              <w:rPr>
                <w:b/>
                <w:bCs/>
                <w:sz w:val="24"/>
                <w:szCs w:val="24"/>
              </w:rPr>
              <w:t>44-11</w:t>
            </w:r>
          </w:p>
        </w:tc>
        <w:tc>
          <w:tcPr>
            <w:tcW w:w="4512" w:type="dxa"/>
            <w:tcBorders>
              <w:top w:val="single" w:sz="12" w:space="0" w:color="auto"/>
            </w:tcBorders>
            <w:shd w:val="clear" w:color="auto" w:fill="auto"/>
          </w:tcPr>
          <w:p w14:paraId="3A726DE0" w14:textId="77777777" w:rsidR="00F0236A" w:rsidRPr="00073574" w:rsidRDefault="00F0236A" w:rsidP="00DF36E1">
            <w:pPr>
              <w:pStyle w:val="Tabletext"/>
              <w:rPr>
                <w:b/>
                <w:bCs/>
                <w:sz w:val="24"/>
                <w:szCs w:val="24"/>
              </w:rPr>
            </w:pPr>
            <w:r w:rsidRPr="00073574">
              <w:rPr>
                <w:b/>
                <w:bCs/>
                <w:sz w:val="24"/>
                <w:szCs w:val="24"/>
              </w:rPr>
              <w:t>SGs to take account of specific characteristics of telecommunication environment in developing countries, and provide solutions/options relevant to developing countries wherever possible. (f.i. SGs 1)</w:t>
            </w:r>
          </w:p>
        </w:tc>
        <w:tc>
          <w:tcPr>
            <w:tcW w:w="1637" w:type="dxa"/>
            <w:tcBorders>
              <w:top w:val="single" w:sz="12" w:space="0" w:color="auto"/>
            </w:tcBorders>
            <w:shd w:val="clear" w:color="auto" w:fill="auto"/>
            <w:vAlign w:val="center"/>
          </w:tcPr>
          <w:p w14:paraId="52EDFAEC"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29" w:type="dxa"/>
            <w:tcBorders>
              <w:top w:val="single" w:sz="12" w:space="0" w:color="auto"/>
            </w:tcBorders>
            <w:shd w:val="clear" w:color="auto" w:fill="auto"/>
            <w:vAlign w:val="center"/>
          </w:tcPr>
          <w:p w14:paraId="0EC013B1" w14:textId="77777777" w:rsidR="00F0236A" w:rsidRPr="00073574" w:rsidRDefault="00F0236A" w:rsidP="00DF36E1">
            <w:pPr>
              <w:pStyle w:val="Tabletext"/>
              <w:jc w:val="center"/>
              <w:rPr>
                <w:b/>
                <w:bCs/>
                <w:sz w:val="24"/>
                <w:szCs w:val="24"/>
              </w:rPr>
            </w:pPr>
            <w:r w:rsidRPr="00073574">
              <w:rPr>
                <w:b/>
                <w:bCs/>
                <w:sz w:val="24"/>
                <w:szCs w:val="24"/>
              </w:rPr>
              <w:t>√</w:t>
            </w:r>
          </w:p>
        </w:tc>
        <w:tc>
          <w:tcPr>
            <w:tcW w:w="1348" w:type="dxa"/>
            <w:gridSpan w:val="2"/>
            <w:tcBorders>
              <w:top w:val="single" w:sz="12" w:space="0" w:color="auto"/>
            </w:tcBorders>
            <w:shd w:val="clear" w:color="auto" w:fill="auto"/>
            <w:vAlign w:val="center"/>
          </w:tcPr>
          <w:p w14:paraId="79C02C9D" w14:textId="77777777" w:rsidR="00F0236A" w:rsidRPr="00073574" w:rsidRDefault="00F0236A" w:rsidP="00DF36E1">
            <w:pPr>
              <w:pStyle w:val="Tabletext"/>
              <w:jc w:val="center"/>
              <w:rPr>
                <w:b/>
                <w:bCs/>
                <w:sz w:val="24"/>
                <w:szCs w:val="24"/>
              </w:rPr>
            </w:pPr>
          </w:p>
        </w:tc>
      </w:tr>
      <w:tr w:rsidR="00F0236A" w:rsidRPr="00073574" w14:paraId="7DCAC237" w14:textId="77777777" w:rsidTr="4D78197E">
        <w:trPr>
          <w:jc w:val="center"/>
        </w:trPr>
        <w:tc>
          <w:tcPr>
            <w:tcW w:w="896" w:type="dxa"/>
            <w:vMerge/>
          </w:tcPr>
          <w:p w14:paraId="2CCF8ED9" w14:textId="77777777" w:rsidR="00F0236A" w:rsidRPr="00073574" w:rsidRDefault="00F0236A" w:rsidP="00DF36E1">
            <w:pPr>
              <w:pStyle w:val="Tabletext"/>
              <w:rPr>
                <w:sz w:val="24"/>
                <w:szCs w:val="24"/>
              </w:rPr>
            </w:pPr>
          </w:p>
        </w:tc>
        <w:tc>
          <w:tcPr>
            <w:tcW w:w="8626" w:type="dxa"/>
            <w:gridSpan w:val="5"/>
            <w:shd w:val="clear" w:color="auto" w:fill="auto"/>
          </w:tcPr>
          <w:p w14:paraId="31A7D786" w14:textId="77777777" w:rsidR="00F0236A" w:rsidRPr="00073574" w:rsidRDefault="00F0236A" w:rsidP="00284A2E">
            <w:pPr>
              <w:spacing w:before="40"/>
              <w:rPr>
                <w:szCs w:val="22"/>
              </w:rPr>
            </w:pPr>
            <w:r w:rsidRPr="00073574">
              <w:rPr>
                <w:szCs w:val="22"/>
              </w:rPr>
              <w:t>SGs review contributions from developing countries and derive requirements and/or studies based on the inputs received.</w:t>
            </w:r>
          </w:p>
          <w:p w14:paraId="2409F57A" w14:textId="1167B8FA" w:rsidR="005D0A90" w:rsidRPr="00073574" w:rsidRDefault="1E5A2F96" w:rsidP="4D78197E">
            <w:pPr>
              <w:pStyle w:val="ListParagraph"/>
              <w:numPr>
                <w:ilvl w:val="0"/>
                <w:numId w:val="31"/>
              </w:numPr>
              <w:ind w:left="357" w:hanging="357"/>
              <w:contextualSpacing w:val="0"/>
            </w:pPr>
            <w:r w:rsidRPr="00073574">
              <w:t xml:space="preserve">Thus far, over </w:t>
            </w:r>
            <w:r w:rsidR="00D8045E" w:rsidRPr="00073574">
              <w:t>30</w:t>
            </w:r>
            <w:r w:rsidRPr="00073574">
              <w:t xml:space="preserve"> hands-on </w:t>
            </w:r>
            <w:r w:rsidR="122084AD" w:rsidRPr="00073574">
              <w:t xml:space="preserve">BSG </w:t>
            </w:r>
            <w:r w:rsidR="002E5D08" w:rsidRPr="00073574">
              <w:t>trainin</w:t>
            </w:r>
            <w:r w:rsidR="003555F4" w:rsidRPr="00073574">
              <w:t>gs</w:t>
            </w:r>
            <w:r w:rsidRPr="00073574">
              <w:t xml:space="preserve"> have been held for </w:t>
            </w:r>
            <w:r w:rsidR="00CD4038" w:rsidRPr="00073574">
              <w:t>m</w:t>
            </w:r>
            <w:r w:rsidRPr="00073574">
              <w:t>o</w:t>
            </w:r>
            <w:r w:rsidR="00CD4038" w:rsidRPr="00073574">
              <w:t>r</w:t>
            </w:r>
            <w:r w:rsidRPr="00073574">
              <w:t xml:space="preserve">e </w:t>
            </w:r>
            <w:r w:rsidR="00CD4038" w:rsidRPr="00073574">
              <w:t xml:space="preserve">than </w:t>
            </w:r>
            <w:r w:rsidR="005F14BB" w:rsidRPr="00073574">
              <w:t>70</w:t>
            </w:r>
            <w:r w:rsidRPr="00073574">
              <w:t>0 delegates, representing 8</w:t>
            </w:r>
            <w:r w:rsidR="009576EF" w:rsidRPr="00073574">
              <w:t>6</w:t>
            </w:r>
            <w:r w:rsidRPr="00073574">
              <w:t xml:space="preserve"> countries and 9</w:t>
            </w:r>
            <w:r w:rsidR="009576EF" w:rsidRPr="00073574">
              <w:t>4</w:t>
            </w:r>
            <w:r w:rsidRPr="00073574">
              <w:t xml:space="preserve"> organizations</w:t>
            </w:r>
            <w:r w:rsidR="352D6D3F" w:rsidRPr="00073574">
              <w:t>.</w:t>
            </w:r>
            <w:r w:rsidR="003555F4" w:rsidRPr="00073574">
              <w:t xml:space="preserve"> </w:t>
            </w:r>
            <w:r w:rsidR="00BB4959" w:rsidRPr="00073574">
              <w:t xml:space="preserve">With the advent of </w:t>
            </w:r>
            <w:r w:rsidR="00237BB4" w:rsidRPr="00073574">
              <w:t xml:space="preserve">the </w:t>
            </w:r>
            <w:r w:rsidR="00BB4959" w:rsidRPr="00073574">
              <w:t>COVID-19</w:t>
            </w:r>
            <w:r w:rsidR="00237BB4" w:rsidRPr="00073574">
              <w:t xml:space="preserve"> pandemic</w:t>
            </w:r>
            <w:r w:rsidR="00BB4959" w:rsidRPr="00073574">
              <w:t xml:space="preserve">, </w:t>
            </w:r>
            <w:r w:rsidR="004119F6" w:rsidRPr="00073574">
              <w:t xml:space="preserve">since </w:t>
            </w:r>
            <w:r w:rsidR="003555F4" w:rsidRPr="00073574">
              <w:t xml:space="preserve">March 2020, </w:t>
            </w:r>
            <w:r w:rsidR="005B001C" w:rsidRPr="00073574">
              <w:t>14 virtual</w:t>
            </w:r>
            <w:r w:rsidR="00875929" w:rsidRPr="00073574">
              <w:t xml:space="preserve"> BSG</w:t>
            </w:r>
            <w:r w:rsidR="005B001C" w:rsidRPr="00073574">
              <w:t xml:space="preserve"> trainings have been</w:t>
            </w:r>
            <w:r w:rsidR="004119F6" w:rsidRPr="00073574">
              <w:t xml:space="preserve"> organized </w:t>
            </w:r>
            <w:r w:rsidR="00875929" w:rsidRPr="00073574">
              <w:t xml:space="preserve">for </w:t>
            </w:r>
            <w:r w:rsidR="00BF0746" w:rsidRPr="00073574">
              <w:t>3</w:t>
            </w:r>
            <w:r w:rsidR="00731D12" w:rsidRPr="00073574">
              <w:t>54</w:t>
            </w:r>
            <w:r w:rsidR="00BF0746" w:rsidRPr="00073574">
              <w:t xml:space="preserve"> delegates </w:t>
            </w:r>
            <w:r w:rsidR="00627737" w:rsidRPr="00073574">
              <w:t xml:space="preserve">representing </w:t>
            </w:r>
            <w:r w:rsidR="006C1CE1" w:rsidRPr="00073574">
              <w:t>40</w:t>
            </w:r>
            <w:r w:rsidR="00875929" w:rsidRPr="00073574">
              <w:t xml:space="preserve"> countries and </w:t>
            </w:r>
            <w:r w:rsidR="002F0E8F" w:rsidRPr="00073574">
              <w:t>56</w:t>
            </w:r>
            <w:r w:rsidRPr="00073574">
              <w:t xml:space="preserve"> organizations</w:t>
            </w:r>
            <w:r w:rsidR="352D6D3F" w:rsidRPr="00073574">
              <w:t>.</w:t>
            </w:r>
          </w:p>
          <w:p w14:paraId="0F040E78" w14:textId="7B53C26E" w:rsidR="00F0236A" w:rsidRPr="00073574" w:rsidRDefault="00F0236A" w:rsidP="4D78197E">
            <w:pPr>
              <w:pStyle w:val="ListParagraph"/>
              <w:numPr>
                <w:ilvl w:val="0"/>
                <w:numId w:val="31"/>
              </w:numPr>
              <w:ind w:left="357" w:hanging="357"/>
              <w:contextualSpacing w:val="0"/>
            </w:pPr>
            <w:r w:rsidRPr="00073574">
              <w:t>SG2: The continuation of the Ad hoc group on developing country issues was agreed at the SG2</w:t>
            </w:r>
            <w:r w:rsidR="003C7E25" w:rsidRPr="00073574">
              <w:t>'</w:t>
            </w:r>
            <w:r w:rsidRPr="00073574">
              <w:t xml:space="preserve">s first meeting (29 March to 7 April 2017) in this study period and the Ad hoc group met during </w:t>
            </w:r>
            <w:r w:rsidR="009D134E" w:rsidRPr="00073574">
              <w:t xml:space="preserve">all multi-day </w:t>
            </w:r>
            <w:r w:rsidRPr="00073574">
              <w:t>SG2 meeting</w:t>
            </w:r>
            <w:r w:rsidR="08D35073" w:rsidRPr="00073574">
              <w:t>s</w:t>
            </w:r>
            <w:r w:rsidRPr="00073574">
              <w:t>.</w:t>
            </w:r>
            <w:r w:rsidR="2871F147" w:rsidRPr="00073574">
              <w:t xml:space="preserve"> </w:t>
            </w:r>
            <w:r w:rsidR="2871F147" w:rsidRPr="00073574">
              <w:rPr>
                <w:color w:val="000000" w:themeColor="text1"/>
              </w:rPr>
              <w:t xml:space="preserve">SG2RG-AFR was created in 2017 at the SG2 </w:t>
            </w:r>
            <w:r w:rsidR="2871F147" w:rsidRPr="00073574">
              <w:rPr>
                <w:color w:val="000000" w:themeColor="text1"/>
              </w:rPr>
              <w:lastRenderedPageBreak/>
              <w:t>meeting of 27 November to 1 December 2017</w:t>
            </w:r>
            <w:r w:rsidR="00DB597D" w:rsidRPr="00073574">
              <w:rPr>
                <w:color w:val="000000" w:themeColor="text1"/>
              </w:rPr>
              <w:t xml:space="preserve"> and eventually met four times during the study period</w:t>
            </w:r>
            <w:r w:rsidR="2871F147" w:rsidRPr="00073574">
              <w:rPr>
                <w:color w:val="000000" w:themeColor="text1"/>
              </w:rPr>
              <w:t>.</w:t>
            </w:r>
            <w:r w:rsidR="00ED0799" w:rsidRPr="00073574">
              <w:rPr>
                <w:color w:val="000000" w:themeColor="text1"/>
              </w:rPr>
              <w:t xml:space="preserve"> SG2RG-AMR met three times du</w:t>
            </w:r>
            <w:r w:rsidR="00DB597D" w:rsidRPr="00073574">
              <w:rPr>
                <w:color w:val="000000" w:themeColor="text1"/>
              </w:rPr>
              <w:t xml:space="preserve">ring the study period, and </w:t>
            </w:r>
            <w:r w:rsidR="000E5D3A" w:rsidRPr="00073574">
              <w:rPr>
                <w:color w:val="000000" w:themeColor="text1"/>
              </w:rPr>
              <w:t>SG2RG-ARB met four times.</w:t>
            </w:r>
          </w:p>
          <w:p w14:paraId="214148F4" w14:textId="51F54BBD" w:rsidR="002009A4" w:rsidRPr="00073574" w:rsidRDefault="002009A4" w:rsidP="002009A4">
            <w:pPr>
              <w:pStyle w:val="ListParagraph"/>
              <w:numPr>
                <w:ilvl w:val="0"/>
                <w:numId w:val="31"/>
              </w:numPr>
              <w:ind w:left="357" w:hanging="357"/>
              <w:contextualSpacing w:val="0"/>
            </w:pPr>
            <w:r w:rsidRPr="00073574">
              <w:t xml:space="preserve">SG3, through its five regional groups, is addressing the needs of developing countries within its mandate. As per Section 9.2 of WTSA Resolution 1, two regional Recommendations (ref. </w:t>
            </w:r>
            <w:hyperlink r:id="rId285" w:history="1">
              <w:r w:rsidRPr="00073574">
                <w:rPr>
                  <w:rStyle w:val="Hyperlink"/>
                </w:rPr>
                <w:t>ITU-T D.606R</w:t>
              </w:r>
            </w:hyperlink>
            <w:r w:rsidRPr="00073574">
              <w:t xml:space="preserve"> and </w:t>
            </w:r>
            <w:hyperlink r:id="rId286" w:history="1">
              <w:r w:rsidRPr="00073574">
                <w:rPr>
                  <w:rStyle w:val="Hyperlink"/>
                </w:rPr>
                <w:t>ITU-T D.607R</w:t>
              </w:r>
            </w:hyperlink>
            <w:r w:rsidRPr="00073574">
              <w:t>) have been approved and one regional Recommendation has been determined.</w:t>
            </w:r>
          </w:p>
          <w:p w14:paraId="29ABBC74" w14:textId="29C65052" w:rsidR="00F0236A" w:rsidRPr="00073574" w:rsidRDefault="00F0236A" w:rsidP="4D78197E">
            <w:pPr>
              <w:pStyle w:val="ListParagraph"/>
              <w:numPr>
                <w:ilvl w:val="0"/>
                <w:numId w:val="31"/>
              </w:numPr>
              <w:contextualSpacing w:val="0"/>
            </w:pPr>
            <w:r w:rsidRPr="00073574">
              <w:t xml:space="preserve">SG5 </w:t>
            </w:r>
            <w:r w:rsidR="29060DB3" w:rsidRPr="00073574">
              <w:t>held</w:t>
            </w:r>
            <w:r w:rsidRPr="00073574">
              <w:t xml:space="preserve"> a Bridging the Standardization Gap (BSG) Hands-on Training Session for delegates from developing countries on Tuesday, 16 May 2017.</w:t>
            </w:r>
            <w:r w:rsidR="29060DB3" w:rsidRPr="00073574">
              <w:t xml:space="preserve"> During the ITU-T SG5 meeting (11-21 September 2018), a Bridging the Standardization Gap training to the SG5 Regional Group Chairmen was held on Friday 14 September 2018. The training provided an overview on how to strengthen the work of the Regional Groups.</w:t>
            </w:r>
            <w:r w:rsidR="01585672" w:rsidRPr="00073574">
              <w:t xml:space="preserve"> SG5 through its four regional groups is addressing the needs of developing countries. SG5 and SG20 organiz</w:t>
            </w:r>
            <w:r w:rsidR="2E41F953" w:rsidRPr="00073574">
              <w:t>ed</w:t>
            </w:r>
            <w:r w:rsidR="01585672" w:rsidRPr="00073574">
              <w:t xml:space="preserve"> a Bridging the Standardization Gap Training on "How to draft international standards" on 27 August 2019 in Abuja, Nigeria. The training </w:t>
            </w:r>
            <w:r w:rsidR="2E41F953" w:rsidRPr="00073574">
              <w:t>was</w:t>
            </w:r>
            <w:r w:rsidR="01585672" w:rsidRPr="00073574">
              <w:t xml:space="preserve"> held during the 1</w:t>
            </w:r>
            <w:r w:rsidR="01585672" w:rsidRPr="00073574">
              <w:rPr>
                <w:vertAlign w:val="superscript"/>
              </w:rPr>
              <w:t>st</w:t>
            </w:r>
            <w:r w:rsidR="01585672" w:rsidRPr="00073574">
              <w:t xml:space="preserve"> Digital African Week.</w:t>
            </w:r>
          </w:p>
          <w:p w14:paraId="3C698415" w14:textId="251B592C" w:rsidR="00F0236A" w:rsidRPr="00073574" w:rsidRDefault="09FC9074" w:rsidP="4D78197E">
            <w:pPr>
              <w:pStyle w:val="ListParagraph"/>
              <w:numPr>
                <w:ilvl w:val="0"/>
                <w:numId w:val="31"/>
              </w:numPr>
              <w:ind w:left="357" w:hanging="357"/>
              <w:contextualSpacing w:val="0"/>
            </w:pPr>
            <w:r w:rsidRPr="00073574">
              <w:t xml:space="preserve">SG9 </w:t>
            </w:r>
            <w:r w:rsidR="00510D87" w:rsidRPr="00073574">
              <w:t>established</w:t>
            </w:r>
            <w:r w:rsidRPr="00073574">
              <w:t xml:space="preserve"> a specific Question (Q4/9) to take into account studies related to developing countries. </w:t>
            </w:r>
            <w:r w:rsidR="00F0236A" w:rsidRPr="00073574">
              <w:t xml:space="preserve">Contributions to SG9 from developing countries </w:t>
            </w:r>
            <w:r w:rsidRPr="00073574">
              <w:t xml:space="preserve">are </w:t>
            </w:r>
            <w:r w:rsidR="00F0236A" w:rsidRPr="00073574">
              <w:t xml:space="preserve">increasing </w:t>
            </w:r>
            <w:r w:rsidRPr="00073574">
              <w:t xml:space="preserve">since </w:t>
            </w:r>
            <w:r w:rsidR="00F0236A" w:rsidRPr="00073574">
              <w:t xml:space="preserve">the last Study Period and this allows taking into account developing countries needs when drafting ITU-T Recommendations. </w:t>
            </w:r>
            <w:r w:rsidR="00783732" w:rsidRPr="00073574">
              <w:t>SG9 approved a Recommendation specifically addressing developing countries needs and established a related new subseries as follows:</w:t>
            </w:r>
            <w:r w:rsidR="00783732" w:rsidRPr="00073574">
              <w:br/>
              <w:t xml:space="preserve">“J.1400-J.1409 - Television transport network and system deployment in developing countries” </w:t>
            </w:r>
            <w:r w:rsidR="00F0236A" w:rsidRPr="00073574">
              <w:t xml:space="preserve">We expect the trend to continue in </w:t>
            </w:r>
            <w:r w:rsidR="00783732" w:rsidRPr="00073574">
              <w:t xml:space="preserve">next </w:t>
            </w:r>
            <w:r w:rsidR="00F0236A" w:rsidRPr="00073574">
              <w:t>Study Period.</w:t>
            </w:r>
            <w:r w:rsidRPr="00073574">
              <w:t xml:space="preserve"> SG9 </w:t>
            </w:r>
            <w:r w:rsidR="00783732" w:rsidRPr="00073574">
              <w:t xml:space="preserve">was </w:t>
            </w:r>
            <w:r w:rsidRPr="00073574">
              <w:t>planning a meeting in Gambia, Africa in September 2020</w:t>
            </w:r>
            <w:r w:rsidR="00783732" w:rsidRPr="00073574">
              <w:t xml:space="preserve"> but it had to be postponed to the next Study Period due to C</w:t>
            </w:r>
            <w:r w:rsidR="00D10B4E" w:rsidRPr="00073574">
              <w:t>OVID</w:t>
            </w:r>
            <w:r w:rsidR="00783732" w:rsidRPr="00073574">
              <w:t>-19. SG9 will try again to organize a meeting in Africa in next Study Period with a co-located workshop on “The future of TV for Africa”</w:t>
            </w:r>
            <w:r w:rsidRPr="00073574">
              <w:t>.</w:t>
            </w:r>
          </w:p>
          <w:p w14:paraId="5791BFE0" w14:textId="37A78618" w:rsidR="007E2AB0" w:rsidRPr="00073574" w:rsidRDefault="6C987ADD" w:rsidP="4D78197E">
            <w:pPr>
              <w:pStyle w:val="ListParagraph"/>
              <w:numPr>
                <w:ilvl w:val="0"/>
                <w:numId w:val="31"/>
              </w:numPr>
              <w:contextualSpacing w:val="0"/>
            </w:pPr>
            <w:r w:rsidRPr="00073574">
              <w:t xml:space="preserve">SG11 approved the technical report QTR-CICT "Survey report on counterfeit ICT devices in Africa region". SG11 has </w:t>
            </w:r>
            <w:r w:rsidR="00786FDC" w:rsidRPr="00073574">
              <w:t>organized</w:t>
            </w:r>
            <w:r w:rsidRPr="00073574">
              <w:t xml:space="preserve"> regular BSG training</w:t>
            </w:r>
            <w:r w:rsidR="00786FDC" w:rsidRPr="00073574">
              <w:t>s, collocated with its meetings</w:t>
            </w:r>
            <w:r w:rsidRPr="00073574">
              <w:t xml:space="preserve">. The number of contributions from developing countries is stable. </w:t>
            </w:r>
            <w:r w:rsidR="46077799" w:rsidRPr="00073574">
              <w:t xml:space="preserve">The third meeting of </w:t>
            </w:r>
            <w:r w:rsidRPr="00073574">
              <w:t xml:space="preserve">SG11RG-AFR </w:t>
            </w:r>
            <w:r w:rsidR="450E41EC" w:rsidRPr="00073574">
              <w:t xml:space="preserve">took </w:t>
            </w:r>
            <w:r w:rsidRPr="00073574">
              <w:t xml:space="preserve">place in Tunis from </w:t>
            </w:r>
            <w:r w:rsidR="450E41EC" w:rsidRPr="00073574">
              <w:t>30 September – 2 October 2019</w:t>
            </w:r>
            <w:r w:rsidR="46077799" w:rsidRPr="00073574">
              <w:t xml:space="preserve"> which </w:t>
            </w:r>
            <w:r w:rsidR="450E41EC" w:rsidRPr="00073574">
              <w:t xml:space="preserve">was </w:t>
            </w:r>
            <w:r w:rsidR="46077799" w:rsidRPr="00073574">
              <w:t>preced</w:t>
            </w:r>
            <w:r w:rsidR="139F4A49" w:rsidRPr="00073574">
              <w:t>ed</w:t>
            </w:r>
            <w:r w:rsidR="46077799" w:rsidRPr="00073574">
              <w:t xml:space="preserve"> by the ITU-T Study Group 11 Regional Workshop for Africa on “Counterfeit ICT Devices, Conformance and Interoperability Testing Challenges in Africa”</w:t>
            </w:r>
            <w:r w:rsidRPr="00073574">
              <w:t>.</w:t>
            </w:r>
            <w:r w:rsidR="46077799" w:rsidRPr="00073574">
              <w:t xml:space="preserve"> </w:t>
            </w:r>
            <w:r w:rsidR="450E41EC" w:rsidRPr="00073574">
              <w:t xml:space="preserve">According to received </w:t>
            </w:r>
            <w:r w:rsidR="48E4F4E2" w:rsidRPr="00073574">
              <w:t xml:space="preserve">contributions from Africa region, </w:t>
            </w:r>
            <w:r w:rsidR="46077799" w:rsidRPr="00073574">
              <w:t>SG11 started new work item</w:t>
            </w:r>
            <w:r w:rsidR="450E41EC" w:rsidRPr="00073574">
              <w:t>s on combating counterfe</w:t>
            </w:r>
            <w:r w:rsidR="00D10B4E" w:rsidRPr="00073574">
              <w:t>i</w:t>
            </w:r>
            <w:r w:rsidR="450E41EC" w:rsidRPr="00073574">
              <w:t>ting issues</w:t>
            </w:r>
            <w:r w:rsidR="48E4F4E2" w:rsidRPr="00073574">
              <w:t>.</w:t>
            </w:r>
            <w:r w:rsidR="74E0ACD0" w:rsidRPr="00073574">
              <w:t xml:space="preserve"> The SG11RG-EECAT </w:t>
            </w:r>
            <w:r w:rsidR="006627E4" w:rsidRPr="00073574">
              <w:t>met</w:t>
            </w:r>
            <w:r w:rsidR="74E0ACD0" w:rsidRPr="00073574">
              <w:t xml:space="preserve"> in Saint Petersburg from 21-22 May 2019</w:t>
            </w:r>
            <w:r w:rsidR="006627E4" w:rsidRPr="00073574">
              <w:t xml:space="preserve"> and virtually on 20 October 2021</w:t>
            </w:r>
            <w:r w:rsidR="74E0ACD0" w:rsidRPr="00073574">
              <w:t>.</w:t>
            </w:r>
            <w:r w:rsidRPr="00073574">
              <w:t xml:space="preserve"> </w:t>
            </w:r>
            <w:r w:rsidR="006627E4" w:rsidRPr="00073574">
              <w:t>In total, seven</w:t>
            </w:r>
            <w:r w:rsidRPr="00073574">
              <w:t xml:space="preserve"> contributions </w:t>
            </w:r>
            <w:r w:rsidR="450E41EC" w:rsidRPr="00073574">
              <w:t>were</w:t>
            </w:r>
            <w:r w:rsidR="74E0ACD0" w:rsidRPr="00073574">
              <w:t xml:space="preserve"> </w:t>
            </w:r>
            <w:r w:rsidRPr="00073574">
              <w:t xml:space="preserve">submitted to </w:t>
            </w:r>
            <w:r w:rsidR="74E0ACD0" w:rsidRPr="00073574">
              <w:t xml:space="preserve">the </w:t>
            </w:r>
            <w:r w:rsidRPr="00073574">
              <w:t xml:space="preserve">SG11 </w:t>
            </w:r>
            <w:r w:rsidR="74E0ACD0" w:rsidRPr="00073574">
              <w:t xml:space="preserve">meeting </w:t>
            </w:r>
            <w:r w:rsidRPr="00073574">
              <w:t xml:space="preserve">following the results of </w:t>
            </w:r>
            <w:r w:rsidR="006627E4" w:rsidRPr="00073574">
              <w:t>those meetings</w:t>
            </w:r>
            <w:r w:rsidRPr="00073574">
              <w:t>.</w:t>
            </w:r>
            <w:r w:rsidR="00DE7147" w:rsidRPr="00073574">
              <w:t xml:space="preserve"> SG11 also organized the following virtual BSG training sessions:</w:t>
            </w:r>
          </w:p>
          <w:p w14:paraId="645497A9" w14:textId="13F14EC7" w:rsidR="00DE7147" w:rsidRPr="00073574" w:rsidRDefault="00485F4B" w:rsidP="00DE7147">
            <w:pPr>
              <w:pStyle w:val="ListParagraph"/>
              <w:numPr>
                <w:ilvl w:val="0"/>
                <w:numId w:val="126"/>
              </w:numPr>
              <w:contextualSpacing w:val="0"/>
            </w:pPr>
            <w:r w:rsidRPr="00073574">
              <w:t>16 March 2021</w:t>
            </w:r>
          </w:p>
          <w:p w14:paraId="2B67F492" w14:textId="58FF0EF5" w:rsidR="00485F4B" w:rsidRPr="00073574" w:rsidRDefault="00485F4B" w:rsidP="00FD0841">
            <w:pPr>
              <w:pStyle w:val="ListParagraph"/>
              <w:numPr>
                <w:ilvl w:val="0"/>
                <w:numId w:val="126"/>
              </w:numPr>
              <w:contextualSpacing w:val="0"/>
            </w:pPr>
            <w:r w:rsidRPr="00073574">
              <w:t>30 November 2021 (together with ITU-T SG13)</w:t>
            </w:r>
          </w:p>
          <w:p w14:paraId="3B840BEB" w14:textId="03DCA5FE" w:rsidR="00AB22C2" w:rsidRPr="00073574" w:rsidRDefault="00F0236A" w:rsidP="4D78197E">
            <w:pPr>
              <w:pStyle w:val="ListParagraph"/>
              <w:numPr>
                <w:ilvl w:val="0"/>
                <w:numId w:val="31"/>
              </w:numPr>
              <w:ind w:left="357" w:hanging="357"/>
              <w:contextualSpacing w:val="0"/>
            </w:pPr>
            <w:r w:rsidRPr="00073574">
              <w:t>SG12</w:t>
            </w:r>
            <w:r w:rsidR="7731FD69" w:rsidRPr="00073574">
              <w:t xml:space="preserve"> and its regional group held several BSG hands-on training sessions</w:t>
            </w:r>
            <w:r w:rsidR="35777CD4" w:rsidRPr="00073574">
              <w:t>.</w:t>
            </w:r>
            <w:r w:rsidR="0EEBB429" w:rsidRPr="00073574">
              <w:t xml:space="preserve"> The January 2017 </w:t>
            </w:r>
            <w:r w:rsidR="5D6B3862" w:rsidRPr="00073574">
              <w:t xml:space="preserve">SG12 </w:t>
            </w:r>
            <w:r w:rsidR="0EEBB429" w:rsidRPr="00073574">
              <w:t xml:space="preserve">meeting saw various related contributions and consented four Recommendations of particular interest to developing countries. The meeting adopted an action plan on the implementation of Res. 95 (service quality), which is an item of great relevance to developing countries. In September 2017, SG12 requested TSB to disseminate a questionnaire on service quality regulatory frameworks via TSB Circular. Operating under SG12, the Quality of Service Development Group (QSDG) organized workshops on telecommunications service quality (back-to-back with </w:t>
            </w:r>
            <w:r w:rsidR="58F80499" w:rsidRPr="00073574">
              <w:t xml:space="preserve">SG12, </w:t>
            </w:r>
            <w:r w:rsidR="0EEBB429" w:rsidRPr="00073574">
              <w:t xml:space="preserve">SG12RG-AFR and QSDG meetings) </w:t>
            </w:r>
            <w:r w:rsidR="58F80499" w:rsidRPr="00073574">
              <w:t xml:space="preserve">in Geneva, Kigali </w:t>
            </w:r>
            <w:r w:rsidR="0EEBB429" w:rsidRPr="00073574">
              <w:t xml:space="preserve">and </w:t>
            </w:r>
            <w:r w:rsidR="58F80499" w:rsidRPr="00073574">
              <w:t>Singapore</w:t>
            </w:r>
            <w:r w:rsidR="3359F94F" w:rsidRPr="00073574">
              <w:t>, QoS-themed webinar</w:t>
            </w:r>
            <w:r w:rsidR="00177C75" w:rsidRPr="00073574">
              <w:t>s</w:t>
            </w:r>
            <w:r w:rsidR="3359F94F" w:rsidRPr="00073574">
              <w:t xml:space="preserve"> in 2020</w:t>
            </w:r>
            <w:r w:rsidR="00177C75" w:rsidRPr="00073574">
              <w:t xml:space="preserve"> and 2021</w:t>
            </w:r>
            <w:r w:rsidR="0EEBB429" w:rsidRPr="00073574">
              <w:t>.</w:t>
            </w:r>
            <w:r w:rsidR="001E52F4" w:rsidRPr="00073574">
              <w:t xml:space="preserve"> This </w:t>
            </w:r>
            <w:r w:rsidR="001E52F4" w:rsidRPr="00073574">
              <w:lastRenderedPageBreak/>
              <w:t>included a workshop held entirely in Spanish targeting Spanish-speaking countries in Latin America.</w:t>
            </w:r>
          </w:p>
          <w:p w14:paraId="1466906E" w14:textId="596A397D" w:rsidR="00F0236A" w:rsidRPr="00073574" w:rsidRDefault="00F0236A" w:rsidP="4D78197E">
            <w:pPr>
              <w:pStyle w:val="ListParagraph"/>
              <w:numPr>
                <w:ilvl w:val="0"/>
                <w:numId w:val="31"/>
              </w:numPr>
              <w:ind w:left="357" w:hanging="357"/>
              <w:contextualSpacing w:val="0"/>
            </w:pPr>
            <w:r w:rsidRPr="00073574">
              <w:t xml:space="preserve">SG13 has </w:t>
            </w:r>
            <w:r w:rsidR="003B738C" w:rsidRPr="00073574">
              <w:t xml:space="preserve">a </w:t>
            </w:r>
            <w:r w:rsidRPr="00073574">
              <w:t>regular BSG training alongside each of its RG</w:t>
            </w:r>
            <w:r w:rsidR="00734CFE" w:rsidRPr="00073574">
              <w:t>-AFR</w:t>
            </w:r>
            <w:r w:rsidRPr="00073574">
              <w:t xml:space="preserve"> and SG meeting</w:t>
            </w:r>
            <w:r w:rsidR="007D3C7D" w:rsidRPr="00073574">
              <w:t>s</w:t>
            </w:r>
            <w:r w:rsidRPr="00073574">
              <w:t>.</w:t>
            </w:r>
            <w:r w:rsidR="07E1BD47" w:rsidRPr="00073574">
              <w:t xml:space="preserve"> In addition, </w:t>
            </w:r>
            <w:r w:rsidR="07E1BD47" w:rsidRPr="00073574">
              <w:rPr>
                <w:i/>
                <w:iCs/>
              </w:rPr>
              <w:t>a special training on technical Recommendations</w:t>
            </w:r>
            <w:r w:rsidR="07E1BD47" w:rsidRPr="00073574">
              <w:t xml:space="preserve"> </w:t>
            </w:r>
            <w:r w:rsidR="698B75E0" w:rsidRPr="00073574">
              <w:t>wa</w:t>
            </w:r>
            <w:r w:rsidR="07E1BD47" w:rsidRPr="00073574">
              <w:t>s convened at the end of March 2018 alongside the SG13RG-AFR meeting. SG13 a</w:t>
            </w:r>
            <w:r w:rsidR="002625BC" w:rsidRPr="00073574">
              <w:t>greed</w:t>
            </w:r>
            <w:r w:rsidR="07E1BD47" w:rsidRPr="00073574">
              <w:t xml:space="preserve"> the new Supplement 46 to Y.3500-seres “Scenarios of Implementing Cloud Computing in networks of developing countries”.</w:t>
            </w:r>
            <w:r w:rsidR="698B75E0" w:rsidRPr="00073574">
              <w:t xml:space="preserve"> At July 2018 meeting, SG13 agreed to dispatch two questionnaires* designated to the developing countries with the aim to develop a Supplement on big data technologies implementation in developing countries and better shaping the work of Q5/13 “Applying networks of future and innovation in developing countries”</w:t>
            </w:r>
            <w:r w:rsidR="001A0592" w:rsidRPr="00073574">
              <w:t xml:space="preserve"> (since 2021 titles is “</w:t>
            </w:r>
            <w:r w:rsidR="006E386A" w:rsidRPr="00073574">
              <w:t>Applying Future Networks and Innovation in Developing Countries</w:t>
            </w:r>
            <w:r w:rsidR="001A0592" w:rsidRPr="00073574">
              <w:t>”)</w:t>
            </w:r>
            <w:r w:rsidR="698B75E0" w:rsidRPr="00073574">
              <w:t>.</w:t>
            </w:r>
          </w:p>
          <w:p w14:paraId="6D5A50E5" w14:textId="6B307F25" w:rsidR="005024F3" w:rsidRPr="00073574" w:rsidRDefault="005024F3" w:rsidP="005024F3">
            <w:pPr>
              <w:pStyle w:val="ListParagraph"/>
              <w:ind w:left="357"/>
              <w:contextualSpacing w:val="0"/>
              <w:rPr>
                <w:szCs w:val="22"/>
              </w:rPr>
            </w:pPr>
            <w:r w:rsidRPr="00073574">
              <w:rPr>
                <w:szCs w:val="22"/>
              </w:rPr>
              <w:t>*Questionnaire on use of ITU-T Recommendations in Developing Countries and</w:t>
            </w:r>
            <w:r w:rsidRPr="00073574">
              <w:rPr>
                <w:b/>
                <w:bCs/>
                <w:szCs w:val="22"/>
              </w:rPr>
              <w:t xml:space="preserve"> </w:t>
            </w:r>
            <w:r w:rsidRPr="00073574">
              <w:rPr>
                <w:szCs w:val="22"/>
              </w:rPr>
              <w:t>Questionnaire on Big Data Adoption in Developing Countries</w:t>
            </w:r>
          </w:p>
          <w:p w14:paraId="3E8AAF9E" w14:textId="3A6F823A" w:rsidR="00B00285" w:rsidRPr="00073574" w:rsidRDefault="4854AF01" w:rsidP="005024F3">
            <w:pPr>
              <w:pStyle w:val="ListParagraph"/>
              <w:ind w:left="357"/>
              <w:contextualSpacing w:val="0"/>
            </w:pPr>
            <w:r w:rsidRPr="00073574">
              <w:t>See item 44-02 above. Also</w:t>
            </w:r>
            <w:r w:rsidR="007F76A4" w:rsidRPr="00073574">
              <w:t>,</w:t>
            </w:r>
            <w:r w:rsidRPr="00073574">
              <w:t xml:space="preserve"> SG13 in March 2019 set up a new SG13RG-EECAT, that at its </w:t>
            </w:r>
            <w:r w:rsidR="4F083BF5" w:rsidRPr="00073574">
              <w:t>first</w:t>
            </w:r>
            <w:r w:rsidRPr="00073574">
              <w:t xml:space="preserve"> meeting in May 2019 in St </w:t>
            </w:r>
            <w:r w:rsidR="583C089B" w:rsidRPr="00073574">
              <w:t>Petersburg</w:t>
            </w:r>
            <w:r w:rsidRPr="00073574">
              <w:t xml:space="preserve"> agreed to submit </w:t>
            </w:r>
            <w:r w:rsidR="47D38748" w:rsidRPr="00073574">
              <w:t xml:space="preserve">to SG13 </w:t>
            </w:r>
            <w:r w:rsidR="733871DC" w:rsidRPr="00073574">
              <w:t>5</w:t>
            </w:r>
            <w:r w:rsidRPr="00073574">
              <w:t xml:space="preserve"> proposals to start technical reports and Recommendations </w:t>
            </w:r>
            <w:r w:rsidR="47D38748" w:rsidRPr="00073574">
              <w:t xml:space="preserve">in SG13 of particular relevance to the </w:t>
            </w:r>
            <w:r w:rsidR="1BE538DE" w:rsidRPr="00073574">
              <w:t>countries</w:t>
            </w:r>
            <w:r w:rsidR="47D38748" w:rsidRPr="00073574">
              <w:t xml:space="preserve"> from EECAT region.</w:t>
            </w:r>
            <w:r w:rsidR="006A2B8A" w:rsidRPr="00073574">
              <w:t xml:space="preserve"> Furthermore, one of th</w:t>
            </w:r>
            <w:r w:rsidR="00234923" w:rsidRPr="00073574">
              <w:t>ese</w:t>
            </w:r>
            <w:r w:rsidR="006A2B8A" w:rsidRPr="00073574">
              <w:t xml:space="preserve"> new proposals was consented in December 2021 as new </w:t>
            </w:r>
            <w:r w:rsidR="00234923" w:rsidRPr="00073574">
              <w:t>Recommendation</w:t>
            </w:r>
            <w:r w:rsidR="006A2B8A" w:rsidRPr="00073574">
              <w:t xml:space="preserve"> ITU-T Y.3</w:t>
            </w:r>
            <w:r w:rsidR="00234923" w:rsidRPr="00073574">
              <w:t>116 “Traffic typization IMT-2020 management based on an artificial intelligent approach”.</w:t>
            </w:r>
          </w:p>
          <w:p w14:paraId="2CF11D51" w14:textId="7EF20853" w:rsidR="00D73570" w:rsidRPr="00073574" w:rsidRDefault="5B3D0272" w:rsidP="4D78197E">
            <w:pPr>
              <w:pStyle w:val="ListParagraph"/>
              <w:numPr>
                <w:ilvl w:val="0"/>
                <w:numId w:val="31"/>
              </w:numPr>
              <w:ind w:left="357" w:hanging="357"/>
              <w:contextualSpacing w:val="0"/>
              <w:rPr>
                <w:rFonts w:eastAsia="Times New Roman"/>
              </w:rPr>
            </w:pPr>
            <w:r w:rsidRPr="00073574">
              <w:t>SG15 had two work items to provide solutions to developing countries: "Optical fibre cables for direct surface application" (L.dsa) and "Criteria for optical cable installation with minimal existing infrastructure" (L.cci). L.dsa was approved as Recommendation ITU-T L.110 in August 2017. L.cci was approved as L.163 in November 2018).</w:t>
            </w:r>
            <w:r w:rsidR="6C292F1A" w:rsidRPr="00073574">
              <w:t xml:space="preserve"> These Recommendations were promoted at WSIS Forum 2019 and Telecom World 2019 exhibiting manufactured cables according to Recommendation ITU-T L.110. </w:t>
            </w:r>
            <w:r w:rsidR="369CC5AE" w:rsidRPr="00073574">
              <w:t>SG15 organized a session “Bridging the digital divide: how ITU-T standards enable installation of optical fibre cable in remote areas”</w:t>
            </w:r>
            <w:r w:rsidR="6C292F1A" w:rsidRPr="00073574">
              <w:t xml:space="preserve"> for WSIS Forum 2020</w:t>
            </w:r>
            <w:r w:rsidR="4C2DE3A0" w:rsidRPr="00073574">
              <w:t xml:space="preserve"> to promote standards on optical fibre for developing countries (</w:t>
            </w:r>
            <w:r w:rsidR="6318E25C" w:rsidRPr="00073574">
              <w:t xml:space="preserve">ITU-T </w:t>
            </w:r>
            <w:r w:rsidR="4C2DE3A0" w:rsidRPr="00073574">
              <w:t>L.110, L.163 and L.1700)</w:t>
            </w:r>
            <w:r w:rsidR="6C292F1A" w:rsidRPr="00073574">
              <w:t>.</w:t>
            </w:r>
            <w:r w:rsidR="53EB8910" w:rsidRPr="00073574">
              <w:t xml:space="preserve"> Details are at </w:t>
            </w:r>
            <w:hyperlink r:id="rId287">
              <w:r w:rsidR="53EB8910" w:rsidRPr="00073574">
                <w:rPr>
                  <w:rStyle w:val="Hyperlink"/>
                </w:rPr>
                <w:t>https://www.itu.int/net4/wsis/forum/2020/Agenda/Session/267</w:t>
              </w:r>
            </w:hyperlink>
            <w:r w:rsidR="53EB8910" w:rsidRPr="00073574">
              <w:t>.</w:t>
            </w:r>
            <w:r w:rsidR="00290BAA" w:rsidRPr="00073574">
              <w:t xml:space="preserve"> A delegate </w:t>
            </w:r>
            <w:r w:rsidR="009525E5" w:rsidRPr="00073574">
              <w:t xml:space="preserve">from SG15 participated in WSIS2021 sessions </w:t>
            </w:r>
            <w:r w:rsidR="00A82EFC" w:rsidRPr="00073574">
              <w:t>“WSIS Stocktaking Series: The Coronavirus Response – ICT Case Repository</w:t>
            </w:r>
            <w:r w:rsidR="006B25E9" w:rsidRPr="00073574">
              <w:t xml:space="preserve">” (twice – 3 February and 9 March 2021) and </w:t>
            </w:r>
            <w:r w:rsidR="00B343A5" w:rsidRPr="00073574">
              <w:t>“WSIS Stocktaking Interactive Session” (21 May 2021).</w:t>
            </w:r>
          </w:p>
          <w:p w14:paraId="79CD37B9" w14:textId="55693ACE" w:rsidR="00F0236A" w:rsidRPr="00073574" w:rsidRDefault="00F0236A" w:rsidP="4D78197E">
            <w:pPr>
              <w:pStyle w:val="ListParagraph"/>
              <w:numPr>
                <w:ilvl w:val="0"/>
                <w:numId w:val="31"/>
              </w:numPr>
              <w:ind w:left="357" w:hanging="357"/>
              <w:contextualSpacing w:val="0"/>
              <w:rPr>
                <w:sz w:val="24"/>
              </w:rPr>
            </w:pPr>
            <w:r w:rsidRPr="00073574">
              <w:t xml:space="preserve">SG17 at its first </w:t>
            </w:r>
            <w:r w:rsidR="4306D468" w:rsidRPr="00073574">
              <w:t xml:space="preserve">and second </w:t>
            </w:r>
            <w:r w:rsidRPr="00073574">
              <w:t>meeting</w:t>
            </w:r>
            <w:r w:rsidR="4306D468" w:rsidRPr="00073574">
              <w:t>s</w:t>
            </w:r>
            <w:r w:rsidRPr="00073574">
              <w:t xml:space="preserve"> organized the special session </w:t>
            </w:r>
            <w:r w:rsidRPr="00073574">
              <w:rPr>
                <w:rFonts w:asciiTheme="majorBidi" w:hAnsiTheme="majorBidi" w:cstheme="majorBidi"/>
              </w:rPr>
              <w:t>on addressing contributions from developing countries.</w:t>
            </w:r>
            <w:r w:rsidR="4306D468" w:rsidRPr="00073574">
              <w:rPr>
                <w:rFonts w:asciiTheme="majorBidi" w:hAnsiTheme="majorBidi" w:cstheme="majorBidi"/>
              </w:rPr>
              <w:t xml:space="preserve"> </w:t>
            </w:r>
            <w:r w:rsidR="00871CEA" w:rsidRPr="00073574">
              <w:rPr>
                <w:rFonts w:asciiTheme="majorBidi" w:hAnsiTheme="majorBidi" w:cstheme="majorBidi"/>
              </w:rPr>
              <w:t xml:space="preserve">SG17 has also organized </w:t>
            </w:r>
            <w:r w:rsidR="00754079" w:rsidRPr="00073574">
              <w:rPr>
                <w:rFonts w:asciiTheme="majorBidi" w:hAnsiTheme="majorBidi" w:cstheme="majorBidi"/>
              </w:rPr>
              <w:t xml:space="preserve">BSG-hands-on trainings for delegates from developing countries. </w:t>
            </w:r>
            <w:r w:rsidR="4306D468" w:rsidRPr="00073574">
              <w:rPr>
                <w:rFonts w:asciiTheme="majorBidi" w:hAnsiTheme="majorBidi" w:cstheme="majorBidi"/>
              </w:rPr>
              <w:t xml:space="preserve">Creation of a SG17 Regional Group for </w:t>
            </w:r>
            <w:r w:rsidR="789F4353" w:rsidRPr="00073574">
              <w:rPr>
                <w:rFonts w:asciiTheme="majorBidi" w:hAnsiTheme="majorBidi" w:cstheme="majorBidi"/>
              </w:rPr>
              <w:t xml:space="preserve">the </w:t>
            </w:r>
            <w:r w:rsidR="4306D468" w:rsidRPr="00073574">
              <w:rPr>
                <w:rFonts w:asciiTheme="majorBidi" w:hAnsiTheme="majorBidi" w:cstheme="majorBidi"/>
              </w:rPr>
              <w:t>Arab Region was endorsed by SG17 March 2017 meeting.</w:t>
            </w:r>
            <w:r w:rsidR="611850CC" w:rsidRPr="00073574">
              <w:rPr>
                <w:rFonts w:asciiTheme="majorBidi" w:hAnsiTheme="majorBidi" w:cstheme="majorBidi"/>
              </w:rPr>
              <w:t xml:space="preserve"> </w:t>
            </w:r>
            <w:r w:rsidR="09C9741C" w:rsidRPr="00073574">
              <w:rPr>
                <w:rFonts w:asciiTheme="majorBidi" w:hAnsiTheme="majorBidi" w:cstheme="majorBidi"/>
              </w:rPr>
              <w:t>Since 2018</w:t>
            </w:r>
            <w:r w:rsidR="007F3573" w:rsidRPr="00073574">
              <w:rPr>
                <w:rFonts w:asciiTheme="majorBidi" w:hAnsiTheme="majorBidi" w:cstheme="majorBidi"/>
              </w:rPr>
              <w:t>,</w:t>
            </w:r>
            <w:r w:rsidR="09C9741C" w:rsidRPr="00073574">
              <w:rPr>
                <w:rFonts w:asciiTheme="majorBidi" w:hAnsiTheme="majorBidi" w:cstheme="majorBidi"/>
              </w:rPr>
              <w:t xml:space="preserve"> </w:t>
            </w:r>
            <w:r w:rsidR="611850CC" w:rsidRPr="00073574">
              <w:t xml:space="preserve">SG17 at </w:t>
            </w:r>
            <w:r w:rsidR="6CDA0FF9" w:rsidRPr="00073574">
              <w:t xml:space="preserve">each of </w:t>
            </w:r>
            <w:r w:rsidR="611850CC" w:rsidRPr="00073574">
              <w:t xml:space="preserve">its </w:t>
            </w:r>
            <w:r w:rsidR="2EEDFF64" w:rsidRPr="00073574">
              <w:t>physical</w:t>
            </w:r>
            <w:r w:rsidR="5BEE7C3F" w:rsidRPr="00073574">
              <w:t xml:space="preserve"> </w:t>
            </w:r>
            <w:r w:rsidR="611850CC" w:rsidRPr="00073574">
              <w:t>meetings organized the gathering of delegates from African region and Arab States respectively to facilitate the planning of these two regional groups of SG17</w:t>
            </w:r>
            <w:r w:rsidR="611850CC" w:rsidRPr="00073574">
              <w:rPr>
                <w:rFonts w:asciiTheme="majorBidi" w:hAnsiTheme="majorBidi" w:cstheme="majorBidi"/>
              </w:rPr>
              <w:t>.</w:t>
            </w:r>
            <w:r w:rsidR="38B2D760" w:rsidRPr="00073574">
              <w:rPr>
                <w:rFonts w:asciiTheme="majorBidi" w:hAnsiTheme="majorBidi" w:cstheme="majorBidi"/>
              </w:rPr>
              <w:t xml:space="preserve"> Virtual gathering of delegates from Africa was organized by SG17RG-AFR Chairman during SG17 virtual meeting</w:t>
            </w:r>
            <w:r w:rsidR="00CE0916" w:rsidRPr="00073574">
              <w:rPr>
                <w:rFonts w:asciiTheme="majorBidi" w:hAnsiTheme="majorBidi" w:cstheme="majorBidi"/>
              </w:rPr>
              <w:t>s</w:t>
            </w:r>
            <w:r w:rsidR="38B2D760" w:rsidRPr="00073574">
              <w:rPr>
                <w:rFonts w:asciiTheme="majorBidi" w:hAnsiTheme="majorBidi" w:cstheme="majorBidi"/>
              </w:rPr>
              <w:t xml:space="preserve"> </w:t>
            </w:r>
            <w:r w:rsidR="00CE0916" w:rsidRPr="00073574">
              <w:rPr>
                <w:rFonts w:asciiTheme="majorBidi" w:hAnsiTheme="majorBidi" w:cstheme="majorBidi"/>
              </w:rPr>
              <w:t>in</w:t>
            </w:r>
            <w:r w:rsidR="38B2D760" w:rsidRPr="00073574">
              <w:rPr>
                <w:rFonts w:asciiTheme="majorBidi" w:hAnsiTheme="majorBidi" w:cstheme="majorBidi"/>
              </w:rPr>
              <w:t xml:space="preserve"> 2020</w:t>
            </w:r>
            <w:r w:rsidR="00CE0916" w:rsidRPr="00073574">
              <w:rPr>
                <w:rFonts w:asciiTheme="majorBidi" w:hAnsiTheme="majorBidi" w:cstheme="majorBidi"/>
              </w:rPr>
              <w:t xml:space="preserve"> and 2021</w:t>
            </w:r>
            <w:r w:rsidR="38B2D760" w:rsidRPr="00073574">
              <w:rPr>
                <w:rFonts w:asciiTheme="majorBidi" w:hAnsiTheme="majorBidi" w:cstheme="majorBidi"/>
              </w:rPr>
              <w:t>.</w:t>
            </w:r>
            <w:r w:rsidR="00CE0916" w:rsidRPr="00073574">
              <w:rPr>
                <w:rFonts w:asciiTheme="majorBidi" w:hAnsiTheme="majorBidi" w:cstheme="majorBidi"/>
              </w:rPr>
              <w:t xml:space="preserve"> A virtual SG17RG-AFR meeting was held on 28 </w:t>
            </w:r>
            <w:r w:rsidR="004747AF" w:rsidRPr="00073574">
              <w:rPr>
                <w:rFonts w:asciiTheme="majorBidi" w:hAnsiTheme="majorBidi" w:cstheme="majorBidi"/>
              </w:rPr>
              <w:t>Septem</w:t>
            </w:r>
            <w:r w:rsidR="007F76A4" w:rsidRPr="00073574">
              <w:rPr>
                <w:rFonts w:asciiTheme="majorBidi" w:hAnsiTheme="majorBidi" w:cstheme="majorBidi"/>
              </w:rPr>
              <w:t>b</w:t>
            </w:r>
            <w:r w:rsidR="004747AF" w:rsidRPr="00073574">
              <w:rPr>
                <w:rFonts w:asciiTheme="majorBidi" w:hAnsiTheme="majorBidi" w:cstheme="majorBidi"/>
              </w:rPr>
              <w:t>er</w:t>
            </w:r>
            <w:r w:rsidR="00CE0916" w:rsidRPr="00073574">
              <w:rPr>
                <w:rFonts w:asciiTheme="majorBidi" w:hAnsiTheme="majorBidi" w:cstheme="majorBidi"/>
              </w:rPr>
              <w:t xml:space="preserve"> 2021 during ATU preparatory meeting for WTSA-20. </w:t>
            </w:r>
          </w:p>
          <w:p w14:paraId="50DFA9FE" w14:textId="4101D35E" w:rsidR="00F0236A" w:rsidRPr="00073574" w:rsidRDefault="00F0236A" w:rsidP="4D78197E">
            <w:pPr>
              <w:pStyle w:val="ListParagraph"/>
              <w:numPr>
                <w:ilvl w:val="0"/>
                <w:numId w:val="31"/>
              </w:numPr>
              <w:ind w:left="357" w:hanging="357"/>
              <w:contextualSpacing w:val="0"/>
            </w:pPr>
            <w:r w:rsidRPr="00073574">
              <w:t xml:space="preserve">SG20 at its first meeting created </w:t>
            </w:r>
            <w:r w:rsidR="008A0CCF" w:rsidRPr="00073574">
              <w:t>four</w:t>
            </w:r>
            <w:r w:rsidRPr="00073574">
              <w:t xml:space="preserve"> Regional Groups:</w:t>
            </w:r>
          </w:p>
          <w:p w14:paraId="2F8963CB" w14:textId="77777777" w:rsidR="00F0236A" w:rsidRPr="00073574" w:rsidRDefault="00F0236A" w:rsidP="002E241A">
            <w:pPr>
              <w:pStyle w:val="ListParagraph"/>
              <w:numPr>
                <w:ilvl w:val="1"/>
                <w:numId w:val="31"/>
              </w:numPr>
              <w:ind w:left="1077" w:hanging="357"/>
            </w:pPr>
            <w:r w:rsidRPr="00073574">
              <w:t>ITU-T SG20 Regional Group for Eastern Europe, Central Asia and Transcaucasia</w:t>
            </w:r>
          </w:p>
          <w:p w14:paraId="44C63983" w14:textId="77777777" w:rsidR="00F0236A" w:rsidRPr="00073574" w:rsidRDefault="00F0236A" w:rsidP="002E241A">
            <w:pPr>
              <w:pStyle w:val="ListParagraph"/>
              <w:numPr>
                <w:ilvl w:val="1"/>
                <w:numId w:val="31"/>
              </w:numPr>
              <w:ind w:left="1077" w:hanging="357"/>
            </w:pPr>
            <w:r w:rsidRPr="00073574">
              <w:t>ITU-T SG20 Regional Group for the Latin America Region</w:t>
            </w:r>
          </w:p>
          <w:p w14:paraId="03993D78" w14:textId="77777777" w:rsidR="00F0236A" w:rsidRPr="00073574" w:rsidRDefault="00F0236A" w:rsidP="002E241A">
            <w:pPr>
              <w:pStyle w:val="ListParagraph"/>
              <w:numPr>
                <w:ilvl w:val="1"/>
                <w:numId w:val="31"/>
              </w:numPr>
              <w:ind w:left="1077" w:hanging="357"/>
            </w:pPr>
            <w:r w:rsidRPr="00073574">
              <w:t>ITU-T SG20 Regional Group for the Africa Region</w:t>
            </w:r>
          </w:p>
          <w:p w14:paraId="20643A82" w14:textId="77777777" w:rsidR="00F0236A" w:rsidRPr="00073574" w:rsidRDefault="00F0236A" w:rsidP="002E241A">
            <w:pPr>
              <w:pStyle w:val="ListParagraph"/>
              <w:numPr>
                <w:ilvl w:val="1"/>
                <w:numId w:val="31"/>
              </w:numPr>
              <w:ind w:left="1077" w:hanging="357"/>
              <w:rPr>
                <w:sz w:val="24"/>
              </w:rPr>
            </w:pPr>
            <w:r w:rsidRPr="00073574">
              <w:t>ITU-T SG20 Regional Group for the Arab Region.</w:t>
            </w:r>
          </w:p>
          <w:p w14:paraId="6D7EF5DB" w14:textId="0FB17852" w:rsidR="00C1050D" w:rsidRPr="00073574" w:rsidRDefault="00DE7181" w:rsidP="00C1050D">
            <w:pPr>
              <w:pStyle w:val="ListParagraph"/>
              <w:ind w:left="360"/>
              <w:contextualSpacing w:val="0"/>
              <w:rPr>
                <w:sz w:val="24"/>
              </w:rPr>
            </w:pPr>
            <w:r w:rsidRPr="00073574">
              <w:rPr>
                <w:szCs w:val="22"/>
              </w:rPr>
              <w:t>SG20 is working on</w:t>
            </w:r>
            <w:r w:rsidR="003640B1" w:rsidRPr="00073574">
              <w:rPr>
                <w:szCs w:val="22"/>
              </w:rPr>
              <w:t xml:space="preserve"> draft Recommendation </w:t>
            </w:r>
            <w:r w:rsidR="00F740B5" w:rsidRPr="00073574">
              <w:rPr>
                <w:szCs w:val="22"/>
              </w:rPr>
              <w:t xml:space="preserve">ITU-T </w:t>
            </w:r>
            <w:r w:rsidR="003640B1" w:rsidRPr="00073574">
              <w:rPr>
                <w:szCs w:val="22"/>
              </w:rPr>
              <w:t xml:space="preserve">Y.SRC “Requirements for deployment of smart services in rural communities”, </w:t>
            </w:r>
            <w:r w:rsidR="00F740B5" w:rsidRPr="00073574">
              <w:rPr>
                <w:szCs w:val="22"/>
              </w:rPr>
              <w:t xml:space="preserve">ITU-T Y.smart-evacuation “Framework of smart </w:t>
            </w:r>
            <w:r w:rsidR="00F740B5" w:rsidRPr="00073574">
              <w:rPr>
                <w:szCs w:val="22"/>
              </w:rPr>
              <w:lastRenderedPageBreak/>
              <w:t>evacuation during emergencies in smart cities and communities”</w:t>
            </w:r>
            <w:r w:rsidR="00CB6972" w:rsidRPr="00073574">
              <w:rPr>
                <w:szCs w:val="22"/>
              </w:rPr>
              <w:t xml:space="preserve"> and ITU-T Y.</w:t>
            </w:r>
            <w:r w:rsidR="00A76E27" w:rsidRPr="00073574">
              <w:rPr>
                <w:szCs w:val="22"/>
              </w:rPr>
              <w:t>isms “</w:t>
            </w:r>
            <w:r w:rsidR="0041286F" w:rsidRPr="00073574">
              <w:rPr>
                <w:szCs w:val="22"/>
              </w:rPr>
              <w:t>Technical framework for disaster monitoring system</w:t>
            </w:r>
            <w:r w:rsidR="00A76E27" w:rsidRPr="00073574">
              <w:rPr>
                <w:szCs w:val="22"/>
              </w:rPr>
              <w:t>”</w:t>
            </w:r>
            <w:r w:rsidR="007C7EE0" w:rsidRPr="00073574">
              <w:rPr>
                <w:szCs w:val="22"/>
              </w:rPr>
              <w:t>.</w:t>
            </w:r>
          </w:p>
          <w:p w14:paraId="5A31DAF9" w14:textId="3286C1FF" w:rsidR="00DE7181" w:rsidRPr="00073574" w:rsidRDefault="00C1050D" w:rsidP="00C1050D">
            <w:pPr>
              <w:pStyle w:val="ListParagraph"/>
              <w:ind w:left="360"/>
              <w:contextualSpacing w:val="0"/>
              <w:rPr>
                <w:szCs w:val="22"/>
              </w:rPr>
            </w:pPr>
            <w:r w:rsidRPr="00073574">
              <w:rPr>
                <w:szCs w:val="22"/>
              </w:rPr>
              <w:t>SG20 organized a Bridging the Standardization Gap session on Internet of things (IoT) on 6 May 2018, Cairo Egypt. This session preceded the SG20 meeting (6-16 May 2018).</w:t>
            </w:r>
          </w:p>
          <w:p w14:paraId="2C4D2ECD" w14:textId="42AD28C3" w:rsidR="0000372D" w:rsidRPr="00073574" w:rsidRDefault="0000372D" w:rsidP="003142D5">
            <w:pPr>
              <w:rPr>
                <w:szCs w:val="22"/>
              </w:rPr>
            </w:pPr>
            <w:r w:rsidRPr="00073574">
              <w:rPr>
                <w:szCs w:val="22"/>
              </w:rPr>
              <w:t>SG20 and its Regional Groups regularly organize Bridging the Standardization Gap training sessions collocated with t</w:t>
            </w:r>
            <w:r w:rsidR="00E82D82" w:rsidRPr="00073574">
              <w:rPr>
                <w:szCs w:val="22"/>
              </w:rPr>
              <w:t>heir</w:t>
            </w:r>
            <w:r w:rsidRPr="00073574">
              <w:rPr>
                <w:szCs w:val="22"/>
              </w:rPr>
              <w:t xml:space="preserve"> meetings. </w:t>
            </w:r>
          </w:p>
          <w:p w14:paraId="30959A12" w14:textId="77777777" w:rsidR="002252BE" w:rsidRPr="00073574" w:rsidRDefault="00B00C5C" w:rsidP="002252BE">
            <w:pPr>
              <w:rPr>
                <w:szCs w:val="22"/>
              </w:rPr>
            </w:pPr>
            <w:r w:rsidRPr="00073574">
              <w:rPr>
                <w:szCs w:val="22"/>
              </w:rPr>
              <w:t xml:space="preserve">The SG20RG-LATAM meeting </w:t>
            </w:r>
            <w:r w:rsidR="007C7EE0" w:rsidRPr="00073574">
              <w:rPr>
                <w:szCs w:val="22"/>
              </w:rPr>
              <w:t>took place</w:t>
            </w:r>
            <w:r w:rsidRPr="00073574">
              <w:rPr>
                <w:szCs w:val="22"/>
              </w:rPr>
              <w:t xml:space="preserve"> on 11 and 12 September 2019 in El Salvador. A one-day Bridging the Standardization Gap (BSG) hands-on training session </w:t>
            </w:r>
            <w:r w:rsidR="007C7EE0" w:rsidRPr="00073574">
              <w:rPr>
                <w:szCs w:val="22"/>
              </w:rPr>
              <w:t>was</w:t>
            </w:r>
            <w:r w:rsidRPr="00073574">
              <w:rPr>
                <w:szCs w:val="22"/>
              </w:rPr>
              <w:t xml:space="preserve"> held on 12 September 2019.</w:t>
            </w:r>
            <w:r w:rsidR="009B7F7E" w:rsidRPr="00073574">
              <w:rPr>
                <w:szCs w:val="22"/>
              </w:rPr>
              <w:t xml:space="preserve"> SG20 </w:t>
            </w:r>
            <w:r w:rsidR="002252BE" w:rsidRPr="00073574">
              <w:rPr>
                <w:szCs w:val="22"/>
              </w:rPr>
              <w:t xml:space="preserve">has </w:t>
            </w:r>
            <w:r w:rsidR="009B7F7E" w:rsidRPr="00073574">
              <w:rPr>
                <w:szCs w:val="22"/>
              </w:rPr>
              <w:t xml:space="preserve">organized </w:t>
            </w:r>
            <w:r w:rsidR="002252BE" w:rsidRPr="00073574">
              <w:rPr>
                <w:szCs w:val="22"/>
              </w:rPr>
              <w:t>three</w:t>
            </w:r>
            <w:r w:rsidR="009B7F7E" w:rsidRPr="00073574">
              <w:rPr>
                <w:szCs w:val="22"/>
              </w:rPr>
              <w:t xml:space="preserve"> virtual BSG training session</w:t>
            </w:r>
            <w:r w:rsidR="002252BE" w:rsidRPr="00073574">
              <w:rPr>
                <w:szCs w:val="22"/>
              </w:rPr>
              <w:t>s:</w:t>
            </w:r>
          </w:p>
          <w:p w14:paraId="4AF1BC93" w14:textId="13BD622A" w:rsidR="002252BE" w:rsidRPr="00073574" w:rsidRDefault="00C855AB" w:rsidP="002252BE">
            <w:pPr>
              <w:pStyle w:val="ListParagraph"/>
              <w:numPr>
                <w:ilvl w:val="0"/>
                <w:numId w:val="125"/>
              </w:numPr>
              <w:rPr>
                <w:szCs w:val="22"/>
              </w:rPr>
            </w:pPr>
            <w:r w:rsidRPr="00073574">
              <w:rPr>
                <w:szCs w:val="22"/>
              </w:rPr>
              <w:t>17 June 2020</w:t>
            </w:r>
            <w:r w:rsidR="002252BE" w:rsidRPr="00073574">
              <w:rPr>
                <w:szCs w:val="22"/>
              </w:rPr>
              <w:t xml:space="preserve"> (together with ITU-T SG16)</w:t>
            </w:r>
          </w:p>
          <w:p w14:paraId="636B90DD" w14:textId="1A90C594" w:rsidR="002252BE" w:rsidRPr="00073574" w:rsidRDefault="002252BE" w:rsidP="002252BE">
            <w:pPr>
              <w:pStyle w:val="ListParagraph"/>
              <w:numPr>
                <w:ilvl w:val="0"/>
                <w:numId w:val="125"/>
              </w:numPr>
              <w:rPr>
                <w:szCs w:val="22"/>
              </w:rPr>
            </w:pPr>
            <w:r w:rsidRPr="00073574">
              <w:rPr>
                <w:szCs w:val="22"/>
              </w:rPr>
              <w:t>6 May 202</w:t>
            </w:r>
            <w:r w:rsidR="003B2DFD" w:rsidRPr="00073574">
              <w:rPr>
                <w:szCs w:val="22"/>
              </w:rPr>
              <w:t>1</w:t>
            </w:r>
            <w:r w:rsidRPr="00073574">
              <w:rPr>
                <w:szCs w:val="22"/>
              </w:rPr>
              <w:t xml:space="preserve"> (together with ITU-T SG5)</w:t>
            </w:r>
          </w:p>
          <w:p w14:paraId="24687189" w14:textId="0F162BB3" w:rsidR="002252BE" w:rsidRPr="00073574" w:rsidRDefault="003B2DFD" w:rsidP="003142D5">
            <w:pPr>
              <w:pStyle w:val="ListParagraph"/>
              <w:numPr>
                <w:ilvl w:val="0"/>
                <w:numId w:val="125"/>
              </w:numPr>
              <w:rPr>
                <w:szCs w:val="22"/>
              </w:rPr>
            </w:pPr>
            <w:r w:rsidRPr="00073574">
              <w:rPr>
                <w:szCs w:val="22"/>
              </w:rPr>
              <w:t>4 October 2021</w:t>
            </w:r>
          </w:p>
          <w:p w14:paraId="18EBDDB4" w14:textId="3B29A366" w:rsidR="00DE7181" w:rsidRPr="00073574" w:rsidRDefault="4804401E" w:rsidP="4D78197E">
            <w:pPr>
              <w:pStyle w:val="ListParagraph"/>
              <w:numPr>
                <w:ilvl w:val="0"/>
                <w:numId w:val="31"/>
              </w:numPr>
              <w:ind w:left="357" w:hanging="357"/>
              <w:contextualSpacing w:val="0"/>
              <w:rPr>
                <w:sz w:val="24"/>
              </w:rPr>
            </w:pPr>
            <w:r w:rsidRPr="00073574">
              <w:t>The Green Standards Week 2018 w</w:t>
            </w:r>
            <w:r w:rsidR="29060DB3" w:rsidRPr="00073574">
              <w:t>as</w:t>
            </w:r>
            <w:r w:rsidRPr="00073574">
              <w:t xml:space="preserve"> held in Zanzibar, Tanzania from 9 to 12 April 2018.</w:t>
            </w:r>
            <w:r w:rsidR="29060DB3" w:rsidRPr="00073574">
              <w:t xml:space="preserve"> During the GSW the following Regional Groups meeting took place:</w:t>
            </w:r>
          </w:p>
          <w:p w14:paraId="49561EF8" w14:textId="77777777" w:rsidR="00570BF5" w:rsidRPr="00073574" w:rsidRDefault="000A6FD3" w:rsidP="002E241A">
            <w:pPr>
              <w:pStyle w:val="ListParagraph"/>
              <w:numPr>
                <w:ilvl w:val="1"/>
                <w:numId w:val="31"/>
              </w:numPr>
              <w:ind w:left="1077" w:hanging="357"/>
            </w:pPr>
            <w:r w:rsidRPr="00073574">
              <w:t>ITU-T Study Group 5 Regional Group for Africa (SG5RG-AFR)</w:t>
            </w:r>
          </w:p>
          <w:p w14:paraId="1994CA63" w14:textId="77777777" w:rsidR="000A6FD3" w:rsidRPr="00073574" w:rsidRDefault="000A6FD3" w:rsidP="002E241A">
            <w:pPr>
              <w:pStyle w:val="ListParagraph"/>
              <w:numPr>
                <w:ilvl w:val="1"/>
                <w:numId w:val="31"/>
              </w:numPr>
              <w:ind w:left="1077" w:hanging="357"/>
            </w:pPr>
            <w:r w:rsidRPr="00073574">
              <w:t>ITU-T Study Group 5 Regional Group for the Arab Region (SG5RG-ARB)</w:t>
            </w:r>
          </w:p>
          <w:p w14:paraId="141BA67A" w14:textId="77777777" w:rsidR="00B00C5C" w:rsidRPr="00073574" w:rsidRDefault="000A6FD3" w:rsidP="002E241A">
            <w:pPr>
              <w:pStyle w:val="ListParagraph"/>
              <w:numPr>
                <w:ilvl w:val="1"/>
                <w:numId w:val="31"/>
              </w:numPr>
              <w:ind w:left="1077" w:hanging="357"/>
              <w:rPr>
                <w:sz w:val="24"/>
              </w:rPr>
            </w:pPr>
            <w:r w:rsidRPr="00073574">
              <w:t>ITU-T Study Group 20 Regional Group for Africa (SG20RG-AFR)</w:t>
            </w:r>
            <w:r w:rsidR="00D015A9" w:rsidRPr="00073574">
              <w:t>.</w:t>
            </w:r>
          </w:p>
          <w:p w14:paraId="7B776B3B" w14:textId="4320FC01" w:rsidR="00B00C5C" w:rsidRPr="00073574" w:rsidRDefault="669CCB18" w:rsidP="4D78197E">
            <w:pPr>
              <w:pStyle w:val="ListParagraph"/>
              <w:numPr>
                <w:ilvl w:val="0"/>
                <w:numId w:val="31"/>
              </w:numPr>
              <w:spacing w:before="240"/>
              <w:ind w:left="357" w:hanging="357"/>
              <w:contextualSpacing w:val="0"/>
            </w:pPr>
            <w:r w:rsidRPr="00073574">
              <w:t xml:space="preserve">The </w:t>
            </w:r>
            <w:hyperlink r:id="rId288">
              <w:r w:rsidRPr="00073574">
                <w:rPr>
                  <w:rStyle w:val="Hyperlink"/>
                </w:rPr>
                <w:t>First Digital African Week</w:t>
              </w:r>
            </w:hyperlink>
            <w:r w:rsidRPr="00073574">
              <w:t xml:space="preserve"> </w:t>
            </w:r>
            <w:r w:rsidR="2E41F953" w:rsidRPr="00073574">
              <w:t>took</w:t>
            </w:r>
            <w:r w:rsidRPr="00073574">
              <w:t xml:space="preserve"> place from 27 to 30 August 2019 in Abuja, Nigeria. The following events and Regional Group meetings will take place:</w:t>
            </w:r>
          </w:p>
          <w:p w14:paraId="094D5C1F" w14:textId="3EE66385" w:rsidR="00B00C5C" w:rsidRPr="00073574" w:rsidRDefault="00B00C5C" w:rsidP="001D5FA8">
            <w:pPr>
              <w:pStyle w:val="ListParagraph"/>
              <w:numPr>
                <w:ilvl w:val="1"/>
                <w:numId w:val="31"/>
              </w:numPr>
              <w:ind w:left="1077" w:hanging="357"/>
              <w:contextualSpacing w:val="0"/>
            </w:pPr>
            <w:r w:rsidRPr="00073574">
              <w:t>Bridging the Standardization Gap Training on "How to draft international standards", 27 August 2019 (morning only)</w:t>
            </w:r>
            <w:r w:rsidR="00102963" w:rsidRPr="00073574">
              <w:t>.</w:t>
            </w:r>
          </w:p>
          <w:p w14:paraId="10D0175C" w14:textId="125CAA7E" w:rsidR="00B00C5C" w:rsidRPr="00073574" w:rsidRDefault="00B00C5C" w:rsidP="001D5FA8">
            <w:pPr>
              <w:pStyle w:val="ListParagraph"/>
              <w:numPr>
                <w:ilvl w:val="0"/>
                <w:numId w:val="58"/>
              </w:numPr>
              <w:ind w:left="1077" w:hanging="357"/>
              <w:contextualSpacing w:val="0"/>
            </w:pPr>
            <w:r w:rsidRPr="00073574">
              <w:t>ITU-T Study Group 20 Regional Group for Africa (ITU-T SG20RG-AFR) meeting, 27-29 August 2019</w:t>
            </w:r>
            <w:r w:rsidR="00102963" w:rsidRPr="00073574">
              <w:t>.</w:t>
            </w:r>
          </w:p>
          <w:p w14:paraId="7D84552C" w14:textId="1235C8C9" w:rsidR="00B00C5C" w:rsidRPr="00073574" w:rsidRDefault="00B00C5C" w:rsidP="001D5FA8">
            <w:pPr>
              <w:pStyle w:val="ListParagraph"/>
              <w:numPr>
                <w:ilvl w:val="0"/>
                <w:numId w:val="58"/>
              </w:numPr>
              <w:ind w:left="1077" w:hanging="357"/>
              <w:contextualSpacing w:val="0"/>
            </w:pPr>
            <w:r w:rsidRPr="00073574">
              <w:t>Training on "Smart Sustainable Cities, Products and Services", 27 August 2019 (afternoon only)</w:t>
            </w:r>
            <w:r w:rsidR="00102963" w:rsidRPr="00073574">
              <w:t>.</w:t>
            </w:r>
          </w:p>
          <w:p w14:paraId="02EBA977" w14:textId="7391A068" w:rsidR="00B00C5C" w:rsidRPr="00073574" w:rsidRDefault="00B00C5C" w:rsidP="001D5FA8">
            <w:pPr>
              <w:pStyle w:val="ListParagraph"/>
              <w:numPr>
                <w:ilvl w:val="0"/>
                <w:numId w:val="58"/>
              </w:numPr>
              <w:ind w:left="1077" w:hanging="357"/>
              <w:contextualSpacing w:val="0"/>
            </w:pPr>
            <w:r w:rsidRPr="00073574">
              <w:t>ITU Forum on "Smart Sustainable Africa", 28 August 2019</w:t>
            </w:r>
            <w:r w:rsidR="00102963" w:rsidRPr="00073574">
              <w:t>.</w:t>
            </w:r>
          </w:p>
          <w:p w14:paraId="5928425A" w14:textId="7E6F48E7" w:rsidR="00B00C5C" w:rsidRPr="00073574" w:rsidRDefault="00B00C5C" w:rsidP="001D5FA8">
            <w:pPr>
              <w:pStyle w:val="ListParagraph"/>
              <w:numPr>
                <w:ilvl w:val="0"/>
                <w:numId w:val="58"/>
              </w:numPr>
              <w:ind w:left="1077" w:hanging="357"/>
              <w:contextualSpacing w:val="0"/>
            </w:pPr>
            <w:r w:rsidRPr="00073574">
              <w:t>ITU-T Study Group 5 Regional Group for Africa (ITU-T SG5RG-AFR) meeting, 29-30 August 2019</w:t>
            </w:r>
            <w:r w:rsidR="00102963" w:rsidRPr="00073574">
              <w:t>.</w:t>
            </w:r>
          </w:p>
          <w:p w14:paraId="0863BE7D" w14:textId="2C8C1531" w:rsidR="007E0A64" w:rsidRPr="00073574" w:rsidRDefault="00B00C5C" w:rsidP="001D5FA8">
            <w:pPr>
              <w:pStyle w:val="ListParagraph"/>
              <w:numPr>
                <w:ilvl w:val="0"/>
                <w:numId w:val="58"/>
              </w:numPr>
              <w:ind w:left="1077" w:hanging="357"/>
              <w:contextualSpacing w:val="0"/>
            </w:pPr>
            <w:r w:rsidRPr="00073574">
              <w:t>Forum on "Human Exposure to Electromagnetic Fields (EMFs) in Africa", 29 August 2019 (afternoon only)</w:t>
            </w:r>
            <w:r w:rsidR="00102963" w:rsidRPr="00073574">
              <w:t>.</w:t>
            </w:r>
          </w:p>
          <w:p w14:paraId="7D54820E" w14:textId="77777777" w:rsidR="00B00C5C" w:rsidRPr="00073574" w:rsidRDefault="00B00C5C" w:rsidP="001D5FA8">
            <w:pPr>
              <w:pStyle w:val="ListParagraph"/>
              <w:numPr>
                <w:ilvl w:val="0"/>
                <w:numId w:val="58"/>
              </w:numPr>
              <w:ind w:left="1077" w:hanging="357"/>
              <w:contextualSpacing w:val="0"/>
              <w:rPr>
                <w:sz w:val="24"/>
              </w:rPr>
            </w:pPr>
            <w:r w:rsidRPr="00073574">
              <w:t>ITU Training on "E-waste Management and Circular Economy", 30 August 2019 (morning only)</w:t>
            </w:r>
            <w:r w:rsidR="00102963" w:rsidRPr="00073574">
              <w:t>.</w:t>
            </w:r>
          </w:p>
          <w:p w14:paraId="28D7E722" w14:textId="7FEEC68F" w:rsidR="00B801AD" w:rsidRPr="00073574" w:rsidRDefault="00BF3120" w:rsidP="00AC7C9C">
            <w:pPr>
              <w:pStyle w:val="ListParagraph"/>
              <w:numPr>
                <w:ilvl w:val="0"/>
                <w:numId w:val="31"/>
              </w:numPr>
              <w:ind w:left="357" w:hanging="357"/>
              <w:contextualSpacing w:val="0"/>
              <w:rPr>
                <w:sz w:val="24"/>
              </w:rPr>
            </w:pPr>
            <w:r w:rsidRPr="00073574">
              <w:t xml:space="preserve">The </w:t>
            </w:r>
            <w:hyperlink r:id="rId289" w:history="1">
              <w:r w:rsidRPr="00073574">
                <w:rPr>
                  <w:rStyle w:val="Hyperlink"/>
                </w:rPr>
                <w:t>SG20RG-AFR meeting</w:t>
              </w:r>
            </w:hyperlink>
            <w:r w:rsidR="004707B0" w:rsidRPr="00073574">
              <w:t xml:space="preserve"> that took place on 03 June 2021 was preceded by the</w:t>
            </w:r>
            <w:r w:rsidR="00B801AD" w:rsidRPr="00073574">
              <w:t xml:space="preserve"> </w:t>
            </w:r>
            <w:hyperlink r:id="rId290" w:history="1">
              <w:r w:rsidRPr="00073574">
                <w:rPr>
                  <w:rStyle w:val="Hyperlink"/>
                </w:rPr>
                <w:t>Virtual Forum on “Accelerating Digital Transformation in Africa”</w:t>
              </w:r>
            </w:hyperlink>
            <w:r w:rsidRPr="00073574">
              <w:t xml:space="preserve"> took place on 02 June 2021.</w:t>
            </w:r>
          </w:p>
        </w:tc>
      </w:tr>
      <w:tr w:rsidR="00F0236A" w:rsidRPr="00073574" w14:paraId="36E2E92A" w14:textId="77777777" w:rsidTr="4D78197E">
        <w:trPr>
          <w:jc w:val="center"/>
        </w:trPr>
        <w:tc>
          <w:tcPr>
            <w:tcW w:w="896" w:type="dxa"/>
            <w:vMerge w:val="restart"/>
            <w:tcBorders>
              <w:top w:val="single" w:sz="12" w:space="0" w:color="auto"/>
            </w:tcBorders>
            <w:shd w:val="clear" w:color="auto" w:fill="auto"/>
          </w:tcPr>
          <w:p w14:paraId="6689A107" w14:textId="77777777" w:rsidR="00F0236A" w:rsidRPr="00073574" w:rsidRDefault="00F0236A" w:rsidP="00DF36E1">
            <w:pPr>
              <w:pStyle w:val="Tabletext"/>
              <w:rPr>
                <w:b/>
                <w:bCs/>
                <w:sz w:val="24"/>
                <w:szCs w:val="24"/>
              </w:rPr>
            </w:pPr>
            <w:r w:rsidRPr="00073574">
              <w:rPr>
                <w:b/>
                <w:bCs/>
                <w:sz w:val="24"/>
                <w:szCs w:val="24"/>
              </w:rPr>
              <w:lastRenderedPageBreak/>
              <w:t>44-12</w:t>
            </w:r>
          </w:p>
        </w:tc>
        <w:tc>
          <w:tcPr>
            <w:tcW w:w="4512" w:type="dxa"/>
            <w:tcBorders>
              <w:top w:val="single" w:sz="12" w:space="0" w:color="auto"/>
            </w:tcBorders>
            <w:shd w:val="clear" w:color="auto" w:fill="auto"/>
          </w:tcPr>
          <w:p w14:paraId="48F37CDB" w14:textId="77777777" w:rsidR="00F0236A" w:rsidRPr="00073574" w:rsidRDefault="00F0236A" w:rsidP="00DF36E1">
            <w:pPr>
              <w:pStyle w:val="Tabletext"/>
              <w:rPr>
                <w:b/>
                <w:bCs/>
                <w:sz w:val="24"/>
                <w:szCs w:val="24"/>
              </w:rPr>
            </w:pPr>
            <w:r w:rsidRPr="00073574">
              <w:rPr>
                <w:b/>
                <w:bCs/>
                <w:sz w:val="24"/>
                <w:szCs w:val="24"/>
              </w:rPr>
              <w:t>SGs to continue liaise with ITU-D SGs, to assist developing countries with their priority questions for studies, such as identified by WTDC. (f.i. SGs 2)</w:t>
            </w:r>
          </w:p>
        </w:tc>
        <w:tc>
          <w:tcPr>
            <w:tcW w:w="1637" w:type="dxa"/>
            <w:tcBorders>
              <w:top w:val="single" w:sz="12" w:space="0" w:color="auto"/>
            </w:tcBorders>
            <w:shd w:val="clear" w:color="auto" w:fill="auto"/>
            <w:vAlign w:val="center"/>
          </w:tcPr>
          <w:p w14:paraId="4009CC4E"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29" w:type="dxa"/>
            <w:tcBorders>
              <w:top w:val="single" w:sz="12" w:space="0" w:color="auto"/>
            </w:tcBorders>
            <w:shd w:val="clear" w:color="auto" w:fill="auto"/>
            <w:vAlign w:val="center"/>
          </w:tcPr>
          <w:p w14:paraId="52EF91A5" w14:textId="77777777" w:rsidR="00F0236A" w:rsidRPr="00073574" w:rsidRDefault="00F0236A" w:rsidP="00DF36E1">
            <w:pPr>
              <w:pStyle w:val="Tabletext"/>
              <w:jc w:val="center"/>
              <w:rPr>
                <w:b/>
                <w:bCs/>
                <w:sz w:val="24"/>
                <w:szCs w:val="24"/>
              </w:rPr>
            </w:pPr>
            <w:r w:rsidRPr="00073574">
              <w:rPr>
                <w:b/>
                <w:bCs/>
                <w:sz w:val="24"/>
                <w:szCs w:val="24"/>
              </w:rPr>
              <w:t>√</w:t>
            </w:r>
          </w:p>
        </w:tc>
        <w:tc>
          <w:tcPr>
            <w:tcW w:w="1348" w:type="dxa"/>
            <w:gridSpan w:val="2"/>
            <w:tcBorders>
              <w:top w:val="single" w:sz="12" w:space="0" w:color="auto"/>
            </w:tcBorders>
            <w:shd w:val="clear" w:color="auto" w:fill="auto"/>
            <w:vAlign w:val="center"/>
          </w:tcPr>
          <w:p w14:paraId="4BB34174" w14:textId="77777777" w:rsidR="00F0236A" w:rsidRPr="00073574" w:rsidRDefault="00F0236A" w:rsidP="00DF36E1">
            <w:pPr>
              <w:pStyle w:val="Tabletext"/>
              <w:jc w:val="center"/>
              <w:rPr>
                <w:b/>
                <w:bCs/>
                <w:sz w:val="24"/>
                <w:szCs w:val="24"/>
              </w:rPr>
            </w:pPr>
          </w:p>
        </w:tc>
      </w:tr>
      <w:tr w:rsidR="00F0236A" w:rsidRPr="00073574" w14:paraId="65D33611" w14:textId="77777777" w:rsidTr="4D78197E">
        <w:trPr>
          <w:jc w:val="center"/>
        </w:trPr>
        <w:tc>
          <w:tcPr>
            <w:tcW w:w="896" w:type="dxa"/>
            <w:vMerge/>
          </w:tcPr>
          <w:p w14:paraId="3A17CAEC" w14:textId="77777777" w:rsidR="00F0236A" w:rsidRPr="00073574" w:rsidRDefault="00F0236A" w:rsidP="00DF36E1">
            <w:pPr>
              <w:pStyle w:val="Tabletext"/>
              <w:rPr>
                <w:sz w:val="24"/>
                <w:szCs w:val="24"/>
              </w:rPr>
            </w:pPr>
          </w:p>
        </w:tc>
        <w:tc>
          <w:tcPr>
            <w:tcW w:w="8626" w:type="dxa"/>
            <w:gridSpan w:val="5"/>
            <w:tcBorders>
              <w:bottom w:val="single" w:sz="12" w:space="0" w:color="auto"/>
            </w:tcBorders>
            <w:shd w:val="clear" w:color="auto" w:fill="auto"/>
          </w:tcPr>
          <w:p w14:paraId="603F9577" w14:textId="34379617" w:rsidR="002E3A13" w:rsidRPr="00073574" w:rsidRDefault="002E3A13" w:rsidP="002E241A">
            <w:pPr>
              <w:pStyle w:val="ListParagraph"/>
              <w:numPr>
                <w:ilvl w:val="0"/>
                <w:numId w:val="32"/>
              </w:numPr>
              <w:spacing w:before="40" w:after="120"/>
              <w:ind w:left="357" w:hanging="357"/>
              <w:contextualSpacing w:val="0"/>
            </w:pPr>
            <w:r w:rsidRPr="00073574">
              <w:t>SG2 liaised with ITU-D SG1 and SG2 on mapping of Questions</w:t>
            </w:r>
            <w:r w:rsidR="006349D3" w:rsidRPr="00073574">
              <w:t>, and l</w:t>
            </w:r>
            <w:r w:rsidRPr="00073574">
              <w:t>iaised with ITU-D SG2 on ongoing collaboration, topics of interests of developing countries, including numbering misuse, calling party number delivery and national emergency telecommunication system in developing countries.</w:t>
            </w:r>
          </w:p>
          <w:p w14:paraId="3D724940" w14:textId="61CE51D2" w:rsidR="00A3306F" w:rsidRPr="00073574" w:rsidRDefault="00A3306F" w:rsidP="002E241A">
            <w:pPr>
              <w:pStyle w:val="ListParagraph"/>
              <w:numPr>
                <w:ilvl w:val="0"/>
                <w:numId w:val="32"/>
              </w:numPr>
              <w:spacing w:after="120"/>
              <w:contextualSpacing w:val="0"/>
            </w:pPr>
            <w:r w:rsidRPr="00073574">
              <w:lastRenderedPageBreak/>
              <w:t>SG3 liaised with ITU-D SG1 and SG2 on mapping of Questions.</w:t>
            </w:r>
            <w:r w:rsidR="00975FC4" w:rsidRPr="00073574">
              <w:t xml:space="preserve"> SG3 received several incoming liaison statements from the ITU Development Sector on subjects such as inter-sector coordination, on economic issues, on OTT, </w:t>
            </w:r>
            <w:r w:rsidR="00831B3D" w:rsidRPr="00073574">
              <w:t xml:space="preserve">on draft ITU-T D.266 (D.OTTMNO), </w:t>
            </w:r>
            <w:r w:rsidR="00975FC4" w:rsidRPr="00073574">
              <w:t>and on contribution related to Universal Services Fund for telemedicine and electronic health projects</w:t>
            </w:r>
            <w:r w:rsidR="00411BC4" w:rsidRPr="00073574">
              <w:t>, and sent liaison replies to ITU-D SG1 Q4/1 on matters of shared spectrum, and replied to ITU-D SG1 Q3/1 for continued collaboration, to ITU-D SG1 and ITU-D SG2 on inter-Sector coordination.</w:t>
            </w:r>
          </w:p>
          <w:p w14:paraId="05643C4E" w14:textId="0426EEEB" w:rsidR="00F0236A" w:rsidRPr="00073574" w:rsidRDefault="00F0236A" w:rsidP="002E241A">
            <w:pPr>
              <w:pStyle w:val="ListParagraph"/>
              <w:numPr>
                <w:ilvl w:val="0"/>
                <w:numId w:val="32"/>
              </w:numPr>
              <w:contextualSpacing w:val="0"/>
            </w:pPr>
            <w:r w:rsidRPr="00073574">
              <w:t>SG5: Regular exchange of LSs on ICT</w:t>
            </w:r>
            <w:r w:rsidR="000D54E1" w:rsidRPr="00073574">
              <w:t>,</w:t>
            </w:r>
            <w:r w:rsidRPr="00073574">
              <w:t xml:space="preserve"> climate change</w:t>
            </w:r>
            <w:r w:rsidR="000D54E1" w:rsidRPr="00073574">
              <w:t>, EMF and circular economy (including e-waste)</w:t>
            </w:r>
            <w:r w:rsidRPr="00073574">
              <w:t>.</w:t>
            </w:r>
          </w:p>
          <w:p w14:paraId="64A852FC" w14:textId="7E230D80" w:rsidR="00F461C6" w:rsidRPr="00073574" w:rsidRDefault="00F461C6" w:rsidP="002E241A">
            <w:pPr>
              <w:pStyle w:val="ListParagraph"/>
              <w:numPr>
                <w:ilvl w:val="0"/>
                <w:numId w:val="32"/>
              </w:numPr>
              <w:contextualSpacing w:val="0"/>
            </w:pPr>
            <w:r w:rsidRPr="00073574">
              <w:t>SG9 regularly exchanges LSs related to cable TV issues and accessibility to cable TV with ITU-D SGs</w:t>
            </w:r>
            <w:r w:rsidR="00C85252" w:rsidRPr="00073574">
              <w:t xml:space="preserve"> fostering collaboration and coordination</w:t>
            </w:r>
            <w:r w:rsidRPr="00073574">
              <w:t>.</w:t>
            </w:r>
            <w:r w:rsidR="00C85252" w:rsidRPr="00073574">
              <w:t xml:space="preserve"> Particularly SG9 involves systematically the ITU-D SGs in the thematic workshops-series on the future of TV in the regions</w:t>
            </w:r>
            <w:r w:rsidRPr="00073574">
              <w:t>.</w:t>
            </w:r>
          </w:p>
          <w:p w14:paraId="71FC9713" w14:textId="26619FAF" w:rsidR="00867A86" w:rsidRPr="00073574" w:rsidRDefault="00867A86" w:rsidP="002E241A">
            <w:pPr>
              <w:pStyle w:val="ListParagraph"/>
              <w:numPr>
                <w:ilvl w:val="0"/>
                <w:numId w:val="32"/>
              </w:numPr>
              <w:contextualSpacing w:val="0"/>
            </w:pPr>
            <w:r w:rsidRPr="00073574">
              <w:t>SG11 regular</w:t>
            </w:r>
            <w:r w:rsidR="00AB48DC" w:rsidRPr="00073574">
              <w:t>ly</w:t>
            </w:r>
            <w:r w:rsidRPr="00073574">
              <w:t xml:space="preserve"> exchange</w:t>
            </w:r>
            <w:r w:rsidR="00DA22AB" w:rsidRPr="00073574">
              <w:t>s</w:t>
            </w:r>
            <w:r w:rsidRPr="00073574">
              <w:t xml:space="preserve"> LSs related to conformance and interoperability issues</w:t>
            </w:r>
            <w:r w:rsidR="00C01FA6" w:rsidRPr="00073574">
              <w:t>,</w:t>
            </w:r>
            <w:r w:rsidRPr="00073574">
              <w:t xml:space="preserve"> combating counterfeiting</w:t>
            </w:r>
            <w:r w:rsidR="00C01FA6" w:rsidRPr="00073574">
              <w:t xml:space="preserve"> and disaster relief</w:t>
            </w:r>
            <w:r w:rsidRPr="00073574">
              <w:t>.</w:t>
            </w:r>
          </w:p>
          <w:p w14:paraId="196EB586" w14:textId="7E52F700" w:rsidR="00310786" w:rsidRPr="00073574" w:rsidRDefault="00310786" w:rsidP="002E241A">
            <w:pPr>
              <w:pStyle w:val="ListParagraph"/>
              <w:numPr>
                <w:ilvl w:val="0"/>
                <w:numId w:val="32"/>
              </w:numPr>
              <w:contextualSpacing w:val="0"/>
              <w:rPr>
                <w:b/>
              </w:rPr>
            </w:pPr>
            <w:r w:rsidRPr="00073574">
              <w:t>SG12: Active exchange of liaisons and information on network performance, QoS and QoE with ITU-D study groups. SG12: consented in January 2017, Amendment 1 to Recommendation ITU-T E.802 incorporating Annex A, which provides guidance on the selection of representative samples in the measurement of QoS parameters. The guidance takes into account these technical (statistical) and operational (practical QoS data collection) conditions by proposing a simple random sampling methodology. The amendment also adds Appendices IV and V with additional information on the implementation of the sampling algorithm included in Annex A, and on the use of sample-based QoS parameters. Work on this Amendment, which includes a software attachment, was largely driven by a delegate from Lesotho in order to increase the usability of E.802 in the day-to-day work of a regulator. Collaboration with BDT programmes on QoS, QoE and performance</w:t>
            </w:r>
            <w:r w:rsidR="00E71A49" w:rsidRPr="00073574">
              <w:t xml:space="preserve"> (e.g., ITU Academy)</w:t>
            </w:r>
            <w:r w:rsidR="00FF47B5" w:rsidRPr="00073574">
              <w:t>, based on ITU-T Recommendations developed by SG12</w:t>
            </w:r>
            <w:r w:rsidRPr="00073574">
              <w:t>.</w:t>
            </w:r>
          </w:p>
          <w:p w14:paraId="10999D2C" w14:textId="312EB563" w:rsidR="00F0236A" w:rsidRPr="00073574" w:rsidRDefault="00F0236A" w:rsidP="002E241A">
            <w:pPr>
              <w:pStyle w:val="ListParagraph"/>
              <w:numPr>
                <w:ilvl w:val="0"/>
                <w:numId w:val="32"/>
              </w:numPr>
              <w:contextualSpacing w:val="0"/>
            </w:pPr>
            <w:r w:rsidRPr="00073574">
              <w:t>SG13 nominated a liaison rapporteur for ITU-D, Mr Fidelis Onah (Nigeria).</w:t>
            </w:r>
            <w:r w:rsidR="003E0F6E" w:rsidRPr="00073574">
              <w:t xml:space="preserve"> It also informs on a regular basis the ITU-D Q3/1 about cloud computing work at SG13.</w:t>
            </w:r>
            <w:r w:rsidR="00D16685" w:rsidRPr="00073574">
              <w:t xml:space="preserve"> </w:t>
            </w:r>
            <w:r w:rsidR="00945D1F" w:rsidRPr="00073574">
              <w:t xml:space="preserve">A brief introduction of the </w:t>
            </w:r>
            <w:r w:rsidR="009800F5" w:rsidRPr="00073574">
              <w:t>IMT-2020 roadmap and JCA-IMT2020</w:t>
            </w:r>
            <w:r w:rsidR="00945D1F" w:rsidRPr="00073574">
              <w:t xml:space="preserve"> work in SG13 was given at the ITU-D </w:t>
            </w:r>
            <w:r w:rsidR="0054474E" w:rsidRPr="00073574">
              <w:t>SG2</w:t>
            </w:r>
            <w:r w:rsidR="00945D1F" w:rsidRPr="00073574">
              <w:t xml:space="preserve"> meeting in October 2020. </w:t>
            </w:r>
            <w:r w:rsidR="00D16685" w:rsidRPr="00073574">
              <w:t>The joint workshop with ITU-D was organized alongside the May 2019 SG13RG-EECAT meeting in St Petersburg, Russia.</w:t>
            </w:r>
          </w:p>
          <w:p w14:paraId="702F4A44" w14:textId="4C005CF3" w:rsidR="00F0236A" w:rsidRPr="00073574" w:rsidRDefault="00F0236A" w:rsidP="002E241A">
            <w:pPr>
              <w:pStyle w:val="ListParagraph"/>
              <w:numPr>
                <w:ilvl w:val="0"/>
                <w:numId w:val="32"/>
              </w:numPr>
              <w:contextualSpacing w:val="0"/>
            </w:pPr>
            <w:r w:rsidRPr="00073574">
              <w:t>SG15: Regular exchange of LSs on telecommunication network infrastructure.</w:t>
            </w:r>
            <w:r w:rsidR="00540738" w:rsidRPr="00073574">
              <w:t xml:space="preserve"> In particular, SG15 sends Liaisons to ITU-D SG</w:t>
            </w:r>
            <w:r w:rsidR="00D73E6E" w:rsidRPr="00073574">
              <w:t xml:space="preserve">s </w:t>
            </w:r>
            <w:r w:rsidR="00540738" w:rsidRPr="00073574">
              <w:t>1 and 2, ITU-R SG</w:t>
            </w:r>
            <w:r w:rsidR="00D73E6E" w:rsidRPr="00073574">
              <w:t xml:space="preserve">s </w:t>
            </w:r>
            <w:r w:rsidR="00540738" w:rsidRPr="00073574">
              <w:t>1, 5 and 6 as well as to TSAG on ITU inter-Sector coordination on its lead SG activities.</w:t>
            </w:r>
          </w:p>
          <w:p w14:paraId="61411620" w14:textId="66C5EDFA" w:rsidR="00F0236A" w:rsidRPr="00073574" w:rsidRDefault="00F0236A" w:rsidP="002E241A">
            <w:pPr>
              <w:pStyle w:val="ListParagraph"/>
              <w:numPr>
                <w:ilvl w:val="0"/>
                <w:numId w:val="32"/>
              </w:numPr>
              <w:contextualSpacing w:val="0"/>
              <w:rPr>
                <w:sz w:val="24"/>
              </w:rPr>
            </w:pPr>
            <w:r w:rsidRPr="00073574">
              <w:t>SG16: Regular exchange of LSs in particular on accessibility and e-health.</w:t>
            </w:r>
          </w:p>
          <w:p w14:paraId="0CEAD5F8" w14:textId="77B592BC" w:rsidR="00B0011F" w:rsidRPr="00073574" w:rsidRDefault="00B0011F" w:rsidP="002E241A">
            <w:pPr>
              <w:pStyle w:val="ListParagraph"/>
              <w:numPr>
                <w:ilvl w:val="0"/>
                <w:numId w:val="32"/>
              </w:numPr>
              <w:contextualSpacing w:val="0"/>
            </w:pPr>
            <w:r w:rsidRPr="00073574">
              <w:t xml:space="preserve">SG17 sent Liaisons to ITU-D SG1 and 2, TDAG in support of </w:t>
            </w:r>
            <w:r w:rsidR="00B24A92" w:rsidRPr="00073574">
              <w:t>WTDC-14/</w:t>
            </w:r>
            <w:r w:rsidRPr="00073574">
              <w:t>WTDC-1</w:t>
            </w:r>
            <w:r w:rsidR="00B24A92" w:rsidRPr="00073574">
              <w:t>7</w:t>
            </w:r>
            <w:r w:rsidRPr="00073574">
              <w:t xml:space="preserve"> Resolutions and ongoing collaboration with ITU-D Q3/2 and Q9/2; to ITU-R SG4 and 5, as well as to TSAG on ITU inter-Sector coordination and SG17 lead SG activities.</w:t>
            </w:r>
          </w:p>
          <w:p w14:paraId="630E2373" w14:textId="7B553357" w:rsidR="00842FD0" w:rsidRPr="00073574" w:rsidRDefault="00842FD0" w:rsidP="002E241A">
            <w:pPr>
              <w:pStyle w:val="ListParagraph"/>
              <w:numPr>
                <w:ilvl w:val="0"/>
                <w:numId w:val="32"/>
              </w:numPr>
              <w:contextualSpacing w:val="0"/>
            </w:pPr>
            <w:r w:rsidRPr="00073574">
              <w:t xml:space="preserve">SG20: Regular exchange of </w:t>
            </w:r>
            <w:r w:rsidR="00A87408" w:rsidRPr="00073574">
              <w:t>liaison statements</w:t>
            </w:r>
            <w:r w:rsidRPr="00073574">
              <w:t xml:space="preserve"> on Internet of things (IoT) and smart cities &amp; communities.</w:t>
            </w:r>
          </w:p>
          <w:p w14:paraId="56DA22B1" w14:textId="0F9AB00D" w:rsidR="00842FD0" w:rsidRPr="00073574" w:rsidRDefault="079DCE2E" w:rsidP="002E241A">
            <w:pPr>
              <w:pStyle w:val="ListParagraph"/>
              <w:numPr>
                <w:ilvl w:val="0"/>
                <w:numId w:val="32"/>
              </w:numPr>
              <w:contextualSpacing w:val="0"/>
            </w:pPr>
            <w:r w:rsidRPr="00073574">
              <w:t>The Green Standards Week 2018</w:t>
            </w:r>
            <w:r w:rsidR="4B5DCA69" w:rsidRPr="00073574">
              <w:t xml:space="preserve"> and 2019</w:t>
            </w:r>
            <w:r w:rsidRPr="00073574">
              <w:t xml:space="preserve"> </w:t>
            </w:r>
            <w:r w:rsidR="1A96CE19" w:rsidRPr="00073574">
              <w:t>was</w:t>
            </w:r>
            <w:r w:rsidRPr="00073574">
              <w:t xml:space="preserve"> coordinated with the Regional offices of Africa and the Arab region</w:t>
            </w:r>
            <w:r w:rsidR="0DE1CB78" w:rsidRPr="00073574">
              <w:t xml:space="preserve"> and BDT</w:t>
            </w:r>
            <w:r w:rsidRPr="00073574">
              <w:t>.</w:t>
            </w:r>
          </w:p>
          <w:p w14:paraId="18FABA8B" w14:textId="4FB5B81F" w:rsidR="0093715E" w:rsidRPr="00073574" w:rsidRDefault="03EA5164" w:rsidP="002E241A">
            <w:pPr>
              <w:pStyle w:val="ListParagraph"/>
              <w:numPr>
                <w:ilvl w:val="0"/>
                <w:numId w:val="32"/>
              </w:numPr>
              <w:spacing w:after="40"/>
              <w:contextualSpacing w:val="0"/>
            </w:pPr>
            <w:r w:rsidRPr="00073574">
              <w:t xml:space="preserve">The First Digital African Week (27-30 August 2019) </w:t>
            </w:r>
            <w:r w:rsidR="44AF0D9C" w:rsidRPr="00073574">
              <w:t>was</w:t>
            </w:r>
            <w:r w:rsidRPr="00073574">
              <w:t xml:space="preserve"> coordinated with the Regional office for Africa.</w:t>
            </w:r>
          </w:p>
        </w:tc>
      </w:tr>
      <w:tr w:rsidR="00F0236A" w:rsidRPr="00073574" w14:paraId="2ABE53DE" w14:textId="77777777" w:rsidTr="4D78197E">
        <w:trPr>
          <w:jc w:val="center"/>
        </w:trPr>
        <w:tc>
          <w:tcPr>
            <w:tcW w:w="896" w:type="dxa"/>
            <w:vMerge w:val="restart"/>
            <w:tcBorders>
              <w:top w:val="single" w:sz="12" w:space="0" w:color="auto"/>
            </w:tcBorders>
            <w:shd w:val="clear" w:color="auto" w:fill="auto"/>
          </w:tcPr>
          <w:p w14:paraId="72CE26A1" w14:textId="77777777" w:rsidR="00F0236A" w:rsidRPr="00073574" w:rsidRDefault="00F0236A" w:rsidP="000F4780">
            <w:pPr>
              <w:pStyle w:val="Tabletext"/>
              <w:keepNext/>
              <w:keepLines/>
              <w:rPr>
                <w:b/>
                <w:bCs/>
                <w:sz w:val="24"/>
                <w:szCs w:val="24"/>
              </w:rPr>
            </w:pPr>
            <w:r w:rsidRPr="00073574">
              <w:rPr>
                <w:b/>
                <w:bCs/>
                <w:sz w:val="24"/>
                <w:szCs w:val="24"/>
              </w:rPr>
              <w:lastRenderedPageBreak/>
              <w:t>44-13</w:t>
            </w:r>
          </w:p>
        </w:tc>
        <w:tc>
          <w:tcPr>
            <w:tcW w:w="4512" w:type="dxa"/>
            <w:tcBorders>
              <w:top w:val="single" w:sz="12" w:space="0" w:color="auto"/>
            </w:tcBorders>
            <w:shd w:val="clear" w:color="auto" w:fill="auto"/>
          </w:tcPr>
          <w:p w14:paraId="69ACE360" w14:textId="77777777" w:rsidR="00F0236A" w:rsidRPr="00073574" w:rsidRDefault="00F0236A" w:rsidP="000F4780">
            <w:pPr>
              <w:pStyle w:val="Tabletext"/>
              <w:keepNext/>
              <w:keepLines/>
              <w:rPr>
                <w:b/>
                <w:bCs/>
                <w:sz w:val="24"/>
                <w:szCs w:val="24"/>
              </w:rPr>
            </w:pPr>
            <w:r w:rsidRPr="00073574">
              <w:rPr>
                <w:b/>
                <w:bCs/>
                <w:sz w:val="24"/>
                <w:szCs w:val="24"/>
              </w:rPr>
              <w:t>SGs and TSAG to consider including implementation guidelines for ITU</w:t>
            </w:r>
            <w:r w:rsidRPr="00073574">
              <w:rPr>
                <w:b/>
                <w:bCs/>
                <w:sz w:val="24"/>
                <w:szCs w:val="24"/>
              </w:rPr>
              <w:noBreakHyphen/>
              <w:t>T Recommendations where these could provide advice to assist developing countries in adopting them, with emphasis on Recommendations having regulatory and policy implications. (i. SGs + TSAG 2)</w:t>
            </w:r>
          </w:p>
        </w:tc>
        <w:tc>
          <w:tcPr>
            <w:tcW w:w="1637" w:type="dxa"/>
            <w:tcBorders>
              <w:top w:val="single" w:sz="12" w:space="0" w:color="auto"/>
            </w:tcBorders>
            <w:shd w:val="clear" w:color="auto" w:fill="auto"/>
            <w:vAlign w:val="center"/>
          </w:tcPr>
          <w:p w14:paraId="289BC181" w14:textId="0A37B167" w:rsidR="00F0236A" w:rsidRPr="00073574" w:rsidRDefault="00F0236A" w:rsidP="00421132">
            <w:pPr>
              <w:pStyle w:val="Tabletext"/>
              <w:jc w:val="center"/>
              <w:rPr>
                <w:b/>
                <w:bCs/>
                <w:sz w:val="24"/>
                <w:szCs w:val="24"/>
              </w:rPr>
            </w:pPr>
            <w:r w:rsidRPr="00073574">
              <w:rPr>
                <w:b/>
                <w:bCs/>
                <w:sz w:val="24"/>
                <w:szCs w:val="24"/>
              </w:rPr>
              <w:t>TSAG 20</w:t>
            </w:r>
            <w:r w:rsidR="003B4FD5" w:rsidRPr="00073574">
              <w:rPr>
                <w:b/>
                <w:bCs/>
                <w:sz w:val="24"/>
                <w:szCs w:val="24"/>
              </w:rPr>
              <w:t>2</w:t>
            </w:r>
            <w:r w:rsidR="00F271F6" w:rsidRPr="00073574">
              <w:rPr>
                <w:b/>
                <w:bCs/>
                <w:sz w:val="24"/>
                <w:szCs w:val="24"/>
              </w:rPr>
              <w:t>1</w:t>
            </w:r>
            <w:r w:rsidRPr="00073574">
              <w:rPr>
                <w:b/>
                <w:bCs/>
                <w:sz w:val="24"/>
                <w:szCs w:val="24"/>
              </w:rPr>
              <w:t>,</w:t>
            </w:r>
          </w:p>
          <w:p w14:paraId="7A5B2D5A" w14:textId="77777777" w:rsidR="00F0236A" w:rsidRPr="00073574" w:rsidRDefault="00F0236A" w:rsidP="00421132">
            <w:pPr>
              <w:pStyle w:val="Tabletext"/>
              <w:jc w:val="center"/>
              <w:rPr>
                <w:b/>
                <w:bCs/>
                <w:sz w:val="24"/>
                <w:szCs w:val="24"/>
              </w:rPr>
            </w:pPr>
            <w:r w:rsidRPr="00073574">
              <w:rPr>
                <w:b/>
                <w:bCs/>
                <w:sz w:val="24"/>
                <w:szCs w:val="24"/>
              </w:rPr>
              <w:t>Ongoing</w:t>
            </w:r>
          </w:p>
        </w:tc>
        <w:tc>
          <w:tcPr>
            <w:tcW w:w="1129" w:type="dxa"/>
            <w:tcBorders>
              <w:top w:val="single" w:sz="12" w:space="0" w:color="auto"/>
            </w:tcBorders>
            <w:shd w:val="clear" w:color="auto" w:fill="auto"/>
            <w:vAlign w:val="center"/>
          </w:tcPr>
          <w:p w14:paraId="16E7DE71" w14:textId="77777777" w:rsidR="00F0236A" w:rsidRPr="00073574" w:rsidRDefault="00F0236A" w:rsidP="00421132">
            <w:pPr>
              <w:pStyle w:val="Tabletext"/>
              <w:jc w:val="center"/>
              <w:rPr>
                <w:b/>
                <w:bCs/>
                <w:sz w:val="24"/>
                <w:szCs w:val="24"/>
              </w:rPr>
            </w:pPr>
            <w:r w:rsidRPr="00073574">
              <w:rPr>
                <w:b/>
                <w:bCs/>
                <w:sz w:val="24"/>
                <w:szCs w:val="24"/>
              </w:rPr>
              <w:t>√</w:t>
            </w:r>
          </w:p>
        </w:tc>
        <w:tc>
          <w:tcPr>
            <w:tcW w:w="1348" w:type="dxa"/>
            <w:gridSpan w:val="2"/>
            <w:tcBorders>
              <w:top w:val="single" w:sz="12" w:space="0" w:color="auto"/>
            </w:tcBorders>
            <w:shd w:val="clear" w:color="auto" w:fill="auto"/>
            <w:vAlign w:val="center"/>
          </w:tcPr>
          <w:p w14:paraId="584D5B8F" w14:textId="77777777" w:rsidR="00F0236A" w:rsidRPr="00073574" w:rsidRDefault="00F0236A" w:rsidP="00421132">
            <w:pPr>
              <w:pStyle w:val="Tabletext"/>
              <w:jc w:val="center"/>
              <w:rPr>
                <w:b/>
                <w:bCs/>
                <w:sz w:val="24"/>
                <w:szCs w:val="24"/>
              </w:rPr>
            </w:pPr>
          </w:p>
        </w:tc>
      </w:tr>
      <w:tr w:rsidR="00F0236A" w:rsidRPr="00073574" w14:paraId="42D5528D" w14:textId="77777777" w:rsidTr="4D78197E">
        <w:trPr>
          <w:jc w:val="center"/>
        </w:trPr>
        <w:tc>
          <w:tcPr>
            <w:tcW w:w="896" w:type="dxa"/>
            <w:vMerge/>
          </w:tcPr>
          <w:p w14:paraId="62A43A19" w14:textId="77777777" w:rsidR="00F0236A" w:rsidRPr="00073574" w:rsidRDefault="00F0236A" w:rsidP="00421132">
            <w:pPr>
              <w:pStyle w:val="Tabletext"/>
              <w:rPr>
                <w:sz w:val="24"/>
                <w:szCs w:val="24"/>
              </w:rPr>
            </w:pPr>
          </w:p>
        </w:tc>
        <w:tc>
          <w:tcPr>
            <w:tcW w:w="8626" w:type="dxa"/>
            <w:gridSpan w:val="5"/>
            <w:shd w:val="clear" w:color="auto" w:fill="auto"/>
          </w:tcPr>
          <w:p w14:paraId="5155B1BD" w14:textId="77777777" w:rsidR="00F0236A" w:rsidRPr="00073574" w:rsidRDefault="00F0236A" w:rsidP="00284A2E">
            <w:pPr>
              <w:spacing w:before="40"/>
              <w:rPr>
                <w:b/>
                <w:bCs/>
                <w:szCs w:val="22"/>
              </w:rPr>
            </w:pPr>
            <w:r w:rsidRPr="00073574">
              <w:rPr>
                <w:szCs w:val="22"/>
              </w:rPr>
              <w:t>Study groups will develop implementation guidelines for new ITU-T Recommendations to enable developing countries to adopt them, based on received contributions. The ITU has developed guidelines for developing countries to establish standardization secretariats to better interface with ITU-T Study Groups to enhance their contributions to the ITU-T standardization process.</w:t>
            </w:r>
          </w:p>
          <w:p w14:paraId="5F9085A3" w14:textId="29630CD6" w:rsidR="00F0236A" w:rsidRPr="00073574" w:rsidRDefault="00F0236A" w:rsidP="002E241A">
            <w:pPr>
              <w:pStyle w:val="ListParagraph"/>
              <w:numPr>
                <w:ilvl w:val="0"/>
                <w:numId w:val="33"/>
              </w:numPr>
              <w:ind w:left="357" w:hanging="357"/>
              <w:contextualSpacing w:val="0"/>
              <w:rPr>
                <w:b/>
              </w:rPr>
            </w:pPr>
            <w:r w:rsidRPr="00073574">
              <w:t xml:space="preserve">SG9 Question 4/9 </w:t>
            </w:r>
            <w:r w:rsidR="00C85252" w:rsidRPr="00073574">
              <w:t>has</w:t>
            </w:r>
            <w:r w:rsidRPr="00073574">
              <w:t xml:space="preserve"> publish</w:t>
            </w:r>
            <w:r w:rsidR="00C85252" w:rsidRPr="00073574">
              <w:t>ed</w:t>
            </w:r>
            <w:r w:rsidRPr="00073574">
              <w:t xml:space="preserve"> </w:t>
            </w:r>
            <w:r w:rsidR="00C85252" w:rsidRPr="00073574">
              <w:t xml:space="preserve">a </w:t>
            </w:r>
            <w:r w:rsidR="00847AA4" w:rsidRPr="00073574">
              <w:t>supplement</w:t>
            </w:r>
            <w:r w:rsidR="00C85252" w:rsidRPr="00073574">
              <w:t xml:space="preserve"> to J-series </w:t>
            </w:r>
            <w:r w:rsidR="00847AA4" w:rsidRPr="00073574">
              <w:t>Recommendations</w:t>
            </w:r>
            <w:r w:rsidR="00C85252" w:rsidRPr="00073574">
              <w:t>:</w:t>
            </w:r>
            <w:r w:rsidR="00C85252" w:rsidRPr="00073574">
              <w:br/>
            </w:r>
            <w:r w:rsidR="00C85252" w:rsidRPr="00073574">
              <w:rPr>
                <w:i/>
                <w:iCs/>
              </w:rPr>
              <w:t>(</w:t>
            </w:r>
            <w:hyperlink r:id="rId291" w:anchor=":~:text=J%20Suppl.%2011%3A%20Guidelines%20for%20installing%20a%20digital%20television%20service%20for%20cable%20networks%20based%20on%20ITU%2DT%20Recommendations" w:history="1">
              <w:r w:rsidR="00C85252" w:rsidRPr="00073574">
                <w:rPr>
                  <w:rStyle w:val="Hyperlink"/>
                  <w:i/>
                </w:rPr>
                <w:t>J Suppl. 11</w:t>
              </w:r>
            </w:hyperlink>
            <w:r w:rsidR="00C85252" w:rsidRPr="00073574">
              <w:rPr>
                <w:i/>
                <w:iCs/>
              </w:rPr>
              <w:t>: Guidelines for installing a digital television service for cable networks based on ITU-T Recommendations)</w:t>
            </w:r>
            <w:r w:rsidR="00C85252" w:rsidRPr="00073574">
              <w:t xml:space="preserve"> which provides guidelines to be considered by </w:t>
            </w:r>
            <w:r w:rsidR="009A7756" w:rsidRPr="00073574">
              <w:t>developing countries that are planning to deploy fibre optic facilities and advanced digital transmission over hybrid fibre/coaxial (HFC) with the objective of introducing digital cable television services on their infrastructure.</w:t>
            </w:r>
          </w:p>
          <w:p w14:paraId="6005C136" w14:textId="1363CEBA" w:rsidR="00176582" w:rsidRPr="00073574" w:rsidRDefault="00176582" w:rsidP="006C755E">
            <w:pPr>
              <w:pStyle w:val="ListParagraph"/>
              <w:numPr>
                <w:ilvl w:val="0"/>
                <w:numId w:val="33"/>
              </w:numPr>
            </w:pPr>
            <w:r w:rsidRPr="00073574">
              <w:t xml:space="preserve">SG11 </w:t>
            </w:r>
            <w:r w:rsidR="00B21C75" w:rsidRPr="00073574">
              <w:t>agreed new Technical Report TR-SS7-DFS “SS7 vulnerabilities and mitigation measures for digital financial services transactions” and</w:t>
            </w:r>
            <w:r w:rsidRPr="00073574">
              <w:t xml:space="preserve"> a Supplement 96 to ITU-T Q.series on framework for interconnection between VoLTE-based network and other networks supporting emergency telecommunications service (ETS).</w:t>
            </w:r>
            <w:r w:rsidR="00F11B2E" w:rsidRPr="00073574">
              <w:t xml:space="preserve"> </w:t>
            </w:r>
            <w:r w:rsidR="007A3AE0" w:rsidRPr="00073574">
              <w:t xml:space="preserve">SG11 developed </w:t>
            </w:r>
            <w:r w:rsidR="00F041EB" w:rsidRPr="00073574">
              <w:t>r</w:t>
            </w:r>
            <w:r w:rsidR="007A3AE0" w:rsidRPr="00073574">
              <w:t xml:space="preserve">oadmap </w:t>
            </w:r>
            <w:r w:rsidR="00FB3369" w:rsidRPr="00073574">
              <w:t>for the ITU-T Q.5050-series - Combat of counterfeit ICT and stolen mobile devices</w:t>
            </w:r>
            <w:r w:rsidR="00C77B95" w:rsidRPr="00073574">
              <w:t xml:space="preserve"> (Q Suppl.74)</w:t>
            </w:r>
            <w:r w:rsidR="005473DB" w:rsidRPr="00073574">
              <w:t xml:space="preserve"> and </w:t>
            </w:r>
            <w:r w:rsidR="007E09E8" w:rsidRPr="00073574">
              <w:t xml:space="preserve">developed </w:t>
            </w:r>
            <w:r w:rsidR="00145DCA" w:rsidRPr="00073574">
              <w:t>ITU-T Q Suppl.73 “Guidelines for Permissive versus Restrictive System Implementations to address counterfeit, stolen and illegal mobile devices”.</w:t>
            </w:r>
          </w:p>
          <w:p w14:paraId="4A460116" w14:textId="58F4ED2A" w:rsidR="00A674ED" w:rsidRPr="00073574" w:rsidRDefault="00A674ED" w:rsidP="002E241A">
            <w:pPr>
              <w:pStyle w:val="ListParagraph"/>
              <w:numPr>
                <w:ilvl w:val="0"/>
                <w:numId w:val="33"/>
              </w:numPr>
              <w:contextualSpacing w:val="0"/>
            </w:pPr>
            <w:r w:rsidRPr="00073574">
              <w:t xml:space="preserve">SG12 has developed an application guide for Recommendation ITU-T P.863 (Recommendation ITU-T P.863.1). An application guide for Recommendation ITU-T E.804 </w:t>
            </w:r>
            <w:r w:rsidR="009B7DDB" w:rsidRPr="00073574">
              <w:t xml:space="preserve">(Recommendation ITU-T E.804.1) </w:t>
            </w:r>
            <w:r w:rsidR="003B50BD" w:rsidRPr="00073574">
              <w:t>has also been adopted</w:t>
            </w:r>
            <w:r w:rsidRPr="00073574">
              <w:t>.</w:t>
            </w:r>
          </w:p>
          <w:p w14:paraId="770674A9" w14:textId="46515C2F" w:rsidR="00F0236A" w:rsidRPr="00073574" w:rsidRDefault="00F0236A" w:rsidP="002E241A">
            <w:pPr>
              <w:pStyle w:val="ListParagraph"/>
              <w:numPr>
                <w:ilvl w:val="0"/>
                <w:numId w:val="33"/>
              </w:numPr>
              <w:ind w:left="357" w:hanging="357"/>
              <w:contextualSpacing w:val="0"/>
            </w:pPr>
            <w:r w:rsidRPr="00073574">
              <w:t xml:space="preserve">SG13: A new work item </w:t>
            </w:r>
            <w:r w:rsidRPr="00073574">
              <w:rPr>
                <w:i/>
              </w:rPr>
              <w:t xml:space="preserve">Mechanism of identification of recommendations requiring implementation guidelines </w:t>
            </w:r>
            <w:r w:rsidRPr="00073574">
              <w:t>was created in the work plan for Q5/13.</w:t>
            </w:r>
            <w:r w:rsidR="00813B62" w:rsidRPr="00073574">
              <w:t xml:space="preserve"> </w:t>
            </w:r>
            <w:r w:rsidR="00702450" w:rsidRPr="00073574">
              <w:t>Supplement</w:t>
            </w:r>
            <w:r w:rsidR="00471F65" w:rsidRPr="00073574">
              <w:t xml:space="preserve"> 64</w:t>
            </w:r>
            <w:r w:rsidR="00813B62" w:rsidRPr="00073574">
              <w:t xml:space="preserve"> </w:t>
            </w:r>
            <w:r w:rsidR="00471F65" w:rsidRPr="00073574">
              <w:t>to ITU-T Y.3100-series of Re</w:t>
            </w:r>
            <w:r w:rsidR="00EA5210" w:rsidRPr="00073574">
              <w:t>commendations</w:t>
            </w:r>
            <w:r w:rsidR="00813B62" w:rsidRPr="00073574">
              <w:t xml:space="preserve"> “Awareness on Use Cases and Migration Aspects of IMT-2020” </w:t>
            </w:r>
            <w:r w:rsidR="00EA5210" w:rsidRPr="00073574">
              <w:t>was agreed in July 2020</w:t>
            </w:r>
            <w:r w:rsidR="00813B62" w:rsidRPr="00073574">
              <w:t>.</w:t>
            </w:r>
          </w:p>
          <w:p w14:paraId="7A068AB9" w14:textId="52EED192" w:rsidR="00C60B37" w:rsidRPr="00073574" w:rsidRDefault="003B50F4" w:rsidP="00C60B37">
            <w:pPr>
              <w:ind w:left="357"/>
            </w:pPr>
            <w:r w:rsidRPr="00073574">
              <w:t>In July 2020</w:t>
            </w:r>
            <w:r w:rsidR="4A174151" w:rsidRPr="00073574">
              <w:t xml:space="preserve">SG13 </w:t>
            </w:r>
            <w:r w:rsidR="4A174151" w:rsidRPr="00073574">
              <w:rPr>
                <w:rFonts w:asciiTheme="majorBidi" w:hAnsiTheme="majorBidi" w:cstheme="majorBidi"/>
              </w:rPr>
              <w:t>agreed</w:t>
            </w:r>
            <w:r w:rsidR="4A174151" w:rsidRPr="00073574">
              <w:t xml:space="preserve"> an </w:t>
            </w:r>
            <w:r w:rsidR="4A174151" w:rsidRPr="00073574">
              <w:rPr>
                <w:lang w:eastAsia="en-US"/>
              </w:rPr>
              <w:t>ITU-T Technical report (</w:t>
            </w:r>
            <w:hyperlink r:id="rId292" w:history="1">
              <w:r w:rsidR="4A174151" w:rsidRPr="00073574">
                <w:rPr>
                  <w:rStyle w:val="Hyperlink"/>
                  <w:color w:val="0563C1"/>
                </w:rPr>
                <w:t>SG13-TD306/PLEN</w:t>
              </w:r>
            </w:hyperlink>
            <w:r w:rsidR="4A174151" w:rsidRPr="00073574">
              <w:rPr>
                <w:lang w:eastAsia="en-US"/>
              </w:rPr>
              <w:t>) “Use of ITU-T Recommendations by Developing Countries”, which presents the analysis and interpretation of the results of a questionnaire on use of ITU-T Recommendations in developing countries.</w:t>
            </w:r>
            <w:r w:rsidR="38631F61" w:rsidRPr="00073574">
              <w:rPr>
                <w:lang w:eastAsia="en-US"/>
              </w:rPr>
              <w:t xml:space="preserve"> See also item 44-02 above.</w:t>
            </w:r>
          </w:p>
          <w:p w14:paraId="4DB65BF3" w14:textId="5551B687" w:rsidR="00F0236A" w:rsidRPr="00073574" w:rsidRDefault="00F0236A" w:rsidP="002E241A">
            <w:pPr>
              <w:pStyle w:val="ListParagraph"/>
              <w:numPr>
                <w:ilvl w:val="0"/>
                <w:numId w:val="33"/>
              </w:numPr>
              <w:ind w:left="357" w:hanging="357"/>
              <w:contextualSpacing w:val="0"/>
              <w:rPr>
                <w:sz w:val="24"/>
              </w:rPr>
            </w:pPr>
            <w:r w:rsidRPr="00073574">
              <w:t>SG15 publishes Supplements and technical reports to facilitate implementation.</w:t>
            </w:r>
          </w:p>
          <w:p w14:paraId="3AD4471D" w14:textId="096556A8" w:rsidR="00603C37" w:rsidRPr="00073574" w:rsidRDefault="00603C37" w:rsidP="002E241A">
            <w:pPr>
              <w:pStyle w:val="ListParagraph"/>
              <w:numPr>
                <w:ilvl w:val="0"/>
                <w:numId w:val="33"/>
              </w:numPr>
              <w:ind w:left="357" w:hanging="357"/>
              <w:contextualSpacing w:val="0"/>
              <w:rPr>
                <w:sz w:val="24"/>
              </w:rPr>
            </w:pPr>
            <w:r w:rsidRPr="00073574">
              <w:t xml:space="preserve">SG16 develops guidelines to implement IPTV services, work advanced on </w:t>
            </w:r>
            <w:hyperlink r:id="rId293">
              <w:r w:rsidRPr="00073574">
                <w:rPr>
                  <w:rStyle w:val="Hyperlink"/>
                </w:rPr>
                <w:t>HSTP.IPTV-GUIDE.2</w:t>
              </w:r>
            </w:hyperlink>
            <w:r w:rsidRPr="00073574">
              <w:t xml:space="preserve"> - IPTV service parameters for new IPTV service providers and completed in 2017 </w:t>
            </w:r>
            <w:hyperlink r:id="rId294">
              <w:r w:rsidRPr="00073574">
                <w:rPr>
                  <w:rStyle w:val="Hyperlink"/>
                </w:rPr>
                <w:t>HSTP-IPTV-GUIDE.1</w:t>
              </w:r>
            </w:hyperlink>
            <w:r w:rsidRPr="00073574">
              <w:t xml:space="preserve"> - IPTV service deployment scenarios in high-speed broadband era.</w:t>
            </w:r>
          </w:p>
          <w:p w14:paraId="67F24A1F" w14:textId="227A8A32" w:rsidR="00F0236A" w:rsidRPr="00073574" w:rsidRDefault="00F0236A" w:rsidP="002E241A">
            <w:pPr>
              <w:pStyle w:val="ListParagraph"/>
              <w:numPr>
                <w:ilvl w:val="0"/>
                <w:numId w:val="33"/>
              </w:numPr>
              <w:ind w:left="357" w:hanging="357"/>
              <w:contextualSpacing w:val="0"/>
            </w:pPr>
            <w:r w:rsidRPr="00073574">
              <w:t xml:space="preserve">SG17 </w:t>
            </w:r>
            <w:r w:rsidR="33DD8753" w:rsidRPr="00073574">
              <w:t>Aug</w:t>
            </w:r>
            <w:r w:rsidR="0069703A" w:rsidRPr="00073574">
              <w:t>ust</w:t>
            </w:r>
            <w:r w:rsidR="33DD8753" w:rsidRPr="00073574">
              <w:t>/Sep</w:t>
            </w:r>
            <w:r w:rsidR="0069703A" w:rsidRPr="00073574">
              <w:t>tember</w:t>
            </w:r>
            <w:r w:rsidR="33DD8753" w:rsidRPr="00073574">
              <w:t xml:space="preserve"> 2020 meeting </w:t>
            </w:r>
            <w:r w:rsidR="0E5BA5EA" w:rsidRPr="00073574">
              <w:t>finished</w:t>
            </w:r>
            <w:r w:rsidR="7B444D81" w:rsidRPr="00073574">
              <w:t xml:space="preserve"> </w:t>
            </w:r>
            <w:r w:rsidRPr="00073574">
              <w:t>revis</w:t>
            </w:r>
            <w:r w:rsidR="7B444D81" w:rsidRPr="00073574">
              <w:t>i</w:t>
            </w:r>
            <w:r w:rsidR="75C96315" w:rsidRPr="00073574">
              <w:t>o</w:t>
            </w:r>
            <w:r w:rsidR="7B444D81" w:rsidRPr="00073574">
              <w:t>n</w:t>
            </w:r>
            <w:r w:rsidRPr="00073574">
              <w:t xml:space="preserve"> </w:t>
            </w:r>
            <w:r w:rsidR="2A884612" w:rsidRPr="00073574">
              <w:t xml:space="preserve">of </w:t>
            </w:r>
            <w:r w:rsidRPr="00073574">
              <w:t>technical report</w:t>
            </w:r>
            <w:r w:rsidR="588A0B13" w:rsidRPr="00073574">
              <w:t>s</w:t>
            </w:r>
            <w:r w:rsidRPr="00073574">
              <w:t xml:space="preserve"> </w:t>
            </w:r>
            <w:hyperlink r:id="rId295">
              <w:r w:rsidRPr="00073574">
                <w:rPr>
                  <w:rStyle w:val="Hyperlink"/>
                </w:rPr>
                <w:t>2016 - XSTR-SUSS - Successful use of security standards</w:t>
              </w:r>
            </w:hyperlink>
            <w:r w:rsidR="7A547D52" w:rsidRPr="00073574">
              <w:t xml:space="preserve"> and </w:t>
            </w:r>
            <w:hyperlink r:id="rId296">
              <w:r w:rsidR="7A547D52" w:rsidRPr="00073574">
                <w:rPr>
                  <w:rStyle w:val="Hyperlink"/>
                </w:rPr>
                <w:t>ITU-T Security Manual</w:t>
              </w:r>
            </w:hyperlink>
            <w:r w:rsidR="673B5629" w:rsidRPr="00073574">
              <w:rPr>
                <w:rStyle w:val="Hyperlink"/>
              </w:rPr>
              <w:t>.</w:t>
            </w:r>
          </w:p>
          <w:p w14:paraId="228DAB14" w14:textId="0D10F9F7" w:rsidR="00E70690" w:rsidRPr="00073574" w:rsidRDefault="00E70690" w:rsidP="002E241A">
            <w:pPr>
              <w:pStyle w:val="ListParagraph"/>
              <w:numPr>
                <w:ilvl w:val="0"/>
                <w:numId w:val="33"/>
              </w:numPr>
              <w:ind w:left="357" w:hanging="357"/>
              <w:contextualSpacing w:val="0"/>
            </w:pPr>
            <w:r w:rsidRPr="00073574">
              <w:lastRenderedPageBreak/>
              <w:t xml:space="preserve">SG20 </w:t>
            </w:r>
            <w:r w:rsidR="006106FC" w:rsidRPr="00073574">
              <w:t xml:space="preserve">is developing a Supplement on </w:t>
            </w:r>
            <w:r w:rsidR="00923F1B" w:rsidRPr="00073574">
              <w:t>“</w:t>
            </w:r>
            <w:r w:rsidR="0003402E" w:rsidRPr="00073574">
              <w:t>Guidelines for digital inclusion in the development of digital urban technology and smart cities</w:t>
            </w:r>
            <w:r w:rsidR="00923F1B" w:rsidRPr="00073574">
              <w:t>”</w:t>
            </w:r>
            <w:r w:rsidR="0003402E" w:rsidRPr="00073574">
              <w:t xml:space="preserve"> (Y.Sup.digi-inc).</w:t>
            </w:r>
            <w:r w:rsidR="00F779A0" w:rsidRPr="00073574">
              <w:t xml:space="preserve"> SG20 develops and publishes Supplements and technical reports to facilitate implementation.</w:t>
            </w:r>
          </w:p>
          <w:p w14:paraId="625E7593" w14:textId="016F3695" w:rsidR="00F0236A" w:rsidRPr="00073574" w:rsidRDefault="00F0236A" w:rsidP="002E241A">
            <w:pPr>
              <w:pStyle w:val="ListParagraph"/>
              <w:numPr>
                <w:ilvl w:val="0"/>
                <w:numId w:val="33"/>
              </w:numPr>
              <w:ind w:left="357" w:hanging="357"/>
              <w:contextualSpacing w:val="0"/>
            </w:pPr>
            <w:r w:rsidRPr="00073574">
              <w:t xml:space="preserve">The May 2017 TSAG meeting considered and concluded on the issues, see TSAG R1 </w:t>
            </w:r>
            <w:r w:rsidR="008160DB" w:rsidRPr="00073574">
              <w:t>§</w:t>
            </w:r>
            <w:r w:rsidRPr="00073574">
              <w:t>17.</w:t>
            </w:r>
          </w:p>
          <w:p w14:paraId="25281BBC" w14:textId="12C12664" w:rsidR="00135CA1" w:rsidRPr="00073574" w:rsidRDefault="00135CA1" w:rsidP="002E241A">
            <w:pPr>
              <w:pStyle w:val="ListParagraph"/>
              <w:numPr>
                <w:ilvl w:val="0"/>
                <w:numId w:val="33"/>
              </w:numPr>
              <w:spacing w:after="40"/>
              <w:ind w:left="357" w:hanging="357"/>
              <w:contextualSpacing w:val="0"/>
            </w:pPr>
            <w:r w:rsidRPr="00073574">
              <w:t xml:space="preserve">The December 2018 TSAG </w:t>
            </w:r>
            <w:r w:rsidR="00964A6B" w:rsidRPr="00073574">
              <w:t xml:space="preserve">meeting </w:t>
            </w:r>
            <w:r w:rsidRPr="00073574">
              <w:t xml:space="preserve">considered a contribution in that context; see TSAG R3 </w:t>
            </w:r>
            <w:r w:rsidR="008A093F" w:rsidRPr="00073574">
              <w:t>§13.</w:t>
            </w:r>
          </w:p>
          <w:p w14:paraId="55128717" w14:textId="1B9AE078" w:rsidR="00964A6B" w:rsidRPr="00073574" w:rsidRDefault="00964A6B" w:rsidP="002E241A">
            <w:pPr>
              <w:pStyle w:val="ListParagraph"/>
              <w:numPr>
                <w:ilvl w:val="0"/>
                <w:numId w:val="33"/>
              </w:numPr>
              <w:spacing w:after="40"/>
              <w:ind w:left="357" w:hanging="357"/>
              <w:contextualSpacing w:val="0"/>
            </w:pPr>
            <w:r w:rsidRPr="00073574">
              <w:t>The September 2019 TSAG meeting considered a contribution in that context; see TSAG R4 §12.</w:t>
            </w:r>
          </w:p>
        </w:tc>
      </w:tr>
      <w:tr w:rsidR="00F0236A" w:rsidRPr="00073574" w14:paraId="5F74A28D" w14:textId="77777777" w:rsidTr="4D78197E">
        <w:trPr>
          <w:jc w:val="center"/>
        </w:trPr>
        <w:tc>
          <w:tcPr>
            <w:tcW w:w="896" w:type="dxa"/>
            <w:vMerge w:val="restart"/>
            <w:tcBorders>
              <w:top w:val="single" w:sz="12" w:space="0" w:color="auto"/>
            </w:tcBorders>
            <w:shd w:val="clear" w:color="auto" w:fill="auto"/>
          </w:tcPr>
          <w:p w14:paraId="0CCCB2DC" w14:textId="77777777" w:rsidR="00F0236A" w:rsidRPr="00073574" w:rsidRDefault="00F0236A" w:rsidP="00360F93">
            <w:pPr>
              <w:pStyle w:val="Tabletext"/>
              <w:rPr>
                <w:b/>
                <w:bCs/>
                <w:sz w:val="24"/>
                <w:szCs w:val="24"/>
              </w:rPr>
            </w:pPr>
            <w:r w:rsidRPr="00073574">
              <w:rPr>
                <w:b/>
                <w:bCs/>
                <w:sz w:val="24"/>
                <w:szCs w:val="24"/>
              </w:rPr>
              <w:lastRenderedPageBreak/>
              <w:t>44-14</w:t>
            </w:r>
          </w:p>
        </w:tc>
        <w:tc>
          <w:tcPr>
            <w:tcW w:w="4512" w:type="dxa"/>
            <w:tcBorders>
              <w:top w:val="single" w:sz="12" w:space="0" w:color="auto"/>
            </w:tcBorders>
            <w:shd w:val="clear" w:color="auto" w:fill="auto"/>
          </w:tcPr>
          <w:p w14:paraId="23F647EA" w14:textId="77777777" w:rsidR="00F0236A" w:rsidRPr="00073574" w:rsidRDefault="00F0236A" w:rsidP="001D5FA8">
            <w:pPr>
              <w:pStyle w:val="Tabletext"/>
              <w:rPr>
                <w:b/>
                <w:bCs/>
                <w:sz w:val="24"/>
                <w:szCs w:val="24"/>
              </w:rPr>
            </w:pPr>
            <w:r w:rsidRPr="00073574">
              <w:rPr>
                <w:b/>
                <w:bCs/>
                <w:sz w:val="24"/>
                <w:szCs w:val="24"/>
              </w:rPr>
              <w:t>SGs and TSAG to coordinate joint meetings of regional groups. (i. SGs + TSAG 3)</w:t>
            </w:r>
          </w:p>
        </w:tc>
        <w:tc>
          <w:tcPr>
            <w:tcW w:w="1637" w:type="dxa"/>
            <w:tcBorders>
              <w:top w:val="single" w:sz="12" w:space="0" w:color="auto"/>
            </w:tcBorders>
            <w:shd w:val="clear" w:color="auto" w:fill="auto"/>
            <w:vAlign w:val="center"/>
          </w:tcPr>
          <w:p w14:paraId="3A319302" w14:textId="77777777" w:rsidR="00F0236A" w:rsidRPr="00073574" w:rsidRDefault="00F0236A" w:rsidP="001D5FA8">
            <w:pPr>
              <w:pStyle w:val="Tabletext"/>
              <w:jc w:val="center"/>
              <w:rPr>
                <w:b/>
                <w:bCs/>
                <w:sz w:val="24"/>
                <w:szCs w:val="24"/>
              </w:rPr>
            </w:pPr>
            <w:r w:rsidRPr="00073574">
              <w:rPr>
                <w:b/>
                <w:bCs/>
                <w:sz w:val="24"/>
                <w:szCs w:val="24"/>
              </w:rPr>
              <w:t>Ongoing</w:t>
            </w:r>
          </w:p>
        </w:tc>
        <w:tc>
          <w:tcPr>
            <w:tcW w:w="1129" w:type="dxa"/>
            <w:tcBorders>
              <w:top w:val="single" w:sz="12" w:space="0" w:color="auto"/>
            </w:tcBorders>
            <w:shd w:val="clear" w:color="auto" w:fill="auto"/>
            <w:vAlign w:val="center"/>
          </w:tcPr>
          <w:p w14:paraId="1AE173A5" w14:textId="77777777" w:rsidR="00F0236A" w:rsidRPr="00073574" w:rsidRDefault="00F0236A" w:rsidP="001D5FA8">
            <w:pPr>
              <w:pStyle w:val="Tabletext"/>
              <w:jc w:val="center"/>
              <w:rPr>
                <w:b/>
                <w:bCs/>
                <w:sz w:val="24"/>
                <w:szCs w:val="24"/>
              </w:rPr>
            </w:pPr>
            <w:r w:rsidRPr="00073574">
              <w:rPr>
                <w:b/>
                <w:bCs/>
                <w:sz w:val="24"/>
                <w:szCs w:val="24"/>
              </w:rPr>
              <w:t>√</w:t>
            </w:r>
          </w:p>
        </w:tc>
        <w:tc>
          <w:tcPr>
            <w:tcW w:w="1348" w:type="dxa"/>
            <w:gridSpan w:val="2"/>
            <w:tcBorders>
              <w:top w:val="single" w:sz="12" w:space="0" w:color="auto"/>
            </w:tcBorders>
            <w:shd w:val="clear" w:color="auto" w:fill="auto"/>
            <w:vAlign w:val="center"/>
          </w:tcPr>
          <w:p w14:paraId="561E3218" w14:textId="77777777" w:rsidR="00F0236A" w:rsidRPr="00073574" w:rsidRDefault="00F0236A" w:rsidP="001D5FA8">
            <w:pPr>
              <w:pStyle w:val="Tabletext"/>
              <w:jc w:val="center"/>
              <w:rPr>
                <w:b/>
                <w:bCs/>
                <w:sz w:val="24"/>
                <w:szCs w:val="24"/>
              </w:rPr>
            </w:pPr>
          </w:p>
        </w:tc>
      </w:tr>
      <w:tr w:rsidR="00F0236A" w:rsidRPr="00073574" w14:paraId="4E372FFC" w14:textId="77777777" w:rsidTr="4D78197E">
        <w:trPr>
          <w:jc w:val="center"/>
        </w:trPr>
        <w:tc>
          <w:tcPr>
            <w:tcW w:w="896" w:type="dxa"/>
            <w:vMerge/>
          </w:tcPr>
          <w:p w14:paraId="188CE147" w14:textId="77777777" w:rsidR="00F0236A" w:rsidRPr="00073574" w:rsidRDefault="00F0236A" w:rsidP="00DF36E1">
            <w:pPr>
              <w:pStyle w:val="Tabletext"/>
              <w:rPr>
                <w:sz w:val="24"/>
                <w:szCs w:val="24"/>
              </w:rPr>
            </w:pPr>
          </w:p>
        </w:tc>
        <w:tc>
          <w:tcPr>
            <w:tcW w:w="8626" w:type="dxa"/>
            <w:gridSpan w:val="5"/>
            <w:tcBorders>
              <w:bottom w:val="single" w:sz="12" w:space="0" w:color="auto"/>
            </w:tcBorders>
            <w:shd w:val="clear" w:color="auto" w:fill="auto"/>
          </w:tcPr>
          <w:p w14:paraId="6FAB2367" w14:textId="119A9037" w:rsidR="00F0236A" w:rsidRPr="00073574" w:rsidRDefault="00F0236A" w:rsidP="001D5FA8">
            <w:pPr>
              <w:spacing w:before="40"/>
              <w:rPr>
                <w:szCs w:val="22"/>
              </w:rPr>
            </w:pPr>
            <w:r w:rsidRPr="00073574">
              <w:rPr>
                <w:szCs w:val="22"/>
              </w:rPr>
              <w:t xml:space="preserve">Meetings of Regional Groups are being held </w:t>
            </w:r>
            <w:r w:rsidR="00506701" w:rsidRPr="00073574">
              <w:rPr>
                <w:szCs w:val="22"/>
              </w:rPr>
              <w:t>back-to-back</w:t>
            </w:r>
            <w:r w:rsidR="00246802" w:rsidRPr="00073574">
              <w:rPr>
                <w:szCs w:val="22"/>
              </w:rPr>
              <w:t>,</w:t>
            </w:r>
            <w:r w:rsidRPr="00073574">
              <w:rPr>
                <w:szCs w:val="22"/>
              </w:rPr>
              <w:t xml:space="preserve"> where they occur in the same region.</w:t>
            </w:r>
          </w:p>
          <w:p w14:paraId="137A129E" w14:textId="2EEABA9D" w:rsidR="00F0236A" w:rsidRPr="00073574" w:rsidRDefault="00F0236A" w:rsidP="001D5FA8">
            <w:pPr>
              <w:pStyle w:val="ListParagraph"/>
              <w:numPr>
                <w:ilvl w:val="0"/>
                <w:numId w:val="34"/>
              </w:numPr>
              <w:spacing w:before="40"/>
              <w:ind w:left="357" w:hanging="357"/>
              <w:contextualSpacing w:val="0"/>
            </w:pPr>
            <w:r w:rsidRPr="00073574">
              <w:t>SG2: SG2RG-AMR meeting on 7 March 2017 was co-located with SG3RG-LAC meeting from 6 to 10 March 2017 in Trinidad and Tobago.</w:t>
            </w:r>
          </w:p>
          <w:p w14:paraId="1B81B9B8" w14:textId="6EA91A76" w:rsidR="00BD4D2A" w:rsidRPr="00073574" w:rsidRDefault="00F0236A" w:rsidP="001D5FA8">
            <w:pPr>
              <w:pStyle w:val="ListParagraph"/>
              <w:numPr>
                <w:ilvl w:val="0"/>
                <w:numId w:val="34"/>
              </w:numPr>
              <w:ind w:left="357" w:hanging="357"/>
              <w:contextualSpacing w:val="0"/>
            </w:pPr>
            <w:r w:rsidRPr="00073574">
              <w:t xml:space="preserve">SG2 Regional Group for the Americas and SG3 Regional Group for Latin America and the Caribbean were held </w:t>
            </w:r>
            <w:r w:rsidR="00506701" w:rsidRPr="00073574">
              <w:t>back-to-back</w:t>
            </w:r>
            <w:r w:rsidRPr="00073574">
              <w:t xml:space="preserve"> in March 2017.</w:t>
            </w:r>
            <w:r w:rsidR="00810EE0" w:rsidRPr="00073574">
              <w:t xml:space="preserve"> SG2 Regional Group for Africa, SG2 Regional Group for Arab </w:t>
            </w:r>
            <w:r w:rsidR="002232CA" w:rsidRPr="00073574">
              <w:t>S</w:t>
            </w:r>
            <w:r w:rsidR="00810EE0" w:rsidRPr="00073574">
              <w:t xml:space="preserve">tates, </w:t>
            </w:r>
            <w:r w:rsidR="00701468" w:rsidRPr="00073574">
              <w:t xml:space="preserve">and </w:t>
            </w:r>
            <w:r w:rsidR="00810EE0" w:rsidRPr="00073574">
              <w:t>SG3 Regional Group for Arab States had a collocated meeting in Dubai, United Arab Emirates, 2019.</w:t>
            </w:r>
            <w:r w:rsidR="007328DF" w:rsidRPr="00073574">
              <w:t xml:space="preserve"> In addition, these two groups held a joint virtual meeting on 17 May 2021.</w:t>
            </w:r>
          </w:p>
          <w:p w14:paraId="073F49E9" w14:textId="77777777" w:rsidR="00AF1FD0" w:rsidRPr="00073574" w:rsidRDefault="00AF1FD0" w:rsidP="001D5FA8">
            <w:pPr>
              <w:pStyle w:val="ListParagraph"/>
              <w:numPr>
                <w:ilvl w:val="0"/>
                <w:numId w:val="34"/>
              </w:numPr>
              <w:ind w:left="357" w:hanging="357"/>
              <w:contextualSpacing w:val="0"/>
            </w:pPr>
            <w:r w:rsidRPr="00073574">
              <w:t>SG2RG-AMR was co-located with SG3RG-LAC in Managua, Nicaragua in March 2019.</w:t>
            </w:r>
          </w:p>
          <w:p w14:paraId="23A522DC" w14:textId="77777777" w:rsidR="0019476B" w:rsidRPr="00073574" w:rsidRDefault="00EB0515" w:rsidP="001D5FA8">
            <w:pPr>
              <w:pStyle w:val="ListParagraph"/>
              <w:numPr>
                <w:ilvl w:val="0"/>
                <w:numId w:val="34"/>
              </w:numPr>
              <w:ind w:left="357" w:hanging="357"/>
              <w:contextualSpacing w:val="0"/>
            </w:pPr>
            <w:r w:rsidRPr="00073574">
              <w:t>SG3 and SG20 regional groups for the Arab Region had collocated meeting from 19 to 22 November 2017.</w:t>
            </w:r>
          </w:p>
          <w:p w14:paraId="282B594C" w14:textId="40A5E233" w:rsidR="00B120E5" w:rsidRPr="00073574" w:rsidRDefault="0019476B" w:rsidP="001D5FA8">
            <w:pPr>
              <w:pStyle w:val="ListParagraph"/>
              <w:numPr>
                <w:ilvl w:val="0"/>
                <w:numId w:val="34"/>
              </w:numPr>
              <w:ind w:left="357" w:hanging="357"/>
              <w:contextualSpacing w:val="0"/>
            </w:pPr>
            <w:r w:rsidRPr="00073574">
              <w:t>SG3RG</w:t>
            </w:r>
            <w:r w:rsidR="00095EF3" w:rsidRPr="00073574">
              <w:t>-</w:t>
            </w:r>
            <w:r w:rsidRPr="00073574">
              <w:t>ARB back-to-back with SG5RG</w:t>
            </w:r>
            <w:r w:rsidR="00095EF3" w:rsidRPr="00073574">
              <w:t>-</w:t>
            </w:r>
            <w:r w:rsidRPr="00073574">
              <w:t xml:space="preserve">ARB in Kuwait City (Kuwait) </w:t>
            </w:r>
            <w:r w:rsidR="00EE6F41" w:rsidRPr="00073574">
              <w:t xml:space="preserve">were co-located </w:t>
            </w:r>
            <w:r w:rsidRPr="00073574">
              <w:t>in December 2018.</w:t>
            </w:r>
          </w:p>
          <w:p w14:paraId="042195BE" w14:textId="17AC3376" w:rsidR="00B120E5" w:rsidRPr="00073574" w:rsidRDefault="00B120E5" w:rsidP="001D5FA8">
            <w:pPr>
              <w:pStyle w:val="ListParagraph"/>
              <w:numPr>
                <w:ilvl w:val="0"/>
                <w:numId w:val="34"/>
              </w:numPr>
              <w:ind w:left="357" w:hanging="357"/>
              <w:contextualSpacing w:val="0"/>
            </w:pPr>
            <w:r w:rsidRPr="00073574">
              <w:t>SG3-RGEECAT back-to</w:t>
            </w:r>
            <w:r w:rsidR="00AF629F" w:rsidRPr="00073574">
              <w:t>-</w:t>
            </w:r>
            <w:r w:rsidRPr="00073574">
              <w:t xml:space="preserve">back with </w:t>
            </w:r>
            <w:r w:rsidRPr="00073574">
              <w:rPr>
                <w:rFonts w:asciiTheme="majorBidi" w:hAnsiTheme="majorBidi" w:cstheme="majorBidi"/>
              </w:rPr>
              <w:t xml:space="preserve">SG11-RGEECAT back-to-back with SG13-RGEECAT in </w:t>
            </w:r>
            <w:r w:rsidRPr="00073574">
              <w:t>Saint Petersburg, Russian Federation, in May 2019.</w:t>
            </w:r>
          </w:p>
          <w:p w14:paraId="2B0751A9" w14:textId="76FE691E" w:rsidR="000D54E1" w:rsidRPr="00073574" w:rsidRDefault="000D54E1" w:rsidP="001D5FA8">
            <w:pPr>
              <w:pStyle w:val="ListParagraph"/>
              <w:numPr>
                <w:ilvl w:val="0"/>
                <w:numId w:val="34"/>
              </w:numPr>
              <w:ind w:left="357" w:hanging="357"/>
              <w:contextualSpacing w:val="0"/>
              <w:rPr>
                <w:lang w:eastAsia="zh-CN"/>
              </w:rPr>
            </w:pPr>
            <w:r w:rsidRPr="00073574">
              <w:t>SG5</w:t>
            </w:r>
            <w:r w:rsidRPr="00073574">
              <w:rPr>
                <w:lang w:eastAsia="zh-CN"/>
              </w:rPr>
              <w:t xml:space="preserve"> and SG3 regional group for the Arab Region </w:t>
            </w:r>
            <w:r w:rsidR="0093715E" w:rsidRPr="00073574">
              <w:rPr>
                <w:lang w:eastAsia="zh-CN"/>
              </w:rPr>
              <w:t>had</w:t>
            </w:r>
            <w:r w:rsidRPr="00073574">
              <w:rPr>
                <w:lang w:eastAsia="zh-CN"/>
              </w:rPr>
              <w:t xml:space="preserve"> a collocated meeting from 17 to 20 December 2018 in Kuwait </w:t>
            </w:r>
            <w:r w:rsidR="0049597D" w:rsidRPr="00073574">
              <w:rPr>
                <w:lang w:eastAsia="zh-CN"/>
              </w:rPr>
              <w:t>C</w:t>
            </w:r>
            <w:r w:rsidRPr="00073574">
              <w:rPr>
                <w:lang w:eastAsia="zh-CN"/>
              </w:rPr>
              <w:t xml:space="preserve">ity, Kuwait. An ITU Regional Standardization Forum on Emerging Economic, Regulatory and Policy Trends in a Fast-Changing Digital World </w:t>
            </w:r>
            <w:r w:rsidR="00E7731D" w:rsidRPr="00073574">
              <w:rPr>
                <w:lang w:eastAsia="zh-CN"/>
              </w:rPr>
              <w:t xml:space="preserve">was </w:t>
            </w:r>
            <w:r w:rsidRPr="00073574">
              <w:rPr>
                <w:lang w:eastAsia="zh-CN"/>
              </w:rPr>
              <w:t>held on 17 December 2018.</w:t>
            </w:r>
          </w:p>
          <w:p w14:paraId="3770D1E8" w14:textId="223F7583" w:rsidR="00F0236A" w:rsidRPr="00073574" w:rsidRDefault="00F0236A" w:rsidP="001D5FA8">
            <w:pPr>
              <w:pStyle w:val="ListParagraph"/>
              <w:numPr>
                <w:ilvl w:val="0"/>
                <w:numId w:val="34"/>
              </w:numPr>
              <w:ind w:left="357" w:hanging="357"/>
              <w:contextualSpacing w:val="0"/>
              <w:rPr>
                <w:lang w:eastAsia="zh-CN"/>
              </w:rPr>
            </w:pPr>
            <w:r w:rsidRPr="00073574">
              <w:rPr>
                <w:lang w:eastAsia="zh-CN"/>
              </w:rPr>
              <w:t>SG11</w:t>
            </w:r>
            <w:r w:rsidR="00F704D4" w:rsidRPr="00073574">
              <w:rPr>
                <w:lang w:eastAsia="zh-CN"/>
              </w:rPr>
              <w:t xml:space="preserve">RG-EECAT took place </w:t>
            </w:r>
            <w:r w:rsidR="00575A6C" w:rsidRPr="00073574">
              <w:rPr>
                <w:lang w:eastAsia="zh-CN"/>
              </w:rPr>
              <w:t>back-to-back</w:t>
            </w:r>
            <w:r w:rsidR="00F704D4" w:rsidRPr="00073574">
              <w:rPr>
                <w:lang w:eastAsia="zh-CN"/>
              </w:rPr>
              <w:t xml:space="preserve"> with SG13RG-EECAT and SG3RG-EECAT in Saint-Petersburg from 21-22 May 2019</w:t>
            </w:r>
            <w:r w:rsidRPr="00073574">
              <w:rPr>
                <w:lang w:eastAsia="zh-CN"/>
              </w:rPr>
              <w:t>.</w:t>
            </w:r>
          </w:p>
          <w:p w14:paraId="1E02E74A" w14:textId="77777777" w:rsidR="00310786" w:rsidRPr="00073574" w:rsidRDefault="00310786" w:rsidP="001D5FA8">
            <w:pPr>
              <w:pStyle w:val="ListParagraph"/>
              <w:numPr>
                <w:ilvl w:val="0"/>
                <w:numId w:val="34"/>
              </w:numPr>
              <w:ind w:left="357" w:hanging="357"/>
              <w:contextualSpacing w:val="0"/>
              <w:rPr>
                <w:lang w:eastAsia="zh-CN"/>
              </w:rPr>
            </w:pPr>
            <w:r w:rsidRPr="00073574">
              <w:t>SG12: Co-located SG12RG-AFR and QSDG meetings with Q12/12 Rapporteur Group Meetings and workshops on telecommunication service quality.</w:t>
            </w:r>
          </w:p>
          <w:p w14:paraId="4E725C8B" w14:textId="1F5AA98E" w:rsidR="00842FD0" w:rsidRPr="00073574" w:rsidRDefault="00F0236A" w:rsidP="001D5FA8">
            <w:pPr>
              <w:pStyle w:val="ListParagraph"/>
              <w:numPr>
                <w:ilvl w:val="0"/>
                <w:numId w:val="34"/>
              </w:numPr>
              <w:ind w:left="357" w:hanging="357"/>
              <w:contextualSpacing w:val="0"/>
              <w:rPr>
                <w:sz w:val="24"/>
              </w:rPr>
            </w:pPr>
            <w:r w:rsidRPr="00073574">
              <w:t>SG13</w:t>
            </w:r>
            <w:r w:rsidR="003E0F6E" w:rsidRPr="00073574">
              <w:t xml:space="preserve"> had co-located Regional Group </w:t>
            </w:r>
            <w:r w:rsidR="00740127" w:rsidRPr="00073574">
              <w:t xml:space="preserve">(SG13RG-AFR) </w:t>
            </w:r>
            <w:r w:rsidR="003E0F6E" w:rsidRPr="00073574">
              <w:t>meeting with SG11 regional group in April 2017</w:t>
            </w:r>
            <w:r w:rsidRPr="00073574">
              <w:t xml:space="preserve"> in Africa.</w:t>
            </w:r>
            <w:r w:rsidR="00740127" w:rsidRPr="00073574">
              <w:t xml:space="preserve"> It also had another co-located Regional Group (SG13RG-EECAT) meeting with SG3RG-EECAT and SG11RG-EECAT in May 2019 in St Petersburg, Russia</w:t>
            </w:r>
            <w:r w:rsidR="00DD7215" w:rsidRPr="00073574">
              <w:t xml:space="preserve"> and SG13RG-AFR meeting</w:t>
            </w:r>
            <w:r w:rsidR="00C50547" w:rsidRPr="00073574">
              <w:t xml:space="preserve"> collocated </w:t>
            </w:r>
            <w:r w:rsidR="00D218C6" w:rsidRPr="00073574">
              <w:t xml:space="preserve">in time </w:t>
            </w:r>
            <w:r w:rsidR="00C50547" w:rsidRPr="00073574">
              <w:t>with SG20RG-AFR in June 2021 (both virtual events)</w:t>
            </w:r>
            <w:r w:rsidR="00740127" w:rsidRPr="00073574">
              <w:t>.</w:t>
            </w:r>
          </w:p>
          <w:p w14:paraId="5A8B11A3" w14:textId="2390AE9F" w:rsidR="00842FD0" w:rsidRPr="00073574" w:rsidRDefault="00842FD0" w:rsidP="001D5FA8">
            <w:pPr>
              <w:pStyle w:val="ListParagraph"/>
              <w:numPr>
                <w:ilvl w:val="0"/>
                <w:numId w:val="34"/>
              </w:numPr>
              <w:ind w:left="357" w:hanging="357"/>
              <w:contextualSpacing w:val="0"/>
            </w:pPr>
            <w:r w:rsidRPr="00073574">
              <w:t xml:space="preserve">SG5 and SG20 regional groups for Latin America </w:t>
            </w:r>
            <w:r w:rsidR="000D54E1" w:rsidRPr="00073574">
              <w:t>had</w:t>
            </w:r>
            <w:r w:rsidRPr="00073574">
              <w:t xml:space="preserve"> a collocated meeting on 19 and 20 April 2018 in Cartagena de Indias, Colombia</w:t>
            </w:r>
            <w:r w:rsidR="0065592F" w:rsidRPr="00073574">
              <w:t>.</w:t>
            </w:r>
          </w:p>
          <w:p w14:paraId="1F8965E7" w14:textId="77777777" w:rsidR="00842FD0" w:rsidRPr="00073574" w:rsidRDefault="00842FD0" w:rsidP="001D5FA8">
            <w:pPr>
              <w:pStyle w:val="ListParagraph"/>
              <w:numPr>
                <w:ilvl w:val="0"/>
                <w:numId w:val="34"/>
              </w:numPr>
              <w:ind w:left="357" w:hanging="357"/>
              <w:contextualSpacing w:val="0"/>
              <w:rPr>
                <w:sz w:val="24"/>
              </w:rPr>
            </w:pPr>
            <w:r w:rsidRPr="00073574">
              <w:lastRenderedPageBreak/>
              <w:t xml:space="preserve">SG5 and SG20 regional groups for Africa and SG5 regional group for the Arab region </w:t>
            </w:r>
            <w:r w:rsidR="000D54E1" w:rsidRPr="00073574">
              <w:t>had</w:t>
            </w:r>
            <w:r w:rsidRPr="00073574">
              <w:t xml:space="preserve"> a collocated meeting from 9 to 12 April 2018 in Zanzibar, Tanzania during the Green Standards Week.</w:t>
            </w:r>
          </w:p>
          <w:p w14:paraId="4C52BCEB" w14:textId="3AA6E48D" w:rsidR="0093715E" w:rsidRPr="00073574" w:rsidRDefault="03EA5164" w:rsidP="001D5FA8">
            <w:pPr>
              <w:pStyle w:val="ListParagraph"/>
              <w:numPr>
                <w:ilvl w:val="0"/>
                <w:numId w:val="34"/>
              </w:numPr>
              <w:spacing w:after="40"/>
              <w:ind w:left="357" w:hanging="357"/>
              <w:contextualSpacing w:val="0"/>
              <w:rPr>
                <w:sz w:val="24"/>
              </w:rPr>
            </w:pPr>
            <w:r w:rsidRPr="00073574">
              <w:t xml:space="preserve">SG5 and SG20 regional group for Africa </w:t>
            </w:r>
            <w:r w:rsidR="44AF0D9C" w:rsidRPr="00073574">
              <w:t>had</w:t>
            </w:r>
            <w:r w:rsidRPr="00073574">
              <w:t xml:space="preserve"> a collocated meeting from 27 to 30 August 2019 in Abuja</w:t>
            </w:r>
            <w:r w:rsidR="4BE6E8B7" w:rsidRPr="00073574">
              <w:t>.</w:t>
            </w:r>
          </w:p>
          <w:p w14:paraId="0B4F5CBA" w14:textId="470AC30F" w:rsidR="0093715E" w:rsidRPr="00073574" w:rsidRDefault="32A5D68E" w:rsidP="001D5FA8">
            <w:pPr>
              <w:pStyle w:val="ListParagraph"/>
              <w:numPr>
                <w:ilvl w:val="0"/>
                <w:numId w:val="34"/>
              </w:numPr>
              <w:spacing w:after="40"/>
              <w:ind w:left="357" w:hanging="357"/>
              <w:contextualSpacing w:val="0"/>
              <w:rPr>
                <w:rFonts w:eastAsia="Times New Roman"/>
              </w:rPr>
            </w:pPr>
            <w:r w:rsidRPr="00073574">
              <w:rPr>
                <w:rFonts w:eastAsia="Times New Roman"/>
              </w:rPr>
              <w:t xml:space="preserve">SG3 and SG20 regional group for Eastern Europe, Central Asia and Transcaucasia </w:t>
            </w:r>
            <w:r w:rsidR="7F487E0F" w:rsidRPr="00073574">
              <w:rPr>
                <w:rFonts w:eastAsia="Times New Roman"/>
              </w:rPr>
              <w:t>had</w:t>
            </w:r>
            <w:r w:rsidRPr="00073574">
              <w:rPr>
                <w:rFonts w:eastAsia="Times New Roman"/>
              </w:rPr>
              <w:t xml:space="preserve"> a collocated meeting from 3-5 March 2020 in Minsk, Belarus.</w:t>
            </w:r>
          </w:p>
          <w:p w14:paraId="7E318E90" w14:textId="02E9EF9E" w:rsidR="0093715E" w:rsidRPr="00073574" w:rsidRDefault="296729E3" w:rsidP="001D5FA8">
            <w:pPr>
              <w:pStyle w:val="ListParagraph"/>
              <w:numPr>
                <w:ilvl w:val="0"/>
                <w:numId w:val="34"/>
              </w:numPr>
              <w:spacing w:after="40"/>
              <w:ind w:left="357" w:hanging="357"/>
              <w:contextualSpacing w:val="0"/>
              <w:rPr>
                <w:rFonts w:eastAsia="Times New Roman"/>
              </w:rPr>
            </w:pPr>
            <w:r w:rsidRPr="00073574">
              <w:rPr>
                <w:rFonts w:eastAsia="Times New Roman"/>
              </w:rPr>
              <w:t>SG17 has a regional group for Africa and a regional group for Arab Region.</w:t>
            </w:r>
          </w:p>
        </w:tc>
      </w:tr>
      <w:tr w:rsidR="00F0236A" w:rsidRPr="00073574" w14:paraId="01403A6A" w14:textId="77777777" w:rsidTr="4D78197E">
        <w:trPr>
          <w:jc w:val="center"/>
        </w:trPr>
        <w:tc>
          <w:tcPr>
            <w:tcW w:w="896" w:type="dxa"/>
            <w:vMerge w:val="restart"/>
            <w:tcBorders>
              <w:top w:val="single" w:sz="12" w:space="0" w:color="auto"/>
            </w:tcBorders>
            <w:shd w:val="clear" w:color="auto" w:fill="auto"/>
          </w:tcPr>
          <w:p w14:paraId="3638B22F" w14:textId="77777777" w:rsidR="00F0236A" w:rsidRPr="00073574" w:rsidRDefault="00F0236A" w:rsidP="00C152C0">
            <w:pPr>
              <w:pStyle w:val="Tabletext"/>
              <w:keepNext/>
              <w:keepLines/>
              <w:rPr>
                <w:b/>
                <w:bCs/>
                <w:sz w:val="24"/>
                <w:szCs w:val="24"/>
              </w:rPr>
            </w:pPr>
            <w:r w:rsidRPr="00073574">
              <w:rPr>
                <w:b/>
                <w:bCs/>
                <w:sz w:val="24"/>
                <w:szCs w:val="24"/>
              </w:rPr>
              <w:lastRenderedPageBreak/>
              <w:t>44-15</w:t>
            </w:r>
          </w:p>
        </w:tc>
        <w:tc>
          <w:tcPr>
            <w:tcW w:w="4512" w:type="dxa"/>
            <w:tcBorders>
              <w:top w:val="single" w:sz="12" w:space="0" w:color="auto"/>
            </w:tcBorders>
            <w:shd w:val="clear" w:color="auto" w:fill="auto"/>
            <w:hideMark/>
          </w:tcPr>
          <w:p w14:paraId="38189489" w14:textId="77777777" w:rsidR="00F0236A" w:rsidRPr="00073574" w:rsidRDefault="00F0236A" w:rsidP="00DF36E1">
            <w:pPr>
              <w:pStyle w:val="Tabletext"/>
              <w:rPr>
                <w:b/>
                <w:bCs/>
                <w:sz w:val="24"/>
                <w:szCs w:val="24"/>
              </w:rPr>
            </w:pPr>
            <w:r w:rsidRPr="00073574">
              <w:rPr>
                <w:b/>
                <w:bCs/>
                <w:sz w:val="24"/>
                <w:szCs w:val="24"/>
              </w:rPr>
              <w:t>TSB Director to continue the activities of the Bridging the Standardization Gap (BSG) implementation group within TSB. (i. TSBDir 1)</w:t>
            </w:r>
          </w:p>
        </w:tc>
        <w:tc>
          <w:tcPr>
            <w:tcW w:w="1637" w:type="dxa"/>
            <w:tcBorders>
              <w:top w:val="single" w:sz="12" w:space="0" w:color="auto"/>
            </w:tcBorders>
            <w:shd w:val="clear" w:color="auto" w:fill="auto"/>
            <w:vAlign w:val="center"/>
          </w:tcPr>
          <w:p w14:paraId="22070EFB"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29" w:type="dxa"/>
            <w:tcBorders>
              <w:top w:val="single" w:sz="12" w:space="0" w:color="auto"/>
            </w:tcBorders>
            <w:shd w:val="clear" w:color="auto" w:fill="auto"/>
            <w:vAlign w:val="center"/>
          </w:tcPr>
          <w:p w14:paraId="03D68A67" w14:textId="77777777" w:rsidR="00F0236A" w:rsidRPr="00073574" w:rsidRDefault="00F0236A" w:rsidP="00DF36E1">
            <w:pPr>
              <w:pStyle w:val="Tabletext"/>
              <w:jc w:val="center"/>
              <w:rPr>
                <w:b/>
                <w:bCs/>
                <w:sz w:val="24"/>
                <w:szCs w:val="24"/>
              </w:rPr>
            </w:pPr>
            <w:r w:rsidRPr="00073574">
              <w:rPr>
                <w:b/>
                <w:bCs/>
                <w:sz w:val="24"/>
                <w:szCs w:val="24"/>
              </w:rPr>
              <w:t>√</w:t>
            </w:r>
          </w:p>
        </w:tc>
        <w:tc>
          <w:tcPr>
            <w:tcW w:w="1348" w:type="dxa"/>
            <w:gridSpan w:val="2"/>
            <w:tcBorders>
              <w:top w:val="single" w:sz="12" w:space="0" w:color="auto"/>
            </w:tcBorders>
            <w:shd w:val="clear" w:color="auto" w:fill="auto"/>
            <w:vAlign w:val="center"/>
          </w:tcPr>
          <w:p w14:paraId="58885560" w14:textId="77777777" w:rsidR="00F0236A" w:rsidRPr="00073574" w:rsidRDefault="00F0236A" w:rsidP="00DF36E1">
            <w:pPr>
              <w:pStyle w:val="Tabletext"/>
              <w:jc w:val="center"/>
              <w:rPr>
                <w:b/>
                <w:bCs/>
                <w:sz w:val="24"/>
                <w:szCs w:val="24"/>
              </w:rPr>
            </w:pPr>
          </w:p>
        </w:tc>
      </w:tr>
      <w:tr w:rsidR="00F0236A" w:rsidRPr="00073574" w14:paraId="3CC42616" w14:textId="77777777" w:rsidTr="4D78197E">
        <w:trPr>
          <w:jc w:val="center"/>
        </w:trPr>
        <w:tc>
          <w:tcPr>
            <w:tcW w:w="896" w:type="dxa"/>
            <w:vMerge/>
          </w:tcPr>
          <w:p w14:paraId="180DB5A0" w14:textId="77777777" w:rsidR="00F0236A" w:rsidRPr="00073574" w:rsidRDefault="00F0236A" w:rsidP="00DF36E1">
            <w:pPr>
              <w:pStyle w:val="Tabletext"/>
              <w:rPr>
                <w:sz w:val="24"/>
                <w:szCs w:val="24"/>
              </w:rPr>
            </w:pPr>
          </w:p>
        </w:tc>
        <w:tc>
          <w:tcPr>
            <w:tcW w:w="8626" w:type="dxa"/>
            <w:gridSpan w:val="5"/>
            <w:shd w:val="clear" w:color="auto" w:fill="auto"/>
          </w:tcPr>
          <w:p w14:paraId="3D689692" w14:textId="77E1CEC9" w:rsidR="00AA256E" w:rsidRPr="00073574" w:rsidRDefault="00AA256E" w:rsidP="00284A2E">
            <w:pPr>
              <w:spacing w:before="40"/>
              <w:rPr>
                <w:szCs w:val="22"/>
              </w:rPr>
            </w:pPr>
            <w:r w:rsidRPr="00073574">
              <w:rPr>
                <w:szCs w:val="22"/>
              </w:rPr>
              <w:t>The Intersectoral Task Force meets regularly to review progress on the implementation of WTSA-16 Resolution 44. Teleconference calls with the Directors of the ITU Regional Offices take place on a monthly basis. The Directors of the ITU Regional Offices are also invited to participate in the meeting of the BSG Task Force.</w:t>
            </w:r>
          </w:p>
          <w:p w14:paraId="3523E2E4" w14:textId="0062694F" w:rsidR="00F0236A" w:rsidRPr="00073574" w:rsidRDefault="00823929" w:rsidP="00A15950">
            <w:pPr>
              <w:rPr>
                <w:szCs w:val="22"/>
              </w:rPr>
            </w:pPr>
            <w:r w:rsidRPr="00073574">
              <w:rPr>
                <w:szCs w:val="22"/>
              </w:rPr>
              <w:t xml:space="preserve">Thus far, over </w:t>
            </w:r>
            <w:r w:rsidR="003C3006" w:rsidRPr="00073574">
              <w:rPr>
                <w:szCs w:val="22"/>
              </w:rPr>
              <w:t>30</w:t>
            </w:r>
            <w:r w:rsidRPr="00073574">
              <w:rPr>
                <w:szCs w:val="22"/>
              </w:rPr>
              <w:t xml:space="preserve"> hands-on sessions have been held for o</w:t>
            </w:r>
            <w:r w:rsidR="00937743" w:rsidRPr="00073574">
              <w:rPr>
                <w:szCs w:val="22"/>
              </w:rPr>
              <w:t>v</w:t>
            </w:r>
            <w:r w:rsidRPr="00073574">
              <w:rPr>
                <w:szCs w:val="22"/>
              </w:rPr>
              <w:t>e</w:t>
            </w:r>
            <w:r w:rsidR="00937743" w:rsidRPr="00073574">
              <w:rPr>
                <w:szCs w:val="22"/>
              </w:rPr>
              <w:t>r</w:t>
            </w:r>
            <w:r w:rsidRPr="00073574">
              <w:rPr>
                <w:szCs w:val="22"/>
              </w:rPr>
              <w:t xml:space="preserve"> </w:t>
            </w:r>
            <w:r w:rsidR="003C3006" w:rsidRPr="00073574">
              <w:rPr>
                <w:szCs w:val="22"/>
              </w:rPr>
              <w:t>70</w:t>
            </w:r>
            <w:r w:rsidRPr="00073574">
              <w:rPr>
                <w:szCs w:val="22"/>
              </w:rPr>
              <w:t>0 delegates, representing 8</w:t>
            </w:r>
            <w:r w:rsidR="0069789E" w:rsidRPr="00073574">
              <w:rPr>
                <w:szCs w:val="22"/>
              </w:rPr>
              <w:t>6</w:t>
            </w:r>
            <w:r w:rsidRPr="00073574">
              <w:rPr>
                <w:szCs w:val="22"/>
              </w:rPr>
              <w:t xml:space="preserve"> countries and 9</w:t>
            </w:r>
            <w:r w:rsidR="0069789E" w:rsidRPr="00073574">
              <w:rPr>
                <w:szCs w:val="22"/>
              </w:rPr>
              <w:t>4</w:t>
            </w:r>
            <w:r w:rsidRPr="00073574">
              <w:rPr>
                <w:szCs w:val="22"/>
              </w:rPr>
              <w:t xml:space="preserve"> organizations. There have also been tailored on-site sessions organized in Korea</w:t>
            </w:r>
            <w:r w:rsidR="00B8084B" w:rsidRPr="00073574">
              <w:rPr>
                <w:szCs w:val="22"/>
              </w:rPr>
              <w:t xml:space="preserve"> (Rep.</w:t>
            </w:r>
            <w:r w:rsidR="00ED1AA6" w:rsidRPr="00073574">
              <w:rPr>
                <w:szCs w:val="22"/>
              </w:rPr>
              <w:t xml:space="preserve"> </w:t>
            </w:r>
            <w:r w:rsidR="00B8084B" w:rsidRPr="00073574">
              <w:rPr>
                <w:szCs w:val="22"/>
              </w:rPr>
              <w:t>of)</w:t>
            </w:r>
            <w:r w:rsidRPr="00073574">
              <w:rPr>
                <w:szCs w:val="22"/>
              </w:rPr>
              <w:t>, Tunisia and India. These sessions focused on five key aspects: Strategy, Contribution, communication, Collaboration, and Consensus.</w:t>
            </w:r>
          </w:p>
        </w:tc>
      </w:tr>
      <w:tr w:rsidR="00F0236A" w:rsidRPr="00073574" w14:paraId="3FC2463D" w14:textId="77777777" w:rsidTr="4D78197E">
        <w:trPr>
          <w:jc w:val="center"/>
        </w:trPr>
        <w:tc>
          <w:tcPr>
            <w:tcW w:w="896" w:type="dxa"/>
            <w:vMerge w:val="restart"/>
            <w:tcBorders>
              <w:top w:val="single" w:sz="12" w:space="0" w:color="auto"/>
            </w:tcBorders>
            <w:shd w:val="clear" w:color="auto" w:fill="auto"/>
          </w:tcPr>
          <w:p w14:paraId="4BF5EAFD" w14:textId="77777777" w:rsidR="00F0236A" w:rsidRPr="00073574" w:rsidRDefault="00F0236A" w:rsidP="00925BAB">
            <w:pPr>
              <w:pStyle w:val="Tabletext"/>
              <w:keepNext/>
              <w:keepLines/>
              <w:rPr>
                <w:b/>
                <w:bCs/>
                <w:sz w:val="24"/>
                <w:szCs w:val="24"/>
              </w:rPr>
            </w:pPr>
            <w:r w:rsidRPr="00073574">
              <w:rPr>
                <w:b/>
                <w:bCs/>
                <w:sz w:val="24"/>
                <w:szCs w:val="24"/>
              </w:rPr>
              <w:t>44-19</w:t>
            </w:r>
          </w:p>
        </w:tc>
        <w:tc>
          <w:tcPr>
            <w:tcW w:w="4512" w:type="dxa"/>
            <w:tcBorders>
              <w:top w:val="single" w:sz="12" w:space="0" w:color="auto"/>
            </w:tcBorders>
            <w:shd w:val="clear" w:color="auto" w:fill="auto"/>
          </w:tcPr>
          <w:p w14:paraId="3444D350" w14:textId="77777777" w:rsidR="00F0236A" w:rsidRPr="00073574" w:rsidRDefault="00F0236A" w:rsidP="00925BAB">
            <w:pPr>
              <w:pStyle w:val="Tabletext"/>
              <w:keepNext/>
              <w:keepLines/>
              <w:rPr>
                <w:b/>
                <w:bCs/>
                <w:sz w:val="24"/>
                <w:szCs w:val="24"/>
              </w:rPr>
            </w:pPr>
            <w:r w:rsidRPr="00073574">
              <w:rPr>
                <w:b/>
                <w:bCs/>
                <w:sz w:val="24"/>
                <w:szCs w:val="24"/>
              </w:rPr>
              <w:t>TSB to assist requested developing countries to draft/develop a set of guidelines on the application of ITU-T Recommendations at the national level in order to enhance their participation in ITU-T SGs. (i. TBSDir 9)</w:t>
            </w:r>
          </w:p>
        </w:tc>
        <w:tc>
          <w:tcPr>
            <w:tcW w:w="1637" w:type="dxa"/>
            <w:tcBorders>
              <w:top w:val="single" w:sz="12" w:space="0" w:color="auto"/>
            </w:tcBorders>
            <w:shd w:val="clear" w:color="auto" w:fill="auto"/>
            <w:vAlign w:val="center"/>
          </w:tcPr>
          <w:p w14:paraId="4F6B7103" w14:textId="77777777" w:rsidR="00F0236A" w:rsidRPr="00073574" w:rsidRDefault="00F0236A" w:rsidP="00925BAB">
            <w:pPr>
              <w:pStyle w:val="Tabletext"/>
              <w:keepNext/>
              <w:keepLines/>
              <w:jc w:val="center"/>
              <w:rPr>
                <w:b/>
                <w:bCs/>
                <w:sz w:val="24"/>
                <w:szCs w:val="24"/>
              </w:rPr>
            </w:pPr>
            <w:r w:rsidRPr="00073574">
              <w:rPr>
                <w:b/>
                <w:bCs/>
                <w:sz w:val="24"/>
                <w:szCs w:val="24"/>
              </w:rPr>
              <w:t>Ongoing</w:t>
            </w:r>
          </w:p>
        </w:tc>
        <w:tc>
          <w:tcPr>
            <w:tcW w:w="1129" w:type="dxa"/>
            <w:tcBorders>
              <w:top w:val="single" w:sz="12" w:space="0" w:color="auto"/>
            </w:tcBorders>
            <w:shd w:val="clear" w:color="auto" w:fill="auto"/>
            <w:vAlign w:val="center"/>
          </w:tcPr>
          <w:p w14:paraId="67DB6ED5" w14:textId="00726BE6" w:rsidR="00F0236A" w:rsidRPr="00073574" w:rsidRDefault="00360D38" w:rsidP="00925BAB">
            <w:pPr>
              <w:pStyle w:val="Tabletext"/>
              <w:keepNext/>
              <w:keepLines/>
              <w:jc w:val="center"/>
              <w:rPr>
                <w:b/>
                <w:bCs/>
                <w:sz w:val="24"/>
                <w:szCs w:val="24"/>
              </w:rPr>
            </w:pPr>
            <w:r w:rsidRPr="00073574">
              <w:rPr>
                <w:b/>
                <w:bCs/>
                <w:sz w:val="24"/>
                <w:szCs w:val="24"/>
              </w:rPr>
              <w:t>√</w:t>
            </w:r>
          </w:p>
        </w:tc>
        <w:tc>
          <w:tcPr>
            <w:tcW w:w="1348" w:type="dxa"/>
            <w:gridSpan w:val="2"/>
            <w:tcBorders>
              <w:top w:val="single" w:sz="12" w:space="0" w:color="auto"/>
            </w:tcBorders>
            <w:shd w:val="clear" w:color="auto" w:fill="auto"/>
            <w:vAlign w:val="center"/>
          </w:tcPr>
          <w:p w14:paraId="6837CD0C" w14:textId="77777777" w:rsidR="00F0236A" w:rsidRPr="00073574" w:rsidRDefault="00F0236A" w:rsidP="00925BAB">
            <w:pPr>
              <w:pStyle w:val="Tabletext"/>
              <w:keepNext/>
              <w:keepLines/>
              <w:jc w:val="center"/>
              <w:rPr>
                <w:b/>
                <w:bCs/>
                <w:sz w:val="24"/>
                <w:szCs w:val="24"/>
              </w:rPr>
            </w:pPr>
          </w:p>
        </w:tc>
      </w:tr>
      <w:tr w:rsidR="00F0236A" w:rsidRPr="00073574" w14:paraId="0EAFE93E" w14:textId="77777777" w:rsidTr="4D78197E">
        <w:trPr>
          <w:jc w:val="center"/>
        </w:trPr>
        <w:tc>
          <w:tcPr>
            <w:tcW w:w="896" w:type="dxa"/>
            <w:vMerge/>
          </w:tcPr>
          <w:p w14:paraId="1B0D55D3" w14:textId="77777777" w:rsidR="00F0236A" w:rsidRPr="00073574" w:rsidRDefault="00F0236A" w:rsidP="00925BAB">
            <w:pPr>
              <w:pStyle w:val="Tabletext"/>
              <w:keepNext/>
              <w:keepLines/>
              <w:rPr>
                <w:sz w:val="24"/>
                <w:szCs w:val="24"/>
              </w:rPr>
            </w:pPr>
          </w:p>
        </w:tc>
        <w:tc>
          <w:tcPr>
            <w:tcW w:w="8626" w:type="dxa"/>
            <w:gridSpan w:val="5"/>
            <w:shd w:val="clear" w:color="auto" w:fill="auto"/>
          </w:tcPr>
          <w:p w14:paraId="69A233F3" w14:textId="2D6AED2F" w:rsidR="00345EC2" w:rsidRPr="00073574" w:rsidRDefault="00360D38" w:rsidP="00925BAB">
            <w:pPr>
              <w:keepNext/>
              <w:keepLines/>
              <w:snapToGrid w:val="0"/>
              <w:spacing w:before="40" w:after="40"/>
            </w:pPr>
            <w:r w:rsidRPr="00073574">
              <w:t xml:space="preserve">TSB received a request by a member from a developing country on mobile roaming, and TSB is in the process of </w:t>
            </w:r>
            <w:r w:rsidR="004E57CE" w:rsidRPr="00073574">
              <w:t>assisting</w:t>
            </w:r>
            <w:r w:rsidRPr="00073574">
              <w:t xml:space="preserve"> that member.</w:t>
            </w:r>
          </w:p>
        </w:tc>
      </w:tr>
      <w:tr w:rsidR="00F0236A" w:rsidRPr="00073574" w14:paraId="01C1AFEC" w14:textId="77777777" w:rsidTr="4D78197E">
        <w:trPr>
          <w:jc w:val="center"/>
        </w:trPr>
        <w:tc>
          <w:tcPr>
            <w:tcW w:w="896" w:type="dxa"/>
            <w:vMerge w:val="restart"/>
            <w:shd w:val="clear" w:color="auto" w:fill="auto"/>
          </w:tcPr>
          <w:p w14:paraId="0D939B96" w14:textId="77777777" w:rsidR="00F0236A" w:rsidRPr="00073574" w:rsidRDefault="00F0236A" w:rsidP="00B27337">
            <w:pPr>
              <w:pStyle w:val="Tabletext"/>
              <w:keepNext/>
              <w:keepLines/>
              <w:rPr>
                <w:b/>
                <w:bCs/>
                <w:sz w:val="24"/>
                <w:szCs w:val="24"/>
              </w:rPr>
            </w:pPr>
            <w:r w:rsidRPr="00073574">
              <w:rPr>
                <w:b/>
                <w:bCs/>
                <w:sz w:val="24"/>
                <w:szCs w:val="24"/>
              </w:rPr>
              <w:t>44-20</w:t>
            </w:r>
          </w:p>
        </w:tc>
        <w:tc>
          <w:tcPr>
            <w:tcW w:w="4512" w:type="dxa"/>
            <w:shd w:val="clear" w:color="auto" w:fill="auto"/>
          </w:tcPr>
          <w:p w14:paraId="72C47579" w14:textId="77777777" w:rsidR="00F0236A" w:rsidRPr="00073574" w:rsidRDefault="00F0236A" w:rsidP="00DF36E1">
            <w:pPr>
              <w:pStyle w:val="Tabletext"/>
              <w:rPr>
                <w:b/>
                <w:bCs/>
                <w:sz w:val="24"/>
                <w:szCs w:val="24"/>
              </w:rPr>
            </w:pPr>
            <w:r w:rsidRPr="00073574">
              <w:rPr>
                <w:b/>
                <w:bCs/>
                <w:sz w:val="24"/>
                <w:szCs w:val="24"/>
              </w:rPr>
              <w:t>TSB to enhance the use of electronic channels such as webinars or e-learning for education and training on implementation of ITU-T Recommendations. (i. TBSDir 10)</w:t>
            </w:r>
          </w:p>
        </w:tc>
        <w:tc>
          <w:tcPr>
            <w:tcW w:w="1637" w:type="dxa"/>
            <w:shd w:val="clear" w:color="auto" w:fill="auto"/>
            <w:vAlign w:val="center"/>
          </w:tcPr>
          <w:p w14:paraId="75DB94B2"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29" w:type="dxa"/>
            <w:shd w:val="clear" w:color="auto" w:fill="auto"/>
            <w:vAlign w:val="center"/>
          </w:tcPr>
          <w:p w14:paraId="03E466AE" w14:textId="77777777" w:rsidR="00F0236A" w:rsidRPr="00073574" w:rsidRDefault="00F0236A" w:rsidP="00DF36E1">
            <w:pPr>
              <w:pStyle w:val="Tabletext"/>
              <w:jc w:val="center"/>
              <w:rPr>
                <w:b/>
                <w:bCs/>
                <w:sz w:val="24"/>
                <w:szCs w:val="24"/>
              </w:rPr>
            </w:pPr>
            <w:r w:rsidRPr="00073574">
              <w:rPr>
                <w:b/>
                <w:bCs/>
                <w:sz w:val="24"/>
                <w:szCs w:val="24"/>
              </w:rPr>
              <w:t>√</w:t>
            </w:r>
          </w:p>
        </w:tc>
        <w:tc>
          <w:tcPr>
            <w:tcW w:w="1348" w:type="dxa"/>
            <w:gridSpan w:val="2"/>
            <w:shd w:val="clear" w:color="auto" w:fill="auto"/>
            <w:vAlign w:val="center"/>
          </w:tcPr>
          <w:p w14:paraId="6C43D7FB" w14:textId="77777777" w:rsidR="00F0236A" w:rsidRPr="00073574" w:rsidRDefault="00F0236A" w:rsidP="00DF36E1">
            <w:pPr>
              <w:pStyle w:val="Tabletext"/>
              <w:jc w:val="center"/>
              <w:rPr>
                <w:b/>
                <w:bCs/>
                <w:sz w:val="24"/>
                <w:szCs w:val="24"/>
              </w:rPr>
            </w:pPr>
          </w:p>
        </w:tc>
      </w:tr>
      <w:tr w:rsidR="00F0236A" w:rsidRPr="00073574" w14:paraId="0EA5F38E" w14:textId="77777777" w:rsidTr="4D78197E">
        <w:trPr>
          <w:jc w:val="center"/>
        </w:trPr>
        <w:tc>
          <w:tcPr>
            <w:tcW w:w="896" w:type="dxa"/>
            <w:vMerge/>
          </w:tcPr>
          <w:p w14:paraId="7E86AE66" w14:textId="77777777" w:rsidR="00F0236A" w:rsidRPr="00073574" w:rsidRDefault="00F0236A" w:rsidP="00DF36E1">
            <w:pPr>
              <w:pStyle w:val="Tabletext"/>
              <w:rPr>
                <w:sz w:val="24"/>
                <w:szCs w:val="24"/>
              </w:rPr>
            </w:pPr>
          </w:p>
        </w:tc>
        <w:tc>
          <w:tcPr>
            <w:tcW w:w="8626" w:type="dxa"/>
            <w:gridSpan w:val="5"/>
            <w:tcBorders>
              <w:bottom w:val="single" w:sz="12" w:space="0" w:color="auto"/>
            </w:tcBorders>
            <w:shd w:val="clear" w:color="auto" w:fill="auto"/>
          </w:tcPr>
          <w:p w14:paraId="0FDD6BB5" w14:textId="3616BC46" w:rsidR="00F0236A" w:rsidRPr="00073574" w:rsidRDefault="00183CE4" w:rsidP="00284A2E">
            <w:pPr>
              <w:spacing w:before="40"/>
              <w:rPr>
                <w:szCs w:val="22"/>
              </w:rPr>
            </w:pPr>
            <w:r w:rsidRPr="00073574">
              <w:rPr>
                <w:szCs w:val="22"/>
              </w:rPr>
              <w:t xml:space="preserve">The </w:t>
            </w:r>
            <w:r w:rsidR="00F0236A" w:rsidRPr="00073574">
              <w:rPr>
                <w:szCs w:val="22"/>
              </w:rPr>
              <w:t xml:space="preserve">e-learning course on Recommendation ITU-T A.1: Working Methods of ITU-T study groups </w:t>
            </w:r>
            <w:r w:rsidRPr="00073574">
              <w:rPr>
                <w:szCs w:val="22"/>
              </w:rPr>
              <w:t>was launched</w:t>
            </w:r>
            <w:r w:rsidR="00F0236A" w:rsidRPr="00073574">
              <w:rPr>
                <w:szCs w:val="22"/>
              </w:rPr>
              <w:t xml:space="preserve"> in 2013. The main objectives of the e-learning course are to introduce the structures, management, coordination mechanisms and operating procedures of ITU-T study groups as defined in Recommendation ITU-T A.1.</w:t>
            </w:r>
          </w:p>
          <w:p w14:paraId="3C79B17B" w14:textId="77777777" w:rsidR="00F0236A" w:rsidRPr="00073574" w:rsidRDefault="00F0236A" w:rsidP="00DF36E1">
            <w:pPr>
              <w:rPr>
                <w:szCs w:val="22"/>
              </w:rPr>
            </w:pPr>
            <w:r w:rsidRPr="00073574">
              <w:rPr>
                <w:szCs w:val="22"/>
              </w:rPr>
              <w:t>Recommendation ITU-T A.1 describes general working methods for ITU-T study groups. It provides guidelines related to work methods, such as the conduct of meetings, preparation of studies, management of study groups, the role of Rapporteurs and the processing of ITU-T contributions and temporary documents. The course is intended for delegates participating in ITU-T study group meetings, especially new participants.</w:t>
            </w:r>
          </w:p>
          <w:p w14:paraId="239A9467" w14:textId="77777777" w:rsidR="00F0236A" w:rsidRPr="00073574" w:rsidRDefault="00F0236A" w:rsidP="00DF36E1">
            <w:pPr>
              <w:rPr>
                <w:szCs w:val="22"/>
              </w:rPr>
            </w:pPr>
            <w:r w:rsidRPr="00073574">
              <w:rPr>
                <w:szCs w:val="22"/>
              </w:rPr>
              <w:t>The course consists of six modules:</w:t>
            </w:r>
          </w:p>
          <w:p w14:paraId="7C3BE94A" w14:textId="77777777" w:rsidR="00F0236A" w:rsidRPr="00073574" w:rsidRDefault="00F0236A" w:rsidP="002E241A">
            <w:pPr>
              <w:numPr>
                <w:ilvl w:val="0"/>
                <w:numId w:val="22"/>
              </w:numPr>
              <w:overflowPunct w:val="0"/>
              <w:autoSpaceDE w:val="0"/>
              <w:autoSpaceDN w:val="0"/>
              <w:adjustRightInd w:val="0"/>
              <w:spacing w:before="0"/>
              <w:textAlignment w:val="baseline"/>
              <w:rPr>
                <w:lang w:eastAsia="zh-CN"/>
              </w:rPr>
            </w:pPr>
            <w:r w:rsidRPr="00073574">
              <w:rPr>
                <w:lang w:eastAsia="zh-CN"/>
              </w:rPr>
              <w:t>Standardization in ITU-T</w:t>
            </w:r>
          </w:p>
          <w:p w14:paraId="2171ACBA" w14:textId="77777777" w:rsidR="00F0236A" w:rsidRPr="00073574" w:rsidRDefault="00F0236A" w:rsidP="002E241A">
            <w:pPr>
              <w:numPr>
                <w:ilvl w:val="0"/>
                <w:numId w:val="22"/>
              </w:numPr>
              <w:overflowPunct w:val="0"/>
              <w:autoSpaceDE w:val="0"/>
              <w:autoSpaceDN w:val="0"/>
              <w:adjustRightInd w:val="0"/>
              <w:spacing w:before="0"/>
              <w:textAlignment w:val="baseline"/>
              <w:rPr>
                <w:lang w:eastAsia="zh-CN"/>
              </w:rPr>
            </w:pPr>
            <w:r w:rsidRPr="00073574">
              <w:rPr>
                <w:lang w:eastAsia="zh-CN"/>
              </w:rPr>
              <w:t>Managing the study groups</w:t>
            </w:r>
          </w:p>
          <w:p w14:paraId="20FC2454" w14:textId="77777777" w:rsidR="00F0236A" w:rsidRPr="00073574" w:rsidRDefault="00F0236A" w:rsidP="002E241A">
            <w:pPr>
              <w:numPr>
                <w:ilvl w:val="0"/>
                <w:numId w:val="22"/>
              </w:numPr>
              <w:overflowPunct w:val="0"/>
              <w:autoSpaceDE w:val="0"/>
              <w:autoSpaceDN w:val="0"/>
              <w:adjustRightInd w:val="0"/>
              <w:spacing w:before="0"/>
              <w:textAlignment w:val="baseline"/>
              <w:rPr>
                <w:lang w:eastAsia="zh-CN"/>
              </w:rPr>
            </w:pPr>
            <w:r w:rsidRPr="00073574">
              <w:rPr>
                <w:lang w:eastAsia="zh-CN"/>
              </w:rPr>
              <w:lastRenderedPageBreak/>
              <w:t>Coordination</w:t>
            </w:r>
          </w:p>
          <w:p w14:paraId="040A6C4F" w14:textId="77777777" w:rsidR="00F0236A" w:rsidRPr="00073574" w:rsidRDefault="00F0236A" w:rsidP="002E241A">
            <w:pPr>
              <w:numPr>
                <w:ilvl w:val="0"/>
                <w:numId w:val="22"/>
              </w:numPr>
              <w:overflowPunct w:val="0"/>
              <w:autoSpaceDE w:val="0"/>
              <w:autoSpaceDN w:val="0"/>
              <w:adjustRightInd w:val="0"/>
              <w:spacing w:before="0"/>
              <w:textAlignment w:val="baseline"/>
              <w:rPr>
                <w:lang w:eastAsia="zh-CN"/>
              </w:rPr>
            </w:pPr>
            <w:r w:rsidRPr="00073574">
              <w:rPr>
                <w:lang w:eastAsia="zh-CN"/>
              </w:rPr>
              <w:t>Inputs to the study groups</w:t>
            </w:r>
          </w:p>
          <w:p w14:paraId="1EE9B23F" w14:textId="77777777" w:rsidR="00F0236A" w:rsidRPr="00073574" w:rsidRDefault="00F0236A" w:rsidP="002E241A">
            <w:pPr>
              <w:numPr>
                <w:ilvl w:val="0"/>
                <w:numId w:val="22"/>
              </w:numPr>
              <w:overflowPunct w:val="0"/>
              <w:autoSpaceDE w:val="0"/>
              <w:autoSpaceDN w:val="0"/>
              <w:adjustRightInd w:val="0"/>
              <w:spacing w:before="0"/>
              <w:textAlignment w:val="baseline"/>
              <w:rPr>
                <w:lang w:eastAsia="zh-CN"/>
              </w:rPr>
            </w:pPr>
            <w:r w:rsidRPr="00073574">
              <w:rPr>
                <w:lang w:eastAsia="zh-CN"/>
              </w:rPr>
              <w:t>Outputs of the study groups</w:t>
            </w:r>
          </w:p>
          <w:p w14:paraId="0667E06D" w14:textId="77777777" w:rsidR="00F0236A" w:rsidRPr="00073574" w:rsidRDefault="00F0236A" w:rsidP="002E241A">
            <w:pPr>
              <w:numPr>
                <w:ilvl w:val="0"/>
                <w:numId w:val="22"/>
              </w:numPr>
              <w:overflowPunct w:val="0"/>
              <w:autoSpaceDE w:val="0"/>
              <w:autoSpaceDN w:val="0"/>
              <w:adjustRightInd w:val="0"/>
              <w:spacing w:before="0"/>
              <w:textAlignment w:val="baseline"/>
              <w:rPr>
                <w:lang w:eastAsia="zh-CN"/>
              </w:rPr>
            </w:pPr>
            <w:r w:rsidRPr="00073574">
              <w:rPr>
                <w:lang w:eastAsia="zh-CN"/>
              </w:rPr>
              <w:t>Further infrastructure supporting the study group process</w:t>
            </w:r>
          </w:p>
          <w:p w14:paraId="15D6D691" w14:textId="7BD16E24" w:rsidR="00552F44" w:rsidRPr="00073574" w:rsidRDefault="00552F44" w:rsidP="00DF36E1">
            <w:pPr>
              <w:spacing w:before="240"/>
              <w:rPr>
                <w:szCs w:val="22"/>
              </w:rPr>
            </w:pPr>
            <w:r w:rsidRPr="00073574">
              <w:rPr>
                <w:szCs w:val="22"/>
              </w:rPr>
              <w:t xml:space="preserve">This course is currently in the process of being updated. Online video primers have also been developed and available on the BSG website at </w:t>
            </w:r>
            <w:hyperlink r:id="rId297" w:history="1">
              <w:r w:rsidRPr="00073574">
                <w:rPr>
                  <w:rStyle w:val="Hyperlink"/>
                  <w:szCs w:val="22"/>
                </w:rPr>
                <w:t>www.itu.int/go/bridging</w:t>
              </w:r>
            </w:hyperlink>
            <w:r w:rsidRPr="00073574">
              <w:rPr>
                <w:szCs w:val="22"/>
              </w:rPr>
              <w:t>.</w:t>
            </w:r>
          </w:p>
          <w:p w14:paraId="5A19584A" w14:textId="70C6CDEC" w:rsidR="00F0236A" w:rsidRPr="00073574" w:rsidRDefault="00F0236A" w:rsidP="00DF36E1">
            <w:pPr>
              <w:spacing w:before="240"/>
              <w:rPr>
                <w:rFonts w:asciiTheme="majorBidi" w:hAnsiTheme="majorBidi" w:cstheme="majorBidi"/>
                <w:szCs w:val="22"/>
              </w:rPr>
            </w:pPr>
            <w:r w:rsidRPr="00073574">
              <w:rPr>
                <w:rFonts w:asciiTheme="majorBidi" w:eastAsia="SimSun" w:hAnsiTheme="majorBidi" w:cstheme="majorBidi"/>
                <w:szCs w:val="22"/>
              </w:rPr>
              <w:t>A second e-learning course was developed on</w:t>
            </w:r>
            <w:r w:rsidRPr="00073574">
              <w:rPr>
                <w:rFonts w:asciiTheme="majorBidi" w:eastAsia="SimSun" w:hAnsiTheme="majorBidi" w:cstheme="majorBidi"/>
                <w:b/>
                <w:bCs/>
                <w:szCs w:val="22"/>
              </w:rPr>
              <w:t xml:space="preserve"> Introduction to Next Generation Networks (NGN</w:t>
            </w:r>
            <w:r w:rsidRPr="00073574">
              <w:rPr>
                <w:rFonts w:asciiTheme="majorBidi" w:eastAsia="SimSun" w:hAnsiTheme="majorBidi" w:cstheme="majorBidi"/>
                <w:b/>
                <w:szCs w:val="22"/>
              </w:rPr>
              <w:t xml:space="preserve">). </w:t>
            </w:r>
            <w:r w:rsidRPr="00073574">
              <w:rPr>
                <w:rFonts w:asciiTheme="majorBidi" w:eastAsia="SimSun" w:hAnsiTheme="majorBidi" w:cstheme="majorBidi"/>
                <w:szCs w:val="22"/>
              </w:rPr>
              <w:t>The course provides an introduction to Next Generation Networks (NGN) and a better understanding of the drivers to migrate to NGN and possible influences on regulatory considerations, which are caused by technology innovation, especially impacts to the telecommunication regulatory frameworks.</w:t>
            </w:r>
          </w:p>
          <w:p w14:paraId="1CEB6C49" w14:textId="79D54FA3" w:rsidR="00345EC2" w:rsidRPr="00073574" w:rsidRDefault="00F0236A" w:rsidP="00E37A4D">
            <w:pPr>
              <w:rPr>
                <w:szCs w:val="22"/>
              </w:rPr>
            </w:pPr>
            <w:r w:rsidRPr="00073574">
              <w:rPr>
                <w:szCs w:val="22"/>
              </w:rPr>
              <w:t xml:space="preserve">The course is available on the ITU Academy website at </w:t>
            </w:r>
            <w:hyperlink r:id="rId298" w:history="1">
              <w:r w:rsidRPr="00073574">
                <w:rPr>
                  <w:rStyle w:val="Hyperlink"/>
                  <w:szCs w:val="22"/>
                </w:rPr>
                <w:t>http://academy.itu.int</w:t>
              </w:r>
            </w:hyperlink>
            <w:r w:rsidRPr="00073574">
              <w:rPr>
                <w:szCs w:val="22"/>
              </w:rPr>
              <w:t>.</w:t>
            </w:r>
          </w:p>
        </w:tc>
      </w:tr>
      <w:tr w:rsidR="00F0236A" w:rsidRPr="00073574" w14:paraId="6FA80089" w14:textId="77777777" w:rsidTr="4D78197E">
        <w:trPr>
          <w:jc w:val="center"/>
        </w:trPr>
        <w:tc>
          <w:tcPr>
            <w:tcW w:w="896" w:type="dxa"/>
            <w:vMerge w:val="restart"/>
            <w:tcBorders>
              <w:top w:val="single" w:sz="12" w:space="0" w:color="auto"/>
            </w:tcBorders>
            <w:shd w:val="clear" w:color="auto" w:fill="auto"/>
          </w:tcPr>
          <w:p w14:paraId="0F7D498F" w14:textId="77777777" w:rsidR="00F0236A" w:rsidRPr="00073574" w:rsidRDefault="00F0236A" w:rsidP="000661CE">
            <w:pPr>
              <w:pStyle w:val="Tabletext"/>
              <w:keepNext/>
              <w:keepLines/>
              <w:rPr>
                <w:b/>
                <w:bCs/>
                <w:sz w:val="24"/>
                <w:szCs w:val="24"/>
              </w:rPr>
            </w:pPr>
            <w:r w:rsidRPr="00073574">
              <w:rPr>
                <w:b/>
                <w:bCs/>
                <w:sz w:val="24"/>
                <w:szCs w:val="24"/>
              </w:rPr>
              <w:lastRenderedPageBreak/>
              <w:t>44-21</w:t>
            </w:r>
          </w:p>
        </w:tc>
        <w:tc>
          <w:tcPr>
            <w:tcW w:w="4512" w:type="dxa"/>
            <w:tcBorders>
              <w:top w:val="single" w:sz="12" w:space="0" w:color="auto"/>
            </w:tcBorders>
            <w:shd w:val="clear" w:color="auto" w:fill="auto"/>
          </w:tcPr>
          <w:p w14:paraId="547BA48D" w14:textId="77777777" w:rsidR="00F0236A" w:rsidRPr="00073574" w:rsidRDefault="00F0236A" w:rsidP="00DF36E1">
            <w:pPr>
              <w:pStyle w:val="Tabletext"/>
              <w:rPr>
                <w:b/>
                <w:bCs/>
                <w:sz w:val="24"/>
                <w:szCs w:val="24"/>
              </w:rPr>
            </w:pPr>
            <w:r w:rsidRPr="00073574">
              <w:rPr>
                <w:b/>
                <w:bCs/>
                <w:sz w:val="24"/>
                <w:szCs w:val="24"/>
              </w:rPr>
              <w:t>TSB to provide support and all necessary measures for creation, organization of meeting and workshop of the regional groups to ensure their smooth functioning. (i. TSBDir 11)</w:t>
            </w:r>
          </w:p>
        </w:tc>
        <w:tc>
          <w:tcPr>
            <w:tcW w:w="1637" w:type="dxa"/>
            <w:tcBorders>
              <w:top w:val="single" w:sz="12" w:space="0" w:color="auto"/>
            </w:tcBorders>
            <w:shd w:val="clear" w:color="auto" w:fill="auto"/>
            <w:vAlign w:val="center"/>
          </w:tcPr>
          <w:p w14:paraId="26649881"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29" w:type="dxa"/>
            <w:tcBorders>
              <w:top w:val="single" w:sz="12" w:space="0" w:color="auto"/>
            </w:tcBorders>
            <w:shd w:val="clear" w:color="auto" w:fill="auto"/>
            <w:vAlign w:val="center"/>
          </w:tcPr>
          <w:p w14:paraId="7C3B5A30" w14:textId="77777777" w:rsidR="00F0236A" w:rsidRPr="00073574" w:rsidRDefault="00F0236A" w:rsidP="00DF36E1">
            <w:pPr>
              <w:pStyle w:val="Tabletext"/>
              <w:jc w:val="center"/>
              <w:rPr>
                <w:b/>
                <w:bCs/>
                <w:sz w:val="24"/>
                <w:szCs w:val="24"/>
              </w:rPr>
            </w:pPr>
            <w:r w:rsidRPr="00073574">
              <w:rPr>
                <w:b/>
                <w:bCs/>
                <w:sz w:val="24"/>
                <w:szCs w:val="24"/>
              </w:rPr>
              <w:t>√</w:t>
            </w:r>
          </w:p>
        </w:tc>
        <w:tc>
          <w:tcPr>
            <w:tcW w:w="1348" w:type="dxa"/>
            <w:gridSpan w:val="2"/>
            <w:tcBorders>
              <w:top w:val="single" w:sz="12" w:space="0" w:color="auto"/>
            </w:tcBorders>
            <w:shd w:val="clear" w:color="auto" w:fill="auto"/>
            <w:vAlign w:val="center"/>
          </w:tcPr>
          <w:p w14:paraId="0BFFCEAA" w14:textId="77777777" w:rsidR="00F0236A" w:rsidRPr="00073574" w:rsidRDefault="00F0236A" w:rsidP="00DF36E1">
            <w:pPr>
              <w:pStyle w:val="Tabletext"/>
              <w:jc w:val="center"/>
              <w:rPr>
                <w:b/>
                <w:bCs/>
                <w:sz w:val="24"/>
                <w:szCs w:val="24"/>
              </w:rPr>
            </w:pPr>
          </w:p>
        </w:tc>
      </w:tr>
      <w:tr w:rsidR="00F0236A" w:rsidRPr="00073574" w14:paraId="4ABAA437" w14:textId="77777777" w:rsidTr="4D78197E">
        <w:trPr>
          <w:jc w:val="center"/>
        </w:trPr>
        <w:tc>
          <w:tcPr>
            <w:tcW w:w="896" w:type="dxa"/>
            <w:vMerge/>
          </w:tcPr>
          <w:p w14:paraId="1B296B21" w14:textId="77777777" w:rsidR="00F0236A" w:rsidRPr="00073574" w:rsidRDefault="00F0236A" w:rsidP="00DF36E1">
            <w:pPr>
              <w:pStyle w:val="Tabletext"/>
              <w:rPr>
                <w:sz w:val="24"/>
                <w:szCs w:val="24"/>
              </w:rPr>
            </w:pPr>
          </w:p>
        </w:tc>
        <w:tc>
          <w:tcPr>
            <w:tcW w:w="8626" w:type="dxa"/>
            <w:gridSpan w:val="5"/>
            <w:tcBorders>
              <w:bottom w:val="single" w:sz="12" w:space="0" w:color="auto"/>
            </w:tcBorders>
            <w:shd w:val="clear" w:color="auto" w:fill="auto"/>
          </w:tcPr>
          <w:p w14:paraId="1EFF7F12" w14:textId="77777777" w:rsidR="00F0236A" w:rsidRPr="00073574" w:rsidRDefault="00F0236A" w:rsidP="00284A2E">
            <w:pPr>
              <w:spacing w:before="40" w:after="40"/>
            </w:pPr>
            <w:r w:rsidRPr="00073574">
              <w:rPr>
                <w:szCs w:val="22"/>
              </w:rPr>
              <w:t xml:space="preserve">Implemented in the context of </w:t>
            </w:r>
            <w:hyperlink w:anchor="Item44_24" w:history="1">
              <w:r w:rsidRPr="00073574">
                <w:rPr>
                  <w:rStyle w:val="Hyperlink"/>
                  <w:szCs w:val="22"/>
                </w:rPr>
                <w:t>Action Item 44-24</w:t>
              </w:r>
            </w:hyperlink>
            <w:r w:rsidRPr="00073574">
              <w:rPr>
                <w:szCs w:val="22"/>
              </w:rPr>
              <w:t xml:space="preserve"> (see below).</w:t>
            </w:r>
          </w:p>
        </w:tc>
      </w:tr>
      <w:tr w:rsidR="00F0236A" w:rsidRPr="00073574" w14:paraId="6CDE21B4" w14:textId="77777777" w:rsidTr="4D78197E">
        <w:trPr>
          <w:jc w:val="center"/>
        </w:trPr>
        <w:tc>
          <w:tcPr>
            <w:tcW w:w="896" w:type="dxa"/>
            <w:vMerge w:val="restart"/>
            <w:tcBorders>
              <w:top w:val="single" w:sz="12" w:space="0" w:color="auto"/>
            </w:tcBorders>
            <w:shd w:val="clear" w:color="auto" w:fill="auto"/>
          </w:tcPr>
          <w:p w14:paraId="753AA12D" w14:textId="77777777" w:rsidR="00F0236A" w:rsidRPr="00073574" w:rsidRDefault="00F0236A" w:rsidP="00C152C0">
            <w:pPr>
              <w:pStyle w:val="Tabletext"/>
              <w:keepNext/>
              <w:keepLines/>
              <w:rPr>
                <w:b/>
                <w:bCs/>
                <w:sz w:val="24"/>
                <w:szCs w:val="24"/>
              </w:rPr>
            </w:pPr>
            <w:r w:rsidRPr="00073574">
              <w:rPr>
                <w:b/>
                <w:bCs/>
                <w:sz w:val="24"/>
                <w:szCs w:val="24"/>
              </w:rPr>
              <w:t>44-22</w:t>
            </w:r>
          </w:p>
        </w:tc>
        <w:tc>
          <w:tcPr>
            <w:tcW w:w="4512" w:type="dxa"/>
            <w:tcBorders>
              <w:top w:val="single" w:sz="12" w:space="0" w:color="auto"/>
            </w:tcBorders>
            <w:shd w:val="clear" w:color="auto" w:fill="auto"/>
          </w:tcPr>
          <w:p w14:paraId="65463B53" w14:textId="77777777" w:rsidR="00F0236A" w:rsidRPr="00073574" w:rsidRDefault="00F0236A" w:rsidP="00DF36E1">
            <w:pPr>
              <w:pStyle w:val="Tabletext"/>
              <w:rPr>
                <w:b/>
                <w:bCs/>
                <w:sz w:val="24"/>
                <w:szCs w:val="24"/>
              </w:rPr>
            </w:pPr>
            <w:r w:rsidRPr="00073574">
              <w:rPr>
                <w:b/>
                <w:bCs/>
                <w:sz w:val="24"/>
                <w:szCs w:val="24"/>
              </w:rPr>
              <w:t>TSB Director to report the effectiveness of regional groups to the Council. (i. TSBDir 12)</w:t>
            </w:r>
          </w:p>
        </w:tc>
        <w:tc>
          <w:tcPr>
            <w:tcW w:w="1637" w:type="dxa"/>
            <w:tcBorders>
              <w:top w:val="single" w:sz="12" w:space="0" w:color="auto"/>
            </w:tcBorders>
            <w:shd w:val="clear" w:color="auto" w:fill="auto"/>
            <w:vAlign w:val="center"/>
          </w:tcPr>
          <w:p w14:paraId="525EC248" w14:textId="77777777" w:rsidR="00F0236A" w:rsidRPr="00073574" w:rsidRDefault="00F0236A" w:rsidP="00DF36E1">
            <w:pPr>
              <w:pStyle w:val="Tabletext"/>
              <w:jc w:val="center"/>
              <w:rPr>
                <w:b/>
                <w:bCs/>
                <w:sz w:val="24"/>
                <w:szCs w:val="24"/>
              </w:rPr>
            </w:pPr>
            <w:r w:rsidRPr="00073574">
              <w:rPr>
                <w:b/>
                <w:bCs/>
                <w:sz w:val="24"/>
                <w:szCs w:val="24"/>
              </w:rPr>
              <w:t>Council 2017</w:t>
            </w:r>
          </w:p>
        </w:tc>
        <w:tc>
          <w:tcPr>
            <w:tcW w:w="1129" w:type="dxa"/>
            <w:tcBorders>
              <w:top w:val="single" w:sz="12" w:space="0" w:color="auto"/>
            </w:tcBorders>
            <w:shd w:val="clear" w:color="auto" w:fill="auto"/>
            <w:vAlign w:val="center"/>
          </w:tcPr>
          <w:p w14:paraId="185029E9" w14:textId="631AA85B" w:rsidR="00F0236A" w:rsidRPr="00073574" w:rsidRDefault="009D08BD" w:rsidP="00DF36E1">
            <w:pPr>
              <w:pStyle w:val="Tabletext"/>
              <w:jc w:val="center"/>
              <w:rPr>
                <w:b/>
                <w:bCs/>
                <w:sz w:val="24"/>
                <w:szCs w:val="24"/>
              </w:rPr>
            </w:pPr>
            <w:r w:rsidRPr="00073574">
              <w:rPr>
                <w:b/>
                <w:bCs/>
                <w:sz w:val="24"/>
                <w:szCs w:val="24"/>
              </w:rPr>
              <w:t>√</w:t>
            </w:r>
          </w:p>
        </w:tc>
        <w:tc>
          <w:tcPr>
            <w:tcW w:w="1348" w:type="dxa"/>
            <w:gridSpan w:val="2"/>
            <w:tcBorders>
              <w:top w:val="single" w:sz="12" w:space="0" w:color="auto"/>
            </w:tcBorders>
            <w:shd w:val="clear" w:color="auto" w:fill="auto"/>
            <w:vAlign w:val="center"/>
          </w:tcPr>
          <w:p w14:paraId="56649CBF" w14:textId="77777777" w:rsidR="00F0236A" w:rsidRPr="00073574" w:rsidRDefault="00F0236A" w:rsidP="00DF36E1">
            <w:pPr>
              <w:pStyle w:val="Tabletext"/>
              <w:jc w:val="center"/>
              <w:rPr>
                <w:b/>
                <w:bCs/>
                <w:sz w:val="24"/>
                <w:szCs w:val="24"/>
              </w:rPr>
            </w:pPr>
            <w:r w:rsidRPr="00073574">
              <w:rPr>
                <w:b/>
                <w:bCs/>
                <w:sz w:val="24"/>
                <w:szCs w:val="24"/>
              </w:rPr>
              <w:t>√</w:t>
            </w:r>
          </w:p>
        </w:tc>
      </w:tr>
      <w:tr w:rsidR="00F0236A" w:rsidRPr="00073574" w14:paraId="58193B4F" w14:textId="77777777" w:rsidTr="4D78197E">
        <w:trPr>
          <w:jc w:val="center"/>
        </w:trPr>
        <w:tc>
          <w:tcPr>
            <w:tcW w:w="896" w:type="dxa"/>
            <w:vMerge/>
          </w:tcPr>
          <w:p w14:paraId="20BFD9D3" w14:textId="77777777" w:rsidR="00F0236A" w:rsidRPr="00073574" w:rsidRDefault="00F0236A" w:rsidP="00DF36E1">
            <w:pPr>
              <w:pStyle w:val="Tabletext"/>
              <w:rPr>
                <w:sz w:val="24"/>
                <w:szCs w:val="24"/>
              </w:rPr>
            </w:pPr>
          </w:p>
        </w:tc>
        <w:tc>
          <w:tcPr>
            <w:tcW w:w="8626" w:type="dxa"/>
            <w:gridSpan w:val="5"/>
            <w:tcBorders>
              <w:bottom w:val="single" w:sz="12" w:space="0" w:color="auto"/>
            </w:tcBorders>
            <w:shd w:val="clear" w:color="auto" w:fill="auto"/>
          </w:tcPr>
          <w:p w14:paraId="7B1428A0" w14:textId="77777777" w:rsidR="00F0236A" w:rsidRPr="00073574" w:rsidRDefault="00F0236A" w:rsidP="00284A2E">
            <w:pPr>
              <w:spacing w:before="40"/>
              <w:rPr>
                <w:szCs w:val="22"/>
              </w:rPr>
            </w:pPr>
            <w:r w:rsidRPr="00073574">
              <w:rPr>
                <w:szCs w:val="22"/>
              </w:rPr>
              <w:t>TSB Director reported on the effectiveness of regional Groups to Council-17 (</w:t>
            </w:r>
            <w:hyperlink r:id="rId299" w:history="1">
              <w:r w:rsidRPr="00073574">
                <w:rPr>
                  <w:rStyle w:val="Hyperlink"/>
                  <w:szCs w:val="22"/>
                </w:rPr>
                <w:t>C17/25</w:t>
              </w:r>
            </w:hyperlink>
            <w:r w:rsidRPr="00073574">
              <w:rPr>
                <w:szCs w:val="22"/>
              </w:rPr>
              <w:t>). TSB Director reported on the effectiveness of regional groups for bridging the standardization gap to Council-17 (C17/72, and C17/INF/9).</w:t>
            </w:r>
          </w:p>
          <w:p w14:paraId="4F676C13" w14:textId="77777777" w:rsidR="00F0236A" w:rsidRPr="00073574" w:rsidRDefault="00F0236A" w:rsidP="00DF36E1">
            <w:pPr>
              <w:shd w:val="clear" w:color="auto" w:fill="FFFFFF"/>
              <w:textAlignment w:val="baseline"/>
              <w:rPr>
                <w:szCs w:val="22"/>
                <w:shd w:val="clear" w:color="auto" w:fill="FFFFFF"/>
              </w:rPr>
            </w:pPr>
            <w:r w:rsidRPr="00073574">
              <w:rPr>
                <w:szCs w:val="22"/>
                <w:shd w:val="clear" w:color="auto" w:fill="FFFFFF"/>
              </w:rPr>
              <w:t>Regional Groups for ITU-T Study Groups have proven effective mechanisms to assist in bridging the standardization gap by stimulating effective participation in ITU-T Study Groups and increasing the number and quality of contributions from developing countries that could eventually lead to standards.</w:t>
            </w:r>
          </w:p>
          <w:p w14:paraId="0C6349F7" w14:textId="2C699D65" w:rsidR="00F0236A" w:rsidRPr="00073574" w:rsidRDefault="00F0236A" w:rsidP="00335216">
            <w:pPr>
              <w:spacing w:after="40"/>
              <w:rPr>
                <w:sz w:val="24"/>
              </w:rPr>
            </w:pPr>
            <w:r w:rsidRPr="00073574">
              <w:rPr>
                <w:szCs w:val="22"/>
              </w:rPr>
              <w:t xml:space="preserve">ITU-T now has </w:t>
            </w:r>
            <w:r w:rsidR="00345EC2" w:rsidRPr="00073574">
              <w:rPr>
                <w:szCs w:val="22"/>
              </w:rPr>
              <w:t>24 regional groups.</w:t>
            </w:r>
          </w:p>
        </w:tc>
      </w:tr>
      <w:tr w:rsidR="00F0236A" w:rsidRPr="00073574" w14:paraId="5A0C13EA" w14:textId="77777777" w:rsidTr="4D78197E">
        <w:trPr>
          <w:jc w:val="center"/>
        </w:trPr>
        <w:tc>
          <w:tcPr>
            <w:tcW w:w="896" w:type="dxa"/>
            <w:vMerge w:val="restart"/>
            <w:tcBorders>
              <w:top w:val="single" w:sz="12" w:space="0" w:color="auto"/>
            </w:tcBorders>
            <w:shd w:val="clear" w:color="auto" w:fill="auto"/>
          </w:tcPr>
          <w:p w14:paraId="5B051BFA" w14:textId="77777777" w:rsidR="00F0236A" w:rsidRPr="00073574" w:rsidRDefault="00F0236A" w:rsidP="00B46D89">
            <w:pPr>
              <w:pStyle w:val="Tabletext"/>
              <w:keepNext/>
              <w:keepLines/>
              <w:rPr>
                <w:b/>
                <w:bCs/>
                <w:sz w:val="24"/>
                <w:szCs w:val="24"/>
              </w:rPr>
            </w:pPr>
            <w:r w:rsidRPr="00073574">
              <w:rPr>
                <w:b/>
                <w:bCs/>
                <w:sz w:val="24"/>
                <w:szCs w:val="24"/>
              </w:rPr>
              <w:t>44-23</w:t>
            </w:r>
          </w:p>
        </w:tc>
        <w:tc>
          <w:tcPr>
            <w:tcW w:w="4512" w:type="dxa"/>
            <w:tcBorders>
              <w:top w:val="single" w:sz="12" w:space="0" w:color="auto"/>
            </w:tcBorders>
            <w:shd w:val="clear" w:color="auto" w:fill="auto"/>
          </w:tcPr>
          <w:p w14:paraId="6E0F38E8" w14:textId="77777777" w:rsidR="00F0236A" w:rsidRPr="00073574" w:rsidRDefault="00F0236A" w:rsidP="00B46D89">
            <w:pPr>
              <w:pStyle w:val="Tabletext"/>
              <w:keepNext/>
              <w:keepLines/>
              <w:rPr>
                <w:b/>
                <w:bCs/>
                <w:sz w:val="24"/>
                <w:szCs w:val="24"/>
              </w:rPr>
            </w:pPr>
            <w:r w:rsidRPr="00073574">
              <w:rPr>
                <w:b/>
                <w:bCs/>
                <w:sz w:val="24"/>
                <w:szCs w:val="24"/>
              </w:rPr>
              <w:t>TSB Director to work closely with BR and BDT Directors, to encourage partnership under the patronage of ITU-T as one of the means for financing the BSG action plan. (i. TSBDir 2)</w:t>
            </w:r>
          </w:p>
        </w:tc>
        <w:tc>
          <w:tcPr>
            <w:tcW w:w="1637" w:type="dxa"/>
            <w:tcBorders>
              <w:top w:val="single" w:sz="12" w:space="0" w:color="auto"/>
            </w:tcBorders>
            <w:shd w:val="clear" w:color="auto" w:fill="auto"/>
            <w:vAlign w:val="center"/>
          </w:tcPr>
          <w:p w14:paraId="59071C7B" w14:textId="77777777" w:rsidR="00F0236A" w:rsidRPr="00073574" w:rsidRDefault="00F0236A" w:rsidP="00B46D89">
            <w:pPr>
              <w:pStyle w:val="Tabletext"/>
              <w:keepNext/>
              <w:keepLines/>
              <w:jc w:val="center"/>
              <w:rPr>
                <w:b/>
                <w:bCs/>
                <w:sz w:val="24"/>
                <w:szCs w:val="24"/>
              </w:rPr>
            </w:pPr>
            <w:r w:rsidRPr="00073574">
              <w:rPr>
                <w:b/>
                <w:bCs/>
                <w:sz w:val="24"/>
                <w:szCs w:val="24"/>
              </w:rPr>
              <w:t>Ongoing</w:t>
            </w:r>
          </w:p>
        </w:tc>
        <w:tc>
          <w:tcPr>
            <w:tcW w:w="1129" w:type="dxa"/>
            <w:tcBorders>
              <w:top w:val="single" w:sz="12" w:space="0" w:color="auto"/>
            </w:tcBorders>
            <w:shd w:val="clear" w:color="auto" w:fill="auto"/>
            <w:vAlign w:val="center"/>
          </w:tcPr>
          <w:p w14:paraId="00DC92CC" w14:textId="77777777" w:rsidR="00F0236A" w:rsidRPr="00073574" w:rsidRDefault="00F0236A" w:rsidP="00B46D89">
            <w:pPr>
              <w:pStyle w:val="Tabletext"/>
              <w:keepNext/>
              <w:keepLines/>
              <w:jc w:val="center"/>
              <w:rPr>
                <w:b/>
                <w:bCs/>
                <w:sz w:val="24"/>
                <w:szCs w:val="24"/>
              </w:rPr>
            </w:pPr>
            <w:r w:rsidRPr="00073574">
              <w:rPr>
                <w:b/>
                <w:bCs/>
                <w:sz w:val="24"/>
                <w:szCs w:val="24"/>
              </w:rPr>
              <w:t>√</w:t>
            </w:r>
          </w:p>
        </w:tc>
        <w:tc>
          <w:tcPr>
            <w:tcW w:w="1348" w:type="dxa"/>
            <w:gridSpan w:val="2"/>
            <w:tcBorders>
              <w:top w:val="single" w:sz="12" w:space="0" w:color="auto"/>
            </w:tcBorders>
            <w:shd w:val="clear" w:color="auto" w:fill="auto"/>
            <w:vAlign w:val="center"/>
          </w:tcPr>
          <w:p w14:paraId="28F8561B" w14:textId="77777777" w:rsidR="00F0236A" w:rsidRPr="00073574" w:rsidRDefault="00F0236A" w:rsidP="00B46D89">
            <w:pPr>
              <w:pStyle w:val="Tabletext"/>
              <w:keepNext/>
              <w:keepLines/>
              <w:jc w:val="center"/>
              <w:rPr>
                <w:b/>
                <w:bCs/>
                <w:sz w:val="24"/>
                <w:szCs w:val="24"/>
              </w:rPr>
            </w:pPr>
          </w:p>
        </w:tc>
      </w:tr>
      <w:tr w:rsidR="00F0236A" w:rsidRPr="00073574" w14:paraId="28B2E18B" w14:textId="77777777" w:rsidTr="4D78197E">
        <w:trPr>
          <w:jc w:val="center"/>
        </w:trPr>
        <w:tc>
          <w:tcPr>
            <w:tcW w:w="896" w:type="dxa"/>
            <w:vMerge/>
          </w:tcPr>
          <w:p w14:paraId="1C64CFA4" w14:textId="77777777" w:rsidR="00F0236A" w:rsidRPr="00073574" w:rsidRDefault="00F0236A" w:rsidP="00B46D89">
            <w:pPr>
              <w:pStyle w:val="Tabletext"/>
              <w:keepNext/>
              <w:keepLines/>
              <w:rPr>
                <w:sz w:val="24"/>
                <w:szCs w:val="24"/>
              </w:rPr>
            </w:pPr>
          </w:p>
        </w:tc>
        <w:tc>
          <w:tcPr>
            <w:tcW w:w="8626" w:type="dxa"/>
            <w:gridSpan w:val="5"/>
            <w:tcBorders>
              <w:bottom w:val="single" w:sz="12" w:space="0" w:color="auto"/>
            </w:tcBorders>
            <w:shd w:val="clear" w:color="auto" w:fill="auto"/>
          </w:tcPr>
          <w:p w14:paraId="627E7748" w14:textId="3DDDF46C" w:rsidR="00F0236A" w:rsidRPr="00073574" w:rsidRDefault="00B07559" w:rsidP="00284A2E">
            <w:pPr>
              <w:keepNext/>
              <w:keepLines/>
              <w:spacing w:before="40" w:after="40"/>
              <w:rPr>
                <w:szCs w:val="22"/>
              </w:rPr>
            </w:pPr>
            <w:r w:rsidRPr="00073574">
              <w:rPr>
                <w:szCs w:val="22"/>
              </w:rPr>
              <w:t>BDT and BR are represented in the intersectoral Force as well as the Directors of the ITU Regional Offices.</w:t>
            </w:r>
          </w:p>
        </w:tc>
      </w:tr>
      <w:tr w:rsidR="00F0236A" w:rsidRPr="00073574" w14:paraId="6502D4AD" w14:textId="77777777" w:rsidTr="4D78197E">
        <w:trPr>
          <w:jc w:val="center"/>
        </w:trPr>
        <w:tc>
          <w:tcPr>
            <w:tcW w:w="896" w:type="dxa"/>
            <w:vMerge w:val="restart"/>
            <w:tcBorders>
              <w:top w:val="single" w:sz="12" w:space="0" w:color="auto"/>
            </w:tcBorders>
            <w:shd w:val="clear" w:color="auto" w:fill="auto"/>
          </w:tcPr>
          <w:p w14:paraId="718369E9" w14:textId="77777777" w:rsidR="00F0236A" w:rsidRPr="00073574" w:rsidRDefault="00F0236A" w:rsidP="00601595">
            <w:pPr>
              <w:pStyle w:val="Tabletext"/>
              <w:keepNext/>
              <w:keepLines/>
              <w:rPr>
                <w:b/>
                <w:bCs/>
                <w:sz w:val="24"/>
                <w:szCs w:val="24"/>
              </w:rPr>
            </w:pPr>
            <w:r w:rsidRPr="00073574">
              <w:rPr>
                <w:b/>
                <w:bCs/>
                <w:sz w:val="24"/>
                <w:szCs w:val="24"/>
              </w:rPr>
              <w:t>44-24</w:t>
            </w:r>
          </w:p>
        </w:tc>
        <w:tc>
          <w:tcPr>
            <w:tcW w:w="4512" w:type="dxa"/>
            <w:tcBorders>
              <w:top w:val="single" w:sz="12" w:space="0" w:color="auto"/>
            </w:tcBorders>
            <w:shd w:val="clear" w:color="auto" w:fill="auto"/>
          </w:tcPr>
          <w:p w14:paraId="5982F65F" w14:textId="77777777" w:rsidR="00F0236A" w:rsidRPr="00073574" w:rsidRDefault="00F0236A" w:rsidP="00DF36E1">
            <w:pPr>
              <w:pStyle w:val="Tabletext"/>
              <w:rPr>
                <w:b/>
                <w:bCs/>
                <w:sz w:val="24"/>
                <w:szCs w:val="24"/>
              </w:rPr>
            </w:pPr>
            <w:r w:rsidRPr="00073574">
              <w:rPr>
                <w:b/>
                <w:bCs/>
                <w:sz w:val="24"/>
                <w:szCs w:val="24"/>
              </w:rPr>
              <w:t>TSB to conduct BSG workshops and seminars for developing countries, concurrently with meetings of ITU-T regional groups if possible, in coordination/collaboration with ITU-D. (i. TSBDir 3)</w:t>
            </w:r>
          </w:p>
        </w:tc>
        <w:tc>
          <w:tcPr>
            <w:tcW w:w="1637" w:type="dxa"/>
            <w:tcBorders>
              <w:top w:val="single" w:sz="12" w:space="0" w:color="auto"/>
            </w:tcBorders>
            <w:shd w:val="clear" w:color="auto" w:fill="auto"/>
            <w:vAlign w:val="center"/>
          </w:tcPr>
          <w:p w14:paraId="1032758E"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29" w:type="dxa"/>
            <w:tcBorders>
              <w:top w:val="single" w:sz="12" w:space="0" w:color="auto"/>
            </w:tcBorders>
            <w:shd w:val="clear" w:color="auto" w:fill="auto"/>
            <w:vAlign w:val="center"/>
          </w:tcPr>
          <w:p w14:paraId="7AD4704B" w14:textId="77777777" w:rsidR="00F0236A" w:rsidRPr="00073574" w:rsidRDefault="00F0236A" w:rsidP="00DF36E1">
            <w:pPr>
              <w:pStyle w:val="Tabletext"/>
              <w:jc w:val="center"/>
              <w:rPr>
                <w:b/>
                <w:bCs/>
                <w:sz w:val="24"/>
                <w:szCs w:val="24"/>
              </w:rPr>
            </w:pPr>
            <w:r w:rsidRPr="00073574">
              <w:rPr>
                <w:b/>
                <w:bCs/>
                <w:sz w:val="24"/>
                <w:szCs w:val="24"/>
              </w:rPr>
              <w:t>√</w:t>
            </w:r>
          </w:p>
        </w:tc>
        <w:tc>
          <w:tcPr>
            <w:tcW w:w="1348" w:type="dxa"/>
            <w:gridSpan w:val="2"/>
            <w:tcBorders>
              <w:top w:val="single" w:sz="12" w:space="0" w:color="auto"/>
            </w:tcBorders>
            <w:shd w:val="clear" w:color="auto" w:fill="auto"/>
            <w:vAlign w:val="center"/>
          </w:tcPr>
          <w:p w14:paraId="42E4F7CA" w14:textId="77777777" w:rsidR="00F0236A" w:rsidRPr="00073574" w:rsidRDefault="00F0236A" w:rsidP="00DF36E1">
            <w:pPr>
              <w:pStyle w:val="Tabletext"/>
              <w:jc w:val="center"/>
              <w:rPr>
                <w:b/>
                <w:bCs/>
                <w:sz w:val="24"/>
                <w:szCs w:val="24"/>
              </w:rPr>
            </w:pPr>
          </w:p>
        </w:tc>
      </w:tr>
      <w:tr w:rsidR="00F0236A" w:rsidRPr="00073574" w14:paraId="0E9724EE" w14:textId="77777777" w:rsidTr="4D78197E">
        <w:trPr>
          <w:jc w:val="center"/>
        </w:trPr>
        <w:tc>
          <w:tcPr>
            <w:tcW w:w="896" w:type="dxa"/>
            <w:vMerge/>
          </w:tcPr>
          <w:p w14:paraId="38A5D7F3" w14:textId="77777777" w:rsidR="00F0236A" w:rsidRPr="00073574" w:rsidRDefault="00F0236A" w:rsidP="00DF36E1">
            <w:pPr>
              <w:pStyle w:val="Tabletext"/>
              <w:rPr>
                <w:sz w:val="24"/>
                <w:szCs w:val="24"/>
              </w:rPr>
            </w:pPr>
          </w:p>
        </w:tc>
        <w:tc>
          <w:tcPr>
            <w:tcW w:w="8626" w:type="dxa"/>
            <w:gridSpan w:val="5"/>
            <w:shd w:val="clear" w:color="auto" w:fill="auto"/>
          </w:tcPr>
          <w:p w14:paraId="79E9F4E2" w14:textId="14980E40" w:rsidR="009D08BD" w:rsidRPr="00073574" w:rsidRDefault="00FE57CC" w:rsidP="00284A2E">
            <w:pPr>
              <w:spacing w:before="40"/>
              <w:rPr>
                <w:rFonts w:asciiTheme="majorBidi" w:hAnsiTheme="majorBidi" w:cstheme="majorBidi"/>
                <w:szCs w:val="22"/>
              </w:rPr>
            </w:pPr>
            <w:r w:rsidRPr="00073574">
              <w:rPr>
                <w:rFonts w:asciiTheme="majorBidi" w:hAnsiTheme="majorBidi" w:cstheme="majorBidi"/>
                <w:szCs w:val="22"/>
              </w:rPr>
              <w:t>SG13RG-AFR has a workshop alongside each of its meetings. It focuses on the areas of priority and top interest for the region.</w:t>
            </w:r>
          </w:p>
          <w:p w14:paraId="4C34FBD7" w14:textId="061F4D6D" w:rsidR="008E5737" w:rsidRPr="00073574" w:rsidRDefault="008E5737" w:rsidP="00FE57CC">
            <w:r w:rsidRPr="00073574">
              <w:lastRenderedPageBreak/>
              <w:t>A new strategy for the Standardization Forums was adopted under the BSG programme. These are now fully in line with the priorities of our study groups, and are mainly held in coordination with our regional groups. The Standardization Forums are also contributing in raising awareness of standards activities through the participation of key decision makers.</w:t>
            </w:r>
          </w:p>
          <w:p w14:paraId="27AE3D33" w14:textId="343CA625" w:rsidR="008E5737" w:rsidRPr="00073574" w:rsidRDefault="008E5737" w:rsidP="009D08BD">
            <w:pPr>
              <w:rPr>
                <w:rFonts w:asciiTheme="majorBidi" w:hAnsiTheme="majorBidi" w:cstheme="majorBidi"/>
              </w:rPr>
            </w:pPr>
            <w:r w:rsidRPr="00073574">
              <w:rPr>
                <w:rFonts w:asciiTheme="majorBidi" w:hAnsiTheme="majorBidi" w:cstheme="majorBidi"/>
              </w:rPr>
              <w:t xml:space="preserve">In </w:t>
            </w:r>
            <w:r w:rsidR="00330D00" w:rsidRPr="00073574">
              <w:rPr>
                <w:rFonts w:asciiTheme="majorBidi" w:hAnsiTheme="majorBidi" w:cstheme="majorBidi"/>
              </w:rPr>
              <w:t xml:space="preserve">2017, </w:t>
            </w:r>
            <w:r w:rsidR="00345EC2" w:rsidRPr="00073574">
              <w:rPr>
                <w:rFonts w:asciiTheme="majorBidi" w:hAnsiTheme="majorBidi" w:cstheme="majorBidi"/>
              </w:rPr>
              <w:t>2018</w:t>
            </w:r>
            <w:r w:rsidRPr="00073574">
              <w:rPr>
                <w:rFonts w:asciiTheme="majorBidi" w:hAnsiTheme="majorBidi" w:cstheme="majorBidi"/>
              </w:rPr>
              <w:t xml:space="preserve">, </w:t>
            </w:r>
            <w:r w:rsidR="00330D00" w:rsidRPr="00073574">
              <w:rPr>
                <w:rFonts w:asciiTheme="majorBidi" w:hAnsiTheme="majorBidi" w:cstheme="majorBidi"/>
              </w:rPr>
              <w:t>2019</w:t>
            </w:r>
            <w:r w:rsidR="00CE1B70" w:rsidRPr="00073574">
              <w:rPr>
                <w:rFonts w:asciiTheme="majorBidi" w:hAnsiTheme="majorBidi" w:cstheme="majorBidi"/>
              </w:rPr>
              <w:t>, and 2020</w:t>
            </w:r>
            <w:r w:rsidR="00330D00" w:rsidRPr="00073574">
              <w:rPr>
                <w:rFonts w:asciiTheme="majorBidi" w:hAnsiTheme="majorBidi" w:cstheme="majorBidi"/>
              </w:rPr>
              <w:t xml:space="preserve"> </w:t>
            </w:r>
            <w:r w:rsidRPr="00073574">
              <w:rPr>
                <w:rFonts w:asciiTheme="majorBidi" w:hAnsiTheme="majorBidi" w:cstheme="majorBidi"/>
              </w:rPr>
              <w:t>the following Forums were held:</w:t>
            </w:r>
          </w:p>
          <w:p w14:paraId="035AE003" w14:textId="77777777" w:rsidR="00CE1B70" w:rsidRPr="00073574" w:rsidRDefault="0053741E" w:rsidP="002E241A">
            <w:pPr>
              <w:pStyle w:val="ListParagraph"/>
              <w:numPr>
                <w:ilvl w:val="0"/>
                <w:numId w:val="52"/>
              </w:numPr>
              <w:spacing w:before="0" w:after="120"/>
              <w:contextualSpacing w:val="0"/>
            </w:pPr>
            <w:hyperlink r:id="rId300">
              <w:r w:rsidR="00CE1B70" w:rsidRPr="00073574">
                <w:rPr>
                  <w:rStyle w:val="Hyperlink"/>
                </w:rPr>
                <w:t>ITU Regional Standardization Forum (RSF)</w:t>
              </w:r>
            </w:hyperlink>
            <w:r w:rsidR="00CE1B70" w:rsidRPr="00073574">
              <w:t xml:space="preserve"> on </w:t>
            </w:r>
            <w:hyperlink r:id="rId301">
              <w:r w:rsidR="00CE1B70" w:rsidRPr="00073574">
                <w:rPr>
                  <w:rStyle w:val="Hyperlink"/>
                </w:rPr>
                <w:t>“Smart sustainable cities: from concept to implementation”</w:t>
              </w:r>
            </w:hyperlink>
            <w:r w:rsidR="00CE1B70" w:rsidRPr="00073574">
              <w:t>, Minsk, Belarus, 3 to 5 March 2020.</w:t>
            </w:r>
          </w:p>
          <w:p w14:paraId="50508B5C" w14:textId="77777777" w:rsidR="00CE1B70" w:rsidRPr="00073574" w:rsidRDefault="0053741E" w:rsidP="002E241A">
            <w:pPr>
              <w:pStyle w:val="ListParagraph"/>
              <w:numPr>
                <w:ilvl w:val="0"/>
                <w:numId w:val="52"/>
              </w:numPr>
              <w:spacing w:before="0" w:after="120"/>
              <w:contextualSpacing w:val="0"/>
            </w:pPr>
            <w:hyperlink r:id="rId302" w:history="1">
              <w:r w:rsidR="00CE1B70" w:rsidRPr="00073574">
                <w:rPr>
                  <w:rStyle w:val="Hyperlink"/>
                  <w:color w:val="3789BD"/>
                  <w:bdr w:val="none" w:sz="0" w:space="0" w:color="auto" w:frame="1"/>
                  <w:shd w:val="clear" w:color="auto" w:fill="FFFFFF"/>
                </w:rPr>
                <w:t>7th SG13 Regional Workshop on "Standardization of future networks towards Building a better connected Africa"</w:t>
              </w:r>
            </w:hyperlink>
            <w:r w:rsidR="00CE1B70" w:rsidRPr="00073574">
              <w:rPr>
                <w:szCs w:val="22"/>
              </w:rPr>
              <w:t xml:space="preserve">, </w:t>
            </w:r>
            <w:r w:rsidR="00CE1B70" w:rsidRPr="00073574">
              <w:rPr>
                <w:shd w:val="clear" w:color="auto" w:fill="FFFFFF"/>
              </w:rPr>
              <w:t>3-4 February 2020, Abuja, Nigeria.</w:t>
            </w:r>
          </w:p>
          <w:p w14:paraId="10E1DA50" w14:textId="4F8BB107" w:rsidR="00330D00" w:rsidRPr="00073574" w:rsidRDefault="0053741E" w:rsidP="002E241A">
            <w:pPr>
              <w:pStyle w:val="ListParagraph"/>
              <w:numPr>
                <w:ilvl w:val="0"/>
                <w:numId w:val="52"/>
              </w:numPr>
            </w:pPr>
            <w:hyperlink r:id="rId303">
              <w:r w:rsidR="00330D00" w:rsidRPr="00073574">
                <w:rPr>
                  <w:color w:val="0000FF"/>
                  <w:u w:val="single"/>
                </w:rPr>
                <w:t>ITU Regional Standardization Forum (RSF) on “Addressing Competition Issues in ICT Economy”</w:t>
              </w:r>
            </w:hyperlink>
            <w:r w:rsidR="00330D00" w:rsidRPr="00073574">
              <w:t>, Colombo, Sri Lanka, 1 October 2019.</w:t>
            </w:r>
          </w:p>
          <w:p w14:paraId="3D13357B" w14:textId="1B90A335" w:rsidR="00F271F6" w:rsidRPr="00073574" w:rsidRDefault="0053741E" w:rsidP="00211343">
            <w:pPr>
              <w:pStyle w:val="ListParagraph"/>
              <w:numPr>
                <w:ilvl w:val="0"/>
                <w:numId w:val="52"/>
              </w:numPr>
              <w:ind w:left="714" w:hanging="357"/>
              <w:contextualSpacing w:val="0"/>
            </w:pPr>
            <w:hyperlink r:id="rId304" w:history="1">
              <w:r w:rsidR="00F271F6" w:rsidRPr="00073574">
                <w:rPr>
                  <w:rStyle w:val="Hyperlink"/>
                </w:rPr>
                <w:t>ITU Regional Standardization Forum on Emerging Economic, Regulatory and Policy Trends for an Inclusive, Sustainable and Trustworthy Digital World</w:t>
              </w:r>
            </w:hyperlink>
            <w:r w:rsidR="00F271F6" w:rsidRPr="00073574">
              <w:t>, Antananarivo, Madagascar, 18 February 2019.</w:t>
            </w:r>
          </w:p>
          <w:p w14:paraId="4380F2F3" w14:textId="77777777" w:rsidR="00330D00" w:rsidRPr="00073574" w:rsidRDefault="0053741E" w:rsidP="002E241A">
            <w:pPr>
              <w:pStyle w:val="ListParagraph"/>
              <w:numPr>
                <w:ilvl w:val="0"/>
                <w:numId w:val="52"/>
              </w:numPr>
              <w:contextualSpacing w:val="0"/>
              <w:rPr>
                <w:rFonts w:asciiTheme="majorBidi" w:hAnsiTheme="majorBidi" w:cstheme="majorBidi"/>
              </w:rPr>
            </w:pPr>
            <w:hyperlink r:id="rId305">
              <w:r w:rsidR="00330D00" w:rsidRPr="00073574">
                <w:rPr>
                  <w:rStyle w:val="Hyperlink"/>
                </w:rPr>
                <w:t>ITU Inter-regional Standardization Forum on “Operational issues on numbering, emergency service and OTTs”</w:t>
              </w:r>
            </w:hyperlink>
            <w:r w:rsidR="00330D00" w:rsidRPr="00073574">
              <w:t>, Dubai, United Emirates on 22 October 2019.</w:t>
            </w:r>
          </w:p>
          <w:p w14:paraId="33081044" w14:textId="32EFD4B7" w:rsidR="00265D6D" w:rsidRPr="00073574" w:rsidRDefault="0053741E" w:rsidP="002E241A">
            <w:pPr>
              <w:pStyle w:val="ListParagraph"/>
              <w:numPr>
                <w:ilvl w:val="0"/>
                <w:numId w:val="52"/>
              </w:numPr>
              <w:rPr>
                <w:rFonts w:asciiTheme="majorBidi" w:hAnsiTheme="majorBidi" w:cstheme="majorBidi"/>
              </w:rPr>
            </w:pPr>
            <w:hyperlink r:id="rId306" w:history="1">
              <w:r w:rsidR="00265D6D" w:rsidRPr="00073574">
                <w:rPr>
                  <w:rStyle w:val="Hyperlink"/>
                  <w:rFonts w:asciiTheme="majorBidi" w:hAnsiTheme="majorBidi" w:cstheme="majorBidi"/>
                </w:rPr>
                <w:t>ITU Regional Standardization Forum on Emerging Economic, Regulatory and Policy Trends in a Fast-Changing Digital World</w:t>
              </w:r>
            </w:hyperlink>
            <w:r w:rsidR="00265D6D" w:rsidRPr="00073574">
              <w:rPr>
                <w:rFonts w:asciiTheme="majorBidi" w:hAnsiTheme="majorBidi" w:cstheme="majorBidi"/>
              </w:rPr>
              <w:t>; Kuwait City, Kuwait, 17 December 2018.</w:t>
            </w:r>
          </w:p>
          <w:p w14:paraId="5C653785" w14:textId="757A93AA" w:rsidR="00345EC2" w:rsidRPr="00073574" w:rsidRDefault="0053741E" w:rsidP="002E241A">
            <w:pPr>
              <w:pStyle w:val="ListParagraph"/>
              <w:numPr>
                <w:ilvl w:val="0"/>
                <w:numId w:val="52"/>
              </w:numPr>
              <w:contextualSpacing w:val="0"/>
              <w:rPr>
                <w:rFonts w:asciiTheme="majorBidi" w:hAnsiTheme="majorBidi" w:cstheme="majorBidi"/>
              </w:rPr>
            </w:pPr>
            <w:hyperlink r:id="rId307" w:history="1">
              <w:r w:rsidR="00345EC2" w:rsidRPr="00073574">
                <w:rPr>
                  <w:rStyle w:val="Hyperlink"/>
                  <w:rFonts w:asciiTheme="majorBidi" w:hAnsiTheme="majorBidi" w:cstheme="majorBidi"/>
                </w:rPr>
                <w:t>ITU Regional Standardization Forum on Emerging Economic, Regulatory and Policy Trends in a Fast-Changing Digital World</w:t>
              </w:r>
            </w:hyperlink>
            <w:r w:rsidR="00345EC2" w:rsidRPr="00073574">
              <w:rPr>
                <w:rFonts w:asciiTheme="majorBidi" w:hAnsiTheme="majorBidi" w:cstheme="majorBidi"/>
              </w:rPr>
              <w:t>, X’ian, China, 27 August 2018</w:t>
            </w:r>
          </w:p>
          <w:p w14:paraId="1A9740B0" w14:textId="02A3DAFE" w:rsidR="00345EC2" w:rsidRPr="00073574" w:rsidRDefault="0053741E" w:rsidP="002E241A">
            <w:pPr>
              <w:pStyle w:val="ListParagraph"/>
              <w:numPr>
                <w:ilvl w:val="0"/>
                <w:numId w:val="52"/>
              </w:numPr>
              <w:contextualSpacing w:val="0"/>
              <w:rPr>
                <w:rFonts w:asciiTheme="majorBidi" w:hAnsiTheme="majorBidi" w:cstheme="majorBidi"/>
              </w:rPr>
            </w:pPr>
            <w:hyperlink r:id="rId308" w:history="1">
              <w:r w:rsidR="00345EC2" w:rsidRPr="00073574">
                <w:rPr>
                  <w:rStyle w:val="Hyperlink"/>
                </w:rPr>
                <w:t>ITU Regional Standardization Forum on Emerging Economic, Regulatory and Policy Trends in a Fast-Changing Digital World</w:t>
              </w:r>
            </w:hyperlink>
            <w:r w:rsidR="00345EC2" w:rsidRPr="00073574">
              <w:rPr>
                <w:rFonts w:asciiTheme="majorBidi" w:hAnsiTheme="majorBidi" w:cstheme="majorBidi"/>
              </w:rPr>
              <w:t>, Kigali, Rwanda, 5 February 2018.</w:t>
            </w:r>
          </w:p>
          <w:p w14:paraId="7A127C9A" w14:textId="639A39B7" w:rsidR="00330D00" w:rsidRPr="00073574" w:rsidRDefault="0053741E" w:rsidP="002E241A">
            <w:pPr>
              <w:pStyle w:val="ListParagraph"/>
              <w:numPr>
                <w:ilvl w:val="0"/>
                <w:numId w:val="52"/>
              </w:numPr>
              <w:contextualSpacing w:val="0"/>
              <w:rPr>
                <w:rFonts w:asciiTheme="majorBidi" w:hAnsiTheme="majorBidi" w:cstheme="majorBidi"/>
              </w:rPr>
            </w:pPr>
            <w:hyperlink r:id="rId309">
              <w:r w:rsidR="00330D00" w:rsidRPr="00073574">
                <w:rPr>
                  <w:rStyle w:val="Hyperlink"/>
                </w:rPr>
                <w:t>ITU</w:t>
              </w:r>
            </w:hyperlink>
            <w:hyperlink r:id="rId310">
              <w:r w:rsidR="00330D00" w:rsidRPr="00073574">
                <w:rPr>
                  <w:rStyle w:val="Hyperlink"/>
                </w:rPr>
                <w:t xml:space="preserve"> Regional Standardization Forum </w:t>
              </w:r>
            </w:hyperlink>
            <w:hyperlink r:id="rId311">
              <w:r w:rsidR="00330D00" w:rsidRPr="00073574">
                <w:rPr>
                  <w:rStyle w:val="Hyperlink"/>
                </w:rPr>
                <w:t xml:space="preserve">- Americas </w:t>
              </w:r>
            </w:hyperlink>
            <w:hyperlink r:id="rId312">
              <w:r w:rsidR="00330D00" w:rsidRPr="00073574">
                <w:rPr>
                  <w:rStyle w:val="Hyperlink"/>
                </w:rPr>
                <w:t>Region</w:t>
              </w:r>
            </w:hyperlink>
            <w:r w:rsidR="00330D00" w:rsidRPr="00073574">
              <w:rPr>
                <w:rFonts w:asciiTheme="majorBidi" w:hAnsiTheme="majorBidi" w:cstheme="majorBidi"/>
              </w:rPr>
              <w:t xml:space="preserve"> (which focused on SG2 and SG3 topics), Port of Spain, Trinidad and Tobago, 6 March 2017,</w:t>
            </w:r>
          </w:p>
          <w:p w14:paraId="32432279" w14:textId="77777777" w:rsidR="00330D00" w:rsidRPr="00073574" w:rsidRDefault="0053741E" w:rsidP="002E241A">
            <w:pPr>
              <w:pStyle w:val="ListParagraph"/>
              <w:numPr>
                <w:ilvl w:val="0"/>
                <w:numId w:val="52"/>
              </w:numPr>
              <w:contextualSpacing w:val="0"/>
              <w:rPr>
                <w:rFonts w:asciiTheme="majorBidi" w:hAnsiTheme="majorBidi" w:cstheme="majorBidi"/>
              </w:rPr>
            </w:pPr>
            <w:hyperlink r:id="rId313">
              <w:r w:rsidR="00330D00" w:rsidRPr="00073574">
                <w:rPr>
                  <w:rStyle w:val="Hyperlink"/>
                </w:rPr>
                <w:t>ITU</w:t>
              </w:r>
            </w:hyperlink>
            <w:hyperlink r:id="rId314">
              <w:r w:rsidR="00330D00" w:rsidRPr="00073574">
                <w:rPr>
                  <w:rStyle w:val="Hyperlink"/>
                </w:rPr>
                <w:t xml:space="preserve"> </w:t>
              </w:r>
            </w:hyperlink>
            <w:hyperlink r:id="rId315">
              <w:r w:rsidR="00330D00" w:rsidRPr="00073574">
                <w:rPr>
                  <w:rStyle w:val="Hyperlink"/>
                </w:rPr>
                <w:t xml:space="preserve">Regional Standardization Forum </w:t>
              </w:r>
            </w:hyperlink>
            <w:hyperlink r:id="rId316">
              <w:r w:rsidR="00330D00" w:rsidRPr="00073574">
                <w:rPr>
                  <w:rStyle w:val="Hyperlink"/>
                </w:rPr>
                <w:t xml:space="preserve">- </w:t>
              </w:r>
            </w:hyperlink>
            <w:r w:rsidR="00330D00" w:rsidRPr="00073574">
              <w:rPr>
                <w:rStyle w:val="Hyperlink"/>
              </w:rPr>
              <w:t>Asia and Pacific Region</w:t>
            </w:r>
            <w:r w:rsidR="00330D00" w:rsidRPr="00073574">
              <w:rPr>
                <w:rFonts w:asciiTheme="majorBidi" w:hAnsiTheme="majorBidi" w:cstheme="majorBidi"/>
              </w:rPr>
              <w:t xml:space="preserve"> (which focused on SG3 topics), Seoul, Korea (Rep. of), 24 October 2017,</w:t>
            </w:r>
          </w:p>
          <w:p w14:paraId="548E3F9E" w14:textId="77777777" w:rsidR="00330D00" w:rsidRPr="00073574" w:rsidRDefault="0053741E" w:rsidP="002E241A">
            <w:pPr>
              <w:pStyle w:val="ListParagraph"/>
              <w:numPr>
                <w:ilvl w:val="0"/>
                <w:numId w:val="52"/>
              </w:numPr>
              <w:contextualSpacing w:val="0"/>
              <w:rPr>
                <w:rFonts w:asciiTheme="majorBidi" w:hAnsiTheme="majorBidi" w:cstheme="majorBidi"/>
              </w:rPr>
            </w:pPr>
            <w:hyperlink r:id="rId317">
              <w:r w:rsidR="00330D00" w:rsidRPr="00073574">
                <w:rPr>
                  <w:rFonts w:asciiTheme="majorBidi" w:hAnsiTheme="majorBidi" w:cstheme="majorBidi"/>
                </w:rPr>
                <w:t xml:space="preserve">ITU Regional Standardization Forum </w:t>
              </w:r>
            </w:hyperlink>
            <w:hyperlink r:id="rId318">
              <w:r w:rsidR="00330D00" w:rsidRPr="00073574">
                <w:rPr>
                  <w:rFonts w:asciiTheme="majorBidi" w:hAnsiTheme="majorBidi" w:cstheme="majorBidi"/>
                </w:rPr>
                <w:t xml:space="preserve">- </w:t>
              </w:r>
            </w:hyperlink>
            <w:hyperlink r:id="rId319">
              <w:r w:rsidR="00330D00" w:rsidRPr="00073574">
                <w:rPr>
                  <w:rFonts w:asciiTheme="majorBidi" w:hAnsiTheme="majorBidi" w:cstheme="majorBidi"/>
                </w:rPr>
                <w:t>Arab Region</w:t>
              </w:r>
            </w:hyperlink>
            <w:r w:rsidR="00330D00" w:rsidRPr="00073574">
              <w:rPr>
                <w:rFonts w:asciiTheme="majorBidi" w:hAnsiTheme="majorBidi" w:cstheme="majorBidi"/>
              </w:rPr>
              <w:t xml:space="preserve"> (which focused on SG20 topics), Riyadh, Saudi Arabia, 19 November 2017,</w:t>
            </w:r>
          </w:p>
          <w:p w14:paraId="702B6B0F" w14:textId="0CC1AC80" w:rsidR="00330D00" w:rsidRPr="00073574" w:rsidRDefault="00330D00" w:rsidP="002E241A">
            <w:pPr>
              <w:pStyle w:val="ListParagraph"/>
              <w:numPr>
                <w:ilvl w:val="0"/>
                <w:numId w:val="52"/>
              </w:numPr>
              <w:contextualSpacing w:val="0"/>
              <w:rPr>
                <w:rFonts w:asciiTheme="majorBidi" w:hAnsiTheme="majorBidi" w:cstheme="majorBidi"/>
              </w:rPr>
            </w:pPr>
            <w:r w:rsidRPr="00073574">
              <w:t xml:space="preserve">1st and 2nd </w:t>
            </w:r>
            <w:hyperlink r:id="rId320">
              <w:r w:rsidRPr="00073574">
                <w:rPr>
                  <w:rFonts w:asciiTheme="majorBidi" w:hAnsiTheme="majorBidi" w:cstheme="majorBidi"/>
                </w:rPr>
                <w:t xml:space="preserve">ITU </w:t>
              </w:r>
            </w:hyperlink>
            <w:hyperlink r:id="rId321">
              <w:r w:rsidRPr="00073574">
                <w:rPr>
                  <w:rFonts w:asciiTheme="majorBidi" w:hAnsiTheme="majorBidi" w:cstheme="majorBidi"/>
                </w:rPr>
                <w:t xml:space="preserve">Interregional Standardization Forum </w:t>
              </w:r>
            </w:hyperlink>
            <w:hyperlink r:id="rId322">
              <w:r w:rsidRPr="00073574">
                <w:rPr>
                  <w:rFonts w:asciiTheme="majorBidi" w:hAnsiTheme="majorBidi" w:cstheme="majorBidi"/>
                </w:rPr>
                <w:t xml:space="preserve">- </w:t>
              </w:r>
            </w:hyperlink>
            <w:hyperlink r:id="rId323">
              <w:r w:rsidRPr="00073574">
                <w:rPr>
                  <w:rFonts w:asciiTheme="majorBidi" w:hAnsiTheme="majorBidi" w:cstheme="majorBidi"/>
                </w:rPr>
                <w:t xml:space="preserve">Arab and African </w:t>
              </w:r>
            </w:hyperlink>
            <w:hyperlink r:id="rId324">
              <w:r w:rsidRPr="00073574">
                <w:rPr>
                  <w:rFonts w:asciiTheme="majorBidi" w:hAnsiTheme="majorBidi" w:cstheme="majorBidi"/>
                </w:rPr>
                <w:t>Region</w:t>
              </w:r>
            </w:hyperlink>
            <w:r w:rsidRPr="00073574">
              <w:rPr>
                <w:rFonts w:asciiTheme="majorBidi" w:hAnsiTheme="majorBidi" w:cstheme="majorBidi"/>
              </w:rPr>
              <w:t xml:space="preserve"> on PKI for e-trust (Muscat, Oman, 11-12 December 2017; and, Tunis,</w:t>
            </w:r>
            <w:r w:rsidR="00193C46" w:rsidRPr="00073574">
              <w:rPr>
                <w:rFonts w:asciiTheme="majorBidi" w:hAnsiTheme="majorBidi" w:cstheme="majorBidi"/>
              </w:rPr>
              <w:t xml:space="preserve"> </w:t>
            </w:r>
            <w:r w:rsidRPr="00073574">
              <w:rPr>
                <w:rFonts w:asciiTheme="majorBidi" w:hAnsiTheme="majorBidi" w:cstheme="majorBidi"/>
              </w:rPr>
              <w:t>Tunisia, 4-5 April 2019),</w:t>
            </w:r>
          </w:p>
          <w:p w14:paraId="78785E20" w14:textId="71CF6406" w:rsidR="00AE76A8" w:rsidRPr="00073574" w:rsidRDefault="0053741E" w:rsidP="002E241A">
            <w:pPr>
              <w:pStyle w:val="ListParagraph"/>
              <w:numPr>
                <w:ilvl w:val="0"/>
                <w:numId w:val="52"/>
              </w:numPr>
              <w:contextualSpacing w:val="0"/>
              <w:rPr>
                <w:rStyle w:val="Hyperlink"/>
                <w:rFonts w:asciiTheme="majorBidi" w:hAnsiTheme="majorBidi" w:cstheme="majorBidi"/>
                <w:color w:val="auto"/>
                <w:u w:val="none"/>
              </w:rPr>
            </w:pPr>
            <w:hyperlink r:id="rId325" w:history="1">
              <w:r w:rsidR="00AE76A8" w:rsidRPr="00073574">
                <w:rPr>
                  <w:rStyle w:val="Hyperlink"/>
                  <w:rFonts w:asciiTheme="majorBidi" w:hAnsiTheme="majorBidi" w:cstheme="majorBidi"/>
                </w:rPr>
                <w:t>ITU Regional Economic and Financial Forum of Telecommunications/ICTs for Africa</w:t>
              </w:r>
            </w:hyperlink>
            <w:r w:rsidR="00832ACF" w:rsidRPr="00073574">
              <w:rPr>
                <w:rStyle w:val="Hyperlink"/>
                <w:rFonts w:asciiTheme="majorBidi" w:hAnsiTheme="majorBidi" w:cstheme="majorBidi"/>
                <w:color w:val="auto"/>
                <w:u w:val="none"/>
              </w:rPr>
              <w:t xml:space="preserve"> </w:t>
            </w:r>
            <w:r w:rsidR="00832ACF" w:rsidRPr="00073574">
              <w:rPr>
                <w:rFonts w:asciiTheme="majorBidi" w:hAnsiTheme="majorBidi" w:cstheme="majorBidi"/>
              </w:rPr>
              <w:t>(which focused on SG3 topics)</w:t>
            </w:r>
            <w:r w:rsidR="00AE76A8" w:rsidRPr="00073574">
              <w:rPr>
                <w:rStyle w:val="Hyperlink"/>
                <w:rFonts w:asciiTheme="majorBidi" w:hAnsiTheme="majorBidi" w:cstheme="majorBidi"/>
                <w:color w:val="auto"/>
                <w:u w:val="none"/>
              </w:rPr>
              <w:t>,</w:t>
            </w:r>
            <w:r w:rsidR="004771AA" w:rsidRPr="00073574">
              <w:t xml:space="preserve"> </w:t>
            </w:r>
            <w:r w:rsidR="004771AA" w:rsidRPr="00073574">
              <w:rPr>
                <w:rStyle w:val="Hyperlink"/>
                <w:rFonts w:asciiTheme="majorBidi" w:hAnsiTheme="majorBidi" w:cstheme="majorBidi"/>
                <w:color w:val="auto"/>
                <w:u w:val="none"/>
              </w:rPr>
              <w:t>Victoria Falls, Zimbabwe, 30-31 January 2017.</w:t>
            </w:r>
          </w:p>
          <w:p w14:paraId="2D2EB46A" w14:textId="5FA62E09" w:rsidR="00526343" w:rsidRPr="00073574" w:rsidRDefault="00526343" w:rsidP="00330D00">
            <w:pPr>
              <w:rPr>
                <w:rFonts w:asciiTheme="majorBidi" w:hAnsiTheme="majorBidi" w:cstheme="majorBidi"/>
              </w:rPr>
            </w:pPr>
            <w:r w:rsidRPr="00073574">
              <w:rPr>
                <w:rFonts w:asciiTheme="majorBidi" w:hAnsiTheme="majorBidi" w:cstheme="majorBidi"/>
              </w:rPr>
              <w:t>All SG12RG-AFR meetings concurred with QoS-themed seminars for developing countries.</w:t>
            </w:r>
          </w:p>
          <w:p w14:paraId="34FABA1C" w14:textId="0FB1153E" w:rsidR="00345EC2" w:rsidRPr="00073574" w:rsidRDefault="00345EC2" w:rsidP="00330D00">
            <w:pPr>
              <w:rPr>
                <w:rFonts w:asciiTheme="majorBidi" w:hAnsiTheme="majorBidi" w:cstheme="majorBidi"/>
                <w:szCs w:val="22"/>
              </w:rPr>
            </w:pPr>
            <w:r w:rsidRPr="00073574">
              <w:rPr>
                <w:rFonts w:asciiTheme="majorBidi" w:hAnsiTheme="majorBidi" w:cstheme="majorBidi"/>
              </w:rPr>
              <w:t xml:space="preserve">Further </w:t>
            </w:r>
            <w:r w:rsidR="009D08BD" w:rsidRPr="00073574">
              <w:rPr>
                <w:rFonts w:asciiTheme="majorBidi" w:hAnsiTheme="majorBidi" w:cstheme="majorBidi"/>
              </w:rPr>
              <w:t>the following events were held:</w:t>
            </w:r>
          </w:p>
          <w:p w14:paraId="3F503CA1" w14:textId="45B11008" w:rsidR="00345EC2" w:rsidRPr="00073574" w:rsidRDefault="0053741E" w:rsidP="002E241A">
            <w:pPr>
              <w:pStyle w:val="ListParagraph"/>
              <w:numPr>
                <w:ilvl w:val="0"/>
                <w:numId w:val="52"/>
              </w:numPr>
              <w:contextualSpacing w:val="0"/>
              <w:rPr>
                <w:rFonts w:asciiTheme="majorBidi" w:hAnsiTheme="majorBidi" w:cstheme="majorBidi"/>
              </w:rPr>
            </w:pPr>
            <w:hyperlink r:id="rId326">
              <w:r w:rsidR="00345EC2" w:rsidRPr="00073574">
                <w:rPr>
                  <w:rStyle w:val="Hyperlink"/>
                  <w:rFonts w:asciiTheme="majorBidi" w:hAnsiTheme="majorBidi" w:cstheme="majorBidi"/>
                </w:rPr>
                <w:t>BSG Session on IoT</w:t>
              </w:r>
            </w:hyperlink>
            <w:r w:rsidR="00345EC2" w:rsidRPr="00073574">
              <w:rPr>
                <w:rFonts w:asciiTheme="majorBidi" w:hAnsiTheme="majorBidi" w:cstheme="majorBidi"/>
              </w:rPr>
              <w:t>, Cairo, Egypt, 6 May 2018</w:t>
            </w:r>
            <w:r w:rsidR="00C34C16" w:rsidRPr="00073574">
              <w:rPr>
                <w:rFonts w:asciiTheme="majorBidi" w:hAnsiTheme="majorBidi" w:cstheme="majorBidi"/>
              </w:rPr>
              <w:t>,</w:t>
            </w:r>
          </w:p>
          <w:p w14:paraId="1EA3D7B6" w14:textId="06DFEEFC" w:rsidR="008823C7" w:rsidRPr="00073574" w:rsidRDefault="0053741E" w:rsidP="002E241A">
            <w:pPr>
              <w:pStyle w:val="ListParagraph"/>
              <w:numPr>
                <w:ilvl w:val="0"/>
                <w:numId w:val="52"/>
              </w:numPr>
              <w:contextualSpacing w:val="0"/>
              <w:rPr>
                <w:rFonts w:asciiTheme="majorBidi" w:hAnsiTheme="majorBidi" w:cstheme="majorBidi"/>
              </w:rPr>
            </w:pPr>
            <w:hyperlink r:id="rId327">
              <w:r w:rsidR="00345EC2" w:rsidRPr="00073574">
                <w:rPr>
                  <w:rStyle w:val="Hyperlink"/>
                  <w:rFonts w:asciiTheme="majorBidi" w:hAnsiTheme="majorBidi" w:cstheme="majorBidi"/>
                </w:rPr>
                <w:t>BSG Interactive Workshop on Effectiveness in Standardization</w:t>
              </w:r>
            </w:hyperlink>
            <w:r w:rsidR="00345EC2" w:rsidRPr="00073574">
              <w:rPr>
                <w:rFonts w:asciiTheme="majorBidi" w:hAnsiTheme="majorBidi" w:cstheme="majorBidi"/>
              </w:rPr>
              <w:t>, Tunis, Tunisia, 24 April 2018</w:t>
            </w:r>
            <w:r w:rsidR="001107B5" w:rsidRPr="00073574">
              <w:rPr>
                <w:rFonts w:asciiTheme="majorBidi" w:hAnsiTheme="majorBidi" w:cstheme="majorBidi"/>
              </w:rPr>
              <w:t>.</w:t>
            </w:r>
          </w:p>
        </w:tc>
      </w:tr>
      <w:tr w:rsidR="00F0236A" w:rsidRPr="00073574" w14:paraId="7BF32CC2" w14:textId="77777777" w:rsidTr="4D78197E">
        <w:trPr>
          <w:jc w:val="center"/>
        </w:trPr>
        <w:tc>
          <w:tcPr>
            <w:tcW w:w="896" w:type="dxa"/>
            <w:vMerge w:val="restart"/>
            <w:tcBorders>
              <w:top w:val="single" w:sz="12" w:space="0" w:color="auto"/>
              <w:left w:val="single" w:sz="12" w:space="0" w:color="auto"/>
              <w:right w:val="single" w:sz="4" w:space="0" w:color="auto"/>
            </w:tcBorders>
            <w:shd w:val="clear" w:color="auto" w:fill="auto"/>
          </w:tcPr>
          <w:p w14:paraId="577080B2" w14:textId="77777777" w:rsidR="00F0236A" w:rsidRPr="00073574" w:rsidRDefault="00F0236A" w:rsidP="00D73E6E">
            <w:pPr>
              <w:pStyle w:val="Tabletext"/>
              <w:keepNext/>
              <w:keepLines/>
              <w:rPr>
                <w:b/>
                <w:bCs/>
                <w:sz w:val="24"/>
                <w:szCs w:val="24"/>
              </w:rPr>
            </w:pPr>
            <w:r w:rsidRPr="00073574">
              <w:rPr>
                <w:b/>
                <w:bCs/>
                <w:sz w:val="24"/>
                <w:szCs w:val="24"/>
              </w:rPr>
              <w:lastRenderedPageBreak/>
              <w:t>44-26</w:t>
            </w:r>
          </w:p>
        </w:tc>
        <w:tc>
          <w:tcPr>
            <w:tcW w:w="4512" w:type="dxa"/>
            <w:tcBorders>
              <w:top w:val="single" w:sz="12" w:space="0" w:color="auto"/>
              <w:left w:val="single" w:sz="4" w:space="0" w:color="auto"/>
              <w:bottom w:val="single" w:sz="4" w:space="0" w:color="auto"/>
              <w:right w:val="single" w:sz="4" w:space="0" w:color="auto"/>
            </w:tcBorders>
            <w:shd w:val="clear" w:color="auto" w:fill="auto"/>
          </w:tcPr>
          <w:p w14:paraId="12061C63" w14:textId="77777777" w:rsidR="00F0236A" w:rsidRPr="00073574" w:rsidRDefault="00F0236A" w:rsidP="00DF36E1">
            <w:pPr>
              <w:pStyle w:val="Tabletext"/>
              <w:rPr>
                <w:b/>
                <w:bCs/>
                <w:sz w:val="24"/>
                <w:szCs w:val="24"/>
              </w:rPr>
            </w:pPr>
            <w:r w:rsidRPr="00073574">
              <w:rPr>
                <w:b/>
                <w:bCs/>
                <w:sz w:val="24"/>
                <w:szCs w:val="24"/>
              </w:rPr>
              <w:t>TSB Director to consider implementation guidelines for ITU-T Recommendations where these could provide advice to assist developing countries in adopting them, with emphasis on Recommendations having regulatory and policy implications. (i. SGs 2)</w:t>
            </w:r>
          </w:p>
        </w:tc>
        <w:tc>
          <w:tcPr>
            <w:tcW w:w="1637" w:type="dxa"/>
            <w:tcBorders>
              <w:top w:val="single" w:sz="12" w:space="0" w:color="auto"/>
              <w:left w:val="single" w:sz="4" w:space="0" w:color="auto"/>
              <w:bottom w:val="single" w:sz="4" w:space="0" w:color="auto"/>
              <w:right w:val="single" w:sz="4" w:space="0" w:color="auto"/>
            </w:tcBorders>
            <w:shd w:val="clear" w:color="auto" w:fill="auto"/>
            <w:vAlign w:val="center"/>
          </w:tcPr>
          <w:p w14:paraId="0F7BAEC6"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29" w:type="dxa"/>
            <w:tcBorders>
              <w:top w:val="single" w:sz="12" w:space="0" w:color="auto"/>
              <w:left w:val="single" w:sz="4" w:space="0" w:color="auto"/>
              <w:bottom w:val="single" w:sz="4" w:space="0" w:color="auto"/>
              <w:right w:val="single" w:sz="4" w:space="0" w:color="auto"/>
            </w:tcBorders>
            <w:shd w:val="clear" w:color="auto" w:fill="auto"/>
            <w:vAlign w:val="center"/>
          </w:tcPr>
          <w:p w14:paraId="16ECAD3C" w14:textId="77777777" w:rsidR="00F0236A" w:rsidRPr="00073574" w:rsidRDefault="00F0236A" w:rsidP="00DF36E1">
            <w:pPr>
              <w:pStyle w:val="Tabletext"/>
              <w:jc w:val="center"/>
              <w:rPr>
                <w:b/>
                <w:bCs/>
                <w:sz w:val="24"/>
                <w:szCs w:val="24"/>
              </w:rPr>
            </w:pPr>
            <w:r w:rsidRPr="00073574">
              <w:rPr>
                <w:b/>
                <w:bCs/>
                <w:sz w:val="24"/>
                <w:szCs w:val="24"/>
              </w:rPr>
              <w:t>√</w:t>
            </w:r>
          </w:p>
        </w:tc>
        <w:tc>
          <w:tcPr>
            <w:tcW w:w="1348"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10BE9F55" w14:textId="77777777" w:rsidR="00F0236A" w:rsidRPr="00073574" w:rsidRDefault="00F0236A" w:rsidP="00DF36E1">
            <w:pPr>
              <w:pStyle w:val="Tabletext"/>
              <w:jc w:val="center"/>
              <w:rPr>
                <w:b/>
                <w:bCs/>
                <w:sz w:val="24"/>
                <w:szCs w:val="24"/>
              </w:rPr>
            </w:pPr>
          </w:p>
        </w:tc>
      </w:tr>
      <w:tr w:rsidR="00F0236A" w:rsidRPr="00073574" w14:paraId="37D78247" w14:textId="77777777" w:rsidTr="4D78197E">
        <w:trPr>
          <w:jc w:val="center"/>
        </w:trPr>
        <w:tc>
          <w:tcPr>
            <w:tcW w:w="896" w:type="dxa"/>
            <w:vMerge/>
          </w:tcPr>
          <w:p w14:paraId="3B09071D" w14:textId="77777777" w:rsidR="00F0236A" w:rsidRPr="00073574" w:rsidRDefault="00F0236A" w:rsidP="00DF36E1">
            <w:pPr>
              <w:pStyle w:val="Tabletext"/>
              <w:rPr>
                <w:sz w:val="24"/>
                <w:szCs w:val="24"/>
              </w:rPr>
            </w:pPr>
          </w:p>
        </w:tc>
        <w:tc>
          <w:tcPr>
            <w:tcW w:w="8626" w:type="dxa"/>
            <w:gridSpan w:val="5"/>
            <w:tcBorders>
              <w:top w:val="single" w:sz="4" w:space="0" w:color="auto"/>
              <w:left w:val="single" w:sz="4" w:space="0" w:color="auto"/>
              <w:bottom w:val="single" w:sz="4" w:space="0" w:color="auto"/>
              <w:right w:val="single" w:sz="12" w:space="0" w:color="auto"/>
            </w:tcBorders>
            <w:shd w:val="clear" w:color="auto" w:fill="auto"/>
          </w:tcPr>
          <w:p w14:paraId="6462A818" w14:textId="77777777" w:rsidR="00F0236A" w:rsidRPr="00073574" w:rsidRDefault="00F0236A" w:rsidP="00284A2E">
            <w:pPr>
              <w:spacing w:before="40" w:after="40"/>
            </w:pPr>
            <w:r w:rsidRPr="00073574">
              <w:rPr>
                <w:szCs w:val="22"/>
              </w:rPr>
              <w:t xml:space="preserve">Implemented in the context of </w:t>
            </w:r>
            <w:hyperlink w:anchor="Item44_28" w:history="1">
              <w:r w:rsidRPr="00073574">
                <w:rPr>
                  <w:rStyle w:val="Hyperlink"/>
                  <w:szCs w:val="22"/>
                </w:rPr>
                <w:t>Action Item 44-28</w:t>
              </w:r>
            </w:hyperlink>
            <w:r w:rsidRPr="00073574">
              <w:rPr>
                <w:szCs w:val="22"/>
              </w:rPr>
              <w:t xml:space="preserve"> below. See also action item 44-13.</w:t>
            </w:r>
          </w:p>
        </w:tc>
      </w:tr>
      <w:tr w:rsidR="00F0236A" w:rsidRPr="00073574" w14:paraId="5916801E" w14:textId="77777777" w:rsidTr="4D78197E">
        <w:trPr>
          <w:jc w:val="center"/>
        </w:trPr>
        <w:tc>
          <w:tcPr>
            <w:tcW w:w="896" w:type="dxa"/>
            <w:vMerge w:val="restart"/>
            <w:tcBorders>
              <w:top w:val="single" w:sz="12" w:space="0" w:color="auto"/>
              <w:left w:val="single" w:sz="12" w:space="0" w:color="auto"/>
              <w:right w:val="single" w:sz="4" w:space="0" w:color="auto"/>
            </w:tcBorders>
            <w:shd w:val="clear" w:color="auto" w:fill="auto"/>
          </w:tcPr>
          <w:p w14:paraId="61ADA44C" w14:textId="77777777" w:rsidR="00F0236A" w:rsidRPr="00073574" w:rsidRDefault="00F0236A" w:rsidP="00E37A4D">
            <w:pPr>
              <w:pStyle w:val="Tabletext"/>
              <w:rPr>
                <w:b/>
                <w:bCs/>
                <w:sz w:val="24"/>
                <w:szCs w:val="24"/>
              </w:rPr>
            </w:pPr>
            <w:r w:rsidRPr="00073574">
              <w:rPr>
                <w:b/>
                <w:bCs/>
                <w:sz w:val="24"/>
                <w:szCs w:val="24"/>
              </w:rPr>
              <w:t>44-28</w:t>
            </w:r>
          </w:p>
        </w:tc>
        <w:tc>
          <w:tcPr>
            <w:tcW w:w="4512" w:type="dxa"/>
            <w:tcBorders>
              <w:top w:val="single" w:sz="12" w:space="0" w:color="auto"/>
              <w:left w:val="single" w:sz="4" w:space="0" w:color="auto"/>
              <w:bottom w:val="single" w:sz="4" w:space="0" w:color="auto"/>
              <w:right w:val="single" w:sz="4" w:space="0" w:color="auto"/>
            </w:tcBorders>
            <w:shd w:val="clear" w:color="auto" w:fill="auto"/>
          </w:tcPr>
          <w:p w14:paraId="5D84F4E3" w14:textId="77777777" w:rsidR="00F0236A" w:rsidRPr="00073574" w:rsidRDefault="00F0236A" w:rsidP="00DF36E1">
            <w:pPr>
              <w:pStyle w:val="Tabletext"/>
              <w:rPr>
                <w:b/>
                <w:bCs/>
                <w:sz w:val="24"/>
                <w:szCs w:val="24"/>
              </w:rPr>
            </w:pPr>
            <w:r w:rsidRPr="00073574">
              <w:rPr>
                <w:b/>
                <w:bCs/>
                <w:sz w:val="24"/>
                <w:szCs w:val="24"/>
              </w:rPr>
              <w:t>TSB Director, in close collaboration with BDT and BR, providing training courses on standardization to developing countries. (i. TSBDir 13, 14)</w:t>
            </w:r>
          </w:p>
        </w:tc>
        <w:tc>
          <w:tcPr>
            <w:tcW w:w="1637" w:type="dxa"/>
            <w:tcBorders>
              <w:top w:val="single" w:sz="12" w:space="0" w:color="auto"/>
              <w:left w:val="single" w:sz="4" w:space="0" w:color="auto"/>
              <w:bottom w:val="single" w:sz="4" w:space="0" w:color="auto"/>
              <w:right w:val="single" w:sz="4" w:space="0" w:color="auto"/>
            </w:tcBorders>
            <w:shd w:val="clear" w:color="auto" w:fill="auto"/>
            <w:vAlign w:val="center"/>
          </w:tcPr>
          <w:p w14:paraId="50B39D47"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29" w:type="dxa"/>
            <w:tcBorders>
              <w:top w:val="single" w:sz="12" w:space="0" w:color="auto"/>
              <w:left w:val="single" w:sz="4" w:space="0" w:color="auto"/>
              <w:bottom w:val="single" w:sz="4" w:space="0" w:color="auto"/>
              <w:right w:val="single" w:sz="4" w:space="0" w:color="auto"/>
            </w:tcBorders>
            <w:shd w:val="clear" w:color="auto" w:fill="auto"/>
            <w:vAlign w:val="center"/>
          </w:tcPr>
          <w:p w14:paraId="15A58D74" w14:textId="77777777" w:rsidR="00F0236A" w:rsidRPr="00073574" w:rsidRDefault="00F0236A" w:rsidP="00DF36E1">
            <w:pPr>
              <w:pStyle w:val="Tabletext"/>
              <w:jc w:val="center"/>
              <w:rPr>
                <w:b/>
                <w:bCs/>
                <w:sz w:val="24"/>
                <w:szCs w:val="24"/>
              </w:rPr>
            </w:pPr>
            <w:r w:rsidRPr="00073574">
              <w:rPr>
                <w:b/>
                <w:bCs/>
                <w:sz w:val="24"/>
                <w:szCs w:val="24"/>
              </w:rPr>
              <w:t>√</w:t>
            </w:r>
          </w:p>
        </w:tc>
        <w:tc>
          <w:tcPr>
            <w:tcW w:w="1348"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0B305AC2" w14:textId="77777777" w:rsidR="00F0236A" w:rsidRPr="00073574" w:rsidRDefault="00F0236A" w:rsidP="00DF36E1">
            <w:pPr>
              <w:pStyle w:val="Tabletext"/>
              <w:jc w:val="center"/>
              <w:rPr>
                <w:b/>
                <w:bCs/>
                <w:sz w:val="24"/>
                <w:szCs w:val="24"/>
              </w:rPr>
            </w:pPr>
          </w:p>
        </w:tc>
      </w:tr>
      <w:tr w:rsidR="00F0236A" w:rsidRPr="00073574" w14:paraId="26A2AEB3" w14:textId="77777777" w:rsidTr="4D78197E">
        <w:trPr>
          <w:jc w:val="center"/>
        </w:trPr>
        <w:tc>
          <w:tcPr>
            <w:tcW w:w="896" w:type="dxa"/>
            <w:vMerge/>
          </w:tcPr>
          <w:p w14:paraId="4F3DEF37" w14:textId="77777777" w:rsidR="00F0236A" w:rsidRPr="00073574" w:rsidRDefault="00F0236A" w:rsidP="00DF36E1">
            <w:pPr>
              <w:pStyle w:val="Tabletext"/>
              <w:rPr>
                <w:sz w:val="24"/>
                <w:szCs w:val="24"/>
              </w:rPr>
            </w:pPr>
          </w:p>
        </w:tc>
        <w:tc>
          <w:tcPr>
            <w:tcW w:w="8626" w:type="dxa"/>
            <w:gridSpan w:val="5"/>
            <w:tcBorders>
              <w:top w:val="single" w:sz="4" w:space="0" w:color="auto"/>
              <w:left w:val="single" w:sz="4" w:space="0" w:color="auto"/>
              <w:bottom w:val="single" w:sz="4" w:space="0" w:color="auto"/>
              <w:right w:val="single" w:sz="12" w:space="0" w:color="auto"/>
            </w:tcBorders>
            <w:shd w:val="clear" w:color="auto" w:fill="auto"/>
          </w:tcPr>
          <w:p w14:paraId="7E4286EF" w14:textId="3ADC0935" w:rsidR="008D3EBF" w:rsidRPr="00073574" w:rsidRDefault="008D497C" w:rsidP="00284A2E">
            <w:pPr>
              <w:spacing w:before="40"/>
            </w:pPr>
            <w:r w:rsidRPr="00073574">
              <w:t xml:space="preserve">The successful </w:t>
            </w:r>
            <w:r w:rsidRPr="00073574">
              <w:rPr>
                <w:u w:val="single"/>
              </w:rPr>
              <w:t>BSG hands-on effectiveness sessions</w:t>
            </w:r>
            <w:r w:rsidRPr="00073574">
              <w:t xml:space="preserve"> are geared towards assisting developing countries in acquiring the right skills and capabilities for international standards-making and to draft contributions for ITU-T meetings</w:t>
            </w:r>
            <w:r w:rsidR="008D3EBF" w:rsidRPr="00073574">
              <w:t xml:space="preserve">. The sessions focus on the development of practical skills to maximize the effectiveness of developing countries' participation in the ITU-T standardization process, covering topics including </w:t>
            </w:r>
            <w:r w:rsidR="005005C0" w:rsidRPr="00073574">
              <w:t xml:space="preserve">relevant terms </w:t>
            </w:r>
            <w:r w:rsidR="003D5162" w:rsidRPr="00073574">
              <w:t xml:space="preserve">related to Study Group meetings, </w:t>
            </w:r>
            <w:r w:rsidR="008D3EBF" w:rsidRPr="00073574">
              <w:t>strategies for participation in study groups, drafting Contributions, presenting proposals, collaborative working methods and means of gaining support and building consensus.</w:t>
            </w:r>
            <w:r w:rsidR="009B2DD4" w:rsidRPr="00073574">
              <w:t xml:space="preserve"> </w:t>
            </w:r>
            <w:r w:rsidR="00A77CF9" w:rsidRPr="00073574">
              <w:t>Over 30</w:t>
            </w:r>
            <w:r w:rsidR="00E44A77" w:rsidRPr="00073574">
              <w:t xml:space="preserve"> BSG trainings and related sessions </w:t>
            </w:r>
            <w:r w:rsidR="004D2D87" w:rsidRPr="00073574">
              <w:t>have organized and attended by over 700 delegates</w:t>
            </w:r>
            <w:r w:rsidR="005530FD" w:rsidRPr="00073574">
              <w:t xml:space="preserve"> from 86 countries</w:t>
            </w:r>
            <w:r w:rsidR="00F20303" w:rsidRPr="00073574">
              <w:t xml:space="preserve">. </w:t>
            </w:r>
            <w:r w:rsidR="009B2DD4" w:rsidRPr="00073574">
              <w:t>Some of the training organized within this study period include:</w:t>
            </w:r>
          </w:p>
          <w:p w14:paraId="082B5C56" w14:textId="009CE124" w:rsidR="00A83069" w:rsidRPr="00073574" w:rsidRDefault="00A83069" w:rsidP="00A83069">
            <w:pPr>
              <w:pStyle w:val="ListParagraph"/>
              <w:numPr>
                <w:ilvl w:val="0"/>
                <w:numId w:val="34"/>
              </w:numPr>
              <w:contextualSpacing w:val="0"/>
            </w:pPr>
            <w:r w:rsidRPr="00073574">
              <w:t xml:space="preserve">A BSG hands-on training was be offered to the delegates alongside SG13RG-AFR meeting at the end of March 2018 in Abidjan, Cote D’Ivoire. Additionally, SG13 has </w:t>
            </w:r>
            <w:r w:rsidR="00705CD1" w:rsidRPr="00073574">
              <w:t>organized several</w:t>
            </w:r>
            <w:r w:rsidRPr="00073574">
              <w:t xml:space="preserve"> BSG training</w:t>
            </w:r>
            <w:r w:rsidR="00705CD1" w:rsidRPr="00073574">
              <w:t>s</w:t>
            </w:r>
            <w:r w:rsidRPr="00073574">
              <w:t xml:space="preserve"> during collocated with the SG meetings.</w:t>
            </w:r>
          </w:p>
          <w:p w14:paraId="0B7BE90A" w14:textId="212E191C" w:rsidR="00705CD1" w:rsidRPr="00073574" w:rsidRDefault="00BB2B73" w:rsidP="00A83069">
            <w:pPr>
              <w:pStyle w:val="ListParagraph"/>
              <w:numPr>
                <w:ilvl w:val="0"/>
                <w:numId w:val="34"/>
              </w:numPr>
              <w:contextualSpacing w:val="0"/>
            </w:pPr>
            <w:r w:rsidRPr="00073574">
              <w:t xml:space="preserve">A BSG session was held on </w:t>
            </w:r>
            <w:r w:rsidR="00EF264D" w:rsidRPr="00073574">
              <w:t>27 January 2017 during the SG16 meeting (</w:t>
            </w:r>
            <w:r w:rsidR="00301303" w:rsidRPr="00073574">
              <w:t>16-</w:t>
            </w:r>
            <w:r w:rsidR="006E2238" w:rsidRPr="00073574">
              <w:t>27 January 2017)</w:t>
            </w:r>
            <w:r w:rsidR="00CD63AB" w:rsidRPr="00073574">
              <w:t xml:space="preserve"> in Geneva</w:t>
            </w:r>
            <w:r w:rsidR="006E2238" w:rsidRPr="00073574">
              <w:t>.</w:t>
            </w:r>
          </w:p>
          <w:p w14:paraId="5514D95D" w14:textId="5A2128A9" w:rsidR="006E2238" w:rsidRPr="00073574" w:rsidRDefault="000543F8" w:rsidP="00A83069">
            <w:pPr>
              <w:pStyle w:val="ListParagraph"/>
              <w:numPr>
                <w:ilvl w:val="0"/>
                <w:numId w:val="34"/>
              </w:numPr>
              <w:contextualSpacing w:val="0"/>
            </w:pPr>
            <w:r w:rsidRPr="00073574">
              <w:t xml:space="preserve">A joint BSG training was organized on </w:t>
            </w:r>
            <w:r w:rsidR="00D40FE8" w:rsidRPr="00073574">
              <w:t>7 February 2017 for SG11 and SG13</w:t>
            </w:r>
            <w:r w:rsidR="000123C1" w:rsidRPr="00073574">
              <w:t xml:space="preserve"> in Geneva, Switzerland</w:t>
            </w:r>
            <w:r w:rsidR="00D40FE8" w:rsidRPr="00073574">
              <w:t>.</w:t>
            </w:r>
            <w:r w:rsidR="00DB7ED0" w:rsidRPr="00073574">
              <w:t xml:space="preserve"> SG11RG-AFR and SG13RG-AFR held a joint BSG training </w:t>
            </w:r>
            <w:r w:rsidR="008E5FE3" w:rsidRPr="00073574">
              <w:t xml:space="preserve">in Cairo, Egypt on </w:t>
            </w:r>
            <w:r w:rsidR="00174ABC" w:rsidRPr="00073574">
              <w:t>3 April 2017.</w:t>
            </w:r>
          </w:p>
          <w:p w14:paraId="58E21FBC" w14:textId="6D1F5FBF" w:rsidR="00BA6778" w:rsidRPr="00073574" w:rsidRDefault="00126233" w:rsidP="009C289F">
            <w:pPr>
              <w:pStyle w:val="ListParagraph"/>
              <w:numPr>
                <w:ilvl w:val="0"/>
                <w:numId w:val="34"/>
              </w:numPr>
              <w:contextualSpacing w:val="0"/>
            </w:pPr>
            <w:r w:rsidRPr="00073574">
              <w:t>SG2RG-AMR and SG3RG-LAC organized a BSG training</w:t>
            </w:r>
            <w:r w:rsidR="003D4FE5" w:rsidRPr="00073574">
              <w:t xml:space="preserve"> during their meetings</w:t>
            </w:r>
            <w:r w:rsidR="008D6C0B" w:rsidRPr="00073574">
              <w:t>, 9-</w:t>
            </w:r>
            <w:r w:rsidR="003D4FE5" w:rsidRPr="00073574">
              <w:t>10 February 2017</w:t>
            </w:r>
            <w:r w:rsidR="00643C81" w:rsidRPr="00073574">
              <w:t xml:space="preserve"> in Trinidad &amp; T</w:t>
            </w:r>
            <w:r w:rsidR="0083372F" w:rsidRPr="00073574">
              <w:t>o</w:t>
            </w:r>
            <w:r w:rsidR="00643C81" w:rsidRPr="00073574">
              <w:t>bago</w:t>
            </w:r>
            <w:r w:rsidR="003D4FE5" w:rsidRPr="00073574">
              <w:t>.</w:t>
            </w:r>
            <w:r w:rsidR="00CD63AB" w:rsidRPr="00073574">
              <w:t xml:space="preserve"> SG2 held </w:t>
            </w:r>
            <w:r w:rsidR="00F92602" w:rsidRPr="00073574">
              <w:t xml:space="preserve">another </w:t>
            </w:r>
            <w:r w:rsidR="00CD63AB" w:rsidRPr="00073574">
              <w:t xml:space="preserve">BSG </w:t>
            </w:r>
            <w:r w:rsidR="001F35BE" w:rsidRPr="00073574">
              <w:t>session on 27 March 2017</w:t>
            </w:r>
            <w:r w:rsidR="00AE188A" w:rsidRPr="00073574">
              <w:t xml:space="preserve"> in Geneva, Switzerland.</w:t>
            </w:r>
          </w:p>
          <w:p w14:paraId="755BA7C4" w14:textId="4B7EE7B5" w:rsidR="00A72B5A" w:rsidRPr="00073574" w:rsidRDefault="00A72B5A" w:rsidP="00BD45BC">
            <w:pPr>
              <w:pStyle w:val="ListParagraph"/>
              <w:numPr>
                <w:ilvl w:val="0"/>
                <w:numId w:val="34"/>
              </w:numPr>
              <w:contextualSpacing w:val="0"/>
            </w:pPr>
            <w:r w:rsidRPr="00073574">
              <w:t>SG2</w:t>
            </w:r>
            <w:r w:rsidR="001A7392" w:rsidRPr="00073574">
              <w:t>RG-AFR and SG2RG-ARB held a BSG session on 6 December 2018</w:t>
            </w:r>
            <w:r w:rsidR="00406D90" w:rsidRPr="00073574">
              <w:t>, in Cairo, Egypt.</w:t>
            </w:r>
          </w:p>
          <w:p w14:paraId="6173BBDC" w14:textId="62C4DFB4" w:rsidR="00BA2521" w:rsidRPr="00073574" w:rsidRDefault="00500993" w:rsidP="00F92602">
            <w:pPr>
              <w:pStyle w:val="ListParagraph"/>
              <w:numPr>
                <w:ilvl w:val="0"/>
                <w:numId w:val="34"/>
              </w:numPr>
              <w:contextualSpacing w:val="0"/>
            </w:pPr>
            <w:r w:rsidRPr="00073574">
              <w:t>SG17 organized BSG training</w:t>
            </w:r>
            <w:r w:rsidR="003E77E2" w:rsidRPr="00073574">
              <w:t>s</w:t>
            </w:r>
            <w:r w:rsidRPr="00073574">
              <w:t xml:space="preserve"> </w:t>
            </w:r>
            <w:r w:rsidR="00BA2521" w:rsidRPr="00073574">
              <w:t>on 20 March 2017</w:t>
            </w:r>
            <w:r w:rsidR="006E7974" w:rsidRPr="00073574">
              <w:t xml:space="preserve"> </w:t>
            </w:r>
            <w:r w:rsidR="003E77E2" w:rsidRPr="00073574">
              <w:t xml:space="preserve">and </w:t>
            </w:r>
            <w:r w:rsidR="00474EBD" w:rsidRPr="00073574">
              <w:t xml:space="preserve">30 August 2017 </w:t>
            </w:r>
            <w:r w:rsidR="006E7974" w:rsidRPr="00073574">
              <w:t>in Geneva, Switzerland</w:t>
            </w:r>
            <w:r w:rsidR="00BA2521" w:rsidRPr="00073574">
              <w:t>.</w:t>
            </w:r>
          </w:p>
          <w:p w14:paraId="7D5D2741" w14:textId="07487F08" w:rsidR="00513B9E" w:rsidRPr="00073574" w:rsidRDefault="00513B9E" w:rsidP="00414D74">
            <w:pPr>
              <w:pStyle w:val="ListParagraph"/>
              <w:numPr>
                <w:ilvl w:val="0"/>
                <w:numId w:val="34"/>
              </w:numPr>
              <w:contextualSpacing w:val="0"/>
            </w:pPr>
            <w:r w:rsidRPr="00073574">
              <w:t xml:space="preserve">SG12 RG-AFR held a BSG session on </w:t>
            </w:r>
            <w:r w:rsidR="007A0D14" w:rsidRPr="00073574">
              <w:t xml:space="preserve">27 July </w:t>
            </w:r>
            <w:r w:rsidR="006E7974" w:rsidRPr="00073574">
              <w:t xml:space="preserve">2017 in </w:t>
            </w:r>
            <w:r w:rsidR="009415DF" w:rsidRPr="00073574">
              <w:t>Johannesburg, South Africa.</w:t>
            </w:r>
            <w:r w:rsidR="00132489" w:rsidRPr="00073574">
              <w:t xml:space="preserve"> SG12 also organized a BSG training in Geneva, Switzerland on 20 September 2017.</w:t>
            </w:r>
          </w:p>
          <w:p w14:paraId="08A4909D" w14:textId="13CA1AA9" w:rsidR="00CC2175" w:rsidRPr="00073574" w:rsidRDefault="00CC2175" w:rsidP="002E241A">
            <w:pPr>
              <w:pStyle w:val="ListParagraph"/>
              <w:numPr>
                <w:ilvl w:val="0"/>
                <w:numId w:val="34"/>
              </w:numPr>
              <w:ind w:left="357" w:hanging="357"/>
              <w:contextualSpacing w:val="0"/>
            </w:pPr>
            <w:r w:rsidRPr="00073574">
              <w:t xml:space="preserve">BSG training sessions were organized during the SG3RG-AO meeting held in Xi’an, China, 28-31 August 2018; </w:t>
            </w:r>
            <w:r w:rsidR="003859CA" w:rsidRPr="00073574">
              <w:t>during the</w:t>
            </w:r>
            <w:r w:rsidR="00FF4E84" w:rsidRPr="00073574">
              <w:t xml:space="preserve"> </w:t>
            </w:r>
            <w:r w:rsidR="003859CA" w:rsidRPr="00073574">
              <w:t xml:space="preserve">SG3RG-AFR meeting held in Antananarivo, Madagascar, 18-22 February 2019; </w:t>
            </w:r>
            <w:r w:rsidR="00F34E11" w:rsidRPr="00073574">
              <w:t>SG3RG-LAC meeting held in Managua, Nicaragua, 25-29 March 2019</w:t>
            </w:r>
            <w:r w:rsidR="006D5F62" w:rsidRPr="00073574">
              <w:t>; and</w:t>
            </w:r>
            <w:r w:rsidR="00B07F67" w:rsidRPr="00073574">
              <w:t xml:space="preserve"> SG3RG-AO</w:t>
            </w:r>
            <w:r w:rsidR="00735DB3" w:rsidRPr="00073574">
              <w:t xml:space="preserve"> meeting </w:t>
            </w:r>
            <w:r w:rsidR="00EA57A9" w:rsidRPr="00073574">
              <w:t xml:space="preserve">held </w:t>
            </w:r>
            <w:r w:rsidR="00735DB3" w:rsidRPr="00073574">
              <w:t>in Colombo, Sri-Lanka</w:t>
            </w:r>
            <w:r w:rsidR="00EA57A9" w:rsidRPr="00073574">
              <w:t>, 2-4 October 2019</w:t>
            </w:r>
            <w:r w:rsidR="00F34E11" w:rsidRPr="00073574">
              <w:t>.</w:t>
            </w:r>
          </w:p>
          <w:p w14:paraId="18289AD2" w14:textId="38D8C3DD" w:rsidR="00EA4BD5" w:rsidRPr="00073574" w:rsidRDefault="00EA4BD5" w:rsidP="00BD45BC">
            <w:pPr>
              <w:pStyle w:val="ListParagraph"/>
              <w:numPr>
                <w:ilvl w:val="0"/>
                <w:numId w:val="34"/>
              </w:numPr>
              <w:ind w:left="357" w:hanging="357"/>
              <w:contextualSpacing w:val="0"/>
            </w:pPr>
            <w:r w:rsidRPr="00073574">
              <w:lastRenderedPageBreak/>
              <w:t xml:space="preserve">SG20 organized a </w:t>
            </w:r>
            <w:hyperlink r:id="rId328" w:tgtFrame="_blank" w:history="1">
              <w:r w:rsidRPr="00073574">
                <w:rPr>
                  <w:rStyle w:val="Hyperlink"/>
                  <w:szCs w:val="22"/>
                </w:rPr>
                <w:t>Training on Key performance indicators for smart sustainable cities to achieve the SDGs</w:t>
              </w:r>
            </w:hyperlink>
            <w:r w:rsidRPr="00073574">
              <w:rPr>
                <w:rStyle w:val="Hyperlink"/>
                <w:szCs w:val="22"/>
              </w:rPr>
              <w:t xml:space="preserve"> </w:t>
            </w:r>
            <w:r w:rsidRPr="00073574">
              <w:t>on 27 February 2019 in Minsk, Belarus.</w:t>
            </w:r>
            <w:r w:rsidR="00AD0260" w:rsidRPr="00073574">
              <w:t xml:space="preserve"> Additionally, SG20 organized a BSG training on </w:t>
            </w:r>
            <w:r w:rsidR="007E2986" w:rsidRPr="00073574">
              <w:t>12 September 2017 in Geneva, Switzerland.</w:t>
            </w:r>
          </w:p>
          <w:p w14:paraId="74CB44F9" w14:textId="765CB083" w:rsidR="00E844E6" w:rsidRPr="00073574" w:rsidRDefault="008A6EA4" w:rsidP="002E241A">
            <w:pPr>
              <w:pStyle w:val="ListParagraph"/>
              <w:numPr>
                <w:ilvl w:val="0"/>
                <w:numId w:val="34"/>
              </w:numPr>
              <w:ind w:left="357" w:hanging="357"/>
              <w:contextualSpacing w:val="0"/>
            </w:pPr>
            <w:r w:rsidRPr="00073574">
              <w:t xml:space="preserve">An </w:t>
            </w:r>
            <w:r w:rsidR="00E844E6" w:rsidRPr="00073574">
              <w:t>ITU-T Leadership training was provided during the April 2019 SG3 meeting.</w:t>
            </w:r>
          </w:p>
          <w:p w14:paraId="7C8176E6" w14:textId="5E7A1E29" w:rsidR="00932991" w:rsidRPr="00073574" w:rsidRDefault="00932991" w:rsidP="002E241A">
            <w:pPr>
              <w:pStyle w:val="ListParagraph"/>
              <w:numPr>
                <w:ilvl w:val="0"/>
                <w:numId w:val="34"/>
              </w:numPr>
              <w:ind w:left="357" w:hanging="357"/>
              <w:contextualSpacing w:val="0"/>
            </w:pPr>
            <w:r w:rsidRPr="00073574">
              <w:t>A two-day Interregional Arab-African Hands-on training on BSG was held in Dubai, United Arab Emirates on 19-20 October 2019. This training was in conjunction of the third meeting of ITU-T SG3 Regional Group for the Arab Region (SG3RG-ARB), as well as the meetings of ITU-T SG2 Regional Group for Africa (SG2RG-AFR) and ITU-T SG2 Regional Group for the Arab Region (SG2RG-ARB). This training was attended by 49 delegates from 21 countries.</w:t>
            </w:r>
          </w:p>
          <w:p w14:paraId="2D67E113" w14:textId="059E3534" w:rsidR="00103C8C" w:rsidRPr="00073574" w:rsidRDefault="00F0236A" w:rsidP="002E241A">
            <w:pPr>
              <w:pStyle w:val="ListParagraph"/>
              <w:numPr>
                <w:ilvl w:val="0"/>
                <w:numId w:val="34"/>
              </w:numPr>
              <w:ind w:left="357" w:hanging="357"/>
              <w:contextualSpacing w:val="0"/>
            </w:pPr>
            <w:r w:rsidRPr="00073574">
              <w:t xml:space="preserve">SG5 </w:t>
            </w:r>
            <w:r w:rsidR="00103C8C" w:rsidRPr="00073574">
              <w:t>held</w:t>
            </w:r>
            <w:r w:rsidRPr="00073574">
              <w:t xml:space="preserve"> a one-day Bridging the Standardization Gap (BSG) Hands on Training session on 16 May 2017 during the SG5 meeting.</w:t>
            </w:r>
            <w:r w:rsidR="00C203CF" w:rsidRPr="00073574">
              <w:t xml:space="preserve"> A half-day BSG training was </w:t>
            </w:r>
            <w:r w:rsidR="00134047" w:rsidRPr="00073574">
              <w:t xml:space="preserve">co-organized </w:t>
            </w:r>
            <w:r w:rsidR="00DE50BF" w:rsidRPr="00073574">
              <w:t xml:space="preserve">in Abuja, Nigeria </w:t>
            </w:r>
            <w:r w:rsidR="00134047" w:rsidRPr="00073574">
              <w:t>on 27 August 2019, in collocation with SG5-RG-AFR and SG20-AFR.</w:t>
            </w:r>
          </w:p>
          <w:p w14:paraId="3EAD3E68" w14:textId="7758E37D" w:rsidR="00DE50BF" w:rsidRPr="00073574" w:rsidRDefault="001B1A10" w:rsidP="002E241A">
            <w:pPr>
              <w:pStyle w:val="ListParagraph"/>
              <w:numPr>
                <w:ilvl w:val="0"/>
                <w:numId w:val="34"/>
              </w:numPr>
              <w:ind w:left="357" w:hanging="357"/>
              <w:contextualSpacing w:val="0"/>
            </w:pPr>
            <w:r w:rsidRPr="00073574">
              <w:t>A BSG training was organized</w:t>
            </w:r>
            <w:r w:rsidR="000D6BB5" w:rsidRPr="00073574">
              <w:t xml:space="preserve"> on 12 September 2</w:t>
            </w:r>
            <w:r w:rsidR="003F2094" w:rsidRPr="00073574">
              <w:t>019</w:t>
            </w:r>
            <w:r w:rsidRPr="00073574">
              <w:t xml:space="preserve"> in </w:t>
            </w:r>
            <w:r w:rsidR="000D6BB5" w:rsidRPr="00073574">
              <w:t>El Salvador i</w:t>
            </w:r>
            <w:r w:rsidR="005F4991" w:rsidRPr="00073574">
              <w:t>n collocation with SG20-RG-LATAM.</w:t>
            </w:r>
          </w:p>
          <w:p w14:paraId="56B42EFF" w14:textId="7C008FF6" w:rsidR="00A83069" w:rsidRPr="00073574" w:rsidRDefault="00A83069" w:rsidP="002E241A">
            <w:pPr>
              <w:pStyle w:val="ListParagraph"/>
              <w:numPr>
                <w:ilvl w:val="0"/>
                <w:numId w:val="34"/>
              </w:numPr>
              <w:ind w:left="357" w:hanging="357"/>
              <w:contextualSpacing w:val="0"/>
            </w:pPr>
            <w:r w:rsidRPr="00073574">
              <w:t xml:space="preserve">A </w:t>
            </w:r>
            <w:r w:rsidR="00EA4BD5" w:rsidRPr="00073574">
              <w:t xml:space="preserve">BSG session was held during </w:t>
            </w:r>
            <w:r w:rsidR="005750FF" w:rsidRPr="00073574">
              <w:t xml:space="preserve">the SG11RG-AFR meeting </w:t>
            </w:r>
            <w:r w:rsidR="00B311DE" w:rsidRPr="00073574">
              <w:t>(</w:t>
            </w:r>
            <w:r w:rsidR="00834377" w:rsidRPr="00073574">
              <w:t>30 September-2 October 2019</w:t>
            </w:r>
            <w:r w:rsidR="00B311DE" w:rsidRPr="00073574">
              <w:t>)</w:t>
            </w:r>
            <w:r w:rsidR="005750FF" w:rsidRPr="00073574">
              <w:t xml:space="preserve"> in </w:t>
            </w:r>
            <w:r w:rsidR="000A0793" w:rsidRPr="00073574">
              <w:t>Tunis.</w:t>
            </w:r>
            <w:r w:rsidR="00F9081E" w:rsidRPr="00073574">
              <w:t xml:space="preserve"> Furthermore</w:t>
            </w:r>
            <w:r w:rsidR="00C039CE" w:rsidRPr="00073574">
              <w:t>,</w:t>
            </w:r>
            <w:r w:rsidR="00F9081E" w:rsidRPr="00073574">
              <w:t xml:space="preserve"> SG11 organized a</w:t>
            </w:r>
            <w:r w:rsidR="00BC7638" w:rsidRPr="00073574">
              <w:t xml:space="preserve"> joint BSG session with SG13 on 8 November 2017</w:t>
            </w:r>
            <w:r w:rsidR="00285885" w:rsidRPr="00073574">
              <w:t xml:space="preserve"> </w:t>
            </w:r>
            <w:r w:rsidR="00C80C2C" w:rsidRPr="00073574">
              <w:t>and another</w:t>
            </w:r>
            <w:r w:rsidR="00F9081E" w:rsidRPr="00073574">
              <w:t xml:space="preserve"> half-day BSG session on 25 November 2019</w:t>
            </w:r>
            <w:r w:rsidR="00B56BB2" w:rsidRPr="00073574">
              <w:t xml:space="preserve"> in Geneva, Switzerland</w:t>
            </w:r>
            <w:r w:rsidR="00F9081E" w:rsidRPr="00073574">
              <w:t>.</w:t>
            </w:r>
          </w:p>
          <w:p w14:paraId="10EB1C20" w14:textId="3CA323DA" w:rsidR="00F0236A" w:rsidRPr="00073574" w:rsidRDefault="004E113B" w:rsidP="009D02CE">
            <w:pPr>
              <w:pStyle w:val="ListParagraph"/>
              <w:numPr>
                <w:ilvl w:val="0"/>
                <w:numId w:val="34"/>
              </w:numPr>
              <w:spacing w:after="40"/>
              <w:ind w:left="357" w:hanging="357"/>
              <w:contextualSpacing w:val="0"/>
            </w:pPr>
            <w:r w:rsidRPr="00073574">
              <w:t>In light of the ongoing COVID-19 pandemic,</w:t>
            </w:r>
            <w:r w:rsidR="00B05BA1" w:rsidRPr="00073574">
              <w:t xml:space="preserve"> BSG trainings are being conducted virtually in collocation with online Study Group Meetings and Regional Group Meetings. </w:t>
            </w:r>
            <w:r w:rsidR="00FA403C" w:rsidRPr="00073574">
              <w:t>Between March 2020 to November 2021,</w:t>
            </w:r>
            <w:r w:rsidR="00C21B8A" w:rsidRPr="00073574">
              <w:t xml:space="preserve"> 14 virtual BSG trainings have been organized for 3</w:t>
            </w:r>
            <w:r w:rsidR="00EE033C" w:rsidRPr="00073574">
              <w:t>54 delegates from</w:t>
            </w:r>
            <w:r w:rsidR="00A756A9" w:rsidRPr="00073574">
              <w:t xml:space="preserve"> 40 countries and 56 organizations.</w:t>
            </w:r>
          </w:p>
        </w:tc>
      </w:tr>
      <w:tr w:rsidR="00F0236A" w:rsidRPr="00073574" w14:paraId="4D20E533" w14:textId="77777777" w:rsidTr="4D78197E">
        <w:trPr>
          <w:jc w:val="center"/>
        </w:trPr>
        <w:tc>
          <w:tcPr>
            <w:tcW w:w="896" w:type="dxa"/>
            <w:vMerge w:val="restart"/>
            <w:tcBorders>
              <w:top w:val="single" w:sz="12" w:space="0" w:color="auto"/>
              <w:left w:val="single" w:sz="12" w:space="0" w:color="auto"/>
              <w:right w:val="single" w:sz="4" w:space="0" w:color="auto"/>
            </w:tcBorders>
            <w:shd w:val="clear" w:color="auto" w:fill="auto"/>
          </w:tcPr>
          <w:p w14:paraId="4A14CFE9" w14:textId="77777777" w:rsidR="00F0236A" w:rsidRPr="00073574" w:rsidRDefault="00F0236A" w:rsidP="00C152C0">
            <w:pPr>
              <w:pStyle w:val="Tabletext"/>
              <w:keepNext/>
              <w:keepLines/>
              <w:rPr>
                <w:b/>
                <w:bCs/>
                <w:sz w:val="24"/>
                <w:szCs w:val="24"/>
              </w:rPr>
            </w:pPr>
            <w:r w:rsidRPr="00073574">
              <w:rPr>
                <w:b/>
                <w:bCs/>
                <w:sz w:val="24"/>
                <w:szCs w:val="24"/>
              </w:rPr>
              <w:lastRenderedPageBreak/>
              <w:t>44-29</w:t>
            </w:r>
          </w:p>
        </w:tc>
        <w:tc>
          <w:tcPr>
            <w:tcW w:w="4512" w:type="dxa"/>
            <w:tcBorders>
              <w:top w:val="single" w:sz="12" w:space="0" w:color="auto"/>
              <w:left w:val="single" w:sz="4" w:space="0" w:color="auto"/>
              <w:bottom w:val="single" w:sz="4" w:space="0" w:color="auto"/>
              <w:right w:val="single" w:sz="4" w:space="0" w:color="auto"/>
            </w:tcBorders>
            <w:shd w:val="clear" w:color="auto" w:fill="auto"/>
          </w:tcPr>
          <w:p w14:paraId="1B78F10B" w14:textId="77777777" w:rsidR="00F0236A" w:rsidRPr="00073574" w:rsidRDefault="00F0236A" w:rsidP="00DF36E1">
            <w:pPr>
              <w:pStyle w:val="Tabletext"/>
              <w:rPr>
                <w:b/>
                <w:bCs/>
                <w:sz w:val="24"/>
                <w:szCs w:val="24"/>
              </w:rPr>
            </w:pPr>
            <w:r w:rsidRPr="00073574">
              <w:rPr>
                <w:b/>
                <w:bCs/>
                <w:sz w:val="24"/>
                <w:szCs w:val="24"/>
              </w:rPr>
              <w:t>Organizing in-depth tutorials on implementation of ITU-T Recommendations. (i. TSBDir 13)</w:t>
            </w:r>
          </w:p>
        </w:tc>
        <w:tc>
          <w:tcPr>
            <w:tcW w:w="1637" w:type="dxa"/>
            <w:tcBorders>
              <w:top w:val="single" w:sz="12" w:space="0" w:color="auto"/>
              <w:left w:val="single" w:sz="4" w:space="0" w:color="auto"/>
              <w:bottom w:val="single" w:sz="4" w:space="0" w:color="auto"/>
              <w:right w:val="single" w:sz="4" w:space="0" w:color="auto"/>
            </w:tcBorders>
            <w:shd w:val="clear" w:color="auto" w:fill="auto"/>
            <w:vAlign w:val="center"/>
          </w:tcPr>
          <w:p w14:paraId="09C3ECD8"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29" w:type="dxa"/>
            <w:tcBorders>
              <w:top w:val="single" w:sz="12" w:space="0" w:color="auto"/>
              <w:left w:val="single" w:sz="4" w:space="0" w:color="auto"/>
              <w:bottom w:val="single" w:sz="4" w:space="0" w:color="auto"/>
              <w:right w:val="single" w:sz="4" w:space="0" w:color="auto"/>
            </w:tcBorders>
            <w:shd w:val="clear" w:color="auto" w:fill="auto"/>
            <w:vAlign w:val="center"/>
          </w:tcPr>
          <w:p w14:paraId="3C61D6A3" w14:textId="77777777" w:rsidR="00F0236A" w:rsidRPr="00073574" w:rsidRDefault="00F0236A" w:rsidP="00DF36E1">
            <w:pPr>
              <w:pStyle w:val="Tabletext"/>
              <w:jc w:val="center"/>
              <w:rPr>
                <w:b/>
                <w:bCs/>
                <w:sz w:val="24"/>
                <w:szCs w:val="24"/>
              </w:rPr>
            </w:pPr>
            <w:r w:rsidRPr="00073574">
              <w:rPr>
                <w:b/>
                <w:bCs/>
                <w:sz w:val="24"/>
                <w:szCs w:val="24"/>
              </w:rPr>
              <w:t>√</w:t>
            </w:r>
          </w:p>
        </w:tc>
        <w:tc>
          <w:tcPr>
            <w:tcW w:w="1348"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1073FF96" w14:textId="77777777" w:rsidR="00F0236A" w:rsidRPr="00073574" w:rsidRDefault="00F0236A" w:rsidP="00DF36E1">
            <w:pPr>
              <w:pStyle w:val="Tabletext"/>
              <w:jc w:val="center"/>
              <w:rPr>
                <w:b/>
                <w:bCs/>
                <w:sz w:val="24"/>
                <w:szCs w:val="24"/>
              </w:rPr>
            </w:pPr>
          </w:p>
        </w:tc>
      </w:tr>
      <w:tr w:rsidR="00F0236A" w:rsidRPr="00073574" w14:paraId="51F7A731" w14:textId="77777777" w:rsidTr="4D78197E">
        <w:trPr>
          <w:jc w:val="center"/>
        </w:trPr>
        <w:tc>
          <w:tcPr>
            <w:tcW w:w="896" w:type="dxa"/>
            <w:vMerge/>
          </w:tcPr>
          <w:p w14:paraId="0205A8DA" w14:textId="77777777" w:rsidR="00F0236A" w:rsidRPr="00073574" w:rsidRDefault="00F0236A" w:rsidP="00DF36E1">
            <w:pPr>
              <w:pStyle w:val="Tabletext"/>
              <w:rPr>
                <w:sz w:val="24"/>
                <w:szCs w:val="24"/>
              </w:rPr>
            </w:pPr>
          </w:p>
        </w:tc>
        <w:tc>
          <w:tcPr>
            <w:tcW w:w="8626" w:type="dxa"/>
            <w:gridSpan w:val="5"/>
            <w:tcBorders>
              <w:top w:val="single" w:sz="4" w:space="0" w:color="auto"/>
              <w:left w:val="single" w:sz="4" w:space="0" w:color="auto"/>
              <w:bottom w:val="single" w:sz="12" w:space="0" w:color="auto"/>
              <w:right w:val="single" w:sz="12" w:space="0" w:color="auto"/>
            </w:tcBorders>
            <w:shd w:val="clear" w:color="auto" w:fill="auto"/>
          </w:tcPr>
          <w:p w14:paraId="08E6A56C" w14:textId="676549E1" w:rsidR="00F0236A" w:rsidRPr="00073574" w:rsidRDefault="00F0236A" w:rsidP="00284A2E">
            <w:pPr>
              <w:spacing w:before="40" w:after="40"/>
            </w:pPr>
            <w:r w:rsidRPr="00073574">
              <w:t>A structured training course has been developed by TSB to provide guidelines on submitting effective proposals to Study Groups and navigating the international standards-making process. Since January 2016, 1</w:t>
            </w:r>
            <w:r w:rsidR="005E26FE" w:rsidRPr="00073574">
              <w:t>5</w:t>
            </w:r>
            <w:r w:rsidRPr="00073574">
              <w:t xml:space="preserve"> hands-on training courses on effectiveness in standards-making at ITU were conducted in Geneva for delegates of ITU-T SG2, SG9, SG11, SG12, SG13, SG16 and SG17</w:t>
            </w:r>
            <w:r w:rsidR="00DB1F44" w:rsidRPr="00073574">
              <w:t xml:space="preserve">. Additionally, </w:t>
            </w:r>
            <w:r w:rsidRPr="00073574">
              <w:t xml:space="preserve">on-site </w:t>
            </w:r>
            <w:r w:rsidR="00DB1F44" w:rsidRPr="00073574">
              <w:t xml:space="preserve">trainings were also conducted </w:t>
            </w:r>
            <w:r w:rsidRPr="00073574">
              <w:t>in Tunisia and in India, during which 114 delegates participated, from 29 countries and 60 different organizations.</w:t>
            </w:r>
          </w:p>
          <w:p w14:paraId="7ED41A1D" w14:textId="77777777" w:rsidR="00F0236A" w:rsidRPr="00073574" w:rsidRDefault="4BE81B4C" w:rsidP="539711DF">
            <w:pPr>
              <w:spacing w:before="40" w:after="40"/>
              <w:rPr>
                <w:rFonts w:eastAsia="Times New Roman"/>
              </w:rPr>
            </w:pPr>
            <w:r w:rsidRPr="00073574">
              <w:rPr>
                <w:rFonts w:eastAsia="Times New Roman"/>
              </w:rPr>
              <w:t>SG17 maintains Technical Report ‘Successful use of security standards’. SG17 organized a BSG session in each SG17 meeting in 2017-2018. SG17 organizes a set of tutorials at each of its meetings with a variety of presenters both inside and outside the ITU. SG17 organized a series of ITU workshops on security aspects of new emerging technologies and applications, such as Blockchain (Mar</w:t>
            </w:r>
            <w:r w:rsidR="0051489A" w:rsidRPr="00073574">
              <w:rPr>
                <w:rFonts w:eastAsia="Times New Roman"/>
              </w:rPr>
              <w:t>ch</w:t>
            </w:r>
            <w:r w:rsidRPr="00073574">
              <w:rPr>
                <w:rFonts w:eastAsia="Times New Roman"/>
              </w:rPr>
              <w:t xml:space="preserve"> 2017), ITS (Aug</w:t>
            </w:r>
            <w:r w:rsidR="00C24BB6" w:rsidRPr="00073574">
              <w:rPr>
                <w:rFonts w:eastAsia="Times New Roman"/>
              </w:rPr>
              <w:t>ust</w:t>
            </w:r>
            <w:r w:rsidRPr="00073574">
              <w:rPr>
                <w:rFonts w:eastAsia="Times New Roman"/>
              </w:rPr>
              <w:t xml:space="preserve"> 2017), 5G security (Mar</w:t>
            </w:r>
            <w:r w:rsidR="0051489A" w:rsidRPr="00073574">
              <w:rPr>
                <w:rFonts w:eastAsia="Times New Roman"/>
              </w:rPr>
              <w:t xml:space="preserve">ch </w:t>
            </w:r>
            <w:r w:rsidRPr="00073574">
              <w:rPr>
                <w:rFonts w:eastAsia="Times New Roman"/>
              </w:rPr>
              <w:t>2018), Advanced Cybersecurity Attacks and Ransomware (Aug</w:t>
            </w:r>
            <w:r w:rsidR="00C24BB6" w:rsidRPr="00073574">
              <w:rPr>
                <w:rFonts w:eastAsia="Times New Roman"/>
              </w:rPr>
              <w:t>ust</w:t>
            </w:r>
            <w:r w:rsidRPr="00073574">
              <w:rPr>
                <w:rFonts w:eastAsia="Times New Roman"/>
              </w:rPr>
              <w:t xml:space="preserve"> 2018), AI/Machine learning (Jan</w:t>
            </w:r>
            <w:r w:rsidR="0051489A" w:rsidRPr="00073574">
              <w:rPr>
                <w:rFonts w:eastAsia="Times New Roman"/>
              </w:rPr>
              <w:t>uary</w:t>
            </w:r>
            <w:r w:rsidRPr="00073574">
              <w:rPr>
                <w:rFonts w:eastAsia="Times New Roman"/>
              </w:rPr>
              <w:t xml:space="preserve"> 2019) and Fintech (Aug</w:t>
            </w:r>
            <w:r w:rsidR="0051489A" w:rsidRPr="00073574">
              <w:rPr>
                <w:rFonts w:eastAsia="Times New Roman"/>
              </w:rPr>
              <w:t>ust</w:t>
            </w:r>
            <w:r w:rsidRPr="00073574">
              <w:rPr>
                <w:rFonts w:eastAsia="Times New Roman"/>
              </w:rPr>
              <w:t xml:space="preserve"> 2019).</w:t>
            </w:r>
          </w:p>
          <w:p w14:paraId="2E2B6613" w14:textId="51CB1441" w:rsidR="00F0236A" w:rsidRPr="00073574" w:rsidRDefault="00633EDE" w:rsidP="539711DF">
            <w:pPr>
              <w:spacing w:before="40" w:after="40"/>
              <w:rPr>
                <w:rFonts w:eastAsia="Times New Roman"/>
                <w:szCs w:val="22"/>
              </w:rPr>
            </w:pPr>
            <w:r w:rsidRPr="00073574">
              <w:rPr>
                <w:rFonts w:eastAsia="Times New Roman"/>
                <w:szCs w:val="22"/>
              </w:rPr>
              <w:t xml:space="preserve">A BSG-related session on ITU-T Approval Processes on regional Recommendations and on the ITU-T A.5 qualification and justification process was </w:t>
            </w:r>
            <w:r w:rsidR="006B53C8" w:rsidRPr="00073574">
              <w:rPr>
                <w:rFonts w:eastAsia="Times New Roman"/>
                <w:szCs w:val="22"/>
              </w:rPr>
              <w:t>d</w:t>
            </w:r>
            <w:r w:rsidRPr="00073574">
              <w:rPr>
                <w:rFonts w:eastAsia="Times New Roman"/>
                <w:szCs w:val="22"/>
              </w:rPr>
              <w:t>e</w:t>
            </w:r>
            <w:r w:rsidR="006B53C8" w:rsidRPr="00073574">
              <w:rPr>
                <w:rFonts w:eastAsia="Times New Roman"/>
                <w:szCs w:val="22"/>
              </w:rPr>
              <w:t>livered</w:t>
            </w:r>
            <w:r w:rsidRPr="00073574">
              <w:rPr>
                <w:rFonts w:eastAsia="Times New Roman"/>
                <w:szCs w:val="22"/>
              </w:rPr>
              <w:t xml:space="preserve"> during the SG3RG-AFR virtual meeting during 6-10 July 2020.</w:t>
            </w:r>
          </w:p>
        </w:tc>
      </w:tr>
      <w:tr w:rsidR="00F0236A" w:rsidRPr="00073574" w14:paraId="64538268" w14:textId="77777777" w:rsidTr="4D78197E">
        <w:trPr>
          <w:jc w:val="center"/>
        </w:trPr>
        <w:tc>
          <w:tcPr>
            <w:tcW w:w="896" w:type="dxa"/>
            <w:vMerge w:val="restart"/>
            <w:tcBorders>
              <w:top w:val="single" w:sz="12" w:space="0" w:color="auto"/>
              <w:left w:val="single" w:sz="12" w:space="0" w:color="auto"/>
              <w:right w:val="single" w:sz="4" w:space="0" w:color="auto"/>
            </w:tcBorders>
            <w:shd w:val="clear" w:color="auto" w:fill="auto"/>
          </w:tcPr>
          <w:p w14:paraId="24D5EDCD" w14:textId="77777777" w:rsidR="00F0236A" w:rsidRPr="00073574" w:rsidRDefault="00F0236A" w:rsidP="00E87C0E">
            <w:pPr>
              <w:pStyle w:val="Tabletext"/>
              <w:keepNext/>
              <w:keepLines/>
              <w:rPr>
                <w:b/>
                <w:bCs/>
                <w:sz w:val="24"/>
                <w:szCs w:val="24"/>
              </w:rPr>
            </w:pPr>
            <w:r w:rsidRPr="00073574">
              <w:rPr>
                <w:b/>
                <w:bCs/>
                <w:sz w:val="24"/>
                <w:szCs w:val="24"/>
              </w:rPr>
              <w:lastRenderedPageBreak/>
              <w:t>44-30</w:t>
            </w:r>
          </w:p>
        </w:tc>
        <w:tc>
          <w:tcPr>
            <w:tcW w:w="4512" w:type="dxa"/>
            <w:tcBorders>
              <w:top w:val="single" w:sz="12" w:space="0" w:color="auto"/>
              <w:left w:val="single" w:sz="4" w:space="0" w:color="auto"/>
              <w:bottom w:val="single" w:sz="4" w:space="0" w:color="auto"/>
              <w:right w:val="single" w:sz="4" w:space="0" w:color="auto"/>
            </w:tcBorders>
            <w:shd w:val="clear" w:color="auto" w:fill="auto"/>
          </w:tcPr>
          <w:p w14:paraId="3E1093A3" w14:textId="77777777" w:rsidR="00F0236A" w:rsidRPr="00073574" w:rsidRDefault="00F0236A" w:rsidP="00DF36E1">
            <w:pPr>
              <w:pStyle w:val="Tabletext"/>
              <w:rPr>
                <w:b/>
                <w:bCs/>
                <w:sz w:val="24"/>
                <w:szCs w:val="24"/>
              </w:rPr>
            </w:pPr>
            <w:r w:rsidRPr="00073574">
              <w:rPr>
                <w:b/>
                <w:bCs/>
                <w:sz w:val="24"/>
                <w:szCs w:val="24"/>
              </w:rPr>
              <w:t>Provision, by the TSB, of fellowships to eligible countries to attend relevant ITU-T meetings.</w:t>
            </w:r>
          </w:p>
        </w:tc>
        <w:tc>
          <w:tcPr>
            <w:tcW w:w="1637" w:type="dxa"/>
            <w:tcBorders>
              <w:top w:val="single" w:sz="12" w:space="0" w:color="auto"/>
              <w:left w:val="single" w:sz="4" w:space="0" w:color="auto"/>
              <w:bottom w:val="single" w:sz="4" w:space="0" w:color="auto"/>
              <w:right w:val="single" w:sz="4" w:space="0" w:color="auto"/>
            </w:tcBorders>
            <w:shd w:val="clear" w:color="auto" w:fill="auto"/>
            <w:vAlign w:val="center"/>
          </w:tcPr>
          <w:p w14:paraId="1CFC969B"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29" w:type="dxa"/>
            <w:tcBorders>
              <w:top w:val="single" w:sz="12" w:space="0" w:color="auto"/>
              <w:left w:val="single" w:sz="4" w:space="0" w:color="auto"/>
              <w:bottom w:val="single" w:sz="4" w:space="0" w:color="auto"/>
              <w:right w:val="single" w:sz="4" w:space="0" w:color="auto"/>
            </w:tcBorders>
            <w:shd w:val="clear" w:color="auto" w:fill="auto"/>
            <w:vAlign w:val="center"/>
          </w:tcPr>
          <w:p w14:paraId="212A693D" w14:textId="77777777" w:rsidR="00F0236A" w:rsidRPr="00073574" w:rsidRDefault="00F0236A" w:rsidP="00DF36E1">
            <w:pPr>
              <w:pStyle w:val="Tabletext"/>
              <w:jc w:val="center"/>
              <w:rPr>
                <w:b/>
                <w:bCs/>
                <w:sz w:val="24"/>
                <w:szCs w:val="24"/>
              </w:rPr>
            </w:pPr>
            <w:r w:rsidRPr="00073574">
              <w:rPr>
                <w:b/>
                <w:bCs/>
                <w:sz w:val="24"/>
                <w:szCs w:val="24"/>
              </w:rPr>
              <w:t>√</w:t>
            </w:r>
          </w:p>
        </w:tc>
        <w:tc>
          <w:tcPr>
            <w:tcW w:w="1348"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73141416" w14:textId="77777777" w:rsidR="00F0236A" w:rsidRPr="00073574" w:rsidRDefault="00F0236A" w:rsidP="00DF36E1">
            <w:pPr>
              <w:pStyle w:val="Tabletext"/>
              <w:jc w:val="center"/>
              <w:rPr>
                <w:b/>
                <w:bCs/>
                <w:sz w:val="24"/>
                <w:szCs w:val="24"/>
              </w:rPr>
            </w:pPr>
          </w:p>
        </w:tc>
      </w:tr>
      <w:tr w:rsidR="00F0236A" w:rsidRPr="00073574" w14:paraId="36886991" w14:textId="77777777" w:rsidTr="4D78197E">
        <w:trPr>
          <w:trHeight w:val="1109"/>
          <w:jc w:val="center"/>
        </w:trPr>
        <w:tc>
          <w:tcPr>
            <w:tcW w:w="896" w:type="dxa"/>
            <w:vMerge/>
          </w:tcPr>
          <w:p w14:paraId="72BEB7B4" w14:textId="77777777" w:rsidR="00F0236A" w:rsidRPr="00073574" w:rsidRDefault="00F0236A" w:rsidP="00DF36E1">
            <w:pPr>
              <w:pStyle w:val="Tabletext"/>
              <w:rPr>
                <w:sz w:val="24"/>
                <w:szCs w:val="24"/>
              </w:rPr>
            </w:pPr>
          </w:p>
        </w:tc>
        <w:tc>
          <w:tcPr>
            <w:tcW w:w="8626" w:type="dxa"/>
            <w:gridSpan w:val="5"/>
            <w:tcBorders>
              <w:top w:val="single" w:sz="4" w:space="0" w:color="auto"/>
              <w:left w:val="single" w:sz="4" w:space="0" w:color="auto"/>
              <w:bottom w:val="single" w:sz="12" w:space="0" w:color="auto"/>
              <w:right w:val="single" w:sz="12" w:space="0" w:color="auto"/>
            </w:tcBorders>
            <w:shd w:val="clear" w:color="auto" w:fill="auto"/>
          </w:tcPr>
          <w:p w14:paraId="199A721F" w14:textId="3040BBD0" w:rsidR="00F0236A" w:rsidRPr="00073574" w:rsidRDefault="00F0236A" w:rsidP="002E241A">
            <w:pPr>
              <w:pStyle w:val="ListParagraph"/>
              <w:numPr>
                <w:ilvl w:val="0"/>
                <w:numId w:val="49"/>
              </w:numPr>
              <w:spacing w:before="40" w:after="120"/>
              <w:ind w:left="357" w:hanging="357"/>
              <w:contextualSpacing w:val="0"/>
            </w:pPr>
            <w:r w:rsidRPr="00073574">
              <w:t xml:space="preserve">Over the period mid October 2016 to February 2017, 73 fellowships were awarded; of which 8 fellowships were cancelled; for more details see </w:t>
            </w:r>
            <w:hyperlink r:id="rId329">
              <w:r w:rsidR="00BA0B92" w:rsidRPr="00073574">
                <w:rPr>
                  <w:rStyle w:val="Hyperlink"/>
                </w:rPr>
                <w:t>TSAG-</w:t>
              </w:r>
              <w:r w:rsidR="00112C75" w:rsidRPr="00073574">
                <w:rPr>
                  <w:rStyle w:val="Hyperlink"/>
                </w:rPr>
                <w:t>TD</w:t>
              </w:r>
              <w:r w:rsidRPr="00073574">
                <w:rPr>
                  <w:rStyle w:val="Hyperlink"/>
                </w:rPr>
                <w:t>24</w:t>
              </w:r>
            </w:hyperlink>
            <w:r w:rsidRPr="00073574">
              <w:t>.</w:t>
            </w:r>
          </w:p>
          <w:p w14:paraId="2709307A" w14:textId="77777777" w:rsidR="00F0236A" w:rsidRPr="00073574" w:rsidRDefault="00F0236A" w:rsidP="002E241A">
            <w:pPr>
              <w:pStyle w:val="ListParagraph"/>
              <w:numPr>
                <w:ilvl w:val="0"/>
                <w:numId w:val="49"/>
              </w:numPr>
              <w:spacing w:after="120"/>
              <w:ind w:left="357" w:hanging="357"/>
              <w:contextualSpacing w:val="0"/>
            </w:pPr>
            <w:r w:rsidRPr="00073574">
              <w:t xml:space="preserve">Over the </w:t>
            </w:r>
            <w:r w:rsidRPr="00073574">
              <w:rPr>
                <w:rFonts w:asciiTheme="majorBidi" w:hAnsiTheme="majorBidi" w:cstheme="majorBidi"/>
              </w:rPr>
              <w:t>period from March 2017 until January 2018, 155 fellowships were awarded; of which 36 fellowships were cancelled</w:t>
            </w:r>
            <w:r w:rsidRPr="00073574">
              <w:t xml:space="preserve">; for more details see </w:t>
            </w:r>
            <w:hyperlink r:id="rId330">
              <w:r w:rsidRPr="00073574">
                <w:rPr>
                  <w:rStyle w:val="Hyperlink"/>
                </w:rPr>
                <w:t>TSAG</w:t>
              </w:r>
              <w:r w:rsidR="00BA0B92" w:rsidRPr="00073574">
                <w:rPr>
                  <w:rStyle w:val="Hyperlink"/>
                </w:rPr>
                <w:t>-</w:t>
              </w:r>
              <w:r w:rsidR="00112C75" w:rsidRPr="00073574">
                <w:rPr>
                  <w:rStyle w:val="Hyperlink"/>
                  <w:rFonts w:asciiTheme="majorBidi" w:hAnsiTheme="majorBidi" w:cstheme="majorBidi"/>
                </w:rPr>
                <w:t>TD</w:t>
              </w:r>
              <w:r w:rsidRPr="00073574">
                <w:rPr>
                  <w:rStyle w:val="Hyperlink"/>
                  <w:rFonts w:asciiTheme="majorBidi" w:hAnsiTheme="majorBidi" w:cstheme="majorBidi"/>
                </w:rPr>
                <w:t>123</w:t>
              </w:r>
            </w:hyperlink>
            <w:r w:rsidRPr="00073574">
              <w:rPr>
                <w:rFonts w:asciiTheme="majorBidi" w:hAnsiTheme="majorBidi" w:cstheme="majorBidi"/>
              </w:rPr>
              <w:t>.</w:t>
            </w:r>
          </w:p>
          <w:p w14:paraId="33464D48" w14:textId="77777777" w:rsidR="009763A1" w:rsidRPr="00073574" w:rsidRDefault="009763A1" w:rsidP="002E241A">
            <w:pPr>
              <w:pStyle w:val="ListParagraph"/>
              <w:numPr>
                <w:ilvl w:val="0"/>
                <w:numId w:val="49"/>
              </w:numPr>
              <w:spacing w:after="120"/>
              <w:ind w:left="357" w:hanging="357"/>
              <w:contextualSpacing w:val="0"/>
            </w:pPr>
            <w:r w:rsidRPr="00073574">
              <w:t>Over the period February to November 2018, 194 fellowships were awarded; of which 30 fellowships were cancelled</w:t>
            </w:r>
            <w:r w:rsidR="00D62C97" w:rsidRPr="00073574">
              <w:t xml:space="preserve">, see </w:t>
            </w:r>
            <w:hyperlink r:id="rId331">
              <w:r w:rsidR="00D62C97" w:rsidRPr="00073574">
                <w:rPr>
                  <w:rStyle w:val="Hyperlink"/>
                </w:rPr>
                <w:t>TSAG-TD291R2</w:t>
              </w:r>
            </w:hyperlink>
            <w:r w:rsidR="00FA2325" w:rsidRPr="00073574">
              <w:t>.</w:t>
            </w:r>
          </w:p>
          <w:p w14:paraId="0E8B1A38" w14:textId="77777777" w:rsidR="00056865" w:rsidRPr="00073574" w:rsidRDefault="00056865" w:rsidP="002E241A">
            <w:pPr>
              <w:pStyle w:val="ListParagraph"/>
              <w:numPr>
                <w:ilvl w:val="0"/>
                <w:numId w:val="49"/>
              </w:numPr>
              <w:spacing w:after="120"/>
              <w:ind w:left="357" w:hanging="357"/>
              <w:contextualSpacing w:val="0"/>
            </w:pPr>
            <w:r w:rsidRPr="00073574">
              <w:rPr>
                <w:color w:val="000000" w:themeColor="text1"/>
              </w:rPr>
              <w:t>Over the period December 2018 to July 2019, 191 fellowships were awarded; of which 46 fellowships were cancelled.</w:t>
            </w:r>
          </w:p>
          <w:p w14:paraId="6D85A217" w14:textId="6B1C59A4" w:rsidR="006D761B" w:rsidRPr="00073574" w:rsidRDefault="583CBD01" w:rsidP="002E241A">
            <w:pPr>
              <w:pStyle w:val="ListParagraph"/>
              <w:numPr>
                <w:ilvl w:val="0"/>
                <w:numId w:val="49"/>
              </w:numPr>
              <w:spacing w:after="120"/>
              <w:ind w:left="357" w:hanging="357"/>
              <w:contextualSpacing w:val="0"/>
            </w:pPr>
            <w:r w:rsidRPr="00073574">
              <w:rPr>
                <w:color w:val="000000" w:themeColor="text1"/>
              </w:rPr>
              <w:t>Over the period August 2019 to January 2020, 107 fellowships were awarded; of which 15 fellowships were cancelled.</w:t>
            </w:r>
          </w:p>
          <w:p w14:paraId="15EE487C" w14:textId="77777777" w:rsidR="006D761B" w:rsidRPr="00073574" w:rsidRDefault="3C75784D" w:rsidP="002E241A">
            <w:pPr>
              <w:pStyle w:val="ListParagraph"/>
              <w:numPr>
                <w:ilvl w:val="0"/>
                <w:numId w:val="49"/>
              </w:numPr>
              <w:spacing w:after="120"/>
              <w:ind w:left="357" w:hanging="357"/>
              <w:contextualSpacing w:val="0"/>
              <w:rPr>
                <w:color w:val="000000" w:themeColor="text1"/>
              </w:rPr>
            </w:pPr>
            <w:r w:rsidRPr="00073574">
              <w:rPr>
                <w:color w:val="000000" w:themeColor="text1"/>
              </w:rPr>
              <w:t xml:space="preserve">Over the period January to August 2020, 33 fellowships were awarded; of which </w:t>
            </w:r>
            <w:r w:rsidR="00ED0482" w:rsidRPr="00073574">
              <w:rPr>
                <w:color w:val="000000" w:themeColor="text1"/>
              </w:rPr>
              <w:t>three</w:t>
            </w:r>
            <w:r w:rsidRPr="00073574">
              <w:rPr>
                <w:color w:val="000000" w:themeColor="text1"/>
              </w:rPr>
              <w:t xml:space="preserve"> fellowships were cancelled.</w:t>
            </w:r>
          </w:p>
          <w:p w14:paraId="6CE11781" w14:textId="796804CC" w:rsidR="006D761B" w:rsidRPr="00073574" w:rsidRDefault="00644994" w:rsidP="002E241A">
            <w:pPr>
              <w:pStyle w:val="ListParagraph"/>
              <w:numPr>
                <w:ilvl w:val="0"/>
                <w:numId w:val="49"/>
              </w:numPr>
              <w:spacing w:after="120"/>
              <w:ind w:left="357" w:hanging="357"/>
              <w:contextualSpacing w:val="0"/>
              <w:rPr>
                <w:color w:val="000000" w:themeColor="text1"/>
              </w:rPr>
            </w:pPr>
            <w:r w:rsidRPr="00073574">
              <w:rPr>
                <w:color w:val="000000" w:themeColor="text1"/>
              </w:rPr>
              <w:t xml:space="preserve">Over the period September 2020 to </w:t>
            </w:r>
            <w:r w:rsidR="00D21A92" w:rsidRPr="00073574">
              <w:rPr>
                <w:color w:val="000000" w:themeColor="text1"/>
              </w:rPr>
              <w:t>S</w:t>
            </w:r>
            <w:r w:rsidRPr="00073574">
              <w:rPr>
                <w:color w:val="000000" w:themeColor="text1"/>
              </w:rPr>
              <w:t>eptember 2021, due to C</w:t>
            </w:r>
            <w:r w:rsidR="006F7860" w:rsidRPr="00073574">
              <w:rPr>
                <w:color w:val="000000" w:themeColor="text1"/>
              </w:rPr>
              <w:t xml:space="preserve">OVID-19 </w:t>
            </w:r>
            <w:r w:rsidRPr="00073574">
              <w:rPr>
                <w:color w:val="000000" w:themeColor="text1"/>
              </w:rPr>
              <w:t>restrictions, no fellowships were awarded.</w:t>
            </w:r>
          </w:p>
          <w:p w14:paraId="5518E14F" w14:textId="096931B6" w:rsidR="006D761B" w:rsidRPr="00073574" w:rsidRDefault="003617D1" w:rsidP="00414D74">
            <w:pPr>
              <w:pStyle w:val="ListParagraph"/>
              <w:numPr>
                <w:ilvl w:val="0"/>
                <w:numId w:val="49"/>
              </w:numPr>
              <w:spacing w:after="120"/>
              <w:ind w:left="357" w:hanging="357"/>
              <w:contextualSpacing w:val="0"/>
              <w:rPr>
                <w:color w:val="000000" w:themeColor="text1"/>
              </w:rPr>
            </w:pPr>
            <w:r w:rsidRPr="00073574">
              <w:rPr>
                <w:color w:val="000000" w:themeColor="text1"/>
              </w:rPr>
              <w:t>Over the period October 2021 to December 2021, due to C</w:t>
            </w:r>
            <w:r w:rsidR="006F7860" w:rsidRPr="00073574">
              <w:rPr>
                <w:color w:val="000000" w:themeColor="text1"/>
              </w:rPr>
              <w:t>OVID-19</w:t>
            </w:r>
            <w:r w:rsidRPr="00073574">
              <w:rPr>
                <w:color w:val="000000" w:themeColor="text1"/>
              </w:rPr>
              <w:t xml:space="preserve"> restrictions, no fellowships were awarded.</w:t>
            </w:r>
          </w:p>
        </w:tc>
      </w:tr>
      <w:tr w:rsidR="00F0236A" w:rsidRPr="00073574" w14:paraId="2BD27C6E" w14:textId="77777777" w:rsidTr="4D78197E">
        <w:trPr>
          <w:jc w:val="center"/>
        </w:trPr>
        <w:tc>
          <w:tcPr>
            <w:tcW w:w="896" w:type="dxa"/>
            <w:vMerge w:val="restart"/>
            <w:tcBorders>
              <w:top w:val="single" w:sz="12" w:space="0" w:color="auto"/>
              <w:left w:val="single" w:sz="12" w:space="0" w:color="auto"/>
              <w:right w:val="single" w:sz="4" w:space="0" w:color="auto"/>
            </w:tcBorders>
            <w:shd w:val="clear" w:color="auto" w:fill="auto"/>
          </w:tcPr>
          <w:p w14:paraId="2A46BFA9" w14:textId="77777777" w:rsidR="00F0236A" w:rsidRPr="00073574" w:rsidRDefault="00F0236A" w:rsidP="000661CE">
            <w:pPr>
              <w:pStyle w:val="Tabletext"/>
              <w:keepNext/>
              <w:keepLines/>
              <w:rPr>
                <w:b/>
                <w:bCs/>
                <w:sz w:val="24"/>
                <w:szCs w:val="24"/>
              </w:rPr>
            </w:pPr>
            <w:bookmarkStart w:id="132" w:name="_Hlk50006111"/>
            <w:r w:rsidRPr="00073574">
              <w:rPr>
                <w:b/>
                <w:bCs/>
                <w:sz w:val="24"/>
                <w:szCs w:val="24"/>
              </w:rPr>
              <w:t>44-31</w:t>
            </w:r>
            <w:bookmarkEnd w:id="132"/>
          </w:p>
        </w:tc>
        <w:tc>
          <w:tcPr>
            <w:tcW w:w="4512" w:type="dxa"/>
            <w:tcBorders>
              <w:top w:val="single" w:sz="12" w:space="0" w:color="auto"/>
              <w:left w:val="single" w:sz="4" w:space="0" w:color="auto"/>
              <w:bottom w:val="single" w:sz="4" w:space="0" w:color="auto"/>
              <w:right w:val="single" w:sz="4" w:space="0" w:color="auto"/>
            </w:tcBorders>
            <w:shd w:val="clear" w:color="auto" w:fill="auto"/>
          </w:tcPr>
          <w:p w14:paraId="77338404" w14:textId="77777777" w:rsidR="00F0236A" w:rsidRPr="00073574" w:rsidRDefault="00F0236A" w:rsidP="00DF36E1">
            <w:pPr>
              <w:pStyle w:val="Tabletext"/>
              <w:rPr>
                <w:b/>
                <w:bCs/>
                <w:sz w:val="24"/>
                <w:szCs w:val="24"/>
              </w:rPr>
            </w:pPr>
            <w:r w:rsidRPr="00073574">
              <w:rPr>
                <w:b/>
                <w:bCs/>
                <w:sz w:val="24"/>
                <w:szCs w:val="24"/>
              </w:rPr>
              <w:t>TSB to provide interpretation on request of participants to all SG and WP plenary meetings and entire meeting of TSAG. (resolves 6)</w:t>
            </w:r>
          </w:p>
        </w:tc>
        <w:tc>
          <w:tcPr>
            <w:tcW w:w="1637" w:type="dxa"/>
            <w:tcBorders>
              <w:top w:val="single" w:sz="12" w:space="0" w:color="auto"/>
              <w:left w:val="single" w:sz="4" w:space="0" w:color="auto"/>
              <w:bottom w:val="single" w:sz="4" w:space="0" w:color="auto"/>
              <w:right w:val="single" w:sz="4" w:space="0" w:color="auto"/>
            </w:tcBorders>
            <w:shd w:val="clear" w:color="auto" w:fill="auto"/>
            <w:vAlign w:val="center"/>
          </w:tcPr>
          <w:p w14:paraId="0E5C948D"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29" w:type="dxa"/>
            <w:tcBorders>
              <w:top w:val="single" w:sz="12" w:space="0" w:color="auto"/>
              <w:left w:val="single" w:sz="4" w:space="0" w:color="auto"/>
              <w:bottom w:val="single" w:sz="4" w:space="0" w:color="auto"/>
              <w:right w:val="single" w:sz="4" w:space="0" w:color="auto"/>
            </w:tcBorders>
            <w:shd w:val="clear" w:color="auto" w:fill="auto"/>
            <w:vAlign w:val="center"/>
          </w:tcPr>
          <w:p w14:paraId="10BBABE2" w14:textId="77777777" w:rsidR="00F0236A" w:rsidRPr="00073574" w:rsidDel="00B11C77" w:rsidRDefault="00F0236A" w:rsidP="00DF36E1">
            <w:pPr>
              <w:pStyle w:val="Tabletext"/>
              <w:jc w:val="center"/>
              <w:rPr>
                <w:b/>
                <w:bCs/>
                <w:sz w:val="24"/>
                <w:szCs w:val="24"/>
              </w:rPr>
            </w:pPr>
            <w:r w:rsidRPr="00073574">
              <w:rPr>
                <w:b/>
                <w:bCs/>
                <w:sz w:val="24"/>
                <w:szCs w:val="24"/>
              </w:rPr>
              <w:t>√</w:t>
            </w:r>
          </w:p>
        </w:tc>
        <w:tc>
          <w:tcPr>
            <w:tcW w:w="1348"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0ABDBB98" w14:textId="77777777" w:rsidR="00F0236A" w:rsidRPr="00073574" w:rsidRDefault="00F0236A" w:rsidP="00DF36E1">
            <w:pPr>
              <w:pStyle w:val="Tabletext"/>
              <w:jc w:val="center"/>
              <w:rPr>
                <w:b/>
                <w:bCs/>
                <w:sz w:val="24"/>
                <w:szCs w:val="24"/>
              </w:rPr>
            </w:pPr>
          </w:p>
        </w:tc>
      </w:tr>
      <w:tr w:rsidR="00F0236A" w:rsidRPr="00073574" w14:paraId="4218AEC5" w14:textId="77777777" w:rsidTr="4D78197E">
        <w:trPr>
          <w:trHeight w:val="953"/>
          <w:jc w:val="center"/>
        </w:trPr>
        <w:tc>
          <w:tcPr>
            <w:tcW w:w="896" w:type="dxa"/>
            <w:vMerge/>
          </w:tcPr>
          <w:p w14:paraId="44FC4301" w14:textId="77777777" w:rsidR="00F0236A" w:rsidRPr="00073574" w:rsidRDefault="00F0236A" w:rsidP="00DF36E1">
            <w:pPr>
              <w:pStyle w:val="Tabletext"/>
              <w:rPr>
                <w:sz w:val="24"/>
                <w:szCs w:val="24"/>
              </w:rPr>
            </w:pPr>
          </w:p>
        </w:tc>
        <w:tc>
          <w:tcPr>
            <w:tcW w:w="8626" w:type="dxa"/>
            <w:gridSpan w:val="5"/>
            <w:tcBorders>
              <w:top w:val="single" w:sz="4" w:space="0" w:color="auto"/>
              <w:left w:val="single" w:sz="4" w:space="0" w:color="auto"/>
              <w:bottom w:val="single" w:sz="4" w:space="0" w:color="auto"/>
              <w:right w:val="single" w:sz="12" w:space="0" w:color="auto"/>
            </w:tcBorders>
            <w:shd w:val="clear" w:color="auto" w:fill="auto"/>
          </w:tcPr>
          <w:p w14:paraId="5E10C76E" w14:textId="6867360B" w:rsidR="00F0236A" w:rsidRPr="00073574" w:rsidRDefault="00F0236A" w:rsidP="00284A2E">
            <w:pPr>
              <w:spacing w:before="40"/>
              <w:rPr>
                <w:szCs w:val="22"/>
              </w:rPr>
            </w:pPr>
            <w:r w:rsidRPr="00073574">
              <w:rPr>
                <w:szCs w:val="22"/>
              </w:rPr>
              <w:t xml:space="preserve">Interpretation is provided to all </w:t>
            </w:r>
            <w:r w:rsidR="00680C63" w:rsidRPr="00073574">
              <w:rPr>
                <w:szCs w:val="22"/>
              </w:rPr>
              <w:t xml:space="preserve">SG3/WP meetings, to </w:t>
            </w:r>
            <w:r w:rsidRPr="00073574">
              <w:rPr>
                <w:szCs w:val="22"/>
              </w:rPr>
              <w:t>closing plenaries of ITU-T Study Group meetings, and to the opening and closing TSAG plenary meetings</w:t>
            </w:r>
            <w:r w:rsidR="0099603B" w:rsidRPr="00073574">
              <w:rPr>
                <w:szCs w:val="22"/>
              </w:rPr>
              <w:t>, and since 2018 to all TSAG Rapporteur Group meetings during the TSAG meetings</w:t>
            </w:r>
            <w:r w:rsidRPr="00073574">
              <w:rPr>
                <w:szCs w:val="22"/>
              </w:rPr>
              <w:t>.</w:t>
            </w:r>
          </w:p>
          <w:p w14:paraId="7DAE6105" w14:textId="77777777" w:rsidR="009763A1" w:rsidRPr="00073574" w:rsidRDefault="009763A1">
            <w:pPr>
              <w:rPr>
                <w:szCs w:val="22"/>
              </w:rPr>
            </w:pPr>
            <w:r w:rsidRPr="00073574">
              <w:rPr>
                <w:szCs w:val="22"/>
              </w:rPr>
              <w:t xml:space="preserve">Over the period February to November 2018, interpretation was provided to all closing plenaries of ITU-T Study Group meetings, </w:t>
            </w:r>
            <w:r w:rsidR="00FC3BF0" w:rsidRPr="00073574">
              <w:rPr>
                <w:szCs w:val="22"/>
              </w:rPr>
              <w:t xml:space="preserve">to the opening plenaries of SG2 and SG11 </w:t>
            </w:r>
            <w:r w:rsidRPr="00073574">
              <w:rPr>
                <w:szCs w:val="22"/>
              </w:rPr>
              <w:t xml:space="preserve">and to the entire </w:t>
            </w:r>
            <w:r w:rsidR="00FA2325" w:rsidRPr="00073574">
              <w:rPr>
                <w:szCs w:val="22"/>
              </w:rPr>
              <w:t xml:space="preserve">meeting of </w:t>
            </w:r>
            <w:r w:rsidRPr="00073574">
              <w:rPr>
                <w:szCs w:val="22"/>
              </w:rPr>
              <w:t>TSAG.</w:t>
            </w:r>
          </w:p>
          <w:p w14:paraId="366F1FC0" w14:textId="77777777" w:rsidR="00056865" w:rsidRPr="00073574" w:rsidRDefault="00056865" w:rsidP="00EF53C1">
            <w:pPr>
              <w:pStyle w:val="NormalWeb"/>
              <w:spacing w:before="120" w:after="120"/>
              <w:rPr>
                <w:color w:val="000000"/>
                <w:sz w:val="22"/>
                <w:szCs w:val="22"/>
                <w:lang w:val="en-GB"/>
              </w:rPr>
            </w:pPr>
            <w:r w:rsidRPr="00073574">
              <w:rPr>
                <w:color w:val="000000"/>
                <w:sz w:val="22"/>
                <w:szCs w:val="22"/>
                <w:lang w:val="en-GB"/>
              </w:rPr>
              <w:t xml:space="preserve">Over the period December 2018 to July 2019, interpretation was provided to all closing plenaries of ITU-T Study Group meetings, to the opening plenaries of SG2 and SG11 and to the entire meeting of </w:t>
            </w:r>
            <w:r w:rsidR="002D370F" w:rsidRPr="00073574">
              <w:rPr>
                <w:color w:val="000000"/>
                <w:sz w:val="22"/>
                <w:szCs w:val="22"/>
                <w:lang w:val="en-GB"/>
              </w:rPr>
              <w:t xml:space="preserve">SG3 and </w:t>
            </w:r>
            <w:r w:rsidRPr="00073574">
              <w:rPr>
                <w:color w:val="000000"/>
                <w:sz w:val="22"/>
                <w:szCs w:val="22"/>
                <w:lang w:val="en-GB"/>
              </w:rPr>
              <w:t>TSAG.</w:t>
            </w:r>
          </w:p>
          <w:p w14:paraId="42729A37" w14:textId="651B01FE" w:rsidR="002D370F" w:rsidRPr="00073574" w:rsidRDefault="002D370F" w:rsidP="21540CF0">
            <w:pPr>
              <w:pStyle w:val="NormalWeb"/>
              <w:spacing w:before="120" w:after="120"/>
              <w:rPr>
                <w:lang w:val="en-GB"/>
              </w:rPr>
            </w:pPr>
            <w:r w:rsidRPr="00073574">
              <w:rPr>
                <w:color w:val="000000" w:themeColor="text1"/>
                <w:sz w:val="22"/>
                <w:szCs w:val="22"/>
                <w:lang w:val="en-GB"/>
              </w:rPr>
              <w:t>Over the period August 2019 to January 2020, interpretation was provided to all closing plenaries of ITU-T Study Group meetings, to the opening plenaries of SG2 and SG11 and to the entire meeting of TSAG.</w:t>
            </w:r>
          </w:p>
          <w:p w14:paraId="7F1A3515" w14:textId="77777777" w:rsidR="002D370F" w:rsidRPr="00073574" w:rsidRDefault="32878D76" w:rsidP="004B68FC">
            <w:pPr>
              <w:spacing w:after="120"/>
              <w:rPr>
                <w:rFonts w:eastAsia="Times New Roman"/>
                <w:szCs w:val="22"/>
              </w:rPr>
            </w:pPr>
            <w:bookmarkStart w:id="133" w:name="_Hlk50006098"/>
            <w:r w:rsidRPr="00073574">
              <w:rPr>
                <w:color w:val="000000" w:themeColor="text1"/>
                <w:szCs w:val="22"/>
              </w:rPr>
              <w:t xml:space="preserve">Over the period January to August 2020, interpretation was provided to </w:t>
            </w:r>
            <w:r w:rsidR="1FA638E1" w:rsidRPr="00073574">
              <w:rPr>
                <w:color w:val="000000" w:themeColor="text1"/>
                <w:szCs w:val="22"/>
              </w:rPr>
              <w:t>the</w:t>
            </w:r>
            <w:r w:rsidRPr="00073574">
              <w:rPr>
                <w:color w:val="000000" w:themeColor="text1"/>
                <w:szCs w:val="22"/>
              </w:rPr>
              <w:t xml:space="preserve"> closing plenar</w:t>
            </w:r>
            <w:r w:rsidR="4A79F852" w:rsidRPr="00073574">
              <w:rPr>
                <w:color w:val="000000" w:themeColor="text1"/>
                <w:szCs w:val="22"/>
              </w:rPr>
              <w:t>y</w:t>
            </w:r>
            <w:r w:rsidRPr="00073574">
              <w:rPr>
                <w:color w:val="000000" w:themeColor="text1"/>
                <w:szCs w:val="22"/>
              </w:rPr>
              <w:t xml:space="preserve"> of ITU-T Study Group </w:t>
            </w:r>
            <w:r w:rsidR="00A00F46" w:rsidRPr="00073574">
              <w:rPr>
                <w:color w:val="000000" w:themeColor="text1"/>
                <w:szCs w:val="22"/>
              </w:rPr>
              <w:t>15</w:t>
            </w:r>
            <w:r w:rsidRPr="00073574">
              <w:rPr>
                <w:color w:val="000000" w:themeColor="text1"/>
                <w:szCs w:val="22"/>
              </w:rPr>
              <w:t xml:space="preserve">, to the opening </w:t>
            </w:r>
            <w:r w:rsidR="736D9CDE" w:rsidRPr="00073574">
              <w:rPr>
                <w:color w:val="000000" w:themeColor="text1"/>
                <w:szCs w:val="22"/>
              </w:rPr>
              <w:t xml:space="preserve">and </w:t>
            </w:r>
            <w:r w:rsidRPr="00073574">
              <w:rPr>
                <w:color w:val="000000" w:themeColor="text1"/>
                <w:szCs w:val="22"/>
              </w:rPr>
              <w:t>closing plenaries of ITU-T Study Group 11</w:t>
            </w:r>
            <w:r w:rsidR="46983ADF" w:rsidRPr="00073574">
              <w:rPr>
                <w:color w:val="000000" w:themeColor="text1"/>
                <w:szCs w:val="22"/>
              </w:rPr>
              <w:t xml:space="preserve"> (March)</w:t>
            </w:r>
            <w:r w:rsidRPr="00073574">
              <w:rPr>
                <w:color w:val="000000" w:themeColor="text1"/>
                <w:szCs w:val="22"/>
              </w:rPr>
              <w:t xml:space="preserve"> and to the entire meetings of S</w:t>
            </w:r>
            <w:r w:rsidRPr="00073574">
              <w:rPr>
                <w:rFonts w:eastAsia="Times New Roman"/>
                <w:color w:val="000000" w:themeColor="text1"/>
                <w:szCs w:val="22"/>
              </w:rPr>
              <w:t>G3 and TSAG.</w:t>
            </w:r>
            <w:r w:rsidR="7FCFD717" w:rsidRPr="00073574">
              <w:rPr>
                <w:rFonts w:eastAsia="Times New Roman"/>
                <w:color w:val="000000" w:themeColor="text1"/>
                <w:szCs w:val="22"/>
                <w:lang w:eastAsia="zh-CN"/>
              </w:rPr>
              <w:t xml:space="preserve"> </w:t>
            </w:r>
            <w:r w:rsidR="7FCFD717" w:rsidRPr="00073574">
              <w:rPr>
                <w:color w:val="000000" w:themeColor="text1"/>
                <w:szCs w:val="22"/>
              </w:rPr>
              <w:t xml:space="preserve">One-way English-Russian interpretation on MyMeetings </w:t>
            </w:r>
            <w:r w:rsidR="653F48F7" w:rsidRPr="00073574">
              <w:rPr>
                <w:color w:val="000000" w:themeColor="text1"/>
                <w:szCs w:val="22"/>
              </w:rPr>
              <w:t xml:space="preserve">was provided </w:t>
            </w:r>
            <w:r w:rsidR="7FCFD717" w:rsidRPr="00073574">
              <w:rPr>
                <w:color w:val="000000" w:themeColor="text1"/>
                <w:szCs w:val="22"/>
              </w:rPr>
              <w:t>at the closing plenary</w:t>
            </w:r>
            <w:r w:rsidR="5F0C9EFB" w:rsidRPr="00073574">
              <w:rPr>
                <w:color w:val="000000" w:themeColor="text1"/>
                <w:szCs w:val="22"/>
              </w:rPr>
              <w:t xml:space="preserve"> of </w:t>
            </w:r>
            <w:r w:rsidR="47B7C106" w:rsidRPr="00073574">
              <w:rPr>
                <w:color w:val="000000" w:themeColor="text1"/>
                <w:szCs w:val="22"/>
              </w:rPr>
              <w:t xml:space="preserve">ITU-T Study Group </w:t>
            </w:r>
            <w:r w:rsidR="5F0C9EFB" w:rsidRPr="00073574">
              <w:rPr>
                <w:color w:val="000000" w:themeColor="text1"/>
                <w:szCs w:val="22"/>
              </w:rPr>
              <w:t xml:space="preserve">SG11 </w:t>
            </w:r>
            <w:r w:rsidR="52617740" w:rsidRPr="00073574">
              <w:rPr>
                <w:color w:val="000000" w:themeColor="text1"/>
                <w:szCs w:val="22"/>
              </w:rPr>
              <w:t xml:space="preserve">meeting </w:t>
            </w:r>
            <w:r w:rsidR="5F0C9EFB" w:rsidRPr="00073574">
              <w:rPr>
                <w:color w:val="000000" w:themeColor="text1"/>
                <w:szCs w:val="22"/>
              </w:rPr>
              <w:t>(July</w:t>
            </w:r>
            <w:r w:rsidR="45AF3999" w:rsidRPr="00073574">
              <w:rPr>
                <w:color w:val="000000" w:themeColor="text1"/>
                <w:szCs w:val="22"/>
              </w:rPr>
              <w:t xml:space="preserve">) </w:t>
            </w:r>
            <w:r w:rsidR="6A00F151" w:rsidRPr="00073574">
              <w:rPr>
                <w:color w:val="000000" w:themeColor="text1"/>
                <w:szCs w:val="22"/>
              </w:rPr>
              <w:t>An i</w:t>
            </w:r>
            <w:r w:rsidR="45AF3999" w:rsidRPr="00073574">
              <w:rPr>
                <w:color w:val="000000" w:themeColor="text1"/>
                <w:szCs w:val="22"/>
              </w:rPr>
              <w:t>nterpreta</w:t>
            </w:r>
            <w:r w:rsidR="45AF3999" w:rsidRPr="00073574">
              <w:rPr>
                <w:rFonts w:eastAsia="Times New Roman"/>
                <w:szCs w:val="22"/>
              </w:rPr>
              <w:t xml:space="preserve">tion trial in MyMeetings in Chinese </w:t>
            </w:r>
            <w:r w:rsidR="759D0718" w:rsidRPr="00073574">
              <w:rPr>
                <w:rFonts w:eastAsia="Times New Roman"/>
                <w:szCs w:val="22"/>
              </w:rPr>
              <w:t xml:space="preserve">was </w:t>
            </w:r>
            <w:r w:rsidR="4C6CBCAA" w:rsidRPr="00073574">
              <w:rPr>
                <w:rFonts w:eastAsia="Times New Roman"/>
                <w:szCs w:val="22"/>
              </w:rPr>
              <w:t xml:space="preserve">made </w:t>
            </w:r>
            <w:r w:rsidR="45AF3999" w:rsidRPr="00073574">
              <w:rPr>
                <w:rFonts w:eastAsia="Times New Roman"/>
                <w:szCs w:val="22"/>
              </w:rPr>
              <w:t>for part of the closing plenary</w:t>
            </w:r>
            <w:r w:rsidR="4134411E" w:rsidRPr="00073574">
              <w:rPr>
                <w:rFonts w:eastAsia="Times New Roman"/>
                <w:szCs w:val="22"/>
              </w:rPr>
              <w:t xml:space="preserve"> of </w:t>
            </w:r>
            <w:r w:rsidR="030DF740" w:rsidRPr="00073574">
              <w:rPr>
                <w:color w:val="000000" w:themeColor="text1"/>
                <w:szCs w:val="22"/>
              </w:rPr>
              <w:t xml:space="preserve">ITU-T Study Group </w:t>
            </w:r>
            <w:r w:rsidR="4134411E" w:rsidRPr="00073574">
              <w:rPr>
                <w:rFonts w:eastAsia="Times New Roman"/>
                <w:szCs w:val="22"/>
              </w:rPr>
              <w:t>SG16</w:t>
            </w:r>
            <w:r w:rsidR="554633A6" w:rsidRPr="00073574">
              <w:rPr>
                <w:rFonts w:eastAsia="Times New Roman"/>
                <w:szCs w:val="22"/>
              </w:rPr>
              <w:t xml:space="preserve"> meeting</w:t>
            </w:r>
            <w:r w:rsidR="45AF3999" w:rsidRPr="00073574">
              <w:rPr>
                <w:rFonts w:eastAsia="Times New Roman"/>
                <w:szCs w:val="22"/>
              </w:rPr>
              <w:t>.</w:t>
            </w:r>
            <w:bookmarkEnd w:id="133"/>
          </w:p>
          <w:p w14:paraId="7B467A86" w14:textId="2299340A" w:rsidR="00D71D41" w:rsidRPr="00073574" w:rsidRDefault="00D71D41" w:rsidP="004B68FC">
            <w:pPr>
              <w:spacing w:after="120"/>
              <w:rPr>
                <w:rFonts w:eastAsia="Times New Roman"/>
                <w:color w:val="000000" w:themeColor="text1"/>
                <w:szCs w:val="22"/>
              </w:rPr>
            </w:pPr>
            <w:r w:rsidRPr="00073574">
              <w:rPr>
                <w:rFonts w:eastAsia="Times New Roman"/>
                <w:szCs w:val="22"/>
              </w:rPr>
              <w:t>Over the period September 202</w:t>
            </w:r>
            <w:r w:rsidR="00644994" w:rsidRPr="00073574">
              <w:rPr>
                <w:rFonts w:eastAsia="Times New Roman"/>
                <w:szCs w:val="22"/>
              </w:rPr>
              <w:t>0</w:t>
            </w:r>
            <w:r w:rsidRPr="00073574">
              <w:rPr>
                <w:rFonts w:eastAsia="Times New Roman"/>
                <w:szCs w:val="22"/>
              </w:rPr>
              <w:t xml:space="preserve"> to September 2021, </w:t>
            </w:r>
            <w:r w:rsidRPr="00073574">
              <w:rPr>
                <w:color w:val="000000" w:themeColor="text1"/>
                <w:szCs w:val="22"/>
              </w:rPr>
              <w:t xml:space="preserve">interpretation was provided to the entire meetings </w:t>
            </w:r>
            <w:r w:rsidRPr="00073574">
              <w:rPr>
                <w:rFonts w:eastAsia="Times New Roman"/>
                <w:color w:val="000000" w:themeColor="text1"/>
                <w:szCs w:val="22"/>
              </w:rPr>
              <w:t xml:space="preserve"> </w:t>
            </w:r>
            <w:r w:rsidR="00644994" w:rsidRPr="00073574">
              <w:rPr>
                <w:rFonts w:eastAsia="Times New Roman"/>
                <w:color w:val="000000" w:themeColor="text1"/>
                <w:szCs w:val="22"/>
              </w:rPr>
              <w:t xml:space="preserve">of </w:t>
            </w:r>
            <w:r w:rsidRPr="00073574">
              <w:rPr>
                <w:rFonts w:eastAsia="Times New Roman"/>
                <w:color w:val="000000" w:themeColor="text1"/>
                <w:szCs w:val="22"/>
              </w:rPr>
              <w:t>TSAG</w:t>
            </w:r>
            <w:r w:rsidR="00BA1D2B" w:rsidRPr="00073574">
              <w:rPr>
                <w:rFonts w:eastAsia="Times New Roman"/>
                <w:color w:val="000000" w:themeColor="text1"/>
                <w:szCs w:val="22"/>
              </w:rPr>
              <w:t xml:space="preserve"> + IRM</w:t>
            </w:r>
            <w:r w:rsidR="00644994" w:rsidRPr="00073574">
              <w:rPr>
                <w:rFonts w:eastAsia="Times New Roman"/>
                <w:color w:val="000000" w:themeColor="text1"/>
                <w:szCs w:val="22"/>
              </w:rPr>
              <w:t xml:space="preserve"> (Sept. 2020 and Jan. 2021), SG3 (May 2021)</w:t>
            </w:r>
            <w:r w:rsidR="00EE1385" w:rsidRPr="00073574">
              <w:rPr>
                <w:rFonts w:eastAsia="Times New Roman"/>
                <w:color w:val="000000" w:themeColor="text1"/>
                <w:szCs w:val="22"/>
              </w:rPr>
              <w:t xml:space="preserve">, to the closing plenary of SG11 (Dec. 2020), to the opening and closing plenaries of SG 11 (March 2021), to the </w:t>
            </w:r>
            <w:r w:rsidR="00EE1385" w:rsidRPr="00073574">
              <w:rPr>
                <w:rFonts w:eastAsia="Times New Roman"/>
                <w:color w:val="000000" w:themeColor="text1"/>
                <w:szCs w:val="22"/>
              </w:rPr>
              <w:lastRenderedPageBreak/>
              <w:t>closing plenary of SG5 (May 2021), to the RGMs Q1/3 and Q7/3 (January 2021), to the</w:t>
            </w:r>
            <w:r w:rsidR="00EE1385" w:rsidRPr="00073574">
              <w:t xml:space="preserve"> </w:t>
            </w:r>
            <w:r w:rsidR="00EE1385" w:rsidRPr="00073574">
              <w:rPr>
                <w:rFonts w:eastAsia="Times New Roman"/>
                <w:color w:val="000000" w:themeColor="text1"/>
                <w:szCs w:val="22"/>
              </w:rPr>
              <w:t xml:space="preserve">SG13RG-AFR (June 2021), to the SG20RG-AFR (June 2021), to the SG3RG-AFR (July 2021), to the SG2RG-AMR (Sept. </w:t>
            </w:r>
            <w:r w:rsidR="008E1210" w:rsidRPr="00073574">
              <w:rPr>
                <w:rFonts w:eastAsia="Times New Roman"/>
                <w:color w:val="000000" w:themeColor="text1"/>
                <w:szCs w:val="22"/>
              </w:rPr>
              <w:t>2021) and</w:t>
            </w:r>
            <w:r w:rsidR="00EE1385" w:rsidRPr="00073574">
              <w:rPr>
                <w:rFonts w:eastAsia="Times New Roman"/>
                <w:color w:val="000000" w:themeColor="text1"/>
                <w:szCs w:val="22"/>
              </w:rPr>
              <w:t xml:space="preserve"> to the SG12RG-AFR (Sept.2021)</w:t>
            </w:r>
            <w:r w:rsidRPr="00073574">
              <w:rPr>
                <w:rFonts w:eastAsia="Times New Roman"/>
                <w:color w:val="000000" w:themeColor="text1"/>
                <w:szCs w:val="22"/>
              </w:rPr>
              <w:t>.</w:t>
            </w:r>
          </w:p>
          <w:p w14:paraId="5EE2B2C8" w14:textId="77777777" w:rsidR="00D71D41" w:rsidRPr="00073574" w:rsidRDefault="00EE1385" w:rsidP="004B68FC">
            <w:pPr>
              <w:spacing w:after="120"/>
              <w:rPr>
                <w:rFonts w:eastAsia="Times New Roman"/>
                <w:color w:val="000000" w:themeColor="text1"/>
                <w:szCs w:val="22"/>
              </w:rPr>
            </w:pPr>
            <w:r w:rsidRPr="00073574">
              <w:rPr>
                <w:rFonts w:eastAsia="Times New Roman"/>
                <w:color w:val="000000" w:themeColor="text1"/>
                <w:szCs w:val="22"/>
              </w:rPr>
              <w:t xml:space="preserve">Sign Languages interpretation was provided to </w:t>
            </w:r>
            <w:r w:rsidR="00B07641" w:rsidRPr="00073574">
              <w:rPr>
                <w:rFonts w:eastAsia="Times New Roman"/>
                <w:color w:val="000000" w:themeColor="text1"/>
                <w:szCs w:val="22"/>
              </w:rPr>
              <w:t>some sessions</w:t>
            </w:r>
            <w:r w:rsidRPr="00073574">
              <w:rPr>
                <w:rFonts w:eastAsia="Times New Roman"/>
                <w:color w:val="000000" w:themeColor="text1"/>
                <w:szCs w:val="22"/>
              </w:rPr>
              <w:t xml:space="preserve"> of SG16 (April and September 2021).</w:t>
            </w:r>
          </w:p>
          <w:p w14:paraId="1CA35C4D" w14:textId="76807326" w:rsidR="00D71D41" w:rsidRPr="00073574" w:rsidRDefault="00824B79" w:rsidP="004B68FC">
            <w:pPr>
              <w:spacing w:after="120"/>
              <w:rPr>
                <w:rFonts w:eastAsia="Times New Roman"/>
                <w:sz w:val="24"/>
              </w:rPr>
            </w:pPr>
            <w:r w:rsidRPr="00073574">
              <w:rPr>
                <w:rFonts w:eastAsia="Times New Roman"/>
                <w:color w:val="000000" w:themeColor="text1"/>
                <w:szCs w:val="22"/>
              </w:rPr>
              <w:t>Over the period October 2021 to December 2021, interpretation was provided to SG20 (2days), IRM (1day), TSAG (2 days), SG11 (2 days) and SG3 (5 days).</w:t>
            </w:r>
          </w:p>
        </w:tc>
      </w:tr>
      <w:tr w:rsidR="00F0236A" w:rsidRPr="00073574" w14:paraId="79694F70" w14:textId="77777777" w:rsidTr="4D78197E">
        <w:trPr>
          <w:jc w:val="center"/>
        </w:trPr>
        <w:tc>
          <w:tcPr>
            <w:tcW w:w="896" w:type="dxa"/>
            <w:vMerge w:val="restart"/>
            <w:tcBorders>
              <w:top w:val="single" w:sz="12" w:space="0" w:color="auto"/>
              <w:left w:val="single" w:sz="12" w:space="0" w:color="auto"/>
              <w:right w:val="single" w:sz="4" w:space="0" w:color="auto"/>
            </w:tcBorders>
            <w:shd w:val="clear" w:color="auto" w:fill="auto"/>
          </w:tcPr>
          <w:p w14:paraId="47F58944" w14:textId="77777777" w:rsidR="00F0236A" w:rsidRPr="00073574" w:rsidRDefault="00F0236A" w:rsidP="005B5893">
            <w:pPr>
              <w:pStyle w:val="Tabletext"/>
              <w:rPr>
                <w:b/>
                <w:bCs/>
                <w:sz w:val="24"/>
                <w:szCs w:val="24"/>
              </w:rPr>
            </w:pPr>
            <w:r w:rsidRPr="00073574">
              <w:rPr>
                <w:b/>
                <w:bCs/>
                <w:sz w:val="24"/>
                <w:szCs w:val="24"/>
              </w:rPr>
              <w:lastRenderedPageBreak/>
              <w:t>44-32</w:t>
            </w:r>
          </w:p>
        </w:tc>
        <w:tc>
          <w:tcPr>
            <w:tcW w:w="4512" w:type="dxa"/>
            <w:tcBorders>
              <w:top w:val="single" w:sz="12" w:space="0" w:color="auto"/>
              <w:left w:val="single" w:sz="4" w:space="0" w:color="auto"/>
              <w:bottom w:val="single" w:sz="4" w:space="0" w:color="auto"/>
              <w:right w:val="single" w:sz="4" w:space="0" w:color="auto"/>
            </w:tcBorders>
            <w:shd w:val="clear" w:color="auto" w:fill="auto"/>
          </w:tcPr>
          <w:p w14:paraId="319FDD68" w14:textId="77777777" w:rsidR="00F0236A" w:rsidRPr="00073574" w:rsidRDefault="00F0236A" w:rsidP="005B5893">
            <w:pPr>
              <w:pStyle w:val="Tabletext"/>
              <w:rPr>
                <w:b/>
                <w:bCs/>
                <w:sz w:val="24"/>
                <w:szCs w:val="24"/>
              </w:rPr>
            </w:pPr>
            <w:r w:rsidRPr="00073574">
              <w:rPr>
                <w:b/>
                <w:bCs/>
                <w:sz w:val="24"/>
                <w:szCs w:val="24"/>
              </w:rPr>
              <w:t>TSB Director to provide remote participation. (i. TSBDir 14)</w:t>
            </w:r>
          </w:p>
        </w:tc>
        <w:tc>
          <w:tcPr>
            <w:tcW w:w="1637" w:type="dxa"/>
            <w:tcBorders>
              <w:top w:val="single" w:sz="12" w:space="0" w:color="auto"/>
              <w:left w:val="single" w:sz="4" w:space="0" w:color="auto"/>
              <w:bottom w:val="single" w:sz="4" w:space="0" w:color="auto"/>
              <w:right w:val="single" w:sz="4" w:space="0" w:color="auto"/>
            </w:tcBorders>
            <w:shd w:val="clear" w:color="auto" w:fill="auto"/>
            <w:vAlign w:val="center"/>
          </w:tcPr>
          <w:p w14:paraId="5CFDA13E" w14:textId="77777777" w:rsidR="00F0236A" w:rsidRPr="00073574" w:rsidRDefault="00F0236A" w:rsidP="005B5893">
            <w:pPr>
              <w:pStyle w:val="Tabletext"/>
              <w:jc w:val="center"/>
              <w:rPr>
                <w:b/>
                <w:bCs/>
                <w:sz w:val="24"/>
                <w:szCs w:val="24"/>
              </w:rPr>
            </w:pPr>
            <w:r w:rsidRPr="00073574">
              <w:rPr>
                <w:b/>
                <w:bCs/>
                <w:sz w:val="24"/>
                <w:szCs w:val="24"/>
              </w:rPr>
              <w:t>Ongoing</w:t>
            </w:r>
          </w:p>
        </w:tc>
        <w:tc>
          <w:tcPr>
            <w:tcW w:w="1129" w:type="dxa"/>
            <w:tcBorders>
              <w:top w:val="single" w:sz="12" w:space="0" w:color="auto"/>
              <w:left w:val="single" w:sz="4" w:space="0" w:color="auto"/>
              <w:bottom w:val="single" w:sz="4" w:space="0" w:color="auto"/>
              <w:right w:val="single" w:sz="4" w:space="0" w:color="auto"/>
            </w:tcBorders>
            <w:shd w:val="clear" w:color="auto" w:fill="auto"/>
            <w:vAlign w:val="center"/>
          </w:tcPr>
          <w:p w14:paraId="091FA5C9" w14:textId="7CC660EE" w:rsidR="00F0236A" w:rsidRPr="00073574" w:rsidDel="00B11C77" w:rsidRDefault="00281203" w:rsidP="005B5893">
            <w:pPr>
              <w:pStyle w:val="Tabletext"/>
              <w:jc w:val="center"/>
              <w:rPr>
                <w:b/>
                <w:bCs/>
                <w:sz w:val="24"/>
                <w:szCs w:val="24"/>
              </w:rPr>
            </w:pPr>
            <w:r w:rsidRPr="00073574">
              <w:rPr>
                <w:b/>
                <w:bCs/>
                <w:sz w:val="24"/>
                <w:szCs w:val="24"/>
              </w:rPr>
              <w:t>√</w:t>
            </w:r>
          </w:p>
        </w:tc>
        <w:tc>
          <w:tcPr>
            <w:tcW w:w="1348"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1E27D6D4" w14:textId="77777777" w:rsidR="00F0236A" w:rsidRPr="00073574" w:rsidRDefault="00F0236A" w:rsidP="005B5893">
            <w:pPr>
              <w:pStyle w:val="Tabletext"/>
              <w:jc w:val="center"/>
              <w:rPr>
                <w:b/>
                <w:bCs/>
                <w:sz w:val="24"/>
                <w:szCs w:val="24"/>
              </w:rPr>
            </w:pPr>
          </w:p>
        </w:tc>
      </w:tr>
      <w:tr w:rsidR="00F0236A" w:rsidRPr="00073574" w14:paraId="03EEEF75" w14:textId="77777777" w:rsidTr="4D78197E">
        <w:trPr>
          <w:jc w:val="center"/>
        </w:trPr>
        <w:tc>
          <w:tcPr>
            <w:tcW w:w="896" w:type="dxa"/>
            <w:vMerge/>
          </w:tcPr>
          <w:p w14:paraId="58198661" w14:textId="77777777" w:rsidR="00F0236A" w:rsidRPr="00073574" w:rsidRDefault="00F0236A" w:rsidP="005B5893">
            <w:pPr>
              <w:pStyle w:val="Tabletext"/>
              <w:rPr>
                <w:sz w:val="24"/>
                <w:szCs w:val="24"/>
              </w:rPr>
            </w:pPr>
          </w:p>
        </w:tc>
        <w:tc>
          <w:tcPr>
            <w:tcW w:w="8626" w:type="dxa"/>
            <w:gridSpan w:val="5"/>
            <w:tcBorders>
              <w:top w:val="single" w:sz="4" w:space="0" w:color="auto"/>
              <w:left w:val="single" w:sz="4" w:space="0" w:color="auto"/>
              <w:bottom w:val="single" w:sz="12" w:space="0" w:color="auto"/>
              <w:right w:val="single" w:sz="12" w:space="0" w:color="auto"/>
            </w:tcBorders>
            <w:shd w:val="clear" w:color="auto" w:fill="auto"/>
          </w:tcPr>
          <w:p w14:paraId="008D45A6" w14:textId="77777777" w:rsidR="00281203" w:rsidRPr="00073574" w:rsidRDefault="00281203" w:rsidP="00284A2E">
            <w:pPr>
              <w:spacing w:before="40" w:after="120"/>
            </w:pPr>
            <w:r w:rsidRPr="00073574">
              <w:t>TSB provides remote participation to ITU-T statutory, non-statutory as well as to other ad-hoc meetings.</w:t>
            </w:r>
          </w:p>
          <w:p w14:paraId="46B5AB26" w14:textId="77777777" w:rsidR="00281203" w:rsidRPr="00073574" w:rsidRDefault="00281203" w:rsidP="005B5893">
            <w:pPr>
              <w:spacing w:after="120"/>
            </w:pPr>
            <w:r w:rsidRPr="00073574">
              <w:t>The service applies to meetings taking place at Headquarters, as well as in the Regions, as applicable and regardless of the geographical location.</w:t>
            </w:r>
          </w:p>
          <w:p w14:paraId="40BB12F1" w14:textId="3C665A6D" w:rsidR="00F0236A" w:rsidRPr="00073574" w:rsidRDefault="3D8BF8E0" w:rsidP="005B5893">
            <w:pPr>
              <w:pStyle w:val="Tabletext"/>
            </w:pPr>
            <w:r w:rsidRPr="00073574">
              <w:t>Furthermore, and in order to better adapt to the needs of ITU membership and to all stakeholders participating in ITU-T activities, TSB has improved the choices of tools and offers a variety of them, such as open source tools developed in house, as well as tools available on the market.</w:t>
            </w:r>
          </w:p>
          <w:p w14:paraId="66451978" w14:textId="23A4B908" w:rsidR="00F0236A" w:rsidRPr="00073574" w:rsidRDefault="1AD099BE" w:rsidP="539711DF">
            <w:pPr>
              <w:pStyle w:val="Tabletext"/>
            </w:pPr>
            <w:r w:rsidRPr="00073574">
              <w:t xml:space="preserve">MyMeetings, the ITU-T open source solution for electronic meetings introduced in January 2019 by TSB, is now used as the main platform to organise ITU-T statutory meetings. The tool features some important elements found in ITU-T physical meetings, including participants’ list and affiliation, multilingual support, moderated floor request and captioning. In addition, the tool has put in place several layers of access control to make sure that only registered participants can have access to Statutory meetings. MyMeetings </w:t>
            </w:r>
            <w:r w:rsidR="00B0598D" w:rsidRPr="00073574">
              <w:t xml:space="preserve">has </w:t>
            </w:r>
            <w:r w:rsidRPr="00073574">
              <w:t>also been used to host Rapporteur Group Meetings and non-statutory events, such as webinars. Other electronic meeting tools, such as Zoom, are also provided by TSB for hosting fully online (virtual) and any on-demand ad-hoc meetings.</w:t>
            </w:r>
          </w:p>
        </w:tc>
      </w:tr>
      <w:tr w:rsidR="00F0236A" w:rsidRPr="00073574" w14:paraId="578AD271" w14:textId="77777777" w:rsidTr="4D78197E">
        <w:trPr>
          <w:jc w:val="center"/>
        </w:trPr>
        <w:tc>
          <w:tcPr>
            <w:tcW w:w="896" w:type="dxa"/>
            <w:vMerge w:val="restart"/>
            <w:tcBorders>
              <w:top w:val="single" w:sz="12" w:space="0" w:color="auto"/>
              <w:left w:val="single" w:sz="12" w:space="0" w:color="auto"/>
              <w:right w:val="single" w:sz="4" w:space="0" w:color="auto"/>
            </w:tcBorders>
            <w:shd w:val="clear" w:color="auto" w:fill="auto"/>
          </w:tcPr>
          <w:p w14:paraId="00650D56" w14:textId="77777777" w:rsidR="00F0236A" w:rsidRPr="00073574" w:rsidRDefault="00F0236A" w:rsidP="005B5893">
            <w:pPr>
              <w:pStyle w:val="Tabletext"/>
              <w:keepNext/>
              <w:keepLines/>
              <w:rPr>
                <w:b/>
                <w:bCs/>
                <w:sz w:val="24"/>
                <w:szCs w:val="24"/>
              </w:rPr>
            </w:pPr>
            <w:r w:rsidRPr="00073574">
              <w:rPr>
                <w:b/>
                <w:bCs/>
                <w:sz w:val="24"/>
                <w:szCs w:val="24"/>
              </w:rPr>
              <w:t>44-33</w:t>
            </w:r>
          </w:p>
        </w:tc>
        <w:tc>
          <w:tcPr>
            <w:tcW w:w="4512" w:type="dxa"/>
            <w:tcBorders>
              <w:top w:val="single" w:sz="12" w:space="0" w:color="auto"/>
              <w:left w:val="single" w:sz="4" w:space="0" w:color="auto"/>
              <w:bottom w:val="single" w:sz="4" w:space="0" w:color="auto"/>
              <w:right w:val="single" w:sz="4" w:space="0" w:color="auto"/>
            </w:tcBorders>
            <w:shd w:val="clear" w:color="auto" w:fill="auto"/>
          </w:tcPr>
          <w:p w14:paraId="3FBD47B3" w14:textId="77777777" w:rsidR="00F0236A" w:rsidRPr="00073574" w:rsidRDefault="00F0236A" w:rsidP="005B5893">
            <w:pPr>
              <w:pStyle w:val="Tabletext"/>
              <w:keepNext/>
              <w:keepLines/>
              <w:rPr>
                <w:b/>
                <w:bCs/>
                <w:sz w:val="24"/>
                <w:szCs w:val="24"/>
              </w:rPr>
            </w:pPr>
            <w:r w:rsidRPr="00073574">
              <w:rPr>
                <w:b/>
                <w:bCs/>
                <w:sz w:val="24"/>
                <w:szCs w:val="24"/>
              </w:rPr>
              <w:t>TSB Director to leverage existing ITU-D platforms. (I. TSBDir 15)</w:t>
            </w:r>
          </w:p>
        </w:tc>
        <w:tc>
          <w:tcPr>
            <w:tcW w:w="1637" w:type="dxa"/>
            <w:tcBorders>
              <w:top w:val="single" w:sz="12" w:space="0" w:color="auto"/>
              <w:left w:val="single" w:sz="4" w:space="0" w:color="auto"/>
              <w:bottom w:val="single" w:sz="4" w:space="0" w:color="auto"/>
              <w:right w:val="single" w:sz="4" w:space="0" w:color="auto"/>
            </w:tcBorders>
            <w:shd w:val="clear" w:color="auto" w:fill="auto"/>
            <w:vAlign w:val="center"/>
          </w:tcPr>
          <w:p w14:paraId="5B74855B" w14:textId="77777777" w:rsidR="00F0236A" w:rsidRPr="00073574" w:rsidRDefault="00F0236A" w:rsidP="005B5893">
            <w:pPr>
              <w:pStyle w:val="Tabletext"/>
              <w:keepNext/>
              <w:keepLines/>
              <w:jc w:val="center"/>
              <w:rPr>
                <w:b/>
                <w:bCs/>
                <w:sz w:val="24"/>
                <w:szCs w:val="24"/>
              </w:rPr>
            </w:pPr>
            <w:r w:rsidRPr="00073574">
              <w:rPr>
                <w:b/>
                <w:bCs/>
                <w:sz w:val="24"/>
                <w:szCs w:val="24"/>
              </w:rPr>
              <w:t>Ongoing</w:t>
            </w:r>
          </w:p>
        </w:tc>
        <w:tc>
          <w:tcPr>
            <w:tcW w:w="1129" w:type="dxa"/>
            <w:tcBorders>
              <w:top w:val="single" w:sz="12" w:space="0" w:color="auto"/>
              <w:left w:val="single" w:sz="4" w:space="0" w:color="auto"/>
              <w:bottom w:val="single" w:sz="4" w:space="0" w:color="auto"/>
              <w:right w:val="single" w:sz="4" w:space="0" w:color="auto"/>
            </w:tcBorders>
            <w:shd w:val="clear" w:color="auto" w:fill="auto"/>
            <w:vAlign w:val="center"/>
          </w:tcPr>
          <w:p w14:paraId="202CC86E" w14:textId="77777777" w:rsidR="00F0236A" w:rsidRPr="00073574" w:rsidDel="00B11C77" w:rsidRDefault="00F0236A" w:rsidP="005B5893">
            <w:pPr>
              <w:pStyle w:val="Tabletext"/>
              <w:keepNext/>
              <w:keepLines/>
              <w:jc w:val="center"/>
              <w:rPr>
                <w:b/>
                <w:bCs/>
                <w:sz w:val="24"/>
                <w:szCs w:val="24"/>
              </w:rPr>
            </w:pPr>
            <w:r w:rsidRPr="00073574">
              <w:rPr>
                <w:b/>
                <w:bCs/>
                <w:sz w:val="24"/>
                <w:szCs w:val="24"/>
              </w:rPr>
              <w:t>√</w:t>
            </w:r>
          </w:p>
        </w:tc>
        <w:tc>
          <w:tcPr>
            <w:tcW w:w="1348"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7111EBAA" w14:textId="77777777" w:rsidR="00F0236A" w:rsidRPr="00073574" w:rsidRDefault="00F0236A" w:rsidP="005B5893">
            <w:pPr>
              <w:pStyle w:val="Tabletext"/>
              <w:keepNext/>
              <w:keepLines/>
              <w:jc w:val="center"/>
              <w:rPr>
                <w:b/>
                <w:bCs/>
                <w:sz w:val="24"/>
                <w:szCs w:val="24"/>
              </w:rPr>
            </w:pPr>
          </w:p>
        </w:tc>
      </w:tr>
      <w:tr w:rsidR="00F0236A" w:rsidRPr="00073574" w14:paraId="413666C4" w14:textId="77777777" w:rsidTr="4D78197E">
        <w:trPr>
          <w:jc w:val="center"/>
        </w:trPr>
        <w:tc>
          <w:tcPr>
            <w:tcW w:w="896" w:type="dxa"/>
            <w:vMerge/>
          </w:tcPr>
          <w:p w14:paraId="03B8124B" w14:textId="77777777" w:rsidR="00F0236A" w:rsidRPr="00073574" w:rsidRDefault="00F0236A" w:rsidP="005B5893">
            <w:pPr>
              <w:pStyle w:val="Tabletext"/>
              <w:keepNext/>
              <w:keepLines/>
              <w:rPr>
                <w:sz w:val="24"/>
                <w:szCs w:val="24"/>
              </w:rPr>
            </w:pPr>
          </w:p>
        </w:tc>
        <w:tc>
          <w:tcPr>
            <w:tcW w:w="8626" w:type="dxa"/>
            <w:gridSpan w:val="5"/>
            <w:tcBorders>
              <w:top w:val="single" w:sz="4" w:space="0" w:color="auto"/>
              <w:left w:val="single" w:sz="4" w:space="0" w:color="auto"/>
              <w:bottom w:val="single" w:sz="12" w:space="0" w:color="auto"/>
              <w:right w:val="single" w:sz="12" w:space="0" w:color="auto"/>
            </w:tcBorders>
            <w:shd w:val="clear" w:color="auto" w:fill="auto"/>
          </w:tcPr>
          <w:p w14:paraId="47A28789" w14:textId="77777777" w:rsidR="00F0236A" w:rsidRPr="00073574" w:rsidRDefault="00F0236A" w:rsidP="005B5893">
            <w:pPr>
              <w:pStyle w:val="Tabletext"/>
              <w:keepNext/>
              <w:keepLines/>
              <w:rPr>
                <w:szCs w:val="22"/>
              </w:rPr>
            </w:pPr>
            <w:r w:rsidRPr="00073574">
              <w:rPr>
                <w:szCs w:val="22"/>
              </w:rPr>
              <w:t>Ongoing.</w:t>
            </w:r>
          </w:p>
        </w:tc>
      </w:tr>
      <w:tr w:rsidR="00F0236A" w:rsidRPr="00073574" w14:paraId="7F1EB74D" w14:textId="77777777" w:rsidTr="4D78197E">
        <w:trPr>
          <w:jc w:val="center"/>
        </w:trPr>
        <w:tc>
          <w:tcPr>
            <w:tcW w:w="896" w:type="dxa"/>
            <w:vMerge w:val="restart"/>
            <w:tcBorders>
              <w:top w:val="single" w:sz="12" w:space="0" w:color="auto"/>
              <w:left w:val="single" w:sz="12" w:space="0" w:color="auto"/>
              <w:right w:val="single" w:sz="4" w:space="0" w:color="auto"/>
            </w:tcBorders>
            <w:shd w:val="clear" w:color="auto" w:fill="auto"/>
          </w:tcPr>
          <w:p w14:paraId="5F11386E" w14:textId="77777777" w:rsidR="00F0236A" w:rsidRPr="00073574" w:rsidRDefault="00F0236A" w:rsidP="00421132">
            <w:pPr>
              <w:pStyle w:val="Tabletext"/>
              <w:rPr>
                <w:b/>
                <w:bCs/>
                <w:sz w:val="24"/>
                <w:szCs w:val="24"/>
              </w:rPr>
            </w:pPr>
            <w:r w:rsidRPr="00073574">
              <w:rPr>
                <w:b/>
                <w:bCs/>
                <w:sz w:val="24"/>
                <w:szCs w:val="24"/>
              </w:rPr>
              <w:t>44-34</w:t>
            </w:r>
          </w:p>
        </w:tc>
        <w:tc>
          <w:tcPr>
            <w:tcW w:w="4512" w:type="dxa"/>
            <w:tcBorders>
              <w:top w:val="single" w:sz="12" w:space="0" w:color="auto"/>
              <w:left w:val="single" w:sz="4" w:space="0" w:color="auto"/>
              <w:bottom w:val="single" w:sz="4" w:space="0" w:color="auto"/>
              <w:right w:val="single" w:sz="4" w:space="0" w:color="auto"/>
            </w:tcBorders>
            <w:shd w:val="clear" w:color="auto" w:fill="auto"/>
          </w:tcPr>
          <w:p w14:paraId="32AEBBE3" w14:textId="77777777" w:rsidR="00F0236A" w:rsidRPr="00073574" w:rsidRDefault="00F0236A" w:rsidP="00421132">
            <w:pPr>
              <w:pStyle w:val="Tabletext"/>
              <w:rPr>
                <w:b/>
                <w:bCs/>
                <w:sz w:val="24"/>
                <w:szCs w:val="24"/>
              </w:rPr>
            </w:pPr>
            <w:r w:rsidRPr="00073574">
              <w:rPr>
                <w:b/>
                <w:bCs/>
                <w:sz w:val="24"/>
                <w:szCs w:val="24"/>
              </w:rPr>
              <w:t>TSB Director to study the possibility of generating revenue for ITU-T on bridging the standardization gap, through identifying new financial resources not related to voluntary contributions. (i. TSBDir 16)</w:t>
            </w:r>
          </w:p>
        </w:tc>
        <w:tc>
          <w:tcPr>
            <w:tcW w:w="1637" w:type="dxa"/>
            <w:tcBorders>
              <w:top w:val="single" w:sz="12" w:space="0" w:color="auto"/>
              <w:left w:val="single" w:sz="4" w:space="0" w:color="auto"/>
              <w:bottom w:val="single" w:sz="4" w:space="0" w:color="auto"/>
              <w:right w:val="single" w:sz="4" w:space="0" w:color="auto"/>
            </w:tcBorders>
            <w:shd w:val="clear" w:color="auto" w:fill="auto"/>
            <w:vAlign w:val="center"/>
          </w:tcPr>
          <w:p w14:paraId="746ACAD4" w14:textId="77777777" w:rsidR="00F0236A" w:rsidRPr="00073574" w:rsidRDefault="00F0236A" w:rsidP="00421132">
            <w:pPr>
              <w:pStyle w:val="Tabletext"/>
              <w:jc w:val="center"/>
              <w:rPr>
                <w:b/>
                <w:bCs/>
                <w:sz w:val="24"/>
                <w:szCs w:val="24"/>
              </w:rPr>
            </w:pPr>
            <w:r w:rsidRPr="00073574">
              <w:rPr>
                <w:b/>
                <w:bCs/>
                <w:sz w:val="24"/>
                <w:szCs w:val="24"/>
              </w:rPr>
              <w:t>Ongoing</w:t>
            </w:r>
          </w:p>
        </w:tc>
        <w:tc>
          <w:tcPr>
            <w:tcW w:w="1129" w:type="dxa"/>
            <w:tcBorders>
              <w:top w:val="single" w:sz="12" w:space="0" w:color="auto"/>
              <w:left w:val="single" w:sz="4" w:space="0" w:color="auto"/>
              <w:bottom w:val="single" w:sz="4" w:space="0" w:color="auto"/>
              <w:right w:val="single" w:sz="4" w:space="0" w:color="auto"/>
            </w:tcBorders>
            <w:shd w:val="clear" w:color="auto" w:fill="auto"/>
            <w:vAlign w:val="center"/>
          </w:tcPr>
          <w:p w14:paraId="3FF41F47" w14:textId="5F4F5531" w:rsidR="00F0236A" w:rsidRPr="00073574" w:rsidDel="00B11C77" w:rsidRDefault="00F0236A" w:rsidP="00421132">
            <w:pPr>
              <w:pStyle w:val="Tabletext"/>
              <w:jc w:val="center"/>
              <w:rPr>
                <w:b/>
                <w:bCs/>
                <w:sz w:val="24"/>
                <w:szCs w:val="24"/>
              </w:rPr>
            </w:pPr>
            <w:r w:rsidRPr="00073574">
              <w:rPr>
                <w:b/>
                <w:bCs/>
                <w:sz w:val="24"/>
                <w:szCs w:val="24"/>
              </w:rPr>
              <w:t>√</w:t>
            </w:r>
          </w:p>
        </w:tc>
        <w:tc>
          <w:tcPr>
            <w:tcW w:w="1348"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1360AECD" w14:textId="77777777" w:rsidR="00F0236A" w:rsidRPr="00073574" w:rsidRDefault="00F0236A" w:rsidP="00421132">
            <w:pPr>
              <w:pStyle w:val="Tabletext"/>
              <w:jc w:val="center"/>
              <w:rPr>
                <w:b/>
                <w:bCs/>
                <w:sz w:val="24"/>
                <w:szCs w:val="24"/>
              </w:rPr>
            </w:pPr>
          </w:p>
        </w:tc>
      </w:tr>
      <w:tr w:rsidR="00F0236A" w:rsidRPr="00073574" w14:paraId="4B8D6701" w14:textId="77777777" w:rsidTr="4D78197E">
        <w:trPr>
          <w:jc w:val="center"/>
        </w:trPr>
        <w:tc>
          <w:tcPr>
            <w:tcW w:w="896" w:type="dxa"/>
            <w:vMerge/>
          </w:tcPr>
          <w:p w14:paraId="586AF417" w14:textId="77777777" w:rsidR="00F0236A" w:rsidRPr="00073574" w:rsidRDefault="00F0236A" w:rsidP="00421132">
            <w:pPr>
              <w:pStyle w:val="Tabletext"/>
              <w:rPr>
                <w:sz w:val="24"/>
                <w:szCs w:val="24"/>
              </w:rPr>
            </w:pPr>
          </w:p>
        </w:tc>
        <w:tc>
          <w:tcPr>
            <w:tcW w:w="8626" w:type="dxa"/>
            <w:gridSpan w:val="5"/>
            <w:tcBorders>
              <w:top w:val="single" w:sz="4" w:space="0" w:color="auto"/>
              <w:left w:val="single" w:sz="4" w:space="0" w:color="auto"/>
              <w:bottom w:val="single" w:sz="12" w:space="0" w:color="auto"/>
              <w:right w:val="single" w:sz="12" w:space="0" w:color="auto"/>
            </w:tcBorders>
            <w:shd w:val="clear" w:color="auto" w:fill="auto"/>
          </w:tcPr>
          <w:p w14:paraId="1A22FE95" w14:textId="6D508165" w:rsidR="00AA5420" w:rsidRPr="00073574" w:rsidRDefault="00AA5420" w:rsidP="21540CF0">
            <w:pPr>
              <w:pStyle w:val="Tabletext"/>
              <w:rPr>
                <w:rFonts w:asciiTheme="majorBidi" w:hAnsiTheme="majorBidi" w:cstheme="majorBidi"/>
              </w:rPr>
            </w:pPr>
            <w:r w:rsidRPr="00073574">
              <w:rPr>
                <w:rFonts w:asciiTheme="majorBidi" w:hAnsiTheme="majorBidi" w:cstheme="majorBidi"/>
              </w:rPr>
              <w:t xml:space="preserve">The Ministry of Science, ICT and Future Planning (MSIP) of Korea </w:t>
            </w:r>
            <w:r w:rsidR="00B8084B" w:rsidRPr="00073574">
              <w:rPr>
                <w:rFonts w:asciiTheme="majorBidi" w:hAnsiTheme="majorBidi" w:cstheme="majorBidi"/>
              </w:rPr>
              <w:t xml:space="preserve">(Rep. of) </w:t>
            </w:r>
            <w:r w:rsidR="00881E45" w:rsidRPr="00073574">
              <w:rPr>
                <w:rFonts w:asciiTheme="majorBidi" w:hAnsiTheme="majorBidi" w:cstheme="majorBidi"/>
              </w:rPr>
              <w:t>and the Telecommunications Regulatory Authority (TRA</w:t>
            </w:r>
            <w:r w:rsidR="07B80A56" w:rsidRPr="00073574">
              <w:rPr>
                <w:rFonts w:asciiTheme="majorBidi" w:hAnsiTheme="majorBidi" w:cstheme="majorBidi"/>
              </w:rPr>
              <w:t>)</w:t>
            </w:r>
            <w:r w:rsidR="00881E45" w:rsidRPr="00073574">
              <w:rPr>
                <w:rFonts w:asciiTheme="majorBidi" w:hAnsiTheme="majorBidi" w:cstheme="majorBidi"/>
              </w:rPr>
              <w:t xml:space="preserve">, UAE </w:t>
            </w:r>
            <w:r w:rsidRPr="00073574">
              <w:rPr>
                <w:rFonts w:asciiTheme="majorBidi" w:hAnsiTheme="majorBidi" w:cstheme="majorBidi"/>
              </w:rPr>
              <w:t>ha</w:t>
            </w:r>
            <w:r w:rsidR="00881E45" w:rsidRPr="00073574">
              <w:rPr>
                <w:rFonts w:asciiTheme="majorBidi" w:hAnsiTheme="majorBidi" w:cstheme="majorBidi"/>
              </w:rPr>
              <w:t>ve</w:t>
            </w:r>
            <w:r w:rsidRPr="00073574">
              <w:rPr>
                <w:rFonts w:asciiTheme="majorBidi" w:hAnsiTheme="majorBidi" w:cstheme="majorBidi"/>
              </w:rPr>
              <w:t xml:space="preserve"> made contribution</w:t>
            </w:r>
            <w:r w:rsidR="00D33E90" w:rsidRPr="00073574">
              <w:rPr>
                <w:rFonts w:asciiTheme="majorBidi" w:hAnsiTheme="majorBidi" w:cstheme="majorBidi"/>
              </w:rPr>
              <w:t>s</w:t>
            </w:r>
            <w:r w:rsidRPr="00073574">
              <w:rPr>
                <w:rFonts w:asciiTheme="majorBidi" w:hAnsiTheme="majorBidi" w:cstheme="majorBidi"/>
              </w:rPr>
              <w:t xml:space="preserve"> to the BSG Fund. TSB is encouraging other voluntary contributions to the BSG Fund.</w:t>
            </w:r>
          </w:p>
        </w:tc>
      </w:tr>
      <w:tr w:rsidR="00F0236A" w:rsidRPr="00073574" w14:paraId="1BF56AC9" w14:textId="77777777" w:rsidTr="4D78197E">
        <w:trPr>
          <w:jc w:val="center"/>
        </w:trPr>
        <w:tc>
          <w:tcPr>
            <w:tcW w:w="896" w:type="dxa"/>
            <w:vMerge w:val="restart"/>
            <w:tcBorders>
              <w:top w:val="single" w:sz="12" w:space="0" w:color="auto"/>
              <w:left w:val="single" w:sz="12" w:space="0" w:color="auto"/>
              <w:right w:val="single" w:sz="4" w:space="0" w:color="auto"/>
            </w:tcBorders>
            <w:shd w:val="clear" w:color="auto" w:fill="auto"/>
          </w:tcPr>
          <w:p w14:paraId="0AB57924" w14:textId="77777777" w:rsidR="00F0236A" w:rsidRPr="00073574" w:rsidRDefault="00F0236A" w:rsidP="008128E2">
            <w:pPr>
              <w:pStyle w:val="Tabletext"/>
              <w:keepNext/>
              <w:keepLines/>
              <w:rPr>
                <w:b/>
                <w:bCs/>
                <w:sz w:val="24"/>
                <w:szCs w:val="24"/>
              </w:rPr>
            </w:pPr>
            <w:r w:rsidRPr="00073574">
              <w:rPr>
                <w:b/>
                <w:bCs/>
                <w:sz w:val="24"/>
                <w:szCs w:val="24"/>
              </w:rPr>
              <w:t>44-35</w:t>
            </w:r>
          </w:p>
        </w:tc>
        <w:tc>
          <w:tcPr>
            <w:tcW w:w="4512" w:type="dxa"/>
            <w:tcBorders>
              <w:top w:val="single" w:sz="12" w:space="0" w:color="auto"/>
              <w:left w:val="single" w:sz="4" w:space="0" w:color="auto"/>
              <w:bottom w:val="single" w:sz="4" w:space="0" w:color="auto"/>
              <w:right w:val="single" w:sz="4" w:space="0" w:color="auto"/>
            </w:tcBorders>
            <w:shd w:val="clear" w:color="auto" w:fill="auto"/>
          </w:tcPr>
          <w:p w14:paraId="6EF52381" w14:textId="77777777" w:rsidR="00F0236A" w:rsidRPr="00073574" w:rsidRDefault="00F0236A" w:rsidP="00DF36E1">
            <w:pPr>
              <w:pStyle w:val="Tabletext"/>
              <w:rPr>
                <w:b/>
                <w:bCs/>
                <w:sz w:val="24"/>
                <w:szCs w:val="24"/>
              </w:rPr>
            </w:pPr>
            <w:r w:rsidRPr="00073574">
              <w:rPr>
                <w:b/>
                <w:bCs/>
                <w:sz w:val="24"/>
                <w:szCs w:val="24"/>
              </w:rPr>
              <w:t>ITU-T study groups to identify the challenges that developing countries are facing with a view to bridging the standardization gap among Member States. (f.i. SGs 4)</w:t>
            </w:r>
          </w:p>
        </w:tc>
        <w:tc>
          <w:tcPr>
            <w:tcW w:w="1637" w:type="dxa"/>
            <w:tcBorders>
              <w:top w:val="single" w:sz="12" w:space="0" w:color="auto"/>
              <w:left w:val="single" w:sz="4" w:space="0" w:color="auto"/>
              <w:bottom w:val="single" w:sz="4" w:space="0" w:color="auto"/>
              <w:right w:val="single" w:sz="4" w:space="0" w:color="auto"/>
            </w:tcBorders>
            <w:shd w:val="clear" w:color="auto" w:fill="auto"/>
            <w:vAlign w:val="center"/>
          </w:tcPr>
          <w:p w14:paraId="4D600C5D"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29" w:type="dxa"/>
            <w:tcBorders>
              <w:top w:val="single" w:sz="12" w:space="0" w:color="auto"/>
              <w:left w:val="single" w:sz="4" w:space="0" w:color="auto"/>
              <w:bottom w:val="single" w:sz="4" w:space="0" w:color="auto"/>
              <w:right w:val="single" w:sz="4" w:space="0" w:color="auto"/>
            </w:tcBorders>
            <w:shd w:val="clear" w:color="auto" w:fill="auto"/>
            <w:vAlign w:val="center"/>
          </w:tcPr>
          <w:p w14:paraId="78C73967" w14:textId="77777777" w:rsidR="00F0236A" w:rsidRPr="00073574" w:rsidDel="00B11C77" w:rsidRDefault="00F0236A" w:rsidP="00DF36E1">
            <w:pPr>
              <w:pStyle w:val="Tabletext"/>
              <w:jc w:val="center"/>
              <w:rPr>
                <w:b/>
                <w:bCs/>
                <w:sz w:val="24"/>
                <w:szCs w:val="24"/>
              </w:rPr>
            </w:pPr>
            <w:r w:rsidRPr="00073574">
              <w:rPr>
                <w:b/>
                <w:bCs/>
                <w:sz w:val="24"/>
                <w:szCs w:val="24"/>
              </w:rPr>
              <w:t>√</w:t>
            </w:r>
          </w:p>
        </w:tc>
        <w:tc>
          <w:tcPr>
            <w:tcW w:w="1348"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0DF21AA9" w14:textId="77777777" w:rsidR="00F0236A" w:rsidRPr="00073574" w:rsidRDefault="00F0236A" w:rsidP="00DF36E1">
            <w:pPr>
              <w:pStyle w:val="Tabletext"/>
              <w:jc w:val="center"/>
              <w:rPr>
                <w:b/>
                <w:bCs/>
                <w:sz w:val="24"/>
                <w:szCs w:val="24"/>
              </w:rPr>
            </w:pPr>
          </w:p>
        </w:tc>
      </w:tr>
      <w:tr w:rsidR="00F0236A" w:rsidRPr="00073574" w14:paraId="3E2975A8" w14:textId="77777777" w:rsidTr="4D78197E">
        <w:trPr>
          <w:jc w:val="center"/>
        </w:trPr>
        <w:tc>
          <w:tcPr>
            <w:tcW w:w="896" w:type="dxa"/>
            <w:vMerge/>
          </w:tcPr>
          <w:p w14:paraId="310E6D00" w14:textId="77777777" w:rsidR="00F0236A" w:rsidRPr="00073574" w:rsidRDefault="00F0236A" w:rsidP="00DF36E1">
            <w:pPr>
              <w:pStyle w:val="Tabletext"/>
              <w:rPr>
                <w:sz w:val="24"/>
                <w:szCs w:val="24"/>
              </w:rPr>
            </w:pPr>
          </w:p>
        </w:tc>
        <w:tc>
          <w:tcPr>
            <w:tcW w:w="8626" w:type="dxa"/>
            <w:gridSpan w:val="5"/>
            <w:tcBorders>
              <w:top w:val="single" w:sz="4" w:space="0" w:color="auto"/>
              <w:left w:val="single" w:sz="4" w:space="0" w:color="auto"/>
              <w:bottom w:val="single" w:sz="12" w:space="0" w:color="auto"/>
              <w:right w:val="single" w:sz="12" w:space="0" w:color="auto"/>
            </w:tcBorders>
            <w:shd w:val="clear" w:color="auto" w:fill="auto"/>
          </w:tcPr>
          <w:p w14:paraId="11785386" w14:textId="6AC5D26D" w:rsidR="00F0236A" w:rsidRPr="00073574" w:rsidRDefault="00F0236A" w:rsidP="002E241A">
            <w:pPr>
              <w:pStyle w:val="ListParagraph"/>
              <w:numPr>
                <w:ilvl w:val="0"/>
                <w:numId w:val="34"/>
              </w:numPr>
              <w:spacing w:before="40"/>
              <w:ind w:left="357" w:hanging="357"/>
              <w:contextualSpacing w:val="0"/>
            </w:pPr>
            <w:r w:rsidRPr="00073574">
              <w:t xml:space="preserve">SG2: The Ad hoc group on developing country issues met during the SG2 meeting of 29 March to 7 April 2017 and agreed that </w:t>
            </w:r>
            <w:r w:rsidR="003C7E25" w:rsidRPr="00073574">
              <w:t>"</w:t>
            </w:r>
            <w:r w:rsidRPr="00073574">
              <w:t xml:space="preserve">Combating misuse of national numbering </w:t>
            </w:r>
            <w:r w:rsidRPr="00073574">
              <w:lastRenderedPageBreak/>
              <w:t>resources</w:t>
            </w:r>
            <w:r w:rsidR="003C7E25" w:rsidRPr="00073574">
              <w:t>"</w:t>
            </w:r>
            <w:r w:rsidRPr="00073574">
              <w:t xml:space="preserve">, </w:t>
            </w:r>
            <w:r w:rsidR="003C7E25" w:rsidRPr="00073574">
              <w:t>"</w:t>
            </w:r>
            <w:r w:rsidRPr="00073574">
              <w:t>Assignment of Mobile Codes</w:t>
            </w:r>
            <w:r w:rsidR="003C7E25" w:rsidRPr="00073574">
              <w:t>"</w:t>
            </w:r>
            <w:r w:rsidRPr="00073574">
              <w:t xml:space="preserve">, </w:t>
            </w:r>
            <w:r w:rsidR="003C7E25" w:rsidRPr="00073574">
              <w:t>"</w:t>
            </w:r>
            <w:r w:rsidRPr="00073574">
              <w:t>Calling Party Number Delivery</w:t>
            </w:r>
            <w:r w:rsidR="003C7E25" w:rsidRPr="00073574">
              <w:t>"</w:t>
            </w:r>
            <w:r w:rsidRPr="00073574">
              <w:t xml:space="preserve">, </w:t>
            </w:r>
            <w:r w:rsidR="003C7E25" w:rsidRPr="00073574">
              <w:t>"</w:t>
            </w:r>
            <w:r w:rsidRPr="00073574">
              <w:t>Alternative Calling Procedures</w:t>
            </w:r>
            <w:r w:rsidR="003C7E25" w:rsidRPr="00073574">
              <w:t>"</w:t>
            </w:r>
            <w:r w:rsidRPr="00073574">
              <w:t xml:space="preserve">, </w:t>
            </w:r>
            <w:r w:rsidR="003C7E25" w:rsidRPr="00073574">
              <w:t>"</w:t>
            </w:r>
            <w:r w:rsidRPr="00073574">
              <w:t>OTT related issues</w:t>
            </w:r>
            <w:r w:rsidR="003C7E25" w:rsidRPr="00073574">
              <w:t>"</w:t>
            </w:r>
            <w:r w:rsidRPr="00073574">
              <w:t xml:space="preserve">, </w:t>
            </w:r>
            <w:r w:rsidR="003C7E25" w:rsidRPr="00073574">
              <w:t>"</w:t>
            </w:r>
            <w:r w:rsidRPr="00073574">
              <w:t>IoT Identification</w:t>
            </w:r>
            <w:r w:rsidR="003C7E25" w:rsidRPr="00073574">
              <w:t>"</w:t>
            </w:r>
            <w:r w:rsidRPr="00073574">
              <w:t xml:space="preserve"> and </w:t>
            </w:r>
            <w:r w:rsidR="003C7E25" w:rsidRPr="00073574">
              <w:t>"</w:t>
            </w:r>
            <w:r w:rsidRPr="00073574">
              <w:t>Digital Financial Services and Telecom Finance</w:t>
            </w:r>
            <w:r w:rsidR="003C7E25" w:rsidRPr="00073574">
              <w:t>"</w:t>
            </w:r>
            <w:r w:rsidRPr="00073574">
              <w:t xml:space="preserve"> are important areas under SG2 for developing countries.</w:t>
            </w:r>
            <w:r w:rsidR="00664973" w:rsidRPr="00073574">
              <w:t xml:space="preserve"> “SIM boxes activities and SIM registration enforcement as a solution for this issue”, “CLI spoofing”, “Numbering plan related issues” and “Call location identification in terms of emergency response” were added to the list following the meeting of the ad hoc group in July 2018.</w:t>
            </w:r>
            <w:r w:rsidR="002435AA" w:rsidRPr="00073574">
              <w:t xml:space="preserve"> Further topics of interest were identified in December 2019: Numbering resources misuse and fraudulent activities, Numbering plan related issues, Call location identification in terms of emergency response, CLI spoofing and calling party number delivery, IoT and M2M numbering issues, and </w:t>
            </w:r>
            <w:r w:rsidR="003E0C95">
              <w:t>d</w:t>
            </w:r>
            <w:r w:rsidR="002435AA" w:rsidRPr="00073574">
              <w:t>eemed impermissible traffic.</w:t>
            </w:r>
            <w:r w:rsidR="00157979" w:rsidRPr="00073574">
              <w:t xml:space="preserve"> These topics </w:t>
            </w:r>
            <w:r w:rsidR="000762A1" w:rsidRPr="00073574">
              <w:t>were discussed and reaffirmed at the joint e-meeting of SG2RG-AFR and SG2RG-ARB held on 17 May 2021</w:t>
            </w:r>
            <w:r w:rsidR="00BD7818" w:rsidRPr="00073574">
              <w:t>, and at the e-meeting of SG2RG-AMR</w:t>
            </w:r>
            <w:r w:rsidR="00BB5E87" w:rsidRPr="00073574">
              <w:t xml:space="preserve"> held on 7 September 2021</w:t>
            </w:r>
            <w:r w:rsidR="000762A1" w:rsidRPr="00073574">
              <w:t>.</w:t>
            </w:r>
            <w:r w:rsidR="00BB5E87" w:rsidRPr="00073574">
              <w:t xml:space="preserve"> These topics remain under study in the ad hoc group on developing country issue</w:t>
            </w:r>
            <w:r w:rsidR="00FB1646" w:rsidRPr="00073574">
              <w:t>, which meets at each full meet of ITU-T SG2.</w:t>
            </w:r>
          </w:p>
          <w:p w14:paraId="5028E9D6" w14:textId="77777777" w:rsidR="00F0236A" w:rsidRPr="00073574" w:rsidRDefault="00F0236A" w:rsidP="002E241A">
            <w:pPr>
              <w:pStyle w:val="ListParagraph"/>
              <w:numPr>
                <w:ilvl w:val="0"/>
                <w:numId w:val="34"/>
              </w:numPr>
              <w:ind w:left="357" w:hanging="357"/>
              <w:contextualSpacing w:val="0"/>
            </w:pPr>
            <w:r w:rsidRPr="00073574">
              <w:t>SG3 approved the Terms of Reference of five of its Regional Groups. These ToRs include the identification of the challenges that developing countries are facing with a view to bridging the standardization gap.</w:t>
            </w:r>
          </w:p>
          <w:p w14:paraId="4C9F8C63" w14:textId="612CF44B" w:rsidR="00F0236A" w:rsidRPr="00073574" w:rsidRDefault="00F0236A" w:rsidP="002E241A">
            <w:pPr>
              <w:pStyle w:val="ListParagraph"/>
              <w:numPr>
                <w:ilvl w:val="0"/>
                <w:numId w:val="34"/>
              </w:numPr>
              <w:ind w:left="357" w:hanging="357"/>
              <w:contextualSpacing w:val="0"/>
            </w:pPr>
            <w:r w:rsidRPr="00073574">
              <w:t>SG5 develops Recommendations and Supplements on ICTs</w:t>
            </w:r>
            <w:r w:rsidR="000D54E1" w:rsidRPr="00073574">
              <w:t>,</w:t>
            </w:r>
            <w:r w:rsidRPr="00073574">
              <w:t xml:space="preserve"> climate change</w:t>
            </w:r>
            <w:r w:rsidR="000D54E1" w:rsidRPr="00073574">
              <w:t xml:space="preserve"> and circular economy including e-waste</w:t>
            </w:r>
            <w:r w:rsidRPr="00073574">
              <w:t xml:space="preserve"> focused on developing countries.</w:t>
            </w:r>
          </w:p>
          <w:p w14:paraId="14A4D4F0" w14:textId="4CAF5BB6" w:rsidR="00DD67CC" w:rsidRPr="00073574" w:rsidRDefault="00DD67CC" w:rsidP="002E241A">
            <w:pPr>
              <w:pStyle w:val="ListParagraph"/>
              <w:numPr>
                <w:ilvl w:val="0"/>
                <w:numId w:val="34"/>
              </w:numPr>
              <w:contextualSpacing w:val="0"/>
            </w:pPr>
            <w:r w:rsidRPr="00073574">
              <w:t>SG5 is developing draft Recommendation ITU-T L.Counterfeit “Adequate Assessment and Sensitisation on Counterfeit ICT Products and their Environmental Impact”.</w:t>
            </w:r>
          </w:p>
          <w:p w14:paraId="7E5E2895" w14:textId="3C20E92F" w:rsidR="005074FD" w:rsidRPr="00073574" w:rsidRDefault="44AF0D9C" w:rsidP="002E241A">
            <w:pPr>
              <w:pStyle w:val="ListParagraph"/>
              <w:numPr>
                <w:ilvl w:val="0"/>
                <w:numId w:val="34"/>
              </w:numPr>
              <w:contextualSpacing w:val="0"/>
            </w:pPr>
            <w:r w:rsidRPr="00073574">
              <w:t>SG5 is developing draft Recommendation ITU-T L.SM_B “Sustainable management of batteries resulting from ICT equipment”.</w:t>
            </w:r>
          </w:p>
          <w:p w14:paraId="379A8DA7" w14:textId="0FCEC7D1" w:rsidR="420D9354" w:rsidRPr="00073574" w:rsidRDefault="420D9354" w:rsidP="002E241A">
            <w:pPr>
              <w:pStyle w:val="ListParagraph"/>
              <w:numPr>
                <w:ilvl w:val="0"/>
                <w:numId w:val="34"/>
              </w:numPr>
              <w:ind w:left="357" w:hanging="357"/>
              <w:contextualSpacing w:val="0"/>
              <w:rPr>
                <w:rFonts w:eastAsia="Times New Roman"/>
              </w:rPr>
            </w:pPr>
            <w:r w:rsidRPr="00073574">
              <w:t>SG5 is developing draft Recommendation ITU-T L.</w:t>
            </w:r>
            <w:r w:rsidR="20B3662A" w:rsidRPr="00073574">
              <w:t>HL_e-waste “Guide for the institutions of higher learning to contribute in the effective management of e-waste"</w:t>
            </w:r>
            <w:r w:rsidR="00347C33" w:rsidRPr="00073574">
              <w:t>.</w:t>
            </w:r>
          </w:p>
          <w:p w14:paraId="407A787E" w14:textId="3DDF27DF" w:rsidR="005F6B6C" w:rsidRPr="00073574" w:rsidRDefault="00F0236A" w:rsidP="005F6B6C">
            <w:pPr>
              <w:pStyle w:val="ListParagraph"/>
              <w:numPr>
                <w:ilvl w:val="0"/>
                <w:numId w:val="34"/>
              </w:numPr>
            </w:pPr>
            <w:r w:rsidRPr="00073574">
              <w:t>SG9 organiz</w:t>
            </w:r>
            <w:r w:rsidR="00F461C6" w:rsidRPr="00073574">
              <w:t>ed</w:t>
            </w:r>
            <w:r w:rsidRPr="00073574">
              <w:t xml:space="preserve"> a workshop on 26 May 2017 in Hangzhou, China on </w:t>
            </w:r>
            <w:r w:rsidR="003C7E25" w:rsidRPr="00073574">
              <w:rPr>
                <w:i/>
              </w:rPr>
              <w:t>"</w:t>
            </w:r>
            <w:hyperlink r:id="rId332">
              <w:r w:rsidRPr="00073574">
                <w:rPr>
                  <w:rStyle w:val="Hyperlink"/>
                  <w:rFonts w:cs="Segoe UI"/>
                  <w:i/>
                  <w:iCs/>
                </w:rPr>
                <w:t>TV and content delivery on Integrated Broadband Cable Networks</w:t>
              </w:r>
            </w:hyperlink>
            <w:r w:rsidR="003C7E25" w:rsidRPr="00073574">
              <w:rPr>
                <w:i/>
                <w:iCs/>
              </w:rPr>
              <w:t>"</w:t>
            </w:r>
            <w:r w:rsidRPr="00073574">
              <w:rPr>
                <w:i/>
                <w:iCs/>
              </w:rPr>
              <w:t>.</w:t>
            </w:r>
            <w:r w:rsidRPr="00073574">
              <w:rPr>
                <w:i/>
              </w:rPr>
              <w:t xml:space="preserve"> </w:t>
            </w:r>
            <w:r w:rsidRPr="00073574">
              <w:t>One of the topics which w</w:t>
            </w:r>
            <w:r w:rsidR="00F461C6" w:rsidRPr="00073574">
              <w:t>as</w:t>
            </w:r>
            <w:r w:rsidRPr="00073574">
              <w:t xml:space="preserve"> discussed is </w:t>
            </w:r>
            <w:r w:rsidR="003C7E25" w:rsidRPr="00073574">
              <w:t>"</w:t>
            </w:r>
            <w:r w:rsidRPr="00073574">
              <w:t>planning, implementation and deployment of cable television systems, networks and services, particularly for developing countries</w:t>
            </w:r>
            <w:r w:rsidR="003C7E25" w:rsidRPr="00073574">
              <w:t>"</w:t>
            </w:r>
            <w:r w:rsidRPr="00073574">
              <w:t xml:space="preserve">. </w:t>
            </w:r>
            <w:r w:rsidR="005F6B6C" w:rsidRPr="00073574">
              <w:t xml:space="preserve">A SG9 meeting plus a workshop addressing </w:t>
            </w:r>
            <w:hyperlink r:id="rId333" w:history="1">
              <w:r w:rsidR="005F6B6C" w:rsidRPr="00073574">
                <w:rPr>
                  <w:rStyle w:val="Hyperlink"/>
                </w:rPr>
                <w:t>The Future of TV for the Americas</w:t>
              </w:r>
            </w:hyperlink>
            <w:r w:rsidR="005F6B6C" w:rsidRPr="00073574">
              <w:t xml:space="preserve"> were also organized and took place in Bogotá, Colombia in November 2018. The workshop addressed developing countries issues especially in the region of central and south America. Q4/9 is dedicated to developing countries and studied for the whole Study Period how to address related issues by approving one Recom</w:t>
            </w:r>
            <w:r w:rsidR="00B152DB" w:rsidRPr="00073574">
              <w:t>m</w:t>
            </w:r>
            <w:r w:rsidR="005F6B6C" w:rsidRPr="00073574">
              <w:t>e</w:t>
            </w:r>
            <w:r w:rsidR="00B152DB" w:rsidRPr="00073574">
              <w:t>n</w:t>
            </w:r>
            <w:r w:rsidR="005F6B6C" w:rsidRPr="00073574">
              <w:t>dation and one Supplement dedicated to developing countries.</w:t>
            </w:r>
          </w:p>
          <w:p w14:paraId="1FD97D0C" w14:textId="42268966" w:rsidR="00F0236A" w:rsidRPr="00073574" w:rsidRDefault="00F0236A" w:rsidP="002E241A">
            <w:pPr>
              <w:pStyle w:val="ListParagraph"/>
              <w:numPr>
                <w:ilvl w:val="0"/>
                <w:numId w:val="34"/>
              </w:numPr>
              <w:ind w:left="357" w:hanging="357"/>
              <w:contextualSpacing w:val="0"/>
            </w:pPr>
            <w:r w:rsidRPr="00073574">
              <w:t>In addition</w:t>
            </w:r>
            <w:r w:rsidR="00B152DB" w:rsidRPr="00073574">
              <w:t>,</w:t>
            </w:r>
            <w:r w:rsidRPr="00073574">
              <w:t xml:space="preserve"> SG9 </w:t>
            </w:r>
            <w:r w:rsidR="009A7756" w:rsidRPr="00073574">
              <w:t>tried to</w:t>
            </w:r>
            <w:r w:rsidRPr="00073574">
              <w:t xml:space="preserve"> organize a dedicated workshop in Africa in </w:t>
            </w:r>
            <w:r w:rsidR="00F461C6" w:rsidRPr="00073574">
              <w:t>September 2020 in Gambia, collocated with SG9 meeting</w:t>
            </w:r>
            <w:r w:rsidRPr="00073574">
              <w:t>.</w:t>
            </w:r>
            <w:r w:rsidR="009A7756" w:rsidRPr="00073574">
              <w:t xml:space="preserve"> Unfortunately</w:t>
            </w:r>
            <w:r w:rsidR="00A5591E" w:rsidRPr="00073574">
              <w:t>,</w:t>
            </w:r>
            <w:r w:rsidR="009A7756" w:rsidRPr="00073574">
              <w:t xml:space="preserve"> COVID-9 pandemic led to the postponement of the Workshop and SG9 meeting in Africa which are now planned in 2023.</w:t>
            </w:r>
          </w:p>
          <w:p w14:paraId="759EE8FB" w14:textId="24E89581" w:rsidR="00F0236A" w:rsidRPr="00073574" w:rsidRDefault="00F0236A" w:rsidP="002E241A">
            <w:pPr>
              <w:pStyle w:val="ListParagraph"/>
              <w:numPr>
                <w:ilvl w:val="0"/>
                <w:numId w:val="34"/>
              </w:numPr>
              <w:ind w:left="357" w:hanging="357"/>
              <w:contextualSpacing w:val="0"/>
            </w:pPr>
            <w:r w:rsidRPr="00073574">
              <w:t>SG11 uses the RGs (SG11RG-AFR and SG11RG-</w:t>
            </w:r>
            <w:r w:rsidR="0046249A" w:rsidRPr="00073574">
              <w:t>EECAT</w:t>
            </w:r>
            <w:r w:rsidRPr="00073574">
              <w:t>) for identifying key challenges of importance to the regions.</w:t>
            </w:r>
            <w:r w:rsidR="00F704D4" w:rsidRPr="00073574">
              <w:t xml:space="preserve"> Among them, are combating counterfeiting and reliability of IMEI identifier.</w:t>
            </w:r>
          </w:p>
          <w:p w14:paraId="110A3759" w14:textId="77777777" w:rsidR="00C152C0" w:rsidRPr="00073574" w:rsidRDefault="00C152C0" w:rsidP="002E241A">
            <w:pPr>
              <w:pStyle w:val="ListParagraph"/>
              <w:numPr>
                <w:ilvl w:val="0"/>
                <w:numId w:val="34"/>
              </w:numPr>
              <w:ind w:left="357" w:hanging="357"/>
              <w:contextualSpacing w:val="0"/>
            </w:pPr>
            <w:r w:rsidRPr="00073574">
              <w:t>SG12 Question 12 on “Operational aspects of telecommunication network service quality” addresses challenges associated with telecommunications service quality in developing countries.</w:t>
            </w:r>
          </w:p>
          <w:p w14:paraId="0E4A410D" w14:textId="0435DDC0" w:rsidR="00337457" w:rsidRPr="00073574" w:rsidRDefault="00F0236A" w:rsidP="634A3A28">
            <w:pPr>
              <w:pStyle w:val="ListParagraph"/>
              <w:numPr>
                <w:ilvl w:val="0"/>
                <w:numId w:val="34"/>
              </w:numPr>
              <w:ind w:left="357" w:hanging="357"/>
              <w:contextualSpacing w:val="0"/>
              <w:rPr>
                <w:rFonts w:eastAsia="Times New Roman"/>
              </w:rPr>
            </w:pPr>
            <w:r w:rsidRPr="00073574">
              <w:t xml:space="preserve">SG13 has dedicated Question (Q5/13 </w:t>
            </w:r>
            <w:r w:rsidR="003C7E25" w:rsidRPr="00073574">
              <w:t>"</w:t>
            </w:r>
            <w:r w:rsidRPr="00073574">
              <w:t>Applying networks of future and innovation in developing countries</w:t>
            </w:r>
            <w:r w:rsidR="003C7E25" w:rsidRPr="00073574">
              <w:t>"</w:t>
            </w:r>
            <w:r w:rsidR="006E386A" w:rsidRPr="00073574">
              <w:t xml:space="preserve">, since 2021 title is “Applying Future Networks and Innovation in </w:t>
            </w:r>
            <w:r w:rsidR="006E386A" w:rsidRPr="00073574">
              <w:lastRenderedPageBreak/>
              <w:t>Developing Countries”</w:t>
            </w:r>
            <w:r w:rsidRPr="00073574">
              <w:t>).</w:t>
            </w:r>
            <w:r w:rsidR="5938CEF0" w:rsidRPr="00073574">
              <w:t xml:space="preserve"> Its regional group for Africa regularly reviews, updates the priorities for the continent </w:t>
            </w:r>
            <w:r w:rsidR="627E550E" w:rsidRPr="00073574">
              <w:t xml:space="preserve">(known as Action Plan) </w:t>
            </w:r>
            <w:r w:rsidR="5938CEF0" w:rsidRPr="00073574">
              <w:t>and encourages contributions from the region to these priority items.</w:t>
            </w:r>
            <w:r w:rsidR="1601DBF8" w:rsidRPr="00073574">
              <w:t xml:space="preserve"> SG13 set up a new SG13RG-EECAT in March 2019. Priorities of the group are Big Data/Cloud Computing, Edge Mobile, Networks around 2030 and beyond.</w:t>
            </w:r>
            <w:r w:rsidR="0191E67A" w:rsidRPr="00073574">
              <w:t xml:space="preserve"> At its first meeting it received contributions specifying the </w:t>
            </w:r>
            <w:r w:rsidR="00D73E4E" w:rsidRPr="00073574">
              <w:t>challenges</w:t>
            </w:r>
            <w:r w:rsidR="0191E67A" w:rsidRPr="00073574">
              <w:t>, priorities, particularities for the region.</w:t>
            </w:r>
            <w:r w:rsidR="5D281508" w:rsidRPr="00073574">
              <w:t xml:space="preserve"> In March 2020 SG13 approved revised ToR f</w:t>
            </w:r>
            <w:r w:rsidR="4EF209AC" w:rsidRPr="00073574">
              <w:t>o</w:t>
            </w:r>
            <w:r w:rsidR="5D281508" w:rsidRPr="00073574">
              <w:t xml:space="preserve">r the SG13RG-AFR that lists in particular the </w:t>
            </w:r>
            <w:r w:rsidR="5D281508" w:rsidRPr="00073574">
              <w:rPr>
                <w:color w:val="444444"/>
              </w:rPr>
              <w:t xml:space="preserve">new priorities for the region </w:t>
            </w:r>
            <w:r w:rsidR="500E6F33" w:rsidRPr="00073574">
              <w:rPr>
                <w:color w:val="444444"/>
              </w:rPr>
              <w:t>as</w:t>
            </w:r>
            <w:r w:rsidR="5D281508" w:rsidRPr="00073574">
              <w:rPr>
                <w:color w:val="444444"/>
              </w:rPr>
              <w:t xml:space="preserve"> </w:t>
            </w:r>
            <w:r w:rsidR="5D281508" w:rsidRPr="00073574">
              <w:rPr>
                <w:rFonts w:eastAsia="Verdana"/>
                <w:i/>
                <w:color w:val="444444"/>
              </w:rPr>
              <w:t>Future Computing and Data Processing, Machine Learning and Artificial Intelligence as applied to networks.</w:t>
            </w:r>
          </w:p>
          <w:p w14:paraId="6CA299B6" w14:textId="4C716626" w:rsidR="00711301" w:rsidRPr="00073574" w:rsidRDefault="00E34387" w:rsidP="634A3A28">
            <w:pPr>
              <w:pStyle w:val="ListParagraph"/>
              <w:numPr>
                <w:ilvl w:val="0"/>
                <w:numId w:val="34"/>
              </w:numPr>
              <w:ind w:left="357" w:hanging="357"/>
              <w:contextualSpacing w:val="0"/>
              <w:rPr>
                <w:rFonts w:eastAsia="Times New Roman"/>
              </w:rPr>
            </w:pPr>
            <w:r w:rsidRPr="00073574">
              <w:t>The 8</w:t>
            </w:r>
            <w:r w:rsidR="000F4780" w:rsidRPr="00073574">
              <w:t>th</w:t>
            </w:r>
            <w:r w:rsidRPr="00073574">
              <w:t xml:space="preserve"> SG13 Regional Workshop for Africa held back to back with the 8</w:t>
            </w:r>
            <w:r w:rsidR="000F4780" w:rsidRPr="00073574">
              <w:t>th</w:t>
            </w:r>
            <w:r w:rsidRPr="00073574">
              <w:t xml:space="preserve"> </w:t>
            </w:r>
            <w:r w:rsidR="001231B5" w:rsidRPr="00073574">
              <w:t>SG13RG-AFR meeting</w:t>
            </w:r>
            <w:r w:rsidR="00C65F6E" w:rsidRPr="00073574">
              <w:t xml:space="preserve"> (June 2021, virtual)</w:t>
            </w:r>
            <w:r w:rsidR="001231B5" w:rsidRPr="00073574">
              <w:t xml:space="preserve"> had a panel discussion to tackle the challenges</w:t>
            </w:r>
            <w:r w:rsidR="00DB2B0A" w:rsidRPr="00073574">
              <w:t xml:space="preserve"> for Africa</w:t>
            </w:r>
            <w:r w:rsidR="001231B5" w:rsidRPr="00073574">
              <w:t xml:space="preserve">. Outcome of the panel is </w:t>
            </w:r>
            <w:r w:rsidR="006C239B" w:rsidRPr="00073574">
              <w:t xml:space="preserve">captured </w:t>
            </w:r>
            <w:hyperlink r:id="rId334" w:history="1">
              <w:r w:rsidR="006C239B" w:rsidRPr="00073574">
                <w:rPr>
                  <w:rStyle w:val="Hyperlink"/>
                </w:rPr>
                <w:t>here</w:t>
              </w:r>
            </w:hyperlink>
            <w:r w:rsidR="006C239B" w:rsidRPr="00073574">
              <w:t>.</w:t>
            </w:r>
          </w:p>
          <w:p w14:paraId="36A66C44" w14:textId="42249A38" w:rsidR="004B533E" w:rsidRPr="00073574" w:rsidRDefault="004B533E" w:rsidP="002E241A">
            <w:pPr>
              <w:pStyle w:val="ListParagraph"/>
              <w:numPr>
                <w:ilvl w:val="0"/>
                <w:numId w:val="34"/>
              </w:numPr>
              <w:ind w:left="357" w:hanging="357"/>
              <w:contextualSpacing w:val="0"/>
            </w:pPr>
            <w:r w:rsidRPr="00073574">
              <w:t>SG15 liaises with ITU-D as necessary (e.g., when a relevant contribution is received).</w:t>
            </w:r>
          </w:p>
          <w:p w14:paraId="3F299843" w14:textId="6EC91F69" w:rsidR="00F0236A" w:rsidRPr="00073574" w:rsidRDefault="00F0236A" w:rsidP="002E241A">
            <w:pPr>
              <w:pStyle w:val="ListParagraph"/>
              <w:numPr>
                <w:ilvl w:val="0"/>
                <w:numId w:val="34"/>
              </w:numPr>
              <w:ind w:left="357" w:hanging="357"/>
              <w:contextualSpacing w:val="0"/>
              <w:rPr>
                <w:rFonts w:eastAsia="Times New Roman"/>
                <w:u w:val="single"/>
              </w:rPr>
            </w:pPr>
            <w:r w:rsidRPr="00073574">
              <w:t>SG17 at its first meeting supported the creation of a new Regional Group for the Arab region</w:t>
            </w:r>
            <w:r w:rsidR="18221316" w:rsidRPr="00073574">
              <w:t xml:space="preserve"> (SG17RG-ARB)</w:t>
            </w:r>
            <w:r w:rsidRPr="00073574">
              <w:t>.</w:t>
            </w:r>
            <w:r w:rsidR="02332037" w:rsidRPr="00073574">
              <w:t xml:space="preserve"> </w:t>
            </w:r>
            <w:r w:rsidR="02332037" w:rsidRPr="00073574">
              <w:rPr>
                <w:rFonts w:eastAsia="Times New Roman"/>
              </w:rPr>
              <w:t xml:space="preserve">SG17RG-ARB has held 3 meetings and SG17RG-AFR 2 </w:t>
            </w:r>
            <w:r w:rsidR="004274AD" w:rsidRPr="00073574">
              <w:rPr>
                <w:rFonts w:eastAsia="Times New Roman"/>
              </w:rPr>
              <w:t xml:space="preserve">physical and one virtual </w:t>
            </w:r>
            <w:r w:rsidR="02332037" w:rsidRPr="00073574">
              <w:rPr>
                <w:rFonts w:eastAsia="Times New Roman"/>
              </w:rPr>
              <w:t xml:space="preserve">meetings until </w:t>
            </w:r>
            <w:r w:rsidR="00D60795" w:rsidRPr="00073574">
              <w:rPr>
                <w:rFonts w:eastAsia="Times New Roman"/>
              </w:rPr>
              <w:t>2021</w:t>
            </w:r>
            <w:r w:rsidR="02332037" w:rsidRPr="00073574">
              <w:rPr>
                <w:rFonts w:eastAsia="Times New Roman"/>
                <w:color w:val="008080"/>
                <w:u w:val="single"/>
              </w:rPr>
              <w:t>.</w:t>
            </w:r>
          </w:p>
          <w:p w14:paraId="6878284F" w14:textId="45E3D402" w:rsidR="00FE25EA" w:rsidRPr="00073574" w:rsidRDefault="00FE25EA" w:rsidP="002E241A">
            <w:pPr>
              <w:pStyle w:val="ListParagraph"/>
              <w:numPr>
                <w:ilvl w:val="0"/>
                <w:numId w:val="34"/>
              </w:numPr>
              <w:ind w:left="357" w:hanging="357"/>
              <w:contextualSpacing w:val="0"/>
            </w:pPr>
            <w:r w:rsidRPr="00073574">
              <w:t>SG16 Q28/16 on e-health created an ad hoc group to discuss the respective technology needs in developing countries.</w:t>
            </w:r>
          </w:p>
          <w:p w14:paraId="39C30E05" w14:textId="4515CE3D" w:rsidR="00F0236A" w:rsidRPr="00073574" w:rsidRDefault="00F0236A" w:rsidP="002E241A">
            <w:pPr>
              <w:pStyle w:val="ListParagraph"/>
              <w:numPr>
                <w:ilvl w:val="0"/>
                <w:numId w:val="34"/>
              </w:numPr>
              <w:ind w:left="357" w:hanging="357"/>
              <w:contextualSpacing w:val="0"/>
            </w:pPr>
            <w:r w:rsidRPr="00073574">
              <w:t xml:space="preserve">SG20 is working on </w:t>
            </w:r>
            <w:r w:rsidR="459241F9" w:rsidRPr="00073574">
              <w:t>draft Recommendation ITU-T Y.SRC “Requirements for deployment of smart services in rural communities”</w:t>
            </w:r>
            <w:r w:rsidR="0052388B" w:rsidRPr="00073574">
              <w:t>,</w:t>
            </w:r>
            <w:r w:rsidR="44AF0D9C" w:rsidRPr="00073574">
              <w:t xml:space="preserve"> </w:t>
            </w:r>
            <w:r w:rsidR="459241F9" w:rsidRPr="00073574">
              <w:t>ITU-T Y.smart-evacuation “Framework of smart evacuation during emergencies in smart cities and communities”</w:t>
            </w:r>
            <w:r w:rsidR="00D35F22" w:rsidRPr="00073574">
              <w:t>, ITU-T Y.eHealth-Semantic “</w:t>
            </w:r>
            <w:r w:rsidR="00917301" w:rsidRPr="00073574">
              <w:t>Framework to support semantic mediation of eHealth services</w:t>
            </w:r>
            <w:r w:rsidR="00D35F22" w:rsidRPr="00073574">
              <w:t>”</w:t>
            </w:r>
            <w:r w:rsidR="0052388B" w:rsidRPr="00073574">
              <w:t xml:space="preserve"> and ITU-T Y.RA-PHE “</w:t>
            </w:r>
            <w:r w:rsidR="0037439F" w:rsidRPr="00073574">
              <w:t>Requirements and reference architecture of smart service for public health emergency</w:t>
            </w:r>
            <w:r w:rsidR="0052388B" w:rsidRPr="00073574">
              <w:t>”</w:t>
            </w:r>
            <w:r w:rsidR="44AF0D9C" w:rsidRPr="00073574">
              <w:t>.</w:t>
            </w:r>
            <w:r w:rsidR="003F749F" w:rsidRPr="00073574">
              <w:t xml:space="preserve"> SG20 </w:t>
            </w:r>
            <w:r w:rsidR="00A926E4" w:rsidRPr="00073574">
              <w:t>is also working on draft Supplement ITU-T Y.Sup.DTAfrica “</w:t>
            </w:r>
            <w:r w:rsidR="006E5932" w:rsidRPr="00073574">
              <w:t>Digital transformation of cities and communities in Africa</w:t>
            </w:r>
            <w:r w:rsidR="00A926E4" w:rsidRPr="00073574">
              <w:t>”</w:t>
            </w:r>
            <w:r w:rsidR="006E5932" w:rsidRPr="00073574">
              <w:t>.</w:t>
            </w:r>
          </w:p>
          <w:p w14:paraId="1F4E5BFE" w14:textId="77777777" w:rsidR="00D32918" w:rsidRPr="00073574" w:rsidRDefault="00F0236A" w:rsidP="002E241A">
            <w:pPr>
              <w:pStyle w:val="ListParagraph"/>
              <w:numPr>
                <w:ilvl w:val="0"/>
                <w:numId w:val="34"/>
              </w:numPr>
              <w:ind w:left="357" w:hanging="357"/>
              <w:contextualSpacing w:val="0"/>
              <w:rPr>
                <w:sz w:val="24"/>
              </w:rPr>
            </w:pPr>
            <w:r w:rsidRPr="00073574">
              <w:t xml:space="preserve">The </w:t>
            </w:r>
            <w:hyperlink r:id="rId335">
              <w:r w:rsidRPr="00073574">
                <w:t>7th ITU Green Standards Week</w:t>
              </w:r>
            </w:hyperlink>
            <w:r w:rsidRPr="00073574">
              <w:t xml:space="preserve"> was held from 3-5 April 2017 in Manizales, Colombia and concluded with the </w:t>
            </w:r>
            <w:hyperlink r:id="rId336">
              <w:r w:rsidRPr="00073574">
                <w:t>Manizales Manifesto</w:t>
              </w:r>
            </w:hyperlink>
            <w:r w:rsidRPr="00073574">
              <w:t>.</w:t>
            </w:r>
          </w:p>
          <w:p w14:paraId="1541D3BD" w14:textId="327E3E8B" w:rsidR="00DD67CC" w:rsidRPr="00073574" w:rsidRDefault="00D32918" w:rsidP="002E241A">
            <w:pPr>
              <w:pStyle w:val="ListParagraph"/>
              <w:numPr>
                <w:ilvl w:val="0"/>
                <w:numId w:val="34"/>
              </w:numPr>
              <w:ind w:left="357" w:hanging="357"/>
              <w:contextualSpacing w:val="0"/>
              <w:rPr>
                <w:sz w:val="24"/>
              </w:rPr>
            </w:pPr>
            <w:r w:rsidRPr="00073574">
              <w:t xml:space="preserve">The 8th ITU Green Standards Week </w:t>
            </w:r>
            <w:r w:rsidR="00682681" w:rsidRPr="00073574">
              <w:t>was</w:t>
            </w:r>
            <w:r w:rsidRPr="00073574">
              <w:t xml:space="preserve"> held from 9 to 12 April 2018 in Zanzibar, Tanzania.</w:t>
            </w:r>
          </w:p>
          <w:p w14:paraId="09FF9B94" w14:textId="07E1C353" w:rsidR="00682681" w:rsidRPr="00073574" w:rsidRDefault="00682681" w:rsidP="002E241A">
            <w:pPr>
              <w:pStyle w:val="ListParagraph"/>
              <w:numPr>
                <w:ilvl w:val="0"/>
                <w:numId w:val="34"/>
              </w:numPr>
              <w:ind w:left="357" w:hanging="357"/>
              <w:contextualSpacing w:val="0"/>
              <w:rPr>
                <w:sz w:val="24"/>
              </w:rPr>
            </w:pPr>
            <w:r w:rsidRPr="00073574">
              <w:t>The 1st Forum on Artificial Intelligence and Internet of Things in the development of Smart Sustainable Cities was held on 29-30 May 2018 in Buenos Aires, Argentina. An Information session on “Exploring the role of small medium enterprises (SMEs) in linking AI and IoT in smart cities” was held on 30 May 2018.</w:t>
            </w:r>
          </w:p>
          <w:p w14:paraId="4EDE6E75" w14:textId="11DC7058" w:rsidR="00DD67CC" w:rsidRPr="00073574" w:rsidRDefault="00DD67CC" w:rsidP="002E241A">
            <w:pPr>
              <w:pStyle w:val="ListParagraph"/>
              <w:numPr>
                <w:ilvl w:val="0"/>
                <w:numId w:val="34"/>
              </w:numPr>
              <w:ind w:left="357" w:hanging="357"/>
              <w:contextualSpacing w:val="0"/>
              <w:rPr>
                <w:sz w:val="24"/>
              </w:rPr>
            </w:pPr>
            <w:r w:rsidRPr="00073574">
              <w:t xml:space="preserve">The </w:t>
            </w:r>
            <w:hyperlink r:id="rId337">
              <w:r w:rsidRPr="00073574">
                <w:rPr>
                  <w:rStyle w:val="Hyperlink"/>
                </w:rPr>
                <w:t>1st Digital African Week</w:t>
              </w:r>
            </w:hyperlink>
            <w:r w:rsidRPr="00073574">
              <w:t xml:space="preserve"> </w:t>
            </w:r>
            <w:r w:rsidR="005074FD" w:rsidRPr="00073574">
              <w:t xml:space="preserve">was </w:t>
            </w:r>
            <w:r w:rsidRPr="00073574">
              <w:t>held from 27 to 30 August 2019 in Abuja, Nigeria.</w:t>
            </w:r>
          </w:p>
          <w:p w14:paraId="02B42AB1" w14:textId="4192B686" w:rsidR="00125BD0" w:rsidRPr="00073574" w:rsidRDefault="00125BD0" w:rsidP="002E241A">
            <w:pPr>
              <w:pStyle w:val="ListParagraph"/>
              <w:numPr>
                <w:ilvl w:val="0"/>
                <w:numId w:val="34"/>
              </w:numPr>
              <w:spacing w:after="40"/>
              <w:ind w:left="357" w:hanging="357"/>
              <w:contextualSpacing w:val="0"/>
              <w:rPr>
                <w:sz w:val="24"/>
              </w:rPr>
            </w:pPr>
            <w:r w:rsidRPr="00073574">
              <w:t xml:space="preserve">The </w:t>
            </w:r>
            <w:hyperlink r:id="rId338">
              <w:r w:rsidRPr="00073574">
                <w:rPr>
                  <w:rStyle w:val="Hyperlink"/>
                </w:rPr>
                <w:t>9th Green Standards Week</w:t>
              </w:r>
            </w:hyperlink>
            <w:r w:rsidRPr="00073574">
              <w:t xml:space="preserve"> </w:t>
            </w:r>
            <w:r w:rsidR="005074FD" w:rsidRPr="00073574">
              <w:t>was</w:t>
            </w:r>
            <w:r w:rsidRPr="00073574">
              <w:t xml:space="preserve"> held from 1 to 4 October 2019 in Valencia, Spain.</w:t>
            </w:r>
            <w:r w:rsidR="005074FD" w:rsidRPr="00073574">
              <w:t xml:space="preserve"> It concluded with a Call to Action available in the six UN official languages [</w:t>
            </w:r>
            <w:hyperlink r:id="rId339">
              <w:r w:rsidR="005074FD" w:rsidRPr="00073574">
                <w:rPr>
                  <w:rStyle w:val="Hyperlink"/>
                </w:rPr>
                <w:t>EN</w:t>
              </w:r>
            </w:hyperlink>
            <w:r w:rsidR="005074FD" w:rsidRPr="00073574">
              <w:t>][</w:t>
            </w:r>
            <w:hyperlink r:id="rId340">
              <w:r w:rsidR="005074FD" w:rsidRPr="00073574">
                <w:rPr>
                  <w:rStyle w:val="Hyperlink"/>
                </w:rPr>
                <w:t>AR</w:t>
              </w:r>
            </w:hyperlink>
            <w:r w:rsidR="005074FD" w:rsidRPr="00073574">
              <w:t>][</w:t>
            </w:r>
            <w:hyperlink r:id="rId341">
              <w:r w:rsidR="005074FD" w:rsidRPr="00073574">
                <w:rPr>
                  <w:rStyle w:val="Hyperlink"/>
                </w:rPr>
                <w:t>FR</w:t>
              </w:r>
            </w:hyperlink>
            <w:r w:rsidR="005074FD" w:rsidRPr="00073574">
              <w:t>][</w:t>
            </w:r>
            <w:hyperlink r:id="rId342">
              <w:r w:rsidR="005074FD" w:rsidRPr="00073574">
                <w:rPr>
                  <w:rStyle w:val="Hyperlink"/>
                </w:rPr>
                <w:t>CH</w:t>
              </w:r>
            </w:hyperlink>
            <w:r w:rsidR="005074FD" w:rsidRPr="00073574">
              <w:t>][</w:t>
            </w:r>
            <w:hyperlink r:id="rId343">
              <w:r w:rsidR="005074FD" w:rsidRPr="00073574">
                <w:rPr>
                  <w:rStyle w:val="Hyperlink"/>
                </w:rPr>
                <w:t>RU</w:t>
              </w:r>
            </w:hyperlink>
            <w:r w:rsidR="005074FD" w:rsidRPr="00073574">
              <w:t>][</w:t>
            </w:r>
            <w:hyperlink r:id="rId344">
              <w:r w:rsidR="005074FD" w:rsidRPr="00073574">
                <w:rPr>
                  <w:rStyle w:val="Hyperlink"/>
                </w:rPr>
                <w:t>SPA</w:t>
              </w:r>
            </w:hyperlink>
            <w:r w:rsidR="005074FD" w:rsidRPr="00073574">
              <w:t>]</w:t>
            </w:r>
          </w:p>
          <w:p w14:paraId="3C0AC0A5" w14:textId="77777777" w:rsidR="007179A2" w:rsidRPr="00073574" w:rsidRDefault="000966E8" w:rsidP="002E241A">
            <w:pPr>
              <w:pStyle w:val="ListParagraph"/>
              <w:numPr>
                <w:ilvl w:val="0"/>
                <w:numId w:val="34"/>
              </w:numPr>
              <w:spacing w:after="40"/>
              <w:ind w:left="357" w:hanging="357"/>
              <w:contextualSpacing w:val="0"/>
              <w:rPr>
                <w:sz w:val="24"/>
              </w:rPr>
            </w:pPr>
            <w:r w:rsidRPr="00073574">
              <w:t xml:space="preserve">The </w:t>
            </w:r>
            <w:hyperlink r:id="rId345" w:history="1">
              <w:r w:rsidRPr="00073574">
                <w:rPr>
                  <w:rStyle w:val="Hyperlink"/>
                </w:rPr>
                <w:t>Virtual Forum on “Accelerating Digital Transformation in Africa”</w:t>
              </w:r>
            </w:hyperlink>
            <w:r w:rsidRPr="00073574">
              <w:t xml:space="preserve"> took place on 02 June 2021.</w:t>
            </w:r>
          </w:p>
          <w:p w14:paraId="0AFD9AD4" w14:textId="43F8031B" w:rsidR="007179A2" w:rsidRPr="00073574" w:rsidRDefault="0053741E" w:rsidP="002E241A">
            <w:pPr>
              <w:pStyle w:val="ListParagraph"/>
              <w:numPr>
                <w:ilvl w:val="0"/>
                <w:numId w:val="34"/>
              </w:numPr>
              <w:spacing w:after="40"/>
              <w:ind w:left="357" w:hanging="357"/>
              <w:contextualSpacing w:val="0"/>
              <w:rPr>
                <w:sz w:val="24"/>
              </w:rPr>
            </w:pPr>
            <w:hyperlink r:id="rId346" w:history="1">
              <w:r w:rsidR="00E104D9" w:rsidRPr="00073574">
                <w:rPr>
                  <w:rStyle w:val="Hyperlink"/>
                </w:rPr>
                <w:t xml:space="preserve">Episode 4 </w:t>
              </w:r>
              <w:r w:rsidR="00D34B97" w:rsidRPr="00073574">
                <w:rPr>
                  <w:rStyle w:val="Hyperlink"/>
                </w:rPr>
                <w:t>of the Digital Transformation Webinar Series</w:t>
              </w:r>
              <w:r w:rsidR="00E104D9" w:rsidRPr="00073574">
                <w:rPr>
                  <w:rStyle w:val="Hyperlink"/>
                </w:rPr>
                <w:t xml:space="preserve"> on “</w:t>
              </w:r>
              <w:r w:rsidR="00414105" w:rsidRPr="00073574">
                <w:rPr>
                  <w:rStyle w:val="Hyperlink"/>
                </w:rPr>
                <w:t>Smart Cities: a step towards digital transformation in Latin America</w:t>
              </w:r>
              <w:r w:rsidR="00E104D9" w:rsidRPr="00073574">
                <w:rPr>
                  <w:rStyle w:val="Hyperlink"/>
                </w:rPr>
                <w:t>”</w:t>
              </w:r>
            </w:hyperlink>
            <w:r w:rsidR="00E104D9" w:rsidRPr="00073574">
              <w:t xml:space="preserve"> </w:t>
            </w:r>
            <w:r w:rsidR="00414105" w:rsidRPr="00073574">
              <w:t xml:space="preserve">took place on 20 September 2021. </w:t>
            </w:r>
          </w:p>
        </w:tc>
      </w:tr>
      <w:tr w:rsidR="00F0236A" w:rsidRPr="00073574" w14:paraId="5A0A3D7F" w14:textId="77777777" w:rsidTr="4D78197E">
        <w:trPr>
          <w:jc w:val="center"/>
        </w:trPr>
        <w:tc>
          <w:tcPr>
            <w:tcW w:w="896" w:type="dxa"/>
            <w:vMerge w:val="restart"/>
            <w:tcBorders>
              <w:top w:val="single" w:sz="12" w:space="0" w:color="auto"/>
              <w:left w:val="single" w:sz="12" w:space="0" w:color="auto"/>
              <w:right w:val="single" w:sz="4" w:space="0" w:color="auto"/>
            </w:tcBorders>
            <w:shd w:val="clear" w:color="auto" w:fill="auto"/>
          </w:tcPr>
          <w:p w14:paraId="5793822D" w14:textId="77777777" w:rsidR="00F0236A" w:rsidRPr="00073574" w:rsidRDefault="00F0236A" w:rsidP="008128E2">
            <w:pPr>
              <w:pStyle w:val="Tabletext"/>
              <w:keepNext/>
              <w:keepLines/>
              <w:rPr>
                <w:b/>
                <w:bCs/>
                <w:sz w:val="24"/>
                <w:szCs w:val="24"/>
              </w:rPr>
            </w:pPr>
            <w:bookmarkStart w:id="134" w:name="Item44_01"/>
            <w:bookmarkStart w:id="135" w:name="Item44_02"/>
            <w:bookmarkStart w:id="136" w:name="Item44_05"/>
            <w:bookmarkStart w:id="137" w:name="Item44_03"/>
            <w:bookmarkStart w:id="138" w:name="Item44_04"/>
            <w:bookmarkStart w:id="139" w:name="Item44_06"/>
            <w:bookmarkStart w:id="140" w:name="Item44_08"/>
            <w:bookmarkStart w:id="141" w:name="Item44_07"/>
            <w:bookmarkStart w:id="142" w:name="Item44_09"/>
            <w:bookmarkStart w:id="143" w:name="Item44_10"/>
            <w:bookmarkStart w:id="144" w:name="Item44_11"/>
            <w:bookmarkStart w:id="145" w:name="Item44_12"/>
            <w:bookmarkStart w:id="146" w:name="Item44_13"/>
            <w:bookmarkStart w:id="147" w:name="Item44_14"/>
            <w:bookmarkStart w:id="148" w:name="Item44_15"/>
            <w:bookmarkStart w:id="149" w:name="Item44_16"/>
            <w:bookmarkStart w:id="150" w:name="Item44_17"/>
            <w:bookmarkStart w:id="151" w:name="Item44_18"/>
            <w:bookmarkStart w:id="152" w:name="Item44_19"/>
            <w:bookmarkStart w:id="153" w:name="Item44_20"/>
            <w:bookmarkStart w:id="154" w:name="Item44_21"/>
            <w:bookmarkStart w:id="155" w:name="Item44_22"/>
            <w:bookmarkStart w:id="156" w:name="Item44_23"/>
            <w:bookmarkStart w:id="157" w:name="Item44_24"/>
            <w:bookmarkStart w:id="158" w:name="Item44_25"/>
            <w:bookmarkStart w:id="159" w:name="Item44_26"/>
            <w:bookmarkStart w:id="160" w:name="Item44_27"/>
            <w:bookmarkStart w:id="161" w:name="Item44_28"/>
            <w:bookmarkStart w:id="162" w:name="Item44_29"/>
            <w:bookmarkStart w:id="163" w:name="Item44_30"/>
            <w:bookmarkStart w:id="164" w:name="Item44_31"/>
            <w:bookmarkStart w:id="165" w:name="Item44_32"/>
            <w:bookmarkStart w:id="166" w:name="Item44_33"/>
            <w:bookmarkStart w:id="167" w:name="Item44_34"/>
            <w:bookmarkStart w:id="168" w:name="Item44_35"/>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sidRPr="00073574">
              <w:rPr>
                <w:b/>
                <w:bCs/>
                <w:sz w:val="24"/>
                <w:szCs w:val="24"/>
              </w:rPr>
              <w:lastRenderedPageBreak/>
              <w:t>44-36</w:t>
            </w:r>
          </w:p>
        </w:tc>
        <w:tc>
          <w:tcPr>
            <w:tcW w:w="4512" w:type="dxa"/>
            <w:tcBorders>
              <w:top w:val="single" w:sz="12" w:space="0" w:color="auto"/>
              <w:left w:val="single" w:sz="4" w:space="0" w:color="auto"/>
              <w:bottom w:val="single" w:sz="4" w:space="0" w:color="auto"/>
              <w:right w:val="single" w:sz="4" w:space="0" w:color="auto"/>
            </w:tcBorders>
            <w:shd w:val="clear" w:color="auto" w:fill="auto"/>
          </w:tcPr>
          <w:p w14:paraId="50F5D183" w14:textId="77777777" w:rsidR="00F0236A" w:rsidRPr="00073574" w:rsidRDefault="00F0236A" w:rsidP="00DF36E1">
            <w:pPr>
              <w:pStyle w:val="Tabletext"/>
              <w:rPr>
                <w:b/>
                <w:bCs/>
                <w:sz w:val="24"/>
                <w:szCs w:val="24"/>
              </w:rPr>
            </w:pPr>
            <w:r w:rsidRPr="00073574">
              <w:rPr>
                <w:b/>
                <w:bCs/>
                <w:sz w:val="24"/>
                <w:szCs w:val="24"/>
              </w:rPr>
              <w:t>TSB Director, in collaboration with the BR and BDT Directors, to report on the implementation of this plan to future world telecommunication standardization assemblies and plenipotentiary conferences, with a view to reviewing this resolution and introducing the appropriate amendments in the light of implementation outcomes, as well as the budgetary adjustments needed. (i.. TSBDir 8)</w:t>
            </w:r>
          </w:p>
        </w:tc>
        <w:tc>
          <w:tcPr>
            <w:tcW w:w="1637" w:type="dxa"/>
            <w:tcBorders>
              <w:top w:val="single" w:sz="12" w:space="0" w:color="auto"/>
              <w:left w:val="single" w:sz="4" w:space="0" w:color="auto"/>
              <w:bottom w:val="single" w:sz="4" w:space="0" w:color="auto"/>
              <w:right w:val="single" w:sz="4" w:space="0" w:color="auto"/>
            </w:tcBorders>
            <w:shd w:val="clear" w:color="auto" w:fill="auto"/>
            <w:vAlign w:val="center"/>
          </w:tcPr>
          <w:p w14:paraId="01736E47" w14:textId="77777777" w:rsidR="00F0236A" w:rsidRPr="00073574" w:rsidRDefault="00F0236A" w:rsidP="00DF36E1">
            <w:pPr>
              <w:pStyle w:val="Tabletext"/>
              <w:jc w:val="center"/>
              <w:rPr>
                <w:b/>
                <w:bCs/>
                <w:sz w:val="24"/>
                <w:szCs w:val="24"/>
              </w:rPr>
            </w:pPr>
            <w:r w:rsidRPr="00073574">
              <w:rPr>
                <w:b/>
                <w:bCs/>
                <w:sz w:val="24"/>
                <w:szCs w:val="24"/>
              </w:rPr>
              <w:t>WTSA-20</w:t>
            </w:r>
          </w:p>
          <w:p w14:paraId="445A4B8C" w14:textId="77777777" w:rsidR="00F0236A" w:rsidRPr="00073574" w:rsidRDefault="00F0236A" w:rsidP="00DF36E1">
            <w:pPr>
              <w:pStyle w:val="Tabletext"/>
              <w:jc w:val="center"/>
              <w:rPr>
                <w:b/>
                <w:bCs/>
                <w:sz w:val="24"/>
                <w:szCs w:val="24"/>
              </w:rPr>
            </w:pPr>
            <w:r w:rsidRPr="00073574">
              <w:rPr>
                <w:b/>
                <w:bCs/>
                <w:sz w:val="24"/>
                <w:szCs w:val="24"/>
              </w:rPr>
              <w:t>PP-18</w:t>
            </w:r>
          </w:p>
        </w:tc>
        <w:tc>
          <w:tcPr>
            <w:tcW w:w="1129" w:type="dxa"/>
            <w:tcBorders>
              <w:top w:val="single" w:sz="12" w:space="0" w:color="auto"/>
              <w:left w:val="single" w:sz="4" w:space="0" w:color="auto"/>
              <w:bottom w:val="single" w:sz="4" w:space="0" w:color="auto"/>
              <w:right w:val="single" w:sz="4" w:space="0" w:color="auto"/>
            </w:tcBorders>
            <w:shd w:val="clear" w:color="auto" w:fill="auto"/>
            <w:vAlign w:val="center"/>
          </w:tcPr>
          <w:p w14:paraId="571104B6" w14:textId="5FA09C52" w:rsidR="00F0236A" w:rsidRPr="00073574" w:rsidDel="00B11C77" w:rsidRDefault="00B64E8E" w:rsidP="00DF36E1">
            <w:pPr>
              <w:pStyle w:val="Tabletext"/>
              <w:jc w:val="center"/>
              <w:rPr>
                <w:b/>
                <w:bCs/>
                <w:sz w:val="24"/>
                <w:szCs w:val="24"/>
              </w:rPr>
            </w:pPr>
            <w:r w:rsidRPr="00073574">
              <w:rPr>
                <w:b/>
                <w:bCs/>
                <w:sz w:val="24"/>
                <w:szCs w:val="24"/>
              </w:rPr>
              <w:t>√</w:t>
            </w:r>
          </w:p>
        </w:tc>
        <w:tc>
          <w:tcPr>
            <w:tcW w:w="1348"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42EEB107" w14:textId="1C9C00EC" w:rsidR="00F0236A" w:rsidRPr="00073574" w:rsidRDefault="00F0236A" w:rsidP="00DF36E1">
            <w:pPr>
              <w:pStyle w:val="Tabletext"/>
              <w:jc w:val="center"/>
              <w:rPr>
                <w:b/>
                <w:bCs/>
                <w:sz w:val="24"/>
                <w:szCs w:val="24"/>
              </w:rPr>
            </w:pPr>
          </w:p>
        </w:tc>
      </w:tr>
      <w:tr w:rsidR="00F0236A" w:rsidRPr="00073574" w14:paraId="3F8917E3" w14:textId="77777777" w:rsidTr="4D78197E">
        <w:trPr>
          <w:jc w:val="center"/>
        </w:trPr>
        <w:tc>
          <w:tcPr>
            <w:tcW w:w="896" w:type="dxa"/>
            <w:vMerge/>
            <w:vAlign w:val="center"/>
          </w:tcPr>
          <w:p w14:paraId="55E616D0" w14:textId="77777777" w:rsidR="00F0236A" w:rsidRPr="00073574" w:rsidRDefault="00F0236A" w:rsidP="00DF36E1">
            <w:pPr>
              <w:pStyle w:val="Tabletext"/>
              <w:rPr>
                <w:sz w:val="24"/>
                <w:szCs w:val="24"/>
              </w:rPr>
            </w:pPr>
          </w:p>
        </w:tc>
        <w:tc>
          <w:tcPr>
            <w:tcW w:w="8626" w:type="dxa"/>
            <w:gridSpan w:val="5"/>
            <w:tcBorders>
              <w:top w:val="single" w:sz="4" w:space="0" w:color="auto"/>
              <w:left w:val="single" w:sz="4" w:space="0" w:color="auto"/>
              <w:bottom w:val="single" w:sz="12" w:space="0" w:color="auto"/>
              <w:right w:val="single" w:sz="12" w:space="0" w:color="auto"/>
            </w:tcBorders>
            <w:shd w:val="clear" w:color="auto" w:fill="auto"/>
          </w:tcPr>
          <w:p w14:paraId="40EC1B79" w14:textId="41E2E1FE" w:rsidR="000622D9" w:rsidRPr="00073574" w:rsidRDefault="004253A8" w:rsidP="00284A2E">
            <w:pPr>
              <w:spacing w:before="40" w:after="40"/>
              <w:rPr>
                <w:szCs w:val="22"/>
              </w:rPr>
            </w:pPr>
            <w:r w:rsidRPr="00073574">
              <w:rPr>
                <w:szCs w:val="22"/>
              </w:rPr>
              <w:t xml:space="preserve">Resolution 44 (Rev. Hammamet, 2016) on “Bridging the standardization gap between developing and developed countries” </w:t>
            </w:r>
            <w:r w:rsidR="0058264A" w:rsidRPr="00073574">
              <w:rPr>
                <w:szCs w:val="22"/>
              </w:rPr>
              <w:t>instructs the TSB Director</w:t>
            </w:r>
            <w:r w:rsidR="00885D26" w:rsidRPr="00073574">
              <w:rPr>
                <w:szCs w:val="22"/>
              </w:rPr>
              <w:t>,</w:t>
            </w:r>
            <w:r w:rsidR="0058264A" w:rsidRPr="00073574">
              <w:rPr>
                <w:szCs w:val="22"/>
              </w:rPr>
              <w:t xml:space="preserve"> in collaboration with the BR and BDT Directors, to report on the implementation of this plan to future world telecommunication standardization assemblies and plenipotentiary conferences, with a view to reviewing this resolution and introducing the appropriate amendments in the light of implementation outcomes, as well as the budgetary adjustments needed</w:t>
            </w:r>
            <w:r w:rsidR="00A64902" w:rsidRPr="00073574">
              <w:rPr>
                <w:szCs w:val="22"/>
              </w:rPr>
              <w:t xml:space="preserve">. </w:t>
            </w:r>
            <w:r w:rsidR="00222307" w:rsidRPr="00073574">
              <w:rPr>
                <w:szCs w:val="22"/>
              </w:rPr>
              <w:br/>
            </w:r>
            <w:r w:rsidR="00A64902" w:rsidRPr="00073574">
              <w:rPr>
                <w:szCs w:val="22"/>
              </w:rPr>
              <w:t xml:space="preserve">In this context, </w:t>
            </w:r>
            <w:r w:rsidR="00A00592" w:rsidRPr="00073574">
              <w:rPr>
                <w:szCs w:val="22"/>
              </w:rPr>
              <w:t>TSB</w:t>
            </w:r>
            <w:r w:rsidR="00222307" w:rsidRPr="00073574">
              <w:rPr>
                <w:szCs w:val="22"/>
              </w:rPr>
              <w:t xml:space="preserve">, during this study period, has been regularly organizing on-site BSG training sessions collocated with ITU-T Study Group meetings and regional </w:t>
            </w:r>
            <w:r w:rsidR="00B1139E" w:rsidRPr="00073574">
              <w:rPr>
                <w:szCs w:val="22"/>
              </w:rPr>
              <w:t>groups</w:t>
            </w:r>
            <w:r w:rsidR="00EC5B8E" w:rsidRPr="00073574">
              <w:rPr>
                <w:szCs w:val="22"/>
              </w:rPr>
              <w:t>.</w:t>
            </w:r>
            <w:r w:rsidR="00EA4E9B" w:rsidRPr="00073574">
              <w:rPr>
                <w:szCs w:val="22"/>
              </w:rPr>
              <w:t xml:space="preserve"> Due to the ongoing COVID-19 pandemic, these BSG trainings </w:t>
            </w:r>
            <w:r w:rsidR="009D40EA" w:rsidRPr="00073574">
              <w:rPr>
                <w:szCs w:val="22"/>
              </w:rPr>
              <w:t>are currently being organized vi</w:t>
            </w:r>
            <w:r w:rsidR="00A91525" w:rsidRPr="00073574">
              <w:rPr>
                <w:szCs w:val="22"/>
              </w:rPr>
              <w:t xml:space="preserve">rtually </w:t>
            </w:r>
            <w:r w:rsidR="00C85393" w:rsidRPr="00073574">
              <w:rPr>
                <w:szCs w:val="22"/>
              </w:rPr>
              <w:t xml:space="preserve">in order to continue </w:t>
            </w:r>
            <w:r w:rsidR="00FC78D6" w:rsidRPr="00073574">
              <w:rPr>
                <w:szCs w:val="22"/>
              </w:rPr>
              <w:t>enhancing s</w:t>
            </w:r>
            <w:r w:rsidR="00BE56EE" w:rsidRPr="00073574">
              <w:rPr>
                <w:szCs w:val="22"/>
              </w:rPr>
              <w:t>tandard-making</w:t>
            </w:r>
            <w:r w:rsidR="00A6782E" w:rsidRPr="00073574">
              <w:rPr>
                <w:szCs w:val="22"/>
              </w:rPr>
              <w:t xml:space="preserve"> </w:t>
            </w:r>
            <w:r w:rsidR="00BE56EE" w:rsidRPr="00073574">
              <w:rPr>
                <w:szCs w:val="22"/>
              </w:rPr>
              <w:t>capabili</w:t>
            </w:r>
            <w:r w:rsidR="00F80D38" w:rsidRPr="00073574">
              <w:rPr>
                <w:szCs w:val="22"/>
              </w:rPr>
              <w:t>ti</w:t>
            </w:r>
            <w:r w:rsidR="00B3196F" w:rsidRPr="00073574">
              <w:rPr>
                <w:szCs w:val="22"/>
              </w:rPr>
              <w:t>es</w:t>
            </w:r>
            <w:r w:rsidR="00BE56EE" w:rsidRPr="00073574">
              <w:rPr>
                <w:szCs w:val="22"/>
              </w:rPr>
              <w:t xml:space="preserve"> in developing countries</w:t>
            </w:r>
            <w:r w:rsidR="00F80D38" w:rsidRPr="00073574">
              <w:rPr>
                <w:szCs w:val="22"/>
              </w:rPr>
              <w:t>.</w:t>
            </w:r>
          </w:p>
          <w:p w14:paraId="774D6350" w14:textId="2124AC31" w:rsidR="00F80D38" w:rsidRPr="00073574" w:rsidRDefault="00F97F6A" w:rsidP="00244B27">
            <w:pPr>
              <w:spacing w:after="40"/>
              <w:rPr>
                <w:szCs w:val="22"/>
              </w:rPr>
            </w:pPr>
            <w:r w:rsidRPr="00073574">
              <w:rPr>
                <w:szCs w:val="22"/>
              </w:rPr>
              <w:t xml:space="preserve">Through the pilot project for </w:t>
            </w:r>
            <w:r w:rsidR="000622D9" w:rsidRPr="00073574">
              <w:rPr>
                <w:szCs w:val="22"/>
              </w:rPr>
              <w:t>SMEs</w:t>
            </w:r>
            <w:r w:rsidRPr="00073574">
              <w:rPr>
                <w:szCs w:val="22"/>
              </w:rPr>
              <w:t xml:space="preserve">, TSB </w:t>
            </w:r>
            <w:r w:rsidR="00A85DF4" w:rsidRPr="00073574">
              <w:rPr>
                <w:szCs w:val="22"/>
              </w:rPr>
              <w:t xml:space="preserve">has paved the way for the </w:t>
            </w:r>
            <w:r w:rsidR="000622D9" w:rsidRPr="00073574">
              <w:rPr>
                <w:szCs w:val="22"/>
              </w:rPr>
              <w:t>participat</w:t>
            </w:r>
            <w:r w:rsidR="00A85DF4" w:rsidRPr="00073574">
              <w:rPr>
                <w:szCs w:val="22"/>
              </w:rPr>
              <w:t>ion of SMEs in ITU-T Study Groups</w:t>
            </w:r>
            <w:r w:rsidR="002177C3" w:rsidRPr="00073574">
              <w:rPr>
                <w:szCs w:val="22"/>
              </w:rPr>
              <w:t xml:space="preserve">, at </w:t>
            </w:r>
            <w:r w:rsidR="000622D9" w:rsidRPr="00073574">
              <w:rPr>
                <w:szCs w:val="22"/>
              </w:rPr>
              <w:t>reduced fees.</w:t>
            </w:r>
          </w:p>
          <w:p w14:paraId="370886A4" w14:textId="2FE45041" w:rsidR="00117E5A" w:rsidRPr="00073574" w:rsidRDefault="00F80D38" w:rsidP="00244B27">
            <w:pPr>
              <w:spacing w:after="40"/>
              <w:rPr>
                <w:szCs w:val="22"/>
              </w:rPr>
            </w:pPr>
            <w:r w:rsidRPr="00073574">
              <w:rPr>
                <w:szCs w:val="22"/>
              </w:rPr>
              <w:t xml:space="preserve">To further </w:t>
            </w:r>
            <w:r w:rsidR="001F10DD" w:rsidRPr="00073574">
              <w:rPr>
                <w:szCs w:val="22"/>
              </w:rPr>
              <w:t xml:space="preserve">help developing countries </w:t>
            </w:r>
            <w:r w:rsidR="00EB746A" w:rsidRPr="00073574">
              <w:rPr>
                <w:szCs w:val="22"/>
              </w:rPr>
              <w:t>coordinat</w:t>
            </w:r>
            <w:r w:rsidR="002E0F71" w:rsidRPr="00073574">
              <w:rPr>
                <w:szCs w:val="22"/>
              </w:rPr>
              <w:t>e</w:t>
            </w:r>
            <w:r w:rsidR="00EB746A" w:rsidRPr="00073574">
              <w:rPr>
                <w:szCs w:val="22"/>
              </w:rPr>
              <w:t xml:space="preserve"> acti</w:t>
            </w:r>
            <w:r w:rsidR="002E0F71" w:rsidRPr="00073574">
              <w:rPr>
                <w:szCs w:val="22"/>
              </w:rPr>
              <w:t>vities</w:t>
            </w:r>
            <w:r w:rsidR="00EB746A" w:rsidRPr="00073574">
              <w:rPr>
                <w:szCs w:val="22"/>
              </w:rPr>
              <w:t xml:space="preserve"> o</w:t>
            </w:r>
            <w:r w:rsidR="002E0F71" w:rsidRPr="00073574">
              <w:rPr>
                <w:szCs w:val="22"/>
              </w:rPr>
              <w:t>n</w:t>
            </w:r>
            <w:r w:rsidR="00EB746A" w:rsidRPr="00073574">
              <w:rPr>
                <w:szCs w:val="22"/>
              </w:rPr>
              <w:t xml:space="preserve"> ICT standardization</w:t>
            </w:r>
            <w:r w:rsidR="001F10DD" w:rsidRPr="00073574">
              <w:rPr>
                <w:szCs w:val="22"/>
              </w:rPr>
              <w:t>, TSB also encoura</w:t>
            </w:r>
            <w:r w:rsidR="00E27641" w:rsidRPr="00073574">
              <w:rPr>
                <w:szCs w:val="22"/>
              </w:rPr>
              <w:t xml:space="preserve">ges the </w:t>
            </w:r>
            <w:r w:rsidR="00EB746A" w:rsidRPr="00073574">
              <w:rPr>
                <w:szCs w:val="22"/>
              </w:rPr>
              <w:t>establish</w:t>
            </w:r>
            <w:r w:rsidR="00E27641" w:rsidRPr="00073574">
              <w:rPr>
                <w:szCs w:val="22"/>
              </w:rPr>
              <w:t>ment of</w:t>
            </w:r>
            <w:r w:rsidR="00EB746A" w:rsidRPr="00073574">
              <w:rPr>
                <w:szCs w:val="22"/>
              </w:rPr>
              <w:t xml:space="preserve"> NSS which can help </w:t>
            </w:r>
            <w:r w:rsidR="00180077" w:rsidRPr="00073574">
              <w:rPr>
                <w:szCs w:val="22"/>
              </w:rPr>
              <w:t xml:space="preserve">improve </w:t>
            </w:r>
            <w:r w:rsidR="00EB746A" w:rsidRPr="00073574">
              <w:rPr>
                <w:szCs w:val="22"/>
              </w:rPr>
              <w:t>participation in ITU-T Study Groups.</w:t>
            </w:r>
          </w:p>
          <w:p w14:paraId="6F03EA67" w14:textId="2188B5DE" w:rsidR="00885D26" w:rsidRPr="00073574" w:rsidRDefault="00117E5A" w:rsidP="00244B27">
            <w:pPr>
              <w:spacing w:after="40"/>
              <w:rPr>
                <w:szCs w:val="22"/>
              </w:rPr>
            </w:pPr>
            <w:r w:rsidRPr="00073574">
              <w:rPr>
                <w:szCs w:val="22"/>
              </w:rPr>
              <w:t xml:space="preserve">On the standards implementation front, </w:t>
            </w:r>
            <w:r w:rsidR="00EE73FC" w:rsidRPr="00073574">
              <w:rPr>
                <w:szCs w:val="22"/>
              </w:rPr>
              <w:t>TSB, through the</w:t>
            </w:r>
            <w:r w:rsidRPr="00073574">
              <w:rPr>
                <w:szCs w:val="22"/>
              </w:rPr>
              <w:t xml:space="preserve"> United for Smart Sustainable Cities </w:t>
            </w:r>
            <w:r w:rsidR="002235EA" w:rsidRPr="00073574">
              <w:rPr>
                <w:szCs w:val="22"/>
              </w:rPr>
              <w:t xml:space="preserve">(U4SSC) has been supporting the application of </w:t>
            </w:r>
            <w:r w:rsidR="0096081B" w:rsidRPr="00073574">
              <w:rPr>
                <w:szCs w:val="22"/>
              </w:rPr>
              <w:t xml:space="preserve">relevant </w:t>
            </w:r>
            <w:r w:rsidR="00251EC4" w:rsidRPr="00073574">
              <w:rPr>
                <w:szCs w:val="22"/>
              </w:rPr>
              <w:t>Key Performance Indicators (KPIs)</w:t>
            </w:r>
            <w:r w:rsidR="00B40F90" w:rsidRPr="00073574">
              <w:rPr>
                <w:szCs w:val="22"/>
              </w:rPr>
              <w:t xml:space="preserve"> for smart and sustainable cities </w:t>
            </w:r>
            <w:r w:rsidR="00730010" w:rsidRPr="00073574">
              <w:rPr>
                <w:szCs w:val="22"/>
              </w:rPr>
              <w:t xml:space="preserve">as </w:t>
            </w:r>
            <w:r w:rsidR="00B37850" w:rsidRPr="00073574">
              <w:rPr>
                <w:szCs w:val="22"/>
              </w:rPr>
              <w:t>referred</w:t>
            </w:r>
            <w:r w:rsidR="00B40F90" w:rsidRPr="00073574">
              <w:rPr>
                <w:szCs w:val="22"/>
              </w:rPr>
              <w:t xml:space="preserve"> in </w:t>
            </w:r>
            <w:r w:rsidR="007342EC" w:rsidRPr="00073574">
              <w:rPr>
                <w:szCs w:val="22"/>
              </w:rPr>
              <w:t xml:space="preserve">different ITU-T </w:t>
            </w:r>
            <w:r w:rsidR="008B48A8" w:rsidRPr="00073574">
              <w:rPr>
                <w:szCs w:val="22"/>
              </w:rPr>
              <w:t>Recommendation</w:t>
            </w:r>
            <w:r w:rsidR="007342EC" w:rsidRPr="00073574">
              <w:rPr>
                <w:szCs w:val="22"/>
              </w:rPr>
              <w:t xml:space="preserve">s </w:t>
            </w:r>
            <w:r w:rsidR="0096081B" w:rsidRPr="00073574">
              <w:rPr>
                <w:szCs w:val="22"/>
              </w:rPr>
              <w:t>(</w:t>
            </w:r>
            <w:r w:rsidR="007342EC" w:rsidRPr="00073574">
              <w:rPr>
                <w:szCs w:val="22"/>
              </w:rPr>
              <w:t>including but not limited to</w:t>
            </w:r>
            <w:r w:rsidR="008B48A8" w:rsidRPr="00073574">
              <w:rPr>
                <w:szCs w:val="22"/>
              </w:rPr>
              <w:t xml:space="preserve"> ITU-T Y.4901, ITU-T Y.4902 and ITU-T4903</w:t>
            </w:r>
            <w:r w:rsidR="0096081B" w:rsidRPr="00073574">
              <w:rPr>
                <w:szCs w:val="22"/>
              </w:rPr>
              <w:t>)</w:t>
            </w:r>
            <w:r w:rsidR="00730010" w:rsidRPr="00073574">
              <w:rPr>
                <w:szCs w:val="22"/>
              </w:rPr>
              <w:t xml:space="preserve"> in several cities</w:t>
            </w:r>
            <w:r w:rsidR="00605801" w:rsidRPr="00073574">
              <w:rPr>
                <w:szCs w:val="22"/>
              </w:rPr>
              <w:t xml:space="preserve"> </w:t>
            </w:r>
            <w:r w:rsidR="00E25A78" w:rsidRPr="00073574">
              <w:rPr>
                <w:szCs w:val="22"/>
              </w:rPr>
              <w:t>(</w:t>
            </w:r>
            <w:r w:rsidR="007342EC" w:rsidRPr="00073574">
              <w:rPr>
                <w:szCs w:val="22"/>
              </w:rPr>
              <w:t>s</w:t>
            </w:r>
            <w:r w:rsidR="00605801" w:rsidRPr="00073574">
              <w:rPr>
                <w:szCs w:val="22"/>
              </w:rPr>
              <w:t>u</w:t>
            </w:r>
            <w:r w:rsidR="007342EC" w:rsidRPr="00073574">
              <w:rPr>
                <w:szCs w:val="22"/>
              </w:rPr>
              <w:t>ch as</w:t>
            </w:r>
            <w:r w:rsidR="00605801" w:rsidRPr="00073574">
              <w:rPr>
                <w:szCs w:val="22"/>
              </w:rPr>
              <w:t xml:space="preserve"> Dubai, </w:t>
            </w:r>
            <w:r w:rsidR="003D1FA7" w:rsidRPr="00073574">
              <w:rPr>
                <w:szCs w:val="22"/>
              </w:rPr>
              <w:t xml:space="preserve">Riyadh, </w:t>
            </w:r>
            <w:r w:rsidR="002B57B6" w:rsidRPr="00073574">
              <w:rPr>
                <w:szCs w:val="22"/>
              </w:rPr>
              <w:t xml:space="preserve">Bizerte, </w:t>
            </w:r>
            <w:r w:rsidR="00605801" w:rsidRPr="00073574">
              <w:rPr>
                <w:szCs w:val="22"/>
              </w:rPr>
              <w:t>Singapore, Moscow, Daegu</w:t>
            </w:r>
            <w:r w:rsidR="00E25A78" w:rsidRPr="00073574">
              <w:rPr>
                <w:szCs w:val="22"/>
              </w:rPr>
              <w:t>)</w:t>
            </w:r>
            <w:r w:rsidR="00730010" w:rsidRPr="00073574">
              <w:rPr>
                <w:szCs w:val="22"/>
              </w:rPr>
              <w:t xml:space="preserve"> across the globe</w:t>
            </w:r>
            <w:r w:rsidR="00251EC4" w:rsidRPr="00073574">
              <w:rPr>
                <w:szCs w:val="22"/>
              </w:rPr>
              <w:t xml:space="preserve">. </w:t>
            </w:r>
            <w:r w:rsidR="00E25A78" w:rsidRPr="00073574">
              <w:rPr>
                <w:szCs w:val="22"/>
              </w:rPr>
              <w:t xml:space="preserve">The U4SSC is supported by 17 United Nations agencies including </w:t>
            </w:r>
            <w:r w:rsidR="007342EC" w:rsidRPr="00073574">
              <w:rPr>
                <w:szCs w:val="22"/>
              </w:rPr>
              <w:t>ITU, UNECE, and UN-H</w:t>
            </w:r>
            <w:r w:rsidR="00325596" w:rsidRPr="00073574">
              <w:rPr>
                <w:szCs w:val="22"/>
              </w:rPr>
              <w:t>ABITAT.</w:t>
            </w:r>
            <w:r w:rsidR="00325596" w:rsidRPr="00073574">
              <w:rPr>
                <w:szCs w:val="22"/>
              </w:rPr>
              <w:br/>
            </w:r>
            <w:r w:rsidRPr="00073574">
              <w:rPr>
                <w:szCs w:val="22"/>
              </w:rPr>
              <w:t>Additionally, programmes like Smart Incubator</w:t>
            </w:r>
            <w:r w:rsidR="00EE73FC" w:rsidRPr="00073574">
              <w:rPr>
                <w:szCs w:val="22"/>
              </w:rPr>
              <w:t xml:space="preserve"> has been providing </w:t>
            </w:r>
            <w:r w:rsidR="00B07F5F" w:rsidRPr="00073574">
              <w:rPr>
                <w:szCs w:val="22"/>
              </w:rPr>
              <w:t>assistance to SMEs in commercializing the</w:t>
            </w:r>
            <w:r w:rsidR="00325596" w:rsidRPr="00073574">
              <w:rPr>
                <w:szCs w:val="22"/>
              </w:rPr>
              <w:t xml:space="preserve">ir ICT-based </w:t>
            </w:r>
            <w:r w:rsidR="00B07F5F" w:rsidRPr="00073574">
              <w:rPr>
                <w:szCs w:val="22"/>
              </w:rPr>
              <w:t>solutions</w:t>
            </w:r>
            <w:r w:rsidR="003618A4" w:rsidRPr="00073574">
              <w:rPr>
                <w:szCs w:val="22"/>
              </w:rPr>
              <w:t xml:space="preserve"> and services by guiding them on the </w:t>
            </w:r>
            <w:r w:rsidR="00B07F5F" w:rsidRPr="00073574">
              <w:rPr>
                <w:szCs w:val="22"/>
              </w:rPr>
              <w:t>adopt</w:t>
            </w:r>
            <w:r w:rsidR="003618A4" w:rsidRPr="00073574">
              <w:rPr>
                <w:szCs w:val="22"/>
              </w:rPr>
              <w:t>ion of</w:t>
            </w:r>
            <w:r w:rsidR="00B07F5F" w:rsidRPr="00073574">
              <w:rPr>
                <w:szCs w:val="22"/>
              </w:rPr>
              <w:t xml:space="preserve"> re</w:t>
            </w:r>
            <w:r w:rsidR="003618A4" w:rsidRPr="00073574">
              <w:rPr>
                <w:szCs w:val="22"/>
              </w:rPr>
              <w:t>levan</w:t>
            </w:r>
            <w:r w:rsidR="00B07F5F" w:rsidRPr="00073574">
              <w:rPr>
                <w:szCs w:val="22"/>
              </w:rPr>
              <w:t xml:space="preserve">t ITU-T </w:t>
            </w:r>
            <w:r w:rsidR="00024778" w:rsidRPr="00073574">
              <w:rPr>
                <w:szCs w:val="22"/>
              </w:rPr>
              <w:t>s</w:t>
            </w:r>
            <w:r w:rsidR="00B07F5F" w:rsidRPr="00073574">
              <w:rPr>
                <w:szCs w:val="22"/>
              </w:rPr>
              <w:t>tandards.</w:t>
            </w:r>
          </w:p>
          <w:p w14:paraId="5F32C32A" w14:textId="0D70436D" w:rsidR="005B3597" w:rsidRPr="00073574" w:rsidRDefault="005B3597" w:rsidP="00244B27">
            <w:pPr>
              <w:spacing w:after="40"/>
              <w:rPr>
                <w:szCs w:val="22"/>
              </w:rPr>
            </w:pPr>
            <w:r w:rsidRPr="00073574">
              <w:rPr>
                <w:szCs w:val="22"/>
              </w:rPr>
              <w:t xml:space="preserve">As a part of the future </w:t>
            </w:r>
            <w:r w:rsidR="000F4808" w:rsidRPr="00073574">
              <w:rPr>
                <w:szCs w:val="22"/>
              </w:rPr>
              <w:t>activities</w:t>
            </w:r>
            <w:r w:rsidRPr="00073574">
              <w:rPr>
                <w:szCs w:val="22"/>
              </w:rPr>
              <w:t xml:space="preserve"> envisioned as a part of the action plan, TSB together with </w:t>
            </w:r>
            <w:r w:rsidR="00214B20" w:rsidRPr="00073574">
              <w:rPr>
                <w:szCs w:val="22"/>
              </w:rPr>
              <w:t>BDT and BR could reinforce the implement</w:t>
            </w:r>
            <w:r w:rsidR="00526118" w:rsidRPr="00073574">
              <w:rPr>
                <w:szCs w:val="22"/>
              </w:rPr>
              <w:t>ation of ITU standards through the:</w:t>
            </w:r>
          </w:p>
          <w:p w14:paraId="69D3CAB5" w14:textId="253BC415" w:rsidR="00526118" w:rsidRPr="00073574" w:rsidRDefault="00526118" w:rsidP="005B1ABB">
            <w:pPr>
              <w:pStyle w:val="ListParagraph"/>
              <w:numPr>
                <w:ilvl w:val="0"/>
                <w:numId w:val="127"/>
              </w:numPr>
              <w:spacing w:before="40" w:after="40"/>
              <w:ind w:left="714" w:hanging="357"/>
              <w:contextualSpacing w:val="0"/>
              <w:rPr>
                <w:szCs w:val="22"/>
              </w:rPr>
            </w:pPr>
            <w:r w:rsidRPr="00073574">
              <w:rPr>
                <w:szCs w:val="22"/>
              </w:rPr>
              <w:t>Development of relevant online course</w:t>
            </w:r>
            <w:r w:rsidR="007D019F" w:rsidRPr="00073574">
              <w:rPr>
                <w:szCs w:val="22"/>
              </w:rPr>
              <w:t>s</w:t>
            </w:r>
            <w:r w:rsidRPr="00073574">
              <w:rPr>
                <w:szCs w:val="22"/>
              </w:rPr>
              <w:t xml:space="preserve"> focussed on </w:t>
            </w:r>
            <w:r w:rsidR="002A623C" w:rsidRPr="00073574">
              <w:rPr>
                <w:szCs w:val="22"/>
              </w:rPr>
              <w:t>guiding developing countries on the implementation of ITU Standards</w:t>
            </w:r>
          </w:p>
          <w:p w14:paraId="21D675DE" w14:textId="2178C61D" w:rsidR="00090422" w:rsidRPr="00073574" w:rsidRDefault="002A623C" w:rsidP="005B1ABB">
            <w:pPr>
              <w:pStyle w:val="ListParagraph"/>
              <w:numPr>
                <w:ilvl w:val="0"/>
                <w:numId w:val="127"/>
              </w:numPr>
              <w:spacing w:before="40" w:after="40"/>
              <w:ind w:left="714" w:hanging="357"/>
              <w:contextualSpacing w:val="0"/>
              <w:rPr>
                <w:szCs w:val="22"/>
              </w:rPr>
            </w:pPr>
            <w:r w:rsidRPr="00073574">
              <w:rPr>
                <w:szCs w:val="22"/>
              </w:rPr>
              <w:t xml:space="preserve">Organization of </w:t>
            </w:r>
            <w:r w:rsidR="00090422" w:rsidRPr="00073574">
              <w:rPr>
                <w:szCs w:val="22"/>
              </w:rPr>
              <w:t xml:space="preserve">specialized </w:t>
            </w:r>
            <w:r w:rsidRPr="00073574">
              <w:rPr>
                <w:szCs w:val="22"/>
              </w:rPr>
              <w:t xml:space="preserve">trainings </w:t>
            </w:r>
            <w:r w:rsidR="00090422" w:rsidRPr="00073574">
              <w:rPr>
                <w:szCs w:val="22"/>
              </w:rPr>
              <w:t>geared towards the appl</w:t>
            </w:r>
            <w:r w:rsidR="00695696" w:rsidRPr="00073574">
              <w:rPr>
                <w:szCs w:val="22"/>
              </w:rPr>
              <w:t>ication of ITU Standards relating to emerging technologies and digital transformation</w:t>
            </w:r>
          </w:p>
          <w:p w14:paraId="6D28B00F" w14:textId="77777777" w:rsidR="002B0C5F" w:rsidRPr="00073574" w:rsidRDefault="002B0C5F" w:rsidP="005B1ABB">
            <w:pPr>
              <w:pStyle w:val="ListParagraph"/>
              <w:numPr>
                <w:ilvl w:val="0"/>
                <w:numId w:val="127"/>
              </w:numPr>
              <w:spacing w:before="40" w:after="40"/>
              <w:ind w:left="714" w:hanging="357"/>
              <w:contextualSpacing w:val="0"/>
              <w:rPr>
                <w:szCs w:val="22"/>
              </w:rPr>
            </w:pPr>
            <w:r w:rsidRPr="00073574">
              <w:rPr>
                <w:szCs w:val="22"/>
              </w:rPr>
              <w:t xml:space="preserve">Enhance support </w:t>
            </w:r>
            <w:r w:rsidR="006967E3" w:rsidRPr="00073574">
              <w:rPr>
                <w:szCs w:val="22"/>
              </w:rPr>
              <w:t xml:space="preserve">and guidance </w:t>
            </w:r>
            <w:r w:rsidRPr="00073574">
              <w:rPr>
                <w:szCs w:val="22"/>
              </w:rPr>
              <w:t>provided for the creation of NSS in different countries</w:t>
            </w:r>
            <w:r w:rsidR="006967E3" w:rsidRPr="00073574">
              <w:rPr>
                <w:szCs w:val="22"/>
              </w:rPr>
              <w:t>, with the assistance of ITU Regional Offices</w:t>
            </w:r>
          </w:p>
          <w:p w14:paraId="56F3DF0A" w14:textId="77777777" w:rsidR="00885D26" w:rsidRPr="00073574" w:rsidRDefault="00FD6DEB" w:rsidP="005B1ABB">
            <w:pPr>
              <w:pStyle w:val="ListParagraph"/>
              <w:numPr>
                <w:ilvl w:val="0"/>
                <w:numId w:val="127"/>
              </w:numPr>
              <w:spacing w:before="40" w:after="40"/>
              <w:ind w:left="714" w:hanging="357"/>
              <w:contextualSpacing w:val="0"/>
              <w:rPr>
                <w:szCs w:val="22"/>
              </w:rPr>
            </w:pPr>
            <w:r w:rsidRPr="00073574">
              <w:rPr>
                <w:szCs w:val="22"/>
              </w:rPr>
              <w:t xml:space="preserve">Improving </w:t>
            </w:r>
            <w:r w:rsidR="00726031" w:rsidRPr="00073574">
              <w:rPr>
                <w:szCs w:val="22"/>
              </w:rPr>
              <w:t>assist</w:t>
            </w:r>
            <w:r w:rsidRPr="00073574">
              <w:rPr>
                <w:szCs w:val="22"/>
              </w:rPr>
              <w:t>ance to</w:t>
            </w:r>
            <w:r w:rsidR="00726031" w:rsidRPr="00073574">
              <w:rPr>
                <w:szCs w:val="22"/>
              </w:rPr>
              <w:t xml:space="preserve"> developing countries on </w:t>
            </w:r>
            <w:r w:rsidR="007C7560" w:rsidRPr="00073574">
              <w:rPr>
                <w:szCs w:val="22"/>
              </w:rPr>
              <w:t xml:space="preserve">the establishment and maintenance of test laboratories </w:t>
            </w:r>
            <w:r w:rsidR="00A52ED4" w:rsidRPr="00073574">
              <w:rPr>
                <w:szCs w:val="22"/>
              </w:rPr>
              <w:t>for</w:t>
            </w:r>
            <w:r w:rsidR="00BF056E" w:rsidRPr="00073574">
              <w:rPr>
                <w:szCs w:val="22"/>
              </w:rPr>
              <w:t xml:space="preserve"> leveraging </w:t>
            </w:r>
            <w:r w:rsidR="00192EB1" w:rsidRPr="00073574">
              <w:rPr>
                <w:szCs w:val="22"/>
              </w:rPr>
              <w:t xml:space="preserve">and piloting </w:t>
            </w:r>
            <w:r w:rsidR="00BF056E" w:rsidRPr="00073574">
              <w:rPr>
                <w:szCs w:val="22"/>
              </w:rPr>
              <w:t>emerging technolog</w:t>
            </w:r>
            <w:r w:rsidR="00192EB1" w:rsidRPr="00073574">
              <w:rPr>
                <w:szCs w:val="22"/>
              </w:rPr>
              <w:t>y-based standards</w:t>
            </w:r>
            <w:r w:rsidR="00A424CD" w:rsidRPr="00073574">
              <w:rPr>
                <w:szCs w:val="22"/>
              </w:rPr>
              <w:t>.</w:t>
            </w:r>
          </w:p>
          <w:p w14:paraId="7706160E" w14:textId="32A28853" w:rsidR="00885D26" w:rsidRPr="00073574" w:rsidRDefault="00A424CD" w:rsidP="00A424CD">
            <w:pPr>
              <w:spacing w:before="40" w:after="40"/>
              <w:rPr>
                <w:szCs w:val="22"/>
              </w:rPr>
            </w:pPr>
            <w:r w:rsidRPr="00073574">
              <w:rPr>
                <w:szCs w:val="22"/>
              </w:rPr>
              <w:t xml:space="preserve">The TSB Director in </w:t>
            </w:r>
            <w:hyperlink r:id="rId347" w:history="1">
              <w:r w:rsidRPr="00073574">
                <w:rPr>
                  <w:rStyle w:val="Hyperlink"/>
                  <w:szCs w:val="22"/>
                </w:rPr>
                <w:t>C18/35</w:t>
              </w:r>
            </w:hyperlink>
            <w:r w:rsidRPr="00073574">
              <w:rPr>
                <w:szCs w:val="22"/>
              </w:rPr>
              <w:t xml:space="preserve"> also briefly reports on BSG matters and reported on BSG to PP-18.</w:t>
            </w:r>
          </w:p>
        </w:tc>
      </w:tr>
    </w:tbl>
    <w:p w14:paraId="09664299" w14:textId="77777777" w:rsidR="00F0236A" w:rsidRPr="00073574" w:rsidRDefault="0053741E" w:rsidP="00F0236A">
      <w:pPr>
        <w:rPr>
          <w:sz w:val="24"/>
        </w:rPr>
      </w:pPr>
      <w:hyperlink w:anchor="Top" w:history="1">
        <w:r w:rsidR="00F0236A" w:rsidRPr="00073574">
          <w:rPr>
            <w:rStyle w:val="Hyperlink"/>
            <w:sz w:val="24"/>
          </w:rPr>
          <w:t>» Top</w:t>
        </w:r>
      </w:hyperlink>
    </w:p>
    <w:p w14:paraId="3315A6F9" w14:textId="77777777" w:rsidR="00F0236A" w:rsidRPr="00073574" w:rsidRDefault="00F0236A" w:rsidP="00F0236A">
      <w:pPr>
        <w:pStyle w:val="Heading1"/>
        <w:keepNext/>
        <w:ind w:left="357" w:hanging="357"/>
        <w:rPr>
          <w:sz w:val="24"/>
          <w:szCs w:val="24"/>
          <w:lang w:val="en-GB"/>
        </w:rPr>
      </w:pPr>
      <w:bookmarkStart w:id="169" w:name="Resolution_45"/>
      <w:bookmarkStart w:id="170" w:name="_Toc304236431"/>
      <w:bookmarkStart w:id="171" w:name="_Toc471715368"/>
      <w:bookmarkStart w:id="172" w:name="_Toc93425254"/>
      <w:bookmarkEnd w:id="169"/>
      <w:r w:rsidRPr="00073574">
        <w:rPr>
          <w:sz w:val="24"/>
          <w:szCs w:val="24"/>
          <w:lang w:val="en-GB"/>
        </w:rPr>
        <w:t>Resolution 45 - Effective coordination of standardization work across study groups in the ITU Telecommunication Standardization Sector and the role of the ITU Telecommunication Standardization Advisory Group</w:t>
      </w:r>
      <w:bookmarkEnd w:id="170"/>
      <w:bookmarkEnd w:id="171"/>
      <w:bookmarkEnd w:id="172"/>
    </w:p>
    <w:p w14:paraId="60B36B8E" w14:textId="77777777" w:rsidR="00F0236A" w:rsidRPr="00073574" w:rsidRDefault="00F0236A" w:rsidP="00F0236A">
      <w:pPr>
        <w:keepNext/>
        <w:rPr>
          <w:b/>
          <w:bCs/>
          <w:sz w:val="24"/>
        </w:rPr>
      </w:pPr>
      <w:r w:rsidRPr="00073574">
        <w:rPr>
          <w:b/>
          <w:bCs/>
          <w:sz w:val="24"/>
        </w:rPr>
        <w:t>Resolution 45</w:t>
      </w:r>
    </w:p>
    <w:p w14:paraId="5E322344" w14:textId="77777777" w:rsidR="00F0236A" w:rsidRPr="00073574" w:rsidRDefault="00F0236A" w:rsidP="00F0236A">
      <w:pPr>
        <w:pStyle w:val="Call"/>
        <w:rPr>
          <w:sz w:val="24"/>
          <w:szCs w:val="24"/>
          <w:lang w:val="en-GB"/>
        </w:rPr>
      </w:pPr>
      <w:r w:rsidRPr="00073574">
        <w:rPr>
          <w:sz w:val="24"/>
          <w:szCs w:val="24"/>
          <w:lang w:val="en-GB"/>
        </w:rPr>
        <w:t>resolves</w:t>
      </w:r>
    </w:p>
    <w:p w14:paraId="447FCB22" w14:textId="77777777" w:rsidR="00F0236A" w:rsidRPr="00073574" w:rsidRDefault="00F0236A" w:rsidP="00F0236A">
      <w:pPr>
        <w:rPr>
          <w:sz w:val="24"/>
        </w:rPr>
      </w:pPr>
      <w:r w:rsidRPr="00073574">
        <w:rPr>
          <w:sz w:val="24"/>
        </w:rPr>
        <w:t>that the coordination of ITU</w:t>
      </w:r>
      <w:r w:rsidRPr="00073574">
        <w:rPr>
          <w:sz w:val="24"/>
        </w:rPr>
        <w:noBreakHyphen/>
        <w:t>T activities in regard to high-priority standardization issues and work related to more than one study group should ensure:</w:t>
      </w:r>
    </w:p>
    <w:p w14:paraId="75A0B29C" w14:textId="77777777" w:rsidR="00F0236A" w:rsidRPr="00073574" w:rsidRDefault="00F0236A" w:rsidP="00BF1094">
      <w:pPr>
        <w:pStyle w:val="enumlev10"/>
        <w:jc w:val="left"/>
        <w:rPr>
          <w:sz w:val="24"/>
          <w:szCs w:val="24"/>
        </w:rPr>
      </w:pPr>
      <w:r w:rsidRPr="00073574">
        <w:rPr>
          <w:sz w:val="24"/>
          <w:szCs w:val="24"/>
        </w:rPr>
        <w:t>i)</w:t>
      </w:r>
      <w:r w:rsidRPr="00073574">
        <w:rPr>
          <w:sz w:val="24"/>
          <w:szCs w:val="24"/>
        </w:rPr>
        <w:tab/>
        <w:t>the identification of high-level objectives and priorities for ITU</w:t>
      </w:r>
      <w:r w:rsidRPr="00073574">
        <w:rPr>
          <w:sz w:val="24"/>
          <w:szCs w:val="24"/>
        </w:rPr>
        <w:noBreakHyphen/>
        <w:t>T studies from a global viewpoint;</w:t>
      </w:r>
    </w:p>
    <w:p w14:paraId="30F11404" w14:textId="77777777" w:rsidR="00F0236A" w:rsidRPr="00073574" w:rsidRDefault="00F0236A" w:rsidP="00BF1094">
      <w:pPr>
        <w:pStyle w:val="enumlev10"/>
        <w:jc w:val="left"/>
        <w:rPr>
          <w:sz w:val="24"/>
          <w:szCs w:val="24"/>
        </w:rPr>
      </w:pPr>
      <w:r w:rsidRPr="00073574">
        <w:rPr>
          <w:sz w:val="24"/>
          <w:szCs w:val="24"/>
        </w:rPr>
        <w:t>ii)</w:t>
      </w:r>
      <w:r w:rsidRPr="00073574">
        <w:rPr>
          <w:sz w:val="24"/>
          <w:szCs w:val="24"/>
        </w:rPr>
        <w:tab/>
        <w:t>cooperation between study groups, including the avoidance of duplication of work and the identification of linkages between related work items;</w:t>
      </w:r>
    </w:p>
    <w:p w14:paraId="2B99B558" w14:textId="77777777" w:rsidR="00F0236A" w:rsidRPr="00073574" w:rsidRDefault="00F0236A" w:rsidP="00BF1094">
      <w:pPr>
        <w:pStyle w:val="enumlev10"/>
        <w:jc w:val="left"/>
        <w:rPr>
          <w:sz w:val="24"/>
          <w:szCs w:val="24"/>
        </w:rPr>
      </w:pPr>
      <w:r w:rsidRPr="00073574">
        <w:rPr>
          <w:sz w:val="24"/>
          <w:szCs w:val="24"/>
        </w:rPr>
        <w:t>iii)</w:t>
      </w:r>
      <w:r w:rsidRPr="00073574">
        <w:rPr>
          <w:sz w:val="24"/>
          <w:szCs w:val="24"/>
        </w:rPr>
        <w:tab/>
        <w:t>the planned coordination of time-frames, deliverables, objectives and milestones for standardization activities;</w:t>
      </w:r>
    </w:p>
    <w:p w14:paraId="42CECD48" w14:textId="77777777" w:rsidR="00F0236A" w:rsidRPr="00073574" w:rsidRDefault="00F0236A" w:rsidP="00BF1094">
      <w:pPr>
        <w:pStyle w:val="enumlev10"/>
        <w:jc w:val="left"/>
        <w:rPr>
          <w:sz w:val="24"/>
          <w:szCs w:val="24"/>
        </w:rPr>
      </w:pPr>
      <w:r w:rsidRPr="00073574">
        <w:rPr>
          <w:sz w:val="24"/>
          <w:szCs w:val="24"/>
        </w:rPr>
        <w:t>iv)</w:t>
      </w:r>
      <w:r w:rsidRPr="00073574">
        <w:rPr>
          <w:sz w:val="24"/>
          <w:szCs w:val="24"/>
        </w:rPr>
        <w:tab/>
        <w:t>that the interests of developing countries are taken into account and that their involvement in these activities is encouraged and facilitated;</w:t>
      </w:r>
    </w:p>
    <w:p w14:paraId="12A6149B" w14:textId="77777777" w:rsidR="00F0236A" w:rsidRPr="00073574" w:rsidRDefault="00F0236A" w:rsidP="00BF1094">
      <w:pPr>
        <w:pStyle w:val="enumlev10"/>
        <w:jc w:val="left"/>
        <w:rPr>
          <w:sz w:val="24"/>
          <w:szCs w:val="24"/>
        </w:rPr>
      </w:pPr>
      <w:r w:rsidRPr="00073574">
        <w:rPr>
          <w:sz w:val="24"/>
          <w:szCs w:val="24"/>
        </w:rPr>
        <w:t>v)</w:t>
      </w:r>
      <w:r w:rsidRPr="00073574">
        <w:rPr>
          <w:sz w:val="24"/>
          <w:szCs w:val="24"/>
        </w:rPr>
        <w:tab/>
        <w:t>cooperation and coordination with the ITU Radiocommunication and Telecommunication Development Sectors and with other, external, standardization bodies,</w:t>
      </w:r>
    </w:p>
    <w:p w14:paraId="087142CC" w14:textId="43B3E626" w:rsidR="00F0236A" w:rsidRPr="00073574" w:rsidRDefault="00F0236A" w:rsidP="00F0236A">
      <w:pPr>
        <w:pStyle w:val="Call"/>
        <w:rPr>
          <w:sz w:val="24"/>
          <w:szCs w:val="24"/>
          <w:lang w:val="en-GB"/>
        </w:rPr>
      </w:pPr>
      <w:r w:rsidRPr="00073574">
        <w:rPr>
          <w:sz w:val="24"/>
          <w:szCs w:val="24"/>
          <w:lang w:val="en-GB"/>
        </w:rPr>
        <w:t xml:space="preserve">instructs the Telecommunication Standardization Advisory </w:t>
      </w:r>
      <w:r w:rsidR="00E31596" w:rsidRPr="00073574">
        <w:rPr>
          <w:sz w:val="24"/>
          <w:szCs w:val="24"/>
          <w:lang w:val="en-GB"/>
        </w:rPr>
        <w:t>Group</w:t>
      </w:r>
    </w:p>
    <w:p w14:paraId="7C1C4055" w14:textId="77777777" w:rsidR="00F0236A" w:rsidRPr="00073574" w:rsidRDefault="00F0236A" w:rsidP="00F0236A">
      <w:pPr>
        <w:rPr>
          <w:sz w:val="24"/>
        </w:rPr>
      </w:pPr>
      <w:r w:rsidRPr="00073574">
        <w:rPr>
          <w:sz w:val="24"/>
        </w:rPr>
        <w:t>1</w:t>
      </w:r>
      <w:r w:rsidRPr="00073574">
        <w:rPr>
          <w:sz w:val="24"/>
        </w:rPr>
        <w:tab/>
        <w:t>to take an active role in ensuring coordination among study groups, particularly on high-priority standardization issues that are being studied in more than one study group, including:</w:t>
      </w:r>
    </w:p>
    <w:p w14:paraId="62DCEDDE" w14:textId="77777777" w:rsidR="00F0236A" w:rsidRPr="00073574" w:rsidRDefault="00F0236A" w:rsidP="00BF1094">
      <w:pPr>
        <w:pStyle w:val="enumlev10"/>
        <w:jc w:val="left"/>
        <w:rPr>
          <w:sz w:val="24"/>
          <w:szCs w:val="24"/>
        </w:rPr>
      </w:pPr>
      <w:r w:rsidRPr="00073574">
        <w:rPr>
          <w:sz w:val="24"/>
          <w:szCs w:val="24"/>
        </w:rPr>
        <w:t>i)</w:t>
      </w:r>
      <w:r w:rsidRPr="00073574">
        <w:rPr>
          <w:sz w:val="24"/>
          <w:szCs w:val="24"/>
        </w:rPr>
        <w:tab/>
        <w:t>to consider the work of any JCAs, and also recommend the establishment of such activities, if appropriate, and to invite coordination groups to hold the necessary meetings to achieve the objectives set for them;</w:t>
      </w:r>
    </w:p>
    <w:p w14:paraId="509E5A8E" w14:textId="77777777" w:rsidR="00F0236A" w:rsidRPr="00073574" w:rsidRDefault="00F0236A" w:rsidP="00BF1094">
      <w:pPr>
        <w:pStyle w:val="enumlev10"/>
        <w:jc w:val="left"/>
        <w:rPr>
          <w:sz w:val="24"/>
          <w:szCs w:val="24"/>
        </w:rPr>
      </w:pPr>
      <w:r w:rsidRPr="00073574">
        <w:rPr>
          <w:sz w:val="24"/>
          <w:szCs w:val="24"/>
        </w:rPr>
        <w:t>ii)</w:t>
      </w:r>
      <w:r w:rsidRPr="00073574">
        <w:rPr>
          <w:sz w:val="24"/>
          <w:szCs w:val="24"/>
        </w:rPr>
        <w:tab/>
        <w:t>to identify requirements and provide determination on appropriate changes to be made where overlapping issues arise, which includes, but is not limited to, assignment of a mandate to a study group to lead on coordination work;</w:t>
      </w:r>
    </w:p>
    <w:p w14:paraId="6604CB8E" w14:textId="77777777" w:rsidR="00F0236A" w:rsidRPr="00073574" w:rsidRDefault="00F0236A" w:rsidP="00BF1094">
      <w:pPr>
        <w:pStyle w:val="enumlev10"/>
        <w:jc w:val="left"/>
        <w:rPr>
          <w:sz w:val="24"/>
          <w:szCs w:val="24"/>
        </w:rPr>
      </w:pPr>
      <w:r w:rsidRPr="00073574">
        <w:rPr>
          <w:sz w:val="24"/>
          <w:szCs w:val="24"/>
        </w:rPr>
        <w:t>iii)</w:t>
      </w:r>
      <w:r w:rsidRPr="00073574">
        <w:rPr>
          <w:sz w:val="24"/>
          <w:szCs w:val="24"/>
        </w:rPr>
        <w:tab/>
        <w:t>to advise on further improvements to working methods of the joint coordination activities;</w:t>
      </w:r>
    </w:p>
    <w:p w14:paraId="6101FBD9" w14:textId="77777777" w:rsidR="00F0236A" w:rsidRPr="00073574" w:rsidRDefault="00F0236A" w:rsidP="00BF1094">
      <w:pPr>
        <w:spacing w:after="240"/>
        <w:rPr>
          <w:i/>
          <w:iCs/>
          <w:sz w:val="24"/>
        </w:rPr>
      </w:pPr>
      <w:r w:rsidRPr="00073574">
        <w:rPr>
          <w:sz w:val="24"/>
        </w:rPr>
        <w:t>2</w:t>
      </w:r>
      <w:r w:rsidRPr="00073574">
        <w:rPr>
          <w:sz w:val="24"/>
        </w:rPr>
        <w:tab/>
        <w:t>to take into account, and implement as necessary, advice given to TSAG by other groups established in the interests of effective coordination on high-priority and joint standardization topics.</w:t>
      </w:r>
    </w:p>
    <w:tbl>
      <w:tblPr>
        <w:tblW w:w="98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11"/>
        <w:gridCol w:w="4537"/>
        <w:gridCol w:w="1889"/>
        <w:gridCol w:w="1159"/>
        <w:gridCol w:w="1336"/>
      </w:tblGrid>
      <w:tr w:rsidR="00F0236A" w:rsidRPr="00073574" w14:paraId="17A91B4B" w14:textId="77777777" w:rsidTr="004B7A24">
        <w:trPr>
          <w:jc w:val="center"/>
        </w:trPr>
        <w:tc>
          <w:tcPr>
            <w:tcW w:w="911" w:type="dxa"/>
            <w:tcBorders>
              <w:top w:val="single" w:sz="12" w:space="0" w:color="auto"/>
              <w:bottom w:val="single" w:sz="12" w:space="0" w:color="auto"/>
            </w:tcBorders>
            <w:shd w:val="clear" w:color="auto" w:fill="auto"/>
            <w:vAlign w:val="center"/>
          </w:tcPr>
          <w:p w14:paraId="242797F0" w14:textId="77777777" w:rsidR="00F0236A" w:rsidRPr="00073574" w:rsidRDefault="00F0236A" w:rsidP="00DF36E1">
            <w:pPr>
              <w:pStyle w:val="Tablehead"/>
              <w:rPr>
                <w:sz w:val="24"/>
                <w:szCs w:val="24"/>
              </w:rPr>
            </w:pPr>
            <w:r w:rsidRPr="00073574">
              <w:rPr>
                <w:sz w:val="24"/>
                <w:szCs w:val="24"/>
              </w:rPr>
              <w:lastRenderedPageBreak/>
              <w:t>Action Item</w:t>
            </w:r>
          </w:p>
        </w:tc>
        <w:tc>
          <w:tcPr>
            <w:tcW w:w="4537" w:type="dxa"/>
            <w:tcBorders>
              <w:top w:val="single" w:sz="12" w:space="0" w:color="auto"/>
              <w:bottom w:val="single" w:sz="12" w:space="0" w:color="auto"/>
            </w:tcBorders>
            <w:shd w:val="clear" w:color="auto" w:fill="auto"/>
            <w:vAlign w:val="center"/>
            <w:hideMark/>
          </w:tcPr>
          <w:p w14:paraId="1DFC9F71" w14:textId="77777777" w:rsidR="00F0236A" w:rsidRPr="00073574" w:rsidRDefault="00F0236A" w:rsidP="00DF36E1">
            <w:pPr>
              <w:pStyle w:val="Tablehead"/>
              <w:rPr>
                <w:sz w:val="24"/>
                <w:szCs w:val="24"/>
              </w:rPr>
            </w:pPr>
            <w:r w:rsidRPr="00073574">
              <w:rPr>
                <w:sz w:val="24"/>
                <w:szCs w:val="24"/>
              </w:rPr>
              <w:t>Action</w:t>
            </w:r>
          </w:p>
        </w:tc>
        <w:tc>
          <w:tcPr>
            <w:tcW w:w="1889" w:type="dxa"/>
            <w:tcBorders>
              <w:top w:val="single" w:sz="12" w:space="0" w:color="auto"/>
              <w:bottom w:val="single" w:sz="12" w:space="0" w:color="auto"/>
            </w:tcBorders>
            <w:shd w:val="clear" w:color="auto" w:fill="auto"/>
            <w:vAlign w:val="center"/>
            <w:hideMark/>
          </w:tcPr>
          <w:p w14:paraId="7F7D6FF0" w14:textId="77777777" w:rsidR="00F0236A" w:rsidRPr="00073574" w:rsidRDefault="00F0236A" w:rsidP="00DF36E1">
            <w:pPr>
              <w:pStyle w:val="Tablehead"/>
              <w:rPr>
                <w:sz w:val="24"/>
                <w:szCs w:val="24"/>
              </w:rPr>
            </w:pPr>
            <w:r w:rsidRPr="00073574">
              <w:rPr>
                <w:sz w:val="24"/>
                <w:szCs w:val="24"/>
              </w:rPr>
              <w:t>Milestone</w:t>
            </w:r>
          </w:p>
        </w:tc>
        <w:tc>
          <w:tcPr>
            <w:tcW w:w="1159" w:type="dxa"/>
            <w:tcBorders>
              <w:top w:val="single" w:sz="12" w:space="0" w:color="auto"/>
              <w:bottom w:val="single" w:sz="12" w:space="0" w:color="auto"/>
            </w:tcBorders>
            <w:shd w:val="clear" w:color="auto" w:fill="auto"/>
          </w:tcPr>
          <w:p w14:paraId="0A3C4BBE" w14:textId="77777777" w:rsidR="00F0236A" w:rsidRPr="00073574" w:rsidRDefault="00F0236A" w:rsidP="00DF36E1">
            <w:pPr>
              <w:pStyle w:val="Tablehead"/>
              <w:rPr>
                <w:sz w:val="24"/>
                <w:szCs w:val="24"/>
              </w:rPr>
            </w:pPr>
            <w:r w:rsidRPr="00073574">
              <w:rPr>
                <w:sz w:val="24"/>
                <w:szCs w:val="24"/>
              </w:rPr>
              <w:t>Periodic goals met</w:t>
            </w:r>
          </w:p>
        </w:tc>
        <w:tc>
          <w:tcPr>
            <w:tcW w:w="1336" w:type="dxa"/>
            <w:tcBorders>
              <w:top w:val="single" w:sz="12" w:space="0" w:color="auto"/>
              <w:bottom w:val="single" w:sz="12" w:space="0" w:color="auto"/>
            </w:tcBorders>
            <w:shd w:val="clear" w:color="auto" w:fill="auto"/>
            <w:vAlign w:val="center"/>
          </w:tcPr>
          <w:p w14:paraId="46326DBF" w14:textId="77777777" w:rsidR="00F0236A" w:rsidRPr="00073574" w:rsidRDefault="00F0236A" w:rsidP="00DF36E1">
            <w:pPr>
              <w:pStyle w:val="Tablehead"/>
              <w:rPr>
                <w:sz w:val="24"/>
                <w:szCs w:val="24"/>
              </w:rPr>
            </w:pPr>
            <w:r w:rsidRPr="00073574">
              <w:rPr>
                <w:sz w:val="24"/>
                <w:szCs w:val="24"/>
              </w:rPr>
              <w:t>Completed</w:t>
            </w:r>
          </w:p>
        </w:tc>
      </w:tr>
      <w:tr w:rsidR="00F0236A" w:rsidRPr="00073574" w14:paraId="3715C2AD" w14:textId="77777777" w:rsidTr="00E44E48">
        <w:trPr>
          <w:cantSplit/>
          <w:jc w:val="center"/>
        </w:trPr>
        <w:tc>
          <w:tcPr>
            <w:tcW w:w="911" w:type="dxa"/>
            <w:vMerge w:val="restart"/>
            <w:tcBorders>
              <w:top w:val="single" w:sz="12" w:space="0" w:color="auto"/>
            </w:tcBorders>
            <w:shd w:val="clear" w:color="auto" w:fill="auto"/>
          </w:tcPr>
          <w:p w14:paraId="4D88DD18" w14:textId="77777777" w:rsidR="00F0236A" w:rsidRPr="00073574" w:rsidRDefault="00F0236A" w:rsidP="00DF36E1">
            <w:pPr>
              <w:pStyle w:val="Tabletext"/>
              <w:rPr>
                <w:b/>
                <w:bCs/>
                <w:sz w:val="24"/>
                <w:szCs w:val="24"/>
              </w:rPr>
            </w:pPr>
            <w:r w:rsidRPr="00073574">
              <w:rPr>
                <w:b/>
                <w:bCs/>
                <w:sz w:val="24"/>
                <w:szCs w:val="24"/>
              </w:rPr>
              <w:t>45-01</w:t>
            </w:r>
          </w:p>
        </w:tc>
        <w:tc>
          <w:tcPr>
            <w:tcW w:w="4537" w:type="dxa"/>
            <w:tcBorders>
              <w:top w:val="single" w:sz="12" w:space="0" w:color="auto"/>
              <w:bottom w:val="single" w:sz="4" w:space="0" w:color="auto"/>
            </w:tcBorders>
            <w:shd w:val="clear" w:color="auto" w:fill="auto"/>
            <w:hideMark/>
          </w:tcPr>
          <w:p w14:paraId="1696BB30" w14:textId="77777777" w:rsidR="00F0236A" w:rsidRPr="00073574" w:rsidRDefault="00F0236A" w:rsidP="00DF36E1">
            <w:pPr>
              <w:pStyle w:val="Tabletext"/>
              <w:rPr>
                <w:b/>
                <w:bCs/>
                <w:sz w:val="24"/>
                <w:szCs w:val="24"/>
              </w:rPr>
            </w:pPr>
            <w:r w:rsidRPr="00073574">
              <w:rPr>
                <w:b/>
                <w:bCs/>
                <w:sz w:val="24"/>
                <w:szCs w:val="24"/>
              </w:rPr>
              <w:t>TSAG, at each meeting, to review status on the coordination of standardization work involving multiple study groups, ITU-R and/or ITU-D, and with other, external, standardization bodies, and take an active role in ensuring coordination among study groups with necessary actions to ensure effective coordination. (resolves 1)</w:t>
            </w:r>
          </w:p>
        </w:tc>
        <w:tc>
          <w:tcPr>
            <w:tcW w:w="1889" w:type="dxa"/>
            <w:tcBorders>
              <w:top w:val="single" w:sz="12" w:space="0" w:color="auto"/>
              <w:bottom w:val="single" w:sz="4" w:space="0" w:color="auto"/>
            </w:tcBorders>
            <w:shd w:val="clear" w:color="auto" w:fill="auto"/>
            <w:vAlign w:val="center"/>
            <w:hideMark/>
          </w:tcPr>
          <w:p w14:paraId="2F97CF45"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59" w:type="dxa"/>
            <w:tcBorders>
              <w:top w:val="single" w:sz="12" w:space="0" w:color="auto"/>
              <w:bottom w:val="single" w:sz="4" w:space="0" w:color="auto"/>
            </w:tcBorders>
            <w:shd w:val="clear" w:color="auto" w:fill="auto"/>
            <w:vAlign w:val="center"/>
          </w:tcPr>
          <w:p w14:paraId="6DF751B2"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bottom w:val="single" w:sz="4" w:space="0" w:color="auto"/>
            </w:tcBorders>
            <w:shd w:val="clear" w:color="auto" w:fill="auto"/>
            <w:vAlign w:val="center"/>
          </w:tcPr>
          <w:p w14:paraId="44060C61" w14:textId="77777777" w:rsidR="00F0236A" w:rsidRPr="00073574" w:rsidRDefault="00F0236A" w:rsidP="00DF36E1">
            <w:pPr>
              <w:pStyle w:val="Tabletext"/>
              <w:jc w:val="center"/>
              <w:rPr>
                <w:b/>
                <w:bCs/>
                <w:sz w:val="24"/>
                <w:szCs w:val="24"/>
              </w:rPr>
            </w:pPr>
          </w:p>
        </w:tc>
      </w:tr>
      <w:tr w:rsidR="00F0236A" w:rsidRPr="00073574" w14:paraId="72ACA0B9" w14:textId="77777777" w:rsidTr="5D161764">
        <w:trPr>
          <w:cantSplit/>
          <w:jc w:val="center"/>
        </w:trPr>
        <w:tc>
          <w:tcPr>
            <w:tcW w:w="911" w:type="dxa"/>
            <w:vMerge/>
          </w:tcPr>
          <w:p w14:paraId="58DA2DBB" w14:textId="77777777" w:rsidR="00F0236A" w:rsidRPr="00073574" w:rsidRDefault="00F0236A" w:rsidP="00DF36E1">
            <w:pPr>
              <w:pStyle w:val="Tabletext"/>
              <w:rPr>
                <w:sz w:val="24"/>
                <w:szCs w:val="24"/>
              </w:rPr>
            </w:pPr>
          </w:p>
        </w:tc>
        <w:tc>
          <w:tcPr>
            <w:tcW w:w="8921" w:type="dxa"/>
            <w:gridSpan w:val="4"/>
            <w:tcBorders>
              <w:top w:val="single" w:sz="4" w:space="0" w:color="auto"/>
              <w:bottom w:val="single" w:sz="12" w:space="0" w:color="auto"/>
            </w:tcBorders>
            <w:shd w:val="clear" w:color="auto" w:fill="auto"/>
          </w:tcPr>
          <w:p w14:paraId="379DB4B8" w14:textId="77777777" w:rsidR="00F0236A" w:rsidRPr="00073574" w:rsidRDefault="00F0236A" w:rsidP="001854B2">
            <w:pPr>
              <w:pStyle w:val="Tabletext"/>
              <w:rPr>
                <w:szCs w:val="22"/>
              </w:rPr>
            </w:pPr>
            <w:r w:rsidRPr="00073574">
              <w:rPr>
                <w:szCs w:val="22"/>
              </w:rPr>
              <w:t>TSAG RG-SC assists in actively conducting ITU Inter-Sector coordination through TDAG, RAG and Study Groups (</w:t>
            </w:r>
            <w:hyperlink r:id="rId348" w:history="1">
              <w:r w:rsidRPr="00073574">
                <w:rPr>
                  <w:rStyle w:val="Hyperlink"/>
                  <w:szCs w:val="22"/>
                </w:rPr>
                <w:t>TSAG OLS 1</w:t>
              </w:r>
            </w:hyperlink>
            <w:r w:rsidR="00F43D52" w:rsidRPr="00073574">
              <w:rPr>
                <w:szCs w:val="22"/>
              </w:rPr>
              <w:t xml:space="preserve">, </w:t>
            </w:r>
            <w:hyperlink r:id="rId349" w:history="1">
              <w:r w:rsidR="00F43D52" w:rsidRPr="00073574">
                <w:rPr>
                  <w:rStyle w:val="Hyperlink"/>
                  <w:szCs w:val="22"/>
                </w:rPr>
                <w:t>TSAG OLS 11</w:t>
              </w:r>
            </w:hyperlink>
            <w:r w:rsidR="00CF131F" w:rsidRPr="00073574">
              <w:rPr>
                <w:rStyle w:val="Hyperlink"/>
                <w:szCs w:val="22"/>
                <w:u w:val="none"/>
              </w:rPr>
              <w:t>,</w:t>
            </w:r>
            <w:r w:rsidR="009B4E8F" w:rsidRPr="00073574">
              <w:rPr>
                <w:rStyle w:val="Hyperlink"/>
                <w:szCs w:val="22"/>
                <w:u w:val="none"/>
              </w:rPr>
              <w:t xml:space="preserve"> </w:t>
            </w:r>
            <w:hyperlink r:id="rId350" w:tgtFrame="_blank" w:tooltip="Click here to see more details" w:history="1">
              <w:r w:rsidR="009B4E8F" w:rsidRPr="00073574">
                <w:rPr>
                  <w:rStyle w:val="Hyperlink"/>
                  <w:rFonts w:eastAsiaTheme="majorEastAsia"/>
                </w:rPr>
                <w:t>TSAG-OLS13</w:t>
              </w:r>
            </w:hyperlink>
            <w:r w:rsidR="00AF7ADD" w:rsidRPr="00073574">
              <w:rPr>
                <w:rStyle w:val="Hyperlink"/>
                <w:rFonts w:eastAsiaTheme="majorEastAsia"/>
              </w:rPr>
              <w:t xml:space="preserve">, </w:t>
            </w:r>
            <w:hyperlink r:id="rId351" w:history="1">
              <w:r w:rsidR="00AF7ADD" w:rsidRPr="00073574">
                <w:rPr>
                  <w:rStyle w:val="Hyperlink"/>
                  <w:rFonts w:eastAsiaTheme="majorEastAsia"/>
                </w:rPr>
                <w:t>TSAG-OLS22</w:t>
              </w:r>
            </w:hyperlink>
            <w:r w:rsidR="009656A3" w:rsidRPr="00073574">
              <w:rPr>
                <w:rStyle w:val="Hyperlink"/>
                <w:rFonts w:eastAsiaTheme="majorEastAsia"/>
              </w:rPr>
              <w:t xml:space="preserve">, </w:t>
            </w:r>
            <w:hyperlink r:id="rId352" w:history="1">
              <w:r w:rsidR="009656A3" w:rsidRPr="00073574">
                <w:rPr>
                  <w:rStyle w:val="Hyperlink"/>
                </w:rPr>
                <w:t>TSAG-OLS31</w:t>
              </w:r>
            </w:hyperlink>
            <w:r w:rsidR="00F43D52" w:rsidRPr="00073574">
              <w:rPr>
                <w:szCs w:val="22"/>
              </w:rPr>
              <w:t>)</w:t>
            </w:r>
            <w:r w:rsidRPr="00073574">
              <w:rPr>
                <w:szCs w:val="22"/>
              </w:rPr>
              <w:t xml:space="preserve"> by updating and disseminating tables on the matching of ITU-D SG 1 and SG 2 Questions of interest to ITU-T study groups, and on the matching of ITU-R WPs of interest to ITU-T study groups. See also action item 18-01. TSAG RG-WP handles co</w:t>
            </w:r>
            <w:r w:rsidR="001854B2" w:rsidRPr="00073574">
              <w:rPr>
                <w:szCs w:val="22"/>
              </w:rPr>
              <w:t>ordination matters among ITU-T s</w:t>
            </w:r>
            <w:r w:rsidRPr="00073574">
              <w:rPr>
                <w:szCs w:val="22"/>
              </w:rPr>
              <w:t xml:space="preserve">tudy </w:t>
            </w:r>
            <w:r w:rsidR="001854B2" w:rsidRPr="00073574">
              <w:rPr>
                <w:szCs w:val="22"/>
              </w:rPr>
              <w:t>g</w:t>
            </w:r>
            <w:r w:rsidRPr="00073574">
              <w:rPr>
                <w:szCs w:val="22"/>
              </w:rPr>
              <w:t>roups.</w:t>
            </w:r>
            <w:r w:rsidR="003A46DC" w:rsidRPr="00073574">
              <w:rPr>
                <w:szCs w:val="22"/>
              </w:rPr>
              <w:t xml:space="preserve"> Since 2019, the ISCG has taken over the updating of the mapping tables across ITU-T, ITU-R, and ITU-D study groups.</w:t>
            </w:r>
          </w:p>
          <w:p w14:paraId="45193254" w14:textId="67B4CB10" w:rsidR="00933412" w:rsidRPr="00073574" w:rsidRDefault="00933412" w:rsidP="001854B2">
            <w:pPr>
              <w:pStyle w:val="Tabletext"/>
              <w:rPr>
                <w:szCs w:val="22"/>
              </w:rPr>
            </w:pPr>
            <w:r w:rsidRPr="00073574">
              <w:rPr>
                <w:szCs w:val="22"/>
              </w:rPr>
              <w:t>TSAG RG-WP assists TSAG to continuously conduct coordination among the ITU-T study groups.</w:t>
            </w:r>
          </w:p>
        </w:tc>
      </w:tr>
      <w:tr w:rsidR="00F0236A" w:rsidRPr="00073574" w14:paraId="35E3BB18" w14:textId="77777777" w:rsidTr="00E44E48">
        <w:trPr>
          <w:cantSplit/>
          <w:jc w:val="center"/>
        </w:trPr>
        <w:tc>
          <w:tcPr>
            <w:tcW w:w="911" w:type="dxa"/>
            <w:vMerge w:val="restart"/>
            <w:tcBorders>
              <w:top w:val="single" w:sz="12" w:space="0" w:color="auto"/>
            </w:tcBorders>
            <w:shd w:val="clear" w:color="auto" w:fill="auto"/>
          </w:tcPr>
          <w:p w14:paraId="639EBBBC" w14:textId="77777777" w:rsidR="00F0236A" w:rsidRPr="00073574" w:rsidRDefault="00F0236A" w:rsidP="00601595">
            <w:pPr>
              <w:pStyle w:val="Tabletext"/>
              <w:keepNext/>
              <w:keepLines/>
              <w:rPr>
                <w:b/>
                <w:bCs/>
                <w:sz w:val="24"/>
                <w:szCs w:val="24"/>
              </w:rPr>
            </w:pPr>
            <w:r w:rsidRPr="00073574">
              <w:rPr>
                <w:b/>
                <w:bCs/>
                <w:sz w:val="24"/>
                <w:szCs w:val="24"/>
              </w:rPr>
              <w:t>45-02</w:t>
            </w:r>
          </w:p>
        </w:tc>
        <w:tc>
          <w:tcPr>
            <w:tcW w:w="4537" w:type="dxa"/>
            <w:tcBorders>
              <w:top w:val="single" w:sz="12" w:space="0" w:color="auto"/>
              <w:bottom w:val="single" w:sz="2" w:space="0" w:color="auto"/>
            </w:tcBorders>
            <w:shd w:val="clear" w:color="auto" w:fill="auto"/>
          </w:tcPr>
          <w:p w14:paraId="5B95161A" w14:textId="77777777" w:rsidR="00F0236A" w:rsidRPr="00073574" w:rsidRDefault="00F0236A" w:rsidP="00DF36E1">
            <w:pPr>
              <w:pStyle w:val="Tabletext"/>
              <w:rPr>
                <w:b/>
                <w:bCs/>
                <w:sz w:val="24"/>
                <w:szCs w:val="24"/>
              </w:rPr>
            </w:pPr>
            <w:r w:rsidRPr="00073574">
              <w:rPr>
                <w:b/>
                <w:bCs/>
                <w:sz w:val="24"/>
                <w:szCs w:val="24"/>
              </w:rPr>
              <w:t>TSAG to take into account, and implement as necessary, advice given by other groups established in the interests of effective coordination on high-priority and joint standardization topics (resolves 2)</w:t>
            </w:r>
          </w:p>
        </w:tc>
        <w:tc>
          <w:tcPr>
            <w:tcW w:w="1889" w:type="dxa"/>
            <w:tcBorders>
              <w:top w:val="single" w:sz="12" w:space="0" w:color="auto"/>
              <w:bottom w:val="single" w:sz="2" w:space="0" w:color="auto"/>
            </w:tcBorders>
            <w:shd w:val="clear" w:color="auto" w:fill="auto"/>
            <w:vAlign w:val="center"/>
          </w:tcPr>
          <w:p w14:paraId="017DD87D"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59" w:type="dxa"/>
            <w:tcBorders>
              <w:top w:val="single" w:sz="12" w:space="0" w:color="auto"/>
              <w:bottom w:val="single" w:sz="2" w:space="0" w:color="auto"/>
            </w:tcBorders>
            <w:shd w:val="clear" w:color="auto" w:fill="auto"/>
            <w:vAlign w:val="center"/>
          </w:tcPr>
          <w:p w14:paraId="53E6DC3F" w14:textId="77777777" w:rsidR="00F0236A" w:rsidRPr="00073574" w:rsidDel="000703EB"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bottom w:val="single" w:sz="2" w:space="0" w:color="auto"/>
            </w:tcBorders>
            <w:shd w:val="clear" w:color="auto" w:fill="auto"/>
            <w:vAlign w:val="center"/>
          </w:tcPr>
          <w:p w14:paraId="5A9C3680" w14:textId="77777777" w:rsidR="00F0236A" w:rsidRPr="00073574" w:rsidRDefault="00F0236A" w:rsidP="00DF36E1">
            <w:pPr>
              <w:pStyle w:val="Tabletext"/>
              <w:jc w:val="center"/>
              <w:rPr>
                <w:b/>
                <w:bCs/>
                <w:sz w:val="24"/>
                <w:szCs w:val="24"/>
              </w:rPr>
            </w:pPr>
          </w:p>
        </w:tc>
      </w:tr>
      <w:tr w:rsidR="00F0236A" w:rsidRPr="00073574" w14:paraId="018AE5AF" w14:textId="77777777" w:rsidTr="5D161764">
        <w:trPr>
          <w:cantSplit/>
          <w:jc w:val="center"/>
        </w:trPr>
        <w:tc>
          <w:tcPr>
            <w:tcW w:w="911" w:type="dxa"/>
            <w:vMerge/>
            <w:vAlign w:val="center"/>
          </w:tcPr>
          <w:p w14:paraId="7C8D6573" w14:textId="77777777" w:rsidR="00F0236A" w:rsidRPr="00073574" w:rsidRDefault="00F0236A" w:rsidP="00DF36E1">
            <w:pPr>
              <w:pStyle w:val="Tabletext"/>
              <w:rPr>
                <w:sz w:val="24"/>
                <w:szCs w:val="24"/>
              </w:rPr>
            </w:pPr>
          </w:p>
        </w:tc>
        <w:tc>
          <w:tcPr>
            <w:tcW w:w="8921" w:type="dxa"/>
            <w:gridSpan w:val="4"/>
            <w:tcBorders>
              <w:top w:val="single" w:sz="2" w:space="0" w:color="auto"/>
            </w:tcBorders>
            <w:shd w:val="clear" w:color="auto" w:fill="auto"/>
          </w:tcPr>
          <w:p w14:paraId="5A909B6E" w14:textId="57F239ED" w:rsidR="00682CFB" w:rsidRPr="00073574" w:rsidRDefault="00682CFB" w:rsidP="002E241A">
            <w:pPr>
              <w:pStyle w:val="ListParagraph"/>
              <w:numPr>
                <w:ilvl w:val="0"/>
                <w:numId w:val="34"/>
              </w:numPr>
              <w:spacing w:before="40"/>
              <w:ind w:left="357" w:hanging="357"/>
              <w:contextualSpacing w:val="0"/>
              <w:rPr>
                <w:sz w:val="24"/>
              </w:rPr>
            </w:pPr>
            <w:r w:rsidRPr="00073574">
              <w:t xml:space="preserve">SG13 </w:t>
            </w:r>
            <w:r w:rsidR="00A2042D" w:rsidRPr="00073574">
              <w:t xml:space="preserve">works together with </w:t>
            </w:r>
            <w:r w:rsidRPr="00073574">
              <w:t>SG2</w:t>
            </w:r>
            <w:r w:rsidR="00A2042D" w:rsidRPr="00073574">
              <w:t xml:space="preserve"> on</w:t>
            </w:r>
            <w:r w:rsidRPr="00073574">
              <w:t xml:space="preserve"> Recommendations on the IMT2020 management issues </w:t>
            </w:r>
            <w:r w:rsidR="00A2042D" w:rsidRPr="00073574">
              <w:t>by means of dedicated correspondence group</w:t>
            </w:r>
            <w:r w:rsidR="00682CA2" w:rsidRPr="00073574">
              <w:t>.</w:t>
            </w:r>
          </w:p>
          <w:p w14:paraId="02A52BAB" w14:textId="101D2666" w:rsidR="007B2DB9" w:rsidRPr="00073574" w:rsidRDefault="007B2DB9" w:rsidP="002E241A">
            <w:pPr>
              <w:pStyle w:val="ListParagraph"/>
              <w:numPr>
                <w:ilvl w:val="0"/>
                <w:numId w:val="34"/>
              </w:numPr>
              <w:ind w:left="357" w:hanging="357"/>
              <w:contextualSpacing w:val="0"/>
            </w:pPr>
            <w:r w:rsidRPr="00073574">
              <w:t>TSAG took into account the SPCG recommendations on the two proposed Focus Groups.</w:t>
            </w:r>
          </w:p>
          <w:p w14:paraId="7CDB3B9D" w14:textId="77777777" w:rsidR="00F0236A" w:rsidRPr="00073574" w:rsidRDefault="00F0236A" w:rsidP="002E241A">
            <w:pPr>
              <w:pStyle w:val="ListParagraph"/>
              <w:numPr>
                <w:ilvl w:val="0"/>
                <w:numId w:val="34"/>
              </w:numPr>
              <w:ind w:left="357" w:hanging="357"/>
              <w:contextualSpacing w:val="0"/>
            </w:pPr>
            <w:r w:rsidRPr="00073574">
              <w:t>See also action item 22-05.</w:t>
            </w:r>
          </w:p>
        </w:tc>
      </w:tr>
    </w:tbl>
    <w:bookmarkStart w:id="173" w:name="Item45_01"/>
    <w:bookmarkStart w:id="174" w:name="Item45_02"/>
    <w:bookmarkEnd w:id="173"/>
    <w:bookmarkEnd w:id="174"/>
    <w:p w14:paraId="489A1090" w14:textId="77777777" w:rsidR="00F0236A" w:rsidRPr="00073574" w:rsidRDefault="00F0236A" w:rsidP="00F0236A">
      <w:pPr>
        <w:rPr>
          <w:rStyle w:val="Hyperlink"/>
          <w:sz w:val="24"/>
        </w:rPr>
      </w:pPr>
      <w:r w:rsidRPr="00073574">
        <w:rPr>
          <w:color w:val="2B579A"/>
          <w:shd w:val="clear" w:color="auto" w:fill="E6E6E6"/>
        </w:rPr>
        <w:fldChar w:fldCharType="begin"/>
      </w:r>
      <w:r w:rsidRPr="00073574">
        <w:rPr>
          <w:sz w:val="24"/>
        </w:rPr>
        <w:instrText xml:space="preserve"> HYPERLINK \l "Top" </w:instrText>
      </w:r>
      <w:r w:rsidRPr="00073574">
        <w:rPr>
          <w:color w:val="2B579A"/>
          <w:shd w:val="clear" w:color="auto" w:fill="E6E6E6"/>
        </w:rPr>
        <w:fldChar w:fldCharType="separate"/>
      </w:r>
      <w:r w:rsidRPr="00073574">
        <w:rPr>
          <w:rStyle w:val="Hyperlink"/>
          <w:sz w:val="24"/>
        </w:rPr>
        <w:t>» Top</w:t>
      </w:r>
      <w:r w:rsidRPr="00073574">
        <w:rPr>
          <w:rStyle w:val="Hyperlink"/>
          <w:sz w:val="24"/>
        </w:rPr>
        <w:fldChar w:fldCharType="end"/>
      </w:r>
    </w:p>
    <w:p w14:paraId="597A41AC" w14:textId="77777777" w:rsidR="00F0236A" w:rsidRPr="00073574" w:rsidRDefault="00F0236A" w:rsidP="00F0236A">
      <w:pPr>
        <w:rPr>
          <w:sz w:val="24"/>
        </w:rPr>
      </w:pPr>
    </w:p>
    <w:p w14:paraId="4236553A" w14:textId="77777777" w:rsidR="00F0236A" w:rsidRPr="00073574" w:rsidRDefault="00F0236A" w:rsidP="00F0236A">
      <w:pPr>
        <w:pStyle w:val="Heading1"/>
        <w:keepNext/>
        <w:keepLines/>
        <w:rPr>
          <w:sz w:val="24"/>
          <w:szCs w:val="24"/>
          <w:lang w:val="en-GB"/>
        </w:rPr>
      </w:pPr>
      <w:bookmarkStart w:id="175" w:name="Resolution_47"/>
      <w:bookmarkStart w:id="176" w:name="_Toc304236432"/>
      <w:bookmarkStart w:id="177" w:name="_Toc471715369"/>
      <w:bookmarkStart w:id="178" w:name="_Toc93425255"/>
      <w:bookmarkEnd w:id="175"/>
      <w:r w:rsidRPr="00073574">
        <w:rPr>
          <w:sz w:val="24"/>
          <w:szCs w:val="24"/>
          <w:lang w:val="en-GB"/>
        </w:rPr>
        <w:t>Resolution 47 - Country code top-level domain names</w:t>
      </w:r>
      <w:bookmarkEnd w:id="176"/>
      <w:bookmarkEnd w:id="177"/>
      <w:bookmarkEnd w:id="178"/>
    </w:p>
    <w:p w14:paraId="39706192" w14:textId="77777777" w:rsidR="00F0236A" w:rsidRPr="00073574" w:rsidRDefault="00F0236A" w:rsidP="00F0236A">
      <w:pPr>
        <w:keepNext/>
        <w:keepLines/>
        <w:rPr>
          <w:b/>
          <w:bCs/>
          <w:sz w:val="24"/>
        </w:rPr>
      </w:pPr>
      <w:r w:rsidRPr="00073574">
        <w:rPr>
          <w:b/>
          <w:bCs/>
          <w:sz w:val="24"/>
        </w:rPr>
        <w:t>Resolution 47</w:t>
      </w:r>
    </w:p>
    <w:p w14:paraId="275BED2A" w14:textId="77777777" w:rsidR="00F0236A" w:rsidRPr="00073574" w:rsidRDefault="00F0236A" w:rsidP="00F0236A">
      <w:pPr>
        <w:pStyle w:val="Call"/>
        <w:rPr>
          <w:sz w:val="24"/>
          <w:szCs w:val="24"/>
          <w:lang w:val="en-GB"/>
        </w:rPr>
      </w:pPr>
      <w:r w:rsidRPr="00073574">
        <w:rPr>
          <w:sz w:val="24"/>
          <w:szCs w:val="24"/>
          <w:lang w:val="en-GB"/>
        </w:rPr>
        <w:t>instructs ITU-T Study Group 2</w:t>
      </w:r>
    </w:p>
    <w:p w14:paraId="0CA636E8" w14:textId="7FABB568" w:rsidR="00F0236A" w:rsidRPr="00073574" w:rsidRDefault="00F0236A" w:rsidP="00F0236A">
      <w:pPr>
        <w:rPr>
          <w:sz w:val="24"/>
        </w:rPr>
      </w:pPr>
      <w:r w:rsidRPr="00073574">
        <w:rPr>
          <w:sz w:val="24"/>
        </w:rPr>
        <w:t>to continue studies, and to work with Member States and Sector Members, in their respective roles, recognizing the activities of other appropriate entities, to review Member States</w:t>
      </w:r>
      <w:r w:rsidR="003C7E25" w:rsidRPr="00073574">
        <w:rPr>
          <w:sz w:val="24"/>
        </w:rPr>
        <w:t>'</w:t>
      </w:r>
      <w:r w:rsidRPr="00073574">
        <w:rPr>
          <w:sz w:val="24"/>
        </w:rPr>
        <w:t xml:space="preserve"> ccTLD experiences,</w:t>
      </w:r>
    </w:p>
    <w:p w14:paraId="5F95232B" w14:textId="77777777" w:rsidR="00F0236A" w:rsidRPr="00073574" w:rsidRDefault="00F0236A" w:rsidP="00F0236A">
      <w:pPr>
        <w:pStyle w:val="Call"/>
        <w:rPr>
          <w:sz w:val="24"/>
          <w:szCs w:val="24"/>
          <w:lang w:val="en-GB"/>
        </w:rPr>
      </w:pPr>
      <w:r w:rsidRPr="00073574">
        <w:rPr>
          <w:sz w:val="24"/>
          <w:szCs w:val="24"/>
          <w:lang w:val="en-GB"/>
        </w:rPr>
        <w:t>instructs the Director of the Telecommunication Standardization Bureau</w:t>
      </w:r>
    </w:p>
    <w:p w14:paraId="77730DFF" w14:textId="77777777" w:rsidR="00F0236A" w:rsidRPr="00073574" w:rsidRDefault="00F0236A" w:rsidP="00F0236A">
      <w:pPr>
        <w:rPr>
          <w:sz w:val="24"/>
        </w:rPr>
      </w:pPr>
      <w:r w:rsidRPr="00073574">
        <w:rPr>
          <w:sz w:val="24"/>
        </w:rPr>
        <w:t>to take appropriate action to facilitate the above and to report to the ITU Council annually regarding the progress achieved in this area,</w:t>
      </w:r>
    </w:p>
    <w:p w14:paraId="13ECE6A0" w14:textId="77777777" w:rsidR="00F0236A" w:rsidRPr="00073574" w:rsidRDefault="00F0236A" w:rsidP="00F0236A">
      <w:pPr>
        <w:pStyle w:val="Call"/>
        <w:rPr>
          <w:sz w:val="24"/>
          <w:szCs w:val="24"/>
          <w:lang w:val="en-GB"/>
        </w:rPr>
      </w:pPr>
      <w:r w:rsidRPr="00073574">
        <w:rPr>
          <w:sz w:val="24"/>
          <w:szCs w:val="24"/>
          <w:lang w:val="en-GB"/>
        </w:rPr>
        <w:t>invites Member States</w:t>
      </w:r>
    </w:p>
    <w:p w14:paraId="02584CB0" w14:textId="77777777" w:rsidR="00F0236A" w:rsidRPr="00073574" w:rsidRDefault="00F0236A" w:rsidP="00F0236A">
      <w:pPr>
        <w:rPr>
          <w:sz w:val="24"/>
        </w:rPr>
      </w:pPr>
      <w:r w:rsidRPr="00073574">
        <w:rPr>
          <w:sz w:val="24"/>
        </w:rPr>
        <w:t>to contribute to these activities,</w:t>
      </w:r>
    </w:p>
    <w:p w14:paraId="1082B722" w14:textId="77777777" w:rsidR="00F0236A" w:rsidRPr="00073574" w:rsidRDefault="00F0236A" w:rsidP="00F0236A">
      <w:pPr>
        <w:pStyle w:val="Call"/>
        <w:rPr>
          <w:sz w:val="24"/>
          <w:szCs w:val="24"/>
          <w:lang w:val="en-GB"/>
        </w:rPr>
      </w:pPr>
      <w:r w:rsidRPr="00073574">
        <w:rPr>
          <w:sz w:val="24"/>
          <w:szCs w:val="24"/>
          <w:lang w:val="en-GB"/>
        </w:rPr>
        <w:lastRenderedPageBreak/>
        <w:t>further invites Member States</w:t>
      </w:r>
    </w:p>
    <w:p w14:paraId="01B859DE" w14:textId="77777777" w:rsidR="00F0236A" w:rsidRPr="00073574" w:rsidRDefault="00F0236A" w:rsidP="00F0236A">
      <w:pPr>
        <w:spacing w:after="240"/>
        <w:rPr>
          <w:sz w:val="24"/>
        </w:rPr>
      </w:pPr>
      <w:r w:rsidRPr="00073574">
        <w:rPr>
          <w:sz w:val="24"/>
        </w:rPr>
        <w:t>to take appropriate steps within their national legal frameworks to ensure that issues related to delegation of country code top-level domains are resolved.</w:t>
      </w:r>
    </w:p>
    <w:tbl>
      <w:tblPr>
        <w:tblW w:w="1005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12"/>
        <w:gridCol w:w="4879"/>
        <w:gridCol w:w="1620"/>
        <w:gridCol w:w="1170"/>
        <w:gridCol w:w="1469"/>
      </w:tblGrid>
      <w:tr w:rsidR="00F0236A" w:rsidRPr="00073574" w14:paraId="323F44B5" w14:textId="77777777" w:rsidTr="004B7A24">
        <w:trPr>
          <w:jc w:val="center"/>
        </w:trPr>
        <w:tc>
          <w:tcPr>
            <w:tcW w:w="912" w:type="dxa"/>
            <w:tcBorders>
              <w:top w:val="single" w:sz="12" w:space="0" w:color="auto"/>
              <w:bottom w:val="single" w:sz="12" w:space="0" w:color="auto"/>
            </w:tcBorders>
            <w:shd w:val="clear" w:color="auto" w:fill="auto"/>
            <w:vAlign w:val="center"/>
          </w:tcPr>
          <w:p w14:paraId="185C3AD8" w14:textId="77777777" w:rsidR="00F0236A" w:rsidRPr="00073574" w:rsidRDefault="00F0236A" w:rsidP="00DF36E1">
            <w:pPr>
              <w:pStyle w:val="Tablehead"/>
              <w:rPr>
                <w:sz w:val="24"/>
                <w:szCs w:val="24"/>
              </w:rPr>
            </w:pPr>
            <w:r w:rsidRPr="00073574">
              <w:rPr>
                <w:sz w:val="24"/>
                <w:szCs w:val="24"/>
              </w:rPr>
              <w:t>Action Item</w:t>
            </w:r>
          </w:p>
        </w:tc>
        <w:tc>
          <w:tcPr>
            <w:tcW w:w="4879" w:type="dxa"/>
            <w:tcBorders>
              <w:top w:val="single" w:sz="12" w:space="0" w:color="auto"/>
              <w:bottom w:val="single" w:sz="12" w:space="0" w:color="auto"/>
            </w:tcBorders>
            <w:shd w:val="clear" w:color="auto" w:fill="auto"/>
            <w:vAlign w:val="center"/>
            <w:hideMark/>
          </w:tcPr>
          <w:p w14:paraId="254A35DB" w14:textId="77777777" w:rsidR="00F0236A" w:rsidRPr="00073574" w:rsidRDefault="00F0236A" w:rsidP="00DF36E1">
            <w:pPr>
              <w:pStyle w:val="Tablehead"/>
              <w:rPr>
                <w:sz w:val="24"/>
                <w:szCs w:val="24"/>
              </w:rPr>
            </w:pPr>
            <w:r w:rsidRPr="00073574">
              <w:rPr>
                <w:sz w:val="24"/>
                <w:szCs w:val="24"/>
              </w:rPr>
              <w:t>Action</w:t>
            </w:r>
          </w:p>
        </w:tc>
        <w:tc>
          <w:tcPr>
            <w:tcW w:w="1620" w:type="dxa"/>
            <w:tcBorders>
              <w:top w:val="single" w:sz="12" w:space="0" w:color="auto"/>
              <w:bottom w:val="single" w:sz="12" w:space="0" w:color="auto"/>
            </w:tcBorders>
            <w:shd w:val="clear" w:color="auto" w:fill="auto"/>
            <w:vAlign w:val="center"/>
            <w:hideMark/>
          </w:tcPr>
          <w:p w14:paraId="2B00E4AE" w14:textId="77777777" w:rsidR="00F0236A" w:rsidRPr="00073574" w:rsidRDefault="00F0236A" w:rsidP="00DF36E1">
            <w:pPr>
              <w:pStyle w:val="Tablehead"/>
              <w:rPr>
                <w:sz w:val="24"/>
                <w:szCs w:val="24"/>
              </w:rPr>
            </w:pPr>
            <w:r w:rsidRPr="00073574">
              <w:rPr>
                <w:sz w:val="24"/>
                <w:szCs w:val="24"/>
              </w:rPr>
              <w:t>Milestone</w:t>
            </w:r>
          </w:p>
        </w:tc>
        <w:tc>
          <w:tcPr>
            <w:tcW w:w="1170" w:type="dxa"/>
            <w:tcBorders>
              <w:top w:val="single" w:sz="12" w:space="0" w:color="auto"/>
              <w:bottom w:val="single" w:sz="12" w:space="0" w:color="auto"/>
            </w:tcBorders>
            <w:shd w:val="clear" w:color="auto" w:fill="auto"/>
          </w:tcPr>
          <w:p w14:paraId="5C51C40C" w14:textId="77777777" w:rsidR="00F0236A" w:rsidRPr="00073574" w:rsidRDefault="00F0236A" w:rsidP="00DF36E1">
            <w:pPr>
              <w:pStyle w:val="Tablehead"/>
              <w:rPr>
                <w:sz w:val="24"/>
                <w:szCs w:val="24"/>
              </w:rPr>
            </w:pPr>
            <w:r w:rsidRPr="00073574">
              <w:rPr>
                <w:sz w:val="24"/>
                <w:szCs w:val="24"/>
              </w:rPr>
              <w:t>Periodic goals met</w:t>
            </w:r>
          </w:p>
        </w:tc>
        <w:tc>
          <w:tcPr>
            <w:tcW w:w="1469" w:type="dxa"/>
            <w:tcBorders>
              <w:top w:val="single" w:sz="12" w:space="0" w:color="auto"/>
              <w:bottom w:val="single" w:sz="12" w:space="0" w:color="auto"/>
            </w:tcBorders>
            <w:shd w:val="clear" w:color="auto" w:fill="auto"/>
            <w:vAlign w:val="center"/>
          </w:tcPr>
          <w:p w14:paraId="47DADC39" w14:textId="77777777" w:rsidR="00F0236A" w:rsidRPr="00073574" w:rsidRDefault="00F0236A" w:rsidP="00DF36E1">
            <w:pPr>
              <w:pStyle w:val="Tablehead"/>
              <w:rPr>
                <w:sz w:val="24"/>
                <w:szCs w:val="24"/>
              </w:rPr>
            </w:pPr>
            <w:r w:rsidRPr="00073574">
              <w:rPr>
                <w:sz w:val="24"/>
                <w:szCs w:val="24"/>
              </w:rPr>
              <w:t>Completed</w:t>
            </w:r>
          </w:p>
        </w:tc>
      </w:tr>
      <w:tr w:rsidR="00F0236A" w:rsidRPr="00073574" w14:paraId="77610D83" w14:textId="77777777" w:rsidTr="004B7A24">
        <w:trPr>
          <w:cantSplit/>
          <w:jc w:val="center"/>
        </w:trPr>
        <w:tc>
          <w:tcPr>
            <w:tcW w:w="912" w:type="dxa"/>
            <w:vMerge w:val="restart"/>
            <w:tcBorders>
              <w:top w:val="single" w:sz="12" w:space="0" w:color="auto"/>
            </w:tcBorders>
            <w:shd w:val="clear" w:color="auto" w:fill="auto"/>
          </w:tcPr>
          <w:p w14:paraId="403BB0F7" w14:textId="77777777" w:rsidR="00F0236A" w:rsidRPr="00073574" w:rsidRDefault="00F0236A" w:rsidP="00DF36E1">
            <w:pPr>
              <w:pStyle w:val="Tabletext"/>
              <w:rPr>
                <w:b/>
                <w:bCs/>
                <w:sz w:val="24"/>
                <w:szCs w:val="24"/>
              </w:rPr>
            </w:pPr>
            <w:r w:rsidRPr="00073574">
              <w:rPr>
                <w:b/>
                <w:bCs/>
                <w:sz w:val="24"/>
                <w:szCs w:val="24"/>
              </w:rPr>
              <w:t>47-01</w:t>
            </w:r>
          </w:p>
        </w:tc>
        <w:tc>
          <w:tcPr>
            <w:tcW w:w="4879" w:type="dxa"/>
            <w:tcBorders>
              <w:top w:val="single" w:sz="12" w:space="0" w:color="auto"/>
              <w:bottom w:val="single" w:sz="4" w:space="0" w:color="auto"/>
            </w:tcBorders>
            <w:shd w:val="clear" w:color="auto" w:fill="auto"/>
            <w:hideMark/>
          </w:tcPr>
          <w:p w14:paraId="4D00CC12" w14:textId="3D05B73F" w:rsidR="00F0236A" w:rsidRPr="00073574" w:rsidRDefault="00F0236A" w:rsidP="00DF36E1">
            <w:pPr>
              <w:pStyle w:val="Tabletext"/>
              <w:rPr>
                <w:b/>
                <w:bCs/>
                <w:sz w:val="24"/>
                <w:szCs w:val="24"/>
              </w:rPr>
            </w:pPr>
            <w:r w:rsidRPr="00073574">
              <w:rPr>
                <w:b/>
                <w:bCs/>
                <w:sz w:val="24"/>
                <w:szCs w:val="24"/>
              </w:rPr>
              <w:t>SG2 to review and study contributions regarding MS</w:t>
            </w:r>
            <w:r w:rsidR="003C7E25" w:rsidRPr="00073574">
              <w:rPr>
                <w:b/>
                <w:bCs/>
                <w:sz w:val="24"/>
                <w:szCs w:val="24"/>
              </w:rPr>
              <w:t>'</w:t>
            </w:r>
            <w:r w:rsidRPr="00073574">
              <w:rPr>
                <w:b/>
                <w:bCs/>
                <w:sz w:val="24"/>
                <w:szCs w:val="24"/>
              </w:rPr>
              <w:t xml:space="preserve"> ccTLD experiences (instructs SG2)</w:t>
            </w:r>
          </w:p>
        </w:tc>
        <w:tc>
          <w:tcPr>
            <w:tcW w:w="1620" w:type="dxa"/>
            <w:tcBorders>
              <w:top w:val="single" w:sz="12" w:space="0" w:color="auto"/>
              <w:bottom w:val="single" w:sz="4" w:space="0" w:color="auto"/>
            </w:tcBorders>
            <w:shd w:val="clear" w:color="auto" w:fill="auto"/>
            <w:vAlign w:val="center"/>
            <w:hideMark/>
          </w:tcPr>
          <w:p w14:paraId="32A1AE4C"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70" w:type="dxa"/>
            <w:tcBorders>
              <w:top w:val="single" w:sz="12" w:space="0" w:color="auto"/>
              <w:bottom w:val="single" w:sz="4" w:space="0" w:color="auto"/>
            </w:tcBorders>
            <w:shd w:val="clear" w:color="auto" w:fill="auto"/>
            <w:vAlign w:val="center"/>
          </w:tcPr>
          <w:p w14:paraId="7FA878B1" w14:textId="77777777" w:rsidR="00F0236A" w:rsidRPr="00073574" w:rsidRDefault="00F0236A" w:rsidP="00DF36E1">
            <w:pPr>
              <w:pStyle w:val="Tabletext"/>
              <w:jc w:val="center"/>
              <w:rPr>
                <w:b/>
                <w:bCs/>
                <w:sz w:val="24"/>
                <w:szCs w:val="24"/>
              </w:rPr>
            </w:pPr>
          </w:p>
        </w:tc>
        <w:tc>
          <w:tcPr>
            <w:tcW w:w="1469" w:type="dxa"/>
            <w:tcBorders>
              <w:top w:val="single" w:sz="12" w:space="0" w:color="auto"/>
              <w:bottom w:val="single" w:sz="4" w:space="0" w:color="auto"/>
            </w:tcBorders>
            <w:shd w:val="clear" w:color="auto" w:fill="auto"/>
            <w:vAlign w:val="center"/>
          </w:tcPr>
          <w:p w14:paraId="7D2B0B65" w14:textId="77777777" w:rsidR="00F0236A" w:rsidRPr="00073574" w:rsidRDefault="00F0236A" w:rsidP="00DF36E1">
            <w:pPr>
              <w:pStyle w:val="Tabletext"/>
              <w:jc w:val="center"/>
              <w:rPr>
                <w:b/>
                <w:bCs/>
                <w:sz w:val="24"/>
                <w:szCs w:val="24"/>
              </w:rPr>
            </w:pPr>
          </w:p>
        </w:tc>
      </w:tr>
      <w:tr w:rsidR="00F0236A" w:rsidRPr="00073574" w14:paraId="2680DFAF" w14:textId="77777777" w:rsidTr="004B7A24">
        <w:trPr>
          <w:cantSplit/>
          <w:jc w:val="center"/>
        </w:trPr>
        <w:tc>
          <w:tcPr>
            <w:tcW w:w="912" w:type="dxa"/>
            <w:vMerge/>
            <w:tcBorders>
              <w:bottom w:val="single" w:sz="12" w:space="0" w:color="auto"/>
            </w:tcBorders>
            <w:shd w:val="clear" w:color="auto" w:fill="auto"/>
          </w:tcPr>
          <w:p w14:paraId="6150431D" w14:textId="77777777" w:rsidR="00F0236A" w:rsidRPr="00073574" w:rsidRDefault="00F0236A" w:rsidP="00DF36E1">
            <w:pPr>
              <w:pStyle w:val="Tabletext"/>
              <w:rPr>
                <w:sz w:val="24"/>
                <w:szCs w:val="24"/>
              </w:rPr>
            </w:pPr>
          </w:p>
        </w:tc>
        <w:tc>
          <w:tcPr>
            <w:tcW w:w="9138" w:type="dxa"/>
            <w:gridSpan w:val="4"/>
            <w:tcBorders>
              <w:top w:val="single" w:sz="4" w:space="0" w:color="auto"/>
              <w:bottom w:val="single" w:sz="12" w:space="0" w:color="auto"/>
            </w:tcBorders>
            <w:shd w:val="clear" w:color="auto" w:fill="auto"/>
          </w:tcPr>
          <w:p w14:paraId="5F2B985C" w14:textId="23CDD631" w:rsidR="00F0236A" w:rsidRPr="00073574" w:rsidRDefault="00F0236A" w:rsidP="00DF36E1">
            <w:pPr>
              <w:pStyle w:val="Tabletext"/>
              <w:rPr>
                <w:szCs w:val="22"/>
              </w:rPr>
            </w:pPr>
            <w:r w:rsidRPr="00073574">
              <w:rPr>
                <w:szCs w:val="22"/>
              </w:rPr>
              <w:t>Actions by ITU-T SG2 depend on Contributions</w:t>
            </w:r>
            <w:r w:rsidR="00EF1BEF" w:rsidRPr="00073574">
              <w:rPr>
                <w:szCs w:val="22"/>
              </w:rPr>
              <w:t>, but no such contributions has been received so far</w:t>
            </w:r>
            <w:r w:rsidRPr="00073574">
              <w:rPr>
                <w:szCs w:val="22"/>
              </w:rPr>
              <w:t>.</w:t>
            </w:r>
          </w:p>
        </w:tc>
      </w:tr>
      <w:tr w:rsidR="00F0236A" w:rsidRPr="00073574" w14:paraId="4F98A333" w14:textId="77777777" w:rsidTr="004B7A24">
        <w:trPr>
          <w:cantSplit/>
          <w:jc w:val="center"/>
        </w:trPr>
        <w:tc>
          <w:tcPr>
            <w:tcW w:w="912" w:type="dxa"/>
            <w:vMerge w:val="restart"/>
            <w:tcBorders>
              <w:top w:val="single" w:sz="12" w:space="0" w:color="auto"/>
            </w:tcBorders>
            <w:shd w:val="clear" w:color="auto" w:fill="auto"/>
          </w:tcPr>
          <w:p w14:paraId="39120362" w14:textId="77777777" w:rsidR="00F0236A" w:rsidRPr="00073574" w:rsidRDefault="00F0236A" w:rsidP="00DF36E1">
            <w:pPr>
              <w:pStyle w:val="Tabletext"/>
              <w:rPr>
                <w:b/>
                <w:bCs/>
                <w:sz w:val="24"/>
                <w:szCs w:val="24"/>
              </w:rPr>
            </w:pPr>
            <w:r w:rsidRPr="00073574">
              <w:rPr>
                <w:b/>
                <w:bCs/>
                <w:sz w:val="24"/>
                <w:szCs w:val="24"/>
              </w:rPr>
              <w:t>47-02</w:t>
            </w:r>
          </w:p>
        </w:tc>
        <w:tc>
          <w:tcPr>
            <w:tcW w:w="4879" w:type="dxa"/>
            <w:tcBorders>
              <w:top w:val="single" w:sz="12" w:space="0" w:color="auto"/>
            </w:tcBorders>
            <w:shd w:val="clear" w:color="auto" w:fill="auto"/>
            <w:hideMark/>
          </w:tcPr>
          <w:p w14:paraId="03189308" w14:textId="77777777" w:rsidR="00F0236A" w:rsidRPr="00073574" w:rsidRDefault="00F0236A" w:rsidP="00DF36E1">
            <w:pPr>
              <w:pStyle w:val="Tabletext"/>
              <w:rPr>
                <w:b/>
                <w:bCs/>
                <w:sz w:val="24"/>
                <w:szCs w:val="24"/>
              </w:rPr>
            </w:pPr>
            <w:r w:rsidRPr="00073574">
              <w:rPr>
                <w:b/>
                <w:bCs/>
                <w:sz w:val="24"/>
                <w:szCs w:val="24"/>
              </w:rPr>
              <w:t>TSB Director to report to Council annually regarding progress in ccTLDs. (i. TSB Dir)</w:t>
            </w:r>
          </w:p>
        </w:tc>
        <w:tc>
          <w:tcPr>
            <w:tcW w:w="1620" w:type="dxa"/>
            <w:tcBorders>
              <w:top w:val="single" w:sz="12" w:space="0" w:color="auto"/>
            </w:tcBorders>
            <w:shd w:val="clear" w:color="auto" w:fill="auto"/>
            <w:vAlign w:val="center"/>
            <w:hideMark/>
          </w:tcPr>
          <w:p w14:paraId="60CD57DF" w14:textId="77777777" w:rsidR="00F0236A" w:rsidRPr="00073574" w:rsidRDefault="00F0236A" w:rsidP="00DF36E1">
            <w:pPr>
              <w:pStyle w:val="Tabletext"/>
              <w:jc w:val="center"/>
              <w:rPr>
                <w:b/>
                <w:bCs/>
                <w:sz w:val="24"/>
                <w:szCs w:val="24"/>
              </w:rPr>
            </w:pPr>
            <w:r w:rsidRPr="00073574">
              <w:rPr>
                <w:b/>
                <w:bCs/>
                <w:sz w:val="24"/>
                <w:szCs w:val="24"/>
              </w:rPr>
              <w:t>Ongoing, 3 months before Council</w:t>
            </w:r>
          </w:p>
        </w:tc>
        <w:tc>
          <w:tcPr>
            <w:tcW w:w="1170" w:type="dxa"/>
            <w:tcBorders>
              <w:top w:val="single" w:sz="12" w:space="0" w:color="auto"/>
            </w:tcBorders>
            <w:shd w:val="clear" w:color="auto" w:fill="auto"/>
            <w:vAlign w:val="center"/>
          </w:tcPr>
          <w:p w14:paraId="40B0E82C" w14:textId="77777777" w:rsidR="00F0236A" w:rsidRPr="00073574" w:rsidRDefault="00F0236A" w:rsidP="00DF36E1">
            <w:pPr>
              <w:pStyle w:val="Tabletext"/>
              <w:jc w:val="center"/>
              <w:rPr>
                <w:b/>
                <w:bCs/>
                <w:sz w:val="24"/>
                <w:szCs w:val="24"/>
              </w:rPr>
            </w:pPr>
            <w:r w:rsidRPr="00073574">
              <w:rPr>
                <w:b/>
                <w:bCs/>
                <w:sz w:val="24"/>
                <w:szCs w:val="24"/>
              </w:rPr>
              <w:t>√</w:t>
            </w:r>
          </w:p>
        </w:tc>
        <w:tc>
          <w:tcPr>
            <w:tcW w:w="1469" w:type="dxa"/>
            <w:tcBorders>
              <w:top w:val="single" w:sz="12" w:space="0" w:color="auto"/>
            </w:tcBorders>
            <w:shd w:val="clear" w:color="auto" w:fill="auto"/>
            <w:vAlign w:val="center"/>
          </w:tcPr>
          <w:p w14:paraId="5DC7A883" w14:textId="77777777" w:rsidR="00F0236A" w:rsidRPr="00073574" w:rsidRDefault="00F0236A" w:rsidP="00DF36E1">
            <w:pPr>
              <w:pStyle w:val="Tabletext"/>
              <w:jc w:val="center"/>
              <w:rPr>
                <w:b/>
                <w:bCs/>
                <w:sz w:val="24"/>
                <w:szCs w:val="24"/>
              </w:rPr>
            </w:pPr>
          </w:p>
        </w:tc>
      </w:tr>
      <w:tr w:rsidR="00F0236A" w:rsidRPr="00073574" w14:paraId="7CE492B8" w14:textId="77777777" w:rsidTr="004B7A24">
        <w:trPr>
          <w:cantSplit/>
          <w:jc w:val="center"/>
        </w:trPr>
        <w:tc>
          <w:tcPr>
            <w:tcW w:w="912" w:type="dxa"/>
            <w:vMerge/>
            <w:shd w:val="clear" w:color="auto" w:fill="auto"/>
            <w:vAlign w:val="center"/>
          </w:tcPr>
          <w:p w14:paraId="2DB9ADCD" w14:textId="77777777" w:rsidR="00F0236A" w:rsidRPr="00073574" w:rsidRDefault="00F0236A" w:rsidP="00DF36E1">
            <w:pPr>
              <w:pStyle w:val="Tabletext"/>
              <w:rPr>
                <w:sz w:val="24"/>
                <w:szCs w:val="24"/>
              </w:rPr>
            </w:pPr>
          </w:p>
        </w:tc>
        <w:tc>
          <w:tcPr>
            <w:tcW w:w="9138" w:type="dxa"/>
            <w:gridSpan w:val="4"/>
            <w:shd w:val="clear" w:color="auto" w:fill="auto"/>
          </w:tcPr>
          <w:p w14:paraId="474D55E2" w14:textId="38CD9348" w:rsidR="00F0236A" w:rsidRPr="00073574" w:rsidRDefault="00F0236A" w:rsidP="00DF36E1">
            <w:pPr>
              <w:pStyle w:val="Tabletext"/>
              <w:rPr>
                <w:szCs w:val="22"/>
              </w:rPr>
            </w:pPr>
            <w:r w:rsidRPr="00073574">
              <w:rPr>
                <w:szCs w:val="22"/>
              </w:rPr>
              <w:t xml:space="preserve">The TSB Director reports annually in the Council document on </w:t>
            </w:r>
            <w:r w:rsidR="003C7E25" w:rsidRPr="00073574">
              <w:rPr>
                <w:szCs w:val="22"/>
              </w:rPr>
              <w:t>"</w:t>
            </w:r>
            <w:r w:rsidRPr="00073574">
              <w:rPr>
                <w:szCs w:val="22"/>
              </w:rPr>
              <w:t>ITU Internet activities: Resolutions 101, 102 and 133</w:t>
            </w:r>
            <w:r w:rsidR="003C7E25" w:rsidRPr="00073574">
              <w:rPr>
                <w:szCs w:val="22"/>
              </w:rPr>
              <w:t>"</w:t>
            </w:r>
            <w:r w:rsidRPr="00073574">
              <w:rPr>
                <w:szCs w:val="22"/>
              </w:rPr>
              <w:t>, which includes updates regarding ccTLDs, if any.</w:t>
            </w:r>
          </w:p>
        </w:tc>
      </w:tr>
    </w:tbl>
    <w:bookmarkStart w:id="179" w:name="Item47_01"/>
    <w:bookmarkStart w:id="180" w:name="Item47_02"/>
    <w:bookmarkEnd w:id="179"/>
    <w:bookmarkEnd w:id="180"/>
    <w:p w14:paraId="67DD91F4" w14:textId="77777777" w:rsidR="00F0236A" w:rsidRPr="00073574" w:rsidRDefault="00F0236A" w:rsidP="00F0236A">
      <w:pPr>
        <w:rPr>
          <w:rStyle w:val="Hyperlink"/>
          <w:sz w:val="24"/>
        </w:rPr>
      </w:pPr>
      <w:r w:rsidRPr="00073574">
        <w:rPr>
          <w:color w:val="2B579A"/>
          <w:shd w:val="clear" w:color="auto" w:fill="E6E6E6"/>
        </w:rPr>
        <w:fldChar w:fldCharType="begin"/>
      </w:r>
      <w:r w:rsidRPr="00073574">
        <w:rPr>
          <w:sz w:val="24"/>
        </w:rPr>
        <w:instrText xml:space="preserve"> HYPERLINK \l "Top" </w:instrText>
      </w:r>
      <w:r w:rsidRPr="00073574">
        <w:rPr>
          <w:color w:val="2B579A"/>
          <w:shd w:val="clear" w:color="auto" w:fill="E6E6E6"/>
        </w:rPr>
        <w:fldChar w:fldCharType="separate"/>
      </w:r>
      <w:r w:rsidRPr="00073574">
        <w:rPr>
          <w:rStyle w:val="Hyperlink"/>
          <w:sz w:val="24"/>
        </w:rPr>
        <w:t>» Top</w:t>
      </w:r>
      <w:r w:rsidRPr="00073574">
        <w:rPr>
          <w:rStyle w:val="Hyperlink"/>
          <w:sz w:val="24"/>
        </w:rPr>
        <w:fldChar w:fldCharType="end"/>
      </w:r>
    </w:p>
    <w:p w14:paraId="3A353A3F" w14:textId="77777777" w:rsidR="00F0236A" w:rsidRPr="00073574" w:rsidRDefault="00F0236A" w:rsidP="00F0236A">
      <w:pPr>
        <w:rPr>
          <w:sz w:val="24"/>
        </w:rPr>
      </w:pPr>
    </w:p>
    <w:p w14:paraId="27085F5A" w14:textId="77777777" w:rsidR="00F0236A" w:rsidRPr="00073574" w:rsidRDefault="00F0236A" w:rsidP="00F0236A">
      <w:pPr>
        <w:pStyle w:val="Heading1"/>
        <w:keepNext/>
        <w:rPr>
          <w:sz w:val="24"/>
          <w:szCs w:val="24"/>
          <w:lang w:val="en-GB"/>
        </w:rPr>
      </w:pPr>
      <w:bookmarkStart w:id="181" w:name="Resolution_48"/>
      <w:bookmarkStart w:id="182" w:name="_Toc304236433"/>
      <w:bookmarkStart w:id="183" w:name="_Toc471715370"/>
      <w:bookmarkStart w:id="184" w:name="_Toc93425256"/>
      <w:bookmarkEnd w:id="181"/>
      <w:r w:rsidRPr="00073574">
        <w:rPr>
          <w:sz w:val="24"/>
          <w:szCs w:val="24"/>
          <w:lang w:val="en-GB"/>
        </w:rPr>
        <w:t>Resolution 48 - Internationalized (multilingual) domain names</w:t>
      </w:r>
      <w:bookmarkEnd w:id="182"/>
      <w:bookmarkEnd w:id="183"/>
      <w:bookmarkEnd w:id="184"/>
    </w:p>
    <w:p w14:paraId="073EB8B8" w14:textId="77777777" w:rsidR="00F0236A" w:rsidRPr="00073574" w:rsidRDefault="00F0236A" w:rsidP="00F0236A">
      <w:pPr>
        <w:rPr>
          <w:b/>
          <w:bCs/>
          <w:sz w:val="24"/>
        </w:rPr>
      </w:pPr>
      <w:r w:rsidRPr="00073574">
        <w:rPr>
          <w:b/>
          <w:bCs/>
          <w:sz w:val="24"/>
        </w:rPr>
        <w:t>Resolution 48</w:t>
      </w:r>
    </w:p>
    <w:p w14:paraId="0C412717" w14:textId="77777777" w:rsidR="00F0236A" w:rsidRPr="00073574" w:rsidRDefault="00F0236A" w:rsidP="00F0236A">
      <w:pPr>
        <w:pStyle w:val="Call"/>
        <w:rPr>
          <w:sz w:val="24"/>
          <w:szCs w:val="24"/>
          <w:lang w:val="en-GB"/>
        </w:rPr>
      </w:pPr>
      <w:r w:rsidRPr="00073574">
        <w:rPr>
          <w:sz w:val="24"/>
          <w:szCs w:val="24"/>
          <w:lang w:val="en-GB"/>
        </w:rPr>
        <w:t>resolves to instruct ITU-T Study Group 16 and other relevant study groups</w:t>
      </w:r>
    </w:p>
    <w:p w14:paraId="3A855255" w14:textId="77777777" w:rsidR="00F0236A" w:rsidRPr="00073574" w:rsidRDefault="00F0236A" w:rsidP="00F0236A">
      <w:pPr>
        <w:rPr>
          <w:sz w:val="24"/>
        </w:rPr>
      </w:pPr>
      <w:r w:rsidRPr="00073574">
        <w:rPr>
          <w:sz w:val="24"/>
        </w:rPr>
        <w:t>to continue to study internationalized (multilingual) domain names, and to continue to liaise and cooperate with appropriate entities, whether intergovernmental or non-governmental, in this area,</w:t>
      </w:r>
    </w:p>
    <w:p w14:paraId="27B44A77" w14:textId="77777777" w:rsidR="00F0236A" w:rsidRPr="00073574" w:rsidRDefault="00F0236A" w:rsidP="00F0236A">
      <w:pPr>
        <w:pStyle w:val="Call"/>
        <w:rPr>
          <w:sz w:val="24"/>
          <w:szCs w:val="24"/>
          <w:lang w:val="en-GB"/>
        </w:rPr>
      </w:pPr>
      <w:r w:rsidRPr="00073574">
        <w:rPr>
          <w:sz w:val="24"/>
          <w:szCs w:val="24"/>
          <w:lang w:val="en-GB"/>
        </w:rPr>
        <w:t>instructs the Director of the Telecommunication Standardization Bureau</w:t>
      </w:r>
    </w:p>
    <w:p w14:paraId="4A998AED" w14:textId="77777777" w:rsidR="00F0236A" w:rsidRPr="00073574" w:rsidRDefault="00F0236A" w:rsidP="00F0236A">
      <w:pPr>
        <w:rPr>
          <w:sz w:val="24"/>
        </w:rPr>
      </w:pPr>
      <w:r w:rsidRPr="00073574">
        <w:rPr>
          <w:sz w:val="24"/>
        </w:rPr>
        <w:t>to take appropriate action to facilitate the above and to report to the ITU Council annually regarding the progress achieved in this area,</w:t>
      </w:r>
    </w:p>
    <w:p w14:paraId="7F737BD0" w14:textId="77777777" w:rsidR="00F0236A" w:rsidRPr="00073574" w:rsidRDefault="00F0236A" w:rsidP="00F0236A">
      <w:pPr>
        <w:pStyle w:val="Call"/>
        <w:rPr>
          <w:sz w:val="24"/>
          <w:szCs w:val="24"/>
          <w:lang w:val="en-GB"/>
        </w:rPr>
      </w:pPr>
      <w:r w:rsidRPr="00073574">
        <w:rPr>
          <w:sz w:val="24"/>
          <w:szCs w:val="24"/>
          <w:lang w:val="en-GB"/>
        </w:rPr>
        <w:t>invites Member States, Sector Members and concerned regional groups</w:t>
      </w:r>
    </w:p>
    <w:p w14:paraId="0C61D2FA" w14:textId="77777777" w:rsidR="00F0236A" w:rsidRPr="00073574" w:rsidRDefault="00F0236A" w:rsidP="00F0236A">
      <w:pPr>
        <w:spacing w:after="240"/>
        <w:rPr>
          <w:sz w:val="24"/>
        </w:rPr>
      </w:pPr>
      <w:r w:rsidRPr="00073574">
        <w:rPr>
          <w:sz w:val="24"/>
        </w:rPr>
        <w:t>to contribute to these activities.</w:t>
      </w:r>
    </w:p>
    <w:tbl>
      <w:tblPr>
        <w:tblW w:w="98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11"/>
        <w:gridCol w:w="4923"/>
        <w:gridCol w:w="1516"/>
        <w:gridCol w:w="1146"/>
        <w:gridCol w:w="1336"/>
      </w:tblGrid>
      <w:tr w:rsidR="00F0236A" w:rsidRPr="00073574" w14:paraId="02ECD83C" w14:textId="77777777" w:rsidTr="004B7A24">
        <w:trPr>
          <w:jc w:val="center"/>
        </w:trPr>
        <w:tc>
          <w:tcPr>
            <w:tcW w:w="911" w:type="dxa"/>
            <w:tcBorders>
              <w:top w:val="single" w:sz="12" w:space="0" w:color="auto"/>
              <w:bottom w:val="single" w:sz="12" w:space="0" w:color="auto"/>
            </w:tcBorders>
            <w:shd w:val="clear" w:color="auto" w:fill="auto"/>
            <w:vAlign w:val="center"/>
          </w:tcPr>
          <w:p w14:paraId="1FE77067" w14:textId="77777777" w:rsidR="00F0236A" w:rsidRPr="00073574" w:rsidRDefault="00F0236A" w:rsidP="006355CF">
            <w:pPr>
              <w:pStyle w:val="Tablehead"/>
              <w:keepNext w:val="0"/>
              <w:rPr>
                <w:sz w:val="24"/>
                <w:szCs w:val="24"/>
              </w:rPr>
            </w:pPr>
            <w:r w:rsidRPr="00073574">
              <w:rPr>
                <w:sz w:val="24"/>
                <w:szCs w:val="24"/>
              </w:rPr>
              <w:t>Action Item</w:t>
            </w:r>
          </w:p>
        </w:tc>
        <w:tc>
          <w:tcPr>
            <w:tcW w:w="4923" w:type="dxa"/>
            <w:tcBorders>
              <w:top w:val="single" w:sz="12" w:space="0" w:color="auto"/>
              <w:bottom w:val="single" w:sz="12" w:space="0" w:color="auto"/>
            </w:tcBorders>
            <w:shd w:val="clear" w:color="auto" w:fill="auto"/>
            <w:vAlign w:val="center"/>
            <w:hideMark/>
          </w:tcPr>
          <w:p w14:paraId="0CCFE002" w14:textId="77777777" w:rsidR="00F0236A" w:rsidRPr="00073574" w:rsidRDefault="00F0236A" w:rsidP="006E5B3E">
            <w:pPr>
              <w:pStyle w:val="Tablehead"/>
              <w:keepNext w:val="0"/>
              <w:rPr>
                <w:sz w:val="24"/>
                <w:szCs w:val="24"/>
              </w:rPr>
            </w:pPr>
            <w:r w:rsidRPr="00073574">
              <w:rPr>
                <w:sz w:val="24"/>
                <w:szCs w:val="24"/>
              </w:rPr>
              <w:t>Action</w:t>
            </w:r>
          </w:p>
        </w:tc>
        <w:tc>
          <w:tcPr>
            <w:tcW w:w="1516" w:type="dxa"/>
            <w:tcBorders>
              <w:top w:val="single" w:sz="12" w:space="0" w:color="auto"/>
              <w:bottom w:val="single" w:sz="12" w:space="0" w:color="auto"/>
            </w:tcBorders>
            <w:shd w:val="clear" w:color="auto" w:fill="auto"/>
            <w:vAlign w:val="center"/>
            <w:hideMark/>
          </w:tcPr>
          <w:p w14:paraId="1DD1763C" w14:textId="77777777" w:rsidR="00F0236A" w:rsidRPr="00073574" w:rsidRDefault="00F0236A" w:rsidP="006E5B3E">
            <w:pPr>
              <w:pStyle w:val="Tablehead"/>
              <w:keepNext w:val="0"/>
              <w:rPr>
                <w:sz w:val="24"/>
                <w:szCs w:val="24"/>
              </w:rPr>
            </w:pPr>
            <w:r w:rsidRPr="00073574">
              <w:rPr>
                <w:sz w:val="24"/>
                <w:szCs w:val="24"/>
              </w:rPr>
              <w:t>Milestone</w:t>
            </w:r>
          </w:p>
        </w:tc>
        <w:tc>
          <w:tcPr>
            <w:tcW w:w="1146" w:type="dxa"/>
            <w:tcBorders>
              <w:top w:val="single" w:sz="12" w:space="0" w:color="auto"/>
              <w:bottom w:val="single" w:sz="12" w:space="0" w:color="auto"/>
            </w:tcBorders>
            <w:shd w:val="clear" w:color="auto" w:fill="auto"/>
          </w:tcPr>
          <w:p w14:paraId="07B1968B" w14:textId="77777777" w:rsidR="00F0236A" w:rsidRPr="00073574" w:rsidRDefault="00F0236A" w:rsidP="006E5B3E">
            <w:pPr>
              <w:pStyle w:val="Tablehead"/>
              <w:keepNext w:val="0"/>
              <w:rPr>
                <w:sz w:val="24"/>
                <w:szCs w:val="24"/>
              </w:rPr>
            </w:pPr>
            <w:r w:rsidRPr="00073574">
              <w:rPr>
                <w:sz w:val="24"/>
                <w:szCs w:val="24"/>
              </w:rPr>
              <w:t>Periodic goals met</w:t>
            </w:r>
          </w:p>
        </w:tc>
        <w:tc>
          <w:tcPr>
            <w:tcW w:w="1336" w:type="dxa"/>
            <w:tcBorders>
              <w:top w:val="single" w:sz="12" w:space="0" w:color="auto"/>
              <w:bottom w:val="single" w:sz="12" w:space="0" w:color="auto"/>
            </w:tcBorders>
            <w:shd w:val="clear" w:color="auto" w:fill="auto"/>
            <w:vAlign w:val="center"/>
          </w:tcPr>
          <w:p w14:paraId="42E9158F" w14:textId="77777777" w:rsidR="00F0236A" w:rsidRPr="00073574" w:rsidRDefault="00F0236A" w:rsidP="006E5B3E">
            <w:pPr>
              <w:pStyle w:val="Tablehead"/>
              <w:keepNext w:val="0"/>
              <w:rPr>
                <w:sz w:val="24"/>
                <w:szCs w:val="24"/>
              </w:rPr>
            </w:pPr>
            <w:r w:rsidRPr="00073574">
              <w:rPr>
                <w:sz w:val="24"/>
                <w:szCs w:val="24"/>
              </w:rPr>
              <w:t>Completed</w:t>
            </w:r>
          </w:p>
        </w:tc>
      </w:tr>
      <w:tr w:rsidR="00F0236A" w:rsidRPr="00073574" w14:paraId="0D6EA48D" w14:textId="77777777" w:rsidTr="00281203">
        <w:trPr>
          <w:jc w:val="center"/>
        </w:trPr>
        <w:tc>
          <w:tcPr>
            <w:tcW w:w="911" w:type="dxa"/>
            <w:vMerge w:val="restart"/>
            <w:tcBorders>
              <w:top w:val="single" w:sz="12" w:space="0" w:color="auto"/>
            </w:tcBorders>
            <w:shd w:val="clear" w:color="auto" w:fill="auto"/>
          </w:tcPr>
          <w:p w14:paraId="53301BA3" w14:textId="77777777" w:rsidR="00F0236A" w:rsidRPr="00073574" w:rsidRDefault="00F0236A" w:rsidP="006E5B3E">
            <w:pPr>
              <w:pStyle w:val="Tabletext"/>
              <w:rPr>
                <w:b/>
                <w:bCs/>
                <w:sz w:val="24"/>
                <w:szCs w:val="24"/>
              </w:rPr>
            </w:pPr>
            <w:r w:rsidRPr="00073574">
              <w:rPr>
                <w:b/>
                <w:bCs/>
                <w:sz w:val="24"/>
                <w:szCs w:val="24"/>
              </w:rPr>
              <w:t>48-01</w:t>
            </w:r>
          </w:p>
        </w:tc>
        <w:tc>
          <w:tcPr>
            <w:tcW w:w="4923" w:type="dxa"/>
            <w:tcBorders>
              <w:top w:val="single" w:sz="12" w:space="0" w:color="auto"/>
              <w:bottom w:val="single" w:sz="4" w:space="0" w:color="auto"/>
            </w:tcBorders>
            <w:shd w:val="clear" w:color="auto" w:fill="auto"/>
            <w:hideMark/>
          </w:tcPr>
          <w:p w14:paraId="77A10BA3" w14:textId="77777777" w:rsidR="00F0236A" w:rsidRPr="00073574" w:rsidRDefault="00F0236A" w:rsidP="006E5B3E">
            <w:pPr>
              <w:pStyle w:val="Tabletext"/>
              <w:rPr>
                <w:b/>
                <w:bCs/>
                <w:sz w:val="24"/>
                <w:szCs w:val="24"/>
              </w:rPr>
            </w:pPr>
            <w:r w:rsidRPr="00073574">
              <w:rPr>
                <w:b/>
                <w:bCs/>
                <w:sz w:val="24"/>
                <w:szCs w:val="24"/>
              </w:rPr>
              <w:t>SG16, and other relevant SGs, considering input contributions, to study internationalized (multilingual) domain names (i. SG16)</w:t>
            </w:r>
          </w:p>
        </w:tc>
        <w:tc>
          <w:tcPr>
            <w:tcW w:w="1516" w:type="dxa"/>
            <w:tcBorders>
              <w:top w:val="single" w:sz="12" w:space="0" w:color="auto"/>
              <w:bottom w:val="single" w:sz="4" w:space="0" w:color="auto"/>
            </w:tcBorders>
            <w:shd w:val="clear" w:color="auto" w:fill="auto"/>
            <w:vAlign w:val="center"/>
            <w:hideMark/>
          </w:tcPr>
          <w:p w14:paraId="784871BC" w14:textId="77777777" w:rsidR="00F0236A" w:rsidRPr="00073574" w:rsidRDefault="00F0236A" w:rsidP="006E5B3E">
            <w:pPr>
              <w:pStyle w:val="Tabletext"/>
              <w:jc w:val="center"/>
              <w:rPr>
                <w:b/>
                <w:bCs/>
                <w:sz w:val="24"/>
                <w:szCs w:val="24"/>
              </w:rPr>
            </w:pPr>
            <w:r w:rsidRPr="00073574">
              <w:rPr>
                <w:b/>
                <w:bCs/>
                <w:sz w:val="24"/>
                <w:szCs w:val="24"/>
              </w:rPr>
              <w:t>Ongoing</w:t>
            </w:r>
          </w:p>
        </w:tc>
        <w:tc>
          <w:tcPr>
            <w:tcW w:w="1146" w:type="dxa"/>
            <w:tcBorders>
              <w:top w:val="single" w:sz="12" w:space="0" w:color="auto"/>
              <w:bottom w:val="single" w:sz="4" w:space="0" w:color="auto"/>
            </w:tcBorders>
            <w:shd w:val="clear" w:color="auto" w:fill="auto"/>
            <w:vAlign w:val="center"/>
          </w:tcPr>
          <w:p w14:paraId="0E402D84" w14:textId="77777777" w:rsidR="00F0236A" w:rsidRPr="00073574" w:rsidRDefault="00F0236A" w:rsidP="006E5B3E">
            <w:pPr>
              <w:pStyle w:val="Tabletext"/>
              <w:jc w:val="center"/>
              <w:rPr>
                <w:b/>
                <w:bCs/>
                <w:sz w:val="24"/>
                <w:szCs w:val="24"/>
              </w:rPr>
            </w:pPr>
            <w:r w:rsidRPr="00073574">
              <w:rPr>
                <w:b/>
                <w:bCs/>
                <w:sz w:val="24"/>
                <w:szCs w:val="24"/>
              </w:rPr>
              <w:t>√</w:t>
            </w:r>
          </w:p>
        </w:tc>
        <w:tc>
          <w:tcPr>
            <w:tcW w:w="1336" w:type="dxa"/>
            <w:tcBorders>
              <w:top w:val="single" w:sz="12" w:space="0" w:color="auto"/>
              <w:bottom w:val="single" w:sz="4" w:space="0" w:color="auto"/>
            </w:tcBorders>
            <w:shd w:val="clear" w:color="auto" w:fill="auto"/>
            <w:vAlign w:val="center"/>
          </w:tcPr>
          <w:p w14:paraId="4F1EC9F0" w14:textId="6D833491" w:rsidR="00F0236A" w:rsidRPr="00073574" w:rsidRDefault="00F50E47" w:rsidP="006E5B3E">
            <w:pPr>
              <w:pStyle w:val="Tabletext"/>
              <w:jc w:val="center"/>
              <w:rPr>
                <w:b/>
                <w:bCs/>
                <w:sz w:val="24"/>
                <w:szCs w:val="24"/>
              </w:rPr>
            </w:pPr>
            <w:r w:rsidRPr="00073574">
              <w:rPr>
                <w:b/>
                <w:bCs/>
                <w:sz w:val="24"/>
                <w:szCs w:val="24"/>
              </w:rPr>
              <w:t>√</w:t>
            </w:r>
          </w:p>
          <w:p w14:paraId="6B35E3BC" w14:textId="77777777" w:rsidR="00F0236A" w:rsidRPr="00073574" w:rsidRDefault="00F0236A" w:rsidP="006E5B3E">
            <w:pPr>
              <w:pStyle w:val="Tabletext"/>
              <w:jc w:val="center"/>
              <w:rPr>
                <w:b/>
                <w:bCs/>
                <w:sz w:val="24"/>
                <w:szCs w:val="24"/>
              </w:rPr>
            </w:pPr>
            <w:r w:rsidRPr="00073574">
              <w:rPr>
                <w:b/>
                <w:bCs/>
                <w:sz w:val="24"/>
                <w:szCs w:val="24"/>
              </w:rPr>
              <w:t>See comment below.</w:t>
            </w:r>
          </w:p>
        </w:tc>
      </w:tr>
      <w:tr w:rsidR="00F0236A" w:rsidRPr="00073574" w14:paraId="680539D4" w14:textId="77777777" w:rsidTr="00281203">
        <w:trPr>
          <w:jc w:val="center"/>
        </w:trPr>
        <w:tc>
          <w:tcPr>
            <w:tcW w:w="911" w:type="dxa"/>
            <w:vMerge/>
            <w:tcBorders>
              <w:bottom w:val="single" w:sz="12" w:space="0" w:color="auto"/>
            </w:tcBorders>
            <w:shd w:val="clear" w:color="auto" w:fill="auto"/>
          </w:tcPr>
          <w:p w14:paraId="68AB756F" w14:textId="77777777" w:rsidR="00F0236A" w:rsidRPr="00073574" w:rsidRDefault="00F0236A" w:rsidP="006E5B3E">
            <w:pPr>
              <w:pStyle w:val="Tabletext"/>
              <w:rPr>
                <w:sz w:val="24"/>
                <w:szCs w:val="24"/>
              </w:rPr>
            </w:pPr>
          </w:p>
        </w:tc>
        <w:tc>
          <w:tcPr>
            <w:tcW w:w="8921" w:type="dxa"/>
            <w:gridSpan w:val="4"/>
            <w:tcBorders>
              <w:top w:val="single" w:sz="4" w:space="0" w:color="auto"/>
              <w:bottom w:val="single" w:sz="12" w:space="0" w:color="auto"/>
            </w:tcBorders>
            <w:shd w:val="clear" w:color="auto" w:fill="auto"/>
          </w:tcPr>
          <w:p w14:paraId="14C516B7" w14:textId="799EBBE4" w:rsidR="00F0236A" w:rsidRPr="00073574" w:rsidRDefault="00F0236A" w:rsidP="00D07F93">
            <w:pPr>
              <w:spacing w:before="40" w:after="40"/>
              <w:rPr>
                <w:sz w:val="24"/>
              </w:rPr>
            </w:pPr>
            <w:r w:rsidRPr="00073574">
              <w:rPr>
                <w:szCs w:val="22"/>
              </w:rPr>
              <w:t xml:space="preserve">Only one contribution was submitted in the study period 2009-2012 to ITU-T SG16, which resulted in an exchange of Liaison Statements with relevant external organizations. Feedback provided and lack of further activity (including in the </w:t>
            </w:r>
            <w:r w:rsidR="003C7E25" w:rsidRPr="00073574">
              <w:rPr>
                <w:szCs w:val="22"/>
              </w:rPr>
              <w:t xml:space="preserve">past two </w:t>
            </w:r>
            <w:r w:rsidRPr="00073574">
              <w:rPr>
                <w:szCs w:val="22"/>
              </w:rPr>
              <w:t>study period</w:t>
            </w:r>
            <w:r w:rsidR="003C7E25" w:rsidRPr="00073574">
              <w:rPr>
                <w:szCs w:val="22"/>
              </w:rPr>
              <w:t>s</w:t>
            </w:r>
            <w:r w:rsidRPr="00073574">
              <w:rPr>
                <w:szCs w:val="22"/>
              </w:rPr>
              <w:t>) suggest that the work is complete.</w:t>
            </w:r>
          </w:p>
        </w:tc>
      </w:tr>
      <w:tr w:rsidR="00F0236A" w:rsidRPr="00073574" w14:paraId="231A3EC8" w14:textId="77777777" w:rsidTr="00E44E48">
        <w:trPr>
          <w:cantSplit/>
          <w:jc w:val="center"/>
        </w:trPr>
        <w:tc>
          <w:tcPr>
            <w:tcW w:w="911" w:type="dxa"/>
            <w:vMerge w:val="restart"/>
            <w:tcBorders>
              <w:top w:val="single" w:sz="12" w:space="0" w:color="auto"/>
            </w:tcBorders>
            <w:shd w:val="clear" w:color="auto" w:fill="auto"/>
          </w:tcPr>
          <w:p w14:paraId="2B886191" w14:textId="77777777" w:rsidR="00F0236A" w:rsidRPr="00073574" w:rsidRDefault="00F0236A" w:rsidP="0066741D">
            <w:pPr>
              <w:pStyle w:val="Tabletext"/>
              <w:keepNext/>
              <w:keepLines/>
              <w:rPr>
                <w:b/>
                <w:bCs/>
                <w:sz w:val="24"/>
                <w:szCs w:val="24"/>
              </w:rPr>
            </w:pPr>
            <w:r w:rsidRPr="00073574">
              <w:rPr>
                <w:b/>
                <w:bCs/>
                <w:sz w:val="24"/>
                <w:szCs w:val="24"/>
              </w:rPr>
              <w:lastRenderedPageBreak/>
              <w:t>48-02</w:t>
            </w:r>
          </w:p>
        </w:tc>
        <w:tc>
          <w:tcPr>
            <w:tcW w:w="4923" w:type="dxa"/>
            <w:tcBorders>
              <w:top w:val="single" w:sz="12" w:space="0" w:color="auto"/>
            </w:tcBorders>
            <w:shd w:val="clear" w:color="auto" w:fill="auto"/>
            <w:hideMark/>
          </w:tcPr>
          <w:p w14:paraId="2A13D291" w14:textId="77777777" w:rsidR="00F0236A" w:rsidRPr="00073574" w:rsidRDefault="00F0236A" w:rsidP="0066741D">
            <w:pPr>
              <w:pStyle w:val="Tabletext"/>
              <w:keepNext/>
              <w:keepLines/>
              <w:rPr>
                <w:b/>
                <w:bCs/>
                <w:sz w:val="24"/>
                <w:szCs w:val="24"/>
              </w:rPr>
            </w:pPr>
            <w:r w:rsidRPr="00073574">
              <w:rPr>
                <w:b/>
                <w:bCs/>
                <w:sz w:val="24"/>
                <w:szCs w:val="24"/>
              </w:rPr>
              <w:t>TSB Director to report to Council annually regarding progress achieved in internationalized (multilingual) domain names (i. TSB Dir)</w:t>
            </w:r>
          </w:p>
        </w:tc>
        <w:tc>
          <w:tcPr>
            <w:tcW w:w="1516" w:type="dxa"/>
            <w:tcBorders>
              <w:top w:val="single" w:sz="12" w:space="0" w:color="auto"/>
            </w:tcBorders>
            <w:shd w:val="clear" w:color="auto" w:fill="auto"/>
            <w:vAlign w:val="center"/>
            <w:hideMark/>
          </w:tcPr>
          <w:p w14:paraId="5581C4D0" w14:textId="77777777" w:rsidR="00F0236A" w:rsidRPr="00073574" w:rsidRDefault="00F0236A" w:rsidP="0066741D">
            <w:pPr>
              <w:pStyle w:val="Tabletext"/>
              <w:keepNext/>
              <w:keepLines/>
              <w:jc w:val="center"/>
              <w:rPr>
                <w:b/>
                <w:bCs/>
                <w:sz w:val="24"/>
                <w:szCs w:val="24"/>
              </w:rPr>
            </w:pPr>
            <w:r w:rsidRPr="00073574">
              <w:rPr>
                <w:b/>
                <w:bCs/>
                <w:sz w:val="24"/>
                <w:szCs w:val="24"/>
              </w:rPr>
              <w:t>Ongoing, 3 months before Council</w:t>
            </w:r>
          </w:p>
        </w:tc>
        <w:tc>
          <w:tcPr>
            <w:tcW w:w="1146" w:type="dxa"/>
            <w:tcBorders>
              <w:top w:val="single" w:sz="12" w:space="0" w:color="auto"/>
            </w:tcBorders>
            <w:shd w:val="clear" w:color="auto" w:fill="auto"/>
            <w:vAlign w:val="center"/>
          </w:tcPr>
          <w:p w14:paraId="6E684BFB" w14:textId="77777777" w:rsidR="00F0236A" w:rsidRPr="00073574" w:rsidRDefault="00F0236A" w:rsidP="0066741D">
            <w:pPr>
              <w:pStyle w:val="Tabletext"/>
              <w:keepNext/>
              <w:keepLines/>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3237D605" w14:textId="77777777" w:rsidR="00F0236A" w:rsidRPr="00073574" w:rsidRDefault="00F0236A" w:rsidP="0066741D">
            <w:pPr>
              <w:pStyle w:val="Tabletext"/>
              <w:keepNext/>
              <w:keepLines/>
              <w:jc w:val="center"/>
              <w:rPr>
                <w:b/>
                <w:bCs/>
                <w:sz w:val="24"/>
                <w:szCs w:val="24"/>
              </w:rPr>
            </w:pPr>
          </w:p>
        </w:tc>
      </w:tr>
      <w:tr w:rsidR="00F0236A" w:rsidRPr="00073574" w14:paraId="72AC2E8F" w14:textId="77777777" w:rsidTr="00DF36E1">
        <w:trPr>
          <w:cantSplit/>
          <w:jc w:val="center"/>
        </w:trPr>
        <w:tc>
          <w:tcPr>
            <w:tcW w:w="911" w:type="dxa"/>
            <w:vMerge/>
            <w:shd w:val="clear" w:color="auto" w:fill="auto"/>
            <w:vAlign w:val="center"/>
          </w:tcPr>
          <w:p w14:paraId="40E744A4" w14:textId="77777777" w:rsidR="00F0236A" w:rsidRPr="00073574" w:rsidRDefault="00F0236A" w:rsidP="0066741D">
            <w:pPr>
              <w:pStyle w:val="Tabletext"/>
              <w:keepNext/>
              <w:keepLines/>
              <w:rPr>
                <w:sz w:val="24"/>
                <w:szCs w:val="24"/>
              </w:rPr>
            </w:pPr>
          </w:p>
        </w:tc>
        <w:tc>
          <w:tcPr>
            <w:tcW w:w="8921" w:type="dxa"/>
            <w:gridSpan w:val="4"/>
            <w:shd w:val="clear" w:color="auto" w:fill="auto"/>
          </w:tcPr>
          <w:p w14:paraId="03411415" w14:textId="57713C94" w:rsidR="00F0236A" w:rsidRPr="00073574" w:rsidRDefault="00BB046C" w:rsidP="0066741D">
            <w:pPr>
              <w:pStyle w:val="Tabletext"/>
              <w:keepNext/>
              <w:keepLines/>
              <w:rPr>
                <w:szCs w:val="22"/>
              </w:rPr>
            </w:pPr>
            <w:r w:rsidRPr="00073574">
              <w:rPr>
                <w:szCs w:val="22"/>
              </w:rPr>
              <w:t xml:space="preserve">See </w:t>
            </w:r>
            <w:hyperlink r:id="rId353" w:history="1">
              <w:r w:rsidRPr="00073574">
                <w:rPr>
                  <w:rStyle w:val="Hyperlink"/>
                  <w:szCs w:val="22"/>
                </w:rPr>
                <w:t>C17/33</w:t>
              </w:r>
            </w:hyperlink>
            <w:r w:rsidRPr="00073574">
              <w:rPr>
                <w:szCs w:val="22"/>
              </w:rPr>
              <w:t xml:space="preserve">, and </w:t>
            </w:r>
            <w:hyperlink r:id="rId354" w:history="1">
              <w:r w:rsidRPr="00073574">
                <w:rPr>
                  <w:rStyle w:val="Hyperlink"/>
                  <w:szCs w:val="22"/>
                </w:rPr>
                <w:t>C18/</w:t>
              </w:r>
              <w:r w:rsidR="00EB781D" w:rsidRPr="00073574">
                <w:rPr>
                  <w:rStyle w:val="Hyperlink"/>
                  <w:szCs w:val="22"/>
                </w:rPr>
                <w:t>33</w:t>
              </w:r>
            </w:hyperlink>
            <w:r w:rsidRPr="00073574">
              <w:rPr>
                <w:szCs w:val="22"/>
              </w:rPr>
              <w:t>.</w:t>
            </w:r>
          </w:p>
        </w:tc>
      </w:tr>
    </w:tbl>
    <w:bookmarkStart w:id="185" w:name="Item48_01"/>
    <w:bookmarkStart w:id="186" w:name="Item48_02"/>
    <w:bookmarkEnd w:id="185"/>
    <w:bookmarkEnd w:id="186"/>
    <w:p w14:paraId="52832859" w14:textId="77777777" w:rsidR="00F0236A" w:rsidRPr="00073574" w:rsidRDefault="00F0236A" w:rsidP="00F0236A">
      <w:pPr>
        <w:rPr>
          <w:rStyle w:val="Hyperlink"/>
          <w:sz w:val="24"/>
        </w:rPr>
      </w:pPr>
      <w:r w:rsidRPr="00073574">
        <w:rPr>
          <w:color w:val="2B579A"/>
          <w:shd w:val="clear" w:color="auto" w:fill="E6E6E6"/>
        </w:rPr>
        <w:fldChar w:fldCharType="begin"/>
      </w:r>
      <w:r w:rsidRPr="00073574">
        <w:rPr>
          <w:sz w:val="24"/>
        </w:rPr>
        <w:instrText xml:space="preserve"> HYPERLINK \l "Top" </w:instrText>
      </w:r>
      <w:r w:rsidRPr="00073574">
        <w:rPr>
          <w:color w:val="2B579A"/>
          <w:shd w:val="clear" w:color="auto" w:fill="E6E6E6"/>
        </w:rPr>
        <w:fldChar w:fldCharType="separate"/>
      </w:r>
      <w:r w:rsidRPr="00073574">
        <w:rPr>
          <w:rStyle w:val="Hyperlink"/>
          <w:sz w:val="24"/>
        </w:rPr>
        <w:t>» Top</w:t>
      </w:r>
      <w:r w:rsidRPr="00073574">
        <w:rPr>
          <w:rStyle w:val="Hyperlink"/>
          <w:sz w:val="24"/>
        </w:rPr>
        <w:fldChar w:fldCharType="end"/>
      </w:r>
    </w:p>
    <w:p w14:paraId="0CAFCD9B" w14:textId="77777777" w:rsidR="00F0236A" w:rsidRPr="00073574" w:rsidRDefault="00F0236A" w:rsidP="00F0236A">
      <w:pPr>
        <w:rPr>
          <w:sz w:val="24"/>
        </w:rPr>
      </w:pPr>
    </w:p>
    <w:p w14:paraId="4F6F5CAB" w14:textId="77777777" w:rsidR="00F0236A" w:rsidRPr="00073574" w:rsidRDefault="00F0236A" w:rsidP="00F0236A">
      <w:pPr>
        <w:pStyle w:val="Heading1"/>
        <w:keepNext/>
        <w:rPr>
          <w:sz w:val="24"/>
          <w:szCs w:val="24"/>
          <w:lang w:val="en-GB"/>
        </w:rPr>
      </w:pPr>
      <w:bookmarkStart w:id="187" w:name="Resolution_49"/>
      <w:bookmarkStart w:id="188" w:name="_Toc304236434"/>
      <w:bookmarkStart w:id="189" w:name="_Toc471715371"/>
      <w:bookmarkStart w:id="190" w:name="_Toc93425257"/>
      <w:bookmarkEnd w:id="187"/>
      <w:r w:rsidRPr="00073574">
        <w:rPr>
          <w:sz w:val="24"/>
          <w:szCs w:val="24"/>
          <w:lang w:val="en-GB"/>
        </w:rPr>
        <w:t>Resolution 49 - ENUM</w:t>
      </w:r>
      <w:bookmarkEnd w:id="188"/>
      <w:bookmarkEnd w:id="189"/>
      <w:bookmarkEnd w:id="190"/>
    </w:p>
    <w:p w14:paraId="7E42F026" w14:textId="77777777" w:rsidR="00F0236A" w:rsidRPr="00073574" w:rsidRDefault="00F0236A" w:rsidP="00F0236A">
      <w:pPr>
        <w:rPr>
          <w:b/>
          <w:bCs/>
          <w:sz w:val="24"/>
        </w:rPr>
      </w:pPr>
      <w:r w:rsidRPr="00073574">
        <w:rPr>
          <w:b/>
          <w:bCs/>
          <w:sz w:val="24"/>
        </w:rPr>
        <w:t>Resolution 49</w:t>
      </w:r>
    </w:p>
    <w:p w14:paraId="6903CE73" w14:textId="77777777" w:rsidR="00F0236A" w:rsidRPr="00073574" w:rsidRDefault="00F0236A" w:rsidP="00F0236A">
      <w:pPr>
        <w:pStyle w:val="Call"/>
        <w:rPr>
          <w:sz w:val="24"/>
          <w:szCs w:val="24"/>
          <w:lang w:val="en-GB"/>
        </w:rPr>
      </w:pPr>
      <w:r w:rsidRPr="00073574">
        <w:rPr>
          <w:sz w:val="24"/>
          <w:szCs w:val="24"/>
          <w:lang w:val="en-GB"/>
        </w:rPr>
        <w:t>resolves to instruct Study Group 2 of the ITU Telecommunication Standardization Sector</w:t>
      </w:r>
    </w:p>
    <w:p w14:paraId="5213FA4D" w14:textId="77777777" w:rsidR="00F0236A" w:rsidRPr="00073574" w:rsidRDefault="00F0236A" w:rsidP="00F0236A">
      <w:pPr>
        <w:rPr>
          <w:sz w:val="24"/>
        </w:rPr>
      </w:pPr>
      <w:r w:rsidRPr="00073574">
        <w:rPr>
          <w:sz w:val="24"/>
        </w:rPr>
        <w:t>1</w:t>
      </w:r>
      <w:r w:rsidRPr="00073574">
        <w:rPr>
          <w:sz w:val="24"/>
        </w:rPr>
        <w:tab/>
        <w:t>to study how ITU could have administrative control over changes that could relate to the international telecommunication resources (including naming, numbering, addressing, and routing) used for ENUM;</w:t>
      </w:r>
    </w:p>
    <w:p w14:paraId="637644B8" w14:textId="77777777" w:rsidR="00F0236A" w:rsidRPr="00073574" w:rsidRDefault="00F0236A" w:rsidP="00F0236A">
      <w:pPr>
        <w:rPr>
          <w:sz w:val="24"/>
        </w:rPr>
      </w:pPr>
      <w:r w:rsidRPr="00073574">
        <w:rPr>
          <w:sz w:val="24"/>
        </w:rPr>
        <w:t>2</w:t>
      </w:r>
      <w:r w:rsidRPr="00073574">
        <w:rPr>
          <w:sz w:val="24"/>
        </w:rPr>
        <w:tab/>
        <w:t>to evaluate the current interim procedure for ENUM delegation, and report back to the Director of the Telecommunication Standardization Bureau,</w:t>
      </w:r>
    </w:p>
    <w:p w14:paraId="4B374480" w14:textId="77777777" w:rsidR="00F0236A" w:rsidRPr="00073574" w:rsidRDefault="00F0236A" w:rsidP="00F0236A">
      <w:pPr>
        <w:pStyle w:val="Call"/>
        <w:rPr>
          <w:sz w:val="24"/>
          <w:szCs w:val="24"/>
          <w:lang w:val="en-GB"/>
        </w:rPr>
      </w:pPr>
      <w:r w:rsidRPr="00073574">
        <w:rPr>
          <w:sz w:val="24"/>
          <w:szCs w:val="24"/>
          <w:lang w:val="en-GB"/>
        </w:rPr>
        <w:t>instructs the Director of the Telecommunication Standardization Bureau</w:t>
      </w:r>
    </w:p>
    <w:p w14:paraId="224BAD6E" w14:textId="77777777" w:rsidR="00F0236A" w:rsidRPr="00073574" w:rsidRDefault="00F0236A" w:rsidP="00F0236A">
      <w:pPr>
        <w:rPr>
          <w:sz w:val="24"/>
        </w:rPr>
      </w:pPr>
      <w:r w:rsidRPr="00073574">
        <w:rPr>
          <w:sz w:val="24"/>
        </w:rPr>
        <w:t>to take appropriate action to facilitate the above and to report to the ITU Council annually regarding the progress achieved in this area, including the continuation of further studies in relation to draft Recommendation ITU-T E.A-ENUM (new version), on principles and procedures for the administration of E.164 country codes for registration into the Domain Name System, and draft Recommendation ITU-T E.A-N/GoC (new version), on administrative procedures for ENUM for E.164 country codes and associated ICs for networks and GICs for groups of countries,</w:t>
      </w:r>
    </w:p>
    <w:p w14:paraId="4C492103" w14:textId="77777777" w:rsidR="00F0236A" w:rsidRPr="00073574" w:rsidRDefault="00F0236A" w:rsidP="00F0236A">
      <w:pPr>
        <w:pStyle w:val="Call"/>
        <w:rPr>
          <w:sz w:val="24"/>
          <w:szCs w:val="24"/>
          <w:lang w:val="en-GB"/>
        </w:rPr>
      </w:pPr>
      <w:r w:rsidRPr="00073574">
        <w:rPr>
          <w:sz w:val="24"/>
          <w:szCs w:val="24"/>
          <w:lang w:val="en-GB"/>
        </w:rPr>
        <w:t>invites Member States</w:t>
      </w:r>
    </w:p>
    <w:p w14:paraId="2C8457F1" w14:textId="77777777" w:rsidR="00F0236A" w:rsidRPr="00073574" w:rsidRDefault="00F0236A" w:rsidP="00F0236A">
      <w:pPr>
        <w:rPr>
          <w:sz w:val="24"/>
        </w:rPr>
      </w:pPr>
      <w:r w:rsidRPr="00073574">
        <w:rPr>
          <w:sz w:val="24"/>
        </w:rPr>
        <w:t>to contribute to these activities,</w:t>
      </w:r>
    </w:p>
    <w:p w14:paraId="6C2E88F2" w14:textId="77777777" w:rsidR="00F0236A" w:rsidRPr="00073574" w:rsidRDefault="00F0236A" w:rsidP="00F0236A">
      <w:pPr>
        <w:pStyle w:val="Call"/>
        <w:rPr>
          <w:sz w:val="24"/>
          <w:szCs w:val="24"/>
          <w:lang w:val="en-GB"/>
        </w:rPr>
      </w:pPr>
      <w:r w:rsidRPr="00073574">
        <w:rPr>
          <w:sz w:val="24"/>
          <w:szCs w:val="24"/>
          <w:lang w:val="en-GB"/>
        </w:rPr>
        <w:t>further invites Member States</w:t>
      </w:r>
    </w:p>
    <w:p w14:paraId="5048A84B" w14:textId="77777777" w:rsidR="00F0236A" w:rsidRPr="00073574" w:rsidRDefault="00F0236A" w:rsidP="00F0236A">
      <w:pPr>
        <w:spacing w:after="240"/>
        <w:rPr>
          <w:sz w:val="24"/>
        </w:rPr>
      </w:pPr>
      <w:r w:rsidRPr="00073574">
        <w:rPr>
          <w:sz w:val="24"/>
        </w:rPr>
        <w:t>to take appropriate steps within their national legal frameworks to ensure proper implementation of this resolution.</w:t>
      </w:r>
    </w:p>
    <w:tbl>
      <w:tblPr>
        <w:tblW w:w="98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11"/>
        <w:gridCol w:w="4839"/>
        <w:gridCol w:w="1601"/>
        <w:gridCol w:w="1145"/>
        <w:gridCol w:w="1336"/>
      </w:tblGrid>
      <w:tr w:rsidR="00F0236A" w:rsidRPr="00073574" w14:paraId="5D37EF5F" w14:textId="77777777" w:rsidTr="00EF53C1">
        <w:trPr>
          <w:tblHeader/>
          <w:jc w:val="center"/>
        </w:trPr>
        <w:tc>
          <w:tcPr>
            <w:tcW w:w="911" w:type="dxa"/>
            <w:tcBorders>
              <w:top w:val="single" w:sz="12" w:space="0" w:color="auto"/>
              <w:bottom w:val="single" w:sz="12" w:space="0" w:color="auto"/>
            </w:tcBorders>
            <w:shd w:val="clear" w:color="auto" w:fill="auto"/>
            <w:vAlign w:val="center"/>
          </w:tcPr>
          <w:p w14:paraId="0E6D332B" w14:textId="77777777" w:rsidR="00F0236A" w:rsidRPr="00073574" w:rsidRDefault="00F0236A" w:rsidP="00DF36E1">
            <w:pPr>
              <w:pStyle w:val="Tablehead"/>
              <w:rPr>
                <w:sz w:val="24"/>
                <w:szCs w:val="24"/>
              </w:rPr>
            </w:pPr>
            <w:r w:rsidRPr="00073574">
              <w:rPr>
                <w:sz w:val="24"/>
                <w:szCs w:val="24"/>
              </w:rPr>
              <w:t>Action Item</w:t>
            </w:r>
          </w:p>
        </w:tc>
        <w:tc>
          <w:tcPr>
            <w:tcW w:w="4839" w:type="dxa"/>
            <w:tcBorders>
              <w:top w:val="single" w:sz="12" w:space="0" w:color="auto"/>
              <w:bottom w:val="single" w:sz="12" w:space="0" w:color="auto"/>
            </w:tcBorders>
            <w:shd w:val="clear" w:color="auto" w:fill="auto"/>
            <w:vAlign w:val="center"/>
            <w:hideMark/>
          </w:tcPr>
          <w:p w14:paraId="0E50BE02" w14:textId="77777777" w:rsidR="00F0236A" w:rsidRPr="00073574" w:rsidRDefault="00F0236A" w:rsidP="00DF36E1">
            <w:pPr>
              <w:pStyle w:val="Tablehead"/>
              <w:rPr>
                <w:sz w:val="24"/>
                <w:szCs w:val="24"/>
              </w:rPr>
            </w:pPr>
            <w:r w:rsidRPr="00073574">
              <w:rPr>
                <w:sz w:val="24"/>
                <w:szCs w:val="24"/>
              </w:rPr>
              <w:t>Action</w:t>
            </w:r>
          </w:p>
        </w:tc>
        <w:tc>
          <w:tcPr>
            <w:tcW w:w="1601" w:type="dxa"/>
            <w:tcBorders>
              <w:top w:val="single" w:sz="12" w:space="0" w:color="auto"/>
              <w:bottom w:val="single" w:sz="12" w:space="0" w:color="auto"/>
            </w:tcBorders>
            <w:shd w:val="clear" w:color="auto" w:fill="auto"/>
            <w:vAlign w:val="center"/>
            <w:hideMark/>
          </w:tcPr>
          <w:p w14:paraId="4A960DD8" w14:textId="77777777" w:rsidR="00F0236A" w:rsidRPr="00073574" w:rsidRDefault="00F0236A" w:rsidP="00DF36E1">
            <w:pPr>
              <w:pStyle w:val="Tablehead"/>
              <w:rPr>
                <w:sz w:val="24"/>
                <w:szCs w:val="24"/>
              </w:rPr>
            </w:pPr>
            <w:r w:rsidRPr="00073574">
              <w:rPr>
                <w:sz w:val="24"/>
                <w:szCs w:val="24"/>
              </w:rPr>
              <w:t>Milestone</w:t>
            </w:r>
          </w:p>
        </w:tc>
        <w:tc>
          <w:tcPr>
            <w:tcW w:w="1145" w:type="dxa"/>
            <w:tcBorders>
              <w:top w:val="single" w:sz="12" w:space="0" w:color="auto"/>
              <w:bottom w:val="single" w:sz="12" w:space="0" w:color="auto"/>
            </w:tcBorders>
            <w:shd w:val="clear" w:color="auto" w:fill="auto"/>
          </w:tcPr>
          <w:p w14:paraId="799DFD5E" w14:textId="77777777" w:rsidR="00F0236A" w:rsidRPr="00073574" w:rsidRDefault="00F0236A" w:rsidP="00DF36E1">
            <w:pPr>
              <w:pStyle w:val="Tablehead"/>
              <w:rPr>
                <w:sz w:val="24"/>
                <w:szCs w:val="24"/>
              </w:rPr>
            </w:pPr>
            <w:r w:rsidRPr="00073574">
              <w:rPr>
                <w:sz w:val="24"/>
                <w:szCs w:val="24"/>
              </w:rPr>
              <w:t>Periodic goals met</w:t>
            </w:r>
          </w:p>
        </w:tc>
        <w:tc>
          <w:tcPr>
            <w:tcW w:w="1336" w:type="dxa"/>
            <w:tcBorders>
              <w:top w:val="single" w:sz="12" w:space="0" w:color="auto"/>
              <w:bottom w:val="single" w:sz="12" w:space="0" w:color="auto"/>
            </w:tcBorders>
            <w:shd w:val="clear" w:color="auto" w:fill="auto"/>
            <w:vAlign w:val="center"/>
          </w:tcPr>
          <w:p w14:paraId="3D0E008D" w14:textId="77777777" w:rsidR="00F0236A" w:rsidRPr="00073574" w:rsidRDefault="00F0236A" w:rsidP="00DF36E1">
            <w:pPr>
              <w:pStyle w:val="Tablehead"/>
              <w:rPr>
                <w:sz w:val="24"/>
                <w:szCs w:val="24"/>
              </w:rPr>
            </w:pPr>
            <w:r w:rsidRPr="00073574">
              <w:rPr>
                <w:sz w:val="24"/>
                <w:szCs w:val="24"/>
              </w:rPr>
              <w:t>Completed</w:t>
            </w:r>
          </w:p>
        </w:tc>
      </w:tr>
      <w:tr w:rsidR="00F0236A" w:rsidRPr="00073574" w14:paraId="70F274B6" w14:textId="77777777" w:rsidTr="00E44E48">
        <w:trPr>
          <w:cantSplit/>
          <w:jc w:val="center"/>
        </w:trPr>
        <w:tc>
          <w:tcPr>
            <w:tcW w:w="911" w:type="dxa"/>
            <w:vMerge w:val="restart"/>
            <w:tcBorders>
              <w:top w:val="single" w:sz="12" w:space="0" w:color="auto"/>
            </w:tcBorders>
            <w:shd w:val="clear" w:color="auto" w:fill="auto"/>
          </w:tcPr>
          <w:p w14:paraId="45E6FAA9" w14:textId="77777777" w:rsidR="00F0236A" w:rsidRPr="00073574" w:rsidRDefault="00F0236A" w:rsidP="00DF36E1">
            <w:pPr>
              <w:pStyle w:val="Tabletext"/>
              <w:rPr>
                <w:b/>
                <w:bCs/>
                <w:sz w:val="24"/>
                <w:szCs w:val="24"/>
              </w:rPr>
            </w:pPr>
            <w:r w:rsidRPr="00073574">
              <w:rPr>
                <w:b/>
                <w:bCs/>
                <w:sz w:val="24"/>
                <w:szCs w:val="24"/>
              </w:rPr>
              <w:t>49-01</w:t>
            </w:r>
          </w:p>
        </w:tc>
        <w:tc>
          <w:tcPr>
            <w:tcW w:w="4839" w:type="dxa"/>
            <w:tcBorders>
              <w:top w:val="single" w:sz="12" w:space="0" w:color="auto"/>
              <w:bottom w:val="single" w:sz="4" w:space="0" w:color="auto"/>
            </w:tcBorders>
            <w:shd w:val="clear" w:color="auto" w:fill="auto"/>
            <w:hideMark/>
          </w:tcPr>
          <w:p w14:paraId="492AF57E" w14:textId="77777777" w:rsidR="00F0236A" w:rsidRPr="00073574" w:rsidRDefault="00F0236A" w:rsidP="00DF36E1">
            <w:pPr>
              <w:pStyle w:val="Tabletext"/>
              <w:rPr>
                <w:b/>
                <w:bCs/>
                <w:sz w:val="24"/>
                <w:szCs w:val="24"/>
              </w:rPr>
            </w:pPr>
            <w:r w:rsidRPr="00073574">
              <w:rPr>
                <w:b/>
                <w:bCs/>
                <w:sz w:val="24"/>
                <w:szCs w:val="24"/>
              </w:rPr>
              <w:t>SG2 to study how ITU could have administrative control over changes that could relate to the international telecommunication resources used for ENUM (resolves 1)</w:t>
            </w:r>
          </w:p>
        </w:tc>
        <w:tc>
          <w:tcPr>
            <w:tcW w:w="1601" w:type="dxa"/>
            <w:tcBorders>
              <w:top w:val="single" w:sz="12" w:space="0" w:color="auto"/>
              <w:bottom w:val="single" w:sz="4" w:space="0" w:color="auto"/>
            </w:tcBorders>
            <w:shd w:val="clear" w:color="auto" w:fill="auto"/>
            <w:vAlign w:val="center"/>
            <w:hideMark/>
          </w:tcPr>
          <w:p w14:paraId="1018C349"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45" w:type="dxa"/>
            <w:tcBorders>
              <w:top w:val="single" w:sz="12" w:space="0" w:color="auto"/>
              <w:bottom w:val="single" w:sz="4" w:space="0" w:color="auto"/>
            </w:tcBorders>
            <w:shd w:val="clear" w:color="auto" w:fill="auto"/>
            <w:vAlign w:val="center"/>
          </w:tcPr>
          <w:p w14:paraId="21087933" w14:textId="77777777" w:rsidR="00F0236A" w:rsidRPr="00073574" w:rsidRDefault="00F0236A" w:rsidP="00DF36E1">
            <w:pPr>
              <w:pStyle w:val="Tabletext"/>
              <w:jc w:val="center"/>
              <w:rPr>
                <w:b/>
                <w:bCs/>
                <w:sz w:val="24"/>
                <w:szCs w:val="24"/>
              </w:rPr>
            </w:pPr>
          </w:p>
        </w:tc>
        <w:tc>
          <w:tcPr>
            <w:tcW w:w="1336" w:type="dxa"/>
            <w:tcBorders>
              <w:top w:val="single" w:sz="12" w:space="0" w:color="auto"/>
              <w:bottom w:val="single" w:sz="4" w:space="0" w:color="auto"/>
            </w:tcBorders>
            <w:shd w:val="clear" w:color="auto" w:fill="auto"/>
            <w:vAlign w:val="center"/>
          </w:tcPr>
          <w:p w14:paraId="5D1E5D69" w14:textId="77777777" w:rsidR="00F0236A" w:rsidRPr="00073574" w:rsidRDefault="00F0236A" w:rsidP="00DF36E1">
            <w:pPr>
              <w:pStyle w:val="Tabletext"/>
              <w:jc w:val="center"/>
              <w:rPr>
                <w:b/>
                <w:bCs/>
                <w:sz w:val="24"/>
                <w:szCs w:val="24"/>
              </w:rPr>
            </w:pPr>
          </w:p>
        </w:tc>
      </w:tr>
      <w:tr w:rsidR="00F0236A" w:rsidRPr="00073574" w14:paraId="3B44D153" w14:textId="77777777" w:rsidTr="00E44E48">
        <w:trPr>
          <w:cantSplit/>
          <w:jc w:val="center"/>
        </w:trPr>
        <w:tc>
          <w:tcPr>
            <w:tcW w:w="911" w:type="dxa"/>
            <w:vMerge/>
            <w:tcBorders>
              <w:bottom w:val="single" w:sz="12" w:space="0" w:color="auto"/>
            </w:tcBorders>
            <w:shd w:val="clear" w:color="auto" w:fill="auto"/>
          </w:tcPr>
          <w:p w14:paraId="207455B7" w14:textId="77777777" w:rsidR="00F0236A" w:rsidRPr="00073574" w:rsidRDefault="00F0236A" w:rsidP="00DF36E1">
            <w:pPr>
              <w:pStyle w:val="Tabletext"/>
              <w:rPr>
                <w:sz w:val="24"/>
                <w:szCs w:val="24"/>
              </w:rPr>
            </w:pPr>
          </w:p>
        </w:tc>
        <w:tc>
          <w:tcPr>
            <w:tcW w:w="8921" w:type="dxa"/>
            <w:gridSpan w:val="4"/>
            <w:tcBorders>
              <w:top w:val="single" w:sz="4" w:space="0" w:color="auto"/>
              <w:bottom w:val="single" w:sz="12" w:space="0" w:color="auto"/>
            </w:tcBorders>
            <w:shd w:val="clear" w:color="auto" w:fill="auto"/>
          </w:tcPr>
          <w:p w14:paraId="2A092107" w14:textId="05981446" w:rsidR="00F0236A" w:rsidRPr="00073574" w:rsidRDefault="00F0236A" w:rsidP="00DF36E1">
            <w:pPr>
              <w:pStyle w:val="Tabletext"/>
              <w:rPr>
                <w:szCs w:val="22"/>
              </w:rPr>
            </w:pPr>
            <w:r w:rsidRPr="00073574">
              <w:rPr>
                <w:szCs w:val="22"/>
              </w:rPr>
              <w:t>Actions by ITU-T SG2 depend on Contributions</w:t>
            </w:r>
            <w:r w:rsidR="008F0044" w:rsidRPr="00073574">
              <w:rPr>
                <w:szCs w:val="22"/>
              </w:rPr>
              <w:t>, but no such contributions have been received so far</w:t>
            </w:r>
            <w:r w:rsidRPr="00073574">
              <w:rPr>
                <w:szCs w:val="22"/>
              </w:rPr>
              <w:t>.</w:t>
            </w:r>
          </w:p>
        </w:tc>
      </w:tr>
      <w:tr w:rsidR="00F0236A" w:rsidRPr="00073574" w14:paraId="37F4617C" w14:textId="77777777" w:rsidTr="00E44E48">
        <w:trPr>
          <w:cantSplit/>
          <w:jc w:val="center"/>
        </w:trPr>
        <w:tc>
          <w:tcPr>
            <w:tcW w:w="911" w:type="dxa"/>
            <w:vMerge w:val="restart"/>
            <w:tcBorders>
              <w:top w:val="single" w:sz="12" w:space="0" w:color="auto"/>
            </w:tcBorders>
            <w:shd w:val="clear" w:color="auto" w:fill="auto"/>
          </w:tcPr>
          <w:p w14:paraId="5A1F3771" w14:textId="77777777" w:rsidR="00F0236A" w:rsidRPr="00073574" w:rsidRDefault="00F0236A" w:rsidP="008F2BEB">
            <w:pPr>
              <w:pStyle w:val="Tabletext"/>
              <w:keepNext/>
              <w:keepLines/>
              <w:rPr>
                <w:b/>
                <w:bCs/>
                <w:sz w:val="24"/>
                <w:szCs w:val="24"/>
              </w:rPr>
            </w:pPr>
            <w:r w:rsidRPr="00073574">
              <w:rPr>
                <w:b/>
                <w:bCs/>
                <w:sz w:val="24"/>
                <w:szCs w:val="24"/>
              </w:rPr>
              <w:lastRenderedPageBreak/>
              <w:t>49-02</w:t>
            </w:r>
          </w:p>
        </w:tc>
        <w:tc>
          <w:tcPr>
            <w:tcW w:w="4839" w:type="dxa"/>
            <w:tcBorders>
              <w:top w:val="single" w:sz="12" w:space="0" w:color="auto"/>
            </w:tcBorders>
            <w:shd w:val="clear" w:color="auto" w:fill="auto"/>
            <w:hideMark/>
          </w:tcPr>
          <w:p w14:paraId="7A9EBF2B" w14:textId="77777777" w:rsidR="00F0236A" w:rsidRPr="00073574" w:rsidRDefault="00F0236A" w:rsidP="00DF36E1">
            <w:pPr>
              <w:pStyle w:val="Tabletext"/>
              <w:rPr>
                <w:b/>
                <w:bCs/>
                <w:sz w:val="24"/>
                <w:szCs w:val="24"/>
                <w:highlight w:val="yellow"/>
              </w:rPr>
            </w:pPr>
            <w:r w:rsidRPr="00073574">
              <w:rPr>
                <w:b/>
                <w:bCs/>
                <w:sz w:val="24"/>
                <w:szCs w:val="24"/>
              </w:rPr>
              <w:t>SG2 to evaluate the current interim procedure for ENUM delegation and report back to TSB Director. (resolves 2)</w:t>
            </w:r>
          </w:p>
        </w:tc>
        <w:tc>
          <w:tcPr>
            <w:tcW w:w="1601" w:type="dxa"/>
            <w:tcBorders>
              <w:top w:val="single" w:sz="12" w:space="0" w:color="auto"/>
            </w:tcBorders>
            <w:shd w:val="clear" w:color="auto" w:fill="auto"/>
            <w:vAlign w:val="center"/>
            <w:hideMark/>
          </w:tcPr>
          <w:p w14:paraId="3718BBA6"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45" w:type="dxa"/>
            <w:tcBorders>
              <w:top w:val="single" w:sz="12" w:space="0" w:color="auto"/>
            </w:tcBorders>
            <w:shd w:val="clear" w:color="auto" w:fill="auto"/>
            <w:vAlign w:val="center"/>
          </w:tcPr>
          <w:p w14:paraId="4AE39FDA" w14:textId="222A35D4" w:rsidR="00F0236A" w:rsidRPr="00073574" w:rsidRDefault="0021589C"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19785227" w14:textId="77777777" w:rsidR="00F0236A" w:rsidRPr="00073574" w:rsidRDefault="00F0236A" w:rsidP="00DF36E1">
            <w:pPr>
              <w:pStyle w:val="Tabletext"/>
              <w:jc w:val="center"/>
              <w:rPr>
                <w:b/>
                <w:bCs/>
                <w:sz w:val="24"/>
                <w:szCs w:val="24"/>
              </w:rPr>
            </w:pPr>
          </w:p>
        </w:tc>
      </w:tr>
      <w:tr w:rsidR="00F0236A" w:rsidRPr="00073574" w14:paraId="2CF44FDD" w14:textId="77777777" w:rsidTr="00E44E48">
        <w:trPr>
          <w:cantSplit/>
          <w:jc w:val="center"/>
        </w:trPr>
        <w:tc>
          <w:tcPr>
            <w:tcW w:w="911" w:type="dxa"/>
            <w:vMerge/>
            <w:tcBorders>
              <w:bottom w:val="single" w:sz="12" w:space="0" w:color="auto"/>
            </w:tcBorders>
            <w:shd w:val="clear" w:color="auto" w:fill="auto"/>
          </w:tcPr>
          <w:p w14:paraId="354C982E" w14:textId="77777777" w:rsidR="00F0236A" w:rsidRPr="00073574" w:rsidRDefault="00F0236A" w:rsidP="00DF36E1">
            <w:pPr>
              <w:pStyle w:val="Tabletext"/>
              <w:rPr>
                <w:sz w:val="24"/>
                <w:szCs w:val="24"/>
              </w:rPr>
            </w:pPr>
          </w:p>
        </w:tc>
        <w:tc>
          <w:tcPr>
            <w:tcW w:w="8921" w:type="dxa"/>
            <w:gridSpan w:val="4"/>
            <w:tcBorders>
              <w:bottom w:val="single" w:sz="12" w:space="0" w:color="auto"/>
            </w:tcBorders>
            <w:shd w:val="clear" w:color="auto" w:fill="auto"/>
          </w:tcPr>
          <w:p w14:paraId="345711D8" w14:textId="77777777" w:rsidR="00F0236A" w:rsidRPr="00073574" w:rsidRDefault="00F0236A" w:rsidP="00DF36E1">
            <w:pPr>
              <w:pStyle w:val="Tabletext"/>
              <w:rPr>
                <w:szCs w:val="22"/>
              </w:rPr>
            </w:pPr>
            <w:r w:rsidRPr="00073574">
              <w:rPr>
                <w:szCs w:val="22"/>
              </w:rPr>
              <w:t>Actions by ITU-T SG2 depend on Contributions.</w:t>
            </w:r>
          </w:p>
          <w:p w14:paraId="5676F726" w14:textId="30FFB639" w:rsidR="0021589C" w:rsidRPr="00073574" w:rsidRDefault="0021589C" w:rsidP="00DF36E1">
            <w:pPr>
              <w:pStyle w:val="Tabletext"/>
              <w:rPr>
                <w:szCs w:val="22"/>
              </w:rPr>
            </w:pPr>
            <w:r w:rsidRPr="00073574">
              <w:rPr>
                <w:szCs w:val="22"/>
              </w:rPr>
              <w:t>ITU-T Study Group 2 agreed the updated ENUM interim procedure for geographic country codes at its meeting of 20 to 28 February 2019 following the discussion on a contribution from RIPE NCC.</w:t>
            </w:r>
          </w:p>
        </w:tc>
      </w:tr>
      <w:tr w:rsidR="00F0236A" w:rsidRPr="00073574" w14:paraId="5BC5515B" w14:textId="77777777" w:rsidTr="00E44E48">
        <w:trPr>
          <w:cantSplit/>
          <w:jc w:val="center"/>
        </w:trPr>
        <w:tc>
          <w:tcPr>
            <w:tcW w:w="911" w:type="dxa"/>
            <w:vMerge w:val="restart"/>
            <w:tcBorders>
              <w:top w:val="single" w:sz="12" w:space="0" w:color="auto"/>
            </w:tcBorders>
            <w:shd w:val="clear" w:color="auto" w:fill="auto"/>
          </w:tcPr>
          <w:p w14:paraId="33A889B5" w14:textId="77777777" w:rsidR="00F0236A" w:rsidRPr="00073574" w:rsidRDefault="00F0236A" w:rsidP="00DF36E1">
            <w:pPr>
              <w:pStyle w:val="Tabletext"/>
              <w:keepNext/>
              <w:keepLines/>
              <w:rPr>
                <w:b/>
                <w:bCs/>
                <w:sz w:val="24"/>
                <w:szCs w:val="24"/>
              </w:rPr>
            </w:pPr>
            <w:r w:rsidRPr="00073574">
              <w:rPr>
                <w:b/>
                <w:bCs/>
                <w:sz w:val="24"/>
                <w:szCs w:val="24"/>
              </w:rPr>
              <w:t>49-03</w:t>
            </w:r>
          </w:p>
        </w:tc>
        <w:tc>
          <w:tcPr>
            <w:tcW w:w="4839" w:type="dxa"/>
            <w:tcBorders>
              <w:top w:val="single" w:sz="12" w:space="0" w:color="auto"/>
            </w:tcBorders>
            <w:shd w:val="clear" w:color="auto" w:fill="auto"/>
            <w:hideMark/>
          </w:tcPr>
          <w:p w14:paraId="63B7B5F9" w14:textId="77777777" w:rsidR="00F0236A" w:rsidRPr="00073574" w:rsidRDefault="00F0236A" w:rsidP="00DF36E1">
            <w:pPr>
              <w:pStyle w:val="Tabletext"/>
              <w:keepNext/>
              <w:keepLines/>
              <w:rPr>
                <w:b/>
                <w:bCs/>
                <w:sz w:val="24"/>
                <w:szCs w:val="24"/>
              </w:rPr>
            </w:pPr>
            <w:r w:rsidRPr="00073574">
              <w:rPr>
                <w:b/>
                <w:bCs/>
                <w:sz w:val="24"/>
                <w:szCs w:val="24"/>
              </w:rPr>
              <w:t>TSB Director to report to Council annually regarding progress achieved in ENUM (i. TSBDir)</w:t>
            </w:r>
          </w:p>
        </w:tc>
        <w:tc>
          <w:tcPr>
            <w:tcW w:w="1601" w:type="dxa"/>
            <w:tcBorders>
              <w:top w:val="single" w:sz="12" w:space="0" w:color="auto"/>
            </w:tcBorders>
            <w:shd w:val="clear" w:color="auto" w:fill="auto"/>
            <w:vAlign w:val="center"/>
            <w:hideMark/>
          </w:tcPr>
          <w:p w14:paraId="19CD0DC4" w14:textId="77777777" w:rsidR="00F0236A" w:rsidRPr="00073574" w:rsidRDefault="00F0236A" w:rsidP="00DF36E1">
            <w:pPr>
              <w:pStyle w:val="Tabletext"/>
              <w:jc w:val="center"/>
              <w:rPr>
                <w:b/>
                <w:bCs/>
                <w:sz w:val="24"/>
                <w:szCs w:val="24"/>
              </w:rPr>
            </w:pPr>
            <w:r w:rsidRPr="00073574">
              <w:rPr>
                <w:b/>
                <w:bCs/>
                <w:sz w:val="24"/>
                <w:szCs w:val="24"/>
              </w:rPr>
              <w:t>Ongoing, 3 months before Council</w:t>
            </w:r>
          </w:p>
        </w:tc>
        <w:tc>
          <w:tcPr>
            <w:tcW w:w="1145" w:type="dxa"/>
            <w:tcBorders>
              <w:top w:val="single" w:sz="12" w:space="0" w:color="auto"/>
            </w:tcBorders>
            <w:shd w:val="clear" w:color="auto" w:fill="auto"/>
            <w:vAlign w:val="center"/>
          </w:tcPr>
          <w:p w14:paraId="6A95D8CA"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11AAAD41" w14:textId="77777777" w:rsidR="00F0236A" w:rsidRPr="00073574" w:rsidRDefault="00F0236A" w:rsidP="00DF36E1">
            <w:pPr>
              <w:pStyle w:val="Tabletext"/>
              <w:jc w:val="center"/>
              <w:rPr>
                <w:b/>
                <w:bCs/>
                <w:sz w:val="24"/>
                <w:szCs w:val="24"/>
              </w:rPr>
            </w:pPr>
          </w:p>
        </w:tc>
      </w:tr>
      <w:tr w:rsidR="00F0236A" w:rsidRPr="00073574" w14:paraId="27C909B8" w14:textId="77777777" w:rsidTr="00DF36E1">
        <w:trPr>
          <w:cantSplit/>
          <w:jc w:val="center"/>
        </w:trPr>
        <w:tc>
          <w:tcPr>
            <w:tcW w:w="911" w:type="dxa"/>
            <w:vMerge/>
            <w:shd w:val="clear" w:color="auto" w:fill="auto"/>
            <w:vAlign w:val="center"/>
          </w:tcPr>
          <w:p w14:paraId="3BCEF97C" w14:textId="77777777" w:rsidR="00F0236A" w:rsidRPr="00073574" w:rsidRDefault="00F0236A" w:rsidP="00DF36E1">
            <w:pPr>
              <w:pStyle w:val="Tabletext"/>
              <w:rPr>
                <w:sz w:val="24"/>
                <w:szCs w:val="24"/>
              </w:rPr>
            </w:pPr>
          </w:p>
        </w:tc>
        <w:tc>
          <w:tcPr>
            <w:tcW w:w="8921" w:type="dxa"/>
            <w:gridSpan w:val="4"/>
            <w:shd w:val="clear" w:color="auto" w:fill="auto"/>
          </w:tcPr>
          <w:p w14:paraId="0E45D355" w14:textId="61FB6348" w:rsidR="00F0236A" w:rsidRPr="00073574" w:rsidRDefault="00F0236A" w:rsidP="00DF36E1">
            <w:pPr>
              <w:pStyle w:val="Tabletext"/>
              <w:rPr>
                <w:szCs w:val="22"/>
              </w:rPr>
            </w:pPr>
            <w:r w:rsidRPr="00073574">
              <w:rPr>
                <w:szCs w:val="22"/>
              </w:rPr>
              <w:t xml:space="preserve">The TSB Director reports annually in the Council document on </w:t>
            </w:r>
            <w:r w:rsidR="003C7E25" w:rsidRPr="00073574">
              <w:rPr>
                <w:szCs w:val="22"/>
              </w:rPr>
              <w:t>"</w:t>
            </w:r>
            <w:r w:rsidRPr="00073574">
              <w:rPr>
                <w:szCs w:val="22"/>
              </w:rPr>
              <w:t>ITU Internet activities: Resolutions 101, 102 and 133</w:t>
            </w:r>
            <w:r w:rsidR="003C7E25" w:rsidRPr="00073574">
              <w:rPr>
                <w:szCs w:val="22"/>
              </w:rPr>
              <w:t>"</w:t>
            </w:r>
            <w:r w:rsidRPr="00073574">
              <w:rPr>
                <w:szCs w:val="22"/>
              </w:rPr>
              <w:t>, which includes updated Information on ENUM including information</w:t>
            </w:r>
            <w:r w:rsidRPr="00073574">
              <w:rPr>
                <w:rStyle w:val="FootnoteReference"/>
                <w:szCs w:val="22"/>
              </w:rPr>
              <w:footnoteReference w:id="4"/>
            </w:r>
            <w:r w:rsidRPr="00073574">
              <w:rPr>
                <w:szCs w:val="22"/>
              </w:rPr>
              <w:t xml:space="preserve"> on approved ENUM delegations and ENUM trials, if any.</w:t>
            </w:r>
          </w:p>
        </w:tc>
      </w:tr>
    </w:tbl>
    <w:bookmarkStart w:id="191" w:name="Item49_01"/>
    <w:bookmarkStart w:id="192" w:name="Item49_03"/>
    <w:bookmarkEnd w:id="191"/>
    <w:bookmarkEnd w:id="192"/>
    <w:p w14:paraId="6686A744" w14:textId="77777777" w:rsidR="00F0236A" w:rsidRPr="00073574" w:rsidRDefault="00F0236A" w:rsidP="00F0236A">
      <w:pPr>
        <w:rPr>
          <w:rStyle w:val="Hyperlink"/>
          <w:sz w:val="24"/>
        </w:rPr>
      </w:pPr>
      <w:r w:rsidRPr="00073574">
        <w:rPr>
          <w:color w:val="2B579A"/>
          <w:shd w:val="clear" w:color="auto" w:fill="E6E6E6"/>
        </w:rPr>
        <w:fldChar w:fldCharType="begin"/>
      </w:r>
      <w:r w:rsidRPr="00073574">
        <w:rPr>
          <w:sz w:val="24"/>
        </w:rPr>
        <w:instrText xml:space="preserve"> HYPERLINK \l "Top" </w:instrText>
      </w:r>
      <w:r w:rsidRPr="00073574">
        <w:rPr>
          <w:color w:val="2B579A"/>
          <w:shd w:val="clear" w:color="auto" w:fill="E6E6E6"/>
        </w:rPr>
        <w:fldChar w:fldCharType="separate"/>
      </w:r>
      <w:r w:rsidRPr="00073574">
        <w:rPr>
          <w:rStyle w:val="Hyperlink"/>
          <w:sz w:val="24"/>
        </w:rPr>
        <w:t>» Top</w:t>
      </w:r>
      <w:r w:rsidRPr="00073574">
        <w:rPr>
          <w:rStyle w:val="Hyperlink"/>
          <w:sz w:val="24"/>
        </w:rPr>
        <w:fldChar w:fldCharType="end"/>
      </w:r>
    </w:p>
    <w:p w14:paraId="56CBCA39" w14:textId="77777777" w:rsidR="00F0236A" w:rsidRPr="00073574" w:rsidRDefault="00F0236A" w:rsidP="00F0236A">
      <w:pPr>
        <w:rPr>
          <w:sz w:val="24"/>
        </w:rPr>
      </w:pPr>
    </w:p>
    <w:p w14:paraId="6319C379" w14:textId="77777777" w:rsidR="00F0236A" w:rsidRPr="00073574" w:rsidRDefault="00F0236A" w:rsidP="00601595">
      <w:pPr>
        <w:pStyle w:val="Heading1"/>
        <w:keepNext/>
        <w:keepLines/>
        <w:rPr>
          <w:sz w:val="24"/>
          <w:szCs w:val="24"/>
          <w:lang w:val="en-GB"/>
        </w:rPr>
      </w:pPr>
      <w:bookmarkStart w:id="193" w:name="Resolution_50"/>
      <w:bookmarkStart w:id="194" w:name="_Toc304236435"/>
      <w:bookmarkStart w:id="195" w:name="_Toc471715372"/>
      <w:bookmarkStart w:id="196" w:name="_Toc93425258"/>
      <w:bookmarkEnd w:id="193"/>
      <w:r w:rsidRPr="00073574">
        <w:rPr>
          <w:sz w:val="24"/>
          <w:szCs w:val="24"/>
          <w:lang w:val="en-GB"/>
        </w:rPr>
        <w:t>Resolution 50 - Cybersecurity</w:t>
      </w:r>
      <w:bookmarkEnd w:id="194"/>
      <w:bookmarkEnd w:id="195"/>
      <w:bookmarkEnd w:id="196"/>
    </w:p>
    <w:p w14:paraId="6E6CDFD5" w14:textId="77777777" w:rsidR="00F0236A" w:rsidRPr="00073574" w:rsidRDefault="00F0236A" w:rsidP="00601595">
      <w:pPr>
        <w:keepNext/>
        <w:keepLines/>
        <w:rPr>
          <w:b/>
          <w:bCs/>
          <w:sz w:val="24"/>
        </w:rPr>
      </w:pPr>
      <w:r w:rsidRPr="00073574">
        <w:rPr>
          <w:b/>
          <w:bCs/>
          <w:sz w:val="24"/>
        </w:rPr>
        <w:t>Resolution 50</w:t>
      </w:r>
    </w:p>
    <w:p w14:paraId="61D3D747" w14:textId="77777777" w:rsidR="00F0236A" w:rsidRPr="00073574" w:rsidRDefault="00F0236A" w:rsidP="00601595">
      <w:pPr>
        <w:pStyle w:val="Call"/>
        <w:rPr>
          <w:sz w:val="24"/>
          <w:szCs w:val="24"/>
          <w:lang w:val="en-GB"/>
        </w:rPr>
      </w:pPr>
      <w:r w:rsidRPr="00073574">
        <w:rPr>
          <w:sz w:val="24"/>
          <w:szCs w:val="24"/>
          <w:lang w:val="en-GB"/>
        </w:rPr>
        <w:t>resolves</w:t>
      </w:r>
    </w:p>
    <w:p w14:paraId="16F6A406" w14:textId="77777777" w:rsidR="00F0236A" w:rsidRPr="00073574" w:rsidRDefault="00F0236A" w:rsidP="00601595">
      <w:pPr>
        <w:keepNext/>
        <w:keepLines/>
        <w:rPr>
          <w:sz w:val="24"/>
        </w:rPr>
      </w:pPr>
      <w:r w:rsidRPr="00073574">
        <w:rPr>
          <w:sz w:val="24"/>
          <w:lang w:eastAsia="ko-KR"/>
        </w:rPr>
        <w:t>1</w:t>
      </w:r>
      <w:r w:rsidRPr="00073574">
        <w:rPr>
          <w:sz w:val="24"/>
          <w:lang w:eastAsia="ko-KR"/>
        </w:rPr>
        <w:tab/>
        <w:t>to continue to give this work high priority within ITU</w:t>
      </w:r>
      <w:r w:rsidRPr="00073574">
        <w:rPr>
          <w:sz w:val="24"/>
          <w:lang w:eastAsia="ko-KR"/>
        </w:rPr>
        <w:noBreakHyphen/>
        <w:t>T, in accordance with its competencies and expertise, including promoting common understanding among governments and other stakeholders of building confidence and security in the use of ICTs at the national regional and international level;</w:t>
      </w:r>
    </w:p>
    <w:p w14:paraId="0EFF3CDF" w14:textId="77777777" w:rsidR="00F0236A" w:rsidRPr="00073574" w:rsidRDefault="00F0236A" w:rsidP="00F0236A">
      <w:pPr>
        <w:rPr>
          <w:sz w:val="24"/>
        </w:rPr>
      </w:pPr>
      <w:r w:rsidRPr="00073574">
        <w:rPr>
          <w:sz w:val="24"/>
        </w:rPr>
        <w:t>2</w:t>
      </w:r>
      <w:r w:rsidRPr="00073574">
        <w:rPr>
          <w:sz w:val="24"/>
        </w:rPr>
        <w:tab/>
        <w:t>that all ITU</w:t>
      </w:r>
      <w:r w:rsidRPr="00073574">
        <w:rPr>
          <w:sz w:val="24"/>
        </w:rPr>
        <w:noBreakHyphen/>
        <w:t>T study groups continue to evaluate existing and evolving Recommendations, with respect to their robustness of design and potential for exploitation by malicious parties, and take into account emerging new services and applications to be supported by the global telecommunication/ICT infrastructure (e.g. including but not limited to cloud computing and IoT, which are based on telecommunication/ICT networks), according to their mandates in Resolution 2 (Rev. Hammamet, 2016) of this assembly;</w:t>
      </w:r>
    </w:p>
    <w:p w14:paraId="70CEDD73" w14:textId="77777777" w:rsidR="00F0236A" w:rsidRPr="00073574" w:rsidRDefault="00F0236A" w:rsidP="00F0236A">
      <w:pPr>
        <w:rPr>
          <w:sz w:val="24"/>
        </w:rPr>
      </w:pPr>
      <w:r w:rsidRPr="00073574">
        <w:rPr>
          <w:sz w:val="24"/>
        </w:rPr>
        <w:t>3</w:t>
      </w:r>
      <w:r w:rsidRPr="00073574">
        <w:rPr>
          <w:sz w:val="24"/>
        </w:rPr>
        <w:tab/>
        <w:t>that ITU</w:t>
      </w:r>
      <w:r w:rsidRPr="00073574">
        <w:rPr>
          <w:sz w:val="24"/>
        </w:rPr>
        <w:noBreakHyphen/>
        <w:t>T continue to raise awareness, within its mandate and competencies, of the need to harden and defend information and telecommunication systems from cyberthreats and cyberattacks, and continue to promote cooperation among appropriate international and regional organizations in order to enhance exchange of technical information in the field of information and telecommunication network security;</w:t>
      </w:r>
    </w:p>
    <w:p w14:paraId="4B126596" w14:textId="77777777" w:rsidR="00F0236A" w:rsidRPr="00073574" w:rsidRDefault="00F0236A" w:rsidP="00F0236A">
      <w:pPr>
        <w:rPr>
          <w:sz w:val="24"/>
        </w:rPr>
      </w:pPr>
      <w:r w:rsidRPr="00073574">
        <w:rPr>
          <w:sz w:val="24"/>
        </w:rPr>
        <w:t>4</w:t>
      </w:r>
      <w:r w:rsidRPr="00073574">
        <w:rPr>
          <w:sz w:val="24"/>
        </w:rPr>
        <w:tab/>
        <w:t>that ITU</w:t>
      </w:r>
      <w:r w:rsidRPr="00073574">
        <w:rPr>
          <w:sz w:val="24"/>
        </w:rPr>
        <w:noBreakHyphen/>
        <w:t>T should work closely with ITU</w:t>
      </w:r>
      <w:r w:rsidRPr="00073574">
        <w:rPr>
          <w:sz w:val="24"/>
        </w:rPr>
        <w:noBreakHyphen/>
        <w:t>D, particularly in the context of ITU-D Question 3/2</w:t>
      </w:r>
      <w:r w:rsidRPr="00073574">
        <w:rPr>
          <w:sz w:val="24"/>
          <w:lang w:eastAsia="ko-KR"/>
        </w:rPr>
        <w:t xml:space="preserve"> (Securing information and communication: Best practices</w:t>
      </w:r>
      <w:r w:rsidRPr="00073574">
        <w:rPr>
          <w:sz w:val="24"/>
        </w:rPr>
        <w:t xml:space="preserve"> for </w:t>
      </w:r>
      <w:r w:rsidRPr="00073574">
        <w:rPr>
          <w:sz w:val="24"/>
          <w:lang w:eastAsia="ko-KR"/>
        </w:rPr>
        <w:t>developing a culture of cybersecurity</w:t>
      </w:r>
      <w:r w:rsidRPr="00073574">
        <w:rPr>
          <w:sz w:val="24"/>
        </w:rPr>
        <w:t>);</w:t>
      </w:r>
    </w:p>
    <w:p w14:paraId="1BCFF90C" w14:textId="77777777" w:rsidR="00F0236A" w:rsidRPr="00073574" w:rsidRDefault="00F0236A" w:rsidP="00F0236A">
      <w:pPr>
        <w:rPr>
          <w:sz w:val="24"/>
        </w:rPr>
      </w:pPr>
      <w:r w:rsidRPr="00073574">
        <w:rPr>
          <w:sz w:val="24"/>
        </w:rPr>
        <w:lastRenderedPageBreak/>
        <w:t>5</w:t>
      </w:r>
      <w:r w:rsidRPr="00073574">
        <w:rPr>
          <w:sz w:val="24"/>
        </w:rPr>
        <w:tab/>
        <w:t>that ITU</w:t>
      </w:r>
      <w:r w:rsidRPr="00073574">
        <w:rPr>
          <w:sz w:val="24"/>
        </w:rPr>
        <w:noBreakHyphen/>
        <w:t>T continue work on the development and improvement of terms and definitions related to building confidence and security in the use of telecommunications/ICTs, including the term cybersecurity;</w:t>
      </w:r>
    </w:p>
    <w:p w14:paraId="1491F4C3" w14:textId="77777777" w:rsidR="00F0236A" w:rsidRPr="00073574" w:rsidRDefault="00F0236A" w:rsidP="00F0236A">
      <w:pPr>
        <w:rPr>
          <w:sz w:val="24"/>
        </w:rPr>
      </w:pPr>
      <w:r w:rsidRPr="00073574">
        <w:rPr>
          <w:sz w:val="24"/>
        </w:rPr>
        <w:t>6</w:t>
      </w:r>
      <w:r w:rsidRPr="00073574">
        <w:rPr>
          <w:sz w:val="24"/>
        </w:rPr>
        <w:tab/>
        <w:t>that global, consistent and interoperable processes for sharing incident-response related information should be promoted;</w:t>
      </w:r>
    </w:p>
    <w:p w14:paraId="3E67A78B" w14:textId="77777777" w:rsidR="00F0236A" w:rsidRPr="00073574" w:rsidRDefault="00F0236A" w:rsidP="00F0236A">
      <w:pPr>
        <w:rPr>
          <w:sz w:val="24"/>
        </w:rPr>
      </w:pPr>
      <w:r w:rsidRPr="00073574">
        <w:rPr>
          <w:sz w:val="24"/>
        </w:rPr>
        <w:t>7</w:t>
      </w:r>
      <w:r w:rsidRPr="00073574">
        <w:rPr>
          <w:sz w:val="24"/>
        </w:rPr>
        <w:tab/>
        <w:t>that Study Group 17, in close collaboration with all other ITU</w:t>
      </w:r>
      <w:r w:rsidRPr="00073574">
        <w:rPr>
          <w:sz w:val="24"/>
        </w:rPr>
        <w:noBreakHyphen/>
        <w:t>T study groups, establish an action plan to assess existing</w:t>
      </w:r>
      <w:r w:rsidRPr="00073574">
        <w:rPr>
          <w:sz w:val="24"/>
          <w:lang w:eastAsia="ko-KR"/>
        </w:rPr>
        <w:t>,</w:t>
      </w:r>
      <w:r w:rsidRPr="00073574">
        <w:rPr>
          <w:sz w:val="24"/>
        </w:rPr>
        <w:t xml:space="preserve"> evolving </w:t>
      </w:r>
      <w:r w:rsidRPr="00073574">
        <w:rPr>
          <w:sz w:val="24"/>
          <w:lang w:eastAsia="ko-KR"/>
        </w:rPr>
        <w:t xml:space="preserve">and </w:t>
      </w:r>
      <w:r w:rsidRPr="00073574">
        <w:rPr>
          <w:sz w:val="24"/>
        </w:rPr>
        <w:t>new ITU</w:t>
      </w:r>
      <w:r w:rsidRPr="00073574">
        <w:rPr>
          <w:sz w:val="24"/>
        </w:rPr>
        <w:noBreakHyphen/>
        <w:t>T Recommendations to counter security vulnerabilities and continue to provide regular reports on security of telecommunications/ICT to the Telecommunication Standardization Advisory Group (TSAG);</w:t>
      </w:r>
    </w:p>
    <w:p w14:paraId="29935D02" w14:textId="77777777" w:rsidR="00F0236A" w:rsidRPr="00073574" w:rsidRDefault="00F0236A" w:rsidP="00F0236A">
      <w:pPr>
        <w:rPr>
          <w:sz w:val="24"/>
        </w:rPr>
      </w:pPr>
      <w:r w:rsidRPr="00073574">
        <w:rPr>
          <w:sz w:val="24"/>
        </w:rPr>
        <w:t>8</w:t>
      </w:r>
      <w:r w:rsidRPr="00073574">
        <w:rPr>
          <w:sz w:val="24"/>
        </w:rPr>
        <w:tab/>
        <w:t>that ITU</w:t>
      </w:r>
      <w:r w:rsidRPr="00073574">
        <w:rPr>
          <w:sz w:val="24"/>
        </w:rPr>
        <w:noBreakHyphen/>
        <w:t>T study groups continue to liaise with standards organizations and other bodies active in this field;</w:t>
      </w:r>
    </w:p>
    <w:p w14:paraId="1563E394" w14:textId="77777777" w:rsidR="00F0236A" w:rsidRPr="00073574" w:rsidRDefault="00F0236A" w:rsidP="00F0236A">
      <w:pPr>
        <w:rPr>
          <w:sz w:val="24"/>
        </w:rPr>
      </w:pPr>
      <w:r w:rsidRPr="00073574">
        <w:rPr>
          <w:sz w:val="24"/>
        </w:rPr>
        <w:t>9</w:t>
      </w:r>
      <w:r w:rsidRPr="00073574">
        <w:rPr>
          <w:sz w:val="24"/>
        </w:rPr>
        <w:tab/>
        <w:t>that security aspects are considered throughout the ITU</w:t>
      </w:r>
      <w:r w:rsidRPr="00073574">
        <w:rPr>
          <w:sz w:val="24"/>
        </w:rPr>
        <w:noBreakHyphen/>
        <w:t>T standards development process,</w:t>
      </w:r>
    </w:p>
    <w:p w14:paraId="341E740A" w14:textId="77777777" w:rsidR="00F0236A" w:rsidRPr="00073574" w:rsidRDefault="00F0236A" w:rsidP="00F0236A">
      <w:pPr>
        <w:pStyle w:val="Call"/>
        <w:rPr>
          <w:sz w:val="24"/>
          <w:szCs w:val="24"/>
          <w:lang w:val="en-GB"/>
        </w:rPr>
      </w:pPr>
      <w:r w:rsidRPr="00073574">
        <w:rPr>
          <w:sz w:val="24"/>
          <w:szCs w:val="24"/>
          <w:lang w:val="en-GB"/>
        </w:rPr>
        <w:t>instructs the Director of the Telecommunication Standardization Bureau</w:t>
      </w:r>
    </w:p>
    <w:p w14:paraId="0F568438" w14:textId="4E60D7C3" w:rsidR="00F0236A" w:rsidRPr="00073574" w:rsidRDefault="00F0236A" w:rsidP="00F0236A">
      <w:pPr>
        <w:rPr>
          <w:sz w:val="24"/>
        </w:rPr>
      </w:pPr>
      <w:r w:rsidRPr="00073574">
        <w:rPr>
          <w:sz w:val="24"/>
        </w:rPr>
        <w:t>1</w:t>
      </w:r>
      <w:r w:rsidRPr="00073574">
        <w:rPr>
          <w:sz w:val="24"/>
        </w:rPr>
        <w:tab/>
        <w:t xml:space="preserve">to continue to maintain, in building upon the information base associated with the </w:t>
      </w:r>
      <w:r w:rsidR="003C7E25" w:rsidRPr="00073574">
        <w:rPr>
          <w:sz w:val="24"/>
        </w:rPr>
        <w:t>"</w:t>
      </w:r>
      <w:r w:rsidRPr="00073574">
        <w:rPr>
          <w:iCs/>
          <w:sz w:val="24"/>
        </w:rPr>
        <w:t>ICT Security Standards Roadmap</w:t>
      </w:r>
      <w:r w:rsidR="003C7E25" w:rsidRPr="00073574">
        <w:rPr>
          <w:sz w:val="24"/>
        </w:rPr>
        <w:t>"</w:t>
      </w:r>
      <w:r w:rsidRPr="00073574">
        <w:rPr>
          <w:sz w:val="24"/>
        </w:rPr>
        <w:t xml:space="preserve"> and the ITU</w:t>
      </w:r>
      <w:r w:rsidRPr="00073574">
        <w:rPr>
          <w:sz w:val="24"/>
        </w:rPr>
        <w:noBreakHyphen/>
        <w:t>D efforts on cybersecurity, and with the assistance of other relevant organizations, an inventory of national, regional and international initiatives and activities to promote, to the maximum extent possible, the worldwide harmonization of strategies and approaches in this critically important area;</w:t>
      </w:r>
    </w:p>
    <w:p w14:paraId="051B10FE" w14:textId="77777777" w:rsidR="00F0236A" w:rsidRPr="00073574" w:rsidRDefault="00F0236A" w:rsidP="00F0236A">
      <w:pPr>
        <w:rPr>
          <w:sz w:val="24"/>
        </w:rPr>
      </w:pPr>
      <w:r w:rsidRPr="00073574">
        <w:rPr>
          <w:sz w:val="24"/>
        </w:rPr>
        <w:t>2</w:t>
      </w:r>
      <w:r w:rsidRPr="00073574">
        <w:rPr>
          <w:sz w:val="24"/>
        </w:rPr>
        <w:tab/>
        <w:t>to contribute to annual reports to the ITU Council on building confidence and security in the use of ICTs, as specified in Resolution 130 (Rev. Busan, 2014);</w:t>
      </w:r>
    </w:p>
    <w:p w14:paraId="7A67A009" w14:textId="699B5D32" w:rsidR="00F0236A" w:rsidRPr="00073574" w:rsidRDefault="00F0236A" w:rsidP="00F0236A">
      <w:pPr>
        <w:rPr>
          <w:sz w:val="24"/>
        </w:rPr>
      </w:pPr>
      <w:r w:rsidRPr="00073574">
        <w:rPr>
          <w:sz w:val="24"/>
        </w:rPr>
        <w:t>3</w:t>
      </w:r>
      <w:r w:rsidRPr="00073574">
        <w:rPr>
          <w:sz w:val="24"/>
        </w:rPr>
        <w:tab/>
        <w:t xml:space="preserve">to report to the Council on the progress of the activities on the </w:t>
      </w:r>
      <w:r w:rsidR="003C7E25" w:rsidRPr="00073574">
        <w:rPr>
          <w:sz w:val="24"/>
        </w:rPr>
        <w:t>"</w:t>
      </w:r>
      <w:r w:rsidRPr="00073574">
        <w:rPr>
          <w:sz w:val="24"/>
        </w:rPr>
        <w:t>ICT Security Standards Roadmap</w:t>
      </w:r>
      <w:r w:rsidR="003C7E25" w:rsidRPr="00073574">
        <w:rPr>
          <w:sz w:val="24"/>
        </w:rPr>
        <w:t>"</w:t>
      </w:r>
      <w:r w:rsidRPr="00073574">
        <w:rPr>
          <w:sz w:val="24"/>
        </w:rPr>
        <w:t>;</w:t>
      </w:r>
    </w:p>
    <w:p w14:paraId="74736936" w14:textId="77777777" w:rsidR="00F0236A" w:rsidRPr="00073574" w:rsidRDefault="00F0236A" w:rsidP="00F0236A">
      <w:pPr>
        <w:rPr>
          <w:sz w:val="24"/>
        </w:rPr>
      </w:pPr>
      <w:r w:rsidRPr="00073574">
        <w:rPr>
          <w:sz w:val="24"/>
        </w:rPr>
        <w:t>4</w:t>
      </w:r>
      <w:r w:rsidRPr="00073574">
        <w:rPr>
          <w:sz w:val="24"/>
        </w:rPr>
        <w:tab/>
        <w:t>to continue to recognize the role played by other organizations with experience and expertise in the area of security standards, and coordinate with those organizations as appropriate;</w:t>
      </w:r>
    </w:p>
    <w:p w14:paraId="0A9824D9" w14:textId="77777777" w:rsidR="00F0236A" w:rsidRPr="00073574" w:rsidRDefault="00F0236A" w:rsidP="00F0236A">
      <w:pPr>
        <w:rPr>
          <w:sz w:val="24"/>
        </w:rPr>
      </w:pPr>
      <w:r w:rsidRPr="00073574">
        <w:rPr>
          <w:sz w:val="24"/>
        </w:rPr>
        <w:t>5</w:t>
      </w:r>
      <w:r w:rsidRPr="00073574">
        <w:rPr>
          <w:sz w:val="24"/>
        </w:rPr>
        <w:tab/>
        <w:t>to continue the implementation and follow-up of relevant WSIS activities on building confidence and security in the use of ICTs, in collaboration with the other ITU Sectors and in cooperation with relevant stakeholders, as a way to share information on national, regional and international and non-discriminatory cybersecurity-related initiatives globally;</w:t>
      </w:r>
    </w:p>
    <w:p w14:paraId="09CA3F6C" w14:textId="6C08FFE9" w:rsidR="00F0236A" w:rsidRPr="00073574" w:rsidRDefault="00F0236A" w:rsidP="00F0236A">
      <w:pPr>
        <w:rPr>
          <w:sz w:val="24"/>
        </w:rPr>
      </w:pPr>
      <w:r w:rsidRPr="00073574">
        <w:rPr>
          <w:sz w:val="24"/>
        </w:rPr>
        <w:t>6</w:t>
      </w:r>
      <w:r w:rsidRPr="00073574">
        <w:rPr>
          <w:sz w:val="24"/>
        </w:rPr>
        <w:tab/>
        <w:t>to cooperate with the Secretary-General</w:t>
      </w:r>
      <w:r w:rsidR="003C7E25" w:rsidRPr="00073574">
        <w:rPr>
          <w:sz w:val="24"/>
        </w:rPr>
        <w:t>'</w:t>
      </w:r>
      <w:r w:rsidRPr="00073574">
        <w:rPr>
          <w:sz w:val="24"/>
        </w:rPr>
        <w:t>s GCA and other global or regional cybersecurity projects, as appropriate, to develop relationships and partnerships with various regional and international cybersecurity-related organizations and initiatives, as appropriate, and to invite all Member States, particularly developing countries, to take part in these activities and to coordinate and cooperate with these different activities;</w:t>
      </w:r>
    </w:p>
    <w:p w14:paraId="2EEFDA9E" w14:textId="77777777" w:rsidR="00F0236A" w:rsidRPr="00073574" w:rsidRDefault="00F0236A" w:rsidP="00F0236A">
      <w:pPr>
        <w:rPr>
          <w:sz w:val="24"/>
          <w:lang w:eastAsia="ko-KR"/>
        </w:rPr>
      </w:pPr>
      <w:r w:rsidRPr="00073574">
        <w:rPr>
          <w:sz w:val="24"/>
          <w:lang w:eastAsia="ko-KR"/>
        </w:rPr>
        <w:t>7</w:t>
      </w:r>
      <w:r w:rsidRPr="00073574">
        <w:rPr>
          <w:sz w:val="24"/>
        </w:rPr>
        <w:tab/>
      </w:r>
      <w:r w:rsidRPr="00073574">
        <w:rPr>
          <w:sz w:val="24"/>
          <w:lang w:eastAsia="ko-KR"/>
        </w:rPr>
        <w:t>to support the Director of the Telecommunication Development Bureau in assisting Member States in the establishment of an appropriate framework among developing countries allowing rapid response to major incidents, and to propose an action plan to increase their protection, taking into account mechanisms and partnerships, as appropriate;</w:t>
      </w:r>
    </w:p>
    <w:p w14:paraId="42A2A4B5" w14:textId="77777777" w:rsidR="00F0236A" w:rsidRPr="00073574" w:rsidRDefault="00F0236A" w:rsidP="00F0236A">
      <w:pPr>
        <w:rPr>
          <w:sz w:val="24"/>
          <w:lang w:eastAsia="ko-KR"/>
        </w:rPr>
      </w:pPr>
      <w:r w:rsidRPr="00073574">
        <w:rPr>
          <w:sz w:val="24"/>
          <w:lang w:eastAsia="ko-KR"/>
        </w:rPr>
        <w:t>8</w:t>
      </w:r>
      <w:r w:rsidRPr="00073574">
        <w:rPr>
          <w:sz w:val="24"/>
          <w:lang w:eastAsia="ko-KR"/>
        </w:rPr>
        <w:tab/>
        <w:t>to support relevant ITU</w:t>
      </w:r>
      <w:r w:rsidRPr="00073574">
        <w:rPr>
          <w:sz w:val="24"/>
          <w:lang w:eastAsia="ko-KR"/>
        </w:rPr>
        <w:noBreakHyphen/>
        <w:t>T study group activities related to strengthening and building confidence and security in the use of ICTs,</w:t>
      </w:r>
    </w:p>
    <w:p w14:paraId="74958E44" w14:textId="77777777" w:rsidR="00F0236A" w:rsidRPr="00073574" w:rsidRDefault="00F0236A" w:rsidP="00F0236A">
      <w:pPr>
        <w:pStyle w:val="Call"/>
        <w:rPr>
          <w:sz w:val="24"/>
          <w:szCs w:val="24"/>
          <w:lang w:val="en-GB"/>
        </w:rPr>
      </w:pPr>
      <w:r w:rsidRPr="00073574">
        <w:rPr>
          <w:sz w:val="24"/>
          <w:szCs w:val="24"/>
          <w:lang w:val="en-GB"/>
        </w:rPr>
        <w:lastRenderedPageBreak/>
        <w:t>invites Member States, Sector Members, Associates and academia, as appropriate</w:t>
      </w:r>
    </w:p>
    <w:p w14:paraId="287FB0BA" w14:textId="77777777" w:rsidR="00F0236A" w:rsidRPr="00073574" w:rsidRDefault="00F0236A" w:rsidP="00F0236A">
      <w:pPr>
        <w:rPr>
          <w:sz w:val="24"/>
          <w:lang w:eastAsia="ko-KR"/>
        </w:rPr>
      </w:pPr>
      <w:r w:rsidRPr="00073574">
        <w:rPr>
          <w:sz w:val="24"/>
          <w:lang w:eastAsia="ko-KR"/>
        </w:rPr>
        <w:t>1</w:t>
      </w:r>
      <w:r w:rsidRPr="00073574">
        <w:rPr>
          <w:sz w:val="24"/>
          <w:lang w:eastAsia="ko-KR"/>
        </w:rPr>
        <w:tab/>
        <w:t>to closely collaborate in strengthening regional and international cooperation, taking into account Resolution 130 (Rev. Busan, 2014), with a view to enhancing confidence and security in the use of ICTs, in order to mitigate risks and threats;</w:t>
      </w:r>
    </w:p>
    <w:p w14:paraId="45ABAA4F" w14:textId="77777777" w:rsidR="00F0236A" w:rsidRPr="00073574" w:rsidRDefault="00F0236A" w:rsidP="00F0236A">
      <w:pPr>
        <w:rPr>
          <w:sz w:val="24"/>
          <w:lang w:eastAsia="ko-KR"/>
        </w:rPr>
      </w:pPr>
      <w:r w:rsidRPr="00073574">
        <w:rPr>
          <w:sz w:val="24"/>
          <w:lang w:eastAsia="ko-KR"/>
        </w:rPr>
        <w:t>2</w:t>
      </w:r>
      <w:r w:rsidRPr="00073574">
        <w:rPr>
          <w:sz w:val="24"/>
          <w:lang w:eastAsia="ko-KR"/>
        </w:rPr>
        <w:tab/>
        <w:t>to cooperate and participate actively in the implementation of this resolution and the associated actions;</w:t>
      </w:r>
    </w:p>
    <w:p w14:paraId="65B17143" w14:textId="77777777" w:rsidR="00F0236A" w:rsidRPr="00073574" w:rsidRDefault="00F0236A" w:rsidP="00F0236A">
      <w:pPr>
        <w:rPr>
          <w:sz w:val="24"/>
          <w:lang w:eastAsia="ko-KR"/>
        </w:rPr>
      </w:pPr>
      <w:r w:rsidRPr="00073574">
        <w:rPr>
          <w:sz w:val="24"/>
          <w:lang w:eastAsia="ko-KR"/>
        </w:rPr>
        <w:t>3</w:t>
      </w:r>
      <w:r w:rsidRPr="00073574">
        <w:rPr>
          <w:sz w:val="24"/>
          <w:lang w:eastAsia="ko-KR"/>
        </w:rPr>
        <w:tab/>
        <w:t>to participate in relevant ITU-T study group activities to develop cybersecurity standards and guidelines in order to build confidence and security in the use of ICTs;</w:t>
      </w:r>
    </w:p>
    <w:p w14:paraId="63530C00" w14:textId="77777777" w:rsidR="00F0236A" w:rsidRPr="00073574" w:rsidRDefault="00F0236A" w:rsidP="00F0236A">
      <w:pPr>
        <w:spacing w:after="240"/>
        <w:rPr>
          <w:sz w:val="24"/>
          <w:lang w:eastAsia="ko-KR"/>
        </w:rPr>
      </w:pPr>
      <w:r w:rsidRPr="00073574">
        <w:rPr>
          <w:sz w:val="24"/>
          <w:lang w:eastAsia="ko-KR"/>
        </w:rPr>
        <w:t>4</w:t>
      </w:r>
      <w:r w:rsidRPr="00073574">
        <w:rPr>
          <w:sz w:val="24"/>
          <w:lang w:eastAsia="ko-KR"/>
        </w:rPr>
        <w:tab/>
        <w:t>to utilize relevant ITU-T Recommendations and supplements.</w:t>
      </w:r>
    </w:p>
    <w:tbl>
      <w:tblPr>
        <w:tblW w:w="98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08"/>
        <w:gridCol w:w="4895"/>
        <w:gridCol w:w="1548"/>
        <w:gridCol w:w="1145"/>
        <w:gridCol w:w="1336"/>
      </w:tblGrid>
      <w:tr w:rsidR="00F0236A" w:rsidRPr="00073574" w14:paraId="56CCAD08" w14:textId="77777777" w:rsidTr="634A3A28">
        <w:trPr>
          <w:tblHeader/>
          <w:jc w:val="center"/>
        </w:trPr>
        <w:tc>
          <w:tcPr>
            <w:tcW w:w="908" w:type="dxa"/>
            <w:tcBorders>
              <w:top w:val="single" w:sz="12" w:space="0" w:color="auto"/>
              <w:bottom w:val="single" w:sz="12" w:space="0" w:color="auto"/>
            </w:tcBorders>
            <w:shd w:val="clear" w:color="auto" w:fill="auto"/>
            <w:vAlign w:val="center"/>
          </w:tcPr>
          <w:p w14:paraId="04005517" w14:textId="77777777" w:rsidR="00F0236A" w:rsidRPr="00073574" w:rsidRDefault="00F0236A" w:rsidP="00B46D89">
            <w:pPr>
              <w:pStyle w:val="Tablehead"/>
              <w:keepNext w:val="0"/>
              <w:rPr>
                <w:sz w:val="24"/>
                <w:szCs w:val="24"/>
              </w:rPr>
            </w:pPr>
            <w:r w:rsidRPr="00073574">
              <w:rPr>
                <w:sz w:val="24"/>
                <w:szCs w:val="24"/>
              </w:rPr>
              <w:t>Action Item</w:t>
            </w:r>
          </w:p>
        </w:tc>
        <w:tc>
          <w:tcPr>
            <w:tcW w:w="4895" w:type="dxa"/>
            <w:tcBorders>
              <w:top w:val="single" w:sz="12" w:space="0" w:color="auto"/>
              <w:bottom w:val="single" w:sz="12" w:space="0" w:color="auto"/>
            </w:tcBorders>
            <w:shd w:val="clear" w:color="auto" w:fill="auto"/>
            <w:vAlign w:val="center"/>
            <w:hideMark/>
          </w:tcPr>
          <w:p w14:paraId="1BCCF4DA" w14:textId="77777777" w:rsidR="00F0236A" w:rsidRPr="00073574" w:rsidRDefault="00F0236A" w:rsidP="00DF36E1">
            <w:pPr>
              <w:pStyle w:val="Tablehead"/>
              <w:rPr>
                <w:sz w:val="24"/>
                <w:szCs w:val="24"/>
              </w:rPr>
            </w:pPr>
            <w:r w:rsidRPr="00073574">
              <w:rPr>
                <w:sz w:val="24"/>
                <w:szCs w:val="24"/>
              </w:rPr>
              <w:t>Action</w:t>
            </w:r>
          </w:p>
        </w:tc>
        <w:tc>
          <w:tcPr>
            <w:tcW w:w="1548" w:type="dxa"/>
            <w:tcBorders>
              <w:top w:val="single" w:sz="12" w:space="0" w:color="auto"/>
              <w:bottom w:val="single" w:sz="12" w:space="0" w:color="auto"/>
            </w:tcBorders>
            <w:shd w:val="clear" w:color="auto" w:fill="auto"/>
            <w:vAlign w:val="center"/>
            <w:hideMark/>
          </w:tcPr>
          <w:p w14:paraId="20DA0A17" w14:textId="77777777" w:rsidR="00F0236A" w:rsidRPr="00073574" w:rsidRDefault="00F0236A" w:rsidP="00DF36E1">
            <w:pPr>
              <w:pStyle w:val="Tablehead"/>
              <w:rPr>
                <w:sz w:val="24"/>
                <w:szCs w:val="24"/>
              </w:rPr>
            </w:pPr>
            <w:r w:rsidRPr="00073574">
              <w:rPr>
                <w:sz w:val="24"/>
                <w:szCs w:val="24"/>
              </w:rPr>
              <w:t>Milestone</w:t>
            </w:r>
          </w:p>
        </w:tc>
        <w:tc>
          <w:tcPr>
            <w:tcW w:w="1145" w:type="dxa"/>
            <w:tcBorders>
              <w:top w:val="single" w:sz="12" w:space="0" w:color="auto"/>
              <w:bottom w:val="single" w:sz="12" w:space="0" w:color="auto"/>
            </w:tcBorders>
            <w:shd w:val="clear" w:color="auto" w:fill="auto"/>
            <w:vAlign w:val="center"/>
          </w:tcPr>
          <w:p w14:paraId="67C1E55A" w14:textId="77777777" w:rsidR="00F0236A" w:rsidRPr="00073574" w:rsidRDefault="00F0236A" w:rsidP="00DF36E1">
            <w:pPr>
              <w:pStyle w:val="Tablehead"/>
              <w:rPr>
                <w:sz w:val="24"/>
                <w:szCs w:val="24"/>
              </w:rPr>
            </w:pPr>
            <w:r w:rsidRPr="00073574">
              <w:rPr>
                <w:sz w:val="24"/>
                <w:szCs w:val="24"/>
              </w:rPr>
              <w:t>Periodic goals met</w:t>
            </w:r>
          </w:p>
        </w:tc>
        <w:tc>
          <w:tcPr>
            <w:tcW w:w="1336" w:type="dxa"/>
            <w:tcBorders>
              <w:top w:val="single" w:sz="12" w:space="0" w:color="auto"/>
              <w:bottom w:val="single" w:sz="12" w:space="0" w:color="auto"/>
            </w:tcBorders>
            <w:shd w:val="clear" w:color="auto" w:fill="auto"/>
            <w:vAlign w:val="center"/>
          </w:tcPr>
          <w:p w14:paraId="14889519" w14:textId="77777777" w:rsidR="00F0236A" w:rsidRPr="00073574" w:rsidRDefault="00F0236A" w:rsidP="00DF36E1">
            <w:pPr>
              <w:pStyle w:val="Tablehead"/>
              <w:rPr>
                <w:sz w:val="24"/>
                <w:szCs w:val="24"/>
              </w:rPr>
            </w:pPr>
            <w:r w:rsidRPr="00073574">
              <w:rPr>
                <w:sz w:val="24"/>
                <w:szCs w:val="24"/>
              </w:rPr>
              <w:t>Completed</w:t>
            </w:r>
          </w:p>
        </w:tc>
      </w:tr>
      <w:tr w:rsidR="00F0236A" w:rsidRPr="00073574" w14:paraId="728BD5B9" w14:textId="77777777" w:rsidTr="634A3A28">
        <w:trPr>
          <w:cantSplit/>
          <w:jc w:val="center"/>
        </w:trPr>
        <w:tc>
          <w:tcPr>
            <w:tcW w:w="908" w:type="dxa"/>
            <w:vMerge w:val="restart"/>
            <w:tcBorders>
              <w:top w:val="single" w:sz="12" w:space="0" w:color="auto"/>
            </w:tcBorders>
            <w:shd w:val="clear" w:color="auto" w:fill="auto"/>
          </w:tcPr>
          <w:p w14:paraId="0516FAA7" w14:textId="77777777" w:rsidR="00F0236A" w:rsidRPr="00073574" w:rsidRDefault="00F0236A" w:rsidP="00DF36E1">
            <w:pPr>
              <w:pStyle w:val="Tabletext"/>
              <w:rPr>
                <w:b/>
                <w:bCs/>
                <w:sz w:val="24"/>
                <w:szCs w:val="24"/>
              </w:rPr>
            </w:pPr>
            <w:r w:rsidRPr="00073574">
              <w:rPr>
                <w:b/>
                <w:bCs/>
                <w:sz w:val="24"/>
                <w:szCs w:val="24"/>
              </w:rPr>
              <w:t>50-01</w:t>
            </w:r>
          </w:p>
        </w:tc>
        <w:tc>
          <w:tcPr>
            <w:tcW w:w="4895" w:type="dxa"/>
            <w:tcBorders>
              <w:top w:val="single" w:sz="12" w:space="0" w:color="auto"/>
              <w:bottom w:val="single" w:sz="4" w:space="0" w:color="auto"/>
            </w:tcBorders>
            <w:shd w:val="clear" w:color="auto" w:fill="auto"/>
          </w:tcPr>
          <w:p w14:paraId="5D9A9DFA" w14:textId="77777777" w:rsidR="00F0236A" w:rsidRPr="00073574" w:rsidRDefault="00F0236A" w:rsidP="00DF36E1">
            <w:pPr>
              <w:pStyle w:val="Tabletext"/>
              <w:rPr>
                <w:b/>
                <w:bCs/>
                <w:sz w:val="24"/>
                <w:szCs w:val="24"/>
              </w:rPr>
            </w:pPr>
            <w:r w:rsidRPr="00073574">
              <w:rPr>
                <w:b/>
                <w:bCs/>
                <w:sz w:val="24"/>
                <w:szCs w:val="24"/>
                <w:lang w:eastAsia="ko-KR"/>
              </w:rPr>
              <w:t>TSB Director to continue to give this work high priority within ITU</w:t>
            </w:r>
            <w:r w:rsidRPr="00073574">
              <w:rPr>
                <w:b/>
                <w:bCs/>
                <w:sz w:val="24"/>
                <w:szCs w:val="24"/>
                <w:lang w:eastAsia="ko-KR"/>
              </w:rPr>
              <w:noBreakHyphen/>
              <w:t>T, in accordance with its competencies and expertise, including promoting common understanding among governments and other stakeholders of building confidence and security in the use of ICTs at the national regional and international level</w:t>
            </w:r>
            <w:r w:rsidRPr="00073574">
              <w:rPr>
                <w:b/>
                <w:bCs/>
                <w:sz w:val="24"/>
                <w:szCs w:val="24"/>
              </w:rPr>
              <w:t>. (resolves 1)</w:t>
            </w:r>
          </w:p>
        </w:tc>
        <w:tc>
          <w:tcPr>
            <w:tcW w:w="1548" w:type="dxa"/>
            <w:tcBorders>
              <w:top w:val="single" w:sz="12" w:space="0" w:color="auto"/>
              <w:bottom w:val="single" w:sz="4" w:space="0" w:color="auto"/>
            </w:tcBorders>
            <w:shd w:val="clear" w:color="auto" w:fill="auto"/>
            <w:vAlign w:val="center"/>
          </w:tcPr>
          <w:p w14:paraId="0FAB5A56"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45" w:type="dxa"/>
            <w:tcBorders>
              <w:top w:val="single" w:sz="12" w:space="0" w:color="auto"/>
              <w:bottom w:val="single" w:sz="4" w:space="0" w:color="auto"/>
            </w:tcBorders>
            <w:shd w:val="clear" w:color="auto" w:fill="auto"/>
            <w:vAlign w:val="center"/>
          </w:tcPr>
          <w:p w14:paraId="3BB558E7"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bottom w:val="single" w:sz="4" w:space="0" w:color="auto"/>
            </w:tcBorders>
            <w:shd w:val="clear" w:color="auto" w:fill="auto"/>
            <w:vAlign w:val="center"/>
          </w:tcPr>
          <w:p w14:paraId="37207095" w14:textId="77777777" w:rsidR="00F0236A" w:rsidRPr="00073574" w:rsidRDefault="00F0236A" w:rsidP="00DF36E1">
            <w:pPr>
              <w:pStyle w:val="Tabletext"/>
              <w:jc w:val="center"/>
              <w:rPr>
                <w:b/>
                <w:bCs/>
                <w:sz w:val="24"/>
                <w:szCs w:val="24"/>
              </w:rPr>
            </w:pPr>
          </w:p>
        </w:tc>
      </w:tr>
      <w:tr w:rsidR="00F0236A" w:rsidRPr="00073574" w14:paraId="48C03DC8" w14:textId="77777777" w:rsidTr="634A3A28">
        <w:trPr>
          <w:jc w:val="center"/>
        </w:trPr>
        <w:tc>
          <w:tcPr>
            <w:tcW w:w="908" w:type="dxa"/>
            <w:vMerge/>
          </w:tcPr>
          <w:p w14:paraId="799312FD" w14:textId="77777777" w:rsidR="00F0236A" w:rsidRPr="00073574" w:rsidRDefault="00F0236A" w:rsidP="00DF36E1">
            <w:pPr>
              <w:pStyle w:val="Tabletext"/>
              <w:rPr>
                <w:sz w:val="24"/>
                <w:szCs w:val="24"/>
              </w:rPr>
            </w:pPr>
          </w:p>
        </w:tc>
        <w:tc>
          <w:tcPr>
            <w:tcW w:w="8924" w:type="dxa"/>
            <w:gridSpan w:val="4"/>
            <w:tcBorders>
              <w:top w:val="single" w:sz="4" w:space="0" w:color="auto"/>
              <w:bottom w:val="single" w:sz="12" w:space="0" w:color="auto"/>
            </w:tcBorders>
            <w:shd w:val="clear" w:color="auto" w:fill="auto"/>
          </w:tcPr>
          <w:p w14:paraId="1A4C6C9F" w14:textId="08F2F9AA" w:rsidR="00F0236A" w:rsidRPr="00073574" w:rsidRDefault="00F0236A" w:rsidP="002E241A">
            <w:pPr>
              <w:pStyle w:val="NormalWeb"/>
              <w:numPr>
                <w:ilvl w:val="0"/>
                <w:numId w:val="35"/>
              </w:numPr>
              <w:spacing w:before="40" w:after="0"/>
              <w:ind w:left="357" w:hanging="357"/>
              <w:rPr>
                <w:sz w:val="22"/>
                <w:szCs w:val="22"/>
                <w:lang w:val="en-GB"/>
              </w:rPr>
            </w:pPr>
            <w:r w:rsidRPr="00073574">
              <w:rPr>
                <w:sz w:val="22"/>
                <w:szCs w:val="22"/>
                <w:lang w:val="en-GB"/>
              </w:rPr>
              <w:t>SG13: The first two ITU-T Recommendations on trust were consented in February 2017. Those are draft Recommendations ITU-T Y.3051 and Y.3052 dealing respectively with the basic principles of what trusted environment in ICT infrastructure is and overview of trust provisioning in ICT.</w:t>
            </w:r>
            <w:r w:rsidR="00812482" w:rsidRPr="00073574">
              <w:rPr>
                <w:sz w:val="22"/>
                <w:szCs w:val="22"/>
                <w:lang w:val="en-GB"/>
              </w:rPr>
              <w:t xml:space="preserve"> Since then</w:t>
            </w:r>
            <w:r w:rsidR="00A135A0">
              <w:rPr>
                <w:sz w:val="22"/>
                <w:szCs w:val="22"/>
                <w:lang w:val="en-GB"/>
              </w:rPr>
              <w:t>,</w:t>
            </w:r>
            <w:r w:rsidR="00812482" w:rsidRPr="00073574">
              <w:rPr>
                <w:sz w:val="22"/>
                <w:szCs w:val="22"/>
                <w:lang w:val="en-GB"/>
              </w:rPr>
              <w:t xml:space="preserve"> two more Recommendations on trust (Y.3053 and Y.3054) were approved in SG13.</w:t>
            </w:r>
          </w:p>
          <w:p w14:paraId="33C9D9BC" w14:textId="37EEF1ED" w:rsidR="00F0236A" w:rsidRPr="00073574" w:rsidRDefault="00384CC8" w:rsidP="00384CC8">
            <w:pPr>
              <w:pStyle w:val="NormalWeb"/>
              <w:numPr>
                <w:ilvl w:val="0"/>
                <w:numId w:val="35"/>
              </w:numPr>
              <w:spacing w:before="120" w:after="40"/>
              <w:rPr>
                <w:sz w:val="22"/>
                <w:szCs w:val="22"/>
                <w:lang w:val="en-GB"/>
              </w:rPr>
            </w:pPr>
            <w:r w:rsidRPr="00073574">
              <w:rPr>
                <w:sz w:val="22"/>
                <w:szCs w:val="22"/>
                <w:lang w:val="en-GB"/>
              </w:rPr>
              <w:t xml:space="preserve">SG17: </w:t>
            </w:r>
            <w:r w:rsidR="00F0236A" w:rsidRPr="00073574">
              <w:rPr>
                <w:sz w:val="22"/>
                <w:szCs w:val="22"/>
                <w:lang w:val="en-GB"/>
              </w:rPr>
              <w:t xml:space="preserve">An </w:t>
            </w:r>
            <w:hyperlink r:id="rId355" w:history="1">
              <w:r w:rsidR="00F0236A" w:rsidRPr="00073574">
                <w:rPr>
                  <w:rStyle w:val="Hyperlink"/>
                  <w:sz w:val="22"/>
                  <w:szCs w:val="22"/>
                  <w:lang w:val="en-GB"/>
                </w:rPr>
                <w:t>ITU Workshop on Security Aspects of Blockchain</w:t>
              </w:r>
            </w:hyperlink>
            <w:r w:rsidR="00F0236A" w:rsidRPr="00073574">
              <w:rPr>
                <w:sz w:val="22"/>
                <w:szCs w:val="22"/>
                <w:lang w:val="en-GB"/>
              </w:rPr>
              <w:t xml:space="preserve"> in Geneva, 21 March 2017, examined blockchain</w:t>
            </w:r>
            <w:r w:rsidR="003C7E25" w:rsidRPr="00073574">
              <w:rPr>
                <w:sz w:val="22"/>
                <w:szCs w:val="22"/>
                <w:lang w:val="en-GB"/>
              </w:rPr>
              <w:t>'</w:t>
            </w:r>
            <w:r w:rsidR="00F0236A" w:rsidRPr="00073574">
              <w:rPr>
                <w:sz w:val="22"/>
                <w:szCs w:val="22"/>
                <w:lang w:val="en-GB"/>
              </w:rPr>
              <w:t>s potential to build trust into a wider variety of our interactions online. Technical sessions assessed the status of blockchain technology and its application, focusing on blockchain use-cases supporting security, privacy and trust. The workshop explored the surrounding policy and regulatory environment.</w:t>
            </w:r>
            <w:r w:rsidR="00FD1B83" w:rsidRPr="00073574">
              <w:rPr>
                <w:sz w:val="22"/>
                <w:szCs w:val="22"/>
                <w:lang w:val="en-GB"/>
              </w:rPr>
              <w:t xml:space="preserve"> </w:t>
            </w:r>
            <w:r w:rsidR="005E6ABB" w:rsidRPr="00073574">
              <w:rPr>
                <w:sz w:val="22"/>
                <w:szCs w:val="22"/>
                <w:lang w:val="en-GB"/>
              </w:rPr>
              <w:t xml:space="preserve">An </w:t>
            </w:r>
            <w:hyperlink r:id="rId356" w:history="1">
              <w:r w:rsidR="005E6ABB" w:rsidRPr="00073574">
                <w:rPr>
                  <w:rStyle w:val="Hyperlink"/>
                  <w:sz w:val="22"/>
                  <w:szCs w:val="22"/>
                  <w:lang w:val="en-GB"/>
                </w:rPr>
                <w:t>ITU Workshop on Security Aspects of Intelligent Transport System</w:t>
              </w:r>
            </w:hyperlink>
            <w:r w:rsidR="005E6ABB" w:rsidRPr="00073574">
              <w:rPr>
                <w:sz w:val="22"/>
                <w:szCs w:val="22"/>
                <w:lang w:val="en-GB"/>
              </w:rPr>
              <w:t xml:space="preserve"> in Geneva, 28 August 2017 brought together ITU’s technical expertise and the security requirements of stakeholders interested in implementing secure intelligent transport system</w:t>
            </w:r>
            <w:r w:rsidR="00006242" w:rsidRPr="00073574">
              <w:rPr>
                <w:sz w:val="22"/>
                <w:szCs w:val="22"/>
                <w:lang w:val="en-GB"/>
              </w:rPr>
              <w:t>. It helped newly established Q13/17 on ITS security to develop its action and collaboration plan.</w:t>
            </w:r>
          </w:p>
          <w:p w14:paraId="0CB9A374" w14:textId="742E1F4D" w:rsidR="00F0236A" w:rsidRPr="00073574" w:rsidRDefault="007A0AE0" w:rsidP="006636D7">
            <w:pPr>
              <w:pStyle w:val="NormalWeb"/>
              <w:numPr>
                <w:ilvl w:val="0"/>
                <w:numId w:val="35"/>
              </w:numPr>
              <w:spacing w:before="120" w:after="40"/>
              <w:rPr>
                <w:sz w:val="22"/>
                <w:szCs w:val="22"/>
                <w:lang w:val="en-GB"/>
              </w:rPr>
            </w:pPr>
            <w:r w:rsidRPr="00073574">
              <w:rPr>
                <w:sz w:val="22"/>
                <w:szCs w:val="22"/>
                <w:lang w:val="en-GB"/>
              </w:rPr>
              <w:t xml:space="preserve">SG20: </w:t>
            </w:r>
            <w:r w:rsidR="00B04BAD" w:rsidRPr="00073574">
              <w:rPr>
                <w:sz w:val="22"/>
                <w:szCs w:val="22"/>
                <w:lang w:val="en-GB"/>
              </w:rPr>
              <w:t xml:space="preserve">As part of the </w:t>
            </w:r>
            <w:hyperlink r:id="rId357" w:history="1">
              <w:r w:rsidR="00550128" w:rsidRPr="00073574">
                <w:rPr>
                  <w:rStyle w:val="Hyperlink"/>
                  <w:sz w:val="22"/>
                  <w:szCs w:val="22"/>
                  <w:lang w:val="en-GB"/>
                </w:rPr>
                <w:t>Webinar series on Digital transformation for cities and communities</w:t>
              </w:r>
            </w:hyperlink>
            <w:r w:rsidR="00550128" w:rsidRPr="00073574">
              <w:rPr>
                <w:sz w:val="22"/>
                <w:szCs w:val="22"/>
                <w:lang w:val="en-GB"/>
              </w:rPr>
              <w:t xml:space="preserve">, </w:t>
            </w:r>
            <w:hyperlink r:id="rId358" w:history="1">
              <w:r w:rsidR="00550128" w:rsidRPr="00073574">
                <w:rPr>
                  <w:rStyle w:val="Hyperlink"/>
                  <w:sz w:val="22"/>
                  <w:szCs w:val="22"/>
                  <w:lang w:val="en-GB"/>
                </w:rPr>
                <w:t>Episode 9 on “Addressing the Security Risks of Digital Transformation on IoT”</w:t>
              </w:r>
            </w:hyperlink>
            <w:r w:rsidR="00550128" w:rsidRPr="00073574">
              <w:rPr>
                <w:sz w:val="22"/>
                <w:szCs w:val="22"/>
                <w:lang w:val="en-GB"/>
              </w:rPr>
              <w:t xml:space="preserve"> took place on 06 December 2021.</w:t>
            </w:r>
          </w:p>
        </w:tc>
      </w:tr>
      <w:tr w:rsidR="00F0236A" w:rsidRPr="00073574" w14:paraId="6EE4F79F" w14:textId="77777777" w:rsidTr="634A3A28">
        <w:trPr>
          <w:jc w:val="center"/>
        </w:trPr>
        <w:tc>
          <w:tcPr>
            <w:tcW w:w="908" w:type="dxa"/>
            <w:vMerge w:val="restart"/>
            <w:tcBorders>
              <w:top w:val="single" w:sz="12" w:space="0" w:color="auto"/>
            </w:tcBorders>
            <w:shd w:val="clear" w:color="auto" w:fill="auto"/>
          </w:tcPr>
          <w:p w14:paraId="120F002E" w14:textId="77777777" w:rsidR="00F0236A" w:rsidRPr="00073574" w:rsidRDefault="00F0236A" w:rsidP="00ED1BFF">
            <w:pPr>
              <w:pStyle w:val="Tabletext"/>
              <w:rPr>
                <w:b/>
                <w:bCs/>
                <w:sz w:val="24"/>
                <w:szCs w:val="24"/>
              </w:rPr>
            </w:pPr>
            <w:r w:rsidRPr="00073574">
              <w:rPr>
                <w:b/>
                <w:bCs/>
                <w:sz w:val="24"/>
                <w:szCs w:val="24"/>
              </w:rPr>
              <w:t>50-02</w:t>
            </w:r>
          </w:p>
        </w:tc>
        <w:tc>
          <w:tcPr>
            <w:tcW w:w="4895" w:type="dxa"/>
            <w:tcBorders>
              <w:top w:val="single" w:sz="12" w:space="0" w:color="auto"/>
            </w:tcBorders>
            <w:shd w:val="clear" w:color="auto" w:fill="auto"/>
            <w:hideMark/>
          </w:tcPr>
          <w:p w14:paraId="6486B0B0" w14:textId="77777777" w:rsidR="00F0236A" w:rsidRPr="00073574" w:rsidRDefault="00F0236A" w:rsidP="00DF36E1">
            <w:pPr>
              <w:pStyle w:val="Tabletext"/>
              <w:rPr>
                <w:b/>
                <w:bCs/>
                <w:sz w:val="24"/>
                <w:szCs w:val="24"/>
              </w:rPr>
            </w:pPr>
            <w:r w:rsidRPr="00073574">
              <w:rPr>
                <w:b/>
                <w:bCs/>
                <w:sz w:val="24"/>
                <w:szCs w:val="24"/>
              </w:rPr>
              <w:t>All SGs to continue to evaluate existing and evolving new Recommendations for robustness of design and potential for malicious exploitation (e.g. on cloud computing and IoT based on telecommunication networks) (resolves 2).</w:t>
            </w:r>
          </w:p>
        </w:tc>
        <w:tc>
          <w:tcPr>
            <w:tcW w:w="1548" w:type="dxa"/>
            <w:tcBorders>
              <w:top w:val="single" w:sz="12" w:space="0" w:color="auto"/>
            </w:tcBorders>
            <w:shd w:val="clear" w:color="auto" w:fill="auto"/>
            <w:vAlign w:val="center"/>
            <w:hideMark/>
          </w:tcPr>
          <w:p w14:paraId="1E3530D2"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45" w:type="dxa"/>
            <w:tcBorders>
              <w:top w:val="single" w:sz="12" w:space="0" w:color="auto"/>
            </w:tcBorders>
            <w:shd w:val="clear" w:color="auto" w:fill="auto"/>
            <w:vAlign w:val="center"/>
          </w:tcPr>
          <w:p w14:paraId="799EBCCE"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59BE26D7" w14:textId="77777777" w:rsidR="00F0236A" w:rsidRPr="00073574" w:rsidRDefault="00F0236A" w:rsidP="00DF36E1">
            <w:pPr>
              <w:pStyle w:val="Tabletext"/>
              <w:jc w:val="center"/>
              <w:rPr>
                <w:b/>
                <w:bCs/>
                <w:sz w:val="24"/>
                <w:szCs w:val="24"/>
              </w:rPr>
            </w:pPr>
          </w:p>
        </w:tc>
      </w:tr>
      <w:tr w:rsidR="00F0236A" w:rsidRPr="00073574" w14:paraId="4E496B24" w14:textId="77777777" w:rsidTr="634A3A28">
        <w:trPr>
          <w:jc w:val="center"/>
        </w:trPr>
        <w:tc>
          <w:tcPr>
            <w:tcW w:w="908" w:type="dxa"/>
            <w:vMerge/>
          </w:tcPr>
          <w:p w14:paraId="60FC6FB8" w14:textId="77777777" w:rsidR="00F0236A" w:rsidRPr="00073574" w:rsidRDefault="00F0236A" w:rsidP="00DF36E1">
            <w:pPr>
              <w:pStyle w:val="Tabletext"/>
              <w:rPr>
                <w:sz w:val="24"/>
                <w:szCs w:val="24"/>
              </w:rPr>
            </w:pPr>
          </w:p>
        </w:tc>
        <w:tc>
          <w:tcPr>
            <w:tcW w:w="8924" w:type="dxa"/>
            <w:gridSpan w:val="4"/>
            <w:shd w:val="clear" w:color="auto" w:fill="auto"/>
          </w:tcPr>
          <w:p w14:paraId="1E543EFA" w14:textId="03A5CB52" w:rsidR="00F0236A" w:rsidRPr="00073574" w:rsidRDefault="00F0236A" w:rsidP="00A23DEF">
            <w:pPr>
              <w:pStyle w:val="NormalWeb"/>
              <w:numPr>
                <w:ilvl w:val="0"/>
                <w:numId w:val="35"/>
              </w:numPr>
              <w:spacing w:before="120" w:after="0"/>
              <w:ind w:left="357" w:hanging="357"/>
              <w:rPr>
                <w:lang w:val="en-GB"/>
              </w:rPr>
            </w:pPr>
            <w:r w:rsidRPr="00073574">
              <w:rPr>
                <w:sz w:val="22"/>
                <w:szCs w:val="22"/>
                <w:lang w:val="en-GB"/>
              </w:rPr>
              <w:t>SG17 has ongoing work to develop security standards for SDN, cloud computing, IoT</w:t>
            </w:r>
            <w:r w:rsidR="5528CCDD" w:rsidRPr="00073574">
              <w:rPr>
                <w:sz w:val="22"/>
                <w:szCs w:val="22"/>
                <w:lang w:val="en-GB"/>
              </w:rPr>
              <w:t>. SG17 established new Q13/17 to study</w:t>
            </w:r>
            <w:r w:rsidRPr="00073574">
              <w:rPr>
                <w:sz w:val="22"/>
                <w:szCs w:val="22"/>
                <w:lang w:val="en-GB"/>
              </w:rPr>
              <w:t xml:space="preserve"> ITS</w:t>
            </w:r>
            <w:r w:rsidR="5528CCDD" w:rsidRPr="00073574">
              <w:rPr>
                <w:sz w:val="22"/>
                <w:szCs w:val="22"/>
                <w:lang w:val="en-GB"/>
              </w:rPr>
              <w:t xml:space="preserve"> security and Q14/17 to study security aspects of distributed ledger technology</w:t>
            </w:r>
            <w:r w:rsidRPr="00073574">
              <w:rPr>
                <w:sz w:val="22"/>
                <w:szCs w:val="22"/>
                <w:lang w:val="en-GB"/>
              </w:rPr>
              <w:t>.</w:t>
            </w:r>
          </w:p>
          <w:p w14:paraId="5CF0923A" w14:textId="3BC5FFDD" w:rsidR="60EDCA4F" w:rsidRPr="00073574" w:rsidRDefault="60EDCA4F" w:rsidP="00A23DEF">
            <w:pPr>
              <w:pStyle w:val="NormalWeb"/>
              <w:numPr>
                <w:ilvl w:val="0"/>
                <w:numId w:val="35"/>
              </w:numPr>
              <w:spacing w:before="120" w:after="0"/>
              <w:ind w:left="357" w:hanging="357"/>
              <w:rPr>
                <w:sz w:val="22"/>
                <w:szCs w:val="22"/>
                <w:lang w:val="en-GB"/>
              </w:rPr>
            </w:pPr>
            <w:r w:rsidRPr="00073574">
              <w:rPr>
                <w:sz w:val="22"/>
                <w:szCs w:val="22"/>
                <w:lang w:val="en-GB"/>
              </w:rPr>
              <w:lastRenderedPageBreak/>
              <w:t xml:space="preserve">SG17 approved ITU-T X.1212, </w:t>
            </w:r>
            <w:r w:rsidRPr="00073574">
              <w:rPr>
                <w:i/>
                <w:iCs/>
                <w:sz w:val="22"/>
                <w:szCs w:val="22"/>
                <w:lang w:val="en-GB"/>
              </w:rPr>
              <w:t>Design considerations for improved end-user perception of trustworthiness indicators</w:t>
            </w:r>
            <w:r w:rsidRPr="00073574">
              <w:rPr>
                <w:sz w:val="22"/>
                <w:szCs w:val="22"/>
                <w:lang w:val="en-GB"/>
              </w:rPr>
              <w:t xml:space="preserve">, </w:t>
            </w:r>
            <w:r w:rsidR="006474C0" w:rsidRPr="00073574">
              <w:rPr>
                <w:sz w:val="22"/>
                <w:szCs w:val="22"/>
                <w:lang w:val="en-GB"/>
              </w:rPr>
              <w:t xml:space="preserve">ITU-T </w:t>
            </w:r>
            <w:r w:rsidRPr="00073574">
              <w:rPr>
                <w:sz w:val="22"/>
                <w:szCs w:val="22"/>
                <w:lang w:val="en-GB"/>
              </w:rPr>
              <w:t xml:space="preserve">X.1213, </w:t>
            </w:r>
            <w:r w:rsidRPr="00073574">
              <w:rPr>
                <w:i/>
                <w:iCs/>
                <w:sz w:val="22"/>
                <w:szCs w:val="22"/>
                <w:lang w:val="en-GB"/>
              </w:rPr>
              <w:t>Security capability requirements for countering smartphone-based botnets</w:t>
            </w:r>
            <w:r w:rsidRPr="00073574">
              <w:rPr>
                <w:sz w:val="22"/>
                <w:szCs w:val="22"/>
                <w:lang w:val="en-GB"/>
              </w:rPr>
              <w:t xml:space="preserve">, </w:t>
            </w:r>
            <w:r w:rsidR="006474C0" w:rsidRPr="00073574">
              <w:rPr>
                <w:sz w:val="22"/>
                <w:szCs w:val="22"/>
                <w:lang w:val="en-GB"/>
              </w:rPr>
              <w:t xml:space="preserve">ITU-T </w:t>
            </w:r>
            <w:r w:rsidRPr="00073574">
              <w:rPr>
                <w:sz w:val="22"/>
                <w:szCs w:val="22"/>
                <w:lang w:val="en-GB"/>
              </w:rPr>
              <w:t xml:space="preserve">X.1214, </w:t>
            </w:r>
            <w:r w:rsidRPr="00073574">
              <w:rPr>
                <w:i/>
                <w:iCs/>
                <w:sz w:val="22"/>
                <w:szCs w:val="22"/>
                <w:lang w:val="en-GB"/>
              </w:rPr>
              <w:t>Security assessment techniques in telecommunication/information and communication technology networks</w:t>
            </w:r>
            <w:r w:rsidRPr="00073574">
              <w:rPr>
                <w:sz w:val="22"/>
                <w:szCs w:val="22"/>
                <w:lang w:val="en-GB"/>
              </w:rPr>
              <w:t xml:space="preserve">, </w:t>
            </w:r>
            <w:r w:rsidR="006474C0" w:rsidRPr="00073574">
              <w:rPr>
                <w:sz w:val="22"/>
                <w:szCs w:val="22"/>
                <w:lang w:val="en-GB"/>
              </w:rPr>
              <w:t xml:space="preserve">ITU-T </w:t>
            </w:r>
            <w:r w:rsidRPr="00073574">
              <w:rPr>
                <w:sz w:val="22"/>
                <w:szCs w:val="22"/>
                <w:lang w:val="en-GB"/>
              </w:rPr>
              <w:t xml:space="preserve">X.1215, </w:t>
            </w:r>
            <w:r w:rsidRPr="00073574">
              <w:rPr>
                <w:i/>
                <w:iCs/>
                <w:sz w:val="22"/>
                <w:szCs w:val="22"/>
                <w:lang w:val="en-GB"/>
              </w:rPr>
              <w:t>User cases for structured threat information expression</w:t>
            </w:r>
            <w:r w:rsidRPr="00073574">
              <w:rPr>
                <w:sz w:val="22"/>
                <w:szCs w:val="22"/>
                <w:lang w:val="en-GB"/>
              </w:rPr>
              <w:t xml:space="preserve">, </w:t>
            </w:r>
            <w:r w:rsidR="00F434DE" w:rsidRPr="00073574">
              <w:rPr>
                <w:sz w:val="22"/>
                <w:szCs w:val="22"/>
                <w:lang w:val="en-GB"/>
              </w:rPr>
              <w:t>r</w:t>
            </w:r>
            <w:r w:rsidRPr="00073574">
              <w:rPr>
                <w:sz w:val="22"/>
                <w:szCs w:val="22"/>
                <w:lang w:val="en-GB"/>
              </w:rPr>
              <w:t xml:space="preserve">evised </w:t>
            </w:r>
            <w:r w:rsidR="006474C0" w:rsidRPr="00073574">
              <w:rPr>
                <w:sz w:val="22"/>
                <w:szCs w:val="22"/>
                <w:lang w:val="en-GB"/>
              </w:rPr>
              <w:t xml:space="preserve">ITU-T </w:t>
            </w:r>
            <w:r w:rsidRPr="00073574">
              <w:rPr>
                <w:sz w:val="22"/>
                <w:szCs w:val="22"/>
                <w:lang w:val="en-GB"/>
              </w:rPr>
              <w:t xml:space="preserve">X.1541, </w:t>
            </w:r>
            <w:r w:rsidRPr="00073574">
              <w:rPr>
                <w:i/>
                <w:iCs/>
                <w:sz w:val="22"/>
                <w:szCs w:val="22"/>
                <w:lang w:val="en-GB"/>
              </w:rPr>
              <w:t>Incident object description exchange format version 2</w:t>
            </w:r>
            <w:r w:rsidRPr="00073574">
              <w:rPr>
                <w:sz w:val="22"/>
                <w:szCs w:val="22"/>
                <w:lang w:val="en-GB"/>
              </w:rPr>
              <w:t xml:space="preserve">, and </w:t>
            </w:r>
            <w:r w:rsidR="006474C0" w:rsidRPr="00073574">
              <w:rPr>
                <w:sz w:val="22"/>
                <w:szCs w:val="22"/>
                <w:lang w:val="en-GB"/>
              </w:rPr>
              <w:t xml:space="preserve">ITU-T </w:t>
            </w:r>
            <w:r w:rsidRPr="00073574">
              <w:rPr>
                <w:sz w:val="22"/>
                <w:szCs w:val="22"/>
                <w:lang w:val="en-GB"/>
              </w:rPr>
              <w:t xml:space="preserve">X.1550, </w:t>
            </w:r>
            <w:r w:rsidRPr="00073574">
              <w:rPr>
                <w:i/>
                <w:iCs/>
                <w:sz w:val="22"/>
                <w:szCs w:val="22"/>
                <w:lang w:val="en-GB"/>
              </w:rPr>
              <w:t xml:space="preserve">Access control models for incident exchange networks </w:t>
            </w:r>
            <w:r w:rsidRPr="00073574">
              <w:rPr>
                <w:sz w:val="22"/>
                <w:szCs w:val="22"/>
                <w:lang w:val="en-GB"/>
              </w:rPr>
              <w:t>developed by Q4/17</w:t>
            </w:r>
            <w:r w:rsidR="000B4CEE" w:rsidRPr="00073574">
              <w:rPr>
                <w:sz w:val="22"/>
                <w:szCs w:val="22"/>
                <w:lang w:val="en-GB"/>
              </w:rPr>
              <w:t>.</w:t>
            </w:r>
          </w:p>
          <w:p w14:paraId="2AE7DF0B" w14:textId="6C60AB26" w:rsidR="00424431" w:rsidRPr="00073574" w:rsidRDefault="00100870" w:rsidP="002E241A">
            <w:pPr>
              <w:pStyle w:val="ListParagraph"/>
              <w:numPr>
                <w:ilvl w:val="0"/>
                <w:numId w:val="35"/>
              </w:numPr>
              <w:ind w:left="357" w:hanging="357"/>
              <w:contextualSpacing w:val="0"/>
              <w:rPr>
                <w:rFonts w:ascii="Symbol" w:eastAsia="Symbol" w:hAnsi="Symbol" w:cs="Symbol"/>
              </w:rPr>
            </w:pPr>
            <w:r w:rsidRPr="00073574">
              <w:rPr>
                <w:rFonts w:eastAsia="Symbol"/>
              </w:rPr>
              <w:t xml:space="preserve">SG17 approved </w:t>
            </w:r>
            <w:r w:rsidR="00B01F05" w:rsidRPr="00073574">
              <w:rPr>
                <w:rFonts w:eastAsia="Symbol"/>
              </w:rPr>
              <w:t xml:space="preserve">Recommendations </w:t>
            </w:r>
            <w:r w:rsidRPr="00073574">
              <w:rPr>
                <w:rFonts w:eastAsia="Symbol"/>
              </w:rPr>
              <w:t>ITU-T X.1361</w:t>
            </w:r>
            <w:r w:rsidR="00B01F05" w:rsidRPr="00073574">
              <w:rPr>
                <w:rFonts w:eastAsia="Symbol"/>
              </w:rPr>
              <w:t>,</w:t>
            </w:r>
            <w:r w:rsidR="00A135A0">
              <w:rPr>
                <w:rFonts w:eastAsia="Symbol"/>
              </w:rPr>
              <w:t xml:space="preserve"> </w:t>
            </w:r>
            <w:r w:rsidR="00B01F05" w:rsidRPr="00073574">
              <w:rPr>
                <w:rFonts w:eastAsia="Symbol"/>
              </w:rPr>
              <w:t xml:space="preserve">…, </w:t>
            </w:r>
            <w:r w:rsidRPr="00073574">
              <w:rPr>
                <w:rFonts w:eastAsia="Symbol"/>
              </w:rPr>
              <w:t>1368 on IoT security developed by Q6/17.</w:t>
            </w:r>
          </w:p>
          <w:p w14:paraId="7502C252" w14:textId="7530A1A3" w:rsidR="60EDCA4F" w:rsidRPr="00073574" w:rsidRDefault="60EDCA4F" w:rsidP="002E241A">
            <w:pPr>
              <w:pStyle w:val="ListParagraph"/>
              <w:numPr>
                <w:ilvl w:val="0"/>
                <w:numId w:val="35"/>
              </w:numPr>
              <w:ind w:left="357" w:hanging="357"/>
              <w:contextualSpacing w:val="0"/>
              <w:rPr>
                <w:rFonts w:ascii="Symbol" w:eastAsia="Symbol" w:hAnsi="Symbol" w:cs="Symbol"/>
              </w:rPr>
            </w:pPr>
            <w:r w:rsidRPr="00073574">
              <w:rPr>
                <w:rFonts w:eastAsia="Times New Roman"/>
              </w:rPr>
              <w:t xml:space="preserve">SG17 approved ITU-T X.1604, </w:t>
            </w:r>
            <w:r w:rsidRPr="00073574">
              <w:rPr>
                <w:rFonts w:eastAsia="Times New Roman"/>
                <w:i/>
                <w:iCs/>
              </w:rPr>
              <w:t>Security requirements of network as a service (NaaS) in cloud computing</w:t>
            </w:r>
            <w:r w:rsidR="001747A4" w:rsidRPr="00073574">
              <w:rPr>
                <w:rFonts w:eastAsia="Times New Roman"/>
                <w:i/>
                <w:iCs/>
              </w:rPr>
              <w:t>,</w:t>
            </w:r>
            <w:r w:rsidRPr="00073574">
              <w:rPr>
                <w:rFonts w:eastAsia="Times New Roman"/>
              </w:rPr>
              <w:t xml:space="preserve"> </w:t>
            </w:r>
            <w:r w:rsidR="00B01F05" w:rsidRPr="00073574">
              <w:rPr>
                <w:rFonts w:eastAsia="Times New Roman"/>
              </w:rPr>
              <w:t xml:space="preserve">ITU-T </w:t>
            </w:r>
            <w:r w:rsidRPr="00073574">
              <w:rPr>
                <w:rFonts w:eastAsia="Times New Roman"/>
              </w:rPr>
              <w:t xml:space="preserve">X.1605, </w:t>
            </w:r>
            <w:r w:rsidRPr="00073574">
              <w:rPr>
                <w:rFonts w:eastAsia="Times New Roman"/>
                <w:i/>
                <w:iCs/>
              </w:rPr>
              <w:t>Security requirements of public infrastructure as a service (IaaS) in cloud computing</w:t>
            </w:r>
            <w:r w:rsidR="001747A4" w:rsidRPr="00073574">
              <w:rPr>
                <w:rFonts w:eastAsia="Times New Roman"/>
                <w:i/>
                <w:iCs/>
              </w:rPr>
              <w:t>,</w:t>
            </w:r>
            <w:r w:rsidRPr="00073574">
              <w:rPr>
                <w:rFonts w:eastAsia="Times New Roman"/>
              </w:rPr>
              <w:t xml:space="preserve"> </w:t>
            </w:r>
            <w:r w:rsidR="001747A4" w:rsidRPr="00073574">
              <w:rPr>
                <w:rFonts w:eastAsia="Times New Roman"/>
              </w:rPr>
              <w:t xml:space="preserve">and </w:t>
            </w:r>
            <w:r w:rsidR="00B01F05" w:rsidRPr="00073574">
              <w:rPr>
                <w:rFonts w:eastAsia="Times New Roman"/>
              </w:rPr>
              <w:t xml:space="preserve">ITU-T </w:t>
            </w:r>
            <w:r w:rsidR="001747A4" w:rsidRPr="00073574">
              <w:rPr>
                <w:rFonts w:eastAsia="Times New Roman"/>
              </w:rPr>
              <w:t xml:space="preserve">X.1606 </w:t>
            </w:r>
            <w:r w:rsidR="00D04402" w:rsidRPr="00073574">
              <w:rPr>
                <w:rFonts w:eastAsia="Times New Roman"/>
                <w:i/>
              </w:rPr>
              <w:t>Security requirements for communication as a service application environments</w:t>
            </w:r>
            <w:r w:rsidR="001747A4" w:rsidRPr="00073574">
              <w:rPr>
                <w:rFonts w:eastAsia="Times New Roman"/>
              </w:rPr>
              <w:t xml:space="preserve"> </w:t>
            </w:r>
            <w:r w:rsidRPr="00073574">
              <w:rPr>
                <w:rFonts w:eastAsia="Times New Roman"/>
              </w:rPr>
              <w:t>developed by Q8/17.</w:t>
            </w:r>
          </w:p>
          <w:p w14:paraId="6FB6047B" w14:textId="198D236C" w:rsidR="60EDCA4F" w:rsidRPr="00073574" w:rsidRDefault="60EDCA4F" w:rsidP="002E241A">
            <w:pPr>
              <w:pStyle w:val="ListParagraph"/>
              <w:numPr>
                <w:ilvl w:val="0"/>
                <w:numId w:val="35"/>
              </w:numPr>
              <w:ind w:left="357" w:hanging="357"/>
              <w:contextualSpacing w:val="0"/>
              <w:rPr>
                <w:rFonts w:ascii="Symbol" w:eastAsia="Symbol" w:hAnsi="Symbol" w:cs="Symbol"/>
              </w:rPr>
            </w:pPr>
            <w:r w:rsidRPr="00073574">
              <w:rPr>
                <w:rFonts w:eastAsia="Times New Roman"/>
              </w:rPr>
              <w:t xml:space="preserve">SG17 approved ITU-T X.1372, </w:t>
            </w:r>
            <w:r w:rsidRPr="00073574">
              <w:rPr>
                <w:rFonts w:eastAsia="Times New Roman"/>
                <w:i/>
                <w:iCs/>
              </w:rPr>
              <w:t>Security guidelines for Vehicle-to-Everything (V2X) communication</w:t>
            </w:r>
            <w:r w:rsidRPr="00073574">
              <w:rPr>
                <w:rFonts w:eastAsia="Times New Roman"/>
              </w:rPr>
              <w:t xml:space="preserve"> and </w:t>
            </w:r>
            <w:r w:rsidR="00506AFC" w:rsidRPr="00073574">
              <w:rPr>
                <w:szCs w:val="22"/>
              </w:rPr>
              <w:t xml:space="preserve">ITU-T </w:t>
            </w:r>
            <w:r w:rsidRPr="00073574">
              <w:rPr>
                <w:rFonts w:eastAsia="Times New Roman"/>
              </w:rPr>
              <w:t xml:space="preserve">X.1371, </w:t>
            </w:r>
            <w:r w:rsidRPr="00073574">
              <w:rPr>
                <w:rFonts w:eastAsia="Times New Roman"/>
                <w:i/>
                <w:iCs/>
              </w:rPr>
              <w:t>Security threats to connected vehicles</w:t>
            </w:r>
            <w:r w:rsidRPr="00073574">
              <w:rPr>
                <w:rFonts w:eastAsia="Times New Roman"/>
              </w:rPr>
              <w:t xml:space="preserve"> developed by Q13/17.</w:t>
            </w:r>
          </w:p>
          <w:p w14:paraId="75B86D2C" w14:textId="569493DD" w:rsidR="60EDCA4F" w:rsidRPr="00073574" w:rsidRDefault="60EDCA4F" w:rsidP="002E241A">
            <w:pPr>
              <w:pStyle w:val="ListParagraph"/>
              <w:numPr>
                <w:ilvl w:val="0"/>
                <w:numId w:val="35"/>
              </w:numPr>
              <w:ind w:left="357" w:hanging="357"/>
              <w:contextualSpacing w:val="0"/>
              <w:rPr>
                <w:rFonts w:eastAsia="Times New Roman"/>
              </w:rPr>
            </w:pPr>
            <w:r w:rsidRPr="00073574">
              <w:rPr>
                <w:rFonts w:eastAsia="Times New Roman"/>
              </w:rPr>
              <w:t xml:space="preserve">SG17 approved ITU-T X.1401, </w:t>
            </w:r>
            <w:r w:rsidRPr="00073574">
              <w:rPr>
                <w:rFonts w:eastAsia="Times New Roman"/>
                <w:i/>
                <w:iCs/>
              </w:rPr>
              <w:t>Security threats of distributed ledger technology</w:t>
            </w:r>
            <w:r w:rsidR="00634898" w:rsidRPr="00073574">
              <w:rPr>
                <w:rFonts w:eastAsia="Times New Roman"/>
                <w:i/>
                <w:iCs/>
              </w:rPr>
              <w:t>,</w:t>
            </w:r>
            <w:r w:rsidRPr="00073574">
              <w:rPr>
                <w:rFonts w:eastAsia="Times New Roman"/>
              </w:rPr>
              <w:t xml:space="preserve"> </w:t>
            </w:r>
            <w:r w:rsidR="00506AFC" w:rsidRPr="00073574">
              <w:rPr>
                <w:szCs w:val="22"/>
              </w:rPr>
              <w:t xml:space="preserve">ITU-T </w:t>
            </w:r>
            <w:r w:rsidRPr="00073574">
              <w:rPr>
                <w:rFonts w:eastAsia="Times New Roman"/>
              </w:rPr>
              <w:t xml:space="preserve">X.1402, </w:t>
            </w:r>
            <w:r w:rsidRPr="00073574">
              <w:rPr>
                <w:rFonts w:eastAsia="Times New Roman"/>
                <w:i/>
                <w:iCs/>
              </w:rPr>
              <w:t>Security framework for distributed ledger technology</w:t>
            </w:r>
            <w:r w:rsidR="006F1E44" w:rsidRPr="00073574">
              <w:rPr>
                <w:rFonts w:eastAsia="Times New Roman"/>
                <w:i/>
                <w:iCs/>
              </w:rPr>
              <w:t xml:space="preserve">, </w:t>
            </w:r>
            <w:r w:rsidR="00B01F05" w:rsidRPr="00073574">
              <w:rPr>
                <w:rFonts w:eastAsia="Times New Roman"/>
              </w:rPr>
              <w:t xml:space="preserve">ITU-T </w:t>
            </w:r>
            <w:r w:rsidR="006F1E44" w:rsidRPr="00073574">
              <w:rPr>
                <w:rFonts w:eastAsia="Times New Roman"/>
              </w:rPr>
              <w:t>X.1403</w:t>
            </w:r>
            <w:r w:rsidR="00B63B33" w:rsidRPr="00073574">
              <w:rPr>
                <w:rFonts w:eastAsia="Times New Roman"/>
                <w:i/>
                <w:iCs/>
              </w:rPr>
              <w:t xml:space="preserve"> Security guidelines for using DLT for decentralized identity management</w:t>
            </w:r>
            <w:r w:rsidR="006F1E44" w:rsidRPr="00073574">
              <w:rPr>
                <w:rFonts w:eastAsia="Times New Roman"/>
                <w:i/>
                <w:iCs/>
              </w:rPr>
              <w:t xml:space="preserve">, </w:t>
            </w:r>
            <w:r w:rsidR="006F1E44" w:rsidRPr="00073574">
              <w:rPr>
                <w:rFonts w:eastAsia="Times New Roman"/>
              </w:rPr>
              <w:t xml:space="preserve">and </w:t>
            </w:r>
            <w:r w:rsidR="00B01F05" w:rsidRPr="00073574">
              <w:rPr>
                <w:rFonts w:eastAsia="Times New Roman"/>
              </w:rPr>
              <w:t xml:space="preserve">ITU-T </w:t>
            </w:r>
            <w:r w:rsidR="00B63B33" w:rsidRPr="00073574">
              <w:rPr>
                <w:rFonts w:eastAsia="Times New Roman"/>
              </w:rPr>
              <w:t xml:space="preserve">X.1408 </w:t>
            </w:r>
            <w:r w:rsidR="00B63B33" w:rsidRPr="00073574">
              <w:rPr>
                <w:rFonts w:eastAsia="Times New Roman"/>
                <w:i/>
              </w:rPr>
              <w:t>Security threats and requirements for data access and sharing based on the distributed ledger technology</w:t>
            </w:r>
            <w:r w:rsidR="00B63B33" w:rsidRPr="00073574">
              <w:rPr>
                <w:rFonts w:eastAsia="Times New Roman"/>
              </w:rPr>
              <w:t xml:space="preserve"> </w:t>
            </w:r>
            <w:r w:rsidRPr="00073574">
              <w:rPr>
                <w:rFonts w:eastAsia="Times New Roman"/>
              </w:rPr>
              <w:t>developed by Q14/17.</w:t>
            </w:r>
          </w:p>
          <w:p w14:paraId="4F56C17B" w14:textId="1CF976E1" w:rsidR="00682681" w:rsidRPr="00073574" w:rsidRDefault="222F01BC" w:rsidP="002E241A">
            <w:pPr>
              <w:pStyle w:val="NormalWeb"/>
              <w:numPr>
                <w:ilvl w:val="0"/>
                <w:numId w:val="35"/>
              </w:numPr>
              <w:spacing w:before="120" w:after="0"/>
              <w:ind w:left="357" w:hanging="357"/>
              <w:rPr>
                <w:sz w:val="22"/>
                <w:szCs w:val="22"/>
                <w:u w:val="single"/>
                <w:lang w:val="en-GB"/>
              </w:rPr>
            </w:pPr>
            <w:r w:rsidRPr="00073574">
              <w:rPr>
                <w:sz w:val="22"/>
                <w:szCs w:val="22"/>
                <w:lang w:val="en-GB"/>
              </w:rPr>
              <w:t>SG20 is working on draft Recommendation</w:t>
            </w:r>
            <w:r w:rsidR="0DDD0563" w:rsidRPr="00073574">
              <w:rPr>
                <w:sz w:val="22"/>
                <w:szCs w:val="22"/>
                <w:lang w:val="en-GB"/>
              </w:rPr>
              <w:t>s</w:t>
            </w:r>
            <w:r w:rsidRPr="00073574">
              <w:rPr>
                <w:sz w:val="22"/>
                <w:szCs w:val="22"/>
                <w:lang w:val="en-GB"/>
              </w:rPr>
              <w:t xml:space="preserve"> ITU-T Y.IoT-IoD-PT “Identity of IoT devices based on secure procedures and ensures privacy and trust of IoT systems”</w:t>
            </w:r>
            <w:r w:rsidR="0DDD0563" w:rsidRPr="00073574">
              <w:rPr>
                <w:sz w:val="22"/>
                <w:szCs w:val="22"/>
                <w:lang w:val="en-GB"/>
              </w:rPr>
              <w:t>, ITU-T Y.IoT-Ath-SC “Framework of IoT-devices authentication in smart city”</w:t>
            </w:r>
            <w:r w:rsidR="79597377" w:rsidRPr="00073574">
              <w:rPr>
                <w:sz w:val="22"/>
                <w:szCs w:val="22"/>
                <w:lang w:val="en-GB"/>
              </w:rPr>
              <w:t>,</w:t>
            </w:r>
            <w:r w:rsidR="0DDD0563" w:rsidRPr="00073574">
              <w:rPr>
                <w:sz w:val="22"/>
                <w:szCs w:val="22"/>
                <w:lang w:val="en-GB"/>
              </w:rPr>
              <w:t xml:space="preserve"> ITU-T Y.oneM2M.SEC.SOL “oneM2M Security Solutions”</w:t>
            </w:r>
            <w:r w:rsidR="00506AFC" w:rsidRPr="00073574">
              <w:rPr>
                <w:sz w:val="22"/>
                <w:szCs w:val="22"/>
                <w:lang w:val="en-GB"/>
              </w:rPr>
              <w:t xml:space="preserve"> </w:t>
            </w:r>
            <w:r w:rsidR="009A3405" w:rsidRPr="00073574">
              <w:rPr>
                <w:sz w:val="22"/>
                <w:szCs w:val="22"/>
                <w:lang w:val="en-GB"/>
              </w:rPr>
              <w:t xml:space="preserve">and </w:t>
            </w:r>
            <w:r w:rsidR="328F6D12" w:rsidRPr="00073574">
              <w:rPr>
                <w:sz w:val="22"/>
                <w:szCs w:val="22"/>
                <w:lang w:val="en-GB"/>
              </w:rPr>
              <w:t xml:space="preserve">ITU-T Y.IoT-Smartcity-Risk “Reference framework of cybersecurity risk management of IoT ecosystems on smart cities”. SG20 </w:t>
            </w:r>
            <w:r w:rsidR="009A3405" w:rsidRPr="00073574">
              <w:rPr>
                <w:sz w:val="22"/>
                <w:szCs w:val="22"/>
                <w:lang w:val="en-GB"/>
              </w:rPr>
              <w:t xml:space="preserve">approved </w:t>
            </w:r>
            <w:r w:rsidR="328F6D12" w:rsidRPr="00073574">
              <w:rPr>
                <w:sz w:val="22"/>
                <w:szCs w:val="22"/>
                <w:lang w:val="en-GB"/>
              </w:rPr>
              <w:t>Recommendation</w:t>
            </w:r>
            <w:r w:rsidR="009A3405" w:rsidRPr="00073574">
              <w:rPr>
                <w:sz w:val="22"/>
                <w:szCs w:val="22"/>
                <w:lang w:val="en-GB"/>
              </w:rPr>
              <w:t>s</w:t>
            </w:r>
            <w:r w:rsidR="328F6D12" w:rsidRPr="00073574">
              <w:rPr>
                <w:sz w:val="22"/>
                <w:szCs w:val="22"/>
                <w:lang w:val="en-GB"/>
              </w:rPr>
              <w:t xml:space="preserve"> ITU-T Y.4807 “Agility by design for Telecommunications/ICT Systems Security used in the Internet of Things”</w:t>
            </w:r>
            <w:r w:rsidR="009A3405" w:rsidRPr="00073574">
              <w:rPr>
                <w:sz w:val="22"/>
                <w:szCs w:val="22"/>
                <w:lang w:val="en-GB"/>
              </w:rPr>
              <w:t xml:space="preserve">, </w:t>
            </w:r>
            <w:r w:rsidR="00B01F05" w:rsidRPr="00073574">
              <w:rPr>
                <w:lang w:val="en-GB"/>
              </w:rPr>
              <w:t xml:space="preserve">ITU-T </w:t>
            </w:r>
            <w:r w:rsidR="009A3405" w:rsidRPr="00073574">
              <w:rPr>
                <w:sz w:val="22"/>
                <w:szCs w:val="22"/>
                <w:lang w:val="en-GB"/>
              </w:rPr>
              <w:t xml:space="preserve">Y.4810 “Requirements of data security for the heterogeneous IoT devices” and </w:t>
            </w:r>
            <w:r w:rsidR="00F92860" w:rsidRPr="00073574">
              <w:rPr>
                <w:lang w:val="en-GB"/>
              </w:rPr>
              <w:t xml:space="preserve">ITU-T </w:t>
            </w:r>
            <w:r w:rsidR="009A3405" w:rsidRPr="00073574">
              <w:rPr>
                <w:sz w:val="22"/>
                <w:szCs w:val="22"/>
                <w:lang w:val="en-GB"/>
              </w:rPr>
              <w:t>Y.4811 “Reference framework of converged service for identification and authentication for IoT devices in decentralized environment”</w:t>
            </w:r>
            <w:r w:rsidR="328F6D12" w:rsidRPr="00073574">
              <w:rPr>
                <w:sz w:val="22"/>
                <w:szCs w:val="22"/>
                <w:lang w:val="en-GB"/>
              </w:rPr>
              <w:t>.</w:t>
            </w:r>
          </w:p>
        </w:tc>
      </w:tr>
      <w:tr w:rsidR="00F0236A" w:rsidRPr="00073574" w14:paraId="092D1DEB" w14:textId="77777777" w:rsidTr="634A3A28">
        <w:trPr>
          <w:cantSplit/>
          <w:jc w:val="center"/>
        </w:trPr>
        <w:tc>
          <w:tcPr>
            <w:tcW w:w="908" w:type="dxa"/>
            <w:vMerge w:val="restart"/>
            <w:tcBorders>
              <w:top w:val="single" w:sz="12" w:space="0" w:color="auto"/>
            </w:tcBorders>
            <w:shd w:val="clear" w:color="auto" w:fill="auto"/>
          </w:tcPr>
          <w:p w14:paraId="71A02DA6" w14:textId="03D96FFF" w:rsidR="00F0236A" w:rsidRPr="00073574" w:rsidRDefault="00F0236A" w:rsidP="00DF36E1">
            <w:pPr>
              <w:pStyle w:val="Tabletext"/>
              <w:keepNext/>
              <w:keepLines/>
              <w:rPr>
                <w:b/>
                <w:bCs/>
                <w:sz w:val="24"/>
                <w:szCs w:val="24"/>
              </w:rPr>
            </w:pPr>
            <w:r w:rsidRPr="00073574">
              <w:rPr>
                <w:b/>
                <w:bCs/>
                <w:sz w:val="24"/>
                <w:szCs w:val="24"/>
              </w:rPr>
              <w:lastRenderedPageBreak/>
              <w:t>50-05</w:t>
            </w:r>
          </w:p>
        </w:tc>
        <w:tc>
          <w:tcPr>
            <w:tcW w:w="4895" w:type="dxa"/>
            <w:tcBorders>
              <w:top w:val="single" w:sz="12" w:space="0" w:color="auto"/>
            </w:tcBorders>
            <w:shd w:val="clear" w:color="auto" w:fill="auto"/>
          </w:tcPr>
          <w:p w14:paraId="290436E3" w14:textId="77777777" w:rsidR="00F0236A" w:rsidRPr="00073574" w:rsidRDefault="00F0236A" w:rsidP="00DF36E1">
            <w:pPr>
              <w:pStyle w:val="Tabletext"/>
              <w:keepNext/>
              <w:keepLines/>
              <w:rPr>
                <w:b/>
                <w:bCs/>
                <w:sz w:val="24"/>
                <w:szCs w:val="24"/>
              </w:rPr>
            </w:pPr>
            <w:r w:rsidRPr="00073574">
              <w:rPr>
                <w:b/>
                <w:bCs/>
                <w:sz w:val="24"/>
                <w:szCs w:val="24"/>
              </w:rPr>
              <w:t>SG17 to continue develop and improve terms and definitions related to building confidence and security, including the term cybersecurity. (resolves 5)</w:t>
            </w:r>
          </w:p>
        </w:tc>
        <w:tc>
          <w:tcPr>
            <w:tcW w:w="1548" w:type="dxa"/>
            <w:tcBorders>
              <w:top w:val="single" w:sz="12" w:space="0" w:color="auto"/>
            </w:tcBorders>
            <w:shd w:val="clear" w:color="auto" w:fill="auto"/>
            <w:vAlign w:val="center"/>
          </w:tcPr>
          <w:p w14:paraId="21BA666D"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45" w:type="dxa"/>
            <w:tcBorders>
              <w:top w:val="single" w:sz="12" w:space="0" w:color="auto"/>
            </w:tcBorders>
            <w:shd w:val="clear" w:color="auto" w:fill="auto"/>
            <w:vAlign w:val="center"/>
          </w:tcPr>
          <w:p w14:paraId="06F833C6"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7AE6F40A" w14:textId="77777777" w:rsidR="00F0236A" w:rsidRPr="00073574" w:rsidRDefault="00F0236A" w:rsidP="00DF36E1">
            <w:pPr>
              <w:pStyle w:val="Tabletext"/>
              <w:jc w:val="center"/>
              <w:rPr>
                <w:b/>
                <w:bCs/>
                <w:sz w:val="24"/>
                <w:szCs w:val="24"/>
              </w:rPr>
            </w:pPr>
          </w:p>
        </w:tc>
      </w:tr>
      <w:tr w:rsidR="00F0236A" w:rsidRPr="00073574" w14:paraId="31B73442" w14:textId="77777777" w:rsidTr="634A3A28">
        <w:trPr>
          <w:cantSplit/>
          <w:jc w:val="center"/>
        </w:trPr>
        <w:tc>
          <w:tcPr>
            <w:tcW w:w="908" w:type="dxa"/>
            <w:vMerge/>
          </w:tcPr>
          <w:p w14:paraId="22E184A2" w14:textId="77777777" w:rsidR="00F0236A" w:rsidRPr="00073574" w:rsidRDefault="00F0236A" w:rsidP="00DF36E1">
            <w:pPr>
              <w:pStyle w:val="Tabletext"/>
              <w:rPr>
                <w:sz w:val="24"/>
                <w:szCs w:val="24"/>
              </w:rPr>
            </w:pPr>
          </w:p>
        </w:tc>
        <w:tc>
          <w:tcPr>
            <w:tcW w:w="8924" w:type="dxa"/>
            <w:gridSpan w:val="4"/>
            <w:tcBorders>
              <w:bottom w:val="single" w:sz="12" w:space="0" w:color="auto"/>
            </w:tcBorders>
            <w:shd w:val="clear" w:color="auto" w:fill="auto"/>
          </w:tcPr>
          <w:p w14:paraId="40AA0089" w14:textId="77777777" w:rsidR="00F0236A" w:rsidRPr="00073574" w:rsidRDefault="00F0236A" w:rsidP="00DF36E1">
            <w:pPr>
              <w:pStyle w:val="Tabletext"/>
              <w:rPr>
                <w:szCs w:val="22"/>
              </w:rPr>
            </w:pPr>
            <w:r w:rsidRPr="00073574">
              <w:rPr>
                <w:szCs w:val="22"/>
              </w:rPr>
              <w:t>SG17 appointed Mr. Paul Najarian as its contact to SCV.</w:t>
            </w:r>
          </w:p>
          <w:p w14:paraId="221F85DB" w14:textId="1469D91F" w:rsidR="00F0236A" w:rsidRPr="00073574" w:rsidRDefault="00F0236A" w:rsidP="539711DF">
            <w:pPr>
              <w:pStyle w:val="Tabletext"/>
              <w:rPr>
                <w:sz w:val="24"/>
                <w:szCs w:val="24"/>
              </w:rPr>
            </w:pPr>
            <w:r w:rsidRPr="00073574">
              <w:t>The ITU-T Security Compendium is continuously updated with all ITU-T security related terms and definitions.</w:t>
            </w:r>
          </w:p>
          <w:p w14:paraId="54E35EC3" w14:textId="4E3E46CD" w:rsidR="00F0236A" w:rsidRPr="00073574" w:rsidRDefault="41C53BD3" w:rsidP="00CD1AC0">
            <w:pPr>
              <w:pStyle w:val="Tabletext"/>
            </w:pPr>
            <w:r w:rsidRPr="00073574">
              <w:t xml:space="preserve">SG17 consented </w:t>
            </w:r>
            <w:r w:rsidR="000B4CEE" w:rsidRPr="00073574">
              <w:t xml:space="preserve">ITU-T </w:t>
            </w:r>
            <w:r w:rsidRPr="00073574">
              <w:t xml:space="preserve">X.1400, </w:t>
            </w:r>
            <w:r w:rsidRPr="00073574">
              <w:rPr>
                <w:i/>
                <w:iCs/>
              </w:rPr>
              <w:t>Terms and definitions for distributed ledger technology</w:t>
            </w:r>
            <w:r w:rsidRPr="00073574">
              <w:t xml:space="preserve"> and plans to approve revised </w:t>
            </w:r>
            <w:r w:rsidR="000B4CEE" w:rsidRPr="00073574">
              <w:t xml:space="preserve">ITU-T </w:t>
            </w:r>
            <w:r w:rsidRPr="00073574">
              <w:t xml:space="preserve">X.1252, </w:t>
            </w:r>
            <w:r w:rsidRPr="00073574">
              <w:rPr>
                <w:i/>
                <w:iCs/>
              </w:rPr>
              <w:t>Baseline identity management terms and definitions</w:t>
            </w:r>
            <w:r w:rsidRPr="00073574">
              <w:t xml:space="preserve"> at its Jan</w:t>
            </w:r>
            <w:r w:rsidR="00923005" w:rsidRPr="00073574">
              <w:t>uary</w:t>
            </w:r>
            <w:r w:rsidRPr="00073574">
              <w:t xml:space="preserve"> 2021 SG17 meeting</w:t>
            </w:r>
            <w:r w:rsidR="5B93898B" w:rsidRPr="00073574">
              <w:t>.</w:t>
            </w:r>
          </w:p>
        </w:tc>
      </w:tr>
      <w:tr w:rsidR="00F0236A" w:rsidRPr="00073574" w14:paraId="2162A821" w14:textId="77777777" w:rsidTr="634A3A28">
        <w:trPr>
          <w:cantSplit/>
          <w:jc w:val="center"/>
        </w:trPr>
        <w:tc>
          <w:tcPr>
            <w:tcW w:w="908" w:type="dxa"/>
            <w:vMerge w:val="restart"/>
            <w:tcBorders>
              <w:top w:val="single" w:sz="12" w:space="0" w:color="auto"/>
            </w:tcBorders>
            <w:shd w:val="clear" w:color="auto" w:fill="auto"/>
          </w:tcPr>
          <w:p w14:paraId="5C5CA483" w14:textId="77777777" w:rsidR="00F0236A" w:rsidRPr="00073574" w:rsidRDefault="00F0236A" w:rsidP="0066741D">
            <w:pPr>
              <w:pStyle w:val="Tabletext"/>
              <w:keepNext/>
              <w:keepLines/>
              <w:rPr>
                <w:b/>
                <w:bCs/>
                <w:sz w:val="24"/>
                <w:szCs w:val="24"/>
              </w:rPr>
            </w:pPr>
            <w:r w:rsidRPr="00073574">
              <w:rPr>
                <w:b/>
                <w:bCs/>
                <w:sz w:val="24"/>
                <w:szCs w:val="24"/>
              </w:rPr>
              <w:lastRenderedPageBreak/>
              <w:t>50-06</w:t>
            </w:r>
          </w:p>
        </w:tc>
        <w:tc>
          <w:tcPr>
            <w:tcW w:w="4895" w:type="dxa"/>
            <w:tcBorders>
              <w:top w:val="single" w:sz="12" w:space="0" w:color="auto"/>
            </w:tcBorders>
            <w:shd w:val="clear" w:color="auto" w:fill="auto"/>
          </w:tcPr>
          <w:p w14:paraId="69201BF1" w14:textId="77777777" w:rsidR="00F0236A" w:rsidRPr="00073574" w:rsidRDefault="00F0236A" w:rsidP="0066741D">
            <w:pPr>
              <w:pStyle w:val="Tabletext"/>
              <w:keepNext/>
              <w:keepLines/>
              <w:rPr>
                <w:b/>
                <w:bCs/>
                <w:sz w:val="24"/>
                <w:szCs w:val="24"/>
              </w:rPr>
            </w:pPr>
            <w:r w:rsidRPr="00073574">
              <w:rPr>
                <w:b/>
                <w:bCs/>
                <w:sz w:val="24"/>
                <w:szCs w:val="24"/>
              </w:rPr>
              <w:t>SG17 to promote global, consistent and interoperable processes for sharing incident-response related information. (resolves 6)</w:t>
            </w:r>
          </w:p>
        </w:tc>
        <w:tc>
          <w:tcPr>
            <w:tcW w:w="1548" w:type="dxa"/>
            <w:tcBorders>
              <w:top w:val="single" w:sz="12" w:space="0" w:color="auto"/>
            </w:tcBorders>
            <w:shd w:val="clear" w:color="auto" w:fill="auto"/>
            <w:vAlign w:val="center"/>
          </w:tcPr>
          <w:p w14:paraId="0FDCCB0A" w14:textId="77777777" w:rsidR="00F0236A" w:rsidRPr="00073574" w:rsidRDefault="00F0236A" w:rsidP="0066741D">
            <w:pPr>
              <w:pStyle w:val="Tabletext"/>
              <w:keepNext/>
              <w:keepLines/>
              <w:jc w:val="center"/>
              <w:rPr>
                <w:b/>
                <w:bCs/>
                <w:sz w:val="24"/>
                <w:szCs w:val="24"/>
              </w:rPr>
            </w:pPr>
            <w:r w:rsidRPr="00073574">
              <w:rPr>
                <w:b/>
                <w:bCs/>
                <w:sz w:val="24"/>
                <w:szCs w:val="24"/>
              </w:rPr>
              <w:t>Ongoing</w:t>
            </w:r>
          </w:p>
        </w:tc>
        <w:tc>
          <w:tcPr>
            <w:tcW w:w="1145" w:type="dxa"/>
            <w:tcBorders>
              <w:top w:val="single" w:sz="12" w:space="0" w:color="auto"/>
            </w:tcBorders>
            <w:shd w:val="clear" w:color="auto" w:fill="auto"/>
            <w:vAlign w:val="center"/>
          </w:tcPr>
          <w:p w14:paraId="2465F3FC" w14:textId="77777777" w:rsidR="00F0236A" w:rsidRPr="00073574" w:rsidRDefault="00F0236A" w:rsidP="0066741D">
            <w:pPr>
              <w:pStyle w:val="Tabletext"/>
              <w:keepNext/>
              <w:keepLines/>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764DCA9C" w14:textId="77777777" w:rsidR="00F0236A" w:rsidRPr="00073574" w:rsidRDefault="00F0236A" w:rsidP="0066741D">
            <w:pPr>
              <w:pStyle w:val="Tabletext"/>
              <w:keepNext/>
              <w:keepLines/>
              <w:jc w:val="center"/>
              <w:rPr>
                <w:b/>
                <w:bCs/>
                <w:sz w:val="24"/>
                <w:szCs w:val="24"/>
              </w:rPr>
            </w:pPr>
          </w:p>
        </w:tc>
      </w:tr>
      <w:tr w:rsidR="00F0236A" w:rsidRPr="00073574" w14:paraId="071B055F" w14:textId="77777777" w:rsidTr="634A3A28">
        <w:trPr>
          <w:cantSplit/>
          <w:jc w:val="center"/>
        </w:trPr>
        <w:tc>
          <w:tcPr>
            <w:tcW w:w="908" w:type="dxa"/>
            <w:vMerge/>
          </w:tcPr>
          <w:p w14:paraId="60D8AB5D" w14:textId="77777777" w:rsidR="00F0236A" w:rsidRPr="00073574" w:rsidRDefault="00F0236A" w:rsidP="0066741D">
            <w:pPr>
              <w:pStyle w:val="Tabletext"/>
              <w:keepNext/>
              <w:keepLines/>
              <w:rPr>
                <w:sz w:val="24"/>
                <w:szCs w:val="24"/>
              </w:rPr>
            </w:pPr>
          </w:p>
        </w:tc>
        <w:tc>
          <w:tcPr>
            <w:tcW w:w="8924" w:type="dxa"/>
            <w:gridSpan w:val="4"/>
            <w:shd w:val="clear" w:color="auto" w:fill="auto"/>
          </w:tcPr>
          <w:p w14:paraId="73330385" w14:textId="050CBEB6" w:rsidR="00F0236A" w:rsidRPr="00073574" w:rsidRDefault="00F0236A" w:rsidP="00DD72DE">
            <w:pPr>
              <w:pStyle w:val="Tabletext"/>
              <w:keepNext/>
              <w:keepLines/>
              <w:rPr>
                <w:szCs w:val="22"/>
              </w:rPr>
            </w:pPr>
            <w:r w:rsidRPr="00073574">
              <w:rPr>
                <w:szCs w:val="22"/>
              </w:rPr>
              <w:t xml:space="preserve">SG17 </w:t>
            </w:r>
            <w:r w:rsidR="00DD72DE" w:rsidRPr="00073574">
              <w:rPr>
                <w:szCs w:val="22"/>
              </w:rPr>
              <w:t xml:space="preserve">developed </w:t>
            </w:r>
            <w:r w:rsidR="00B43B9A" w:rsidRPr="00073574">
              <w:rPr>
                <w:szCs w:val="22"/>
              </w:rPr>
              <w:t xml:space="preserve">draft Recommendation </w:t>
            </w:r>
            <w:r w:rsidR="00F07773" w:rsidRPr="00073574">
              <w:rPr>
                <w:szCs w:val="22"/>
              </w:rPr>
              <w:t xml:space="preserve">ITU-T </w:t>
            </w:r>
            <w:r w:rsidR="00B24A92" w:rsidRPr="00073574">
              <w:rPr>
                <w:szCs w:val="22"/>
              </w:rPr>
              <w:t>X.1215</w:t>
            </w:r>
            <w:r w:rsidRPr="00073574">
              <w:rPr>
                <w:szCs w:val="22"/>
              </w:rPr>
              <w:t xml:space="preserve"> </w:t>
            </w:r>
            <w:r w:rsidR="00B24A92" w:rsidRPr="00073574">
              <w:rPr>
                <w:szCs w:val="22"/>
              </w:rPr>
              <w:t xml:space="preserve">on </w:t>
            </w:r>
            <w:r w:rsidRPr="00073574">
              <w:rPr>
                <w:szCs w:val="22"/>
              </w:rPr>
              <w:t xml:space="preserve">use cases for </w:t>
            </w:r>
            <w:r w:rsidR="00B24A92" w:rsidRPr="00073574">
              <w:rPr>
                <w:szCs w:val="22"/>
              </w:rPr>
              <w:t xml:space="preserve">structured threat information expression </w:t>
            </w:r>
            <w:r w:rsidRPr="00073574">
              <w:rPr>
                <w:szCs w:val="22"/>
              </w:rPr>
              <w:t>(STIX).</w:t>
            </w:r>
          </w:p>
        </w:tc>
      </w:tr>
      <w:tr w:rsidR="00F0236A" w:rsidRPr="00073574" w14:paraId="7E4864D4" w14:textId="77777777" w:rsidTr="634A3A28">
        <w:trPr>
          <w:cantSplit/>
          <w:jc w:val="center"/>
        </w:trPr>
        <w:tc>
          <w:tcPr>
            <w:tcW w:w="908" w:type="dxa"/>
            <w:vMerge w:val="restart"/>
            <w:tcBorders>
              <w:top w:val="single" w:sz="12" w:space="0" w:color="auto"/>
            </w:tcBorders>
            <w:shd w:val="clear" w:color="auto" w:fill="auto"/>
          </w:tcPr>
          <w:p w14:paraId="32A9D153" w14:textId="77777777" w:rsidR="00F0236A" w:rsidRPr="00073574" w:rsidRDefault="00F0236A" w:rsidP="00DF36E1">
            <w:pPr>
              <w:pStyle w:val="Tabletext"/>
              <w:keepNext/>
              <w:keepLines/>
              <w:rPr>
                <w:b/>
                <w:bCs/>
                <w:sz w:val="24"/>
                <w:szCs w:val="24"/>
              </w:rPr>
            </w:pPr>
            <w:r w:rsidRPr="00073574">
              <w:rPr>
                <w:b/>
                <w:bCs/>
                <w:sz w:val="24"/>
                <w:szCs w:val="24"/>
              </w:rPr>
              <w:t>50-08</w:t>
            </w:r>
          </w:p>
        </w:tc>
        <w:tc>
          <w:tcPr>
            <w:tcW w:w="4895" w:type="dxa"/>
            <w:tcBorders>
              <w:top w:val="single" w:sz="12" w:space="0" w:color="auto"/>
            </w:tcBorders>
            <w:shd w:val="clear" w:color="auto" w:fill="auto"/>
          </w:tcPr>
          <w:p w14:paraId="37D01F64" w14:textId="77777777" w:rsidR="00F0236A" w:rsidRPr="00073574" w:rsidRDefault="00F0236A" w:rsidP="00DF36E1">
            <w:pPr>
              <w:pStyle w:val="Tabletext"/>
              <w:keepNext/>
              <w:keepLines/>
              <w:rPr>
                <w:b/>
                <w:bCs/>
                <w:sz w:val="24"/>
                <w:szCs w:val="24"/>
              </w:rPr>
            </w:pPr>
            <w:r w:rsidRPr="00073574">
              <w:rPr>
                <w:b/>
                <w:bCs/>
                <w:sz w:val="24"/>
                <w:szCs w:val="24"/>
              </w:rPr>
              <w:t>TSB Director to continue to maintain an inventory of initiatives and activities to promote harmonization of strategies and approaches in cybersecurity. (i. TSBDir 1)</w:t>
            </w:r>
          </w:p>
        </w:tc>
        <w:tc>
          <w:tcPr>
            <w:tcW w:w="1548" w:type="dxa"/>
            <w:tcBorders>
              <w:top w:val="single" w:sz="12" w:space="0" w:color="auto"/>
            </w:tcBorders>
            <w:shd w:val="clear" w:color="auto" w:fill="auto"/>
            <w:vAlign w:val="center"/>
          </w:tcPr>
          <w:p w14:paraId="465108AF"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45" w:type="dxa"/>
            <w:tcBorders>
              <w:top w:val="single" w:sz="12" w:space="0" w:color="auto"/>
            </w:tcBorders>
            <w:shd w:val="clear" w:color="auto" w:fill="auto"/>
            <w:vAlign w:val="center"/>
          </w:tcPr>
          <w:p w14:paraId="2DC6F4BF"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44A80EB1" w14:textId="77777777" w:rsidR="00F0236A" w:rsidRPr="00073574" w:rsidRDefault="00F0236A" w:rsidP="00DF36E1">
            <w:pPr>
              <w:pStyle w:val="Tabletext"/>
              <w:jc w:val="center"/>
              <w:rPr>
                <w:b/>
                <w:bCs/>
                <w:sz w:val="24"/>
                <w:szCs w:val="24"/>
              </w:rPr>
            </w:pPr>
          </w:p>
        </w:tc>
      </w:tr>
      <w:tr w:rsidR="00F0236A" w:rsidRPr="00073574" w14:paraId="7FB62B55" w14:textId="77777777" w:rsidTr="634A3A28">
        <w:trPr>
          <w:cantSplit/>
          <w:jc w:val="center"/>
        </w:trPr>
        <w:tc>
          <w:tcPr>
            <w:tcW w:w="908" w:type="dxa"/>
            <w:vMerge/>
          </w:tcPr>
          <w:p w14:paraId="3A5112A0" w14:textId="77777777" w:rsidR="00F0236A" w:rsidRPr="00073574" w:rsidRDefault="00F0236A" w:rsidP="00DF36E1">
            <w:pPr>
              <w:pStyle w:val="Tabletext"/>
              <w:rPr>
                <w:sz w:val="24"/>
                <w:szCs w:val="24"/>
              </w:rPr>
            </w:pPr>
          </w:p>
        </w:tc>
        <w:tc>
          <w:tcPr>
            <w:tcW w:w="8924" w:type="dxa"/>
            <w:gridSpan w:val="4"/>
            <w:tcBorders>
              <w:bottom w:val="single" w:sz="12" w:space="0" w:color="auto"/>
            </w:tcBorders>
            <w:shd w:val="clear" w:color="auto" w:fill="auto"/>
          </w:tcPr>
          <w:p w14:paraId="53445678" w14:textId="77777777" w:rsidR="00F0236A" w:rsidRPr="00073574" w:rsidRDefault="00F0236A" w:rsidP="00DF36E1">
            <w:pPr>
              <w:pStyle w:val="Tabletext"/>
              <w:rPr>
                <w:sz w:val="24"/>
                <w:szCs w:val="24"/>
              </w:rPr>
            </w:pPr>
            <w:r w:rsidRPr="00073574">
              <w:rPr>
                <w:szCs w:val="22"/>
              </w:rPr>
              <w:t xml:space="preserve">SG17 maintains a webpage of </w:t>
            </w:r>
            <w:hyperlink r:id="rId359" w:history="1">
              <w:r w:rsidRPr="00073574">
                <w:rPr>
                  <w:rStyle w:val="Hyperlink"/>
                  <w:szCs w:val="22"/>
                </w:rPr>
                <w:t>Network Forensic and Vulnerability Organizations</w:t>
              </w:r>
            </w:hyperlink>
            <w:r w:rsidRPr="00073574">
              <w:rPr>
                <w:szCs w:val="22"/>
              </w:rPr>
              <w:t>.</w:t>
            </w:r>
          </w:p>
        </w:tc>
      </w:tr>
      <w:tr w:rsidR="00F0236A" w:rsidRPr="00073574" w14:paraId="068C66BB" w14:textId="77777777" w:rsidTr="634A3A28">
        <w:trPr>
          <w:cantSplit/>
          <w:jc w:val="center"/>
        </w:trPr>
        <w:tc>
          <w:tcPr>
            <w:tcW w:w="908" w:type="dxa"/>
            <w:vMerge w:val="restart"/>
            <w:tcBorders>
              <w:top w:val="single" w:sz="12" w:space="0" w:color="auto"/>
            </w:tcBorders>
            <w:shd w:val="clear" w:color="auto" w:fill="auto"/>
          </w:tcPr>
          <w:p w14:paraId="0AA951BF" w14:textId="77777777" w:rsidR="00F0236A" w:rsidRPr="00073574" w:rsidRDefault="00F0236A" w:rsidP="00DF36E1">
            <w:pPr>
              <w:pStyle w:val="Tabletext"/>
              <w:rPr>
                <w:b/>
                <w:bCs/>
                <w:sz w:val="24"/>
                <w:szCs w:val="24"/>
              </w:rPr>
            </w:pPr>
            <w:r w:rsidRPr="00073574">
              <w:rPr>
                <w:b/>
                <w:bCs/>
                <w:sz w:val="24"/>
                <w:szCs w:val="24"/>
              </w:rPr>
              <w:t>50-09</w:t>
            </w:r>
          </w:p>
        </w:tc>
        <w:tc>
          <w:tcPr>
            <w:tcW w:w="4895" w:type="dxa"/>
            <w:tcBorders>
              <w:top w:val="single" w:sz="12" w:space="0" w:color="auto"/>
            </w:tcBorders>
            <w:shd w:val="clear" w:color="auto" w:fill="auto"/>
          </w:tcPr>
          <w:p w14:paraId="1CB1B53A" w14:textId="77777777" w:rsidR="00F0236A" w:rsidRPr="00073574" w:rsidRDefault="00F0236A" w:rsidP="00DF36E1">
            <w:pPr>
              <w:pStyle w:val="Tabletext"/>
              <w:rPr>
                <w:b/>
                <w:bCs/>
                <w:sz w:val="24"/>
                <w:szCs w:val="24"/>
              </w:rPr>
            </w:pPr>
            <w:r w:rsidRPr="00073574">
              <w:rPr>
                <w:b/>
                <w:bCs/>
                <w:sz w:val="24"/>
                <w:szCs w:val="24"/>
              </w:rPr>
              <w:t>TSB Director to report to annual reports to Council on actions taken under Resolution 50, and on ICT Security Standards Roadmap. (i. TSBDir 2, 3)</w:t>
            </w:r>
          </w:p>
        </w:tc>
        <w:tc>
          <w:tcPr>
            <w:tcW w:w="1548" w:type="dxa"/>
            <w:tcBorders>
              <w:top w:val="single" w:sz="12" w:space="0" w:color="auto"/>
            </w:tcBorders>
            <w:shd w:val="clear" w:color="auto" w:fill="auto"/>
            <w:vAlign w:val="center"/>
          </w:tcPr>
          <w:p w14:paraId="68822552" w14:textId="193577CE" w:rsidR="00F0236A" w:rsidRPr="00073574" w:rsidRDefault="00F0236A" w:rsidP="0049382C">
            <w:pPr>
              <w:pStyle w:val="Tabletext"/>
              <w:jc w:val="center"/>
              <w:rPr>
                <w:b/>
                <w:bCs/>
                <w:sz w:val="24"/>
                <w:szCs w:val="24"/>
              </w:rPr>
            </w:pPr>
            <w:r w:rsidRPr="00073574">
              <w:rPr>
                <w:b/>
                <w:bCs/>
                <w:sz w:val="24"/>
                <w:szCs w:val="24"/>
              </w:rPr>
              <w:t>Annual, Council 20</w:t>
            </w:r>
            <w:r w:rsidR="0049382C" w:rsidRPr="00073574">
              <w:rPr>
                <w:b/>
                <w:bCs/>
                <w:sz w:val="24"/>
                <w:szCs w:val="24"/>
              </w:rPr>
              <w:t>20</w:t>
            </w:r>
          </w:p>
        </w:tc>
        <w:tc>
          <w:tcPr>
            <w:tcW w:w="1145" w:type="dxa"/>
            <w:tcBorders>
              <w:top w:val="single" w:sz="12" w:space="0" w:color="auto"/>
            </w:tcBorders>
            <w:shd w:val="clear" w:color="auto" w:fill="auto"/>
            <w:vAlign w:val="center"/>
          </w:tcPr>
          <w:p w14:paraId="63DE9DEB"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6E5D261F" w14:textId="77777777" w:rsidR="00F0236A" w:rsidRPr="00073574" w:rsidRDefault="00F0236A" w:rsidP="00DF36E1">
            <w:pPr>
              <w:pStyle w:val="Tabletext"/>
              <w:jc w:val="center"/>
              <w:rPr>
                <w:b/>
                <w:bCs/>
                <w:sz w:val="24"/>
                <w:szCs w:val="24"/>
              </w:rPr>
            </w:pPr>
          </w:p>
        </w:tc>
      </w:tr>
      <w:tr w:rsidR="00F0236A" w:rsidRPr="00073574" w14:paraId="6A50BF52" w14:textId="77777777" w:rsidTr="634A3A28">
        <w:trPr>
          <w:cantSplit/>
          <w:jc w:val="center"/>
        </w:trPr>
        <w:tc>
          <w:tcPr>
            <w:tcW w:w="908" w:type="dxa"/>
            <w:vMerge/>
          </w:tcPr>
          <w:p w14:paraId="534DC3F6" w14:textId="77777777" w:rsidR="00F0236A" w:rsidRPr="00073574" w:rsidRDefault="00F0236A" w:rsidP="00DF36E1">
            <w:pPr>
              <w:pStyle w:val="Tabletext"/>
              <w:rPr>
                <w:sz w:val="24"/>
                <w:szCs w:val="24"/>
              </w:rPr>
            </w:pPr>
          </w:p>
        </w:tc>
        <w:tc>
          <w:tcPr>
            <w:tcW w:w="8924" w:type="dxa"/>
            <w:gridSpan w:val="4"/>
            <w:tcBorders>
              <w:bottom w:val="single" w:sz="12" w:space="0" w:color="auto"/>
            </w:tcBorders>
            <w:shd w:val="clear" w:color="auto" w:fill="auto"/>
          </w:tcPr>
          <w:p w14:paraId="69639EC3" w14:textId="0A18676D" w:rsidR="00F0236A" w:rsidRPr="00073574" w:rsidRDefault="00F0236A" w:rsidP="00DF36E1">
            <w:pPr>
              <w:pStyle w:val="Tabletext"/>
              <w:rPr>
                <w:szCs w:val="22"/>
              </w:rPr>
            </w:pPr>
            <w:r w:rsidRPr="00073574">
              <w:rPr>
                <w:szCs w:val="22"/>
              </w:rPr>
              <w:t xml:space="preserve">TSB Director reports to Council are contained within </w:t>
            </w:r>
            <w:hyperlink r:id="rId360" w:history="1">
              <w:r w:rsidRPr="00073574">
                <w:rPr>
                  <w:rStyle w:val="Hyperlink"/>
                  <w:szCs w:val="22"/>
                </w:rPr>
                <w:t>C17/18</w:t>
              </w:r>
            </w:hyperlink>
            <w:r w:rsidRPr="00073574">
              <w:rPr>
                <w:rStyle w:val="Hyperlink"/>
                <w:color w:val="auto"/>
                <w:szCs w:val="22"/>
                <w:u w:val="none"/>
              </w:rPr>
              <w:t xml:space="preserve">, </w:t>
            </w:r>
            <w:hyperlink r:id="rId361" w:history="1">
              <w:r w:rsidRPr="00073574">
                <w:rPr>
                  <w:rStyle w:val="Hyperlink"/>
                  <w:szCs w:val="22"/>
                </w:rPr>
                <w:t>C18/</w:t>
              </w:r>
              <w:r w:rsidR="00D15D44" w:rsidRPr="00073574">
                <w:rPr>
                  <w:rStyle w:val="Hyperlink"/>
                  <w:szCs w:val="22"/>
                </w:rPr>
                <w:t>18</w:t>
              </w:r>
            </w:hyperlink>
            <w:r w:rsidR="00884A35" w:rsidRPr="00073574">
              <w:rPr>
                <w:rStyle w:val="Hyperlink"/>
                <w:szCs w:val="22"/>
              </w:rPr>
              <w:t>,</w:t>
            </w:r>
            <w:r w:rsidR="00884A35" w:rsidRPr="00073574">
              <w:rPr>
                <w:rStyle w:val="Hyperlink"/>
              </w:rPr>
              <w:t xml:space="preserve"> </w:t>
            </w:r>
            <w:hyperlink r:id="rId362" w:history="1">
              <w:r w:rsidR="004948FF" w:rsidRPr="00073574">
                <w:rPr>
                  <w:rStyle w:val="Hyperlink"/>
                </w:rPr>
                <w:t>C19/20</w:t>
              </w:r>
            </w:hyperlink>
            <w:r w:rsidR="00EF164A" w:rsidRPr="00073574">
              <w:rPr>
                <w:rStyle w:val="Hyperlink"/>
              </w:rPr>
              <w:t>,</w:t>
            </w:r>
            <w:r w:rsidR="00884A35" w:rsidRPr="00073574">
              <w:rPr>
                <w:rStyle w:val="Hyperlink"/>
              </w:rPr>
              <w:t xml:space="preserve"> </w:t>
            </w:r>
            <w:hyperlink r:id="rId363" w:history="1">
              <w:r w:rsidR="00884A35" w:rsidRPr="00073574">
                <w:rPr>
                  <w:rStyle w:val="Hyperlink"/>
                </w:rPr>
                <w:t>C20/18</w:t>
              </w:r>
            </w:hyperlink>
            <w:r w:rsidR="00EF164A" w:rsidRPr="00073574">
              <w:rPr>
                <w:rStyle w:val="Hyperlink"/>
              </w:rPr>
              <w:t xml:space="preserve">, and </w:t>
            </w:r>
            <w:hyperlink r:id="rId364" w:history="1">
              <w:r w:rsidR="00986CCF" w:rsidRPr="00073574">
                <w:rPr>
                  <w:rStyle w:val="Hyperlink"/>
                </w:rPr>
                <w:t>C21/18</w:t>
              </w:r>
            </w:hyperlink>
            <w:r w:rsidRPr="00073574">
              <w:rPr>
                <w:szCs w:val="22"/>
              </w:rPr>
              <w:t>.</w:t>
            </w:r>
          </w:p>
          <w:p w14:paraId="2DCE9C59" w14:textId="40CCD17C" w:rsidR="00F0236A" w:rsidRPr="00073574" w:rsidRDefault="00F0236A" w:rsidP="00E03F0E">
            <w:pPr>
              <w:pStyle w:val="Tabletext"/>
              <w:rPr>
                <w:szCs w:val="22"/>
              </w:rPr>
            </w:pPr>
            <w:r w:rsidRPr="00073574">
              <w:rPr>
                <w:szCs w:val="22"/>
              </w:rPr>
              <w:t xml:space="preserve">SG17 </w:t>
            </w:r>
            <w:r w:rsidR="00E03F0E" w:rsidRPr="00073574">
              <w:rPr>
                <w:szCs w:val="22"/>
              </w:rPr>
              <w:t xml:space="preserve">keeps </w:t>
            </w:r>
            <w:r w:rsidRPr="00073574">
              <w:rPr>
                <w:szCs w:val="22"/>
              </w:rPr>
              <w:t>updat</w:t>
            </w:r>
            <w:r w:rsidR="00E03F0E" w:rsidRPr="00073574">
              <w:rPr>
                <w:szCs w:val="22"/>
              </w:rPr>
              <w:t>ing the</w:t>
            </w:r>
            <w:r w:rsidRPr="00073574">
              <w:rPr>
                <w:szCs w:val="22"/>
              </w:rPr>
              <w:t xml:space="preserve"> ICT Security Standards Roadmap</w:t>
            </w:r>
            <w:r w:rsidR="00DD72DE" w:rsidRPr="00073574">
              <w:rPr>
                <w:szCs w:val="22"/>
              </w:rPr>
              <w:t xml:space="preserve"> database</w:t>
            </w:r>
            <w:r w:rsidRPr="00073574">
              <w:rPr>
                <w:szCs w:val="22"/>
              </w:rPr>
              <w:t>.</w:t>
            </w:r>
          </w:p>
        </w:tc>
      </w:tr>
      <w:tr w:rsidR="00F0236A" w:rsidRPr="00073574" w14:paraId="19434D14" w14:textId="77777777" w:rsidTr="634A3A28">
        <w:trPr>
          <w:jc w:val="center"/>
        </w:trPr>
        <w:tc>
          <w:tcPr>
            <w:tcW w:w="908" w:type="dxa"/>
            <w:vMerge w:val="restart"/>
            <w:tcBorders>
              <w:top w:val="single" w:sz="12" w:space="0" w:color="auto"/>
            </w:tcBorders>
            <w:shd w:val="clear" w:color="auto" w:fill="auto"/>
          </w:tcPr>
          <w:p w14:paraId="36C8A773" w14:textId="77777777" w:rsidR="00F0236A" w:rsidRPr="00073574" w:rsidRDefault="00F0236A" w:rsidP="00925BAB">
            <w:pPr>
              <w:pStyle w:val="Tabletext"/>
              <w:keepNext/>
              <w:keepLines/>
              <w:rPr>
                <w:b/>
                <w:bCs/>
                <w:sz w:val="24"/>
                <w:szCs w:val="24"/>
              </w:rPr>
            </w:pPr>
            <w:r w:rsidRPr="00073574">
              <w:rPr>
                <w:b/>
                <w:bCs/>
                <w:sz w:val="24"/>
                <w:szCs w:val="24"/>
              </w:rPr>
              <w:t>50-10</w:t>
            </w:r>
          </w:p>
        </w:tc>
        <w:tc>
          <w:tcPr>
            <w:tcW w:w="4895" w:type="dxa"/>
            <w:tcBorders>
              <w:top w:val="single" w:sz="12" w:space="0" w:color="auto"/>
            </w:tcBorders>
            <w:shd w:val="clear" w:color="auto" w:fill="auto"/>
          </w:tcPr>
          <w:p w14:paraId="4ACCA784" w14:textId="77777777" w:rsidR="00F0236A" w:rsidRPr="00073574" w:rsidRDefault="00F0236A" w:rsidP="00925BAB">
            <w:pPr>
              <w:pStyle w:val="Tabletext"/>
              <w:keepNext/>
              <w:keepLines/>
              <w:rPr>
                <w:b/>
                <w:bCs/>
                <w:sz w:val="24"/>
                <w:szCs w:val="24"/>
              </w:rPr>
            </w:pPr>
            <w:r w:rsidRPr="00073574">
              <w:rPr>
                <w:b/>
                <w:bCs/>
                <w:sz w:val="24"/>
                <w:szCs w:val="24"/>
              </w:rPr>
              <w:t>TSB Director to continue contributing to WSIS security activities. (i. TSBDir 5)</w:t>
            </w:r>
          </w:p>
        </w:tc>
        <w:tc>
          <w:tcPr>
            <w:tcW w:w="1548" w:type="dxa"/>
            <w:tcBorders>
              <w:top w:val="single" w:sz="12" w:space="0" w:color="auto"/>
            </w:tcBorders>
            <w:shd w:val="clear" w:color="auto" w:fill="auto"/>
            <w:vAlign w:val="center"/>
          </w:tcPr>
          <w:p w14:paraId="28434A65" w14:textId="77777777" w:rsidR="00F0236A" w:rsidRPr="00073574" w:rsidRDefault="00F0236A" w:rsidP="00925BAB">
            <w:pPr>
              <w:pStyle w:val="Tabletext"/>
              <w:keepNext/>
              <w:keepLines/>
              <w:jc w:val="center"/>
              <w:rPr>
                <w:b/>
                <w:bCs/>
                <w:sz w:val="24"/>
                <w:szCs w:val="24"/>
              </w:rPr>
            </w:pPr>
            <w:r w:rsidRPr="00073574">
              <w:rPr>
                <w:b/>
                <w:bCs/>
                <w:sz w:val="24"/>
                <w:szCs w:val="24"/>
              </w:rPr>
              <w:t>Ongoing</w:t>
            </w:r>
          </w:p>
        </w:tc>
        <w:tc>
          <w:tcPr>
            <w:tcW w:w="1145" w:type="dxa"/>
            <w:tcBorders>
              <w:top w:val="single" w:sz="12" w:space="0" w:color="auto"/>
            </w:tcBorders>
            <w:shd w:val="clear" w:color="auto" w:fill="auto"/>
            <w:vAlign w:val="center"/>
          </w:tcPr>
          <w:p w14:paraId="3889DD8F" w14:textId="77777777" w:rsidR="00F0236A" w:rsidRPr="00073574" w:rsidRDefault="00F0236A" w:rsidP="00925BAB">
            <w:pPr>
              <w:pStyle w:val="Tabletext"/>
              <w:keepNext/>
              <w:keepLines/>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1C057AC3" w14:textId="77777777" w:rsidR="00F0236A" w:rsidRPr="00073574" w:rsidRDefault="00F0236A" w:rsidP="00925BAB">
            <w:pPr>
              <w:pStyle w:val="Tabletext"/>
              <w:keepNext/>
              <w:keepLines/>
              <w:jc w:val="center"/>
              <w:rPr>
                <w:b/>
                <w:bCs/>
                <w:sz w:val="24"/>
                <w:szCs w:val="24"/>
              </w:rPr>
            </w:pPr>
          </w:p>
        </w:tc>
      </w:tr>
      <w:tr w:rsidR="00F0236A" w:rsidRPr="00073574" w14:paraId="0FA97321" w14:textId="77777777" w:rsidTr="634A3A28">
        <w:trPr>
          <w:jc w:val="center"/>
        </w:trPr>
        <w:tc>
          <w:tcPr>
            <w:tcW w:w="908" w:type="dxa"/>
            <w:vMerge/>
          </w:tcPr>
          <w:p w14:paraId="45F0C19F" w14:textId="77777777" w:rsidR="00F0236A" w:rsidRPr="00073574" w:rsidRDefault="00F0236A" w:rsidP="00925BAB">
            <w:pPr>
              <w:pStyle w:val="Tabletext"/>
              <w:keepNext/>
              <w:keepLines/>
              <w:rPr>
                <w:sz w:val="24"/>
                <w:szCs w:val="24"/>
              </w:rPr>
            </w:pPr>
          </w:p>
        </w:tc>
        <w:tc>
          <w:tcPr>
            <w:tcW w:w="8924" w:type="dxa"/>
            <w:gridSpan w:val="4"/>
            <w:tcBorders>
              <w:bottom w:val="single" w:sz="12" w:space="0" w:color="auto"/>
            </w:tcBorders>
            <w:shd w:val="clear" w:color="auto" w:fill="auto"/>
          </w:tcPr>
          <w:p w14:paraId="4040C3EF" w14:textId="77777777" w:rsidR="00F0236A" w:rsidRPr="00073574" w:rsidRDefault="00F0236A" w:rsidP="00925BAB">
            <w:pPr>
              <w:pStyle w:val="Tabletext"/>
              <w:keepNext/>
              <w:keepLines/>
              <w:rPr>
                <w:szCs w:val="22"/>
              </w:rPr>
            </w:pPr>
            <w:r w:rsidRPr="00073574">
              <w:rPr>
                <w:szCs w:val="22"/>
              </w:rPr>
              <w:t>SG17 work on security standardization contributes to technical measures to implementation WSIS Action Line C5.</w:t>
            </w:r>
          </w:p>
        </w:tc>
      </w:tr>
      <w:tr w:rsidR="00F0236A" w:rsidRPr="00073574" w14:paraId="7F9F8415" w14:textId="77777777" w:rsidTr="634A3A28">
        <w:trPr>
          <w:cantSplit/>
          <w:jc w:val="center"/>
        </w:trPr>
        <w:tc>
          <w:tcPr>
            <w:tcW w:w="908" w:type="dxa"/>
            <w:vMerge w:val="restart"/>
            <w:tcBorders>
              <w:top w:val="single" w:sz="12" w:space="0" w:color="auto"/>
            </w:tcBorders>
            <w:shd w:val="clear" w:color="auto" w:fill="auto"/>
          </w:tcPr>
          <w:p w14:paraId="72B28184" w14:textId="77777777" w:rsidR="00F0236A" w:rsidRPr="00073574" w:rsidRDefault="00F0236A" w:rsidP="00421132">
            <w:pPr>
              <w:pStyle w:val="Tabletext"/>
              <w:keepNext/>
              <w:keepLines/>
              <w:rPr>
                <w:b/>
                <w:bCs/>
                <w:sz w:val="24"/>
                <w:szCs w:val="24"/>
              </w:rPr>
            </w:pPr>
            <w:r w:rsidRPr="00073574">
              <w:rPr>
                <w:b/>
                <w:bCs/>
                <w:sz w:val="24"/>
                <w:szCs w:val="24"/>
              </w:rPr>
              <w:t>50-11</w:t>
            </w:r>
          </w:p>
        </w:tc>
        <w:tc>
          <w:tcPr>
            <w:tcW w:w="4895" w:type="dxa"/>
            <w:tcBorders>
              <w:top w:val="single" w:sz="12" w:space="0" w:color="auto"/>
            </w:tcBorders>
            <w:shd w:val="clear" w:color="auto" w:fill="auto"/>
          </w:tcPr>
          <w:p w14:paraId="451F9E90" w14:textId="77777777" w:rsidR="00F0236A" w:rsidRPr="00073574" w:rsidRDefault="00F0236A" w:rsidP="00421132">
            <w:pPr>
              <w:pStyle w:val="Tabletext"/>
              <w:keepNext/>
              <w:keepLines/>
              <w:rPr>
                <w:b/>
                <w:bCs/>
                <w:sz w:val="24"/>
                <w:szCs w:val="24"/>
              </w:rPr>
            </w:pPr>
            <w:r w:rsidRPr="00073574">
              <w:rPr>
                <w:b/>
                <w:bCs/>
                <w:sz w:val="24"/>
                <w:szCs w:val="24"/>
              </w:rPr>
              <w:t>TSB Director to cooperate with GCA etc to develop relationship/partnership for ITU membership, esp. developing countries. (i. TSBDir 6)</w:t>
            </w:r>
          </w:p>
        </w:tc>
        <w:tc>
          <w:tcPr>
            <w:tcW w:w="1548" w:type="dxa"/>
            <w:tcBorders>
              <w:top w:val="single" w:sz="12" w:space="0" w:color="auto"/>
            </w:tcBorders>
            <w:shd w:val="clear" w:color="auto" w:fill="auto"/>
            <w:vAlign w:val="center"/>
          </w:tcPr>
          <w:p w14:paraId="6912CCA8" w14:textId="77777777" w:rsidR="00F0236A" w:rsidRPr="00073574" w:rsidRDefault="00F0236A" w:rsidP="00421132">
            <w:pPr>
              <w:pStyle w:val="Tabletext"/>
              <w:keepNext/>
              <w:keepLines/>
              <w:jc w:val="center"/>
              <w:rPr>
                <w:b/>
                <w:bCs/>
                <w:sz w:val="24"/>
                <w:szCs w:val="24"/>
              </w:rPr>
            </w:pPr>
            <w:r w:rsidRPr="00073574">
              <w:rPr>
                <w:b/>
                <w:bCs/>
                <w:sz w:val="24"/>
                <w:szCs w:val="24"/>
              </w:rPr>
              <w:t>Ongoing</w:t>
            </w:r>
          </w:p>
        </w:tc>
        <w:tc>
          <w:tcPr>
            <w:tcW w:w="1145" w:type="dxa"/>
            <w:tcBorders>
              <w:top w:val="single" w:sz="12" w:space="0" w:color="auto"/>
            </w:tcBorders>
            <w:shd w:val="clear" w:color="auto" w:fill="auto"/>
            <w:vAlign w:val="center"/>
          </w:tcPr>
          <w:p w14:paraId="11423AC7" w14:textId="77777777" w:rsidR="00F0236A" w:rsidRPr="00073574" w:rsidRDefault="00F0236A" w:rsidP="00421132">
            <w:pPr>
              <w:pStyle w:val="Tabletext"/>
              <w:keepNext/>
              <w:keepLines/>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34D58D6E" w14:textId="77777777" w:rsidR="00F0236A" w:rsidRPr="00073574" w:rsidRDefault="00F0236A" w:rsidP="00421132">
            <w:pPr>
              <w:pStyle w:val="Tabletext"/>
              <w:keepNext/>
              <w:keepLines/>
              <w:jc w:val="center"/>
              <w:rPr>
                <w:b/>
                <w:bCs/>
                <w:sz w:val="24"/>
                <w:szCs w:val="24"/>
              </w:rPr>
            </w:pPr>
          </w:p>
        </w:tc>
      </w:tr>
      <w:tr w:rsidR="00F0236A" w:rsidRPr="00073574" w14:paraId="7334407A" w14:textId="77777777" w:rsidTr="634A3A28">
        <w:trPr>
          <w:cantSplit/>
          <w:jc w:val="center"/>
        </w:trPr>
        <w:tc>
          <w:tcPr>
            <w:tcW w:w="908" w:type="dxa"/>
            <w:vMerge/>
          </w:tcPr>
          <w:p w14:paraId="259B12A4" w14:textId="77777777" w:rsidR="00F0236A" w:rsidRPr="00073574" w:rsidRDefault="00F0236A" w:rsidP="00421132">
            <w:pPr>
              <w:pStyle w:val="Tabletext"/>
              <w:keepNext/>
              <w:keepLines/>
              <w:rPr>
                <w:sz w:val="24"/>
                <w:szCs w:val="24"/>
              </w:rPr>
            </w:pPr>
          </w:p>
        </w:tc>
        <w:tc>
          <w:tcPr>
            <w:tcW w:w="8924" w:type="dxa"/>
            <w:gridSpan w:val="4"/>
            <w:shd w:val="clear" w:color="auto" w:fill="auto"/>
          </w:tcPr>
          <w:p w14:paraId="4926DE8A" w14:textId="77777777" w:rsidR="00F0236A" w:rsidRPr="00073574" w:rsidRDefault="00F0236A" w:rsidP="00421132">
            <w:pPr>
              <w:pStyle w:val="Tabletext"/>
              <w:keepNext/>
              <w:keepLines/>
              <w:rPr>
                <w:szCs w:val="22"/>
              </w:rPr>
            </w:pPr>
            <w:r w:rsidRPr="00073574">
              <w:rPr>
                <w:szCs w:val="22"/>
              </w:rPr>
              <w:t>ITU General secretary is taking lead.</w:t>
            </w:r>
          </w:p>
        </w:tc>
      </w:tr>
      <w:tr w:rsidR="00F0236A" w:rsidRPr="00073574" w:rsidDel="00EB5A01" w14:paraId="67491314" w14:textId="77777777" w:rsidTr="634A3A28">
        <w:trPr>
          <w:cantSplit/>
          <w:jc w:val="center"/>
        </w:trPr>
        <w:tc>
          <w:tcPr>
            <w:tcW w:w="908" w:type="dxa"/>
            <w:vMerge w:val="restart"/>
            <w:tcBorders>
              <w:top w:val="single" w:sz="12" w:space="0" w:color="auto"/>
            </w:tcBorders>
            <w:shd w:val="clear" w:color="auto" w:fill="auto"/>
          </w:tcPr>
          <w:p w14:paraId="369A7B30" w14:textId="77777777" w:rsidR="00F0236A" w:rsidRPr="00073574" w:rsidDel="00EB5A01" w:rsidRDefault="00F0236A" w:rsidP="00DF36E1">
            <w:pPr>
              <w:pStyle w:val="Tabletext"/>
              <w:rPr>
                <w:b/>
                <w:bCs/>
                <w:sz w:val="24"/>
                <w:szCs w:val="24"/>
              </w:rPr>
            </w:pPr>
            <w:r w:rsidRPr="00073574">
              <w:rPr>
                <w:b/>
                <w:bCs/>
                <w:sz w:val="24"/>
                <w:szCs w:val="24"/>
              </w:rPr>
              <w:t>50-13</w:t>
            </w:r>
          </w:p>
        </w:tc>
        <w:tc>
          <w:tcPr>
            <w:tcW w:w="4895" w:type="dxa"/>
            <w:tcBorders>
              <w:top w:val="single" w:sz="12" w:space="0" w:color="auto"/>
            </w:tcBorders>
            <w:shd w:val="clear" w:color="auto" w:fill="auto"/>
          </w:tcPr>
          <w:p w14:paraId="5F74A572" w14:textId="77777777" w:rsidR="00F0236A" w:rsidRPr="00073574" w:rsidDel="00EB5A01" w:rsidRDefault="00F0236A" w:rsidP="00DF36E1">
            <w:pPr>
              <w:pStyle w:val="Tabletext"/>
              <w:rPr>
                <w:b/>
                <w:bCs/>
                <w:sz w:val="24"/>
                <w:szCs w:val="24"/>
              </w:rPr>
            </w:pPr>
            <w:r w:rsidRPr="00073574">
              <w:rPr>
                <w:b/>
                <w:bCs/>
                <w:sz w:val="24"/>
                <w:szCs w:val="24"/>
              </w:rPr>
              <w:t>TSB Director to support BDT Director in assisting Member States in the establishment of an appropriate framework between developing countries allowing rapid response to major incidents, and to propose an action plan to increase their protection (i. TSBDir 7)</w:t>
            </w:r>
          </w:p>
        </w:tc>
        <w:tc>
          <w:tcPr>
            <w:tcW w:w="1548" w:type="dxa"/>
            <w:tcBorders>
              <w:top w:val="single" w:sz="12" w:space="0" w:color="auto"/>
            </w:tcBorders>
            <w:shd w:val="clear" w:color="auto" w:fill="auto"/>
            <w:vAlign w:val="center"/>
          </w:tcPr>
          <w:p w14:paraId="18FBEB6C" w14:textId="77777777" w:rsidR="00F0236A" w:rsidRPr="00073574" w:rsidDel="00EB5A01" w:rsidRDefault="00F0236A" w:rsidP="00DF36E1">
            <w:pPr>
              <w:pStyle w:val="Tabletext"/>
              <w:jc w:val="center"/>
              <w:rPr>
                <w:b/>
                <w:bCs/>
                <w:sz w:val="24"/>
                <w:szCs w:val="24"/>
              </w:rPr>
            </w:pPr>
            <w:r w:rsidRPr="00073574">
              <w:rPr>
                <w:b/>
                <w:bCs/>
                <w:sz w:val="24"/>
                <w:szCs w:val="24"/>
              </w:rPr>
              <w:t>Ongoing</w:t>
            </w:r>
          </w:p>
        </w:tc>
        <w:tc>
          <w:tcPr>
            <w:tcW w:w="1145" w:type="dxa"/>
            <w:tcBorders>
              <w:top w:val="single" w:sz="12" w:space="0" w:color="auto"/>
            </w:tcBorders>
            <w:shd w:val="clear" w:color="auto" w:fill="auto"/>
            <w:vAlign w:val="center"/>
          </w:tcPr>
          <w:p w14:paraId="13833C05" w14:textId="77777777" w:rsidR="00F0236A" w:rsidRPr="00073574" w:rsidDel="00EB5A01"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2CA23E9F" w14:textId="77777777" w:rsidR="00F0236A" w:rsidRPr="00073574" w:rsidDel="00EB5A01" w:rsidRDefault="00F0236A" w:rsidP="00DF36E1">
            <w:pPr>
              <w:pStyle w:val="Tabletext"/>
              <w:jc w:val="center"/>
              <w:rPr>
                <w:b/>
                <w:bCs/>
                <w:sz w:val="24"/>
                <w:szCs w:val="24"/>
              </w:rPr>
            </w:pPr>
          </w:p>
        </w:tc>
      </w:tr>
      <w:tr w:rsidR="00F0236A" w:rsidRPr="00073574" w:rsidDel="00EB5A01" w14:paraId="337995AF" w14:textId="77777777" w:rsidTr="634A3A28">
        <w:trPr>
          <w:cantSplit/>
          <w:jc w:val="center"/>
        </w:trPr>
        <w:tc>
          <w:tcPr>
            <w:tcW w:w="908" w:type="dxa"/>
            <w:vMerge/>
          </w:tcPr>
          <w:p w14:paraId="796DE4BE" w14:textId="77777777" w:rsidR="00F0236A" w:rsidRPr="00073574" w:rsidRDefault="00F0236A" w:rsidP="00DF36E1">
            <w:pPr>
              <w:pStyle w:val="Tabletext"/>
              <w:rPr>
                <w:sz w:val="24"/>
                <w:szCs w:val="24"/>
              </w:rPr>
            </w:pPr>
          </w:p>
        </w:tc>
        <w:tc>
          <w:tcPr>
            <w:tcW w:w="8924" w:type="dxa"/>
            <w:gridSpan w:val="4"/>
            <w:tcBorders>
              <w:bottom w:val="single" w:sz="12" w:space="0" w:color="auto"/>
            </w:tcBorders>
            <w:shd w:val="clear" w:color="auto" w:fill="auto"/>
          </w:tcPr>
          <w:p w14:paraId="07ED3E3E" w14:textId="77777777" w:rsidR="00F0236A" w:rsidRPr="00073574" w:rsidDel="00EB5A01" w:rsidRDefault="00F0236A" w:rsidP="00DF36E1">
            <w:pPr>
              <w:pStyle w:val="Tabletext"/>
              <w:rPr>
                <w:szCs w:val="22"/>
              </w:rPr>
            </w:pPr>
            <w:r w:rsidRPr="00073574">
              <w:rPr>
                <w:szCs w:val="22"/>
              </w:rPr>
              <w:t>BDT is taking lead.</w:t>
            </w:r>
          </w:p>
        </w:tc>
      </w:tr>
      <w:tr w:rsidR="00F0236A" w:rsidRPr="00073574" w:rsidDel="00EB5A01" w14:paraId="791210B2" w14:textId="77777777" w:rsidTr="634A3A28">
        <w:trPr>
          <w:cantSplit/>
          <w:jc w:val="center"/>
        </w:trPr>
        <w:tc>
          <w:tcPr>
            <w:tcW w:w="908" w:type="dxa"/>
            <w:vMerge w:val="restart"/>
            <w:tcBorders>
              <w:top w:val="single" w:sz="12" w:space="0" w:color="auto"/>
            </w:tcBorders>
            <w:shd w:val="clear" w:color="auto" w:fill="auto"/>
          </w:tcPr>
          <w:p w14:paraId="5A702726" w14:textId="77777777" w:rsidR="00F0236A" w:rsidRPr="00073574" w:rsidRDefault="00F0236A" w:rsidP="00ED1BFF">
            <w:pPr>
              <w:pStyle w:val="Tabletext"/>
              <w:keepNext/>
              <w:keepLines/>
              <w:rPr>
                <w:b/>
                <w:bCs/>
                <w:sz w:val="24"/>
                <w:szCs w:val="24"/>
              </w:rPr>
            </w:pPr>
            <w:r w:rsidRPr="00073574">
              <w:rPr>
                <w:b/>
                <w:bCs/>
                <w:sz w:val="24"/>
                <w:szCs w:val="24"/>
              </w:rPr>
              <w:t>50-14</w:t>
            </w:r>
          </w:p>
        </w:tc>
        <w:tc>
          <w:tcPr>
            <w:tcW w:w="4895" w:type="dxa"/>
            <w:tcBorders>
              <w:top w:val="single" w:sz="12" w:space="0" w:color="auto"/>
            </w:tcBorders>
            <w:shd w:val="clear" w:color="auto" w:fill="auto"/>
          </w:tcPr>
          <w:p w14:paraId="1B9ACF13" w14:textId="77777777" w:rsidR="00F0236A" w:rsidRPr="00073574" w:rsidRDefault="00F0236A" w:rsidP="00ED1BFF">
            <w:pPr>
              <w:pStyle w:val="Tabletext"/>
              <w:keepNext/>
              <w:keepLines/>
              <w:rPr>
                <w:b/>
                <w:bCs/>
                <w:sz w:val="24"/>
                <w:szCs w:val="24"/>
              </w:rPr>
            </w:pPr>
            <w:r w:rsidRPr="00073574">
              <w:rPr>
                <w:b/>
                <w:bCs/>
                <w:sz w:val="24"/>
                <w:szCs w:val="24"/>
              </w:rPr>
              <w:t>TSB Director to support relevant ITU-T study group activities related to security (i. TSBDir 8)</w:t>
            </w:r>
          </w:p>
        </w:tc>
        <w:tc>
          <w:tcPr>
            <w:tcW w:w="1548" w:type="dxa"/>
            <w:tcBorders>
              <w:top w:val="single" w:sz="12" w:space="0" w:color="auto"/>
            </w:tcBorders>
            <w:shd w:val="clear" w:color="auto" w:fill="auto"/>
            <w:vAlign w:val="center"/>
          </w:tcPr>
          <w:p w14:paraId="1D06BF75" w14:textId="77777777" w:rsidR="00F0236A" w:rsidRPr="00073574" w:rsidRDefault="00F0236A" w:rsidP="00ED1BFF">
            <w:pPr>
              <w:pStyle w:val="Tabletext"/>
              <w:keepNext/>
              <w:keepLines/>
              <w:jc w:val="center"/>
              <w:rPr>
                <w:b/>
                <w:bCs/>
                <w:sz w:val="24"/>
                <w:szCs w:val="24"/>
              </w:rPr>
            </w:pPr>
            <w:r w:rsidRPr="00073574">
              <w:rPr>
                <w:b/>
                <w:bCs/>
                <w:sz w:val="24"/>
                <w:szCs w:val="24"/>
              </w:rPr>
              <w:t>Ongoing</w:t>
            </w:r>
          </w:p>
        </w:tc>
        <w:tc>
          <w:tcPr>
            <w:tcW w:w="1145" w:type="dxa"/>
            <w:tcBorders>
              <w:top w:val="single" w:sz="12" w:space="0" w:color="auto"/>
            </w:tcBorders>
            <w:shd w:val="clear" w:color="auto" w:fill="auto"/>
            <w:vAlign w:val="center"/>
          </w:tcPr>
          <w:p w14:paraId="26EB9DC8" w14:textId="334898B0" w:rsidR="00F0236A" w:rsidRPr="00073574" w:rsidDel="00EB5A01" w:rsidRDefault="001D491C" w:rsidP="00ED1BFF">
            <w:pPr>
              <w:pStyle w:val="Tabletext"/>
              <w:keepNext/>
              <w:keepLines/>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3810D6ED" w14:textId="77777777" w:rsidR="00F0236A" w:rsidRPr="00073574" w:rsidDel="00EB5A01" w:rsidRDefault="00F0236A" w:rsidP="00ED1BFF">
            <w:pPr>
              <w:pStyle w:val="Tabletext"/>
              <w:keepNext/>
              <w:keepLines/>
              <w:jc w:val="center"/>
              <w:rPr>
                <w:b/>
                <w:bCs/>
                <w:sz w:val="24"/>
                <w:szCs w:val="24"/>
              </w:rPr>
            </w:pPr>
          </w:p>
        </w:tc>
      </w:tr>
      <w:tr w:rsidR="00F0236A" w:rsidRPr="00073574" w:rsidDel="00EB5A01" w14:paraId="317448E0" w14:textId="77777777" w:rsidTr="634A3A28">
        <w:trPr>
          <w:cantSplit/>
          <w:jc w:val="center"/>
        </w:trPr>
        <w:tc>
          <w:tcPr>
            <w:tcW w:w="908" w:type="dxa"/>
            <w:vMerge/>
          </w:tcPr>
          <w:p w14:paraId="45176B42" w14:textId="77777777" w:rsidR="00F0236A" w:rsidRPr="00073574" w:rsidRDefault="00F0236A" w:rsidP="00ED1BFF">
            <w:pPr>
              <w:pStyle w:val="Tabletext"/>
              <w:keepNext/>
              <w:keepLines/>
              <w:rPr>
                <w:sz w:val="24"/>
                <w:szCs w:val="24"/>
              </w:rPr>
            </w:pPr>
          </w:p>
        </w:tc>
        <w:tc>
          <w:tcPr>
            <w:tcW w:w="8924" w:type="dxa"/>
            <w:gridSpan w:val="4"/>
            <w:tcBorders>
              <w:bottom w:val="single" w:sz="12" w:space="0" w:color="auto"/>
            </w:tcBorders>
            <w:shd w:val="clear" w:color="auto" w:fill="auto"/>
          </w:tcPr>
          <w:p w14:paraId="2E7AA0B7" w14:textId="01EAC6C4" w:rsidR="00F0236A" w:rsidRPr="00073574" w:rsidDel="00EB5A01" w:rsidRDefault="001D491C" w:rsidP="00ED1BFF">
            <w:pPr>
              <w:pStyle w:val="Tabletext"/>
              <w:keepNext/>
              <w:keepLines/>
              <w:rPr>
                <w:szCs w:val="22"/>
              </w:rPr>
            </w:pPr>
            <w:r w:rsidRPr="00073574">
              <w:rPr>
                <w:szCs w:val="22"/>
              </w:rPr>
              <w:t xml:space="preserve">The TSB Director </w:t>
            </w:r>
            <w:r w:rsidR="00610A7F" w:rsidRPr="00073574">
              <w:rPr>
                <w:szCs w:val="22"/>
              </w:rPr>
              <w:t xml:space="preserve">continuously is supporting </w:t>
            </w:r>
            <w:r w:rsidRPr="00073574">
              <w:rPr>
                <w:szCs w:val="22"/>
              </w:rPr>
              <w:t>security activities in the ITU-T study groups such as in SG11, SG17, SG20, and regional groups.</w:t>
            </w:r>
          </w:p>
        </w:tc>
      </w:tr>
      <w:tr w:rsidR="00F0236A" w:rsidRPr="00073574" w:rsidDel="00EB5A01" w14:paraId="2112A98E" w14:textId="77777777" w:rsidTr="634A3A28">
        <w:trPr>
          <w:jc w:val="center"/>
        </w:trPr>
        <w:tc>
          <w:tcPr>
            <w:tcW w:w="908" w:type="dxa"/>
            <w:vMerge w:val="restart"/>
            <w:tcBorders>
              <w:top w:val="single" w:sz="12" w:space="0" w:color="auto"/>
            </w:tcBorders>
            <w:shd w:val="clear" w:color="auto" w:fill="auto"/>
          </w:tcPr>
          <w:p w14:paraId="551C7C49" w14:textId="77777777" w:rsidR="00F0236A" w:rsidRPr="00073574" w:rsidRDefault="00F0236A" w:rsidP="00421132">
            <w:pPr>
              <w:pStyle w:val="Tabletext"/>
              <w:rPr>
                <w:b/>
                <w:bCs/>
                <w:sz w:val="24"/>
                <w:szCs w:val="24"/>
              </w:rPr>
            </w:pPr>
            <w:r w:rsidRPr="00073574">
              <w:rPr>
                <w:b/>
                <w:bCs/>
                <w:sz w:val="24"/>
                <w:szCs w:val="24"/>
              </w:rPr>
              <w:t>50-15</w:t>
            </w:r>
          </w:p>
        </w:tc>
        <w:tc>
          <w:tcPr>
            <w:tcW w:w="4895" w:type="dxa"/>
            <w:tcBorders>
              <w:top w:val="single" w:sz="12" w:space="0" w:color="auto"/>
            </w:tcBorders>
            <w:shd w:val="clear" w:color="auto" w:fill="auto"/>
          </w:tcPr>
          <w:p w14:paraId="40D8DE3A" w14:textId="77777777" w:rsidR="00F0236A" w:rsidRPr="00073574" w:rsidRDefault="00F0236A" w:rsidP="00421132">
            <w:pPr>
              <w:pStyle w:val="Tabletext"/>
              <w:rPr>
                <w:b/>
                <w:bCs/>
                <w:sz w:val="24"/>
                <w:szCs w:val="24"/>
              </w:rPr>
            </w:pPr>
            <w:r w:rsidRPr="00073574">
              <w:rPr>
                <w:b/>
                <w:bCs/>
                <w:sz w:val="24"/>
                <w:szCs w:val="24"/>
              </w:rPr>
              <w:t>All ITU-T SGs to ensure that security aspects are considered throughout the ITU-T standards development process (resolves 9)</w:t>
            </w:r>
          </w:p>
        </w:tc>
        <w:tc>
          <w:tcPr>
            <w:tcW w:w="1548" w:type="dxa"/>
            <w:tcBorders>
              <w:top w:val="single" w:sz="12" w:space="0" w:color="auto"/>
            </w:tcBorders>
            <w:shd w:val="clear" w:color="auto" w:fill="auto"/>
            <w:vAlign w:val="center"/>
          </w:tcPr>
          <w:p w14:paraId="5AD22B83" w14:textId="77777777" w:rsidR="00F0236A" w:rsidRPr="00073574" w:rsidRDefault="00F0236A" w:rsidP="00421132">
            <w:pPr>
              <w:pStyle w:val="Tabletext"/>
              <w:jc w:val="center"/>
              <w:rPr>
                <w:b/>
                <w:bCs/>
                <w:sz w:val="24"/>
                <w:szCs w:val="24"/>
              </w:rPr>
            </w:pPr>
            <w:r w:rsidRPr="00073574">
              <w:rPr>
                <w:b/>
                <w:bCs/>
                <w:sz w:val="24"/>
                <w:szCs w:val="24"/>
              </w:rPr>
              <w:t>Ongoing</w:t>
            </w:r>
          </w:p>
        </w:tc>
        <w:tc>
          <w:tcPr>
            <w:tcW w:w="1145" w:type="dxa"/>
            <w:tcBorders>
              <w:top w:val="single" w:sz="12" w:space="0" w:color="auto"/>
            </w:tcBorders>
            <w:shd w:val="clear" w:color="auto" w:fill="auto"/>
            <w:vAlign w:val="center"/>
          </w:tcPr>
          <w:p w14:paraId="4BDC35A1" w14:textId="77777777" w:rsidR="00F0236A" w:rsidRPr="00073574" w:rsidDel="00EB5A01" w:rsidRDefault="00F0236A" w:rsidP="00421132">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5A0230B0" w14:textId="77777777" w:rsidR="00F0236A" w:rsidRPr="00073574" w:rsidDel="00EB5A01" w:rsidRDefault="00F0236A" w:rsidP="00421132">
            <w:pPr>
              <w:pStyle w:val="Tabletext"/>
              <w:jc w:val="center"/>
              <w:rPr>
                <w:b/>
                <w:bCs/>
                <w:sz w:val="24"/>
                <w:szCs w:val="24"/>
              </w:rPr>
            </w:pPr>
          </w:p>
        </w:tc>
      </w:tr>
      <w:tr w:rsidR="00F0236A" w:rsidRPr="00073574" w:rsidDel="00EB5A01" w14:paraId="535D750E" w14:textId="77777777" w:rsidTr="634A3A28">
        <w:trPr>
          <w:jc w:val="center"/>
        </w:trPr>
        <w:tc>
          <w:tcPr>
            <w:tcW w:w="908" w:type="dxa"/>
            <w:vMerge/>
          </w:tcPr>
          <w:p w14:paraId="63FF695A" w14:textId="77777777" w:rsidR="00F0236A" w:rsidRPr="00073574" w:rsidRDefault="00F0236A" w:rsidP="00421132">
            <w:pPr>
              <w:pStyle w:val="Tabletext"/>
              <w:rPr>
                <w:sz w:val="24"/>
                <w:szCs w:val="24"/>
              </w:rPr>
            </w:pPr>
          </w:p>
        </w:tc>
        <w:tc>
          <w:tcPr>
            <w:tcW w:w="8924" w:type="dxa"/>
            <w:gridSpan w:val="4"/>
            <w:tcBorders>
              <w:bottom w:val="single" w:sz="12" w:space="0" w:color="auto"/>
            </w:tcBorders>
            <w:shd w:val="clear" w:color="auto" w:fill="auto"/>
          </w:tcPr>
          <w:p w14:paraId="596AFEE0" w14:textId="77777777" w:rsidR="00EB7A53" w:rsidRPr="00073574" w:rsidRDefault="00EB7A53" w:rsidP="00421132">
            <w:pPr>
              <w:pStyle w:val="Tabletext"/>
              <w:rPr>
                <w:szCs w:val="22"/>
              </w:rPr>
            </w:pPr>
            <w:r w:rsidRPr="00073574">
              <w:rPr>
                <w:szCs w:val="22"/>
              </w:rPr>
              <w:t>SGs are encouraged to follow the same approach when applicable.</w:t>
            </w:r>
          </w:p>
          <w:p w14:paraId="2FC4A849" w14:textId="40755EF9" w:rsidR="00F461C6" w:rsidRPr="00073574" w:rsidRDefault="00F461C6" w:rsidP="002E241A">
            <w:pPr>
              <w:pStyle w:val="NormalWeb"/>
              <w:numPr>
                <w:ilvl w:val="0"/>
                <w:numId w:val="35"/>
              </w:numPr>
              <w:spacing w:before="120" w:after="0"/>
              <w:ind w:left="357" w:hanging="357"/>
              <w:rPr>
                <w:sz w:val="22"/>
                <w:szCs w:val="22"/>
                <w:lang w:val="en-GB"/>
              </w:rPr>
            </w:pPr>
            <w:r w:rsidRPr="00073574">
              <w:rPr>
                <w:sz w:val="22"/>
                <w:szCs w:val="22"/>
                <w:lang w:val="en-GB"/>
              </w:rPr>
              <w:lastRenderedPageBreak/>
              <w:t xml:space="preserve">SG9 has an entire Question dedicated to content protection and security issues including </w:t>
            </w:r>
            <w:r w:rsidR="005F6B6C" w:rsidRPr="00073574">
              <w:rPr>
                <w:sz w:val="22"/>
                <w:szCs w:val="22"/>
                <w:lang w:val="en-GB"/>
              </w:rPr>
              <w:t>digital rights management (</w:t>
            </w:r>
            <w:r w:rsidR="00570C6C" w:rsidRPr="00073574">
              <w:rPr>
                <w:sz w:val="22"/>
                <w:szCs w:val="22"/>
                <w:lang w:val="en-GB"/>
              </w:rPr>
              <w:t>D</w:t>
            </w:r>
            <w:r w:rsidRPr="00073574">
              <w:rPr>
                <w:sz w:val="22"/>
                <w:szCs w:val="22"/>
                <w:lang w:val="en-GB"/>
              </w:rPr>
              <w:t>RM</w:t>
            </w:r>
            <w:r w:rsidR="005F6B6C" w:rsidRPr="00073574">
              <w:rPr>
                <w:sz w:val="22"/>
                <w:szCs w:val="22"/>
                <w:lang w:val="en-GB"/>
              </w:rPr>
              <w:t>)</w:t>
            </w:r>
            <w:r w:rsidRPr="00073574">
              <w:rPr>
                <w:sz w:val="22"/>
                <w:szCs w:val="22"/>
                <w:lang w:val="en-GB"/>
              </w:rPr>
              <w:t xml:space="preserve"> and Conditional Access. Q2/9 is a very active Question developing many </w:t>
            </w:r>
            <w:r w:rsidR="00203A25" w:rsidRPr="00073574">
              <w:rPr>
                <w:sz w:val="22"/>
                <w:szCs w:val="22"/>
                <w:lang w:val="en-GB"/>
              </w:rPr>
              <w:t>s</w:t>
            </w:r>
            <w:r w:rsidRPr="00073574">
              <w:rPr>
                <w:sz w:val="22"/>
                <w:szCs w:val="22"/>
                <w:lang w:val="en-GB"/>
              </w:rPr>
              <w:t>ecurity related Recomm</w:t>
            </w:r>
            <w:r w:rsidR="00203A25" w:rsidRPr="00073574">
              <w:rPr>
                <w:sz w:val="22"/>
                <w:szCs w:val="22"/>
                <w:lang w:val="en-GB"/>
              </w:rPr>
              <w:t>en</w:t>
            </w:r>
            <w:r w:rsidRPr="00073574">
              <w:rPr>
                <w:sz w:val="22"/>
                <w:szCs w:val="22"/>
                <w:lang w:val="en-GB"/>
              </w:rPr>
              <w:t xml:space="preserve">dations, some of which have policy and regulatory implication </w:t>
            </w:r>
            <w:r w:rsidR="00570C6C" w:rsidRPr="00073574">
              <w:rPr>
                <w:sz w:val="22"/>
                <w:szCs w:val="22"/>
                <w:lang w:val="en-GB"/>
              </w:rPr>
              <w:t>and therefore</w:t>
            </w:r>
            <w:r w:rsidRPr="00073574">
              <w:rPr>
                <w:sz w:val="22"/>
                <w:szCs w:val="22"/>
                <w:lang w:val="en-GB"/>
              </w:rPr>
              <w:t xml:space="preserve"> follow the TAP approval process.</w:t>
            </w:r>
            <w:r w:rsidR="005F6B6C" w:rsidRPr="00073574">
              <w:rPr>
                <w:sz w:val="22"/>
                <w:szCs w:val="22"/>
                <w:lang w:val="en-GB"/>
              </w:rPr>
              <w:t xml:space="preserve"> During this Study Period Q2/9 approved </w:t>
            </w:r>
            <w:r w:rsidR="00255EB0" w:rsidRPr="00073574">
              <w:rPr>
                <w:sz w:val="22"/>
                <w:szCs w:val="22"/>
                <w:lang w:val="en-GB"/>
              </w:rPr>
              <w:t xml:space="preserve">16 revised or new ITU-T </w:t>
            </w:r>
            <w:r w:rsidR="00506AFC" w:rsidRPr="00073574">
              <w:rPr>
                <w:sz w:val="22"/>
                <w:szCs w:val="22"/>
                <w:lang w:val="en-GB"/>
              </w:rPr>
              <w:t>Recommendations</w:t>
            </w:r>
            <w:r w:rsidR="00255EB0" w:rsidRPr="00073574">
              <w:rPr>
                <w:sz w:val="22"/>
                <w:szCs w:val="22"/>
                <w:lang w:val="en-GB"/>
              </w:rPr>
              <w:t xml:space="preserve"> and five new or revised </w:t>
            </w:r>
            <w:r w:rsidR="00506AFC" w:rsidRPr="00073574">
              <w:rPr>
                <w:sz w:val="22"/>
                <w:szCs w:val="22"/>
                <w:lang w:val="en-GB"/>
              </w:rPr>
              <w:t>Supplements</w:t>
            </w:r>
            <w:r w:rsidR="00255EB0" w:rsidRPr="00073574">
              <w:rPr>
                <w:sz w:val="22"/>
                <w:szCs w:val="22"/>
                <w:lang w:val="en-GB"/>
              </w:rPr>
              <w:t xml:space="preserve"> on this topic: See </w:t>
            </w:r>
            <w:hyperlink r:id="rId365" w:history="1">
              <w:r w:rsidR="00255EB0" w:rsidRPr="00073574">
                <w:rPr>
                  <w:rStyle w:val="Hyperlink"/>
                  <w:sz w:val="22"/>
                  <w:szCs w:val="22"/>
                  <w:lang w:val="en-GB"/>
                </w:rPr>
                <w:t>here</w:t>
              </w:r>
            </w:hyperlink>
            <w:r w:rsidR="00255EB0" w:rsidRPr="00073574">
              <w:rPr>
                <w:sz w:val="22"/>
                <w:szCs w:val="22"/>
                <w:lang w:val="en-GB"/>
              </w:rPr>
              <w:t>.</w:t>
            </w:r>
          </w:p>
          <w:p w14:paraId="36B77B78" w14:textId="229ECBDD" w:rsidR="004F2C58" w:rsidRPr="00073574" w:rsidRDefault="004F2C58" w:rsidP="002E241A">
            <w:pPr>
              <w:pStyle w:val="NormalWeb"/>
              <w:numPr>
                <w:ilvl w:val="0"/>
                <w:numId w:val="35"/>
              </w:numPr>
              <w:spacing w:before="120" w:after="0"/>
              <w:ind w:left="357" w:hanging="357"/>
              <w:rPr>
                <w:sz w:val="22"/>
                <w:szCs w:val="22"/>
                <w:lang w:val="en-GB"/>
              </w:rPr>
            </w:pPr>
            <w:r w:rsidRPr="00073574">
              <w:rPr>
                <w:sz w:val="22"/>
                <w:szCs w:val="22"/>
                <w:lang w:val="en-GB"/>
              </w:rPr>
              <w:t xml:space="preserve">SG11 </w:t>
            </w:r>
            <w:r w:rsidR="006449FC" w:rsidRPr="00073574">
              <w:rPr>
                <w:sz w:val="22"/>
                <w:szCs w:val="22"/>
                <w:lang w:val="en-GB"/>
              </w:rPr>
              <w:t xml:space="preserve">approved ITU-T Q.3057 </w:t>
            </w:r>
            <w:r w:rsidRPr="00073574">
              <w:rPr>
                <w:sz w:val="22"/>
                <w:szCs w:val="22"/>
                <w:lang w:val="en-GB"/>
              </w:rPr>
              <w:t>“Signalling requirements and architecture for interconnection between trustable network entities”</w:t>
            </w:r>
            <w:r w:rsidR="002F351D" w:rsidRPr="00073574">
              <w:rPr>
                <w:sz w:val="22"/>
                <w:szCs w:val="22"/>
                <w:lang w:val="en-GB"/>
              </w:rPr>
              <w:t xml:space="preserve"> and </w:t>
            </w:r>
            <w:r w:rsidR="00A177A4" w:rsidRPr="00073574">
              <w:rPr>
                <w:sz w:val="22"/>
                <w:szCs w:val="22"/>
                <w:lang w:val="en-GB"/>
              </w:rPr>
              <w:t>approved a new Technical Report</w:t>
            </w:r>
            <w:r w:rsidR="002F351D" w:rsidRPr="00073574">
              <w:rPr>
                <w:sz w:val="22"/>
                <w:szCs w:val="22"/>
                <w:lang w:val="en-GB"/>
              </w:rPr>
              <w:t xml:space="preserve"> </w:t>
            </w:r>
            <w:r w:rsidR="00A177A4" w:rsidRPr="00073574">
              <w:rPr>
                <w:sz w:val="22"/>
                <w:szCs w:val="22"/>
                <w:lang w:val="en-GB"/>
              </w:rPr>
              <w:t>TR-SS7-DFS</w:t>
            </w:r>
            <w:r w:rsidR="002F351D" w:rsidRPr="00073574">
              <w:rPr>
                <w:sz w:val="22"/>
                <w:szCs w:val="22"/>
                <w:lang w:val="en-GB"/>
              </w:rPr>
              <w:t xml:space="preserve"> “SS7 vulnerabilities and mitigation measures for digital financial services transactions”</w:t>
            </w:r>
            <w:r w:rsidR="00E51152" w:rsidRPr="00073574">
              <w:rPr>
                <w:sz w:val="22"/>
                <w:szCs w:val="22"/>
                <w:lang w:val="en-GB"/>
              </w:rPr>
              <w:t xml:space="preserve">. Also, SG11 revised series of </w:t>
            </w:r>
            <w:r w:rsidR="00CD46F5" w:rsidRPr="00073574">
              <w:rPr>
                <w:sz w:val="22"/>
                <w:szCs w:val="22"/>
                <w:lang w:val="en-GB"/>
              </w:rPr>
              <w:t xml:space="preserve">ITU-T </w:t>
            </w:r>
            <w:r w:rsidR="00E51152" w:rsidRPr="00073574">
              <w:rPr>
                <w:sz w:val="22"/>
                <w:szCs w:val="22"/>
                <w:lang w:val="en-GB"/>
              </w:rPr>
              <w:t>Q.731.3-6 in order to fix issues dealing with the spoofing of calling party number.</w:t>
            </w:r>
            <w:r w:rsidR="00786CE3" w:rsidRPr="00073574">
              <w:rPr>
                <w:sz w:val="22"/>
                <w:szCs w:val="22"/>
                <w:lang w:val="en-GB"/>
              </w:rPr>
              <w:t xml:space="preserve"> The relevant brainstorming session on SS7 vulnerabilities and the impact on different industries including digital financial services </w:t>
            </w:r>
            <w:r w:rsidR="00A177A4" w:rsidRPr="00073574">
              <w:rPr>
                <w:sz w:val="22"/>
                <w:szCs w:val="22"/>
                <w:lang w:val="en-GB"/>
              </w:rPr>
              <w:t>took</w:t>
            </w:r>
            <w:r w:rsidR="00786CE3" w:rsidRPr="00073574">
              <w:rPr>
                <w:sz w:val="22"/>
                <w:szCs w:val="22"/>
                <w:lang w:val="en-GB"/>
              </w:rPr>
              <w:t xml:space="preserve"> place in Geneva on 22 October 2019.</w:t>
            </w:r>
            <w:r w:rsidR="001E2CBC" w:rsidRPr="00073574">
              <w:rPr>
                <w:sz w:val="22"/>
                <w:szCs w:val="22"/>
                <w:lang w:val="en-GB"/>
              </w:rPr>
              <w:t xml:space="preserve"> SG11 </w:t>
            </w:r>
            <w:r w:rsidR="00DE6497" w:rsidRPr="00073574">
              <w:rPr>
                <w:sz w:val="22"/>
                <w:szCs w:val="22"/>
                <w:lang w:val="en-GB"/>
              </w:rPr>
              <w:t>is developing</w:t>
            </w:r>
            <w:r w:rsidR="001E2CBC" w:rsidRPr="00073574">
              <w:rPr>
                <w:sz w:val="22"/>
                <w:szCs w:val="22"/>
                <w:lang w:val="en-GB"/>
              </w:rPr>
              <w:t xml:space="preserve"> Q.Pro-Trust “Signalling procedures and protocols for enabling interconnection between trustable network entities in support of existing and emerging networks”</w:t>
            </w:r>
            <w:r w:rsidR="00DE6497" w:rsidRPr="00073574">
              <w:rPr>
                <w:sz w:val="22"/>
                <w:szCs w:val="22"/>
                <w:lang w:val="en-GB"/>
              </w:rPr>
              <w:t xml:space="preserve"> and</w:t>
            </w:r>
            <w:r w:rsidR="001E2CBC" w:rsidRPr="00073574">
              <w:rPr>
                <w:sz w:val="22"/>
                <w:szCs w:val="22"/>
                <w:lang w:val="en-GB"/>
              </w:rPr>
              <w:t xml:space="preserve"> draft Recommendation Q.CIDA “Signalling requirements of calling line identification authentication”</w:t>
            </w:r>
            <w:r w:rsidR="00DE6497" w:rsidRPr="00073574">
              <w:rPr>
                <w:sz w:val="22"/>
                <w:szCs w:val="22"/>
                <w:lang w:val="en-GB"/>
              </w:rPr>
              <w:t xml:space="preserve">. </w:t>
            </w:r>
            <w:r w:rsidR="00AA69E6" w:rsidRPr="00073574">
              <w:rPr>
                <w:sz w:val="22"/>
                <w:szCs w:val="22"/>
                <w:lang w:val="en-GB"/>
              </w:rPr>
              <w:t>SG11 agreed the</w:t>
            </w:r>
            <w:r w:rsidR="001E2CBC" w:rsidRPr="00073574">
              <w:rPr>
                <w:sz w:val="22"/>
                <w:szCs w:val="22"/>
                <w:lang w:val="en-GB"/>
              </w:rPr>
              <w:t xml:space="preserve"> Technical Report </w:t>
            </w:r>
            <w:r w:rsidR="00AA69E6" w:rsidRPr="00073574">
              <w:rPr>
                <w:sz w:val="22"/>
                <w:szCs w:val="22"/>
                <w:lang w:val="en-GB"/>
              </w:rPr>
              <w:t>QS</w:t>
            </w:r>
            <w:r w:rsidR="001E2CBC" w:rsidRPr="00073574">
              <w:rPr>
                <w:sz w:val="22"/>
                <w:szCs w:val="22"/>
                <w:lang w:val="en-GB"/>
              </w:rPr>
              <w:t>TR-USSD “Low resource requirement, quantum resistant, encryption of USSD messages for use in financial services”.</w:t>
            </w:r>
            <w:r w:rsidR="00AA69E6" w:rsidRPr="00073574">
              <w:rPr>
                <w:sz w:val="22"/>
                <w:szCs w:val="22"/>
                <w:lang w:val="en-GB"/>
              </w:rPr>
              <w:t xml:space="preserve"> In November 2021, SG11 in close collaboration with SG2 and SG17 </w:t>
            </w:r>
            <w:r w:rsidR="00A05BF6" w:rsidRPr="00073574">
              <w:rPr>
                <w:sz w:val="22"/>
                <w:szCs w:val="22"/>
                <w:lang w:val="en-GB"/>
              </w:rPr>
              <w:t>organized ITU Workshop on “Improving the security of signalling protocols”.</w:t>
            </w:r>
          </w:p>
          <w:p w14:paraId="312ACC3A" w14:textId="77777777" w:rsidR="0039728B" w:rsidRPr="00073574" w:rsidRDefault="0039728B" w:rsidP="002E241A">
            <w:pPr>
              <w:pStyle w:val="NormalWeb"/>
              <w:numPr>
                <w:ilvl w:val="0"/>
                <w:numId w:val="35"/>
              </w:numPr>
              <w:spacing w:before="120" w:after="0"/>
              <w:rPr>
                <w:sz w:val="22"/>
                <w:szCs w:val="22"/>
                <w:lang w:val="en-GB"/>
              </w:rPr>
            </w:pPr>
            <w:r w:rsidRPr="00073574">
              <w:rPr>
                <w:sz w:val="22"/>
                <w:szCs w:val="22"/>
                <w:lang w:val="en-GB"/>
              </w:rPr>
              <w:t>Developed by SG12, Recommendation ITU-T Y.1550 “Considerations for realizing virtual measurement systems” highlights the need to consider security aspects in this context and refers to related SG17 work.</w:t>
            </w:r>
          </w:p>
          <w:p w14:paraId="13FEB31B" w14:textId="641E2880" w:rsidR="005D5964" w:rsidRPr="00073574" w:rsidRDefault="00F0236A" w:rsidP="005D5964">
            <w:pPr>
              <w:pStyle w:val="NormalWeb"/>
              <w:numPr>
                <w:ilvl w:val="0"/>
                <w:numId w:val="35"/>
              </w:numPr>
              <w:spacing w:before="120" w:after="0"/>
              <w:ind w:left="357" w:hanging="357"/>
              <w:rPr>
                <w:sz w:val="22"/>
                <w:szCs w:val="22"/>
                <w:lang w:val="en-GB"/>
              </w:rPr>
            </w:pPr>
            <w:r w:rsidRPr="00073574">
              <w:rPr>
                <w:sz w:val="22"/>
                <w:szCs w:val="22"/>
                <w:lang w:val="en-GB"/>
              </w:rPr>
              <w:t>SG13 took a decision sometime in 2002 that each of its Recommendations will have an obligatory clause on security considerations. This practice w</w:t>
            </w:r>
            <w:r w:rsidR="19B1B36A" w:rsidRPr="00073574">
              <w:rPr>
                <w:sz w:val="22"/>
                <w:szCs w:val="22"/>
                <w:lang w:val="en-GB"/>
              </w:rPr>
              <w:t xml:space="preserve">as closely followed since 2002. </w:t>
            </w:r>
            <w:r w:rsidR="005D5964" w:rsidRPr="00073574">
              <w:rPr>
                <w:sz w:val="22"/>
                <w:szCs w:val="22"/>
                <w:lang w:val="en-GB"/>
              </w:rPr>
              <w:t>SG13 published three technical reports on trust provisioning for future ICT infrastructures and services and s</w:t>
            </w:r>
            <w:r w:rsidR="00F7353C" w:rsidRPr="00073574">
              <w:rPr>
                <w:sz w:val="22"/>
                <w:szCs w:val="22"/>
                <w:lang w:val="en-GB"/>
              </w:rPr>
              <w:t>even</w:t>
            </w:r>
            <w:r w:rsidR="005D5964" w:rsidRPr="00073574">
              <w:rPr>
                <w:sz w:val="22"/>
                <w:szCs w:val="22"/>
                <w:lang w:val="en-GB"/>
              </w:rPr>
              <w:t xml:space="preserve"> Recommendations (ITU-T Y.3051-Y.305</w:t>
            </w:r>
            <w:r w:rsidR="00F7353C" w:rsidRPr="00073574">
              <w:rPr>
                <w:sz w:val="22"/>
                <w:szCs w:val="22"/>
                <w:lang w:val="en-GB"/>
              </w:rPr>
              <w:t>7</w:t>
            </w:r>
            <w:r w:rsidR="005D5964" w:rsidRPr="00073574">
              <w:rPr>
                <w:sz w:val="22"/>
                <w:szCs w:val="22"/>
                <w:lang w:val="en-GB"/>
              </w:rPr>
              <w:t xml:space="preserve">). There are currently six more work items under development covering areas such as Decentralized Trustworthy Network Infrastructure (Y.DNI-fr), trust, functional architecture for trust enabled service provisioning (Y.trust-arch) etc. SG13 is developing a Standardization roadmap on Trustworthy Networking and Services: </w:t>
            </w:r>
            <w:hyperlink r:id="rId366" w:history="1">
              <w:r w:rsidR="004B20A8" w:rsidRPr="008E31FA">
                <w:rPr>
                  <w:rStyle w:val="Hyperlink"/>
                  <w:sz w:val="22"/>
                  <w:szCs w:val="22"/>
                  <w:lang w:val="en-GB"/>
                </w:rPr>
                <w:t>https://www.itu.int/itu-t/workprog/wp_item.aspx?isn=16495</w:t>
              </w:r>
            </w:hyperlink>
          </w:p>
          <w:p w14:paraId="2D29C65C" w14:textId="7AD09C50" w:rsidR="005D5964" w:rsidRPr="00073574" w:rsidRDefault="005D5964" w:rsidP="005D5964">
            <w:pPr>
              <w:pStyle w:val="NormalWeb"/>
              <w:numPr>
                <w:ilvl w:val="0"/>
                <w:numId w:val="35"/>
              </w:numPr>
              <w:spacing w:before="120" w:after="0"/>
              <w:ind w:left="357" w:hanging="357"/>
              <w:rPr>
                <w:sz w:val="22"/>
                <w:szCs w:val="22"/>
                <w:lang w:val="en-GB"/>
              </w:rPr>
            </w:pPr>
            <w:r w:rsidRPr="00073574">
              <w:rPr>
                <w:sz w:val="22"/>
                <w:szCs w:val="22"/>
                <w:lang w:val="en-GB"/>
              </w:rPr>
              <w:t xml:space="preserve">ITU-T SG13 also studies quantum technologies, in particular, quantum key distribution networks (QKDN) to increase the security of networks communication. </w:t>
            </w:r>
            <w:r w:rsidR="00A10F3E" w:rsidRPr="00073574">
              <w:rPr>
                <w:sz w:val="22"/>
                <w:szCs w:val="22"/>
                <w:lang w:val="en-GB"/>
              </w:rPr>
              <w:t xml:space="preserve">In 2019 it approved a first </w:t>
            </w:r>
            <w:r w:rsidR="004A59EB" w:rsidRPr="00073574">
              <w:rPr>
                <w:sz w:val="22"/>
                <w:szCs w:val="22"/>
                <w:lang w:val="en-GB"/>
              </w:rPr>
              <w:t>Recommendation</w:t>
            </w:r>
            <w:r w:rsidR="00A10F3E" w:rsidRPr="00073574">
              <w:rPr>
                <w:sz w:val="22"/>
                <w:szCs w:val="22"/>
                <w:lang w:val="en-GB"/>
              </w:rPr>
              <w:t xml:space="preserve"> on Quantum key distribution network (QKDN) in ITU-T Y.3800 “Overview on networks supporting quantum key distribution”. </w:t>
            </w:r>
            <w:r w:rsidRPr="00073574">
              <w:rPr>
                <w:sz w:val="22"/>
                <w:szCs w:val="22"/>
                <w:lang w:val="en-GB"/>
              </w:rPr>
              <w:t>I</w:t>
            </w:r>
            <w:r w:rsidR="00323D5F" w:rsidRPr="00073574">
              <w:rPr>
                <w:sz w:val="22"/>
                <w:szCs w:val="22"/>
                <w:lang w:val="en-GB"/>
              </w:rPr>
              <w:t>n total i</w:t>
            </w:r>
            <w:r w:rsidRPr="00073574">
              <w:rPr>
                <w:sz w:val="22"/>
                <w:szCs w:val="22"/>
                <w:lang w:val="en-GB"/>
              </w:rPr>
              <w:t xml:space="preserve">t approved </w:t>
            </w:r>
            <w:r w:rsidR="006C1C9E" w:rsidRPr="00073574">
              <w:rPr>
                <w:sz w:val="22"/>
                <w:szCs w:val="22"/>
                <w:lang w:val="en-GB"/>
              </w:rPr>
              <w:t>seven</w:t>
            </w:r>
            <w:r w:rsidRPr="00073574">
              <w:rPr>
                <w:sz w:val="22"/>
                <w:szCs w:val="22"/>
                <w:lang w:val="en-GB"/>
              </w:rPr>
              <w:t xml:space="preserve"> Recommendations (ITU-T Y.3800-380</w:t>
            </w:r>
            <w:r w:rsidR="006C1C9E" w:rsidRPr="00073574">
              <w:rPr>
                <w:sz w:val="22"/>
                <w:szCs w:val="22"/>
                <w:lang w:val="en-GB"/>
              </w:rPr>
              <w:t>6</w:t>
            </w:r>
            <w:r w:rsidRPr="00073574">
              <w:rPr>
                <w:sz w:val="22"/>
                <w:szCs w:val="22"/>
                <w:lang w:val="en-GB"/>
              </w:rPr>
              <w:t>) and one Supplement has 12 open work items about QKDN.</w:t>
            </w:r>
          </w:p>
          <w:p w14:paraId="36AB9010" w14:textId="2957125F" w:rsidR="005D5964" w:rsidRPr="00073574" w:rsidRDefault="005D5964" w:rsidP="005D5964">
            <w:pPr>
              <w:pStyle w:val="NormalWeb"/>
              <w:numPr>
                <w:ilvl w:val="0"/>
                <w:numId w:val="35"/>
              </w:numPr>
              <w:spacing w:before="120" w:after="0"/>
              <w:ind w:left="357" w:hanging="357"/>
              <w:rPr>
                <w:sz w:val="22"/>
                <w:szCs w:val="22"/>
                <w:lang w:val="en-GB"/>
              </w:rPr>
            </w:pPr>
            <w:r w:rsidRPr="00073574">
              <w:rPr>
                <w:sz w:val="22"/>
                <w:szCs w:val="22"/>
                <w:lang w:val="en-GB"/>
              </w:rPr>
              <w:t xml:space="preserve">SG13 is developing a Standardization roadmap on Quantum Key Distribution Networks: </w:t>
            </w:r>
            <w:hyperlink r:id="rId367" w:history="1">
              <w:r w:rsidR="004B20A8" w:rsidRPr="008E31FA">
                <w:rPr>
                  <w:rStyle w:val="Hyperlink"/>
                  <w:sz w:val="22"/>
                  <w:szCs w:val="22"/>
                  <w:lang w:val="en-GB"/>
                </w:rPr>
                <w:t>https://www.itu.int/itu-t/workprog/wp_item.aspx?isn=17189</w:t>
              </w:r>
            </w:hyperlink>
          </w:p>
          <w:p w14:paraId="6EC28B14" w14:textId="79B25E65" w:rsidR="005D5964" w:rsidRPr="00073574" w:rsidRDefault="005D5964" w:rsidP="005D5964">
            <w:pPr>
              <w:pStyle w:val="NormalWeb"/>
              <w:numPr>
                <w:ilvl w:val="0"/>
                <w:numId w:val="35"/>
              </w:numPr>
              <w:spacing w:before="120" w:after="0"/>
              <w:ind w:left="357" w:hanging="357"/>
              <w:rPr>
                <w:sz w:val="22"/>
                <w:szCs w:val="22"/>
                <w:lang w:val="en-GB"/>
              </w:rPr>
            </w:pPr>
            <w:r w:rsidRPr="00073574">
              <w:rPr>
                <w:sz w:val="22"/>
                <w:szCs w:val="22"/>
                <w:lang w:val="en-GB"/>
              </w:rPr>
              <w:t xml:space="preserve">A flipbook “Trust in ICT" (2017) gives a snapshot of main concepts for Trust as applied to ICT and overview of standardization efforts worldwide to date. </w:t>
            </w:r>
            <w:hyperlink r:id="rId368" w:history="1">
              <w:r w:rsidR="004B20A8" w:rsidRPr="008E31FA">
                <w:rPr>
                  <w:rStyle w:val="Hyperlink"/>
                  <w:sz w:val="22"/>
                  <w:szCs w:val="22"/>
                  <w:lang w:val="en-GB"/>
                </w:rPr>
                <w:t>https://www.itu.int/en/publications/Documents/tsb/2017-Trust-in-ICT-2017/index.html</w:t>
              </w:r>
            </w:hyperlink>
          </w:p>
          <w:p w14:paraId="503173D7" w14:textId="6BD5301A" w:rsidR="000C485B" w:rsidRPr="00073574" w:rsidRDefault="005F1523" w:rsidP="002E241A">
            <w:pPr>
              <w:pStyle w:val="NormalWeb"/>
              <w:numPr>
                <w:ilvl w:val="0"/>
                <w:numId w:val="35"/>
              </w:numPr>
              <w:spacing w:before="120" w:after="0"/>
              <w:ind w:left="357" w:hanging="357"/>
              <w:rPr>
                <w:sz w:val="22"/>
                <w:szCs w:val="22"/>
                <w:lang w:val="en-GB"/>
              </w:rPr>
            </w:pPr>
            <w:r w:rsidRPr="00073574">
              <w:rPr>
                <w:sz w:val="22"/>
                <w:szCs w:val="22"/>
                <w:lang w:val="en-GB"/>
              </w:rPr>
              <w:t>SG15 consults with SG17 on security issues as appropriate (e.g., by Liaison</w:t>
            </w:r>
            <w:r w:rsidR="0029126F" w:rsidRPr="00073574">
              <w:rPr>
                <w:sz w:val="22"/>
                <w:szCs w:val="22"/>
                <w:lang w:val="en-GB"/>
              </w:rPr>
              <w:t>s).</w:t>
            </w:r>
          </w:p>
          <w:p w14:paraId="11F58F51" w14:textId="08D63958" w:rsidR="00FE25EA" w:rsidRPr="00073574" w:rsidRDefault="21B15AEC" w:rsidP="002E241A">
            <w:pPr>
              <w:pStyle w:val="NormalWeb"/>
              <w:numPr>
                <w:ilvl w:val="0"/>
                <w:numId w:val="35"/>
              </w:numPr>
              <w:spacing w:before="120" w:after="40"/>
              <w:ind w:left="357" w:hanging="357"/>
              <w:rPr>
                <w:sz w:val="22"/>
                <w:szCs w:val="22"/>
                <w:lang w:val="en-GB"/>
              </w:rPr>
            </w:pPr>
            <w:r w:rsidRPr="00073574">
              <w:rPr>
                <w:sz w:val="22"/>
                <w:szCs w:val="22"/>
                <w:lang w:val="en-GB"/>
              </w:rPr>
              <w:t xml:space="preserve">SG16 Questions identify areas where security aspects may be needed and coordinate security considerations with </w:t>
            </w:r>
            <w:r w:rsidR="004A59EB" w:rsidRPr="00073574">
              <w:rPr>
                <w:sz w:val="22"/>
                <w:szCs w:val="22"/>
                <w:lang w:val="en-GB"/>
              </w:rPr>
              <w:t>relevant</w:t>
            </w:r>
            <w:r w:rsidRPr="00073574">
              <w:rPr>
                <w:sz w:val="22"/>
                <w:szCs w:val="22"/>
                <w:lang w:val="en-GB"/>
              </w:rPr>
              <w:t xml:space="preserve"> SGs, and SG17 in particular – for example secure software update for vehicular applications (Q27/16). Sometimes, specific suites are developed for SG16-defined systems, e.g. the </w:t>
            </w:r>
            <w:r w:rsidR="00B52347">
              <w:rPr>
                <w:sz w:val="22"/>
                <w:szCs w:val="22"/>
                <w:lang w:val="en-GB"/>
              </w:rPr>
              <w:t xml:space="preserve">ITU-T </w:t>
            </w:r>
            <w:r w:rsidRPr="00073574">
              <w:rPr>
                <w:sz w:val="22"/>
                <w:szCs w:val="22"/>
                <w:lang w:val="en-GB"/>
              </w:rPr>
              <w:t>H.235-series on security for H.323 systems.</w:t>
            </w:r>
          </w:p>
          <w:p w14:paraId="69F8E282" w14:textId="77149607" w:rsidR="0FF63D49" w:rsidRPr="00073574" w:rsidRDefault="0FF63D49" w:rsidP="002E241A">
            <w:pPr>
              <w:pStyle w:val="NormalWeb"/>
              <w:numPr>
                <w:ilvl w:val="0"/>
                <w:numId w:val="35"/>
              </w:numPr>
              <w:spacing w:before="120" w:after="40"/>
              <w:ind w:left="357" w:hanging="357"/>
              <w:rPr>
                <w:sz w:val="22"/>
                <w:szCs w:val="22"/>
                <w:lang w:val="en-GB"/>
              </w:rPr>
            </w:pPr>
            <w:r w:rsidRPr="00073574">
              <w:rPr>
                <w:sz w:val="22"/>
                <w:szCs w:val="22"/>
                <w:lang w:val="en-GB"/>
              </w:rPr>
              <w:lastRenderedPageBreak/>
              <w:t xml:space="preserve">As </w:t>
            </w:r>
            <w:r w:rsidR="00923005" w:rsidRPr="00073574">
              <w:rPr>
                <w:sz w:val="22"/>
                <w:szCs w:val="22"/>
                <w:lang w:val="en-GB"/>
              </w:rPr>
              <w:t xml:space="preserve">the </w:t>
            </w:r>
            <w:r w:rsidRPr="00073574">
              <w:rPr>
                <w:sz w:val="22"/>
                <w:szCs w:val="22"/>
                <w:lang w:val="en-GB"/>
              </w:rPr>
              <w:t>lead study group on security, SG17 develops Recommendations that help other SGs to ensure that security aspects are considered through ITU-T standards development process.</w:t>
            </w:r>
          </w:p>
          <w:p w14:paraId="494E13E1" w14:textId="6DF20FDD" w:rsidR="007208BF" w:rsidRPr="00073574" w:rsidDel="00EB5A01" w:rsidRDefault="44AF0D9C" w:rsidP="002E241A">
            <w:pPr>
              <w:pStyle w:val="NormalWeb"/>
              <w:numPr>
                <w:ilvl w:val="0"/>
                <w:numId w:val="35"/>
              </w:numPr>
              <w:spacing w:before="120" w:after="40"/>
              <w:ind w:left="357" w:hanging="357"/>
              <w:rPr>
                <w:sz w:val="22"/>
                <w:szCs w:val="22"/>
                <w:lang w:val="en-GB"/>
              </w:rPr>
            </w:pPr>
            <w:r w:rsidRPr="00073574">
              <w:rPr>
                <w:sz w:val="22"/>
                <w:szCs w:val="22"/>
                <w:lang w:val="en-GB"/>
              </w:rPr>
              <w:t>SG20 is working on draft Recommendation</w:t>
            </w:r>
            <w:r w:rsidR="22AB083D" w:rsidRPr="00073574">
              <w:rPr>
                <w:sz w:val="22"/>
                <w:szCs w:val="22"/>
                <w:lang w:val="en-GB"/>
              </w:rPr>
              <w:t>s</w:t>
            </w:r>
            <w:r w:rsidRPr="00073574">
              <w:rPr>
                <w:sz w:val="22"/>
                <w:szCs w:val="22"/>
                <w:lang w:val="en-GB"/>
              </w:rPr>
              <w:t xml:space="preserve"> </w:t>
            </w:r>
            <w:r w:rsidR="22AB083D" w:rsidRPr="00073574">
              <w:rPr>
                <w:sz w:val="22"/>
                <w:szCs w:val="22"/>
                <w:lang w:val="en-GB"/>
              </w:rPr>
              <w:t>ITU-T Y.oneM2M.SEC.SOL “oneM2M Security Solutions”</w:t>
            </w:r>
            <w:r w:rsidR="00D34B97" w:rsidRPr="00073574">
              <w:rPr>
                <w:sz w:val="22"/>
                <w:szCs w:val="22"/>
                <w:lang w:val="en-GB"/>
              </w:rPr>
              <w:t>,</w:t>
            </w:r>
            <w:r w:rsidR="4354A868" w:rsidRPr="00073574">
              <w:rPr>
                <w:sz w:val="22"/>
                <w:szCs w:val="22"/>
                <w:lang w:val="en-GB"/>
              </w:rPr>
              <w:t xml:space="preserve"> ITU-T Y.IoT-IoD-PT “Identity of IoT devices based on secure procedures and ensures privacy and trust of IoT systems”</w:t>
            </w:r>
            <w:r w:rsidR="00D66D85" w:rsidRPr="00073574">
              <w:rPr>
                <w:sz w:val="22"/>
                <w:szCs w:val="22"/>
                <w:lang w:val="en-GB"/>
              </w:rPr>
              <w:t xml:space="preserve">, </w:t>
            </w:r>
            <w:r w:rsidR="4354A868" w:rsidRPr="00073574">
              <w:rPr>
                <w:sz w:val="22"/>
                <w:szCs w:val="22"/>
                <w:lang w:val="en-GB"/>
              </w:rPr>
              <w:t>ITU-T Y.IoT-Smartcity-Risk “Reference framework of cybersecurity risk management of IoT ecosystems on smart cities”</w:t>
            </w:r>
            <w:r w:rsidR="00DD6837" w:rsidRPr="00073574">
              <w:rPr>
                <w:sz w:val="22"/>
                <w:szCs w:val="22"/>
                <w:lang w:val="en-GB"/>
              </w:rPr>
              <w:t xml:space="preserve"> and</w:t>
            </w:r>
            <w:r w:rsidR="00D66D85" w:rsidRPr="00073574">
              <w:rPr>
                <w:sz w:val="22"/>
                <w:szCs w:val="22"/>
                <w:lang w:val="en-GB"/>
              </w:rPr>
              <w:t xml:space="preserve"> </w:t>
            </w:r>
            <w:r w:rsidR="00773DD0" w:rsidRPr="00073574">
              <w:rPr>
                <w:sz w:val="22"/>
                <w:szCs w:val="22"/>
                <w:lang w:val="en-GB"/>
              </w:rPr>
              <w:t xml:space="preserve">ITU-T </w:t>
            </w:r>
            <w:r w:rsidR="00D66D85" w:rsidRPr="00073574">
              <w:rPr>
                <w:sz w:val="22"/>
                <w:szCs w:val="22"/>
                <w:lang w:val="en-GB"/>
              </w:rPr>
              <w:t>Y.</w:t>
            </w:r>
            <w:r w:rsidR="00764762" w:rsidRPr="00073574">
              <w:rPr>
                <w:sz w:val="22"/>
                <w:szCs w:val="22"/>
                <w:lang w:val="en-GB"/>
              </w:rPr>
              <w:t>IoT-Ath-SC</w:t>
            </w:r>
            <w:r w:rsidR="00D66D85" w:rsidRPr="00073574">
              <w:rPr>
                <w:sz w:val="22"/>
                <w:szCs w:val="22"/>
                <w:lang w:val="en-GB"/>
              </w:rPr>
              <w:t xml:space="preserve"> “</w:t>
            </w:r>
            <w:r w:rsidR="00764762" w:rsidRPr="00073574">
              <w:rPr>
                <w:sz w:val="22"/>
                <w:szCs w:val="22"/>
                <w:lang w:val="en-GB"/>
              </w:rPr>
              <w:t>Framework of IoT-devices authentication in smart city</w:t>
            </w:r>
            <w:r w:rsidR="00D66D85" w:rsidRPr="00073574">
              <w:rPr>
                <w:sz w:val="22"/>
                <w:szCs w:val="22"/>
                <w:lang w:val="en-GB"/>
              </w:rPr>
              <w:t>”</w:t>
            </w:r>
            <w:r w:rsidR="4354A868" w:rsidRPr="00073574">
              <w:rPr>
                <w:sz w:val="22"/>
                <w:szCs w:val="22"/>
                <w:lang w:val="en-GB"/>
              </w:rPr>
              <w:t>.</w:t>
            </w:r>
            <w:r w:rsidR="00BA276C" w:rsidRPr="00073574">
              <w:rPr>
                <w:sz w:val="22"/>
                <w:szCs w:val="22"/>
                <w:lang w:val="en-GB"/>
              </w:rPr>
              <w:t xml:space="preserve"> SG20 approved Recommendations ITU-T Y.4807 “Agility by design for Telecommunications/ICT Systems Security used in the Internet of Things”, </w:t>
            </w:r>
            <w:r w:rsidR="00C7132F" w:rsidRPr="00073574">
              <w:rPr>
                <w:sz w:val="22"/>
                <w:szCs w:val="22"/>
                <w:lang w:val="en-GB"/>
              </w:rPr>
              <w:t xml:space="preserve">ITU-T </w:t>
            </w:r>
            <w:r w:rsidR="00BA276C" w:rsidRPr="00073574">
              <w:rPr>
                <w:sz w:val="22"/>
                <w:szCs w:val="22"/>
                <w:lang w:val="en-GB"/>
              </w:rPr>
              <w:t xml:space="preserve">Y.4810 “Requirements of data security for the heterogeneous IoT devices” and </w:t>
            </w:r>
            <w:r w:rsidR="00C7132F" w:rsidRPr="00073574">
              <w:rPr>
                <w:sz w:val="22"/>
                <w:szCs w:val="22"/>
                <w:lang w:val="en-GB"/>
              </w:rPr>
              <w:t xml:space="preserve">ITU-T </w:t>
            </w:r>
            <w:r w:rsidR="00BA276C" w:rsidRPr="00073574">
              <w:rPr>
                <w:sz w:val="22"/>
                <w:szCs w:val="22"/>
                <w:lang w:val="en-GB"/>
              </w:rPr>
              <w:t>Y.4811 “Reference framework of converged service for identification and authentication for IoT devices in decentralized environment”.</w:t>
            </w:r>
          </w:p>
        </w:tc>
      </w:tr>
      <w:tr w:rsidR="00F0236A" w:rsidRPr="00073574" w:rsidDel="00EB5A01" w14:paraId="3E00C771" w14:textId="77777777" w:rsidTr="634A3A28">
        <w:trPr>
          <w:cantSplit/>
          <w:jc w:val="center"/>
        </w:trPr>
        <w:tc>
          <w:tcPr>
            <w:tcW w:w="908" w:type="dxa"/>
            <w:vMerge w:val="restart"/>
            <w:tcBorders>
              <w:top w:val="single" w:sz="12" w:space="0" w:color="auto"/>
            </w:tcBorders>
            <w:shd w:val="clear" w:color="auto" w:fill="auto"/>
          </w:tcPr>
          <w:p w14:paraId="43607D84" w14:textId="77777777" w:rsidR="00F0236A" w:rsidRPr="00073574" w:rsidRDefault="00F0236A" w:rsidP="00DF36E1">
            <w:pPr>
              <w:pStyle w:val="Tabletext"/>
              <w:rPr>
                <w:b/>
                <w:bCs/>
                <w:sz w:val="24"/>
                <w:szCs w:val="24"/>
              </w:rPr>
            </w:pPr>
            <w:r w:rsidRPr="00073574">
              <w:rPr>
                <w:b/>
                <w:bCs/>
                <w:sz w:val="24"/>
                <w:szCs w:val="24"/>
              </w:rPr>
              <w:lastRenderedPageBreak/>
              <w:t>50-16</w:t>
            </w:r>
          </w:p>
        </w:tc>
        <w:tc>
          <w:tcPr>
            <w:tcW w:w="4895" w:type="dxa"/>
            <w:tcBorders>
              <w:top w:val="single" w:sz="12" w:space="0" w:color="auto"/>
            </w:tcBorders>
            <w:shd w:val="clear" w:color="auto" w:fill="auto"/>
          </w:tcPr>
          <w:p w14:paraId="67BC0C37" w14:textId="77777777" w:rsidR="00F0236A" w:rsidRPr="00073574" w:rsidRDefault="00F0236A" w:rsidP="00DF36E1">
            <w:pPr>
              <w:pStyle w:val="Tabletext"/>
              <w:rPr>
                <w:b/>
                <w:bCs/>
                <w:sz w:val="24"/>
                <w:szCs w:val="24"/>
              </w:rPr>
            </w:pPr>
            <w:r w:rsidRPr="00073574">
              <w:rPr>
                <w:b/>
                <w:bCs/>
                <w:sz w:val="24"/>
                <w:szCs w:val="24"/>
              </w:rPr>
              <w:t>ITU-T to continue to raise awareness, within its mandate and competencies, of the need to harden and defend information and telecommunication systems from cyberthreats and cyberattacks, and continue to promote cooperation among appropriate international and regional organizations. (resolves 3)</w:t>
            </w:r>
          </w:p>
        </w:tc>
        <w:tc>
          <w:tcPr>
            <w:tcW w:w="1548" w:type="dxa"/>
            <w:tcBorders>
              <w:top w:val="single" w:sz="12" w:space="0" w:color="auto"/>
            </w:tcBorders>
            <w:shd w:val="clear" w:color="auto" w:fill="auto"/>
            <w:vAlign w:val="center"/>
          </w:tcPr>
          <w:p w14:paraId="342D7CF6"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45" w:type="dxa"/>
            <w:tcBorders>
              <w:top w:val="single" w:sz="12" w:space="0" w:color="auto"/>
            </w:tcBorders>
            <w:shd w:val="clear" w:color="auto" w:fill="auto"/>
            <w:vAlign w:val="center"/>
          </w:tcPr>
          <w:p w14:paraId="501FC12F" w14:textId="77777777" w:rsidR="00F0236A" w:rsidRPr="00073574" w:rsidDel="00EB5A01"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6D42FD6A" w14:textId="77777777" w:rsidR="00F0236A" w:rsidRPr="00073574" w:rsidDel="00EB5A01" w:rsidRDefault="00F0236A" w:rsidP="00DF36E1">
            <w:pPr>
              <w:pStyle w:val="Tabletext"/>
              <w:jc w:val="center"/>
              <w:rPr>
                <w:b/>
                <w:bCs/>
                <w:sz w:val="24"/>
                <w:szCs w:val="24"/>
              </w:rPr>
            </w:pPr>
          </w:p>
        </w:tc>
      </w:tr>
      <w:tr w:rsidR="00F0236A" w:rsidRPr="00073574" w:rsidDel="00EB5A01" w14:paraId="3AE85E61" w14:textId="77777777" w:rsidTr="634A3A28">
        <w:trPr>
          <w:cantSplit/>
          <w:jc w:val="center"/>
        </w:trPr>
        <w:tc>
          <w:tcPr>
            <w:tcW w:w="908" w:type="dxa"/>
            <w:vMerge/>
          </w:tcPr>
          <w:p w14:paraId="3EEFFE50" w14:textId="77777777" w:rsidR="00F0236A" w:rsidRPr="00073574" w:rsidRDefault="00F0236A" w:rsidP="00DF36E1">
            <w:pPr>
              <w:pStyle w:val="Tabletext"/>
              <w:rPr>
                <w:sz w:val="24"/>
                <w:szCs w:val="24"/>
              </w:rPr>
            </w:pPr>
          </w:p>
        </w:tc>
        <w:tc>
          <w:tcPr>
            <w:tcW w:w="8924" w:type="dxa"/>
            <w:gridSpan w:val="4"/>
            <w:tcBorders>
              <w:bottom w:val="single" w:sz="12" w:space="0" w:color="auto"/>
            </w:tcBorders>
            <w:shd w:val="clear" w:color="auto" w:fill="auto"/>
          </w:tcPr>
          <w:p w14:paraId="17FC08C0" w14:textId="77777777" w:rsidR="00F0236A" w:rsidRPr="00073574" w:rsidDel="00EB5A01" w:rsidRDefault="00F0236A" w:rsidP="00DF36E1">
            <w:pPr>
              <w:pStyle w:val="Tabletext"/>
              <w:rPr>
                <w:szCs w:val="22"/>
              </w:rPr>
            </w:pPr>
            <w:r w:rsidRPr="00073574">
              <w:rPr>
                <w:szCs w:val="22"/>
              </w:rPr>
              <w:t>SG17 appointed Q3/17 Rapporteur Ms. Miho Naganuma as liaison officer to ASTAP EG IS.</w:t>
            </w:r>
          </w:p>
        </w:tc>
      </w:tr>
      <w:tr w:rsidR="00F0236A" w:rsidRPr="00073574" w:rsidDel="00EB5A01" w14:paraId="2323DB49" w14:textId="77777777" w:rsidTr="634A3A28">
        <w:trPr>
          <w:cantSplit/>
          <w:jc w:val="center"/>
        </w:trPr>
        <w:tc>
          <w:tcPr>
            <w:tcW w:w="908" w:type="dxa"/>
            <w:vMerge w:val="restart"/>
            <w:tcBorders>
              <w:top w:val="single" w:sz="12" w:space="0" w:color="auto"/>
            </w:tcBorders>
            <w:shd w:val="clear" w:color="auto" w:fill="auto"/>
          </w:tcPr>
          <w:p w14:paraId="7F7984A7" w14:textId="77777777" w:rsidR="00F0236A" w:rsidRPr="00073574" w:rsidRDefault="00F0236A" w:rsidP="00DF36E1">
            <w:pPr>
              <w:pStyle w:val="Tabletext"/>
              <w:keepNext/>
              <w:keepLines/>
              <w:rPr>
                <w:b/>
                <w:bCs/>
                <w:sz w:val="24"/>
                <w:szCs w:val="24"/>
              </w:rPr>
            </w:pPr>
            <w:r w:rsidRPr="00073574">
              <w:rPr>
                <w:b/>
                <w:bCs/>
                <w:sz w:val="24"/>
                <w:szCs w:val="24"/>
              </w:rPr>
              <w:t>50-17</w:t>
            </w:r>
          </w:p>
        </w:tc>
        <w:tc>
          <w:tcPr>
            <w:tcW w:w="4895" w:type="dxa"/>
            <w:tcBorders>
              <w:top w:val="single" w:sz="12" w:space="0" w:color="auto"/>
            </w:tcBorders>
            <w:shd w:val="clear" w:color="auto" w:fill="auto"/>
          </w:tcPr>
          <w:p w14:paraId="73E2FD91" w14:textId="77777777" w:rsidR="00F0236A" w:rsidRPr="00073574" w:rsidRDefault="00F0236A" w:rsidP="00DF36E1">
            <w:pPr>
              <w:pStyle w:val="Tabletext"/>
              <w:keepNext/>
              <w:keepLines/>
              <w:rPr>
                <w:b/>
                <w:bCs/>
                <w:sz w:val="24"/>
                <w:szCs w:val="24"/>
              </w:rPr>
            </w:pPr>
            <w:r w:rsidRPr="00073574">
              <w:rPr>
                <w:b/>
                <w:bCs/>
                <w:sz w:val="24"/>
                <w:szCs w:val="24"/>
              </w:rPr>
              <w:t>ITU-T study groups should work closely with ITU-D (e.g. ITU-D Q3/2) (resolves 4)</w:t>
            </w:r>
          </w:p>
        </w:tc>
        <w:tc>
          <w:tcPr>
            <w:tcW w:w="1548" w:type="dxa"/>
            <w:tcBorders>
              <w:top w:val="single" w:sz="12" w:space="0" w:color="auto"/>
            </w:tcBorders>
            <w:shd w:val="clear" w:color="auto" w:fill="auto"/>
            <w:vAlign w:val="center"/>
          </w:tcPr>
          <w:p w14:paraId="66268A1A"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45" w:type="dxa"/>
            <w:tcBorders>
              <w:top w:val="single" w:sz="12" w:space="0" w:color="auto"/>
            </w:tcBorders>
            <w:shd w:val="clear" w:color="auto" w:fill="auto"/>
            <w:vAlign w:val="center"/>
          </w:tcPr>
          <w:p w14:paraId="6F8CECF8" w14:textId="77777777" w:rsidR="00F0236A" w:rsidRPr="00073574" w:rsidDel="00EB5A01"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0C6BEB05" w14:textId="77777777" w:rsidR="00F0236A" w:rsidRPr="00073574" w:rsidDel="00EB5A01" w:rsidRDefault="00F0236A" w:rsidP="00DF36E1">
            <w:pPr>
              <w:pStyle w:val="Tabletext"/>
              <w:jc w:val="center"/>
              <w:rPr>
                <w:b/>
                <w:bCs/>
                <w:sz w:val="24"/>
                <w:szCs w:val="24"/>
              </w:rPr>
            </w:pPr>
          </w:p>
        </w:tc>
      </w:tr>
      <w:tr w:rsidR="00F0236A" w:rsidRPr="00073574" w:rsidDel="00EB5A01" w14:paraId="65C18765" w14:textId="77777777" w:rsidTr="634A3A28">
        <w:trPr>
          <w:cantSplit/>
          <w:jc w:val="center"/>
        </w:trPr>
        <w:tc>
          <w:tcPr>
            <w:tcW w:w="908" w:type="dxa"/>
            <w:vMerge/>
          </w:tcPr>
          <w:p w14:paraId="31A04966" w14:textId="77777777" w:rsidR="00F0236A" w:rsidRPr="00073574" w:rsidRDefault="00F0236A" w:rsidP="00DF36E1">
            <w:pPr>
              <w:pStyle w:val="Tabletext"/>
              <w:rPr>
                <w:sz w:val="24"/>
                <w:szCs w:val="24"/>
              </w:rPr>
            </w:pPr>
          </w:p>
        </w:tc>
        <w:tc>
          <w:tcPr>
            <w:tcW w:w="8924" w:type="dxa"/>
            <w:gridSpan w:val="4"/>
            <w:tcBorders>
              <w:bottom w:val="single" w:sz="12" w:space="0" w:color="auto"/>
            </w:tcBorders>
            <w:shd w:val="clear" w:color="auto" w:fill="auto"/>
          </w:tcPr>
          <w:p w14:paraId="6D2CABA3" w14:textId="5633B613" w:rsidR="00F0236A" w:rsidRPr="00073574" w:rsidDel="00EB5A01" w:rsidRDefault="00F0236A" w:rsidP="002E241A">
            <w:pPr>
              <w:pStyle w:val="NormalWeb"/>
              <w:numPr>
                <w:ilvl w:val="0"/>
                <w:numId w:val="35"/>
              </w:numPr>
              <w:spacing w:before="40" w:after="40"/>
              <w:ind w:left="357" w:hanging="357"/>
              <w:rPr>
                <w:sz w:val="22"/>
                <w:szCs w:val="22"/>
                <w:lang w:val="en-GB"/>
              </w:rPr>
            </w:pPr>
            <w:r w:rsidRPr="00073574">
              <w:rPr>
                <w:sz w:val="22"/>
                <w:szCs w:val="22"/>
                <w:lang w:val="en-GB"/>
              </w:rPr>
              <w:t>SG17 sent liaison statements to ITU-D SG</w:t>
            </w:r>
            <w:r w:rsidR="00BA0272" w:rsidRPr="00073574">
              <w:rPr>
                <w:sz w:val="22"/>
                <w:szCs w:val="22"/>
                <w:lang w:val="en-GB"/>
              </w:rPr>
              <w:t xml:space="preserve">1 and </w:t>
            </w:r>
            <w:r w:rsidRPr="00073574">
              <w:rPr>
                <w:sz w:val="22"/>
                <w:szCs w:val="22"/>
                <w:lang w:val="en-GB"/>
              </w:rPr>
              <w:t>2</w:t>
            </w:r>
            <w:r w:rsidR="00BA0272" w:rsidRPr="00073574">
              <w:rPr>
                <w:sz w:val="22"/>
                <w:szCs w:val="22"/>
                <w:lang w:val="en-GB"/>
              </w:rPr>
              <w:t xml:space="preserve"> and TDAG</w:t>
            </w:r>
            <w:r w:rsidRPr="00073574">
              <w:rPr>
                <w:sz w:val="22"/>
                <w:szCs w:val="22"/>
                <w:lang w:val="en-GB"/>
              </w:rPr>
              <w:t xml:space="preserve"> on ongoing collaboration with ITU-D Q3/2 and Q9/2.</w:t>
            </w:r>
          </w:p>
        </w:tc>
      </w:tr>
      <w:tr w:rsidR="00F0236A" w:rsidRPr="00073574" w:rsidDel="00EB5A01" w14:paraId="5EF96458" w14:textId="77777777" w:rsidTr="634A3A28">
        <w:trPr>
          <w:jc w:val="center"/>
        </w:trPr>
        <w:tc>
          <w:tcPr>
            <w:tcW w:w="908" w:type="dxa"/>
            <w:vMerge w:val="restart"/>
            <w:tcBorders>
              <w:top w:val="single" w:sz="12" w:space="0" w:color="auto"/>
            </w:tcBorders>
            <w:shd w:val="clear" w:color="auto" w:fill="auto"/>
          </w:tcPr>
          <w:p w14:paraId="4C741F35" w14:textId="77777777" w:rsidR="00F0236A" w:rsidRPr="00073574" w:rsidRDefault="00F0236A" w:rsidP="00421132">
            <w:pPr>
              <w:pStyle w:val="Tabletext"/>
              <w:rPr>
                <w:b/>
                <w:bCs/>
                <w:sz w:val="24"/>
                <w:szCs w:val="24"/>
              </w:rPr>
            </w:pPr>
            <w:r w:rsidRPr="00073574">
              <w:rPr>
                <w:b/>
                <w:bCs/>
                <w:sz w:val="24"/>
                <w:szCs w:val="24"/>
              </w:rPr>
              <w:t>50-18</w:t>
            </w:r>
          </w:p>
        </w:tc>
        <w:tc>
          <w:tcPr>
            <w:tcW w:w="4895" w:type="dxa"/>
            <w:tcBorders>
              <w:top w:val="single" w:sz="12" w:space="0" w:color="auto"/>
            </w:tcBorders>
            <w:shd w:val="clear" w:color="auto" w:fill="auto"/>
          </w:tcPr>
          <w:p w14:paraId="1DDE1537" w14:textId="77777777" w:rsidR="00F0236A" w:rsidRPr="00073574" w:rsidRDefault="00F0236A" w:rsidP="00421132">
            <w:pPr>
              <w:pStyle w:val="Tabletext"/>
              <w:rPr>
                <w:b/>
                <w:bCs/>
                <w:sz w:val="24"/>
                <w:szCs w:val="24"/>
              </w:rPr>
            </w:pPr>
            <w:r w:rsidRPr="00073574">
              <w:rPr>
                <w:b/>
                <w:bCs/>
                <w:sz w:val="24"/>
                <w:szCs w:val="24"/>
              </w:rPr>
              <w:t>SG17, in close collaboration with all other ITU-T SGs, establish an action plan to assess existing, evolving and new ITU-T Recommendations to counter security vulnerabilities and continue to provide regular reports to TSAG (resolves 7)</w:t>
            </w:r>
          </w:p>
        </w:tc>
        <w:tc>
          <w:tcPr>
            <w:tcW w:w="1548" w:type="dxa"/>
            <w:tcBorders>
              <w:top w:val="single" w:sz="12" w:space="0" w:color="auto"/>
            </w:tcBorders>
            <w:shd w:val="clear" w:color="auto" w:fill="auto"/>
            <w:vAlign w:val="center"/>
          </w:tcPr>
          <w:p w14:paraId="6BE0941A" w14:textId="77777777" w:rsidR="00F0236A" w:rsidRPr="00073574" w:rsidRDefault="00F0236A" w:rsidP="00421132">
            <w:pPr>
              <w:pStyle w:val="Tabletext"/>
              <w:jc w:val="center"/>
              <w:rPr>
                <w:b/>
                <w:bCs/>
                <w:sz w:val="24"/>
                <w:szCs w:val="24"/>
              </w:rPr>
            </w:pPr>
            <w:r w:rsidRPr="00073574">
              <w:rPr>
                <w:b/>
                <w:bCs/>
                <w:sz w:val="24"/>
                <w:szCs w:val="24"/>
              </w:rPr>
              <w:t>Ongoing</w:t>
            </w:r>
            <w:r w:rsidRPr="00073574">
              <w:rPr>
                <w:b/>
                <w:bCs/>
                <w:sz w:val="24"/>
                <w:szCs w:val="24"/>
              </w:rPr>
              <w:br/>
              <w:t>Each TSAG meeting</w:t>
            </w:r>
          </w:p>
        </w:tc>
        <w:tc>
          <w:tcPr>
            <w:tcW w:w="1145" w:type="dxa"/>
            <w:tcBorders>
              <w:top w:val="single" w:sz="12" w:space="0" w:color="auto"/>
            </w:tcBorders>
            <w:shd w:val="clear" w:color="auto" w:fill="auto"/>
            <w:vAlign w:val="center"/>
          </w:tcPr>
          <w:p w14:paraId="219EA155" w14:textId="77777777" w:rsidR="00F0236A" w:rsidRPr="00073574" w:rsidDel="00EB5A01" w:rsidRDefault="00F0236A" w:rsidP="00421132">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5DA00555" w14:textId="77777777" w:rsidR="00F0236A" w:rsidRPr="00073574" w:rsidDel="00EB5A01" w:rsidRDefault="00F0236A" w:rsidP="00421132">
            <w:pPr>
              <w:pStyle w:val="Tabletext"/>
              <w:jc w:val="center"/>
              <w:rPr>
                <w:b/>
                <w:bCs/>
                <w:sz w:val="24"/>
                <w:szCs w:val="24"/>
              </w:rPr>
            </w:pPr>
          </w:p>
        </w:tc>
      </w:tr>
      <w:tr w:rsidR="00F0236A" w:rsidRPr="00073574" w:rsidDel="00EB5A01" w14:paraId="6B67284F" w14:textId="77777777" w:rsidTr="634A3A28">
        <w:trPr>
          <w:jc w:val="center"/>
        </w:trPr>
        <w:tc>
          <w:tcPr>
            <w:tcW w:w="908" w:type="dxa"/>
            <w:vMerge/>
          </w:tcPr>
          <w:p w14:paraId="208B7556" w14:textId="77777777" w:rsidR="00F0236A" w:rsidRPr="00073574" w:rsidRDefault="00F0236A" w:rsidP="00421132">
            <w:pPr>
              <w:pStyle w:val="Tabletext"/>
              <w:rPr>
                <w:sz w:val="24"/>
                <w:szCs w:val="24"/>
              </w:rPr>
            </w:pPr>
          </w:p>
        </w:tc>
        <w:tc>
          <w:tcPr>
            <w:tcW w:w="8924" w:type="dxa"/>
            <w:gridSpan w:val="4"/>
            <w:tcBorders>
              <w:bottom w:val="single" w:sz="12" w:space="0" w:color="auto"/>
            </w:tcBorders>
            <w:shd w:val="clear" w:color="auto" w:fill="auto"/>
          </w:tcPr>
          <w:p w14:paraId="21213744" w14:textId="51CA5BB6" w:rsidR="00F0236A" w:rsidRPr="00073574" w:rsidRDefault="00F0236A" w:rsidP="00421132">
            <w:pPr>
              <w:pStyle w:val="Tabletext"/>
              <w:rPr>
                <w:szCs w:val="22"/>
              </w:rPr>
            </w:pPr>
            <w:r w:rsidRPr="00073574">
              <w:rPr>
                <w:szCs w:val="22"/>
              </w:rPr>
              <w:t xml:space="preserve">SG17 in Q1/17 </w:t>
            </w:r>
            <w:r w:rsidR="00DD72DE" w:rsidRPr="00073574">
              <w:rPr>
                <w:szCs w:val="22"/>
              </w:rPr>
              <w:t>identified</w:t>
            </w:r>
            <w:r w:rsidRPr="00073574">
              <w:rPr>
                <w:szCs w:val="22"/>
              </w:rPr>
              <w:t xml:space="preserve"> the need to develop a guideline on how to develop standards using security-by-design principle.</w:t>
            </w:r>
          </w:p>
          <w:p w14:paraId="26A59DAE" w14:textId="022B9D3B" w:rsidR="00BA0272" w:rsidRPr="00073574" w:rsidRDefault="00BA0272" w:rsidP="00421132">
            <w:pPr>
              <w:pStyle w:val="Tabletext"/>
              <w:rPr>
                <w:szCs w:val="22"/>
              </w:rPr>
            </w:pPr>
            <w:r w:rsidRPr="00073574">
              <w:rPr>
                <w:szCs w:val="22"/>
              </w:rPr>
              <w:t xml:space="preserve">SG17 maintains </w:t>
            </w:r>
            <w:r w:rsidR="003F7EEA" w:rsidRPr="00073574">
              <w:rPr>
                <w:szCs w:val="22"/>
              </w:rPr>
              <w:t xml:space="preserve">and keeps updating </w:t>
            </w:r>
            <w:r w:rsidRPr="00073574">
              <w:rPr>
                <w:szCs w:val="22"/>
              </w:rPr>
              <w:t xml:space="preserve">an </w:t>
            </w:r>
            <w:hyperlink r:id="rId369" w:history="1">
              <w:r w:rsidRPr="00073574">
                <w:rPr>
                  <w:rStyle w:val="Hyperlink"/>
                  <w:i/>
                  <w:szCs w:val="22"/>
                </w:rPr>
                <w:t>ICT security standards roadmap</w:t>
              </w:r>
            </w:hyperlink>
            <w:r w:rsidRPr="00073574">
              <w:rPr>
                <w:szCs w:val="22"/>
              </w:rPr>
              <w:t xml:space="preserve"> since 2006 which includes existing and ongoing ICT security standards in </w:t>
            </w:r>
            <w:r w:rsidR="003F7EEA" w:rsidRPr="00073574">
              <w:rPr>
                <w:szCs w:val="22"/>
              </w:rPr>
              <w:t xml:space="preserve">major </w:t>
            </w:r>
            <w:r w:rsidRPr="00073574">
              <w:rPr>
                <w:szCs w:val="22"/>
              </w:rPr>
              <w:t>SDOs</w:t>
            </w:r>
            <w:r w:rsidR="003F7EEA" w:rsidRPr="00073574">
              <w:rPr>
                <w:szCs w:val="22"/>
              </w:rPr>
              <w:t xml:space="preserve">, such as </w:t>
            </w:r>
            <w:r w:rsidR="00DD72DE" w:rsidRPr="00073574">
              <w:rPr>
                <w:szCs w:val="22"/>
              </w:rPr>
              <w:t xml:space="preserve">3GPP, </w:t>
            </w:r>
            <w:r w:rsidR="003F7EEA" w:rsidRPr="00073574">
              <w:rPr>
                <w:szCs w:val="22"/>
              </w:rPr>
              <w:t>ETSI, FIDO Alliance, IEEE, IETF, ISO/IEC JTC 1/SC 27, OASIS, etc</w:t>
            </w:r>
            <w:r w:rsidRPr="00073574">
              <w:rPr>
                <w:szCs w:val="22"/>
              </w:rPr>
              <w:t>.</w:t>
            </w:r>
          </w:p>
          <w:p w14:paraId="1251E913" w14:textId="702B76F8" w:rsidR="00F0236A" w:rsidRPr="00073574" w:rsidDel="00EB5A01" w:rsidRDefault="00F0236A" w:rsidP="539711DF">
            <w:pPr>
              <w:pStyle w:val="Tabletext"/>
            </w:pPr>
            <w:r w:rsidRPr="00073574">
              <w:t xml:space="preserve">See SG17 report on LSG in TSAG </w:t>
            </w:r>
            <w:hyperlink r:id="rId370">
              <w:r w:rsidR="00112C75" w:rsidRPr="00073574">
                <w:rPr>
                  <w:rStyle w:val="Hyperlink"/>
                </w:rPr>
                <w:t>TD</w:t>
              </w:r>
              <w:r w:rsidRPr="00073574">
                <w:rPr>
                  <w:rStyle w:val="Hyperlink"/>
                </w:rPr>
                <w:t>93</w:t>
              </w:r>
            </w:hyperlink>
            <w:r w:rsidR="01C1B6ED" w:rsidRPr="00D200BF">
              <w:rPr>
                <w:rStyle w:val="Hyperlink"/>
                <w:u w:val="none"/>
              </w:rPr>
              <w:t xml:space="preserve">, </w:t>
            </w:r>
            <w:hyperlink r:id="rId371" w:history="1">
              <w:r w:rsidR="01C1B6ED" w:rsidRPr="00073574">
                <w:rPr>
                  <w:rStyle w:val="Hyperlink"/>
                </w:rPr>
                <w:t>TD236</w:t>
              </w:r>
            </w:hyperlink>
            <w:r w:rsidR="5D1B849E" w:rsidRPr="00D200BF">
              <w:rPr>
                <w:rStyle w:val="Hyperlink"/>
                <w:u w:val="none"/>
              </w:rPr>
              <w:t xml:space="preserve">, </w:t>
            </w:r>
            <w:hyperlink r:id="rId372">
              <w:r w:rsidR="5D1B849E" w:rsidRPr="00073574">
                <w:rPr>
                  <w:rStyle w:val="Hyperlink"/>
                </w:rPr>
                <w:t>TD309</w:t>
              </w:r>
            </w:hyperlink>
            <w:r w:rsidR="262B9CA2" w:rsidRPr="00D200BF">
              <w:rPr>
                <w:rStyle w:val="Hyperlink"/>
                <w:u w:val="none"/>
              </w:rPr>
              <w:t xml:space="preserve">, </w:t>
            </w:r>
            <w:hyperlink r:id="rId373">
              <w:r w:rsidR="23298A3C" w:rsidRPr="00073574">
                <w:rPr>
                  <w:rStyle w:val="Hyperlink"/>
                  <w:lang w:eastAsia="zh-CN"/>
                </w:rPr>
                <w:t>TD485</w:t>
              </w:r>
            </w:hyperlink>
            <w:r w:rsidR="00923005" w:rsidRPr="00073574">
              <w:rPr>
                <w:rStyle w:val="Hyperlink"/>
                <w:lang w:eastAsia="zh-CN"/>
              </w:rPr>
              <w:t>,</w:t>
            </w:r>
            <w:r w:rsidR="33AC5E89" w:rsidRPr="00073574">
              <w:t xml:space="preserve"> </w:t>
            </w:r>
            <w:hyperlink r:id="rId374" w:history="1">
              <w:r w:rsidR="33AC5E89" w:rsidRPr="00073574">
                <w:rPr>
                  <w:rStyle w:val="Hyperlink"/>
                </w:rPr>
                <w:t>TD806</w:t>
              </w:r>
            </w:hyperlink>
            <w:r w:rsidR="00977A21" w:rsidRPr="00073574">
              <w:rPr>
                <w:szCs w:val="22"/>
              </w:rPr>
              <w:t xml:space="preserve">, </w:t>
            </w:r>
            <w:hyperlink r:id="rId375" w:history="1">
              <w:r w:rsidR="00977A21" w:rsidRPr="00D200BF">
                <w:rPr>
                  <w:rStyle w:val="Hyperlink"/>
                  <w:szCs w:val="22"/>
                </w:rPr>
                <w:t>TD947</w:t>
              </w:r>
            </w:hyperlink>
            <w:r w:rsidR="00977A21" w:rsidRPr="00D200BF">
              <w:rPr>
                <w:szCs w:val="22"/>
              </w:rPr>
              <w:t xml:space="preserve">, </w:t>
            </w:r>
            <w:hyperlink r:id="rId376" w:history="1">
              <w:r w:rsidR="00977A21" w:rsidRPr="00D200BF">
                <w:rPr>
                  <w:rStyle w:val="Hyperlink"/>
                  <w:szCs w:val="22"/>
                </w:rPr>
                <w:t>TD1048</w:t>
              </w:r>
            </w:hyperlink>
            <w:r w:rsidR="00D200BF">
              <w:rPr>
                <w:rStyle w:val="Hyperlink"/>
                <w:szCs w:val="22"/>
              </w:rPr>
              <w:t>.</w:t>
            </w:r>
          </w:p>
        </w:tc>
      </w:tr>
      <w:tr w:rsidR="00F0236A" w:rsidRPr="00073574" w:rsidDel="00EB5A01" w14:paraId="3FCF697E" w14:textId="77777777" w:rsidTr="634A3A28">
        <w:trPr>
          <w:jc w:val="center"/>
        </w:trPr>
        <w:tc>
          <w:tcPr>
            <w:tcW w:w="908" w:type="dxa"/>
            <w:vMerge w:val="restart"/>
            <w:tcBorders>
              <w:top w:val="single" w:sz="12" w:space="0" w:color="auto"/>
            </w:tcBorders>
            <w:shd w:val="clear" w:color="auto" w:fill="auto"/>
          </w:tcPr>
          <w:p w14:paraId="6F82578E" w14:textId="77777777" w:rsidR="00F0236A" w:rsidRPr="00073574" w:rsidRDefault="00F0236A" w:rsidP="004B7A24">
            <w:pPr>
              <w:pStyle w:val="Tabletext"/>
              <w:keepNext/>
              <w:keepLines/>
              <w:rPr>
                <w:b/>
                <w:bCs/>
                <w:sz w:val="24"/>
                <w:szCs w:val="24"/>
              </w:rPr>
            </w:pPr>
            <w:r w:rsidRPr="00073574">
              <w:rPr>
                <w:b/>
                <w:bCs/>
                <w:sz w:val="24"/>
                <w:szCs w:val="24"/>
              </w:rPr>
              <w:t>50-19</w:t>
            </w:r>
          </w:p>
        </w:tc>
        <w:tc>
          <w:tcPr>
            <w:tcW w:w="4895" w:type="dxa"/>
            <w:tcBorders>
              <w:top w:val="single" w:sz="12" w:space="0" w:color="auto"/>
            </w:tcBorders>
            <w:shd w:val="clear" w:color="auto" w:fill="auto"/>
          </w:tcPr>
          <w:p w14:paraId="7665E256" w14:textId="77777777" w:rsidR="00F0236A" w:rsidRPr="00073574" w:rsidRDefault="00F0236A" w:rsidP="00DF36E1">
            <w:pPr>
              <w:pStyle w:val="Tabletext"/>
              <w:rPr>
                <w:b/>
                <w:bCs/>
                <w:sz w:val="24"/>
                <w:szCs w:val="24"/>
              </w:rPr>
            </w:pPr>
            <w:r w:rsidRPr="00073574">
              <w:rPr>
                <w:b/>
                <w:bCs/>
                <w:sz w:val="24"/>
                <w:szCs w:val="24"/>
              </w:rPr>
              <w:t>All ITU-T SGs continue liaise with standards organizations and other bodies active in this field (resolves 8)</w:t>
            </w:r>
          </w:p>
        </w:tc>
        <w:tc>
          <w:tcPr>
            <w:tcW w:w="1548" w:type="dxa"/>
            <w:tcBorders>
              <w:top w:val="single" w:sz="12" w:space="0" w:color="auto"/>
            </w:tcBorders>
            <w:shd w:val="clear" w:color="auto" w:fill="auto"/>
            <w:vAlign w:val="center"/>
          </w:tcPr>
          <w:p w14:paraId="3DA8F1E8"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45" w:type="dxa"/>
            <w:tcBorders>
              <w:top w:val="single" w:sz="12" w:space="0" w:color="auto"/>
            </w:tcBorders>
            <w:shd w:val="clear" w:color="auto" w:fill="auto"/>
            <w:vAlign w:val="center"/>
          </w:tcPr>
          <w:p w14:paraId="15552414" w14:textId="77777777" w:rsidR="00F0236A" w:rsidRPr="00073574" w:rsidDel="00EB5A01"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7E55E216" w14:textId="77777777" w:rsidR="00F0236A" w:rsidRPr="00073574" w:rsidDel="00EB5A01" w:rsidRDefault="00F0236A" w:rsidP="00DF36E1">
            <w:pPr>
              <w:pStyle w:val="Tabletext"/>
              <w:jc w:val="center"/>
              <w:rPr>
                <w:b/>
                <w:bCs/>
                <w:sz w:val="24"/>
                <w:szCs w:val="24"/>
              </w:rPr>
            </w:pPr>
          </w:p>
        </w:tc>
      </w:tr>
      <w:tr w:rsidR="00F0236A" w:rsidRPr="00073574" w:rsidDel="00EB5A01" w14:paraId="2FAB7D64" w14:textId="77777777" w:rsidTr="634A3A28">
        <w:trPr>
          <w:jc w:val="center"/>
        </w:trPr>
        <w:tc>
          <w:tcPr>
            <w:tcW w:w="908" w:type="dxa"/>
            <w:vMerge/>
          </w:tcPr>
          <w:p w14:paraId="130ED839" w14:textId="77777777" w:rsidR="00F0236A" w:rsidRPr="00073574" w:rsidRDefault="00F0236A" w:rsidP="00DF36E1">
            <w:pPr>
              <w:pStyle w:val="Tabletext"/>
              <w:rPr>
                <w:sz w:val="24"/>
                <w:szCs w:val="24"/>
              </w:rPr>
            </w:pPr>
          </w:p>
        </w:tc>
        <w:tc>
          <w:tcPr>
            <w:tcW w:w="8924" w:type="dxa"/>
            <w:gridSpan w:val="4"/>
            <w:tcBorders>
              <w:bottom w:val="single" w:sz="12" w:space="0" w:color="auto"/>
            </w:tcBorders>
            <w:shd w:val="clear" w:color="auto" w:fill="auto"/>
          </w:tcPr>
          <w:p w14:paraId="646CBC52" w14:textId="54B68E85" w:rsidR="00B16795" w:rsidRPr="00073574" w:rsidRDefault="00B16795" w:rsidP="002E241A">
            <w:pPr>
              <w:pStyle w:val="NormalWeb"/>
              <w:numPr>
                <w:ilvl w:val="0"/>
                <w:numId w:val="35"/>
              </w:numPr>
              <w:spacing w:before="40" w:after="0"/>
              <w:ind w:left="357" w:hanging="357"/>
              <w:rPr>
                <w:sz w:val="22"/>
                <w:szCs w:val="22"/>
                <w:lang w:val="en-GB"/>
              </w:rPr>
            </w:pPr>
            <w:r w:rsidRPr="00073574">
              <w:rPr>
                <w:sz w:val="22"/>
                <w:szCs w:val="22"/>
                <w:lang w:val="en-GB"/>
              </w:rPr>
              <w:t xml:space="preserve">SG2 liaises with relevant </w:t>
            </w:r>
            <w:r w:rsidR="00107E25" w:rsidRPr="00073574">
              <w:rPr>
                <w:sz w:val="22"/>
                <w:szCs w:val="22"/>
                <w:lang w:val="en-GB"/>
              </w:rPr>
              <w:t>organizations</w:t>
            </w:r>
            <w:r w:rsidRPr="00073574">
              <w:rPr>
                <w:sz w:val="22"/>
                <w:szCs w:val="22"/>
                <w:lang w:val="en-GB"/>
              </w:rPr>
              <w:t xml:space="preserve"> as necessary, such as ISO/IEC JTC 1/SC27.</w:t>
            </w:r>
          </w:p>
          <w:p w14:paraId="19DED16D" w14:textId="4544980E" w:rsidR="00004508" w:rsidRPr="00073574" w:rsidRDefault="25023545" w:rsidP="002E241A">
            <w:pPr>
              <w:pStyle w:val="NormalWeb"/>
              <w:numPr>
                <w:ilvl w:val="0"/>
                <w:numId w:val="35"/>
              </w:numPr>
              <w:spacing w:before="120" w:after="0"/>
              <w:ind w:left="357" w:hanging="357"/>
              <w:rPr>
                <w:sz w:val="22"/>
                <w:szCs w:val="22"/>
                <w:lang w:val="en-GB"/>
              </w:rPr>
            </w:pPr>
            <w:r w:rsidRPr="00073574">
              <w:rPr>
                <w:sz w:val="22"/>
                <w:szCs w:val="22"/>
                <w:lang w:val="en-GB"/>
              </w:rPr>
              <w:t>SG5 sent a liaison statement to all SDOs informing on SG5 lead study group activities.</w:t>
            </w:r>
            <w:r w:rsidR="7C510359" w:rsidRPr="00073574">
              <w:rPr>
                <w:sz w:val="22"/>
                <w:szCs w:val="22"/>
                <w:lang w:val="en-GB"/>
              </w:rPr>
              <w:t xml:space="preserve"> SG5 liaises with relevant organizations as necessary.</w:t>
            </w:r>
          </w:p>
          <w:p w14:paraId="6377B471" w14:textId="1A64E23D" w:rsidR="00255EB0" w:rsidRPr="00073574" w:rsidRDefault="00255EB0" w:rsidP="00255EB0">
            <w:pPr>
              <w:pStyle w:val="NormalWeb"/>
              <w:numPr>
                <w:ilvl w:val="0"/>
                <w:numId w:val="35"/>
              </w:numPr>
              <w:spacing w:before="120" w:after="0"/>
              <w:ind w:left="357" w:hanging="357"/>
              <w:rPr>
                <w:sz w:val="22"/>
                <w:szCs w:val="22"/>
                <w:lang w:val="en-GB"/>
              </w:rPr>
            </w:pPr>
            <w:r w:rsidRPr="00073574">
              <w:rPr>
                <w:sz w:val="22"/>
                <w:szCs w:val="22"/>
                <w:lang w:val="en-GB"/>
              </w:rPr>
              <w:t>SG9 regularly liaises with relevant organizations to foster coordination and collaboration on cable TV security and content protection.</w:t>
            </w:r>
          </w:p>
          <w:p w14:paraId="54558ADA" w14:textId="03D6F09C" w:rsidR="00AB4851" w:rsidRPr="00073574" w:rsidRDefault="00AB4851" w:rsidP="002E241A">
            <w:pPr>
              <w:pStyle w:val="NormalWeb"/>
              <w:numPr>
                <w:ilvl w:val="0"/>
                <w:numId w:val="35"/>
              </w:numPr>
              <w:spacing w:before="120" w:after="0"/>
              <w:ind w:left="357" w:hanging="357"/>
              <w:rPr>
                <w:sz w:val="22"/>
                <w:szCs w:val="22"/>
                <w:lang w:val="en-GB"/>
              </w:rPr>
            </w:pPr>
            <w:r w:rsidRPr="00073574">
              <w:rPr>
                <w:sz w:val="22"/>
                <w:szCs w:val="22"/>
                <w:lang w:val="en-GB"/>
              </w:rPr>
              <w:lastRenderedPageBreak/>
              <w:t>SG11 liaises with relevant organizations as necessary.</w:t>
            </w:r>
          </w:p>
          <w:p w14:paraId="3A904867" w14:textId="1882286D" w:rsidR="0073593D" w:rsidRPr="00073574" w:rsidRDefault="0073593D" w:rsidP="002E241A">
            <w:pPr>
              <w:pStyle w:val="NormalWeb"/>
              <w:numPr>
                <w:ilvl w:val="0"/>
                <w:numId w:val="35"/>
              </w:numPr>
              <w:spacing w:before="120" w:after="0"/>
              <w:ind w:left="357" w:hanging="357"/>
              <w:rPr>
                <w:sz w:val="22"/>
                <w:szCs w:val="22"/>
                <w:lang w:val="en-GB"/>
              </w:rPr>
            </w:pPr>
            <w:r w:rsidRPr="00073574">
              <w:rPr>
                <w:sz w:val="22"/>
                <w:szCs w:val="22"/>
                <w:lang w:val="en-GB"/>
              </w:rPr>
              <w:t>SG12 liaises with relevant organizations as necessary.</w:t>
            </w:r>
          </w:p>
          <w:p w14:paraId="6345466A" w14:textId="72286A13" w:rsidR="00682CFB" w:rsidRPr="00073574" w:rsidRDefault="00682CFB" w:rsidP="002E241A">
            <w:pPr>
              <w:pStyle w:val="NormalWeb"/>
              <w:numPr>
                <w:ilvl w:val="0"/>
                <w:numId w:val="35"/>
              </w:numPr>
              <w:spacing w:before="120" w:after="0"/>
              <w:ind w:left="357" w:hanging="357"/>
              <w:rPr>
                <w:sz w:val="22"/>
                <w:szCs w:val="22"/>
                <w:lang w:val="en-GB"/>
              </w:rPr>
            </w:pPr>
            <w:r w:rsidRPr="00073574">
              <w:rPr>
                <w:sz w:val="22"/>
                <w:szCs w:val="22"/>
                <w:lang w:val="en-GB"/>
              </w:rPr>
              <w:t>SG13 regularly communicates with ISO/IEC JTC</w:t>
            </w:r>
            <w:r w:rsidR="00B16795" w:rsidRPr="00073574">
              <w:rPr>
                <w:sz w:val="22"/>
                <w:szCs w:val="22"/>
                <w:lang w:val="en-GB"/>
              </w:rPr>
              <w:t xml:space="preserve"> </w:t>
            </w:r>
            <w:r w:rsidRPr="00073574">
              <w:rPr>
                <w:sz w:val="22"/>
                <w:szCs w:val="22"/>
                <w:lang w:val="en-GB"/>
              </w:rPr>
              <w:t xml:space="preserve">1/SC27 </w:t>
            </w:r>
            <w:r w:rsidR="00B77F19" w:rsidRPr="00073574">
              <w:rPr>
                <w:sz w:val="22"/>
                <w:szCs w:val="22"/>
                <w:lang w:val="en-GB"/>
              </w:rPr>
              <w:t xml:space="preserve">and ETSI </w:t>
            </w:r>
            <w:r w:rsidRPr="00073574">
              <w:rPr>
                <w:sz w:val="22"/>
                <w:szCs w:val="22"/>
                <w:lang w:val="en-GB"/>
              </w:rPr>
              <w:t>on its work items with security implications.</w:t>
            </w:r>
          </w:p>
          <w:p w14:paraId="13250F9E" w14:textId="11533ED3" w:rsidR="004B533E" w:rsidRPr="00073574" w:rsidRDefault="004B533E" w:rsidP="002E241A">
            <w:pPr>
              <w:pStyle w:val="NormalWeb"/>
              <w:numPr>
                <w:ilvl w:val="0"/>
                <w:numId w:val="35"/>
              </w:numPr>
              <w:spacing w:before="120" w:after="0"/>
              <w:ind w:left="357" w:hanging="357"/>
              <w:rPr>
                <w:sz w:val="22"/>
                <w:szCs w:val="22"/>
                <w:lang w:val="en-GB"/>
              </w:rPr>
            </w:pPr>
            <w:r w:rsidRPr="00073574">
              <w:rPr>
                <w:sz w:val="22"/>
                <w:szCs w:val="22"/>
                <w:lang w:val="en-GB"/>
              </w:rPr>
              <w:t>SG15 liaises with relevant organizations as necessary.</w:t>
            </w:r>
          </w:p>
          <w:p w14:paraId="419DDC06" w14:textId="7C20EC9E" w:rsidR="00514E6C" w:rsidRPr="00073574" w:rsidRDefault="00514E6C" w:rsidP="002E241A">
            <w:pPr>
              <w:pStyle w:val="NormalWeb"/>
              <w:numPr>
                <w:ilvl w:val="0"/>
                <w:numId w:val="35"/>
              </w:numPr>
              <w:spacing w:before="120" w:after="0"/>
              <w:ind w:left="357" w:hanging="357"/>
              <w:rPr>
                <w:sz w:val="22"/>
                <w:szCs w:val="22"/>
                <w:lang w:val="en-GB"/>
              </w:rPr>
            </w:pPr>
            <w:r w:rsidRPr="00073574">
              <w:rPr>
                <w:sz w:val="22"/>
                <w:szCs w:val="22"/>
                <w:lang w:val="en-GB"/>
              </w:rPr>
              <w:t>SG16 liaises with relevant organizations as necessary.</w:t>
            </w:r>
          </w:p>
          <w:p w14:paraId="2DDEE80F" w14:textId="6A517195" w:rsidR="00BA0272" w:rsidRPr="00073574" w:rsidRDefault="00BA0272" w:rsidP="002E241A">
            <w:pPr>
              <w:pStyle w:val="NormalWeb"/>
              <w:numPr>
                <w:ilvl w:val="0"/>
                <w:numId w:val="35"/>
              </w:numPr>
              <w:spacing w:before="120" w:after="0"/>
              <w:ind w:left="357" w:hanging="357"/>
              <w:rPr>
                <w:sz w:val="22"/>
                <w:szCs w:val="22"/>
                <w:lang w:val="en-GB"/>
              </w:rPr>
            </w:pPr>
            <w:r w:rsidRPr="00073574">
              <w:rPr>
                <w:sz w:val="22"/>
                <w:szCs w:val="22"/>
                <w:lang w:val="en-GB"/>
              </w:rPr>
              <w:t xml:space="preserve">SG17 liaises with relevant organizations as necessary, and </w:t>
            </w:r>
            <w:r w:rsidR="003F7EEA" w:rsidRPr="00073574">
              <w:rPr>
                <w:sz w:val="22"/>
                <w:szCs w:val="22"/>
                <w:lang w:val="en-GB"/>
              </w:rPr>
              <w:t xml:space="preserve">developed common/twin texts with ISO/IEC JTC 1/SC 27 and </w:t>
            </w:r>
            <w:r w:rsidRPr="00073574">
              <w:rPr>
                <w:sz w:val="22"/>
                <w:szCs w:val="22"/>
                <w:lang w:val="en-GB"/>
              </w:rPr>
              <w:t>adopted standards from OASIS and FIDO Alliance into ITU-T Recommendations.</w:t>
            </w:r>
          </w:p>
          <w:p w14:paraId="3B89C731" w14:textId="07698181" w:rsidR="00F0236A" w:rsidRPr="00073574" w:rsidDel="00EB5A01" w:rsidRDefault="00F0236A" w:rsidP="002E241A">
            <w:pPr>
              <w:pStyle w:val="NormalWeb"/>
              <w:numPr>
                <w:ilvl w:val="0"/>
                <w:numId w:val="35"/>
              </w:numPr>
              <w:spacing w:before="120" w:after="40"/>
              <w:ind w:left="357" w:hanging="357"/>
              <w:rPr>
                <w:lang w:val="en-GB"/>
              </w:rPr>
            </w:pPr>
            <w:r w:rsidRPr="00073574">
              <w:rPr>
                <w:sz w:val="22"/>
                <w:szCs w:val="22"/>
                <w:lang w:val="en-GB"/>
              </w:rPr>
              <w:t>SG20 sent a liaison statement to all SDOs and Forums informing on the new structure of SG20.</w:t>
            </w:r>
            <w:r w:rsidR="00300D60" w:rsidRPr="00073574">
              <w:rPr>
                <w:sz w:val="22"/>
                <w:szCs w:val="22"/>
                <w:lang w:val="en-GB"/>
              </w:rPr>
              <w:t xml:space="preserve"> SG20 liaises with relevant organizations as necessary.</w:t>
            </w:r>
          </w:p>
        </w:tc>
      </w:tr>
      <w:tr w:rsidR="00F0236A" w:rsidRPr="00073574" w:rsidDel="00EB5A01" w14:paraId="68DAF5CE" w14:textId="77777777" w:rsidTr="00862EC3">
        <w:trPr>
          <w:jc w:val="center"/>
        </w:trPr>
        <w:tc>
          <w:tcPr>
            <w:tcW w:w="908" w:type="dxa"/>
            <w:vMerge w:val="restart"/>
            <w:tcBorders>
              <w:top w:val="single" w:sz="12" w:space="0" w:color="auto"/>
            </w:tcBorders>
            <w:shd w:val="clear" w:color="auto" w:fill="auto"/>
          </w:tcPr>
          <w:p w14:paraId="60F62FF4" w14:textId="77777777" w:rsidR="00F0236A" w:rsidRPr="00073574" w:rsidRDefault="00F0236A" w:rsidP="00DF36E1">
            <w:pPr>
              <w:pStyle w:val="Tabletext"/>
              <w:rPr>
                <w:b/>
                <w:bCs/>
                <w:sz w:val="24"/>
                <w:szCs w:val="24"/>
              </w:rPr>
            </w:pPr>
            <w:r w:rsidRPr="00073574">
              <w:rPr>
                <w:b/>
                <w:bCs/>
                <w:sz w:val="24"/>
                <w:szCs w:val="24"/>
              </w:rPr>
              <w:lastRenderedPageBreak/>
              <w:t>50-20</w:t>
            </w:r>
          </w:p>
        </w:tc>
        <w:tc>
          <w:tcPr>
            <w:tcW w:w="4895" w:type="dxa"/>
            <w:tcBorders>
              <w:top w:val="single" w:sz="12" w:space="0" w:color="auto"/>
            </w:tcBorders>
            <w:shd w:val="clear" w:color="auto" w:fill="auto"/>
          </w:tcPr>
          <w:p w14:paraId="5F9AA08B" w14:textId="77777777" w:rsidR="00F0236A" w:rsidRPr="00073574" w:rsidRDefault="00F0236A" w:rsidP="00DF36E1">
            <w:pPr>
              <w:pStyle w:val="Tabletext"/>
              <w:rPr>
                <w:b/>
                <w:bCs/>
                <w:sz w:val="24"/>
                <w:szCs w:val="24"/>
              </w:rPr>
            </w:pPr>
            <w:r w:rsidRPr="00073574">
              <w:rPr>
                <w:b/>
                <w:bCs/>
                <w:sz w:val="24"/>
                <w:szCs w:val="24"/>
              </w:rPr>
              <w:t>TSB Director to continue to recognize the role played by other organizations with experience and expertise in the area of security standards, and coordinate with those organizations as appropriate (i. TSBDir 4)</w:t>
            </w:r>
          </w:p>
        </w:tc>
        <w:tc>
          <w:tcPr>
            <w:tcW w:w="1548" w:type="dxa"/>
            <w:tcBorders>
              <w:top w:val="single" w:sz="12" w:space="0" w:color="auto"/>
            </w:tcBorders>
            <w:shd w:val="clear" w:color="auto" w:fill="auto"/>
            <w:vAlign w:val="center"/>
          </w:tcPr>
          <w:p w14:paraId="4A0DECD5"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45" w:type="dxa"/>
            <w:tcBorders>
              <w:top w:val="single" w:sz="12" w:space="0" w:color="auto"/>
            </w:tcBorders>
            <w:shd w:val="clear" w:color="auto" w:fill="auto"/>
            <w:vAlign w:val="center"/>
          </w:tcPr>
          <w:p w14:paraId="13437648" w14:textId="2C300856" w:rsidR="00F0236A" w:rsidRPr="00073574" w:rsidDel="00EB5A01" w:rsidRDefault="001A4476"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1E1D65E6" w14:textId="77777777" w:rsidR="00F0236A" w:rsidRPr="00073574" w:rsidDel="00EB5A01" w:rsidRDefault="00F0236A" w:rsidP="00DF36E1">
            <w:pPr>
              <w:pStyle w:val="Tabletext"/>
              <w:jc w:val="center"/>
              <w:rPr>
                <w:b/>
                <w:bCs/>
                <w:sz w:val="24"/>
                <w:szCs w:val="24"/>
              </w:rPr>
            </w:pPr>
          </w:p>
        </w:tc>
      </w:tr>
      <w:tr w:rsidR="00F0236A" w:rsidRPr="00073574" w:rsidDel="00EB5A01" w14:paraId="077D8D83" w14:textId="77777777" w:rsidTr="00862EC3">
        <w:trPr>
          <w:jc w:val="center"/>
        </w:trPr>
        <w:tc>
          <w:tcPr>
            <w:tcW w:w="908" w:type="dxa"/>
            <w:vMerge/>
            <w:vAlign w:val="center"/>
          </w:tcPr>
          <w:p w14:paraId="3314C417" w14:textId="77777777" w:rsidR="00F0236A" w:rsidRPr="00073574" w:rsidRDefault="00F0236A" w:rsidP="00DF36E1">
            <w:pPr>
              <w:pStyle w:val="Tabletext"/>
              <w:rPr>
                <w:sz w:val="24"/>
                <w:szCs w:val="24"/>
              </w:rPr>
            </w:pPr>
          </w:p>
        </w:tc>
        <w:tc>
          <w:tcPr>
            <w:tcW w:w="8924" w:type="dxa"/>
            <w:gridSpan w:val="4"/>
            <w:shd w:val="clear" w:color="auto" w:fill="auto"/>
          </w:tcPr>
          <w:p w14:paraId="3B606BB2" w14:textId="23422370" w:rsidR="00F0236A" w:rsidRPr="00073574" w:rsidRDefault="003F7EEA" w:rsidP="00DF36E1">
            <w:pPr>
              <w:pStyle w:val="Tabletext"/>
              <w:rPr>
                <w:szCs w:val="22"/>
              </w:rPr>
            </w:pPr>
            <w:r w:rsidRPr="00073574">
              <w:rPr>
                <w:szCs w:val="22"/>
              </w:rPr>
              <w:t xml:space="preserve">SG17 maintains and keeps updating an </w:t>
            </w:r>
            <w:hyperlink r:id="rId377" w:history="1">
              <w:r w:rsidRPr="00073574">
                <w:rPr>
                  <w:rStyle w:val="Hyperlink"/>
                  <w:i/>
                  <w:szCs w:val="22"/>
                </w:rPr>
                <w:t>ICT security standards roadmap</w:t>
              </w:r>
            </w:hyperlink>
            <w:r w:rsidRPr="00073574">
              <w:rPr>
                <w:szCs w:val="22"/>
              </w:rPr>
              <w:t xml:space="preserve"> since 2006 which includes</w:t>
            </w:r>
            <w:r w:rsidR="009D39B3" w:rsidRPr="00073574">
              <w:rPr>
                <w:szCs w:val="22"/>
              </w:rPr>
              <w:t xml:space="preserve"> 2600+</w:t>
            </w:r>
            <w:r w:rsidRPr="00073574">
              <w:rPr>
                <w:szCs w:val="22"/>
              </w:rPr>
              <w:t xml:space="preserve"> existing and ongoing ICT security standards in major SDOs, such as </w:t>
            </w:r>
            <w:r w:rsidR="00DD72DE" w:rsidRPr="00073574">
              <w:rPr>
                <w:szCs w:val="22"/>
              </w:rPr>
              <w:t xml:space="preserve">3GPP, </w:t>
            </w:r>
            <w:r w:rsidRPr="00073574">
              <w:rPr>
                <w:szCs w:val="22"/>
              </w:rPr>
              <w:t>ETSI, FIDO Alliance, IEEE, IETF, ISO/IEC JTC 1/SC 27, OASIS, etc.</w:t>
            </w:r>
          </w:p>
          <w:p w14:paraId="3EB3818B" w14:textId="34D65A95" w:rsidR="003F7EEA" w:rsidRPr="00073574" w:rsidDel="00EB5A01" w:rsidRDefault="003F7EEA" w:rsidP="001A4476">
            <w:pPr>
              <w:pStyle w:val="Tabletext"/>
              <w:rPr>
                <w:szCs w:val="22"/>
              </w:rPr>
            </w:pPr>
            <w:r w:rsidRPr="00073574">
              <w:rPr>
                <w:szCs w:val="22"/>
              </w:rPr>
              <w:t>SG17 liaises with relevant organizations as necessary, and developed common/twin texts with ISO/IEC JTC 1/SC 27 and adopted standards from OASIS and FIDO Alliance into ITU-T Recommendations.</w:t>
            </w:r>
          </w:p>
        </w:tc>
      </w:tr>
    </w:tbl>
    <w:bookmarkStart w:id="197" w:name="Item50_01"/>
    <w:bookmarkStart w:id="198" w:name="Item50_02"/>
    <w:bookmarkStart w:id="199" w:name="Item50_03"/>
    <w:bookmarkStart w:id="200" w:name="Item50_04"/>
    <w:bookmarkStart w:id="201" w:name="Item50_05"/>
    <w:bookmarkStart w:id="202" w:name="Item50_06"/>
    <w:bookmarkStart w:id="203" w:name="Item50_07"/>
    <w:bookmarkStart w:id="204" w:name="Item50_08"/>
    <w:bookmarkStart w:id="205" w:name="Item50_09"/>
    <w:bookmarkStart w:id="206" w:name="Item50_10"/>
    <w:bookmarkStart w:id="207" w:name="Item50_11"/>
    <w:bookmarkStart w:id="208" w:name="Item50_12"/>
    <w:bookmarkStart w:id="209" w:name="Item50_13"/>
    <w:bookmarkStart w:id="210" w:name="Item50_14"/>
    <w:bookmarkStart w:id="211" w:name="Item50_15"/>
    <w:bookmarkStart w:id="212" w:name="Item50_16"/>
    <w:bookmarkStart w:id="213" w:name="Item50_17"/>
    <w:bookmarkStart w:id="214" w:name="Item50_18"/>
    <w:bookmarkStart w:id="215" w:name="Item50_19"/>
    <w:bookmarkStart w:id="216" w:name="Item50_20"/>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14:paraId="0869703B" w14:textId="77777777" w:rsidR="00F0236A" w:rsidRPr="00073574" w:rsidRDefault="00F0236A" w:rsidP="00F0236A">
      <w:pPr>
        <w:rPr>
          <w:rStyle w:val="Hyperlink"/>
          <w:sz w:val="24"/>
        </w:rPr>
      </w:pPr>
      <w:r w:rsidRPr="00073574">
        <w:rPr>
          <w:color w:val="2B579A"/>
          <w:shd w:val="clear" w:color="auto" w:fill="E6E6E6"/>
        </w:rPr>
        <w:fldChar w:fldCharType="begin"/>
      </w:r>
      <w:r w:rsidRPr="00073574">
        <w:rPr>
          <w:sz w:val="24"/>
        </w:rPr>
        <w:instrText xml:space="preserve"> HYPERLINK \l "Top" </w:instrText>
      </w:r>
      <w:r w:rsidRPr="00073574">
        <w:rPr>
          <w:color w:val="2B579A"/>
          <w:shd w:val="clear" w:color="auto" w:fill="E6E6E6"/>
        </w:rPr>
        <w:fldChar w:fldCharType="separate"/>
      </w:r>
      <w:r w:rsidRPr="00073574">
        <w:rPr>
          <w:rStyle w:val="Hyperlink"/>
          <w:sz w:val="24"/>
        </w:rPr>
        <w:t>» Top</w:t>
      </w:r>
      <w:r w:rsidRPr="00073574">
        <w:rPr>
          <w:rStyle w:val="Hyperlink"/>
          <w:sz w:val="24"/>
        </w:rPr>
        <w:fldChar w:fldCharType="end"/>
      </w:r>
    </w:p>
    <w:p w14:paraId="50033A4F" w14:textId="77777777" w:rsidR="00F0236A" w:rsidRPr="00073574" w:rsidRDefault="00F0236A" w:rsidP="00F0236A">
      <w:pPr>
        <w:rPr>
          <w:sz w:val="24"/>
        </w:rPr>
      </w:pPr>
    </w:p>
    <w:p w14:paraId="26E0CF5A" w14:textId="77777777" w:rsidR="00F0236A" w:rsidRPr="00073574" w:rsidRDefault="00F0236A" w:rsidP="00F0236A">
      <w:pPr>
        <w:pStyle w:val="Heading1"/>
        <w:keepNext/>
        <w:rPr>
          <w:sz w:val="24"/>
          <w:szCs w:val="24"/>
          <w:lang w:val="en-GB"/>
        </w:rPr>
      </w:pPr>
      <w:bookmarkStart w:id="217" w:name="Resolution_52"/>
      <w:bookmarkStart w:id="218" w:name="_Toc304236436"/>
      <w:bookmarkStart w:id="219" w:name="_Toc471715373"/>
      <w:bookmarkStart w:id="220" w:name="_Toc93425259"/>
      <w:bookmarkEnd w:id="217"/>
      <w:r w:rsidRPr="00073574">
        <w:rPr>
          <w:sz w:val="24"/>
          <w:szCs w:val="24"/>
          <w:lang w:val="en-GB"/>
        </w:rPr>
        <w:t>Resolution 52 - Countering and combating spam</w:t>
      </w:r>
      <w:bookmarkEnd w:id="218"/>
      <w:bookmarkEnd w:id="219"/>
      <w:bookmarkEnd w:id="220"/>
    </w:p>
    <w:p w14:paraId="197F83B1" w14:textId="77777777" w:rsidR="00F0236A" w:rsidRPr="00073574" w:rsidRDefault="00F0236A" w:rsidP="00F0236A">
      <w:pPr>
        <w:rPr>
          <w:b/>
          <w:bCs/>
          <w:sz w:val="24"/>
        </w:rPr>
      </w:pPr>
      <w:r w:rsidRPr="00073574">
        <w:rPr>
          <w:b/>
          <w:bCs/>
          <w:sz w:val="24"/>
        </w:rPr>
        <w:t>Resolution 52</w:t>
      </w:r>
    </w:p>
    <w:p w14:paraId="4BEBE887" w14:textId="77777777" w:rsidR="00F0236A" w:rsidRPr="00073574" w:rsidRDefault="00F0236A" w:rsidP="00F0236A">
      <w:pPr>
        <w:pStyle w:val="Call"/>
        <w:rPr>
          <w:sz w:val="24"/>
          <w:szCs w:val="24"/>
          <w:lang w:val="en-GB"/>
        </w:rPr>
      </w:pPr>
      <w:r w:rsidRPr="00073574">
        <w:rPr>
          <w:sz w:val="24"/>
          <w:szCs w:val="24"/>
          <w:lang w:val="en-GB"/>
        </w:rPr>
        <w:t>resolves to instruct the relevant study groups</w:t>
      </w:r>
    </w:p>
    <w:p w14:paraId="34446AF8" w14:textId="77777777" w:rsidR="00F0236A" w:rsidRPr="00073574" w:rsidRDefault="00F0236A" w:rsidP="00F0236A">
      <w:pPr>
        <w:rPr>
          <w:sz w:val="24"/>
        </w:rPr>
      </w:pPr>
      <w:r w:rsidRPr="00073574">
        <w:rPr>
          <w:sz w:val="24"/>
        </w:rPr>
        <w:t>1</w:t>
      </w:r>
      <w:r w:rsidRPr="00073574">
        <w:rPr>
          <w:sz w:val="24"/>
        </w:rPr>
        <w:tab/>
        <w:t>to continue to support ongoing work, in particular in Study Group 17, related to countering spam (e.g. e-mail) and to accelerate their work on spam in order to address existing and future threats within the remit and expertise of ITU</w:t>
      </w:r>
      <w:r w:rsidRPr="00073574">
        <w:rPr>
          <w:sz w:val="24"/>
        </w:rPr>
        <w:noBreakHyphen/>
        <w:t>T, as appropriate;</w:t>
      </w:r>
    </w:p>
    <w:p w14:paraId="3FC88376" w14:textId="77777777" w:rsidR="00F0236A" w:rsidRPr="00073574" w:rsidRDefault="00F0236A" w:rsidP="00F0236A">
      <w:pPr>
        <w:rPr>
          <w:sz w:val="24"/>
        </w:rPr>
      </w:pPr>
      <w:r w:rsidRPr="00073574">
        <w:rPr>
          <w:sz w:val="24"/>
        </w:rPr>
        <w:t>2</w:t>
      </w:r>
      <w:r w:rsidRPr="00073574">
        <w:rPr>
          <w:sz w:val="24"/>
        </w:rPr>
        <w:tab/>
        <w:t>to continue collaboration with the ITU Telecommunication Development Sector (ITU</w:t>
      </w:r>
      <w:r w:rsidRPr="00073574">
        <w:rPr>
          <w:sz w:val="24"/>
        </w:rPr>
        <w:noBreakHyphen/>
        <w:t>D) and with the relevant organizations, including other relevant standards organizations (e.g. the Internet Engineering Task Force (IETF)), in order to continue developing, as a matter of urgency, technical Recommendations with a view to exchanging best practices and disseminating information through joint workshops, training sessions, etc.,</w:t>
      </w:r>
    </w:p>
    <w:p w14:paraId="0A6817C4" w14:textId="77777777" w:rsidR="00F0236A" w:rsidRPr="00073574" w:rsidRDefault="00F0236A" w:rsidP="00F0236A">
      <w:pPr>
        <w:pStyle w:val="Call"/>
        <w:rPr>
          <w:sz w:val="24"/>
          <w:szCs w:val="24"/>
          <w:lang w:val="en-GB"/>
        </w:rPr>
      </w:pPr>
      <w:r w:rsidRPr="00073574">
        <w:rPr>
          <w:sz w:val="24"/>
          <w:szCs w:val="24"/>
          <w:lang w:val="en-GB"/>
        </w:rPr>
        <w:t>further instructs Study Group 17 of the ITU Telecommunication Standardization Sector</w:t>
      </w:r>
    </w:p>
    <w:p w14:paraId="56648222" w14:textId="77777777" w:rsidR="00F0236A" w:rsidRPr="00073574" w:rsidRDefault="00F0236A" w:rsidP="00F0236A">
      <w:pPr>
        <w:rPr>
          <w:sz w:val="24"/>
        </w:rPr>
      </w:pPr>
      <w:r w:rsidRPr="00073574">
        <w:rPr>
          <w:sz w:val="24"/>
        </w:rPr>
        <w:t>1</w:t>
      </w:r>
      <w:r w:rsidRPr="00073574">
        <w:rPr>
          <w:sz w:val="24"/>
        </w:rPr>
        <w:tab/>
        <w:t>to report regularly to the Telecommunication Standardization Advisory Group on progress under this resolution;</w:t>
      </w:r>
    </w:p>
    <w:p w14:paraId="68E13A93" w14:textId="77777777" w:rsidR="00F0236A" w:rsidRPr="00073574" w:rsidRDefault="00F0236A" w:rsidP="00F0236A">
      <w:pPr>
        <w:rPr>
          <w:sz w:val="24"/>
        </w:rPr>
      </w:pPr>
      <w:r w:rsidRPr="00073574">
        <w:rPr>
          <w:sz w:val="24"/>
        </w:rPr>
        <w:lastRenderedPageBreak/>
        <w:t>2</w:t>
      </w:r>
      <w:r w:rsidRPr="00073574">
        <w:rPr>
          <w:sz w:val="24"/>
        </w:rPr>
        <w:tab/>
        <w:t>to support ITU</w:t>
      </w:r>
      <w:r w:rsidRPr="00073574">
        <w:rPr>
          <w:sz w:val="24"/>
        </w:rPr>
        <w:noBreakHyphen/>
        <w:t>D Study Group 2 on countering and combating spam in its work providing technical training sessions and workshop activities in different regions related to spam policy, regulatory and economic issues and their impact;</w:t>
      </w:r>
    </w:p>
    <w:p w14:paraId="23910CA5" w14:textId="77777777" w:rsidR="00F0236A" w:rsidRPr="00073574" w:rsidRDefault="00F0236A" w:rsidP="00F0236A">
      <w:pPr>
        <w:rPr>
          <w:sz w:val="24"/>
        </w:rPr>
      </w:pPr>
      <w:r w:rsidRPr="00073574">
        <w:rPr>
          <w:sz w:val="24"/>
        </w:rPr>
        <w:t>3</w:t>
      </w:r>
      <w:r w:rsidRPr="00073574">
        <w:rPr>
          <w:sz w:val="24"/>
        </w:rPr>
        <w:tab/>
        <w:t>to continue its work on developing Recommendations, technical papers, and other related publications,</w:t>
      </w:r>
    </w:p>
    <w:p w14:paraId="0E9ED75B" w14:textId="5F4555F4" w:rsidR="00F0236A" w:rsidRPr="00073574" w:rsidRDefault="00F0236A" w:rsidP="00F0236A">
      <w:pPr>
        <w:pStyle w:val="Call"/>
        <w:rPr>
          <w:sz w:val="24"/>
          <w:szCs w:val="24"/>
          <w:lang w:val="en-GB"/>
        </w:rPr>
      </w:pPr>
      <w:r w:rsidRPr="00073574">
        <w:rPr>
          <w:sz w:val="24"/>
          <w:szCs w:val="24"/>
          <w:lang w:val="en-GB"/>
        </w:rPr>
        <w:t>instructs the Director of the Telecommu</w:t>
      </w:r>
      <w:r w:rsidR="00E31596" w:rsidRPr="00073574">
        <w:rPr>
          <w:sz w:val="24"/>
          <w:szCs w:val="24"/>
          <w:lang w:val="en-GB"/>
        </w:rPr>
        <w:t>nication Standardization Bureau</w:t>
      </w:r>
    </w:p>
    <w:p w14:paraId="7EB8877C" w14:textId="77777777" w:rsidR="00F0236A" w:rsidRPr="00073574" w:rsidRDefault="00F0236A" w:rsidP="00F0236A">
      <w:pPr>
        <w:rPr>
          <w:sz w:val="24"/>
        </w:rPr>
      </w:pPr>
      <w:r w:rsidRPr="00073574">
        <w:rPr>
          <w:sz w:val="24"/>
        </w:rPr>
        <w:t>1</w:t>
      </w:r>
      <w:r w:rsidRPr="00073574">
        <w:rPr>
          <w:sz w:val="24"/>
        </w:rPr>
        <w:tab/>
        <w:t>to provide all necessary assistance with a view to expediting such efforts, working collaboratively with relevant parties that combat spam with a view to identifying opportunities, raising awareness for such activities and identifying possible collaboration, as appropriate;</w:t>
      </w:r>
    </w:p>
    <w:p w14:paraId="0832A08D" w14:textId="77777777" w:rsidR="00F0236A" w:rsidRPr="00073574" w:rsidRDefault="00F0236A" w:rsidP="00F0236A">
      <w:pPr>
        <w:rPr>
          <w:sz w:val="24"/>
        </w:rPr>
      </w:pPr>
      <w:r w:rsidRPr="00073574">
        <w:rPr>
          <w:sz w:val="24"/>
        </w:rPr>
        <w:t>2</w:t>
      </w:r>
      <w:r w:rsidRPr="00073574">
        <w:rPr>
          <w:sz w:val="24"/>
        </w:rPr>
        <w:tab/>
        <w:t>to initiate a study – including sending a questionnaire to the ITU membership –indicating the volume, types (e.g. e-mail spam, SMS spam, spam in IP-based multimedia applications) and features (e.g. different major routes and sources) of spam traffic, in order to help Member States and relevant operating agencies identify such routes, sources and volumes and estimate the amount of investment in facilities and other technical means to counter and combat such spam, taking into account work that has already been carried out;</w:t>
      </w:r>
    </w:p>
    <w:p w14:paraId="1946087B" w14:textId="0701B869" w:rsidR="00F0236A" w:rsidRPr="00073574" w:rsidRDefault="00F0236A" w:rsidP="00F0236A">
      <w:pPr>
        <w:rPr>
          <w:sz w:val="24"/>
        </w:rPr>
      </w:pPr>
      <w:r w:rsidRPr="00073574">
        <w:rPr>
          <w:sz w:val="24"/>
        </w:rPr>
        <w:t>3</w:t>
      </w:r>
      <w:r w:rsidRPr="00073574">
        <w:rPr>
          <w:sz w:val="24"/>
        </w:rPr>
        <w:tab/>
        <w:t>to continue to cooperate with the Secretary-General</w:t>
      </w:r>
      <w:r w:rsidR="003C7E25" w:rsidRPr="00073574">
        <w:rPr>
          <w:sz w:val="24"/>
        </w:rPr>
        <w:t>'</w:t>
      </w:r>
      <w:r w:rsidRPr="00073574">
        <w:rPr>
          <w:sz w:val="24"/>
        </w:rPr>
        <w:t>s initiative on cybersecurity and with the Telecommunication Development Bureau in relation to any item concerning cybersecurity under Resolution 45 (Rev. Dubai, 2014), and to ensure coordination among these different activities;</w:t>
      </w:r>
    </w:p>
    <w:p w14:paraId="2EC0268F" w14:textId="77777777" w:rsidR="00F0236A" w:rsidRPr="00073574" w:rsidRDefault="00F0236A" w:rsidP="00F0236A">
      <w:pPr>
        <w:rPr>
          <w:sz w:val="24"/>
          <w:lang w:eastAsia="zh-CN"/>
        </w:rPr>
      </w:pPr>
      <w:r w:rsidRPr="00073574">
        <w:rPr>
          <w:sz w:val="24"/>
        </w:rPr>
        <w:t>4</w:t>
      </w:r>
      <w:r w:rsidRPr="00073574">
        <w:rPr>
          <w:rFonts w:eastAsia="SimSun"/>
          <w:sz w:val="24"/>
        </w:rPr>
        <w:tab/>
      </w:r>
      <w:r w:rsidRPr="00073574">
        <w:rPr>
          <w:sz w:val="24"/>
        </w:rPr>
        <w:t>to contribute to the report of the Secretary General to the ITU Council on the implementation of this resolution,</w:t>
      </w:r>
    </w:p>
    <w:p w14:paraId="1C94078E" w14:textId="77777777" w:rsidR="00F0236A" w:rsidRPr="00073574" w:rsidRDefault="00F0236A" w:rsidP="00F0236A">
      <w:pPr>
        <w:pStyle w:val="Call"/>
        <w:rPr>
          <w:sz w:val="24"/>
          <w:szCs w:val="24"/>
          <w:lang w:val="en-GB"/>
        </w:rPr>
      </w:pPr>
      <w:r w:rsidRPr="00073574">
        <w:rPr>
          <w:sz w:val="24"/>
          <w:szCs w:val="24"/>
          <w:lang w:val="en-GB"/>
        </w:rPr>
        <w:t xml:space="preserve">invites </w:t>
      </w:r>
      <w:bookmarkStart w:id="221" w:name="OLE_LINK7"/>
      <w:r w:rsidRPr="00073574">
        <w:rPr>
          <w:sz w:val="24"/>
          <w:szCs w:val="24"/>
          <w:lang w:val="en-GB"/>
        </w:rPr>
        <w:t>Member States, Sector Members, Associates and academia</w:t>
      </w:r>
      <w:bookmarkEnd w:id="221"/>
    </w:p>
    <w:p w14:paraId="75F290A0" w14:textId="77777777" w:rsidR="00F0236A" w:rsidRPr="00073574" w:rsidRDefault="00F0236A" w:rsidP="00F0236A">
      <w:pPr>
        <w:rPr>
          <w:sz w:val="24"/>
        </w:rPr>
      </w:pPr>
      <w:r w:rsidRPr="00073574">
        <w:rPr>
          <w:sz w:val="24"/>
        </w:rPr>
        <w:t>to contribute to this work,</w:t>
      </w:r>
    </w:p>
    <w:p w14:paraId="75A3333F" w14:textId="77777777" w:rsidR="00F0236A" w:rsidRPr="00073574" w:rsidRDefault="00F0236A" w:rsidP="00F0236A">
      <w:pPr>
        <w:pStyle w:val="Call"/>
        <w:rPr>
          <w:sz w:val="24"/>
          <w:szCs w:val="24"/>
          <w:lang w:val="en-GB"/>
        </w:rPr>
      </w:pPr>
      <w:r w:rsidRPr="00073574">
        <w:rPr>
          <w:sz w:val="24"/>
          <w:szCs w:val="24"/>
          <w:lang w:val="en-GB"/>
        </w:rPr>
        <w:t>further invites Member States</w:t>
      </w:r>
    </w:p>
    <w:p w14:paraId="10F1F219" w14:textId="77777777" w:rsidR="00F0236A" w:rsidRPr="00073574" w:rsidRDefault="00F0236A" w:rsidP="00F0236A">
      <w:pPr>
        <w:rPr>
          <w:sz w:val="24"/>
        </w:rPr>
      </w:pPr>
      <w:r w:rsidRPr="00073574">
        <w:rPr>
          <w:sz w:val="24"/>
        </w:rPr>
        <w:t>1</w:t>
      </w:r>
      <w:r w:rsidRPr="00073574">
        <w:rPr>
          <w:sz w:val="24"/>
        </w:rPr>
        <w:tab/>
        <w:t>to take appropriate steps to ensure that appropriate and effective measures are taken within their national and legal frameworks to combat spam and its propagation;</w:t>
      </w:r>
    </w:p>
    <w:p w14:paraId="2CE16673" w14:textId="77777777" w:rsidR="00F0236A" w:rsidRPr="00073574" w:rsidRDefault="00F0236A" w:rsidP="00F0236A">
      <w:pPr>
        <w:spacing w:after="240"/>
        <w:rPr>
          <w:sz w:val="24"/>
        </w:rPr>
      </w:pPr>
      <w:r w:rsidRPr="00073574">
        <w:rPr>
          <w:sz w:val="24"/>
        </w:rPr>
        <w:t>2</w:t>
      </w:r>
      <w:r w:rsidRPr="00073574">
        <w:rPr>
          <w:sz w:val="24"/>
        </w:rPr>
        <w:tab/>
        <w:t>to work collaboratively with all relevant stakeholders to counter and combat spam.</w:t>
      </w:r>
    </w:p>
    <w:tbl>
      <w:tblPr>
        <w:tblW w:w="98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10"/>
        <w:gridCol w:w="4557"/>
        <w:gridCol w:w="1880"/>
        <w:gridCol w:w="1149"/>
        <w:gridCol w:w="1336"/>
      </w:tblGrid>
      <w:tr w:rsidR="00F0236A" w:rsidRPr="00073574" w14:paraId="2A0A3679" w14:textId="77777777" w:rsidTr="1EE68BAF">
        <w:trPr>
          <w:tblHeader/>
          <w:jc w:val="center"/>
        </w:trPr>
        <w:tc>
          <w:tcPr>
            <w:tcW w:w="910" w:type="dxa"/>
            <w:tcBorders>
              <w:top w:val="single" w:sz="12" w:space="0" w:color="auto"/>
              <w:bottom w:val="single" w:sz="12" w:space="0" w:color="auto"/>
            </w:tcBorders>
            <w:shd w:val="clear" w:color="auto" w:fill="auto"/>
            <w:vAlign w:val="center"/>
          </w:tcPr>
          <w:p w14:paraId="5E241A8C" w14:textId="77777777" w:rsidR="00F0236A" w:rsidRPr="00073574" w:rsidRDefault="00F0236A" w:rsidP="00D100F9">
            <w:pPr>
              <w:pStyle w:val="Tablehead"/>
              <w:keepNext w:val="0"/>
              <w:rPr>
                <w:sz w:val="24"/>
                <w:szCs w:val="24"/>
              </w:rPr>
            </w:pPr>
            <w:r w:rsidRPr="00073574">
              <w:rPr>
                <w:sz w:val="24"/>
                <w:szCs w:val="24"/>
              </w:rPr>
              <w:t>Action Item</w:t>
            </w:r>
          </w:p>
        </w:tc>
        <w:tc>
          <w:tcPr>
            <w:tcW w:w="4557" w:type="dxa"/>
            <w:tcBorders>
              <w:top w:val="single" w:sz="12" w:space="0" w:color="auto"/>
              <w:bottom w:val="single" w:sz="12" w:space="0" w:color="auto"/>
            </w:tcBorders>
            <w:shd w:val="clear" w:color="auto" w:fill="auto"/>
            <w:vAlign w:val="center"/>
            <w:hideMark/>
          </w:tcPr>
          <w:p w14:paraId="2A1B65B8" w14:textId="77777777" w:rsidR="00F0236A" w:rsidRPr="00073574" w:rsidRDefault="00F0236A" w:rsidP="00DF36E1">
            <w:pPr>
              <w:pStyle w:val="Tablehead"/>
              <w:rPr>
                <w:sz w:val="24"/>
                <w:szCs w:val="24"/>
              </w:rPr>
            </w:pPr>
            <w:r w:rsidRPr="00073574">
              <w:rPr>
                <w:sz w:val="24"/>
                <w:szCs w:val="24"/>
              </w:rPr>
              <w:t>Action</w:t>
            </w:r>
          </w:p>
        </w:tc>
        <w:tc>
          <w:tcPr>
            <w:tcW w:w="1880" w:type="dxa"/>
            <w:tcBorders>
              <w:top w:val="single" w:sz="12" w:space="0" w:color="auto"/>
              <w:bottom w:val="single" w:sz="12" w:space="0" w:color="auto"/>
            </w:tcBorders>
            <w:shd w:val="clear" w:color="auto" w:fill="auto"/>
            <w:vAlign w:val="center"/>
            <w:hideMark/>
          </w:tcPr>
          <w:p w14:paraId="781A1D28" w14:textId="77777777" w:rsidR="00F0236A" w:rsidRPr="00073574" w:rsidRDefault="00F0236A" w:rsidP="00DF36E1">
            <w:pPr>
              <w:pStyle w:val="Tablehead"/>
              <w:rPr>
                <w:sz w:val="24"/>
                <w:szCs w:val="24"/>
              </w:rPr>
            </w:pPr>
            <w:r w:rsidRPr="00073574">
              <w:rPr>
                <w:sz w:val="24"/>
                <w:szCs w:val="24"/>
              </w:rPr>
              <w:t>Milestone</w:t>
            </w:r>
          </w:p>
        </w:tc>
        <w:tc>
          <w:tcPr>
            <w:tcW w:w="1149" w:type="dxa"/>
            <w:tcBorders>
              <w:top w:val="single" w:sz="12" w:space="0" w:color="auto"/>
              <w:bottom w:val="single" w:sz="12" w:space="0" w:color="auto"/>
            </w:tcBorders>
            <w:shd w:val="clear" w:color="auto" w:fill="auto"/>
          </w:tcPr>
          <w:p w14:paraId="1CDD7527" w14:textId="77777777" w:rsidR="00F0236A" w:rsidRPr="00073574" w:rsidRDefault="00F0236A" w:rsidP="00DF36E1">
            <w:pPr>
              <w:pStyle w:val="Tablehead"/>
              <w:rPr>
                <w:sz w:val="24"/>
                <w:szCs w:val="24"/>
              </w:rPr>
            </w:pPr>
            <w:r w:rsidRPr="00073574">
              <w:rPr>
                <w:sz w:val="24"/>
                <w:szCs w:val="24"/>
              </w:rPr>
              <w:t>Periodic goals met</w:t>
            </w:r>
          </w:p>
        </w:tc>
        <w:tc>
          <w:tcPr>
            <w:tcW w:w="1336" w:type="dxa"/>
            <w:tcBorders>
              <w:top w:val="single" w:sz="12" w:space="0" w:color="auto"/>
              <w:bottom w:val="single" w:sz="12" w:space="0" w:color="auto"/>
            </w:tcBorders>
            <w:shd w:val="clear" w:color="auto" w:fill="auto"/>
            <w:vAlign w:val="center"/>
          </w:tcPr>
          <w:p w14:paraId="76E4291D" w14:textId="77777777" w:rsidR="00F0236A" w:rsidRPr="00073574" w:rsidRDefault="00F0236A" w:rsidP="00DF36E1">
            <w:pPr>
              <w:pStyle w:val="Tablehead"/>
              <w:rPr>
                <w:sz w:val="24"/>
                <w:szCs w:val="24"/>
              </w:rPr>
            </w:pPr>
            <w:r w:rsidRPr="00073574">
              <w:rPr>
                <w:sz w:val="24"/>
                <w:szCs w:val="24"/>
              </w:rPr>
              <w:t>Completed</w:t>
            </w:r>
          </w:p>
        </w:tc>
      </w:tr>
      <w:tr w:rsidR="00F0236A" w:rsidRPr="00073574" w14:paraId="361D5689" w14:textId="77777777" w:rsidTr="1EE68BAF">
        <w:trPr>
          <w:cantSplit/>
          <w:jc w:val="center"/>
        </w:trPr>
        <w:tc>
          <w:tcPr>
            <w:tcW w:w="910" w:type="dxa"/>
            <w:vMerge w:val="restart"/>
            <w:tcBorders>
              <w:top w:val="single" w:sz="12" w:space="0" w:color="auto"/>
            </w:tcBorders>
            <w:shd w:val="clear" w:color="auto" w:fill="auto"/>
          </w:tcPr>
          <w:p w14:paraId="64D87A06" w14:textId="77777777" w:rsidR="00F0236A" w:rsidRPr="00073574" w:rsidRDefault="00F0236A" w:rsidP="00D100F9">
            <w:pPr>
              <w:pStyle w:val="Tabletext"/>
              <w:rPr>
                <w:b/>
                <w:bCs/>
                <w:sz w:val="24"/>
                <w:szCs w:val="24"/>
              </w:rPr>
            </w:pPr>
            <w:r w:rsidRPr="00073574">
              <w:rPr>
                <w:b/>
                <w:bCs/>
                <w:sz w:val="24"/>
                <w:szCs w:val="24"/>
              </w:rPr>
              <w:t>52-01</w:t>
            </w:r>
          </w:p>
        </w:tc>
        <w:tc>
          <w:tcPr>
            <w:tcW w:w="4557" w:type="dxa"/>
            <w:tcBorders>
              <w:top w:val="single" w:sz="12" w:space="0" w:color="auto"/>
              <w:bottom w:val="single" w:sz="4" w:space="0" w:color="auto"/>
            </w:tcBorders>
            <w:shd w:val="clear" w:color="auto" w:fill="auto"/>
            <w:hideMark/>
          </w:tcPr>
          <w:p w14:paraId="5FCE2F9D" w14:textId="77777777" w:rsidR="00F0236A" w:rsidRPr="00073574" w:rsidRDefault="00F0236A" w:rsidP="00DF36E1">
            <w:pPr>
              <w:pStyle w:val="Tabletext"/>
              <w:keepNext/>
              <w:keepLines/>
              <w:rPr>
                <w:b/>
                <w:bCs/>
                <w:sz w:val="24"/>
                <w:szCs w:val="24"/>
              </w:rPr>
            </w:pPr>
            <w:r w:rsidRPr="00073574">
              <w:rPr>
                <w:b/>
                <w:bCs/>
                <w:sz w:val="24"/>
                <w:szCs w:val="24"/>
              </w:rPr>
              <w:t>SGs, particular SG17, to accelerate their work on spam (resolves 1)</w:t>
            </w:r>
          </w:p>
        </w:tc>
        <w:tc>
          <w:tcPr>
            <w:tcW w:w="1880" w:type="dxa"/>
            <w:tcBorders>
              <w:top w:val="single" w:sz="12" w:space="0" w:color="auto"/>
              <w:bottom w:val="single" w:sz="4" w:space="0" w:color="auto"/>
            </w:tcBorders>
            <w:shd w:val="clear" w:color="auto" w:fill="auto"/>
            <w:vAlign w:val="center"/>
            <w:hideMark/>
          </w:tcPr>
          <w:p w14:paraId="04058869"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49" w:type="dxa"/>
            <w:tcBorders>
              <w:top w:val="single" w:sz="12" w:space="0" w:color="auto"/>
              <w:bottom w:val="single" w:sz="4" w:space="0" w:color="auto"/>
            </w:tcBorders>
            <w:shd w:val="clear" w:color="auto" w:fill="auto"/>
            <w:vAlign w:val="center"/>
          </w:tcPr>
          <w:p w14:paraId="634EC69C"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bottom w:val="single" w:sz="4" w:space="0" w:color="auto"/>
            </w:tcBorders>
            <w:shd w:val="clear" w:color="auto" w:fill="auto"/>
            <w:vAlign w:val="center"/>
          </w:tcPr>
          <w:p w14:paraId="60263DCA" w14:textId="77777777" w:rsidR="00F0236A" w:rsidRPr="00073574" w:rsidRDefault="00F0236A" w:rsidP="00DF36E1">
            <w:pPr>
              <w:pStyle w:val="Tabletext"/>
              <w:jc w:val="center"/>
              <w:rPr>
                <w:b/>
                <w:bCs/>
                <w:sz w:val="24"/>
                <w:szCs w:val="24"/>
              </w:rPr>
            </w:pPr>
          </w:p>
        </w:tc>
      </w:tr>
      <w:tr w:rsidR="00F0236A" w:rsidRPr="00073574" w14:paraId="6E170370" w14:textId="77777777" w:rsidTr="00D100F9">
        <w:trPr>
          <w:jc w:val="center"/>
        </w:trPr>
        <w:tc>
          <w:tcPr>
            <w:tcW w:w="910" w:type="dxa"/>
            <w:vMerge/>
          </w:tcPr>
          <w:p w14:paraId="1E8D8BAE" w14:textId="77777777" w:rsidR="00F0236A" w:rsidRPr="00073574" w:rsidRDefault="00F0236A" w:rsidP="00DF36E1">
            <w:pPr>
              <w:pStyle w:val="Tabletext"/>
              <w:rPr>
                <w:sz w:val="24"/>
                <w:szCs w:val="24"/>
              </w:rPr>
            </w:pPr>
          </w:p>
        </w:tc>
        <w:tc>
          <w:tcPr>
            <w:tcW w:w="8922" w:type="dxa"/>
            <w:gridSpan w:val="4"/>
            <w:tcBorders>
              <w:top w:val="single" w:sz="4" w:space="0" w:color="auto"/>
              <w:bottom w:val="single" w:sz="12" w:space="0" w:color="auto"/>
            </w:tcBorders>
            <w:shd w:val="clear" w:color="auto" w:fill="auto"/>
          </w:tcPr>
          <w:p w14:paraId="3C184550" w14:textId="5E050613" w:rsidR="005C1E70" w:rsidRPr="00073574" w:rsidRDefault="0A1CF72F" w:rsidP="002E241A">
            <w:pPr>
              <w:pStyle w:val="NormalWeb"/>
              <w:numPr>
                <w:ilvl w:val="0"/>
                <w:numId w:val="35"/>
              </w:numPr>
              <w:spacing w:before="40" w:after="40"/>
              <w:ind w:left="357" w:hanging="357"/>
              <w:rPr>
                <w:sz w:val="22"/>
                <w:szCs w:val="22"/>
                <w:lang w:val="en-GB"/>
              </w:rPr>
            </w:pPr>
            <w:r w:rsidRPr="00073574">
              <w:rPr>
                <w:sz w:val="22"/>
                <w:szCs w:val="22"/>
                <w:lang w:val="en-GB"/>
              </w:rPr>
              <w:t xml:space="preserve">The structure of countering spam by technical measures has been established, including </w:t>
            </w:r>
            <w:r w:rsidR="00AA06E6" w:rsidRPr="00073574">
              <w:rPr>
                <w:sz w:val="22"/>
                <w:szCs w:val="22"/>
                <w:lang w:val="en-GB"/>
              </w:rPr>
              <w:t>five</w:t>
            </w:r>
            <w:r w:rsidRPr="00073574">
              <w:rPr>
                <w:sz w:val="22"/>
                <w:szCs w:val="22"/>
                <w:lang w:val="en-GB"/>
              </w:rPr>
              <w:t xml:space="preserve"> levels: technical strategy level, guideline level, framework level, technology level and supplement level. In this structure, branches of this structure are mainly based on the type of spam: e-mail spam, IP-based multimedia spam, mobile messaging spam, instant messaging spam, etc.</w:t>
            </w:r>
          </w:p>
          <w:p w14:paraId="4F5FA150" w14:textId="65E84DD1" w:rsidR="005C1E70" w:rsidRPr="00073574" w:rsidRDefault="00F0236A" w:rsidP="002E241A">
            <w:pPr>
              <w:pStyle w:val="NormalWeb"/>
              <w:numPr>
                <w:ilvl w:val="0"/>
                <w:numId w:val="35"/>
              </w:numPr>
              <w:spacing w:before="40" w:after="40"/>
              <w:ind w:left="357" w:hanging="357"/>
              <w:rPr>
                <w:sz w:val="22"/>
                <w:szCs w:val="22"/>
                <w:lang w:val="en-GB"/>
              </w:rPr>
            </w:pPr>
            <w:r w:rsidRPr="00073574">
              <w:rPr>
                <w:sz w:val="22"/>
                <w:szCs w:val="22"/>
                <w:lang w:val="en-GB"/>
              </w:rPr>
              <w:t xml:space="preserve">SG17 </w:t>
            </w:r>
            <w:r w:rsidR="32BDD1A6" w:rsidRPr="00073574">
              <w:rPr>
                <w:sz w:val="22"/>
                <w:szCs w:val="22"/>
                <w:lang w:val="en-GB"/>
              </w:rPr>
              <w:t>approved</w:t>
            </w:r>
            <w:r w:rsidRPr="00073574">
              <w:rPr>
                <w:sz w:val="22"/>
                <w:szCs w:val="22"/>
                <w:lang w:val="en-GB"/>
              </w:rPr>
              <w:t xml:space="preserve"> new </w:t>
            </w:r>
            <w:r w:rsidR="262B9CA2" w:rsidRPr="00073574">
              <w:rPr>
                <w:sz w:val="22"/>
                <w:szCs w:val="22"/>
                <w:lang w:val="en-GB"/>
              </w:rPr>
              <w:t xml:space="preserve">Recommendations on combating spam are found at </w:t>
            </w:r>
            <w:hyperlink r:id="rId378">
              <w:r w:rsidR="262B9CA2" w:rsidRPr="00073574">
                <w:rPr>
                  <w:rStyle w:val="Hyperlink"/>
                  <w:rFonts w:eastAsiaTheme="majorEastAsia"/>
                  <w:sz w:val="22"/>
                  <w:szCs w:val="22"/>
                  <w:lang w:val="en-GB"/>
                </w:rPr>
                <w:t>https://www.itu.int/itu-t/workprog/wp_search.aspx?isn_sp=3925&amp;isn_sg=3935&amp;isn_qu=4215&amp;isn_status=-1,2&amp;details=0&amp;field=acdefghijo</w:t>
              </w:r>
            </w:hyperlink>
            <w:r w:rsidRPr="00073574">
              <w:rPr>
                <w:sz w:val="22"/>
                <w:szCs w:val="22"/>
                <w:lang w:val="en-GB"/>
              </w:rPr>
              <w:t>.</w:t>
            </w:r>
          </w:p>
          <w:p w14:paraId="373457BF" w14:textId="1F9FC545" w:rsidR="00F0236A" w:rsidRPr="00073574" w:rsidRDefault="003174EF" w:rsidP="002E241A">
            <w:pPr>
              <w:pStyle w:val="NormalWeb"/>
              <w:numPr>
                <w:ilvl w:val="0"/>
                <w:numId w:val="35"/>
              </w:numPr>
              <w:spacing w:before="120" w:after="40"/>
              <w:ind w:left="357" w:hanging="357"/>
              <w:rPr>
                <w:sz w:val="22"/>
                <w:szCs w:val="22"/>
                <w:lang w:val="en-GB"/>
              </w:rPr>
            </w:pPr>
            <w:r w:rsidRPr="00073574">
              <w:rPr>
                <w:sz w:val="22"/>
                <w:szCs w:val="22"/>
                <w:lang w:val="en-GB"/>
              </w:rPr>
              <w:lastRenderedPageBreak/>
              <w:t xml:space="preserve">Ongoing standardization on combating spam are found at: </w:t>
            </w:r>
            <w:hyperlink r:id="rId379">
              <w:r w:rsidRPr="00073574">
                <w:rPr>
                  <w:rStyle w:val="Hyperlink"/>
                  <w:rFonts w:eastAsiaTheme="majorEastAsia"/>
                  <w:sz w:val="22"/>
                  <w:szCs w:val="22"/>
                  <w:lang w:val="en-GB"/>
                </w:rPr>
                <w:t>https://www.itu.int/itu-t/workprog/wp_search.aspx?isn_sp=3925&amp;isn_sg=3935&amp;isn_qu=4215&amp;isn_status=-1,1,3&amp;details=0&amp;field=acdefghijo</w:t>
              </w:r>
            </w:hyperlink>
            <w:r w:rsidRPr="00073574">
              <w:rPr>
                <w:sz w:val="22"/>
                <w:szCs w:val="22"/>
                <w:lang w:val="en-GB"/>
              </w:rPr>
              <w:t>.</w:t>
            </w:r>
          </w:p>
        </w:tc>
      </w:tr>
      <w:tr w:rsidR="00F0236A" w:rsidRPr="00073574" w14:paraId="41BEAE0D" w14:textId="77777777" w:rsidTr="1EE68BAF">
        <w:trPr>
          <w:cantSplit/>
          <w:jc w:val="center"/>
        </w:trPr>
        <w:tc>
          <w:tcPr>
            <w:tcW w:w="910" w:type="dxa"/>
            <w:vMerge w:val="restart"/>
            <w:tcBorders>
              <w:top w:val="single" w:sz="12" w:space="0" w:color="auto"/>
            </w:tcBorders>
            <w:shd w:val="clear" w:color="auto" w:fill="auto"/>
          </w:tcPr>
          <w:p w14:paraId="03EBE3B7" w14:textId="77777777" w:rsidR="00F0236A" w:rsidRPr="00073574" w:rsidRDefault="00F0236A" w:rsidP="004B7A24">
            <w:pPr>
              <w:pStyle w:val="Tabletext"/>
              <w:keepNext/>
              <w:keepLines/>
              <w:rPr>
                <w:b/>
                <w:bCs/>
                <w:sz w:val="24"/>
                <w:szCs w:val="24"/>
              </w:rPr>
            </w:pPr>
            <w:r w:rsidRPr="00073574">
              <w:rPr>
                <w:b/>
                <w:bCs/>
                <w:sz w:val="24"/>
                <w:szCs w:val="24"/>
              </w:rPr>
              <w:lastRenderedPageBreak/>
              <w:t>52-02</w:t>
            </w:r>
          </w:p>
        </w:tc>
        <w:tc>
          <w:tcPr>
            <w:tcW w:w="4557" w:type="dxa"/>
            <w:tcBorders>
              <w:top w:val="single" w:sz="12" w:space="0" w:color="auto"/>
            </w:tcBorders>
            <w:shd w:val="clear" w:color="auto" w:fill="auto"/>
            <w:hideMark/>
          </w:tcPr>
          <w:p w14:paraId="0B8B990F" w14:textId="77777777" w:rsidR="00F0236A" w:rsidRPr="00073574" w:rsidRDefault="00F0236A" w:rsidP="00DF36E1">
            <w:pPr>
              <w:pStyle w:val="Tabletext"/>
              <w:rPr>
                <w:b/>
                <w:bCs/>
                <w:sz w:val="24"/>
                <w:szCs w:val="24"/>
              </w:rPr>
            </w:pPr>
            <w:r w:rsidRPr="00073574">
              <w:rPr>
                <w:b/>
                <w:bCs/>
                <w:sz w:val="24"/>
                <w:szCs w:val="24"/>
              </w:rPr>
              <w:t>SGs to collaborate with ITU-D and with the relevant organizations, including other relevant organizations (i.e. IETF) to develop Recommendations with a view to exchanging best practices; participate in workshops, training sessions, etc. (resolves 2)</w:t>
            </w:r>
          </w:p>
        </w:tc>
        <w:tc>
          <w:tcPr>
            <w:tcW w:w="1880" w:type="dxa"/>
            <w:tcBorders>
              <w:top w:val="single" w:sz="12" w:space="0" w:color="auto"/>
            </w:tcBorders>
            <w:shd w:val="clear" w:color="auto" w:fill="auto"/>
            <w:vAlign w:val="center"/>
            <w:hideMark/>
          </w:tcPr>
          <w:p w14:paraId="057B830F"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49" w:type="dxa"/>
            <w:tcBorders>
              <w:top w:val="single" w:sz="12" w:space="0" w:color="auto"/>
            </w:tcBorders>
            <w:shd w:val="clear" w:color="auto" w:fill="auto"/>
            <w:vAlign w:val="center"/>
          </w:tcPr>
          <w:p w14:paraId="6E5F892C" w14:textId="18105893" w:rsidR="00F0236A" w:rsidRPr="00073574" w:rsidRDefault="00923005"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621E5C10" w14:textId="77777777" w:rsidR="00F0236A" w:rsidRPr="00073574" w:rsidRDefault="00F0236A" w:rsidP="00DF36E1">
            <w:pPr>
              <w:pStyle w:val="Tabletext"/>
              <w:jc w:val="center"/>
              <w:rPr>
                <w:b/>
                <w:bCs/>
                <w:sz w:val="24"/>
                <w:szCs w:val="24"/>
              </w:rPr>
            </w:pPr>
          </w:p>
        </w:tc>
      </w:tr>
      <w:tr w:rsidR="00F0236A" w:rsidRPr="00073574" w14:paraId="4D30145A" w14:textId="77777777" w:rsidTr="1EE68BAF">
        <w:trPr>
          <w:cantSplit/>
          <w:jc w:val="center"/>
        </w:trPr>
        <w:tc>
          <w:tcPr>
            <w:tcW w:w="910" w:type="dxa"/>
            <w:vMerge/>
          </w:tcPr>
          <w:p w14:paraId="4B27F333" w14:textId="77777777" w:rsidR="00F0236A" w:rsidRPr="00073574" w:rsidRDefault="00F0236A" w:rsidP="00DF36E1">
            <w:pPr>
              <w:pStyle w:val="Tabletext"/>
              <w:rPr>
                <w:sz w:val="24"/>
                <w:szCs w:val="24"/>
              </w:rPr>
            </w:pPr>
          </w:p>
        </w:tc>
        <w:tc>
          <w:tcPr>
            <w:tcW w:w="8922" w:type="dxa"/>
            <w:gridSpan w:val="4"/>
            <w:tcBorders>
              <w:bottom w:val="single" w:sz="12" w:space="0" w:color="auto"/>
            </w:tcBorders>
            <w:shd w:val="clear" w:color="auto" w:fill="auto"/>
          </w:tcPr>
          <w:p w14:paraId="5CD206F8" w14:textId="0797AC6D" w:rsidR="00F0236A" w:rsidRPr="00073574" w:rsidRDefault="1AAD8443" w:rsidP="00923005">
            <w:pPr>
              <w:pStyle w:val="Tabletext"/>
            </w:pPr>
            <w:r w:rsidRPr="00073574">
              <w:t>Q5/17, Countering spam by technical means, has exchanged best practices with ITU-T SG2, SG13, SG16, ITU-D Q22/1, M3AAWG, IETF STIR, GSMA SG and 3GPP SA3. Working liaison relationship has been established with those bodies. In addition, Q5/17 has reviewed all the relevant documents from the above bodies and from OECD, ENISA, and NIST.</w:t>
            </w:r>
          </w:p>
          <w:p w14:paraId="56A9DA7F" w14:textId="4CAD3D98" w:rsidR="00F0236A" w:rsidRPr="00073574" w:rsidRDefault="5F731B0D" w:rsidP="00923005">
            <w:pPr>
              <w:pStyle w:val="Tabletext"/>
            </w:pPr>
            <w:r w:rsidRPr="00073574">
              <w:t>During March 2018 ITU-T SG17 meeting, Q5/17 and ETIS AATN carried out a joint session</w:t>
            </w:r>
            <w:r w:rsidRPr="00073574">
              <w:rPr>
                <w:strike/>
                <w:color w:val="FF0000"/>
              </w:rPr>
              <w:t>.</w:t>
            </w:r>
            <w:r w:rsidRPr="00073574">
              <w:t>, discussed Anti-Spam, Cyber Threat Intelligence, Phishing, network resource abusing and other issues.</w:t>
            </w:r>
          </w:p>
        </w:tc>
      </w:tr>
      <w:tr w:rsidR="00F0236A" w:rsidRPr="00073574" w14:paraId="4609DC6F" w14:textId="77777777" w:rsidTr="1EE68BAF">
        <w:trPr>
          <w:cantSplit/>
          <w:jc w:val="center"/>
        </w:trPr>
        <w:tc>
          <w:tcPr>
            <w:tcW w:w="910" w:type="dxa"/>
            <w:vMerge w:val="restart"/>
            <w:tcBorders>
              <w:top w:val="single" w:sz="12" w:space="0" w:color="auto"/>
            </w:tcBorders>
            <w:shd w:val="clear" w:color="auto" w:fill="auto"/>
          </w:tcPr>
          <w:p w14:paraId="48898ED8" w14:textId="77777777" w:rsidR="00F0236A" w:rsidRPr="00073574" w:rsidRDefault="00F0236A" w:rsidP="00DF36E1">
            <w:pPr>
              <w:pStyle w:val="Tabletext"/>
              <w:rPr>
                <w:b/>
                <w:bCs/>
                <w:sz w:val="24"/>
                <w:szCs w:val="24"/>
              </w:rPr>
            </w:pPr>
            <w:r w:rsidRPr="00073574">
              <w:rPr>
                <w:b/>
                <w:bCs/>
                <w:sz w:val="24"/>
                <w:szCs w:val="24"/>
              </w:rPr>
              <w:t>52-03</w:t>
            </w:r>
          </w:p>
        </w:tc>
        <w:tc>
          <w:tcPr>
            <w:tcW w:w="4557" w:type="dxa"/>
            <w:tcBorders>
              <w:top w:val="single" w:sz="12" w:space="0" w:color="auto"/>
            </w:tcBorders>
            <w:shd w:val="clear" w:color="auto" w:fill="auto"/>
            <w:hideMark/>
          </w:tcPr>
          <w:p w14:paraId="6039DF9D" w14:textId="77777777" w:rsidR="00F0236A" w:rsidRPr="00073574" w:rsidRDefault="00F0236A" w:rsidP="00DF36E1">
            <w:pPr>
              <w:pStyle w:val="Tabletext"/>
              <w:rPr>
                <w:b/>
                <w:bCs/>
                <w:sz w:val="24"/>
                <w:szCs w:val="24"/>
              </w:rPr>
            </w:pPr>
            <w:r w:rsidRPr="00073574">
              <w:rPr>
                <w:b/>
                <w:bCs/>
                <w:sz w:val="24"/>
                <w:szCs w:val="24"/>
              </w:rPr>
              <w:t>SG17 to report on progress of Resolution 52 to each meeting of TSAG (f.i. SG17 1)</w:t>
            </w:r>
          </w:p>
        </w:tc>
        <w:tc>
          <w:tcPr>
            <w:tcW w:w="1880" w:type="dxa"/>
            <w:tcBorders>
              <w:top w:val="single" w:sz="12" w:space="0" w:color="auto"/>
            </w:tcBorders>
            <w:shd w:val="clear" w:color="auto" w:fill="auto"/>
            <w:vAlign w:val="center"/>
            <w:hideMark/>
          </w:tcPr>
          <w:p w14:paraId="27448080"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49" w:type="dxa"/>
            <w:tcBorders>
              <w:top w:val="single" w:sz="12" w:space="0" w:color="auto"/>
            </w:tcBorders>
            <w:shd w:val="clear" w:color="auto" w:fill="auto"/>
            <w:vAlign w:val="center"/>
          </w:tcPr>
          <w:p w14:paraId="0A0268A6"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197559FC" w14:textId="77777777" w:rsidR="00F0236A" w:rsidRPr="00073574" w:rsidRDefault="00F0236A" w:rsidP="00DF36E1">
            <w:pPr>
              <w:pStyle w:val="Tabletext"/>
              <w:jc w:val="center"/>
              <w:rPr>
                <w:b/>
                <w:bCs/>
                <w:sz w:val="24"/>
                <w:szCs w:val="24"/>
              </w:rPr>
            </w:pPr>
          </w:p>
        </w:tc>
      </w:tr>
      <w:tr w:rsidR="00F0236A" w:rsidRPr="00073574" w14:paraId="1EFD8420" w14:textId="77777777" w:rsidTr="1EE68BAF">
        <w:trPr>
          <w:cantSplit/>
          <w:jc w:val="center"/>
        </w:trPr>
        <w:tc>
          <w:tcPr>
            <w:tcW w:w="910" w:type="dxa"/>
            <w:vMerge/>
          </w:tcPr>
          <w:p w14:paraId="035A5788" w14:textId="77777777" w:rsidR="00F0236A" w:rsidRPr="00073574" w:rsidRDefault="00F0236A" w:rsidP="00DF36E1">
            <w:pPr>
              <w:pStyle w:val="Tabletext"/>
              <w:rPr>
                <w:sz w:val="24"/>
                <w:szCs w:val="24"/>
              </w:rPr>
            </w:pPr>
          </w:p>
        </w:tc>
        <w:tc>
          <w:tcPr>
            <w:tcW w:w="8922" w:type="dxa"/>
            <w:gridSpan w:val="4"/>
            <w:tcBorders>
              <w:bottom w:val="single" w:sz="12" w:space="0" w:color="auto"/>
            </w:tcBorders>
            <w:shd w:val="clear" w:color="auto" w:fill="auto"/>
          </w:tcPr>
          <w:p w14:paraId="3BDCC1A4" w14:textId="3D92AC11" w:rsidR="00F0236A" w:rsidRPr="00073574" w:rsidRDefault="00F0236A" w:rsidP="00DF36E1">
            <w:pPr>
              <w:pStyle w:val="Tabletext"/>
            </w:pPr>
            <w:r w:rsidRPr="00073574">
              <w:t xml:space="preserve">See SG17 LSG report to TSAG in </w:t>
            </w:r>
            <w:hyperlink r:id="rId380">
              <w:r w:rsidR="00112C75" w:rsidRPr="00073574">
                <w:rPr>
                  <w:rStyle w:val="Hyperlink"/>
                </w:rPr>
                <w:t>TD</w:t>
              </w:r>
              <w:r w:rsidRPr="00073574">
                <w:rPr>
                  <w:rStyle w:val="Hyperlink"/>
                </w:rPr>
                <w:t>93</w:t>
              </w:r>
            </w:hyperlink>
            <w:r w:rsidR="32BDD1A6" w:rsidRPr="00BA47E1">
              <w:rPr>
                <w:rStyle w:val="Hyperlink"/>
                <w:u w:val="none"/>
              </w:rPr>
              <w:t xml:space="preserve">, </w:t>
            </w:r>
            <w:r w:rsidR="32BDD1A6" w:rsidRPr="00073574">
              <w:rPr>
                <w:rStyle w:val="Hyperlink"/>
              </w:rPr>
              <w:t>TD</w:t>
            </w:r>
            <w:r w:rsidR="01C1B6ED" w:rsidRPr="00073574">
              <w:rPr>
                <w:rStyle w:val="Hyperlink"/>
              </w:rPr>
              <w:t>236</w:t>
            </w:r>
            <w:r w:rsidR="47521C5C" w:rsidRPr="00BA47E1">
              <w:rPr>
                <w:rStyle w:val="Hyperlink"/>
                <w:u w:val="none"/>
              </w:rPr>
              <w:t xml:space="preserve">, </w:t>
            </w:r>
            <w:hyperlink r:id="rId381">
              <w:r w:rsidR="47521C5C" w:rsidRPr="00073574">
                <w:rPr>
                  <w:rStyle w:val="Hyperlink"/>
                </w:rPr>
                <w:t>TD309</w:t>
              </w:r>
            </w:hyperlink>
            <w:r w:rsidR="67D2CC94" w:rsidRPr="00BA47E1">
              <w:rPr>
                <w:rStyle w:val="Hyperlink"/>
                <w:u w:val="none"/>
              </w:rPr>
              <w:t xml:space="preserve">, </w:t>
            </w:r>
            <w:hyperlink r:id="rId382">
              <w:r w:rsidR="23298A3C" w:rsidRPr="00073574">
                <w:rPr>
                  <w:rStyle w:val="Hyperlink"/>
                  <w:lang w:eastAsia="zh-CN"/>
                </w:rPr>
                <w:t>TD485</w:t>
              </w:r>
            </w:hyperlink>
            <w:r w:rsidR="0F9770AE" w:rsidRPr="00073574">
              <w:t xml:space="preserve">, </w:t>
            </w:r>
            <w:hyperlink r:id="rId383" w:history="1">
              <w:r w:rsidR="0F9770AE" w:rsidRPr="00073574">
                <w:rPr>
                  <w:rStyle w:val="Hyperlink"/>
                </w:rPr>
                <w:t>TD806</w:t>
              </w:r>
            </w:hyperlink>
            <w:r w:rsidR="00977A21" w:rsidRPr="00BA47E1">
              <w:rPr>
                <w:color w:val="0000FF"/>
              </w:rPr>
              <w:t xml:space="preserve">, </w:t>
            </w:r>
            <w:r w:rsidR="00977A21" w:rsidRPr="00073574">
              <w:rPr>
                <w:color w:val="0000FF"/>
                <w:u w:val="single"/>
              </w:rPr>
              <w:t>TD</w:t>
            </w:r>
            <w:hyperlink r:id="rId384" w:history="1">
              <w:r w:rsidR="00977A21" w:rsidRPr="00073574">
                <w:rPr>
                  <w:rStyle w:val="Hyperlink"/>
                </w:rPr>
                <w:t>947</w:t>
              </w:r>
            </w:hyperlink>
            <w:r w:rsidR="00977A21" w:rsidRPr="00073574">
              <w:rPr>
                <w:color w:val="0000FF"/>
                <w:u w:val="single"/>
              </w:rPr>
              <w:t>TD</w:t>
            </w:r>
            <w:hyperlink r:id="rId385" w:history="1">
              <w:r w:rsidR="00977A21" w:rsidRPr="00073574">
                <w:rPr>
                  <w:rStyle w:val="Hyperlink"/>
                </w:rPr>
                <w:t>1048</w:t>
              </w:r>
            </w:hyperlink>
            <w:r w:rsidRPr="00073574">
              <w:t>.</w:t>
            </w:r>
          </w:p>
        </w:tc>
      </w:tr>
      <w:tr w:rsidR="00F0236A" w:rsidRPr="00073574" w14:paraId="0120BFED" w14:textId="77777777" w:rsidTr="1EE68BAF">
        <w:trPr>
          <w:cantSplit/>
          <w:jc w:val="center"/>
        </w:trPr>
        <w:tc>
          <w:tcPr>
            <w:tcW w:w="910" w:type="dxa"/>
            <w:vMerge w:val="restart"/>
            <w:tcBorders>
              <w:top w:val="single" w:sz="12" w:space="0" w:color="auto"/>
            </w:tcBorders>
            <w:shd w:val="clear" w:color="auto" w:fill="auto"/>
          </w:tcPr>
          <w:p w14:paraId="7EC28767" w14:textId="77777777" w:rsidR="00F0236A" w:rsidRPr="00073574" w:rsidRDefault="00F0236A" w:rsidP="00DF36E1">
            <w:pPr>
              <w:pStyle w:val="Tabletext"/>
              <w:rPr>
                <w:b/>
                <w:bCs/>
                <w:sz w:val="24"/>
                <w:szCs w:val="24"/>
              </w:rPr>
            </w:pPr>
            <w:r w:rsidRPr="00073574">
              <w:rPr>
                <w:b/>
                <w:bCs/>
                <w:sz w:val="24"/>
                <w:szCs w:val="24"/>
              </w:rPr>
              <w:t>52-04</w:t>
            </w:r>
          </w:p>
        </w:tc>
        <w:tc>
          <w:tcPr>
            <w:tcW w:w="4557" w:type="dxa"/>
            <w:tcBorders>
              <w:top w:val="single" w:sz="12" w:space="0" w:color="auto"/>
            </w:tcBorders>
            <w:shd w:val="clear" w:color="auto" w:fill="auto"/>
          </w:tcPr>
          <w:p w14:paraId="07D17B13" w14:textId="77777777" w:rsidR="00F0236A" w:rsidRPr="00073574" w:rsidRDefault="00F0236A" w:rsidP="00DF36E1">
            <w:pPr>
              <w:pStyle w:val="Tabletext"/>
              <w:rPr>
                <w:b/>
                <w:bCs/>
                <w:sz w:val="24"/>
                <w:szCs w:val="24"/>
              </w:rPr>
            </w:pPr>
            <w:r w:rsidRPr="00073574">
              <w:rPr>
                <w:b/>
                <w:bCs/>
                <w:sz w:val="24"/>
                <w:szCs w:val="24"/>
              </w:rPr>
              <w:t>SG17 to initiate a study on spam indicating the volume, types (e.g. e-mail spam, SMS spam, spam in IP-based multimedia applications) and features (e.g. different major routes and sources) of spam traffic, in order to help Member States and relevant operating agencies identify such routes, sources and volumes and estimate the amount of investment in facilities and other technical means to counter and combat such spam, taking into account work that has already been carried out (i. TSB Dir 2)</w:t>
            </w:r>
          </w:p>
        </w:tc>
        <w:tc>
          <w:tcPr>
            <w:tcW w:w="1880" w:type="dxa"/>
            <w:tcBorders>
              <w:top w:val="single" w:sz="12" w:space="0" w:color="auto"/>
            </w:tcBorders>
            <w:shd w:val="clear" w:color="auto" w:fill="auto"/>
            <w:vAlign w:val="center"/>
          </w:tcPr>
          <w:p w14:paraId="0A6B36BC" w14:textId="77777777" w:rsidR="00F0236A" w:rsidRPr="00073574" w:rsidRDefault="00F0236A" w:rsidP="00DF36E1">
            <w:pPr>
              <w:pStyle w:val="Tabletext"/>
              <w:jc w:val="center"/>
              <w:rPr>
                <w:b/>
                <w:bCs/>
                <w:sz w:val="24"/>
                <w:szCs w:val="24"/>
              </w:rPr>
            </w:pPr>
            <w:r w:rsidRPr="00073574">
              <w:rPr>
                <w:b/>
                <w:bCs/>
                <w:sz w:val="24"/>
                <w:szCs w:val="24"/>
              </w:rPr>
              <w:t>March 2017</w:t>
            </w:r>
          </w:p>
        </w:tc>
        <w:tc>
          <w:tcPr>
            <w:tcW w:w="1149" w:type="dxa"/>
            <w:tcBorders>
              <w:top w:val="single" w:sz="12" w:space="0" w:color="auto"/>
            </w:tcBorders>
            <w:shd w:val="clear" w:color="auto" w:fill="auto"/>
            <w:vAlign w:val="center"/>
          </w:tcPr>
          <w:p w14:paraId="4E1F91EE"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2C2E23D0" w14:textId="642B8BBF" w:rsidR="00F0236A" w:rsidRPr="00073574" w:rsidRDefault="00A133FF" w:rsidP="00DF36E1">
            <w:pPr>
              <w:pStyle w:val="Tabletext"/>
              <w:jc w:val="center"/>
              <w:rPr>
                <w:b/>
                <w:bCs/>
                <w:sz w:val="24"/>
                <w:szCs w:val="24"/>
              </w:rPr>
            </w:pPr>
            <w:r w:rsidRPr="00073574">
              <w:rPr>
                <w:b/>
                <w:bCs/>
                <w:sz w:val="24"/>
                <w:szCs w:val="24"/>
              </w:rPr>
              <w:t>√</w:t>
            </w:r>
          </w:p>
        </w:tc>
      </w:tr>
      <w:tr w:rsidR="00F0236A" w:rsidRPr="00073574" w14:paraId="26E9269C" w14:textId="77777777" w:rsidTr="1EE68BAF">
        <w:trPr>
          <w:cantSplit/>
          <w:jc w:val="center"/>
        </w:trPr>
        <w:tc>
          <w:tcPr>
            <w:tcW w:w="910" w:type="dxa"/>
            <w:vMerge/>
          </w:tcPr>
          <w:p w14:paraId="606FA703" w14:textId="77777777" w:rsidR="00F0236A" w:rsidRPr="00073574" w:rsidRDefault="00F0236A" w:rsidP="00DF36E1">
            <w:pPr>
              <w:pStyle w:val="Tabletext"/>
              <w:rPr>
                <w:sz w:val="24"/>
                <w:szCs w:val="24"/>
              </w:rPr>
            </w:pPr>
          </w:p>
        </w:tc>
        <w:tc>
          <w:tcPr>
            <w:tcW w:w="8922" w:type="dxa"/>
            <w:gridSpan w:val="4"/>
            <w:tcBorders>
              <w:bottom w:val="single" w:sz="12" w:space="0" w:color="auto"/>
            </w:tcBorders>
            <w:shd w:val="clear" w:color="auto" w:fill="auto"/>
          </w:tcPr>
          <w:p w14:paraId="3666F59C" w14:textId="3DF45CA1" w:rsidR="00F0236A" w:rsidRPr="00073574" w:rsidRDefault="00F0236A" w:rsidP="00DD72DE">
            <w:pPr>
              <w:pStyle w:val="Tabletext"/>
              <w:rPr>
                <w:szCs w:val="22"/>
              </w:rPr>
            </w:pPr>
            <w:r w:rsidRPr="00073574">
              <w:rPr>
                <w:szCs w:val="22"/>
              </w:rPr>
              <w:t xml:space="preserve">SG17 in Q5/17 </w:t>
            </w:r>
            <w:r w:rsidR="00026745" w:rsidRPr="00073574">
              <w:rPr>
                <w:szCs w:val="22"/>
              </w:rPr>
              <w:t>launched</w:t>
            </w:r>
            <w:r w:rsidRPr="00073574">
              <w:rPr>
                <w:szCs w:val="22"/>
              </w:rPr>
              <w:t xml:space="preserve"> survey</w:t>
            </w:r>
            <w:r w:rsidR="00026745" w:rsidRPr="00073574">
              <w:rPr>
                <w:szCs w:val="22"/>
              </w:rPr>
              <w:t xml:space="preserve"> </w:t>
            </w:r>
            <w:r w:rsidR="00DD72DE" w:rsidRPr="00073574">
              <w:rPr>
                <w:szCs w:val="22"/>
              </w:rPr>
              <w:t xml:space="preserve">in </w:t>
            </w:r>
            <w:r w:rsidR="00026745" w:rsidRPr="00073574">
              <w:rPr>
                <w:szCs w:val="22"/>
              </w:rPr>
              <w:t>October 2017 – February 2018.</w:t>
            </w:r>
          </w:p>
        </w:tc>
      </w:tr>
      <w:tr w:rsidR="00F0236A" w:rsidRPr="00073574" w14:paraId="2465DD06" w14:textId="77777777" w:rsidTr="1EE68BAF">
        <w:trPr>
          <w:cantSplit/>
          <w:jc w:val="center"/>
        </w:trPr>
        <w:tc>
          <w:tcPr>
            <w:tcW w:w="910" w:type="dxa"/>
            <w:vMerge w:val="restart"/>
            <w:tcBorders>
              <w:top w:val="single" w:sz="12" w:space="0" w:color="auto"/>
            </w:tcBorders>
            <w:shd w:val="clear" w:color="auto" w:fill="auto"/>
          </w:tcPr>
          <w:p w14:paraId="597AE658" w14:textId="77777777" w:rsidR="00F0236A" w:rsidRPr="00073574" w:rsidRDefault="00F0236A" w:rsidP="009C43D6">
            <w:pPr>
              <w:pStyle w:val="Tabletext"/>
              <w:keepNext/>
              <w:keepLines/>
              <w:rPr>
                <w:b/>
                <w:bCs/>
                <w:sz w:val="24"/>
                <w:szCs w:val="24"/>
              </w:rPr>
            </w:pPr>
            <w:r w:rsidRPr="00073574">
              <w:rPr>
                <w:b/>
                <w:bCs/>
                <w:sz w:val="24"/>
                <w:szCs w:val="24"/>
              </w:rPr>
              <w:lastRenderedPageBreak/>
              <w:t>52-05</w:t>
            </w:r>
          </w:p>
        </w:tc>
        <w:tc>
          <w:tcPr>
            <w:tcW w:w="4557" w:type="dxa"/>
            <w:tcBorders>
              <w:top w:val="single" w:sz="12" w:space="0" w:color="auto"/>
            </w:tcBorders>
            <w:shd w:val="clear" w:color="auto" w:fill="auto"/>
          </w:tcPr>
          <w:p w14:paraId="5AE3963C" w14:textId="77777777" w:rsidR="00F0236A" w:rsidRPr="00073574" w:rsidRDefault="00F0236A" w:rsidP="009C43D6">
            <w:pPr>
              <w:pStyle w:val="Tabletext"/>
              <w:keepNext/>
              <w:keepLines/>
              <w:rPr>
                <w:b/>
                <w:bCs/>
                <w:sz w:val="24"/>
                <w:szCs w:val="24"/>
              </w:rPr>
            </w:pPr>
            <w:r w:rsidRPr="00073574">
              <w:rPr>
                <w:b/>
                <w:bCs/>
                <w:sz w:val="24"/>
                <w:szCs w:val="24"/>
              </w:rPr>
              <w:t>SG17 to support ITU</w:t>
            </w:r>
            <w:r w:rsidRPr="00073574">
              <w:rPr>
                <w:b/>
                <w:bCs/>
                <w:sz w:val="24"/>
                <w:szCs w:val="24"/>
              </w:rPr>
              <w:noBreakHyphen/>
              <w:t>D Study Group 2 on countering and combating spam in its work providing technical training sessions and workshop activities in different regions related to spam policy, regulatory and economic issues and their impact. (f.i. SG17 2)</w:t>
            </w:r>
          </w:p>
        </w:tc>
        <w:tc>
          <w:tcPr>
            <w:tcW w:w="1880" w:type="dxa"/>
            <w:tcBorders>
              <w:top w:val="single" w:sz="12" w:space="0" w:color="auto"/>
            </w:tcBorders>
            <w:shd w:val="clear" w:color="auto" w:fill="auto"/>
            <w:vAlign w:val="center"/>
          </w:tcPr>
          <w:p w14:paraId="68075496" w14:textId="77777777" w:rsidR="00F0236A" w:rsidRPr="00073574" w:rsidRDefault="00F0236A" w:rsidP="009C43D6">
            <w:pPr>
              <w:pStyle w:val="Tabletext"/>
              <w:keepNext/>
              <w:keepLines/>
              <w:jc w:val="center"/>
              <w:rPr>
                <w:b/>
                <w:bCs/>
                <w:sz w:val="24"/>
                <w:szCs w:val="24"/>
              </w:rPr>
            </w:pPr>
            <w:r w:rsidRPr="00073574">
              <w:rPr>
                <w:b/>
                <w:bCs/>
                <w:sz w:val="24"/>
                <w:szCs w:val="24"/>
              </w:rPr>
              <w:t>Ongoing</w:t>
            </w:r>
          </w:p>
        </w:tc>
        <w:tc>
          <w:tcPr>
            <w:tcW w:w="1149" w:type="dxa"/>
            <w:tcBorders>
              <w:top w:val="single" w:sz="12" w:space="0" w:color="auto"/>
            </w:tcBorders>
            <w:shd w:val="clear" w:color="auto" w:fill="auto"/>
            <w:vAlign w:val="center"/>
          </w:tcPr>
          <w:p w14:paraId="7C44E1B2" w14:textId="4EE9299C" w:rsidR="00F0236A" w:rsidRPr="00073574" w:rsidRDefault="00341915" w:rsidP="009C43D6">
            <w:pPr>
              <w:pStyle w:val="Tabletext"/>
              <w:keepNext/>
              <w:keepLines/>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79935662" w14:textId="77777777" w:rsidR="00F0236A" w:rsidRPr="00073574" w:rsidRDefault="00F0236A" w:rsidP="009C43D6">
            <w:pPr>
              <w:pStyle w:val="Tabletext"/>
              <w:keepNext/>
              <w:keepLines/>
              <w:jc w:val="center"/>
              <w:rPr>
                <w:b/>
                <w:bCs/>
                <w:sz w:val="24"/>
                <w:szCs w:val="24"/>
              </w:rPr>
            </w:pPr>
          </w:p>
        </w:tc>
      </w:tr>
      <w:tr w:rsidR="00F0236A" w:rsidRPr="00073574" w14:paraId="623E0D3E" w14:textId="77777777" w:rsidTr="1EE68BAF">
        <w:trPr>
          <w:cantSplit/>
          <w:jc w:val="center"/>
        </w:trPr>
        <w:tc>
          <w:tcPr>
            <w:tcW w:w="910" w:type="dxa"/>
            <w:vMerge/>
          </w:tcPr>
          <w:p w14:paraId="72DCE68D" w14:textId="77777777" w:rsidR="00F0236A" w:rsidRPr="00073574" w:rsidRDefault="00F0236A" w:rsidP="009C43D6">
            <w:pPr>
              <w:pStyle w:val="Tabletext"/>
              <w:keepNext/>
              <w:keepLines/>
              <w:rPr>
                <w:sz w:val="24"/>
                <w:szCs w:val="24"/>
              </w:rPr>
            </w:pPr>
          </w:p>
        </w:tc>
        <w:tc>
          <w:tcPr>
            <w:tcW w:w="8922" w:type="dxa"/>
            <w:gridSpan w:val="4"/>
            <w:tcBorders>
              <w:bottom w:val="single" w:sz="12" w:space="0" w:color="auto"/>
            </w:tcBorders>
            <w:shd w:val="clear" w:color="auto" w:fill="auto"/>
          </w:tcPr>
          <w:p w14:paraId="01B4250D" w14:textId="2F970DB6" w:rsidR="00143C19" w:rsidRPr="00073574" w:rsidRDefault="00143C19" w:rsidP="009C43D6">
            <w:pPr>
              <w:pStyle w:val="Tabletext"/>
              <w:keepNext/>
              <w:keepLines/>
              <w:rPr>
                <w:szCs w:val="22"/>
              </w:rPr>
            </w:pPr>
            <w:r w:rsidRPr="00073574">
              <w:rPr>
                <w:szCs w:val="22"/>
              </w:rPr>
              <w:t>BDT is taking the lead.</w:t>
            </w:r>
          </w:p>
          <w:p w14:paraId="1F8591FB" w14:textId="5524D960" w:rsidR="00F0236A" w:rsidRPr="00073574" w:rsidRDefault="002C3359" w:rsidP="009C43D6">
            <w:pPr>
              <w:pStyle w:val="Tabletext"/>
              <w:keepNext/>
              <w:keepLines/>
              <w:rPr>
                <w:szCs w:val="22"/>
              </w:rPr>
            </w:pPr>
            <w:r w:rsidRPr="00073574">
              <w:rPr>
                <w:szCs w:val="22"/>
              </w:rPr>
              <w:t xml:space="preserve">See action 52-02 </w:t>
            </w:r>
            <w:r w:rsidR="00661F60" w:rsidRPr="00073574">
              <w:rPr>
                <w:szCs w:val="22"/>
              </w:rPr>
              <w:t>SG17 collaborat</w:t>
            </w:r>
            <w:r w:rsidRPr="00073574">
              <w:rPr>
                <w:szCs w:val="22"/>
              </w:rPr>
              <w:t>ion</w:t>
            </w:r>
            <w:r w:rsidR="00661F60" w:rsidRPr="00073574">
              <w:rPr>
                <w:szCs w:val="22"/>
              </w:rPr>
              <w:t xml:space="preserve"> with ITU-D SG2</w:t>
            </w:r>
            <w:r w:rsidRPr="00073574">
              <w:rPr>
                <w:szCs w:val="22"/>
              </w:rPr>
              <w:t xml:space="preserve">. </w:t>
            </w:r>
          </w:p>
        </w:tc>
      </w:tr>
      <w:tr w:rsidR="00F0236A" w:rsidRPr="00073574" w14:paraId="7FB88725" w14:textId="77777777" w:rsidTr="1EE68BAF">
        <w:trPr>
          <w:cantSplit/>
          <w:jc w:val="center"/>
        </w:trPr>
        <w:tc>
          <w:tcPr>
            <w:tcW w:w="910" w:type="dxa"/>
            <w:vMerge w:val="restart"/>
            <w:tcBorders>
              <w:top w:val="single" w:sz="12" w:space="0" w:color="auto"/>
            </w:tcBorders>
            <w:shd w:val="clear" w:color="auto" w:fill="auto"/>
          </w:tcPr>
          <w:p w14:paraId="018EF32C" w14:textId="77777777" w:rsidR="00F0236A" w:rsidRPr="00073574" w:rsidRDefault="00F0236A" w:rsidP="00DF36E1">
            <w:pPr>
              <w:pStyle w:val="Tabletext"/>
              <w:rPr>
                <w:b/>
                <w:bCs/>
                <w:sz w:val="24"/>
                <w:szCs w:val="24"/>
              </w:rPr>
            </w:pPr>
            <w:r w:rsidRPr="00073574">
              <w:rPr>
                <w:b/>
                <w:bCs/>
                <w:sz w:val="24"/>
                <w:szCs w:val="24"/>
              </w:rPr>
              <w:t>52-06</w:t>
            </w:r>
          </w:p>
        </w:tc>
        <w:tc>
          <w:tcPr>
            <w:tcW w:w="4557" w:type="dxa"/>
            <w:tcBorders>
              <w:top w:val="single" w:sz="12" w:space="0" w:color="auto"/>
            </w:tcBorders>
            <w:shd w:val="clear" w:color="auto" w:fill="auto"/>
          </w:tcPr>
          <w:p w14:paraId="641384D2" w14:textId="77777777" w:rsidR="00F0236A" w:rsidRPr="00073574" w:rsidRDefault="00F0236A" w:rsidP="00DF36E1">
            <w:pPr>
              <w:pStyle w:val="Tabletext"/>
              <w:rPr>
                <w:b/>
                <w:bCs/>
                <w:sz w:val="24"/>
                <w:szCs w:val="24"/>
              </w:rPr>
            </w:pPr>
            <w:r w:rsidRPr="00073574">
              <w:rPr>
                <w:b/>
                <w:bCs/>
                <w:sz w:val="24"/>
                <w:szCs w:val="24"/>
              </w:rPr>
              <w:t>SG17 to continue its work on developing Recommendations, technical papers, and other related publications (f.i. SG17 3)</w:t>
            </w:r>
          </w:p>
        </w:tc>
        <w:tc>
          <w:tcPr>
            <w:tcW w:w="1880" w:type="dxa"/>
            <w:tcBorders>
              <w:top w:val="single" w:sz="12" w:space="0" w:color="auto"/>
            </w:tcBorders>
            <w:shd w:val="clear" w:color="auto" w:fill="auto"/>
            <w:vAlign w:val="center"/>
          </w:tcPr>
          <w:p w14:paraId="5BDB6213"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49" w:type="dxa"/>
            <w:tcBorders>
              <w:top w:val="single" w:sz="12" w:space="0" w:color="auto"/>
            </w:tcBorders>
            <w:shd w:val="clear" w:color="auto" w:fill="auto"/>
            <w:vAlign w:val="center"/>
          </w:tcPr>
          <w:p w14:paraId="0A4E6CE4"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7DB40F36" w14:textId="77777777" w:rsidR="00F0236A" w:rsidRPr="00073574" w:rsidRDefault="00F0236A" w:rsidP="00DF36E1">
            <w:pPr>
              <w:pStyle w:val="Tabletext"/>
              <w:jc w:val="center"/>
              <w:rPr>
                <w:b/>
                <w:bCs/>
                <w:sz w:val="24"/>
                <w:szCs w:val="24"/>
              </w:rPr>
            </w:pPr>
          </w:p>
        </w:tc>
      </w:tr>
      <w:tr w:rsidR="00F0236A" w:rsidRPr="00073574" w14:paraId="7F465B6A" w14:textId="77777777" w:rsidTr="1EE68BAF">
        <w:trPr>
          <w:cantSplit/>
          <w:jc w:val="center"/>
        </w:trPr>
        <w:tc>
          <w:tcPr>
            <w:tcW w:w="910" w:type="dxa"/>
            <w:vMerge/>
          </w:tcPr>
          <w:p w14:paraId="65259272" w14:textId="77777777" w:rsidR="00F0236A" w:rsidRPr="00073574" w:rsidRDefault="00F0236A" w:rsidP="00DF36E1">
            <w:pPr>
              <w:pStyle w:val="Tabletext"/>
              <w:rPr>
                <w:sz w:val="24"/>
                <w:szCs w:val="24"/>
              </w:rPr>
            </w:pPr>
          </w:p>
        </w:tc>
        <w:tc>
          <w:tcPr>
            <w:tcW w:w="8922" w:type="dxa"/>
            <w:gridSpan w:val="4"/>
            <w:tcBorders>
              <w:bottom w:val="single" w:sz="12" w:space="0" w:color="auto"/>
            </w:tcBorders>
            <w:shd w:val="clear" w:color="auto" w:fill="auto"/>
          </w:tcPr>
          <w:p w14:paraId="6BA15510" w14:textId="67A6FC0D" w:rsidR="00F0236A" w:rsidRPr="00073574" w:rsidRDefault="2C7857A8" w:rsidP="539711DF">
            <w:r w:rsidRPr="00073574">
              <w:rPr>
                <w:rFonts w:eastAsia="Times New Roman"/>
              </w:rPr>
              <w:t>SG17 has produced important publications on security work including:</w:t>
            </w:r>
          </w:p>
          <w:p w14:paraId="7DF344CA" w14:textId="54AE69AB" w:rsidR="00F0236A" w:rsidRPr="00073574" w:rsidRDefault="2C7857A8" w:rsidP="002E241A">
            <w:pPr>
              <w:pStyle w:val="ListParagraph"/>
              <w:numPr>
                <w:ilvl w:val="0"/>
                <w:numId w:val="11"/>
              </w:numPr>
              <w:rPr>
                <w:rFonts w:eastAsia="Times New Roman"/>
              </w:rPr>
            </w:pPr>
            <w:r w:rsidRPr="00073574">
              <w:t>Security Manual</w:t>
            </w:r>
          </w:p>
          <w:p w14:paraId="4FE6A7B8" w14:textId="49578047" w:rsidR="00F0236A" w:rsidRPr="00073574" w:rsidRDefault="2C7857A8" w:rsidP="002E241A">
            <w:pPr>
              <w:pStyle w:val="ListParagraph"/>
              <w:numPr>
                <w:ilvl w:val="0"/>
                <w:numId w:val="11"/>
              </w:numPr>
            </w:pPr>
            <w:r w:rsidRPr="00073574">
              <w:t>Success use of security standards</w:t>
            </w:r>
            <w:r w:rsidR="00AF0D5B" w:rsidRPr="00073574">
              <w:t>.</w:t>
            </w:r>
          </w:p>
          <w:p w14:paraId="6D7010EE" w14:textId="2F0A4AA2" w:rsidR="00F0236A" w:rsidRPr="00073574" w:rsidRDefault="00F0236A" w:rsidP="00DF36E1">
            <w:pPr>
              <w:pStyle w:val="Tabletext"/>
            </w:pPr>
            <w:r w:rsidRPr="00073574">
              <w:rPr>
                <w:rFonts w:eastAsiaTheme="minorEastAsia"/>
                <w:lang w:eastAsia="ja-JP"/>
              </w:rPr>
              <w:t>See action 52-01.</w:t>
            </w:r>
          </w:p>
        </w:tc>
      </w:tr>
      <w:tr w:rsidR="00F0236A" w:rsidRPr="00073574" w14:paraId="2DC3F7EB" w14:textId="77777777" w:rsidTr="1EE68BAF">
        <w:trPr>
          <w:cantSplit/>
          <w:jc w:val="center"/>
        </w:trPr>
        <w:tc>
          <w:tcPr>
            <w:tcW w:w="910" w:type="dxa"/>
            <w:vMerge w:val="restart"/>
            <w:tcBorders>
              <w:top w:val="single" w:sz="12" w:space="0" w:color="auto"/>
            </w:tcBorders>
            <w:shd w:val="clear" w:color="auto" w:fill="auto"/>
          </w:tcPr>
          <w:p w14:paraId="492DF382" w14:textId="77777777" w:rsidR="00F0236A" w:rsidRPr="00073574" w:rsidRDefault="00F0236A" w:rsidP="00DF36E1">
            <w:pPr>
              <w:pStyle w:val="Tabletext"/>
              <w:rPr>
                <w:b/>
                <w:bCs/>
                <w:sz w:val="24"/>
                <w:szCs w:val="24"/>
              </w:rPr>
            </w:pPr>
            <w:r w:rsidRPr="00073574">
              <w:rPr>
                <w:b/>
                <w:bCs/>
                <w:sz w:val="24"/>
                <w:szCs w:val="24"/>
              </w:rPr>
              <w:t>52-07</w:t>
            </w:r>
          </w:p>
        </w:tc>
        <w:tc>
          <w:tcPr>
            <w:tcW w:w="4557" w:type="dxa"/>
            <w:tcBorders>
              <w:top w:val="single" w:sz="12" w:space="0" w:color="auto"/>
            </w:tcBorders>
            <w:shd w:val="clear" w:color="auto" w:fill="auto"/>
          </w:tcPr>
          <w:p w14:paraId="02E3A1C4" w14:textId="77777777" w:rsidR="00F0236A" w:rsidRPr="00073574" w:rsidRDefault="00F0236A" w:rsidP="00DF36E1">
            <w:pPr>
              <w:rPr>
                <w:rFonts w:eastAsia="Times New Roman"/>
                <w:b/>
                <w:bCs/>
                <w:sz w:val="24"/>
                <w:lang w:eastAsia="en-US"/>
              </w:rPr>
            </w:pPr>
            <w:r w:rsidRPr="00073574">
              <w:rPr>
                <w:rFonts w:eastAsia="Times New Roman"/>
                <w:b/>
                <w:bCs/>
                <w:sz w:val="24"/>
                <w:lang w:eastAsia="en-US"/>
              </w:rPr>
              <w:t>TSB Director to contribute to the report of the Secretary General to the ITU Council on the implementation of this resolution. (i. TSB Dir 3)</w:t>
            </w:r>
          </w:p>
        </w:tc>
        <w:tc>
          <w:tcPr>
            <w:tcW w:w="1880" w:type="dxa"/>
            <w:tcBorders>
              <w:top w:val="single" w:sz="12" w:space="0" w:color="auto"/>
            </w:tcBorders>
            <w:shd w:val="clear" w:color="auto" w:fill="auto"/>
            <w:vAlign w:val="center"/>
          </w:tcPr>
          <w:p w14:paraId="71C18004" w14:textId="79C97DCA" w:rsidR="00F0236A" w:rsidRPr="00073574" w:rsidRDefault="00F0236A" w:rsidP="004B0339">
            <w:pPr>
              <w:pStyle w:val="Tabletext"/>
              <w:jc w:val="center"/>
              <w:rPr>
                <w:b/>
                <w:bCs/>
                <w:sz w:val="24"/>
                <w:szCs w:val="24"/>
              </w:rPr>
            </w:pPr>
            <w:r w:rsidRPr="00073574">
              <w:rPr>
                <w:b/>
                <w:bCs/>
                <w:sz w:val="24"/>
                <w:szCs w:val="24"/>
              </w:rPr>
              <w:t>Council 20</w:t>
            </w:r>
            <w:r w:rsidR="004B0339" w:rsidRPr="00073574">
              <w:rPr>
                <w:b/>
                <w:bCs/>
                <w:sz w:val="24"/>
                <w:szCs w:val="24"/>
              </w:rPr>
              <w:t>20</w:t>
            </w:r>
          </w:p>
        </w:tc>
        <w:tc>
          <w:tcPr>
            <w:tcW w:w="1149" w:type="dxa"/>
            <w:tcBorders>
              <w:top w:val="single" w:sz="12" w:space="0" w:color="auto"/>
            </w:tcBorders>
            <w:shd w:val="clear" w:color="auto" w:fill="auto"/>
            <w:vAlign w:val="center"/>
          </w:tcPr>
          <w:p w14:paraId="275912EB"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1F377659" w14:textId="77777777" w:rsidR="00F0236A" w:rsidRPr="00073574" w:rsidRDefault="00F0236A" w:rsidP="00DF36E1">
            <w:pPr>
              <w:pStyle w:val="Tabletext"/>
              <w:jc w:val="center"/>
              <w:rPr>
                <w:b/>
                <w:bCs/>
                <w:sz w:val="24"/>
                <w:szCs w:val="24"/>
              </w:rPr>
            </w:pPr>
          </w:p>
        </w:tc>
      </w:tr>
      <w:tr w:rsidR="00F0236A" w:rsidRPr="00073574" w14:paraId="50CED63D" w14:textId="77777777" w:rsidTr="1EE68BAF">
        <w:trPr>
          <w:cantSplit/>
          <w:jc w:val="center"/>
        </w:trPr>
        <w:tc>
          <w:tcPr>
            <w:tcW w:w="910" w:type="dxa"/>
            <w:vMerge/>
          </w:tcPr>
          <w:p w14:paraId="520AC611" w14:textId="77777777" w:rsidR="00F0236A" w:rsidRPr="00073574" w:rsidRDefault="00F0236A" w:rsidP="00DF36E1">
            <w:pPr>
              <w:pStyle w:val="Tabletext"/>
              <w:rPr>
                <w:sz w:val="24"/>
                <w:szCs w:val="24"/>
              </w:rPr>
            </w:pPr>
          </w:p>
        </w:tc>
        <w:tc>
          <w:tcPr>
            <w:tcW w:w="8922" w:type="dxa"/>
            <w:gridSpan w:val="4"/>
            <w:tcBorders>
              <w:bottom w:val="single" w:sz="12" w:space="0" w:color="auto"/>
            </w:tcBorders>
            <w:shd w:val="clear" w:color="auto" w:fill="auto"/>
          </w:tcPr>
          <w:p w14:paraId="025D4FE6" w14:textId="0C051F21" w:rsidR="00F0236A" w:rsidRPr="00073574" w:rsidRDefault="00F0236A" w:rsidP="00FD5C5E">
            <w:pPr>
              <w:pStyle w:val="Tabletext"/>
              <w:rPr>
                <w:sz w:val="24"/>
                <w:szCs w:val="24"/>
              </w:rPr>
            </w:pPr>
            <w:r w:rsidRPr="00073574">
              <w:rPr>
                <w:szCs w:val="22"/>
              </w:rPr>
              <w:t xml:space="preserve">TSB Director reports to Council are contained within </w:t>
            </w:r>
            <w:hyperlink r:id="rId386" w:history="1">
              <w:r w:rsidRPr="00073574">
                <w:rPr>
                  <w:rStyle w:val="Hyperlink"/>
                  <w:szCs w:val="22"/>
                </w:rPr>
                <w:t>C17/18</w:t>
              </w:r>
            </w:hyperlink>
            <w:r w:rsidRPr="00C734B4">
              <w:rPr>
                <w:rStyle w:val="Hyperlink"/>
                <w:szCs w:val="22"/>
                <w:u w:val="none"/>
              </w:rPr>
              <w:t xml:space="preserve">, </w:t>
            </w:r>
            <w:hyperlink r:id="rId387" w:history="1">
              <w:r w:rsidRPr="00073574">
                <w:rPr>
                  <w:rStyle w:val="Hyperlink"/>
                  <w:szCs w:val="22"/>
                </w:rPr>
                <w:t>C18/</w:t>
              </w:r>
              <w:r w:rsidR="000C7C70" w:rsidRPr="00073574">
                <w:rPr>
                  <w:rStyle w:val="Hyperlink"/>
                  <w:szCs w:val="22"/>
                </w:rPr>
                <w:t>18</w:t>
              </w:r>
            </w:hyperlink>
            <w:r w:rsidR="00DD72DE" w:rsidRPr="00C734B4">
              <w:rPr>
                <w:rStyle w:val="Hyperlink"/>
                <w:szCs w:val="22"/>
                <w:u w:val="none"/>
              </w:rPr>
              <w:t xml:space="preserve">, </w:t>
            </w:r>
            <w:hyperlink r:id="rId388" w:history="1">
              <w:r w:rsidR="00765B4B" w:rsidRPr="00073574">
                <w:rPr>
                  <w:rStyle w:val="Hyperlink"/>
                  <w:szCs w:val="22"/>
                </w:rPr>
                <w:t>C</w:t>
              </w:r>
              <w:r w:rsidR="00765B4B" w:rsidRPr="00073574">
                <w:rPr>
                  <w:rStyle w:val="Hyperlink"/>
                </w:rPr>
                <w:t>19/18</w:t>
              </w:r>
            </w:hyperlink>
            <w:r w:rsidR="00765B4B" w:rsidRPr="00C734B4">
              <w:rPr>
                <w:rStyle w:val="Hyperlink"/>
                <w:u w:val="none"/>
              </w:rPr>
              <w:t xml:space="preserve">, </w:t>
            </w:r>
            <w:hyperlink r:id="rId389" w:history="1">
              <w:r w:rsidR="00DD72DE" w:rsidRPr="00073574">
                <w:rPr>
                  <w:rStyle w:val="Hyperlink"/>
                  <w:szCs w:val="22"/>
                </w:rPr>
                <w:t>C19/</w:t>
              </w:r>
              <w:r w:rsidR="00FD5C5E" w:rsidRPr="00073574">
                <w:rPr>
                  <w:rStyle w:val="Hyperlink"/>
                  <w:szCs w:val="22"/>
                </w:rPr>
                <w:t>33</w:t>
              </w:r>
            </w:hyperlink>
            <w:r w:rsidR="00765B4B" w:rsidRPr="00073574">
              <w:rPr>
                <w:szCs w:val="22"/>
              </w:rPr>
              <w:t xml:space="preserve">, </w:t>
            </w:r>
            <w:hyperlink r:id="rId390" w:history="1">
              <w:r w:rsidR="00765B4B" w:rsidRPr="00073574">
                <w:rPr>
                  <w:rStyle w:val="Hyperlink"/>
                  <w:szCs w:val="22"/>
                </w:rPr>
                <w:t>C20/18</w:t>
              </w:r>
            </w:hyperlink>
            <w:r w:rsidR="00743467" w:rsidRPr="00073574">
              <w:rPr>
                <w:rStyle w:val="Hyperlink"/>
                <w:szCs w:val="22"/>
              </w:rPr>
              <w:t xml:space="preserve">, </w:t>
            </w:r>
            <w:hyperlink r:id="rId391" w:history="1">
              <w:r w:rsidR="00743467" w:rsidRPr="00073574">
                <w:rPr>
                  <w:rStyle w:val="Hyperlink"/>
                  <w:szCs w:val="22"/>
                </w:rPr>
                <w:t>C21/</w:t>
              </w:r>
              <w:r w:rsidR="002348DA" w:rsidRPr="00073574">
                <w:rPr>
                  <w:rStyle w:val="Hyperlink"/>
                  <w:szCs w:val="22"/>
                </w:rPr>
                <w:t>1</w:t>
              </w:r>
              <w:r w:rsidR="002348DA" w:rsidRPr="00073574">
                <w:rPr>
                  <w:rStyle w:val="Hyperlink"/>
                </w:rPr>
                <w:t>8</w:t>
              </w:r>
            </w:hyperlink>
            <w:r w:rsidR="00765B4B" w:rsidRPr="00073574">
              <w:rPr>
                <w:szCs w:val="22"/>
              </w:rPr>
              <w:t>.</w:t>
            </w:r>
          </w:p>
        </w:tc>
      </w:tr>
      <w:tr w:rsidR="00F0236A" w:rsidRPr="00073574" w14:paraId="51096D3F" w14:textId="77777777" w:rsidTr="00862EC3">
        <w:trPr>
          <w:jc w:val="center"/>
        </w:trPr>
        <w:tc>
          <w:tcPr>
            <w:tcW w:w="910" w:type="dxa"/>
            <w:vMerge w:val="restart"/>
            <w:tcBorders>
              <w:top w:val="single" w:sz="12" w:space="0" w:color="auto"/>
            </w:tcBorders>
            <w:shd w:val="clear" w:color="auto" w:fill="auto"/>
          </w:tcPr>
          <w:p w14:paraId="29FDB808" w14:textId="77777777" w:rsidR="00F0236A" w:rsidRPr="00073574" w:rsidRDefault="00F0236A" w:rsidP="00DF36E1">
            <w:pPr>
              <w:pStyle w:val="Tabletext"/>
              <w:rPr>
                <w:b/>
                <w:bCs/>
                <w:sz w:val="24"/>
                <w:szCs w:val="24"/>
              </w:rPr>
            </w:pPr>
            <w:r w:rsidRPr="00073574">
              <w:rPr>
                <w:b/>
                <w:bCs/>
                <w:sz w:val="24"/>
                <w:szCs w:val="24"/>
              </w:rPr>
              <w:t>52-08</w:t>
            </w:r>
          </w:p>
        </w:tc>
        <w:tc>
          <w:tcPr>
            <w:tcW w:w="4557" w:type="dxa"/>
            <w:tcBorders>
              <w:top w:val="single" w:sz="12" w:space="0" w:color="auto"/>
            </w:tcBorders>
            <w:shd w:val="clear" w:color="auto" w:fill="auto"/>
          </w:tcPr>
          <w:p w14:paraId="0589DB88" w14:textId="77777777" w:rsidR="00F0236A" w:rsidRPr="00073574" w:rsidRDefault="00F0236A" w:rsidP="00DF36E1">
            <w:pPr>
              <w:rPr>
                <w:rFonts w:eastAsia="Times New Roman"/>
                <w:b/>
                <w:bCs/>
                <w:sz w:val="24"/>
                <w:lang w:eastAsia="en-US"/>
              </w:rPr>
            </w:pPr>
            <w:r w:rsidRPr="00073574">
              <w:rPr>
                <w:rFonts w:eastAsia="Times New Roman"/>
                <w:b/>
                <w:bCs/>
                <w:sz w:val="24"/>
                <w:lang w:eastAsia="en-US"/>
              </w:rPr>
              <w:t xml:space="preserve">TSB Director to </w:t>
            </w:r>
            <w:r w:rsidRPr="00073574">
              <w:rPr>
                <w:b/>
                <w:bCs/>
                <w:sz w:val="24"/>
              </w:rPr>
              <w:t>provide all necessary assistance with a view to expediting such efforts, working collaboratively with relevant parties that combat spam with a view to identifying opportunities, raising awareness for such activities and identifying possible collaboration, as appropriate (i. TSBDir 1)</w:t>
            </w:r>
          </w:p>
        </w:tc>
        <w:tc>
          <w:tcPr>
            <w:tcW w:w="1880" w:type="dxa"/>
            <w:tcBorders>
              <w:top w:val="single" w:sz="12" w:space="0" w:color="auto"/>
            </w:tcBorders>
            <w:shd w:val="clear" w:color="auto" w:fill="auto"/>
            <w:vAlign w:val="center"/>
          </w:tcPr>
          <w:p w14:paraId="14B7B4F8"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49" w:type="dxa"/>
            <w:tcBorders>
              <w:top w:val="single" w:sz="12" w:space="0" w:color="auto"/>
            </w:tcBorders>
            <w:shd w:val="clear" w:color="auto" w:fill="auto"/>
            <w:vAlign w:val="center"/>
          </w:tcPr>
          <w:p w14:paraId="66A64949" w14:textId="1C81406D" w:rsidR="00F0236A" w:rsidRPr="00073574" w:rsidRDefault="00086742"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14566265" w14:textId="77777777" w:rsidR="00F0236A" w:rsidRPr="00073574" w:rsidRDefault="00F0236A" w:rsidP="00DF36E1">
            <w:pPr>
              <w:pStyle w:val="Tabletext"/>
              <w:jc w:val="center"/>
              <w:rPr>
                <w:b/>
                <w:bCs/>
                <w:sz w:val="24"/>
                <w:szCs w:val="24"/>
              </w:rPr>
            </w:pPr>
          </w:p>
        </w:tc>
      </w:tr>
      <w:tr w:rsidR="00F0236A" w:rsidRPr="00073574" w14:paraId="41CECCAF" w14:textId="77777777" w:rsidTr="00862EC3">
        <w:trPr>
          <w:jc w:val="center"/>
        </w:trPr>
        <w:tc>
          <w:tcPr>
            <w:tcW w:w="910" w:type="dxa"/>
            <w:vMerge/>
          </w:tcPr>
          <w:p w14:paraId="71B0D855" w14:textId="77777777" w:rsidR="00F0236A" w:rsidRPr="00073574" w:rsidRDefault="00F0236A" w:rsidP="00DF36E1">
            <w:pPr>
              <w:pStyle w:val="Tabletext"/>
              <w:rPr>
                <w:sz w:val="24"/>
                <w:szCs w:val="24"/>
              </w:rPr>
            </w:pPr>
          </w:p>
        </w:tc>
        <w:tc>
          <w:tcPr>
            <w:tcW w:w="8922" w:type="dxa"/>
            <w:gridSpan w:val="4"/>
            <w:tcBorders>
              <w:bottom w:val="single" w:sz="12" w:space="0" w:color="auto"/>
            </w:tcBorders>
            <w:shd w:val="clear" w:color="auto" w:fill="auto"/>
          </w:tcPr>
          <w:p w14:paraId="635F2C24" w14:textId="7C22E88E" w:rsidR="00F0236A" w:rsidRPr="00073574" w:rsidRDefault="00026745" w:rsidP="002E7FC1">
            <w:pPr>
              <w:pStyle w:val="Tabletext"/>
              <w:rPr>
                <w:szCs w:val="22"/>
              </w:rPr>
            </w:pPr>
            <w:r w:rsidRPr="00073574">
              <w:rPr>
                <w:szCs w:val="22"/>
              </w:rPr>
              <w:t xml:space="preserve">A meeting of the </w:t>
            </w:r>
            <w:hyperlink r:id="rId392" w:history="1">
              <w:r w:rsidRPr="00073574">
                <w:rPr>
                  <w:rStyle w:val="Hyperlink"/>
                  <w:szCs w:val="22"/>
                </w:rPr>
                <w:t>Anti-Abuse Telco Network Working Group of ETIS</w:t>
              </w:r>
            </w:hyperlink>
            <w:r w:rsidRPr="00073574">
              <w:rPr>
                <w:szCs w:val="22"/>
              </w:rPr>
              <w:t xml:space="preserve"> </w:t>
            </w:r>
            <w:r w:rsidR="002E7FC1" w:rsidRPr="00073574">
              <w:rPr>
                <w:szCs w:val="22"/>
              </w:rPr>
              <w:t xml:space="preserve">was </w:t>
            </w:r>
            <w:r w:rsidRPr="00073574">
              <w:rPr>
                <w:szCs w:val="22"/>
              </w:rPr>
              <w:t>hosted on 21-23 March 2018 during SG17 March 2018 meeting.</w:t>
            </w:r>
          </w:p>
          <w:p w14:paraId="28683BE7" w14:textId="3CD2C137" w:rsidR="00DD72DE" w:rsidRPr="00073574" w:rsidRDefault="00DD72DE" w:rsidP="00FD5C5E">
            <w:pPr>
              <w:spacing w:after="40"/>
              <w:rPr>
                <w:szCs w:val="22"/>
              </w:rPr>
            </w:pPr>
            <w:r w:rsidRPr="00073574">
              <w:rPr>
                <w:szCs w:val="22"/>
              </w:rPr>
              <w:t>A</w:t>
            </w:r>
            <w:r w:rsidR="00FD5C5E" w:rsidRPr="00073574">
              <w:rPr>
                <w:szCs w:val="22"/>
              </w:rPr>
              <w:t>n</w:t>
            </w:r>
            <w:r w:rsidRPr="00073574">
              <w:rPr>
                <w:szCs w:val="22"/>
              </w:rPr>
              <w:t xml:space="preserve"> UN TF-CS/OTA meeting was hosted on 27-28 August 2019 during the SG17 Aug</w:t>
            </w:r>
            <w:r w:rsidR="00980852" w:rsidRPr="00073574">
              <w:rPr>
                <w:szCs w:val="22"/>
              </w:rPr>
              <w:t>ust</w:t>
            </w:r>
            <w:r w:rsidRPr="00073574">
              <w:rPr>
                <w:szCs w:val="22"/>
              </w:rPr>
              <w:t>/Sept</w:t>
            </w:r>
            <w:r w:rsidR="00980852" w:rsidRPr="00073574">
              <w:rPr>
                <w:szCs w:val="22"/>
              </w:rPr>
              <w:t>ember</w:t>
            </w:r>
            <w:r w:rsidRPr="00073574">
              <w:rPr>
                <w:szCs w:val="22"/>
              </w:rPr>
              <w:t xml:space="preserve"> 2019 meeting.</w:t>
            </w:r>
          </w:p>
        </w:tc>
      </w:tr>
      <w:tr w:rsidR="00F0236A" w:rsidRPr="00073574" w14:paraId="5F19FB97" w14:textId="77777777" w:rsidTr="1EE68BAF">
        <w:trPr>
          <w:cantSplit/>
          <w:jc w:val="center"/>
        </w:trPr>
        <w:tc>
          <w:tcPr>
            <w:tcW w:w="910" w:type="dxa"/>
            <w:vMerge w:val="restart"/>
            <w:tcBorders>
              <w:top w:val="single" w:sz="12" w:space="0" w:color="auto"/>
            </w:tcBorders>
            <w:shd w:val="clear" w:color="auto" w:fill="auto"/>
          </w:tcPr>
          <w:p w14:paraId="358F1F28" w14:textId="77777777" w:rsidR="00F0236A" w:rsidRPr="00073574" w:rsidRDefault="00F0236A" w:rsidP="00C734B4">
            <w:pPr>
              <w:pStyle w:val="Tabletext"/>
              <w:keepNext/>
              <w:keepLines/>
              <w:rPr>
                <w:b/>
                <w:bCs/>
                <w:sz w:val="24"/>
                <w:szCs w:val="24"/>
              </w:rPr>
            </w:pPr>
            <w:r w:rsidRPr="00073574">
              <w:rPr>
                <w:b/>
                <w:bCs/>
                <w:sz w:val="24"/>
                <w:szCs w:val="24"/>
              </w:rPr>
              <w:lastRenderedPageBreak/>
              <w:t>52-09</w:t>
            </w:r>
          </w:p>
        </w:tc>
        <w:tc>
          <w:tcPr>
            <w:tcW w:w="4557" w:type="dxa"/>
            <w:tcBorders>
              <w:top w:val="single" w:sz="12" w:space="0" w:color="auto"/>
            </w:tcBorders>
            <w:shd w:val="clear" w:color="auto" w:fill="auto"/>
          </w:tcPr>
          <w:p w14:paraId="4EAB033E" w14:textId="3A8ECBA6" w:rsidR="00F0236A" w:rsidRPr="00073574" w:rsidRDefault="00F0236A" w:rsidP="00C734B4">
            <w:pPr>
              <w:keepNext/>
              <w:keepLines/>
              <w:rPr>
                <w:rFonts w:eastAsia="Times New Roman"/>
                <w:b/>
                <w:bCs/>
                <w:sz w:val="24"/>
                <w:lang w:eastAsia="en-US"/>
              </w:rPr>
            </w:pPr>
            <w:r w:rsidRPr="00073574">
              <w:rPr>
                <w:rFonts w:eastAsia="Times New Roman"/>
                <w:b/>
                <w:bCs/>
                <w:sz w:val="24"/>
                <w:lang w:eastAsia="en-US"/>
              </w:rPr>
              <w:t xml:space="preserve">TSB Director </w:t>
            </w:r>
            <w:r w:rsidRPr="00073574">
              <w:rPr>
                <w:b/>
                <w:bCs/>
                <w:sz w:val="24"/>
              </w:rPr>
              <w:t>to continue to cooperate with the Secretary-General</w:t>
            </w:r>
            <w:r w:rsidR="003C7E25" w:rsidRPr="00073574">
              <w:rPr>
                <w:b/>
                <w:bCs/>
                <w:sz w:val="24"/>
              </w:rPr>
              <w:t>'</w:t>
            </w:r>
            <w:r w:rsidRPr="00073574">
              <w:rPr>
                <w:b/>
                <w:bCs/>
                <w:sz w:val="24"/>
              </w:rPr>
              <w:t>s initiative on cybersecurity and with the Telecommunication Development Bureau in relation to any item concerning cybersecurity under Resolution 45 (Rev. Dubai, 2014), and to ensure coordination among these different activities (i. TSB Dir 3)</w:t>
            </w:r>
          </w:p>
        </w:tc>
        <w:tc>
          <w:tcPr>
            <w:tcW w:w="1880" w:type="dxa"/>
            <w:tcBorders>
              <w:top w:val="single" w:sz="12" w:space="0" w:color="auto"/>
            </w:tcBorders>
            <w:shd w:val="clear" w:color="auto" w:fill="auto"/>
            <w:vAlign w:val="center"/>
          </w:tcPr>
          <w:p w14:paraId="11A846D4" w14:textId="77777777" w:rsidR="00F0236A" w:rsidRPr="00073574" w:rsidRDefault="00F0236A" w:rsidP="00C734B4">
            <w:pPr>
              <w:pStyle w:val="Tabletext"/>
              <w:keepNext/>
              <w:keepLines/>
              <w:jc w:val="center"/>
              <w:rPr>
                <w:b/>
                <w:bCs/>
                <w:sz w:val="24"/>
                <w:szCs w:val="24"/>
              </w:rPr>
            </w:pPr>
            <w:r w:rsidRPr="00073574">
              <w:rPr>
                <w:b/>
                <w:bCs/>
                <w:sz w:val="24"/>
                <w:szCs w:val="24"/>
              </w:rPr>
              <w:t>Ongoing</w:t>
            </w:r>
          </w:p>
        </w:tc>
        <w:tc>
          <w:tcPr>
            <w:tcW w:w="1149" w:type="dxa"/>
            <w:tcBorders>
              <w:top w:val="single" w:sz="12" w:space="0" w:color="auto"/>
            </w:tcBorders>
            <w:shd w:val="clear" w:color="auto" w:fill="auto"/>
            <w:vAlign w:val="center"/>
          </w:tcPr>
          <w:p w14:paraId="7FB1FCAB" w14:textId="77777777" w:rsidR="00F0236A" w:rsidRPr="00073574" w:rsidRDefault="00F0236A" w:rsidP="00C734B4">
            <w:pPr>
              <w:pStyle w:val="Tabletext"/>
              <w:keepNext/>
              <w:keepLines/>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6A371B2A" w14:textId="77777777" w:rsidR="00F0236A" w:rsidRPr="00073574" w:rsidRDefault="00F0236A" w:rsidP="00C734B4">
            <w:pPr>
              <w:pStyle w:val="Tabletext"/>
              <w:keepNext/>
              <w:keepLines/>
              <w:jc w:val="center"/>
              <w:rPr>
                <w:b/>
                <w:bCs/>
                <w:sz w:val="24"/>
                <w:szCs w:val="24"/>
              </w:rPr>
            </w:pPr>
          </w:p>
        </w:tc>
      </w:tr>
      <w:tr w:rsidR="00F0236A" w:rsidRPr="00073574" w14:paraId="1ECCDC5F" w14:textId="77777777" w:rsidTr="1EE68BAF">
        <w:trPr>
          <w:cantSplit/>
          <w:jc w:val="center"/>
        </w:trPr>
        <w:tc>
          <w:tcPr>
            <w:tcW w:w="910" w:type="dxa"/>
            <w:vMerge/>
            <w:vAlign w:val="center"/>
          </w:tcPr>
          <w:p w14:paraId="02D5A7D3" w14:textId="77777777" w:rsidR="00F0236A" w:rsidRPr="00073574" w:rsidRDefault="00F0236A" w:rsidP="00C734B4">
            <w:pPr>
              <w:pStyle w:val="Tabletext"/>
              <w:keepNext/>
              <w:keepLines/>
              <w:rPr>
                <w:sz w:val="24"/>
                <w:szCs w:val="24"/>
              </w:rPr>
            </w:pPr>
          </w:p>
        </w:tc>
        <w:tc>
          <w:tcPr>
            <w:tcW w:w="8922" w:type="dxa"/>
            <w:gridSpan w:val="4"/>
            <w:shd w:val="clear" w:color="auto" w:fill="auto"/>
          </w:tcPr>
          <w:p w14:paraId="59940691" w14:textId="77777777" w:rsidR="00F0236A" w:rsidRPr="00073574" w:rsidRDefault="00F0236A" w:rsidP="00C734B4">
            <w:pPr>
              <w:pStyle w:val="Tabletext"/>
              <w:keepNext/>
              <w:keepLines/>
              <w:rPr>
                <w:szCs w:val="22"/>
              </w:rPr>
            </w:pPr>
            <w:r w:rsidRPr="00073574">
              <w:rPr>
                <w:szCs w:val="22"/>
              </w:rPr>
              <w:t>TSB participates in the ITU internal Inter-Sector cybersecurity coordination group.</w:t>
            </w:r>
          </w:p>
        </w:tc>
      </w:tr>
    </w:tbl>
    <w:bookmarkStart w:id="222" w:name="Item52_01"/>
    <w:bookmarkStart w:id="223" w:name="Item52_02"/>
    <w:bookmarkStart w:id="224" w:name="Item52_03"/>
    <w:bookmarkStart w:id="225" w:name="Item52_04"/>
    <w:bookmarkStart w:id="226" w:name="Item52_05"/>
    <w:bookmarkStart w:id="227" w:name="Item52_06"/>
    <w:bookmarkStart w:id="228" w:name="Item52_07"/>
    <w:bookmarkStart w:id="229" w:name="Item52_08"/>
    <w:bookmarkStart w:id="230" w:name="Item52_09"/>
    <w:bookmarkEnd w:id="222"/>
    <w:bookmarkEnd w:id="223"/>
    <w:bookmarkEnd w:id="224"/>
    <w:bookmarkEnd w:id="225"/>
    <w:bookmarkEnd w:id="226"/>
    <w:bookmarkEnd w:id="227"/>
    <w:bookmarkEnd w:id="228"/>
    <w:bookmarkEnd w:id="229"/>
    <w:bookmarkEnd w:id="230"/>
    <w:p w14:paraId="342EDE03" w14:textId="77777777" w:rsidR="00F0236A" w:rsidRPr="00073574" w:rsidRDefault="00F0236A" w:rsidP="00F0236A">
      <w:pPr>
        <w:rPr>
          <w:sz w:val="24"/>
        </w:rPr>
      </w:pPr>
      <w:r w:rsidRPr="00073574">
        <w:rPr>
          <w:color w:val="2B579A"/>
          <w:shd w:val="clear" w:color="auto" w:fill="E6E6E6"/>
        </w:rPr>
        <w:fldChar w:fldCharType="begin"/>
      </w:r>
      <w:r w:rsidRPr="00073574">
        <w:rPr>
          <w:sz w:val="24"/>
        </w:rPr>
        <w:instrText xml:space="preserve"> HYPERLINK \l "Top" </w:instrText>
      </w:r>
      <w:r w:rsidRPr="00073574">
        <w:rPr>
          <w:color w:val="2B579A"/>
          <w:shd w:val="clear" w:color="auto" w:fill="E6E6E6"/>
        </w:rPr>
        <w:fldChar w:fldCharType="separate"/>
      </w:r>
      <w:r w:rsidRPr="00073574">
        <w:rPr>
          <w:rStyle w:val="Hyperlink"/>
          <w:rFonts w:eastAsia="Times New Roman"/>
          <w:sz w:val="24"/>
        </w:rPr>
        <w:t>» Top</w:t>
      </w:r>
      <w:r w:rsidRPr="00073574">
        <w:rPr>
          <w:rStyle w:val="Hyperlink"/>
          <w:rFonts w:eastAsia="Times New Roman"/>
          <w:sz w:val="24"/>
        </w:rPr>
        <w:fldChar w:fldCharType="end"/>
      </w:r>
    </w:p>
    <w:p w14:paraId="0507E718" w14:textId="77777777" w:rsidR="00F0236A" w:rsidRPr="00073574" w:rsidRDefault="00F0236A" w:rsidP="00F0236A">
      <w:pPr>
        <w:rPr>
          <w:sz w:val="24"/>
        </w:rPr>
      </w:pPr>
    </w:p>
    <w:p w14:paraId="1B393A92" w14:textId="77777777" w:rsidR="00F0236A" w:rsidRPr="00073574" w:rsidRDefault="00F0236A" w:rsidP="009C43D6">
      <w:pPr>
        <w:pStyle w:val="Heading1"/>
        <w:keepNext/>
        <w:keepLines/>
        <w:rPr>
          <w:sz w:val="24"/>
          <w:szCs w:val="24"/>
          <w:lang w:val="en-GB"/>
        </w:rPr>
      </w:pPr>
      <w:bookmarkStart w:id="231" w:name="Resolution_54"/>
      <w:bookmarkStart w:id="232" w:name="_Toc304236438"/>
      <w:bookmarkStart w:id="233" w:name="_Toc471715374"/>
      <w:bookmarkStart w:id="234" w:name="_Toc93425260"/>
      <w:bookmarkEnd w:id="231"/>
      <w:r w:rsidRPr="00073574">
        <w:rPr>
          <w:sz w:val="24"/>
          <w:szCs w:val="24"/>
          <w:lang w:val="en-GB"/>
        </w:rPr>
        <w:t>Resolution 54 - Creation of, and assistance to, regional groups</w:t>
      </w:r>
      <w:bookmarkEnd w:id="232"/>
      <w:bookmarkEnd w:id="233"/>
      <w:bookmarkEnd w:id="234"/>
    </w:p>
    <w:p w14:paraId="7D88A503" w14:textId="77777777" w:rsidR="00F0236A" w:rsidRPr="00073574" w:rsidRDefault="00F0236A" w:rsidP="009C43D6">
      <w:pPr>
        <w:keepNext/>
        <w:keepLines/>
        <w:rPr>
          <w:b/>
          <w:bCs/>
          <w:sz w:val="24"/>
        </w:rPr>
      </w:pPr>
      <w:r w:rsidRPr="00073574">
        <w:rPr>
          <w:b/>
          <w:bCs/>
          <w:sz w:val="24"/>
        </w:rPr>
        <w:t>Resolution 54</w:t>
      </w:r>
    </w:p>
    <w:p w14:paraId="7E2F6A35" w14:textId="77777777" w:rsidR="00F0236A" w:rsidRPr="00073574" w:rsidRDefault="00F0236A" w:rsidP="009C43D6">
      <w:pPr>
        <w:pStyle w:val="Call"/>
        <w:rPr>
          <w:sz w:val="24"/>
          <w:szCs w:val="24"/>
          <w:lang w:val="en-GB"/>
        </w:rPr>
      </w:pPr>
      <w:r w:rsidRPr="00073574">
        <w:rPr>
          <w:sz w:val="24"/>
          <w:szCs w:val="24"/>
          <w:lang w:val="en-GB"/>
        </w:rPr>
        <w:t>resolves</w:t>
      </w:r>
    </w:p>
    <w:p w14:paraId="7C0A78D9" w14:textId="77777777" w:rsidR="00F0236A" w:rsidRPr="00073574" w:rsidRDefault="00F0236A" w:rsidP="009C43D6">
      <w:pPr>
        <w:keepNext/>
        <w:keepLines/>
        <w:rPr>
          <w:sz w:val="24"/>
        </w:rPr>
      </w:pPr>
      <w:r w:rsidRPr="00073574">
        <w:rPr>
          <w:sz w:val="24"/>
        </w:rPr>
        <w:t>1</w:t>
      </w:r>
      <w:r w:rsidRPr="00073574">
        <w:rPr>
          <w:sz w:val="24"/>
        </w:rPr>
        <w:tab/>
        <w:t>to support, on a case-by-case basis, the coordinated creation of regional groups of ITU</w:t>
      </w:r>
      <w:r w:rsidRPr="00073574">
        <w:rPr>
          <w:sz w:val="24"/>
        </w:rPr>
        <w:noBreakHyphen/>
        <w:t>T study groups;</w:t>
      </w:r>
    </w:p>
    <w:p w14:paraId="38CB17F1" w14:textId="77777777" w:rsidR="00F0236A" w:rsidRPr="00073574" w:rsidRDefault="00F0236A" w:rsidP="00F0236A">
      <w:pPr>
        <w:rPr>
          <w:sz w:val="24"/>
        </w:rPr>
      </w:pPr>
      <w:r w:rsidRPr="00073574">
        <w:rPr>
          <w:sz w:val="24"/>
        </w:rPr>
        <w:t>2</w:t>
      </w:r>
      <w:r w:rsidRPr="00073574">
        <w:rPr>
          <w:sz w:val="24"/>
        </w:rPr>
        <w:tab/>
        <w:t>to encourage cooperation and collaboration of regional groups with regional standardization entities (regional organizations, regional standardization bodies, and so forth);</w:t>
      </w:r>
    </w:p>
    <w:p w14:paraId="62623CCF" w14:textId="1312E658" w:rsidR="00F0236A" w:rsidRPr="00073574" w:rsidRDefault="00F0236A" w:rsidP="00F0236A">
      <w:pPr>
        <w:rPr>
          <w:sz w:val="24"/>
        </w:rPr>
      </w:pPr>
      <w:r w:rsidRPr="00073574">
        <w:rPr>
          <w:sz w:val="24"/>
        </w:rPr>
        <w:t>3</w:t>
      </w:r>
      <w:r w:rsidRPr="00073574">
        <w:rPr>
          <w:sz w:val="24"/>
        </w:rPr>
        <w:tab/>
        <w:t xml:space="preserve">to invite the ITU Council to consider providing support for the </w:t>
      </w:r>
      <w:r w:rsidR="00E31596" w:rsidRPr="00073574">
        <w:rPr>
          <w:sz w:val="24"/>
        </w:rPr>
        <w:t>regional groups as appropriate,</w:t>
      </w:r>
    </w:p>
    <w:p w14:paraId="6DC3BD3E" w14:textId="77777777" w:rsidR="00F0236A" w:rsidRPr="00073574" w:rsidRDefault="00F0236A" w:rsidP="00F0236A">
      <w:pPr>
        <w:pStyle w:val="Call"/>
        <w:rPr>
          <w:sz w:val="24"/>
          <w:szCs w:val="24"/>
          <w:lang w:val="en-GB"/>
        </w:rPr>
      </w:pPr>
      <w:r w:rsidRPr="00073574">
        <w:rPr>
          <w:sz w:val="24"/>
          <w:szCs w:val="24"/>
          <w:lang w:val="en-GB"/>
        </w:rPr>
        <w:t>invites the regions and their Member States</w:t>
      </w:r>
    </w:p>
    <w:p w14:paraId="093FF0E2" w14:textId="77777777" w:rsidR="00F0236A" w:rsidRPr="00073574" w:rsidRDefault="00F0236A" w:rsidP="00F0236A">
      <w:pPr>
        <w:rPr>
          <w:sz w:val="24"/>
        </w:rPr>
      </w:pPr>
      <w:r w:rsidRPr="00073574">
        <w:rPr>
          <w:sz w:val="24"/>
        </w:rPr>
        <w:t>1</w:t>
      </w:r>
      <w:r w:rsidRPr="00073574">
        <w:rPr>
          <w:sz w:val="24"/>
        </w:rPr>
        <w:tab/>
        <w:t xml:space="preserve">to pursue the creation of regional groups of parent ITU-T study groups in their respective regions, to take the necessary steps in accordance with </w:t>
      </w:r>
      <w:r w:rsidRPr="00073574">
        <w:rPr>
          <w:i/>
          <w:iCs/>
          <w:sz w:val="24"/>
        </w:rPr>
        <w:t>resolves</w:t>
      </w:r>
      <w:r w:rsidRPr="00073574">
        <w:rPr>
          <w:sz w:val="24"/>
        </w:rPr>
        <w:t xml:space="preserve"> 1 to 3 of this resolution, and to support meetings and activities of the regional groups, as appropriate, in coordination with the Telecommunication Standardization Bureau;</w:t>
      </w:r>
    </w:p>
    <w:p w14:paraId="7508BD3B" w14:textId="77777777" w:rsidR="00F0236A" w:rsidRPr="00073574" w:rsidRDefault="00F0236A" w:rsidP="00F0236A">
      <w:pPr>
        <w:rPr>
          <w:sz w:val="24"/>
        </w:rPr>
      </w:pPr>
      <w:r w:rsidRPr="00073574">
        <w:rPr>
          <w:sz w:val="24"/>
        </w:rPr>
        <w:t>2</w:t>
      </w:r>
      <w:r w:rsidRPr="00073574">
        <w:rPr>
          <w:sz w:val="24"/>
        </w:rPr>
        <w:tab/>
        <w:t>to develop draft terms of reference and working methods for these regional groups, which are to be approved by the parent study group, as regards areas of concern to them;</w:t>
      </w:r>
    </w:p>
    <w:p w14:paraId="6B5063F0" w14:textId="77777777" w:rsidR="00F0236A" w:rsidRPr="00073574" w:rsidRDefault="00F0236A" w:rsidP="00F0236A">
      <w:pPr>
        <w:rPr>
          <w:sz w:val="24"/>
        </w:rPr>
      </w:pPr>
      <w:r w:rsidRPr="00073574">
        <w:rPr>
          <w:sz w:val="24"/>
        </w:rPr>
        <w:t>3</w:t>
      </w:r>
      <w:r w:rsidRPr="00073574">
        <w:rPr>
          <w:sz w:val="24"/>
        </w:rPr>
        <w:tab/>
        <w:t>to create regional standardization bodies, as appropriate, and encourage joint and coordinated meetings of such bodies with the regional groups of ITU-T study groups in their respective regions, so that these standardization bodies act as an umbrella for such regional group meetings,</w:t>
      </w:r>
    </w:p>
    <w:p w14:paraId="0616D06C" w14:textId="77777777" w:rsidR="00F0236A" w:rsidRPr="00073574" w:rsidRDefault="00F0236A" w:rsidP="00F0236A">
      <w:pPr>
        <w:pStyle w:val="Call"/>
        <w:rPr>
          <w:sz w:val="24"/>
          <w:szCs w:val="24"/>
          <w:lang w:val="en-GB"/>
        </w:rPr>
      </w:pPr>
      <w:r w:rsidRPr="00073574">
        <w:rPr>
          <w:sz w:val="24"/>
          <w:szCs w:val="24"/>
          <w:lang w:val="en-GB"/>
        </w:rPr>
        <w:t>invites the regional groups thus created</w:t>
      </w:r>
    </w:p>
    <w:p w14:paraId="344677CE" w14:textId="77777777" w:rsidR="00F0236A" w:rsidRPr="00073574" w:rsidRDefault="00F0236A" w:rsidP="00F0236A">
      <w:pPr>
        <w:rPr>
          <w:sz w:val="24"/>
        </w:rPr>
      </w:pPr>
      <w:r w:rsidRPr="00073574">
        <w:rPr>
          <w:sz w:val="24"/>
        </w:rPr>
        <w:t>1</w:t>
      </w:r>
      <w:r w:rsidRPr="00073574">
        <w:rPr>
          <w:sz w:val="24"/>
        </w:rPr>
        <w:tab/>
        <w:t>to disseminate information about telecommunication standardization and encourage the involvement of developing countries in standardization activities in their regions, and to submit written contributions to the parent study group in which they work in accordance with approved terms of reference reflecting the priorities of their respective regions;</w:t>
      </w:r>
    </w:p>
    <w:p w14:paraId="0E6EF900" w14:textId="77777777" w:rsidR="00F0236A" w:rsidRPr="00073574" w:rsidRDefault="00F0236A" w:rsidP="00F0236A">
      <w:pPr>
        <w:rPr>
          <w:sz w:val="24"/>
        </w:rPr>
      </w:pPr>
      <w:r w:rsidRPr="00073574">
        <w:rPr>
          <w:sz w:val="24"/>
        </w:rPr>
        <w:t>2</w:t>
      </w:r>
      <w:r w:rsidRPr="00073574">
        <w:rPr>
          <w:sz w:val="24"/>
        </w:rPr>
        <w:tab/>
        <w:t>to cooperate closely with the relevant respective regional organizations and ITU regional offices,</w:t>
      </w:r>
    </w:p>
    <w:p w14:paraId="52531C56" w14:textId="77777777" w:rsidR="00F0236A" w:rsidRPr="00073574" w:rsidRDefault="00F0236A" w:rsidP="00F0236A">
      <w:pPr>
        <w:pStyle w:val="Call"/>
        <w:rPr>
          <w:sz w:val="24"/>
          <w:szCs w:val="24"/>
          <w:lang w:val="en-GB"/>
        </w:rPr>
      </w:pPr>
      <w:r w:rsidRPr="00073574">
        <w:rPr>
          <w:sz w:val="24"/>
          <w:szCs w:val="24"/>
          <w:lang w:val="en-GB"/>
        </w:rPr>
        <w:lastRenderedPageBreak/>
        <w:t>instructs study groups and the Telecommunication Standardization Advisory Group</w:t>
      </w:r>
    </w:p>
    <w:p w14:paraId="5972F6F1" w14:textId="77777777" w:rsidR="00F0236A" w:rsidRPr="00073574" w:rsidRDefault="00F0236A" w:rsidP="00F0236A">
      <w:pPr>
        <w:rPr>
          <w:sz w:val="24"/>
        </w:rPr>
      </w:pPr>
      <w:r w:rsidRPr="00073574">
        <w:rPr>
          <w:sz w:val="24"/>
        </w:rPr>
        <w:t>to coordinate joint meetings of the regional groups of ITU-T study groups,</w:t>
      </w:r>
    </w:p>
    <w:p w14:paraId="2A786461" w14:textId="77777777" w:rsidR="00F0236A" w:rsidRPr="00073574" w:rsidRDefault="00F0236A" w:rsidP="00F0236A">
      <w:pPr>
        <w:pStyle w:val="Call"/>
        <w:rPr>
          <w:sz w:val="24"/>
          <w:szCs w:val="24"/>
          <w:lang w:val="en-GB"/>
        </w:rPr>
      </w:pPr>
      <w:r w:rsidRPr="00073574">
        <w:rPr>
          <w:sz w:val="24"/>
          <w:szCs w:val="24"/>
          <w:lang w:val="en-GB"/>
        </w:rPr>
        <w:t>instructs the Director of the Telecommunication Standardization Bureau, in collaboration with the Director of the Telecommunication Development Bureau</w:t>
      </w:r>
    </w:p>
    <w:p w14:paraId="67AF9522" w14:textId="77777777" w:rsidR="00F0236A" w:rsidRPr="00073574" w:rsidRDefault="00F0236A" w:rsidP="00F0236A">
      <w:pPr>
        <w:rPr>
          <w:sz w:val="24"/>
        </w:rPr>
      </w:pPr>
      <w:r w:rsidRPr="00073574">
        <w:rPr>
          <w:sz w:val="24"/>
        </w:rPr>
        <w:t>within the allocated or contributed resources that are available</w:t>
      </w:r>
    </w:p>
    <w:p w14:paraId="55F92685" w14:textId="77777777" w:rsidR="00F0236A" w:rsidRPr="00073574" w:rsidRDefault="00F0236A" w:rsidP="00F0236A">
      <w:pPr>
        <w:rPr>
          <w:sz w:val="24"/>
        </w:rPr>
      </w:pPr>
      <w:r w:rsidRPr="00073574">
        <w:rPr>
          <w:sz w:val="24"/>
        </w:rPr>
        <w:t>1</w:t>
      </w:r>
      <w:r w:rsidRPr="00073574">
        <w:rPr>
          <w:sz w:val="24"/>
        </w:rPr>
        <w:tab/>
        <w:t>to provide all necessary support for creating and ensuring the smooth functioning of the regional groups;</w:t>
      </w:r>
    </w:p>
    <w:p w14:paraId="5247AF1B" w14:textId="77777777" w:rsidR="00F0236A" w:rsidRPr="00073574" w:rsidRDefault="00F0236A" w:rsidP="00F0236A">
      <w:pPr>
        <w:rPr>
          <w:sz w:val="24"/>
        </w:rPr>
      </w:pPr>
      <w:r w:rsidRPr="00073574">
        <w:rPr>
          <w:sz w:val="24"/>
        </w:rPr>
        <w:t>2</w:t>
      </w:r>
      <w:r w:rsidRPr="00073574">
        <w:rPr>
          <w:sz w:val="24"/>
        </w:rPr>
        <w:tab/>
        <w:t>to consider, whenever possible, holding workshops concurrently with meetings of the ITU-T regional groups, in the relevant regions, and vice versa;</w:t>
      </w:r>
    </w:p>
    <w:p w14:paraId="23158324" w14:textId="77777777" w:rsidR="00F0236A" w:rsidRPr="00073574" w:rsidRDefault="00F0236A" w:rsidP="00F0236A">
      <w:pPr>
        <w:rPr>
          <w:sz w:val="24"/>
        </w:rPr>
      </w:pPr>
      <w:r w:rsidRPr="00073574">
        <w:rPr>
          <w:sz w:val="24"/>
        </w:rPr>
        <w:t>3</w:t>
      </w:r>
      <w:r w:rsidRPr="00073574">
        <w:rPr>
          <w:sz w:val="24"/>
        </w:rPr>
        <w:tab/>
        <w:t>to take all necessary measures to facilitate the organization of meetings and workshops of the regional groups,</w:t>
      </w:r>
    </w:p>
    <w:p w14:paraId="0B54B7E0" w14:textId="77777777" w:rsidR="00F0236A" w:rsidRPr="00073574" w:rsidRDefault="00F0236A" w:rsidP="00F0236A">
      <w:pPr>
        <w:pStyle w:val="Call"/>
        <w:rPr>
          <w:sz w:val="24"/>
          <w:szCs w:val="24"/>
          <w:lang w:val="en-GB"/>
        </w:rPr>
      </w:pPr>
      <w:r w:rsidRPr="00073574">
        <w:rPr>
          <w:sz w:val="24"/>
          <w:szCs w:val="24"/>
          <w:lang w:val="en-GB"/>
        </w:rPr>
        <w:t>calls upon the Director of the Telecommunication Standardization Bureau</w:t>
      </w:r>
    </w:p>
    <w:p w14:paraId="4C1EBDE7" w14:textId="77777777" w:rsidR="00F0236A" w:rsidRPr="00073574" w:rsidRDefault="00F0236A" w:rsidP="00F0236A">
      <w:pPr>
        <w:rPr>
          <w:sz w:val="24"/>
        </w:rPr>
      </w:pPr>
      <w:r w:rsidRPr="00073574">
        <w:rPr>
          <w:sz w:val="24"/>
        </w:rPr>
        <w:t>to cooperate with the Director of the Telecommunication Development Bureau in order to:</w:t>
      </w:r>
    </w:p>
    <w:p w14:paraId="5268233B" w14:textId="77777777" w:rsidR="00F0236A" w:rsidRPr="00073574" w:rsidRDefault="00F0236A" w:rsidP="00F0236A">
      <w:pPr>
        <w:pStyle w:val="enumlev10"/>
        <w:rPr>
          <w:sz w:val="24"/>
          <w:szCs w:val="24"/>
        </w:rPr>
      </w:pPr>
      <w:r w:rsidRPr="00073574">
        <w:rPr>
          <w:sz w:val="24"/>
          <w:szCs w:val="24"/>
        </w:rPr>
        <w:t>i)</w:t>
      </w:r>
      <w:r w:rsidRPr="00073574">
        <w:rPr>
          <w:sz w:val="24"/>
          <w:szCs w:val="24"/>
        </w:rPr>
        <w:tab/>
        <w:t>continue to provide specific assistance to regional groups;</w:t>
      </w:r>
    </w:p>
    <w:p w14:paraId="001C5FE3" w14:textId="77777777" w:rsidR="00F0236A" w:rsidRPr="00073574" w:rsidRDefault="00F0236A" w:rsidP="00F0236A">
      <w:pPr>
        <w:pStyle w:val="enumlev10"/>
        <w:rPr>
          <w:sz w:val="24"/>
          <w:szCs w:val="24"/>
        </w:rPr>
      </w:pPr>
      <w:r w:rsidRPr="00073574">
        <w:rPr>
          <w:sz w:val="24"/>
          <w:szCs w:val="24"/>
        </w:rPr>
        <w:t>ii)</w:t>
      </w:r>
      <w:r w:rsidRPr="00073574">
        <w:rPr>
          <w:sz w:val="24"/>
          <w:szCs w:val="24"/>
        </w:rPr>
        <w:tab/>
        <w:t>encourage the continuing development of computerized application tools related to their cost methodology by the members of the regional groups of Study Group 3;</w:t>
      </w:r>
    </w:p>
    <w:p w14:paraId="5B972596" w14:textId="77777777" w:rsidR="00F0236A" w:rsidRPr="00073574" w:rsidRDefault="00F0236A" w:rsidP="00F0236A">
      <w:pPr>
        <w:pStyle w:val="enumlev10"/>
        <w:rPr>
          <w:sz w:val="24"/>
          <w:szCs w:val="24"/>
        </w:rPr>
      </w:pPr>
      <w:r w:rsidRPr="00073574">
        <w:rPr>
          <w:sz w:val="24"/>
          <w:szCs w:val="24"/>
        </w:rPr>
        <w:t>iii)</w:t>
      </w:r>
      <w:r w:rsidRPr="00073574">
        <w:rPr>
          <w:sz w:val="24"/>
          <w:szCs w:val="24"/>
        </w:rPr>
        <w:tab/>
        <w:t>take appropriate steps to facilitate meetings of the current and future regional groups in order to promote the necessary synergies among the three Sectors and thereby improve the effectiveness and efficiency of the study groups,</w:t>
      </w:r>
    </w:p>
    <w:p w14:paraId="5089C615" w14:textId="77777777" w:rsidR="00F0236A" w:rsidRPr="00073574" w:rsidRDefault="00F0236A" w:rsidP="00F0236A">
      <w:pPr>
        <w:pStyle w:val="Call"/>
        <w:rPr>
          <w:sz w:val="24"/>
          <w:szCs w:val="24"/>
          <w:lang w:val="en-GB"/>
        </w:rPr>
      </w:pPr>
      <w:r w:rsidRPr="00073574">
        <w:rPr>
          <w:sz w:val="24"/>
          <w:szCs w:val="24"/>
          <w:lang w:val="en-GB"/>
        </w:rPr>
        <w:t>further invites the regional groups thus created</w:t>
      </w:r>
    </w:p>
    <w:p w14:paraId="5080ECA5" w14:textId="77777777" w:rsidR="00F0236A" w:rsidRPr="00073574" w:rsidRDefault="00F0236A" w:rsidP="00F0236A">
      <w:pPr>
        <w:spacing w:after="240"/>
        <w:rPr>
          <w:sz w:val="24"/>
        </w:rPr>
      </w:pPr>
      <w:r w:rsidRPr="00073574">
        <w:rPr>
          <w:sz w:val="24"/>
        </w:rPr>
        <w:t>to cooperate closely with the relevant respective regional organizations, standardization bodies and ITU regional offices, and to report on their work in their regions.</w:t>
      </w:r>
    </w:p>
    <w:tbl>
      <w:tblPr>
        <w:tblW w:w="999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74"/>
        <w:gridCol w:w="4528"/>
        <w:gridCol w:w="1893"/>
        <w:gridCol w:w="1164"/>
        <w:gridCol w:w="1336"/>
      </w:tblGrid>
      <w:tr w:rsidR="00F0236A" w:rsidRPr="00073574" w14:paraId="08DA8FF9" w14:textId="77777777" w:rsidTr="634A3A28">
        <w:trPr>
          <w:tblHeader/>
          <w:jc w:val="center"/>
        </w:trPr>
        <w:tc>
          <w:tcPr>
            <w:tcW w:w="1074" w:type="dxa"/>
            <w:tcBorders>
              <w:top w:val="single" w:sz="12" w:space="0" w:color="auto"/>
              <w:bottom w:val="single" w:sz="12" w:space="0" w:color="auto"/>
            </w:tcBorders>
            <w:shd w:val="clear" w:color="auto" w:fill="auto"/>
            <w:vAlign w:val="center"/>
          </w:tcPr>
          <w:p w14:paraId="7D0347AF" w14:textId="77777777" w:rsidR="00F0236A" w:rsidRPr="00073574" w:rsidRDefault="00F0236A" w:rsidP="00DF36E1">
            <w:pPr>
              <w:pStyle w:val="Tablehead"/>
              <w:rPr>
                <w:sz w:val="24"/>
                <w:szCs w:val="24"/>
              </w:rPr>
            </w:pPr>
            <w:r w:rsidRPr="00073574">
              <w:rPr>
                <w:sz w:val="24"/>
                <w:szCs w:val="24"/>
              </w:rPr>
              <w:t>Action Item</w:t>
            </w:r>
          </w:p>
        </w:tc>
        <w:tc>
          <w:tcPr>
            <w:tcW w:w="4528" w:type="dxa"/>
            <w:tcBorders>
              <w:top w:val="single" w:sz="12" w:space="0" w:color="auto"/>
              <w:bottom w:val="single" w:sz="12" w:space="0" w:color="auto"/>
            </w:tcBorders>
            <w:shd w:val="clear" w:color="auto" w:fill="auto"/>
            <w:vAlign w:val="center"/>
            <w:hideMark/>
          </w:tcPr>
          <w:p w14:paraId="01E20B4D" w14:textId="77777777" w:rsidR="00F0236A" w:rsidRPr="00073574" w:rsidRDefault="00F0236A" w:rsidP="00DF36E1">
            <w:pPr>
              <w:pStyle w:val="Tablehead"/>
              <w:rPr>
                <w:sz w:val="24"/>
                <w:szCs w:val="24"/>
              </w:rPr>
            </w:pPr>
            <w:r w:rsidRPr="00073574">
              <w:rPr>
                <w:sz w:val="24"/>
                <w:szCs w:val="24"/>
              </w:rPr>
              <w:t>Action</w:t>
            </w:r>
          </w:p>
        </w:tc>
        <w:tc>
          <w:tcPr>
            <w:tcW w:w="1893" w:type="dxa"/>
            <w:tcBorders>
              <w:top w:val="single" w:sz="12" w:space="0" w:color="auto"/>
              <w:bottom w:val="single" w:sz="12" w:space="0" w:color="auto"/>
            </w:tcBorders>
            <w:shd w:val="clear" w:color="auto" w:fill="auto"/>
            <w:vAlign w:val="center"/>
            <w:hideMark/>
          </w:tcPr>
          <w:p w14:paraId="57D82CDD" w14:textId="77777777" w:rsidR="00F0236A" w:rsidRPr="00073574" w:rsidRDefault="00F0236A" w:rsidP="00DF36E1">
            <w:pPr>
              <w:pStyle w:val="Tablehead"/>
              <w:rPr>
                <w:sz w:val="24"/>
                <w:szCs w:val="24"/>
              </w:rPr>
            </w:pPr>
            <w:r w:rsidRPr="00073574">
              <w:rPr>
                <w:sz w:val="24"/>
                <w:szCs w:val="24"/>
              </w:rPr>
              <w:t>Milestone</w:t>
            </w:r>
          </w:p>
        </w:tc>
        <w:tc>
          <w:tcPr>
            <w:tcW w:w="1164" w:type="dxa"/>
            <w:tcBorders>
              <w:top w:val="single" w:sz="12" w:space="0" w:color="auto"/>
              <w:bottom w:val="single" w:sz="12" w:space="0" w:color="auto"/>
            </w:tcBorders>
            <w:shd w:val="clear" w:color="auto" w:fill="auto"/>
          </w:tcPr>
          <w:p w14:paraId="1B3DF45B" w14:textId="77777777" w:rsidR="00F0236A" w:rsidRPr="00073574" w:rsidRDefault="00F0236A" w:rsidP="00DF36E1">
            <w:pPr>
              <w:pStyle w:val="Tablehead"/>
              <w:rPr>
                <w:sz w:val="24"/>
                <w:szCs w:val="24"/>
              </w:rPr>
            </w:pPr>
            <w:r w:rsidRPr="00073574">
              <w:rPr>
                <w:sz w:val="24"/>
                <w:szCs w:val="24"/>
              </w:rPr>
              <w:t>Periodic goals met</w:t>
            </w:r>
          </w:p>
        </w:tc>
        <w:tc>
          <w:tcPr>
            <w:tcW w:w="1336" w:type="dxa"/>
            <w:tcBorders>
              <w:top w:val="single" w:sz="12" w:space="0" w:color="auto"/>
              <w:bottom w:val="single" w:sz="12" w:space="0" w:color="auto"/>
            </w:tcBorders>
            <w:shd w:val="clear" w:color="auto" w:fill="auto"/>
            <w:vAlign w:val="center"/>
          </w:tcPr>
          <w:p w14:paraId="32D3F7EA" w14:textId="77777777" w:rsidR="00F0236A" w:rsidRPr="00073574" w:rsidRDefault="00F0236A" w:rsidP="00DF36E1">
            <w:pPr>
              <w:pStyle w:val="Tablehead"/>
              <w:rPr>
                <w:sz w:val="24"/>
                <w:szCs w:val="24"/>
              </w:rPr>
            </w:pPr>
            <w:r w:rsidRPr="00073574">
              <w:rPr>
                <w:sz w:val="24"/>
                <w:szCs w:val="24"/>
              </w:rPr>
              <w:t>Completed</w:t>
            </w:r>
          </w:p>
        </w:tc>
      </w:tr>
      <w:tr w:rsidR="00F0236A" w:rsidRPr="00073574" w14:paraId="62023D34" w14:textId="77777777" w:rsidTr="634A3A28">
        <w:trPr>
          <w:jc w:val="center"/>
        </w:trPr>
        <w:tc>
          <w:tcPr>
            <w:tcW w:w="1074" w:type="dxa"/>
            <w:vMerge w:val="restart"/>
            <w:tcBorders>
              <w:top w:val="single" w:sz="12" w:space="0" w:color="auto"/>
            </w:tcBorders>
            <w:shd w:val="clear" w:color="auto" w:fill="auto"/>
          </w:tcPr>
          <w:p w14:paraId="43D1ED44" w14:textId="77777777" w:rsidR="00F0236A" w:rsidRPr="00073574" w:rsidRDefault="00F0236A" w:rsidP="006A5C05">
            <w:pPr>
              <w:pStyle w:val="Tabletext"/>
              <w:rPr>
                <w:b/>
                <w:bCs/>
                <w:sz w:val="24"/>
                <w:szCs w:val="24"/>
              </w:rPr>
            </w:pPr>
            <w:r w:rsidRPr="00073574">
              <w:rPr>
                <w:b/>
                <w:bCs/>
                <w:sz w:val="24"/>
                <w:szCs w:val="24"/>
              </w:rPr>
              <w:t>54-01</w:t>
            </w:r>
          </w:p>
        </w:tc>
        <w:tc>
          <w:tcPr>
            <w:tcW w:w="4528" w:type="dxa"/>
            <w:tcBorders>
              <w:top w:val="single" w:sz="12" w:space="0" w:color="auto"/>
              <w:bottom w:val="single" w:sz="4" w:space="0" w:color="auto"/>
            </w:tcBorders>
            <w:shd w:val="clear" w:color="auto" w:fill="auto"/>
            <w:hideMark/>
          </w:tcPr>
          <w:p w14:paraId="6788312D" w14:textId="77777777" w:rsidR="00F0236A" w:rsidRPr="00073574" w:rsidRDefault="00F0236A" w:rsidP="00DF36E1">
            <w:pPr>
              <w:pStyle w:val="Tabletext"/>
              <w:keepNext/>
              <w:keepLines/>
              <w:rPr>
                <w:b/>
                <w:bCs/>
                <w:sz w:val="24"/>
                <w:szCs w:val="24"/>
              </w:rPr>
            </w:pPr>
            <w:r w:rsidRPr="00073574">
              <w:rPr>
                <w:b/>
                <w:bCs/>
                <w:sz w:val="24"/>
                <w:szCs w:val="24"/>
              </w:rPr>
              <w:t>TSB to support coordinated creation of regional groups of ITU-T study groups (resolves 1)</w:t>
            </w:r>
          </w:p>
        </w:tc>
        <w:tc>
          <w:tcPr>
            <w:tcW w:w="1893" w:type="dxa"/>
            <w:tcBorders>
              <w:top w:val="single" w:sz="12" w:space="0" w:color="auto"/>
              <w:bottom w:val="single" w:sz="4" w:space="0" w:color="auto"/>
            </w:tcBorders>
            <w:shd w:val="clear" w:color="auto" w:fill="auto"/>
            <w:vAlign w:val="center"/>
            <w:hideMark/>
          </w:tcPr>
          <w:p w14:paraId="6ED385A1"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64" w:type="dxa"/>
            <w:tcBorders>
              <w:top w:val="single" w:sz="12" w:space="0" w:color="auto"/>
              <w:bottom w:val="single" w:sz="4" w:space="0" w:color="auto"/>
            </w:tcBorders>
            <w:shd w:val="clear" w:color="auto" w:fill="auto"/>
            <w:vAlign w:val="center"/>
          </w:tcPr>
          <w:p w14:paraId="43BA5C1D"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bottom w:val="single" w:sz="4" w:space="0" w:color="auto"/>
            </w:tcBorders>
            <w:shd w:val="clear" w:color="auto" w:fill="auto"/>
            <w:vAlign w:val="center"/>
          </w:tcPr>
          <w:p w14:paraId="5F6C8A4B" w14:textId="77777777" w:rsidR="00F0236A" w:rsidRPr="00073574" w:rsidRDefault="00F0236A" w:rsidP="00DF36E1">
            <w:pPr>
              <w:pStyle w:val="Tabletext"/>
              <w:jc w:val="center"/>
              <w:rPr>
                <w:b/>
                <w:bCs/>
                <w:sz w:val="24"/>
                <w:szCs w:val="24"/>
              </w:rPr>
            </w:pPr>
          </w:p>
        </w:tc>
      </w:tr>
      <w:tr w:rsidR="00F0236A" w:rsidRPr="00073574" w14:paraId="0F6D9282" w14:textId="77777777" w:rsidTr="634A3A28">
        <w:trPr>
          <w:jc w:val="center"/>
        </w:trPr>
        <w:tc>
          <w:tcPr>
            <w:tcW w:w="1074" w:type="dxa"/>
            <w:vMerge/>
          </w:tcPr>
          <w:p w14:paraId="0AF2EB8E" w14:textId="77777777" w:rsidR="00F0236A" w:rsidRPr="00073574" w:rsidRDefault="00F0236A" w:rsidP="00DF36E1">
            <w:pPr>
              <w:pStyle w:val="Tabletext"/>
              <w:rPr>
                <w:sz w:val="24"/>
                <w:szCs w:val="24"/>
              </w:rPr>
            </w:pPr>
          </w:p>
        </w:tc>
        <w:tc>
          <w:tcPr>
            <w:tcW w:w="8921" w:type="dxa"/>
            <w:gridSpan w:val="4"/>
            <w:tcBorders>
              <w:top w:val="single" w:sz="4" w:space="0" w:color="auto"/>
            </w:tcBorders>
            <w:shd w:val="clear" w:color="auto" w:fill="auto"/>
          </w:tcPr>
          <w:p w14:paraId="24435D23" w14:textId="77777777" w:rsidR="00F0236A" w:rsidRPr="00073574" w:rsidRDefault="00F0236A" w:rsidP="001E63F9">
            <w:pPr>
              <w:spacing w:before="40"/>
              <w:rPr>
                <w:szCs w:val="22"/>
              </w:rPr>
            </w:pPr>
            <w:r w:rsidRPr="00073574">
              <w:rPr>
                <w:szCs w:val="22"/>
              </w:rPr>
              <w:t>The following regional groups have met since WTSA-16:</w:t>
            </w:r>
          </w:p>
          <w:p w14:paraId="7ED63A7D" w14:textId="0AF5CEF6" w:rsidR="00AD76B1" w:rsidRPr="00073574" w:rsidRDefault="00AD76B1" w:rsidP="00DF36E1">
            <w:pPr>
              <w:pStyle w:val="Headingib"/>
              <w:rPr>
                <w:szCs w:val="22"/>
              </w:rPr>
            </w:pPr>
            <w:r w:rsidRPr="00073574">
              <w:rPr>
                <w:szCs w:val="22"/>
              </w:rPr>
              <w:t>ITU-T Study Group 2</w:t>
            </w:r>
          </w:p>
          <w:p w14:paraId="494D9366" w14:textId="4F0886C0" w:rsidR="00971231" w:rsidRPr="00073574" w:rsidRDefault="00971231" w:rsidP="00307C59">
            <w:pPr>
              <w:pStyle w:val="ListParagraph"/>
              <w:numPr>
                <w:ilvl w:val="0"/>
                <w:numId w:val="35"/>
              </w:numPr>
              <w:contextualSpacing w:val="0"/>
            </w:pPr>
            <w:r w:rsidRPr="00073574">
              <w:t>SG2-RG-AMR, Virtual, 7 September 2021</w:t>
            </w:r>
            <w:r w:rsidR="00427C79" w:rsidRPr="00073574">
              <w:t>.</w:t>
            </w:r>
          </w:p>
          <w:p w14:paraId="2B1A885C" w14:textId="1E6CCD31" w:rsidR="00971231" w:rsidRPr="00073574" w:rsidRDefault="00971231" w:rsidP="00971231">
            <w:pPr>
              <w:pStyle w:val="ListParagraph"/>
              <w:numPr>
                <w:ilvl w:val="0"/>
                <w:numId w:val="35"/>
              </w:numPr>
              <w:contextualSpacing w:val="0"/>
            </w:pPr>
            <w:r w:rsidRPr="00073574">
              <w:t>SG2-RG-AFR, SG2RF-ARB Virtual 17 May 2021</w:t>
            </w:r>
            <w:r w:rsidR="00427C79" w:rsidRPr="00073574">
              <w:t>.</w:t>
            </w:r>
          </w:p>
          <w:p w14:paraId="131174C8" w14:textId="0177A672" w:rsidR="00AD76B1" w:rsidRPr="00073574" w:rsidRDefault="002D666E" w:rsidP="002E241A">
            <w:pPr>
              <w:pStyle w:val="ListParagraph"/>
              <w:numPr>
                <w:ilvl w:val="0"/>
                <w:numId w:val="35"/>
              </w:numPr>
              <w:contextualSpacing w:val="0"/>
            </w:pPr>
            <w:r w:rsidRPr="00073574">
              <w:t>SG2</w:t>
            </w:r>
            <w:r w:rsidR="00B7647B" w:rsidRPr="00073574">
              <w:t>-</w:t>
            </w:r>
            <w:r w:rsidRPr="00073574">
              <w:t>RG</w:t>
            </w:r>
            <w:r w:rsidR="00324520" w:rsidRPr="00073574">
              <w:t>-</w:t>
            </w:r>
            <w:r w:rsidR="002C35A6" w:rsidRPr="00073574">
              <w:t>AFR, SG2</w:t>
            </w:r>
            <w:r w:rsidR="00324520" w:rsidRPr="00073574">
              <w:t>RG</w:t>
            </w:r>
            <w:r w:rsidR="002C35A6" w:rsidRPr="00073574">
              <w:t>-ARB: Dubai, United Arab Emirates from 23-24 October 2019</w:t>
            </w:r>
            <w:r w:rsidR="007A56AF" w:rsidRPr="00073574">
              <w:t>.</w:t>
            </w:r>
          </w:p>
          <w:p w14:paraId="4CDF80E4" w14:textId="00005AB4" w:rsidR="00324520" w:rsidRPr="00073574" w:rsidRDefault="00324520" w:rsidP="002E241A">
            <w:pPr>
              <w:pStyle w:val="ListParagraph"/>
              <w:numPr>
                <w:ilvl w:val="0"/>
                <w:numId w:val="35"/>
              </w:numPr>
              <w:contextualSpacing w:val="0"/>
            </w:pPr>
            <w:r w:rsidRPr="00073574">
              <w:t>SG2</w:t>
            </w:r>
            <w:r w:rsidR="00B7647B" w:rsidRPr="00073574">
              <w:t>-</w:t>
            </w:r>
            <w:r w:rsidRPr="00073574">
              <w:t>RG-AMR: Managua, Nicaragua, 28-29 March 2019.</w:t>
            </w:r>
          </w:p>
          <w:p w14:paraId="243C7F97" w14:textId="39915F16" w:rsidR="007A56AF" w:rsidRPr="00073574" w:rsidRDefault="007A56AF" w:rsidP="002E241A">
            <w:pPr>
              <w:pStyle w:val="ListParagraph"/>
              <w:numPr>
                <w:ilvl w:val="0"/>
                <w:numId w:val="35"/>
              </w:numPr>
              <w:contextualSpacing w:val="0"/>
            </w:pPr>
            <w:r w:rsidRPr="00073574">
              <w:t>SG2</w:t>
            </w:r>
            <w:r w:rsidR="00B7647B" w:rsidRPr="00073574">
              <w:t>-</w:t>
            </w:r>
            <w:r w:rsidRPr="00073574">
              <w:t>RG-AFR</w:t>
            </w:r>
            <w:r w:rsidR="00423F76" w:rsidRPr="00073574">
              <w:t>, SG2RG-ARB</w:t>
            </w:r>
            <w:r w:rsidRPr="00073574">
              <w:t>: Cairo, Egypt, from 4 – 6 December 2018.</w:t>
            </w:r>
          </w:p>
          <w:p w14:paraId="3BDD5DD2" w14:textId="77777777" w:rsidR="00427C79" w:rsidRPr="00073574" w:rsidRDefault="002D666E" w:rsidP="00427C79">
            <w:pPr>
              <w:pStyle w:val="ListParagraph"/>
              <w:numPr>
                <w:ilvl w:val="0"/>
                <w:numId w:val="35"/>
              </w:numPr>
              <w:contextualSpacing w:val="0"/>
            </w:pPr>
            <w:r w:rsidRPr="00073574">
              <w:t>SG2</w:t>
            </w:r>
            <w:r w:rsidR="00B7647B" w:rsidRPr="00073574">
              <w:t>-</w:t>
            </w:r>
            <w:r w:rsidRPr="00073574">
              <w:t>RG-AFR</w:t>
            </w:r>
            <w:r w:rsidR="00B500A1" w:rsidRPr="00073574">
              <w:t>, SG2RG-ARB</w:t>
            </w:r>
            <w:r w:rsidRPr="00073574">
              <w:t>: Tunisia, 26 - 27 April 2018.</w:t>
            </w:r>
            <w:r w:rsidR="00427C79" w:rsidRPr="00073574">
              <w:t xml:space="preserve"> </w:t>
            </w:r>
          </w:p>
          <w:p w14:paraId="631F271F" w14:textId="4D645DBC" w:rsidR="002D666E" w:rsidRPr="00073574" w:rsidRDefault="00427C79" w:rsidP="002E241A">
            <w:pPr>
              <w:pStyle w:val="ListParagraph"/>
              <w:numPr>
                <w:ilvl w:val="0"/>
                <w:numId w:val="35"/>
              </w:numPr>
              <w:contextualSpacing w:val="0"/>
            </w:pPr>
            <w:r w:rsidRPr="00073574">
              <w:t>SG2-RG-AMR: Port of Spain, Trinidad and Tobago, 07 March 2017.</w:t>
            </w:r>
          </w:p>
          <w:p w14:paraId="4758C42F" w14:textId="4179F5C4" w:rsidR="00F0236A" w:rsidRPr="00073574" w:rsidRDefault="00F0236A" w:rsidP="00DF36E1">
            <w:pPr>
              <w:pStyle w:val="Headingib"/>
              <w:rPr>
                <w:szCs w:val="22"/>
              </w:rPr>
            </w:pPr>
            <w:r w:rsidRPr="00073574">
              <w:rPr>
                <w:szCs w:val="22"/>
              </w:rPr>
              <w:t>ITU-T Study Group 3</w:t>
            </w:r>
          </w:p>
          <w:p w14:paraId="2FF892FC" w14:textId="4F40A59A" w:rsidR="003B2EC6" w:rsidRPr="00073574" w:rsidRDefault="003B2EC6" w:rsidP="00471479">
            <w:pPr>
              <w:pStyle w:val="ListParagraph"/>
              <w:numPr>
                <w:ilvl w:val="0"/>
                <w:numId w:val="35"/>
              </w:numPr>
              <w:contextualSpacing w:val="0"/>
            </w:pPr>
            <w:r w:rsidRPr="00073574">
              <w:t>SG3-RG-AFR: virtual, 26-29 July 2021.</w:t>
            </w:r>
          </w:p>
          <w:p w14:paraId="7E1DE4A0" w14:textId="6A57026E" w:rsidR="002301A2" w:rsidRPr="00073574" w:rsidRDefault="002301A2" w:rsidP="00471479">
            <w:pPr>
              <w:pStyle w:val="ListParagraph"/>
              <w:numPr>
                <w:ilvl w:val="0"/>
                <w:numId w:val="35"/>
              </w:numPr>
              <w:contextualSpacing w:val="0"/>
            </w:pPr>
            <w:r w:rsidRPr="00073574">
              <w:lastRenderedPageBreak/>
              <w:t>SG3-RG-ARB: virtual, 20 April 2021.</w:t>
            </w:r>
          </w:p>
          <w:p w14:paraId="08171FEA" w14:textId="3CBFDCA0" w:rsidR="00AB2427" w:rsidRPr="00073574" w:rsidRDefault="00AB2427" w:rsidP="00471479">
            <w:pPr>
              <w:pStyle w:val="ListParagraph"/>
              <w:numPr>
                <w:ilvl w:val="0"/>
                <w:numId w:val="35"/>
              </w:numPr>
              <w:contextualSpacing w:val="0"/>
            </w:pPr>
            <w:r w:rsidRPr="00073574">
              <w:t>SG3-RG-LAC: virtual, 12-13 April 2021.</w:t>
            </w:r>
          </w:p>
          <w:p w14:paraId="277FAAB0" w14:textId="75E3E1F9" w:rsidR="00127E72" w:rsidRPr="00073574" w:rsidRDefault="00127E72" w:rsidP="00471479">
            <w:pPr>
              <w:pStyle w:val="ListParagraph"/>
              <w:numPr>
                <w:ilvl w:val="0"/>
                <w:numId w:val="35"/>
              </w:numPr>
              <w:contextualSpacing w:val="0"/>
            </w:pPr>
            <w:r w:rsidRPr="00073574">
              <w:t>SG3-RG-AO: virtual, 12-14 April 2021</w:t>
            </w:r>
          </w:p>
          <w:p w14:paraId="0CB0D71A" w14:textId="5C031398" w:rsidR="0030441B" w:rsidRPr="00073574" w:rsidRDefault="0030441B" w:rsidP="00471479">
            <w:pPr>
              <w:pStyle w:val="ListParagraph"/>
              <w:numPr>
                <w:ilvl w:val="0"/>
                <w:numId w:val="35"/>
              </w:numPr>
              <w:contextualSpacing w:val="0"/>
            </w:pPr>
            <w:r w:rsidRPr="00073574">
              <w:t>SG3-RG-AFR: virtual, 6-9 April 2021.</w:t>
            </w:r>
          </w:p>
          <w:p w14:paraId="5616F785" w14:textId="2EC0A7F8" w:rsidR="00522776" w:rsidRPr="00073574" w:rsidRDefault="00522776" w:rsidP="00471479">
            <w:pPr>
              <w:pStyle w:val="ListParagraph"/>
              <w:numPr>
                <w:ilvl w:val="0"/>
                <w:numId w:val="35"/>
              </w:numPr>
              <w:contextualSpacing w:val="0"/>
            </w:pPr>
            <w:r w:rsidRPr="00073574">
              <w:t>SG3-RG-AFR: virtual, 6-10 July 2020.</w:t>
            </w:r>
          </w:p>
          <w:p w14:paraId="12144C69" w14:textId="1335F6FC" w:rsidR="00522776" w:rsidRPr="00073574" w:rsidRDefault="00522776" w:rsidP="00471479">
            <w:pPr>
              <w:pStyle w:val="ListParagraph"/>
              <w:numPr>
                <w:ilvl w:val="0"/>
                <w:numId w:val="35"/>
              </w:numPr>
              <w:contextualSpacing w:val="0"/>
            </w:pPr>
            <w:r w:rsidRPr="00073574">
              <w:t>SG3-RG-LAC: virtual, 15-17 July 2020.</w:t>
            </w:r>
          </w:p>
          <w:p w14:paraId="1850CD15" w14:textId="29DF8B87" w:rsidR="00522776" w:rsidRPr="00073574" w:rsidRDefault="00522776" w:rsidP="00471479">
            <w:pPr>
              <w:pStyle w:val="ListParagraph"/>
              <w:numPr>
                <w:ilvl w:val="0"/>
                <w:numId w:val="35"/>
              </w:numPr>
              <w:contextualSpacing w:val="0"/>
            </w:pPr>
            <w:r w:rsidRPr="00073574">
              <w:t>SG3-RG</w:t>
            </w:r>
            <w:r w:rsidR="00BF0482" w:rsidRPr="00073574">
              <w:t>-</w:t>
            </w:r>
            <w:r w:rsidRPr="00073574">
              <w:t>ARB: virtual, 28 July 2020</w:t>
            </w:r>
            <w:r w:rsidR="00193479" w:rsidRPr="00073574">
              <w:t>.</w:t>
            </w:r>
          </w:p>
          <w:p w14:paraId="5A26DDEE" w14:textId="72E61CF9" w:rsidR="00193479" w:rsidRPr="00073574" w:rsidRDefault="00193479" w:rsidP="00471479">
            <w:pPr>
              <w:pStyle w:val="ListParagraph"/>
              <w:numPr>
                <w:ilvl w:val="0"/>
                <w:numId w:val="35"/>
              </w:numPr>
              <w:contextualSpacing w:val="0"/>
            </w:pPr>
            <w:r w:rsidRPr="00073574">
              <w:t>SG3-RG</w:t>
            </w:r>
            <w:r w:rsidR="005821A9" w:rsidRPr="00073574">
              <w:t>-</w:t>
            </w:r>
            <w:r w:rsidRPr="00073574">
              <w:t>AO: virtual, 15-17 July 2020.</w:t>
            </w:r>
          </w:p>
          <w:p w14:paraId="43BCBB00" w14:textId="7FF87276" w:rsidR="00581964" w:rsidRPr="00073574" w:rsidRDefault="00581964" w:rsidP="00471479">
            <w:pPr>
              <w:pStyle w:val="ListParagraph"/>
              <w:numPr>
                <w:ilvl w:val="0"/>
                <w:numId w:val="35"/>
              </w:numPr>
              <w:contextualSpacing w:val="0"/>
            </w:pPr>
            <w:r w:rsidRPr="00073574">
              <w:t>SG3</w:t>
            </w:r>
            <w:r w:rsidR="00BF0482" w:rsidRPr="00073574">
              <w:t>-</w:t>
            </w:r>
            <w:r w:rsidRPr="00073574">
              <w:t>RG-EECAT: Minsk, Belarus, 4 March 2020.</w:t>
            </w:r>
          </w:p>
          <w:p w14:paraId="034BC61E" w14:textId="20ED5E57" w:rsidR="0074418D" w:rsidRPr="00073574" w:rsidRDefault="0074418D" w:rsidP="00471479">
            <w:pPr>
              <w:pStyle w:val="ListParagraph"/>
              <w:numPr>
                <w:ilvl w:val="0"/>
                <w:numId w:val="35"/>
              </w:numPr>
              <w:contextualSpacing w:val="0"/>
            </w:pPr>
            <w:r w:rsidRPr="00073574">
              <w:t>SG3-RG</w:t>
            </w:r>
            <w:r w:rsidR="00B7647B" w:rsidRPr="00073574">
              <w:t>-</w:t>
            </w:r>
            <w:r w:rsidRPr="00073574">
              <w:t>ARB: Dubai, United Arab Emirates from 23-24 October 2019.</w:t>
            </w:r>
          </w:p>
          <w:p w14:paraId="2469D92E" w14:textId="4D48ED45" w:rsidR="0074418D" w:rsidRPr="00073574" w:rsidRDefault="0074418D" w:rsidP="00471479">
            <w:pPr>
              <w:pStyle w:val="ListParagraph"/>
              <w:numPr>
                <w:ilvl w:val="0"/>
                <w:numId w:val="35"/>
              </w:numPr>
              <w:contextualSpacing w:val="0"/>
            </w:pPr>
            <w:r w:rsidRPr="00073574">
              <w:t>SG3-RG</w:t>
            </w:r>
            <w:r w:rsidR="00B7647B" w:rsidRPr="00073574">
              <w:t>-</w:t>
            </w:r>
            <w:r w:rsidRPr="00073574">
              <w:t>AO: Colombo, Sri Lanka, from 2 to 4 October 2019.</w:t>
            </w:r>
          </w:p>
          <w:p w14:paraId="64B0EBDC" w14:textId="01C35CB7" w:rsidR="00FE6BAB" w:rsidRPr="00073574" w:rsidRDefault="00FE6BAB" w:rsidP="00471479">
            <w:pPr>
              <w:pStyle w:val="ListParagraph"/>
              <w:numPr>
                <w:ilvl w:val="0"/>
                <w:numId w:val="35"/>
              </w:numPr>
              <w:contextualSpacing w:val="0"/>
            </w:pPr>
            <w:r w:rsidRPr="00073574">
              <w:t>SG3-RG</w:t>
            </w:r>
            <w:r w:rsidR="00B7647B" w:rsidRPr="00073574">
              <w:t>-</w:t>
            </w:r>
            <w:r w:rsidRPr="00073574">
              <w:t>AFR: Antananarivo (Madagascar) from 18 to 22 February 2019.</w:t>
            </w:r>
          </w:p>
          <w:p w14:paraId="7D7E6732" w14:textId="3EC89A7E" w:rsidR="00FE6BAB" w:rsidRPr="00073574" w:rsidRDefault="00FE6BAB" w:rsidP="00471479">
            <w:pPr>
              <w:pStyle w:val="ListParagraph"/>
              <w:numPr>
                <w:ilvl w:val="0"/>
                <w:numId w:val="35"/>
              </w:numPr>
              <w:contextualSpacing w:val="0"/>
            </w:pPr>
            <w:r w:rsidRPr="00073574">
              <w:t>SG3-RG</w:t>
            </w:r>
            <w:r w:rsidR="00B7647B" w:rsidRPr="00073574">
              <w:t>-</w:t>
            </w:r>
            <w:r w:rsidRPr="00073574">
              <w:t>LAC: Managua (Nicaragua) from 25 to 29 February 2019.</w:t>
            </w:r>
          </w:p>
          <w:p w14:paraId="77749476" w14:textId="0F16F768" w:rsidR="00FE6BAB" w:rsidRPr="00073574" w:rsidRDefault="00FE6BAB" w:rsidP="00471479">
            <w:pPr>
              <w:pStyle w:val="ListParagraph"/>
              <w:numPr>
                <w:ilvl w:val="0"/>
                <w:numId w:val="35"/>
              </w:numPr>
              <w:contextualSpacing w:val="0"/>
            </w:pPr>
            <w:r w:rsidRPr="00073574">
              <w:t>SG3-RG</w:t>
            </w:r>
            <w:r w:rsidR="00B7647B" w:rsidRPr="00073574">
              <w:t>-</w:t>
            </w:r>
            <w:r w:rsidRPr="00073574">
              <w:t>ARB: Kuwait City (Kuwait) from 19 to 20 December 2018.</w:t>
            </w:r>
          </w:p>
          <w:p w14:paraId="2AD18369" w14:textId="6B968C01" w:rsidR="00FE6BAB" w:rsidRPr="00073574" w:rsidRDefault="00FE6BAB" w:rsidP="00471479">
            <w:pPr>
              <w:pStyle w:val="ListParagraph"/>
              <w:numPr>
                <w:ilvl w:val="0"/>
                <w:numId w:val="35"/>
              </w:numPr>
              <w:contextualSpacing w:val="0"/>
            </w:pPr>
            <w:r w:rsidRPr="00073574">
              <w:t>SG3-RGEECAT: Saint Petersburg (Russian Federation) on 21 May 2019.</w:t>
            </w:r>
          </w:p>
          <w:p w14:paraId="336B08F4" w14:textId="1ABD5DEC" w:rsidR="00F0236A" w:rsidRPr="00073574" w:rsidRDefault="00812FEA" w:rsidP="00471479">
            <w:pPr>
              <w:pStyle w:val="ListParagraph"/>
              <w:numPr>
                <w:ilvl w:val="0"/>
                <w:numId w:val="35"/>
              </w:numPr>
              <w:contextualSpacing w:val="0"/>
            </w:pPr>
            <w:r w:rsidRPr="00073574">
              <w:t>SG</w:t>
            </w:r>
            <w:r w:rsidR="00F0236A" w:rsidRPr="00073574">
              <w:t>3 Regional Group for Africa met in Victoria Falls (Zimbabwe) from 31 January to 3 February 2017.</w:t>
            </w:r>
          </w:p>
          <w:p w14:paraId="2C43563A" w14:textId="2A264F4F" w:rsidR="00F0236A" w:rsidRPr="00073574" w:rsidRDefault="00F0236A" w:rsidP="00471479">
            <w:pPr>
              <w:pStyle w:val="ListParagraph"/>
              <w:numPr>
                <w:ilvl w:val="0"/>
                <w:numId w:val="35"/>
              </w:numPr>
              <w:contextualSpacing w:val="0"/>
            </w:pPr>
            <w:r w:rsidRPr="00073574">
              <w:t>SG3 Regional Group for Latin America and the Caribbean met in Port of Spain (Trinidad and Tobago) from 6 to 10 March 2017.</w:t>
            </w:r>
          </w:p>
          <w:p w14:paraId="3E950554" w14:textId="6CB3918E" w:rsidR="003B742B" w:rsidRPr="00073574" w:rsidRDefault="003B742B" w:rsidP="00471479">
            <w:pPr>
              <w:pStyle w:val="ListParagraph"/>
              <w:numPr>
                <w:ilvl w:val="0"/>
                <w:numId w:val="35"/>
              </w:numPr>
              <w:contextualSpacing w:val="0"/>
            </w:pPr>
            <w:r w:rsidRPr="00073574">
              <w:t>SG3 Regional Group for Asia and Oceania met in Seoul (Korea, Rep of.) from 24 to 27 October 2017</w:t>
            </w:r>
          </w:p>
          <w:p w14:paraId="75FA2E05" w14:textId="77777777" w:rsidR="003B742B" w:rsidRPr="00073574" w:rsidRDefault="003B742B" w:rsidP="00471479">
            <w:pPr>
              <w:pStyle w:val="ListParagraph"/>
              <w:numPr>
                <w:ilvl w:val="0"/>
                <w:numId w:val="35"/>
              </w:numPr>
              <w:contextualSpacing w:val="0"/>
            </w:pPr>
            <w:r w:rsidRPr="00073574">
              <w:t>SG3 Regional Group for the Arab region met in Riyadh (Saudi Arabia) from 21 to 22 November 2017.</w:t>
            </w:r>
          </w:p>
          <w:p w14:paraId="09B17A32" w14:textId="7F1E09A6" w:rsidR="003B742B" w:rsidRPr="00073574" w:rsidRDefault="00812FEA" w:rsidP="00471479">
            <w:pPr>
              <w:pStyle w:val="ListParagraph"/>
              <w:numPr>
                <w:ilvl w:val="0"/>
                <w:numId w:val="35"/>
              </w:numPr>
              <w:contextualSpacing w:val="0"/>
            </w:pPr>
            <w:r w:rsidRPr="00073574">
              <w:t>SG</w:t>
            </w:r>
            <w:r w:rsidR="003B742B" w:rsidRPr="00073574">
              <w:t>3 Regional Group for Africa met in Kigali (Rwanda) from 5 to 8 February 2018.</w:t>
            </w:r>
          </w:p>
          <w:p w14:paraId="2E4FC3E4" w14:textId="77777777" w:rsidR="00F0236A" w:rsidRPr="00073574" w:rsidRDefault="00F0236A" w:rsidP="00DF36E1">
            <w:pPr>
              <w:pStyle w:val="Headingib"/>
              <w:rPr>
                <w:szCs w:val="22"/>
              </w:rPr>
            </w:pPr>
            <w:r w:rsidRPr="00073574">
              <w:rPr>
                <w:szCs w:val="22"/>
              </w:rPr>
              <w:t>ITU-T Study Group 5</w:t>
            </w:r>
          </w:p>
          <w:p w14:paraId="0A43A4FF" w14:textId="7BEF2A62" w:rsidR="004A7EE5" w:rsidRPr="00073574" w:rsidRDefault="004A7EE5" w:rsidP="00471479">
            <w:pPr>
              <w:pStyle w:val="ListParagraph"/>
              <w:numPr>
                <w:ilvl w:val="0"/>
                <w:numId w:val="35"/>
              </w:numPr>
              <w:contextualSpacing w:val="0"/>
            </w:pPr>
            <w:r w:rsidRPr="00073574">
              <w:t>SG5, at its first meeting in May 2017 created the new regional group for Latin America (SG5RG-LATAM). It was decided to discontinue the SG5 Regional Group for the Americas region.</w:t>
            </w:r>
          </w:p>
          <w:p w14:paraId="601D812F" w14:textId="17A59F06" w:rsidR="004A7EE5" w:rsidRPr="00073574" w:rsidRDefault="004A7EE5" w:rsidP="00471479">
            <w:pPr>
              <w:pStyle w:val="ListParagraph"/>
              <w:numPr>
                <w:ilvl w:val="0"/>
                <w:numId w:val="35"/>
              </w:numPr>
              <w:contextualSpacing w:val="0"/>
            </w:pPr>
            <w:r w:rsidRPr="00073574">
              <w:t>SG5</w:t>
            </w:r>
            <w:r w:rsidR="00B7647B" w:rsidRPr="00073574">
              <w:t>-</w:t>
            </w:r>
            <w:r w:rsidRPr="00073574">
              <w:t xml:space="preserve">RG-LATAM </w:t>
            </w:r>
            <w:r w:rsidR="00300D60" w:rsidRPr="00073574">
              <w:t>held its first meeting</w:t>
            </w:r>
            <w:r w:rsidRPr="00073574">
              <w:t xml:space="preserve"> on 19 April 2018 in Cartagena de Indias, Colombia.</w:t>
            </w:r>
            <w:r w:rsidR="00300D60" w:rsidRPr="00073574">
              <w:t xml:space="preserve"> The second SG5RG-LATAM meeting was held on 24 Oc</w:t>
            </w:r>
            <w:r w:rsidR="00E344CE" w:rsidRPr="00073574">
              <w:t>tober 2018 in Bogotá, Colombia.</w:t>
            </w:r>
          </w:p>
          <w:p w14:paraId="43781F1C" w14:textId="47D256D0" w:rsidR="004A7EE5" w:rsidRPr="00073574" w:rsidRDefault="004A7EE5" w:rsidP="00471479">
            <w:pPr>
              <w:pStyle w:val="ListParagraph"/>
              <w:numPr>
                <w:ilvl w:val="0"/>
                <w:numId w:val="35"/>
              </w:numPr>
              <w:contextualSpacing w:val="0"/>
            </w:pPr>
            <w:r w:rsidRPr="00073574">
              <w:t>SG5</w:t>
            </w:r>
            <w:r w:rsidR="00B7647B" w:rsidRPr="00073574">
              <w:t>-</w:t>
            </w:r>
            <w:r w:rsidRPr="00073574">
              <w:t xml:space="preserve">RG-AFR and SG5RG-ARB </w:t>
            </w:r>
            <w:r w:rsidR="00300D60" w:rsidRPr="00073574">
              <w:t>met</w:t>
            </w:r>
            <w:r w:rsidRPr="00073574">
              <w:t xml:space="preserve"> from 9 to 12 April 2018 in Zanzibar, Tanzania.</w:t>
            </w:r>
          </w:p>
          <w:p w14:paraId="6A44708A" w14:textId="1E1C31D3" w:rsidR="00452483" w:rsidRPr="00073574" w:rsidRDefault="00452483" w:rsidP="00471479">
            <w:pPr>
              <w:pStyle w:val="ListParagraph"/>
              <w:numPr>
                <w:ilvl w:val="0"/>
                <w:numId w:val="35"/>
              </w:numPr>
              <w:contextualSpacing w:val="0"/>
            </w:pPr>
            <w:r w:rsidRPr="00073574">
              <w:t>SG5-RG-AP met in Wuxi, China, on 3 December 2018.</w:t>
            </w:r>
          </w:p>
          <w:p w14:paraId="6166964A" w14:textId="0F14DF16" w:rsidR="003562E8" w:rsidRPr="00073574" w:rsidRDefault="003562E8" w:rsidP="00471479">
            <w:pPr>
              <w:pStyle w:val="ListParagraph"/>
              <w:numPr>
                <w:ilvl w:val="0"/>
                <w:numId w:val="35"/>
              </w:numPr>
              <w:contextualSpacing w:val="0"/>
            </w:pPr>
            <w:r w:rsidRPr="00073574">
              <w:t>SG5</w:t>
            </w:r>
            <w:r w:rsidR="00B7647B" w:rsidRPr="00073574">
              <w:t>-</w:t>
            </w:r>
            <w:r w:rsidRPr="00073574">
              <w:t xml:space="preserve">RG-ARB met on 18 December 2018 in Kuwait </w:t>
            </w:r>
            <w:r w:rsidR="00921FB4" w:rsidRPr="00073574">
              <w:t>C</w:t>
            </w:r>
            <w:r w:rsidRPr="00073574">
              <w:t>ity, Kuwait.</w:t>
            </w:r>
          </w:p>
          <w:p w14:paraId="3CF30F46" w14:textId="2EFB415A" w:rsidR="003562E8" w:rsidRPr="00073574" w:rsidRDefault="1505ECA8" w:rsidP="00471479">
            <w:pPr>
              <w:pStyle w:val="ListParagraph"/>
              <w:numPr>
                <w:ilvl w:val="0"/>
                <w:numId w:val="35"/>
              </w:numPr>
              <w:contextualSpacing w:val="0"/>
            </w:pPr>
            <w:r w:rsidRPr="00073574">
              <w:t>SG5</w:t>
            </w:r>
            <w:r w:rsidR="1B2ED709" w:rsidRPr="00073574">
              <w:t>-</w:t>
            </w:r>
            <w:r w:rsidRPr="00073574">
              <w:t>RG-AFR held its second meeting on 29 and 30 August 2019 in Abuja, Nigeria during the First Digital African Week.</w:t>
            </w:r>
          </w:p>
          <w:p w14:paraId="3B4CBC60" w14:textId="7B2BFDB7" w:rsidR="00D50073" w:rsidRPr="00073574" w:rsidRDefault="00D50073" w:rsidP="00471479">
            <w:pPr>
              <w:pStyle w:val="ListParagraph"/>
              <w:numPr>
                <w:ilvl w:val="0"/>
                <w:numId w:val="35"/>
              </w:numPr>
              <w:contextualSpacing w:val="0"/>
            </w:pPr>
            <w:r w:rsidRPr="00073574">
              <w:t xml:space="preserve">SG5-RG-AP met online on </w:t>
            </w:r>
            <w:r w:rsidR="001C5F83" w:rsidRPr="00073574">
              <w:t>29-30 September 2020.</w:t>
            </w:r>
          </w:p>
          <w:p w14:paraId="5A34C1FD" w14:textId="38E0E205" w:rsidR="00F7046E" w:rsidRPr="00073574" w:rsidRDefault="00F7046E" w:rsidP="00471479">
            <w:pPr>
              <w:pStyle w:val="ListParagraph"/>
              <w:numPr>
                <w:ilvl w:val="0"/>
                <w:numId w:val="35"/>
              </w:numPr>
              <w:contextualSpacing w:val="0"/>
            </w:pPr>
            <w:r w:rsidRPr="00073574">
              <w:t>SG5</w:t>
            </w:r>
            <w:r w:rsidR="00FA4132" w:rsidRPr="00073574">
              <w:t>-RG-LATAM was held as a</w:t>
            </w:r>
            <w:r w:rsidR="00BD1878" w:rsidRPr="00073574">
              <w:t>n e-meeting on 10 November 2020.</w:t>
            </w:r>
          </w:p>
          <w:p w14:paraId="0AE4747C" w14:textId="1DD74A3B" w:rsidR="001C5F83" w:rsidRPr="00073574" w:rsidRDefault="001C5F83" w:rsidP="00E90CF0">
            <w:pPr>
              <w:pStyle w:val="ListParagraph"/>
              <w:numPr>
                <w:ilvl w:val="0"/>
                <w:numId w:val="35"/>
              </w:numPr>
              <w:contextualSpacing w:val="0"/>
            </w:pPr>
            <w:r w:rsidRPr="00073574">
              <w:lastRenderedPageBreak/>
              <w:t>SG5-RG-AP meeting was organized online on 15-16 April 2021.</w:t>
            </w:r>
          </w:p>
          <w:p w14:paraId="280FF23C" w14:textId="29DBFA98" w:rsidR="00827E2D" w:rsidRPr="00073574" w:rsidRDefault="00827E2D" w:rsidP="002E241A">
            <w:pPr>
              <w:pStyle w:val="ListParagraph"/>
              <w:numPr>
                <w:ilvl w:val="0"/>
                <w:numId w:val="35"/>
              </w:numPr>
              <w:contextualSpacing w:val="0"/>
            </w:pPr>
            <w:r w:rsidRPr="00073574">
              <w:t>SG5</w:t>
            </w:r>
            <w:r w:rsidR="006F2C3D" w:rsidRPr="00073574">
              <w:t>-</w:t>
            </w:r>
            <w:r w:rsidRPr="00073574">
              <w:t>RG-</w:t>
            </w:r>
            <w:r w:rsidR="003F429E" w:rsidRPr="00073574">
              <w:t>AFR</w:t>
            </w:r>
            <w:r w:rsidR="00A91519" w:rsidRPr="00073574">
              <w:t xml:space="preserve"> meeting was held as a v</w:t>
            </w:r>
            <w:r w:rsidR="00FA3EA4" w:rsidRPr="00073574">
              <w:t>irtual</w:t>
            </w:r>
            <w:r w:rsidR="00A91519" w:rsidRPr="00073574">
              <w:t xml:space="preserve"> meeting on</w:t>
            </w:r>
            <w:r w:rsidR="00FA3EA4" w:rsidRPr="00073574">
              <w:t xml:space="preserve"> </w:t>
            </w:r>
            <w:r w:rsidR="00205C72" w:rsidRPr="00073574">
              <w:t>28 September 2021</w:t>
            </w:r>
            <w:r w:rsidR="00A91519" w:rsidRPr="00073574">
              <w:t>.</w:t>
            </w:r>
          </w:p>
          <w:p w14:paraId="144769E6" w14:textId="681A2012" w:rsidR="00A91C36" w:rsidRPr="00073574" w:rsidRDefault="00D17A97" w:rsidP="002E241A">
            <w:pPr>
              <w:pStyle w:val="ListParagraph"/>
              <w:numPr>
                <w:ilvl w:val="0"/>
                <w:numId w:val="35"/>
              </w:numPr>
              <w:contextualSpacing w:val="0"/>
            </w:pPr>
            <w:r w:rsidRPr="00073574">
              <w:t>SG5-RG-ARB meeting was organized as a virtual meeting on 29 September 2021</w:t>
            </w:r>
            <w:r w:rsidR="00C4235E" w:rsidRPr="00073574">
              <w:t>.</w:t>
            </w:r>
          </w:p>
          <w:p w14:paraId="2E691198" w14:textId="77777777" w:rsidR="00CF364A" w:rsidRPr="00073574" w:rsidRDefault="00585FED" w:rsidP="00CF364A">
            <w:pPr>
              <w:pStyle w:val="ListParagraph"/>
              <w:numPr>
                <w:ilvl w:val="0"/>
                <w:numId w:val="35"/>
              </w:numPr>
              <w:contextualSpacing w:val="0"/>
            </w:pPr>
            <w:r w:rsidRPr="00073574">
              <w:t>SG5-RG-</w:t>
            </w:r>
            <w:r w:rsidR="00C4235E" w:rsidRPr="00073574">
              <w:t xml:space="preserve">LATAM met </w:t>
            </w:r>
            <w:r w:rsidR="00452483" w:rsidRPr="00073574">
              <w:t xml:space="preserve">online </w:t>
            </w:r>
            <w:r w:rsidR="00C4235E" w:rsidRPr="00073574">
              <w:t>on 30 September 2021.</w:t>
            </w:r>
            <w:r w:rsidR="00CF364A" w:rsidRPr="00073574">
              <w:t xml:space="preserve"> </w:t>
            </w:r>
          </w:p>
          <w:p w14:paraId="1A85511E" w14:textId="0CDCE700" w:rsidR="00FC474C" w:rsidRPr="00073574" w:rsidRDefault="00CF364A" w:rsidP="00C41638">
            <w:pPr>
              <w:pStyle w:val="ListParagraph"/>
              <w:numPr>
                <w:ilvl w:val="0"/>
                <w:numId w:val="35"/>
              </w:numPr>
              <w:contextualSpacing w:val="0"/>
            </w:pPr>
            <w:r w:rsidRPr="00073574">
              <w:t>SG5-RG-AP met online on 19-20 October 2021.</w:t>
            </w:r>
          </w:p>
          <w:p w14:paraId="4FC4CAB3" w14:textId="77777777" w:rsidR="00A177A4" w:rsidRPr="00073574" w:rsidRDefault="00A177A4" w:rsidP="00A177A4">
            <w:pPr>
              <w:pStyle w:val="Headingib"/>
              <w:rPr>
                <w:szCs w:val="22"/>
              </w:rPr>
            </w:pPr>
            <w:r w:rsidRPr="00073574">
              <w:rPr>
                <w:szCs w:val="22"/>
              </w:rPr>
              <w:t>ITU-T Study Group 11</w:t>
            </w:r>
          </w:p>
          <w:p w14:paraId="4BA121F9" w14:textId="52E3DB24" w:rsidR="00A177A4" w:rsidRPr="00073574" w:rsidRDefault="00A177A4" w:rsidP="00471479">
            <w:pPr>
              <w:pStyle w:val="ListParagraph"/>
              <w:numPr>
                <w:ilvl w:val="0"/>
                <w:numId w:val="35"/>
              </w:numPr>
              <w:contextualSpacing w:val="0"/>
            </w:pPr>
            <w:r w:rsidRPr="00073574">
              <w:t>SG11</w:t>
            </w:r>
            <w:r w:rsidR="00B7647B" w:rsidRPr="00073574">
              <w:t>-</w:t>
            </w:r>
            <w:r w:rsidRPr="00073574">
              <w:t>RG-RCC met in Saint-Peterburg on 22 June 2017, then the group was renamed as Eastern Europe, Central Asia And Transcaucasia (SG11RG-EECAT).</w:t>
            </w:r>
          </w:p>
          <w:p w14:paraId="7FA12B57" w14:textId="77297514" w:rsidR="00A177A4" w:rsidRPr="00073574" w:rsidRDefault="00A177A4" w:rsidP="00471479">
            <w:pPr>
              <w:pStyle w:val="ListParagraph"/>
              <w:numPr>
                <w:ilvl w:val="0"/>
                <w:numId w:val="35"/>
              </w:numPr>
              <w:contextualSpacing w:val="0"/>
            </w:pPr>
            <w:r w:rsidRPr="00073574">
              <w:t>SG11</w:t>
            </w:r>
            <w:r w:rsidR="00B7647B" w:rsidRPr="00073574">
              <w:t>-</w:t>
            </w:r>
            <w:r w:rsidRPr="00073574">
              <w:t>RG-EECAT met in Saint-Peterburg on 05-06 June 2018</w:t>
            </w:r>
            <w:r w:rsidR="007B4AD7" w:rsidRPr="00073574">
              <w:t>,</w:t>
            </w:r>
            <w:r w:rsidRPr="00073574">
              <w:t xml:space="preserve"> 21-22 May 2019</w:t>
            </w:r>
            <w:r w:rsidR="007B4AD7" w:rsidRPr="00073574">
              <w:t xml:space="preserve"> and </w:t>
            </w:r>
            <w:r w:rsidR="007021A2" w:rsidRPr="00073574">
              <w:t xml:space="preserve">virtual on </w:t>
            </w:r>
            <w:r w:rsidR="007B4AD7" w:rsidRPr="00073574">
              <w:t>20 October 2021</w:t>
            </w:r>
            <w:r w:rsidRPr="00073574">
              <w:t>.</w:t>
            </w:r>
          </w:p>
          <w:p w14:paraId="43F60258" w14:textId="587523B9" w:rsidR="00A177A4" w:rsidRPr="00073574" w:rsidRDefault="00A177A4" w:rsidP="00471479">
            <w:pPr>
              <w:pStyle w:val="ListParagraph"/>
              <w:numPr>
                <w:ilvl w:val="0"/>
                <w:numId w:val="35"/>
              </w:numPr>
              <w:contextualSpacing w:val="0"/>
            </w:pPr>
            <w:r w:rsidRPr="00073574">
              <w:t>SG11</w:t>
            </w:r>
            <w:r w:rsidR="00B7647B" w:rsidRPr="00073574">
              <w:t>-</w:t>
            </w:r>
            <w:r w:rsidRPr="00073574">
              <w:t>RG-AFR met in Cairo (Egypt) on 6 April 2017, Tunis (Tunisia) on 23-25 April 2018 and 30 September – 02 October 2019.</w:t>
            </w:r>
          </w:p>
          <w:p w14:paraId="451ACCFB" w14:textId="776A4C17" w:rsidR="00F0236A" w:rsidRPr="00073574" w:rsidRDefault="00F0236A" w:rsidP="00DF36E1">
            <w:pPr>
              <w:pStyle w:val="Headingib"/>
              <w:rPr>
                <w:szCs w:val="22"/>
              </w:rPr>
            </w:pPr>
            <w:r w:rsidRPr="00073574">
              <w:rPr>
                <w:szCs w:val="22"/>
              </w:rPr>
              <w:t>ITU-T Study Group 12</w:t>
            </w:r>
          </w:p>
          <w:p w14:paraId="59B434A9" w14:textId="46E837AC" w:rsidR="008F5505" w:rsidRPr="00073574" w:rsidRDefault="00F37EBC" w:rsidP="000B70DA">
            <w:pPr>
              <w:pStyle w:val="ListParagraph"/>
              <w:numPr>
                <w:ilvl w:val="0"/>
                <w:numId w:val="35"/>
              </w:numPr>
              <w:overflowPunct w:val="0"/>
              <w:autoSpaceDE w:val="0"/>
              <w:autoSpaceDN w:val="0"/>
              <w:adjustRightInd w:val="0"/>
              <w:textAlignment w:val="baseline"/>
            </w:pPr>
            <w:r w:rsidRPr="00073574">
              <w:t xml:space="preserve">SG12-RG-AFR: </w:t>
            </w:r>
            <w:r w:rsidR="00FB56C1" w:rsidRPr="00073574">
              <w:t>Virtual</w:t>
            </w:r>
            <w:r w:rsidR="00A64ADD" w:rsidRPr="00073574">
              <w:t xml:space="preserve"> (September 2021); </w:t>
            </w:r>
            <w:r w:rsidRPr="00073574">
              <w:t>N'Djamena, Chad</w:t>
            </w:r>
            <w:r w:rsidR="00A64ADD" w:rsidRPr="00073574">
              <w:t xml:space="preserve"> (</w:t>
            </w:r>
            <w:r w:rsidRPr="00073574">
              <w:t>March 2020</w:t>
            </w:r>
            <w:r w:rsidR="00A64ADD" w:rsidRPr="00073574">
              <w:t>); Kigali, Rwanda (March 2019); Dakar, Senegal (</w:t>
            </w:r>
            <w:r w:rsidR="000B70DA" w:rsidRPr="00073574">
              <w:t>March 2018</w:t>
            </w:r>
            <w:r w:rsidR="00A64ADD" w:rsidRPr="00073574">
              <w:t>)</w:t>
            </w:r>
            <w:r w:rsidR="000B70DA" w:rsidRPr="00073574">
              <w:t xml:space="preserve">; Johannesburg, South Africa </w:t>
            </w:r>
            <w:r w:rsidR="00A674ED" w:rsidRPr="00073574">
              <w:t>(July</w:t>
            </w:r>
            <w:r w:rsidR="0033296B" w:rsidRPr="00073574">
              <w:t xml:space="preserve"> 2017</w:t>
            </w:r>
            <w:r w:rsidR="00A674ED" w:rsidRPr="00073574">
              <w:t>).</w:t>
            </w:r>
          </w:p>
          <w:p w14:paraId="30369A24" w14:textId="77777777" w:rsidR="00F0236A" w:rsidRPr="00073574" w:rsidRDefault="00F0236A" w:rsidP="00DF36E1">
            <w:pPr>
              <w:pStyle w:val="Headingib"/>
              <w:rPr>
                <w:szCs w:val="22"/>
              </w:rPr>
            </w:pPr>
            <w:r w:rsidRPr="00073574">
              <w:rPr>
                <w:szCs w:val="22"/>
              </w:rPr>
              <w:t>ITU-T Study Group 13</w:t>
            </w:r>
          </w:p>
          <w:p w14:paraId="6204BE28" w14:textId="0C7D74A2" w:rsidR="00F37EBC" w:rsidRPr="00073574" w:rsidRDefault="00F37EBC" w:rsidP="00471479">
            <w:pPr>
              <w:pStyle w:val="ListParagraph"/>
              <w:numPr>
                <w:ilvl w:val="0"/>
                <w:numId w:val="35"/>
              </w:numPr>
              <w:contextualSpacing w:val="0"/>
            </w:pPr>
            <w:r w:rsidRPr="00073574">
              <w:t xml:space="preserve">SG13-RG-AFR: </w:t>
            </w:r>
            <w:r w:rsidR="00A77AC3" w:rsidRPr="00073574">
              <w:t xml:space="preserve">Cairo, </w:t>
            </w:r>
            <w:r w:rsidR="00F32C91" w:rsidRPr="00073574">
              <w:t xml:space="preserve">Egypt </w:t>
            </w:r>
            <w:r w:rsidR="00E0111B" w:rsidRPr="00073574">
              <w:t xml:space="preserve">April </w:t>
            </w:r>
            <w:r w:rsidR="00F32C91" w:rsidRPr="00073574">
              <w:t>2017</w:t>
            </w:r>
            <w:r w:rsidR="00A77AC3" w:rsidRPr="00073574">
              <w:t xml:space="preserve">; </w:t>
            </w:r>
            <w:r w:rsidR="009C65A1" w:rsidRPr="00073574">
              <w:t>Abidjan, Cote D’Ivoire</w:t>
            </w:r>
            <w:r w:rsidR="00F84697" w:rsidRPr="00073574">
              <w:t xml:space="preserve"> </w:t>
            </w:r>
            <w:r w:rsidR="00E0111B" w:rsidRPr="00073574">
              <w:t xml:space="preserve">March </w:t>
            </w:r>
            <w:r w:rsidR="00F84697" w:rsidRPr="00073574">
              <w:t>2018;</w:t>
            </w:r>
            <w:r w:rsidR="00F32C91" w:rsidRPr="00073574">
              <w:t xml:space="preserve"> </w:t>
            </w:r>
            <w:r w:rsidRPr="00073574">
              <w:t>Abuja, Nigeria, February 2020</w:t>
            </w:r>
            <w:r w:rsidR="00134A22" w:rsidRPr="00073574">
              <w:t>; June 2021 virtual</w:t>
            </w:r>
            <w:r w:rsidRPr="00073574">
              <w:t>.</w:t>
            </w:r>
          </w:p>
          <w:p w14:paraId="39C43291" w14:textId="5877C587" w:rsidR="00F0236A" w:rsidRPr="00073574" w:rsidRDefault="00F0236A" w:rsidP="00471479">
            <w:pPr>
              <w:pStyle w:val="ListParagraph"/>
              <w:numPr>
                <w:ilvl w:val="0"/>
                <w:numId w:val="35"/>
              </w:numPr>
              <w:contextualSpacing w:val="0"/>
            </w:pPr>
            <w:r w:rsidRPr="00073574">
              <w:t>SG13, at its February 2017 meeting, confirmed the continuation of SG13RG-AFR with newly appointed leadership its regional group.</w:t>
            </w:r>
            <w:r w:rsidR="7DCB6381" w:rsidRPr="00073574">
              <w:t xml:space="preserve"> It has one meeting per year together with the workshop and BSG training.</w:t>
            </w:r>
            <w:r w:rsidR="109B7F9A" w:rsidRPr="00073574">
              <w:t xml:space="preserve"> In March 2019 SG13 set up a new SG13RG-EECAT that ha</w:t>
            </w:r>
            <w:r w:rsidR="009A061B" w:rsidRPr="00073574">
              <w:t>d</w:t>
            </w:r>
            <w:r w:rsidR="109B7F9A" w:rsidRPr="00073574">
              <w:t xml:space="preserve"> its inaugural meeting on 23 May 2019 in St Petersburg, Russia. </w:t>
            </w:r>
            <w:r w:rsidR="00AA06E6" w:rsidRPr="00073574">
              <w:t xml:space="preserve">The </w:t>
            </w:r>
            <w:r w:rsidR="467B406B" w:rsidRPr="00073574">
              <w:t>March 2020 SG13 meeting revised ToR for</w:t>
            </w:r>
            <w:r w:rsidR="00AA06E6" w:rsidRPr="00073574">
              <w:t xml:space="preserve"> </w:t>
            </w:r>
            <w:r w:rsidR="467B406B" w:rsidRPr="00073574">
              <w:t>the SG13RG-AFR.</w:t>
            </w:r>
          </w:p>
          <w:p w14:paraId="36D4B633" w14:textId="77777777" w:rsidR="00F0236A" w:rsidRPr="00073574" w:rsidRDefault="00F0236A" w:rsidP="00DF36E1">
            <w:pPr>
              <w:overflowPunct w:val="0"/>
              <w:autoSpaceDE w:val="0"/>
              <w:autoSpaceDN w:val="0"/>
              <w:adjustRightInd w:val="0"/>
              <w:textAlignment w:val="baseline"/>
              <w:rPr>
                <w:b/>
                <w:bCs/>
                <w:i/>
                <w:szCs w:val="22"/>
              </w:rPr>
            </w:pPr>
            <w:r w:rsidRPr="00073574">
              <w:rPr>
                <w:b/>
                <w:bCs/>
                <w:i/>
                <w:szCs w:val="22"/>
              </w:rPr>
              <w:t>ITU-T Study Group 17</w:t>
            </w:r>
          </w:p>
          <w:p w14:paraId="4CE1D172" w14:textId="6E4C883C" w:rsidR="006D3218" w:rsidRPr="00073574" w:rsidRDefault="6997CA7B" w:rsidP="00EB22B9">
            <w:pPr>
              <w:pStyle w:val="ListParagraph"/>
              <w:numPr>
                <w:ilvl w:val="0"/>
                <w:numId w:val="35"/>
              </w:numPr>
              <w:rPr>
                <w:rFonts w:eastAsia="Times New Roman"/>
                <w:bCs/>
              </w:rPr>
            </w:pPr>
            <w:r w:rsidRPr="00073574">
              <w:rPr>
                <w:rFonts w:eastAsia="Times New Roman"/>
              </w:rPr>
              <w:t xml:space="preserve">SG17 created the SG17 RG-AFR in last study period and created the SG17 RG-ARB at its first meeting in the 2017-2020 study period. SG17RG-ARB has held </w:t>
            </w:r>
            <w:r w:rsidR="00EA0FD1" w:rsidRPr="00073574">
              <w:rPr>
                <w:rFonts w:eastAsia="Times New Roman"/>
              </w:rPr>
              <w:t>three</w:t>
            </w:r>
            <w:r w:rsidRPr="00073574">
              <w:rPr>
                <w:rFonts w:eastAsia="Times New Roman"/>
              </w:rPr>
              <w:t xml:space="preserve"> meetings and SG17RG-AFR 2 meetings until 2020</w:t>
            </w:r>
            <w:r w:rsidR="00F0236A" w:rsidRPr="00073574">
              <w:t>.</w:t>
            </w:r>
          </w:p>
          <w:p w14:paraId="1F1AB10C" w14:textId="69873A47" w:rsidR="00643130" w:rsidRPr="00073574" w:rsidRDefault="00BA4B63" w:rsidP="002E241A">
            <w:pPr>
              <w:pStyle w:val="ListParagraph"/>
              <w:numPr>
                <w:ilvl w:val="0"/>
                <w:numId w:val="35"/>
              </w:numPr>
              <w:rPr>
                <w:rFonts w:eastAsia="Times New Roman"/>
                <w:b/>
              </w:rPr>
            </w:pPr>
            <w:r w:rsidRPr="00073574">
              <w:rPr>
                <w:rFonts w:eastAsia="Times New Roman"/>
                <w:bCs/>
              </w:rPr>
              <w:t xml:space="preserve">After approval of Recommendation ITU-T X.1060 </w:t>
            </w:r>
            <w:r w:rsidRPr="00073574">
              <w:rPr>
                <w:rFonts w:eastAsia="Times New Roman"/>
                <w:bCs/>
                <w:i/>
                <w:iCs/>
              </w:rPr>
              <w:t xml:space="preserve">Framework for creation and operation of Cyber Defence Centres (CDC) </w:t>
            </w:r>
            <w:r w:rsidR="00686924" w:rsidRPr="00073574">
              <w:rPr>
                <w:rFonts w:eastAsia="Times New Roman"/>
              </w:rPr>
              <w:t xml:space="preserve">in </w:t>
            </w:r>
            <w:r w:rsidR="00AC3EF8" w:rsidRPr="00073574">
              <w:rPr>
                <w:rFonts w:eastAsia="Times New Roman"/>
                <w:bCs/>
              </w:rPr>
              <w:t>June</w:t>
            </w:r>
            <w:r w:rsidR="00686924" w:rsidRPr="00073574">
              <w:rPr>
                <w:rFonts w:eastAsia="Times New Roman"/>
              </w:rPr>
              <w:t xml:space="preserve"> 2021,</w:t>
            </w:r>
            <w:r w:rsidR="00686924" w:rsidRPr="00073574">
              <w:rPr>
                <w:rFonts w:eastAsia="Times New Roman"/>
                <w:bCs/>
                <w:i/>
                <w:iCs/>
              </w:rPr>
              <w:t xml:space="preserve"> </w:t>
            </w:r>
            <w:r w:rsidRPr="00073574">
              <w:rPr>
                <w:rFonts w:eastAsia="Times New Roman"/>
                <w:bCs/>
              </w:rPr>
              <w:t xml:space="preserve">SG17RG-AFR expressed strong interest to implement </w:t>
            </w:r>
            <w:r w:rsidR="00AC3EF8" w:rsidRPr="00073574">
              <w:rPr>
                <w:rFonts w:eastAsia="Times New Roman"/>
                <w:bCs/>
              </w:rPr>
              <w:t xml:space="preserve">it </w:t>
            </w:r>
            <w:r w:rsidRPr="00073574">
              <w:rPr>
                <w:rFonts w:eastAsia="Times New Roman"/>
              </w:rPr>
              <w:t>in Africa.</w:t>
            </w:r>
            <w:r w:rsidRPr="00073574">
              <w:rPr>
                <w:rFonts w:eastAsia="Times New Roman"/>
                <w:bCs/>
                <w:i/>
                <w:iCs/>
              </w:rPr>
              <w:t xml:space="preserve"> </w:t>
            </w:r>
            <w:r w:rsidR="00AC3EF8" w:rsidRPr="00073574">
              <w:rPr>
                <w:rFonts w:eastAsia="Times New Roman"/>
                <w:bCs/>
              </w:rPr>
              <w:t xml:space="preserve">SG17RG-AFR </w:t>
            </w:r>
            <w:r w:rsidR="00EB22B9" w:rsidRPr="00073574">
              <w:rPr>
                <w:rFonts w:eastAsia="Times New Roman"/>
                <w:bCs/>
              </w:rPr>
              <w:t>held an e-meeting during the ATU-4 WTSA-20 preparatory meeting on 28 September 2021 with a tutorial by Q3/17</w:t>
            </w:r>
            <w:r w:rsidR="00AC3EF8" w:rsidRPr="00073574">
              <w:rPr>
                <w:rFonts w:eastAsia="Times New Roman"/>
                <w:bCs/>
              </w:rPr>
              <w:t xml:space="preserve"> and </w:t>
            </w:r>
            <w:r w:rsidR="00EB22B9" w:rsidRPr="00073574">
              <w:rPr>
                <w:rFonts w:eastAsia="Times New Roman"/>
                <w:bCs/>
              </w:rPr>
              <w:t>developed together with Q3/17 a questionnaire based on X.1060 to assess current and targeted CDC service capability in Africa</w:t>
            </w:r>
            <w:r w:rsidR="00E4067C" w:rsidRPr="00073574">
              <w:rPr>
                <w:rFonts w:eastAsia="Times New Roman"/>
                <w:bCs/>
              </w:rPr>
              <w:t xml:space="preserve">. </w:t>
            </w:r>
            <w:r w:rsidR="002849AE" w:rsidRPr="00073574">
              <w:rPr>
                <w:rFonts w:eastAsia="Times New Roman"/>
                <w:bCs/>
              </w:rPr>
              <w:t>T</w:t>
            </w:r>
            <w:r w:rsidR="00EB22B9" w:rsidRPr="00073574">
              <w:rPr>
                <w:rFonts w:eastAsia="Times New Roman"/>
                <w:bCs/>
              </w:rPr>
              <w:t xml:space="preserve">his </w:t>
            </w:r>
            <w:r w:rsidR="002849AE" w:rsidRPr="00073574">
              <w:rPr>
                <w:rFonts w:eastAsia="Times New Roman"/>
                <w:bCs/>
              </w:rPr>
              <w:t xml:space="preserve">online </w:t>
            </w:r>
            <w:hyperlink r:id="rId393" w:history="1">
              <w:r w:rsidR="00EB22B9" w:rsidRPr="00073574">
                <w:rPr>
                  <w:rStyle w:val="Hyperlink"/>
                  <w:rFonts w:eastAsia="Times New Roman"/>
                  <w:bCs/>
                </w:rPr>
                <w:t>survey</w:t>
              </w:r>
            </w:hyperlink>
            <w:r w:rsidR="00EB22B9" w:rsidRPr="00073574">
              <w:rPr>
                <w:rFonts w:eastAsia="Times New Roman"/>
                <w:bCs/>
              </w:rPr>
              <w:t xml:space="preserve"> </w:t>
            </w:r>
            <w:r w:rsidR="002849AE" w:rsidRPr="00073574">
              <w:rPr>
                <w:rFonts w:eastAsia="Times New Roman"/>
                <w:bCs/>
              </w:rPr>
              <w:t>was launched for</w:t>
            </w:r>
            <w:r w:rsidR="00EB22B9" w:rsidRPr="00073574">
              <w:rPr>
                <w:rFonts w:eastAsia="Times New Roman"/>
                <w:bCs/>
              </w:rPr>
              <w:t xml:space="preserve"> December 2021 – March 2022 as the first step</w:t>
            </w:r>
            <w:r w:rsidR="00E4067C" w:rsidRPr="00073574">
              <w:rPr>
                <w:rFonts w:eastAsia="Times New Roman"/>
                <w:bCs/>
              </w:rPr>
              <w:t xml:space="preserve"> </w:t>
            </w:r>
            <w:r w:rsidR="002849AE" w:rsidRPr="00073574">
              <w:rPr>
                <w:rFonts w:eastAsia="Times New Roman"/>
                <w:bCs/>
              </w:rPr>
              <w:t>for SG17RG</w:t>
            </w:r>
            <w:r w:rsidR="002849AE" w:rsidRPr="00073574">
              <w:rPr>
                <w:rFonts w:eastAsia="Times New Roman"/>
                <w:b/>
                <w:bCs/>
              </w:rPr>
              <w:t>-</w:t>
            </w:r>
            <w:r w:rsidR="002849AE" w:rsidRPr="00073574">
              <w:rPr>
                <w:rFonts w:eastAsia="Times New Roman"/>
                <w:bCs/>
              </w:rPr>
              <w:t xml:space="preserve">AFR effort to </w:t>
            </w:r>
            <w:r w:rsidR="00E4067C" w:rsidRPr="00073574">
              <w:rPr>
                <w:rFonts w:eastAsia="Times New Roman"/>
                <w:bCs/>
              </w:rPr>
              <w:t xml:space="preserve">develop an implementation guideline of </w:t>
            </w:r>
            <w:r w:rsidR="00D822A8" w:rsidRPr="00073574">
              <w:t xml:space="preserve">ITU-T </w:t>
            </w:r>
            <w:r w:rsidR="00E4067C" w:rsidRPr="00073574">
              <w:rPr>
                <w:rFonts w:eastAsia="Times New Roman"/>
                <w:bCs/>
              </w:rPr>
              <w:t>X.1060 for African countries</w:t>
            </w:r>
            <w:r w:rsidR="00551E22" w:rsidRPr="00073574">
              <w:rPr>
                <w:rFonts w:eastAsia="Times New Roman"/>
                <w:bCs/>
              </w:rPr>
              <w:t>.</w:t>
            </w:r>
          </w:p>
          <w:p w14:paraId="5B79ACA6" w14:textId="78440A0A" w:rsidR="00F0236A" w:rsidRPr="00073574" w:rsidRDefault="00F0236A" w:rsidP="000015F7">
            <w:pPr>
              <w:overflowPunct w:val="0"/>
              <w:autoSpaceDE w:val="0"/>
              <w:autoSpaceDN w:val="0"/>
              <w:adjustRightInd w:val="0"/>
              <w:textAlignment w:val="baseline"/>
              <w:rPr>
                <w:b/>
                <w:bCs/>
                <w:i/>
                <w:szCs w:val="22"/>
              </w:rPr>
            </w:pPr>
            <w:r w:rsidRPr="00073574">
              <w:rPr>
                <w:b/>
                <w:bCs/>
                <w:i/>
                <w:szCs w:val="22"/>
              </w:rPr>
              <w:t>ITU-T S</w:t>
            </w:r>
            <w:r w:rsidR="000015F7" w:rsidRPr="00073574">
              <w:rPr>
                <w:b/>
                <w:bCs/>
                <w:i/>
                <w:szCs w:val="22"/>
              </w:rPr>
              <w:t xml:space="preserve">tudy </w:t>
            </w:r>
            <w:r w:rsidRPr="00073574">
              <w:rPr>
                <w:b/>
                <w:bCs/>
                <w:i/>
                <w:szCs w:val="22"/>
              </w:rPr>
              <w:t>G</w:t>
            </w:r>
            <w:r w:rsidR="000015F7" w:rsidRPr="00073574">
              <w:rPr>
                <w:b/>
                <w:bCs/>
                <w:i/>
                <w:szCs w:val="22"/>
              </w:rPr>
              <w:t>roup 20</w:t>
            </w:r>
          </w:p>
          <w:p w14:paraId="188D38C9" w14:textId="2E86F604" w:rsidR="00F0236A" w:rsidRPr="00073574" w:rsidRDefault="00F0236A" w:rsidP="002E241A">
            <w:pPr>
              <w:pStyle w:val="ListParagraph"/>
              <w:numPr>
                <w:ilvl w:val="0"/>
                <w:numId w:val="35"/>
              </w:numPr>
              <w:contextualSpacing w:val="0"/>
              <w:rPr>
                <w:sz w:val="24"/>
              </w:rPr>
            </w:pPr>
            <w:r w:rsidRPr="00073574">
              <w:t>SG20 at its meeting created new regional groups for Regional Group for Latin America (RG-LATAM), for the African Region (RG-AFR), for the Arab Region (RG-ARB), and for Eastern Europe, Central Asia and Transcaucasia (RG-EECAT).</w:t>
            </w:r>
          </w:p>
          <w:p w14:paraId="039A4B05" w14:textId="795B822E" w:rsidR="001D7B12" w:rsidRPr="00073574" w:rsidRDefault="00652515" w:rsidP="001D7B12">
            <w:pPr>
              <w:pStyle w:val="ListParagraph"/>
              <w:numPr>
                <w:ilvl w:val="0"/>
                <w:numId w:val="35"/>
              </w:numPr>
              <w:contextualSpacing w:val="0"/>
            </w:pPr>
            <w:r w:rsidRPr="00073574">
              <w:t xml:space="preserve">SG20 Regional Group for Eastern Europe, Central Asia and Transcaucasia (SG20RG EECAT) held its meeting from 20 to 22 June 2017 in Saint Petersburg, Russian Federation. A </w:t>
            </w:r>
            <w:r w:rsidR="00300D60" w:rsidRPr="00073574">
              <w:t xml:space="preserve">second </w:t>
            </w:r>
            <w:r w:rsidRPr="00073574">
              <w:t xml:space="preserve">SG20RG-EECAT meeting </w:t>
            </w:r>
            <w:r w:rsidR="00300D60" w:rsidRPr="00073574">
              <w:t>was</w:t>
            </w:r>
            <w:r w:rsidRPr="00073574">
              <w:t xml:space="preserve"> held from 4 to 6 June 2018 in Saint Petersburg, </w:t>
            </w:r>
            <w:r w:rsidRPr="00073574">
              <w:lastRenderedPageBreak/>
              <w:t xml:space="preserve">Russian Federation. </w:t>
            </w:r>
            <w:r w:rsidR="003562E8" w:rsidRPr="00073574">
              <w:t xml:space="preserve">The third meeting of the SG20RG-EECAT was held from 26 to 28 February 2019 in Minsk, Belarus, It was collocated with a </w:t>
            </w:r>
            <w:hyperlink r:id="rId394">
              <w:r w:rsidR="003562E8" w:rsidRPr="00073574">
                <w:rPr>
                  <w:rStyle w:val="Hyperlink"/>
                </w:rPr>
                <w:t>Forum on "Smart sustainable cities: technological trends, success stories and future prospects"</w:t>
              </w:r>
            </w:hyperlink>
            <w:r w:rsidR="003562E8" w:rsidRPr="00073574">
              <w:t xml:space="preserve"> (26-27 February 2019) and an ITU Training on “Key performance indicators for smart sustainable cities to achieve the SDGs” (27 February 2019)</w:t>
            </w:r>
            <w:r w:rsidR="00762673" w:rsidRPr="00073574">
              <w:t>.</w:t>
            </w:r>
            <w:r w:rsidR="001D7B12" w:rsidRPr="00073574">
              <w:t xml:space="preserve"> The </w:t>
            </w:r>
            <w:r w:rsidR="003331F7" w:rsidRPr="00073574">
              <w:t xml:space="preserve">fourth </w:t>
            </w:r>
            <w:r w:rsidR="001D7B12" w:rsidRPr="00073574">
              <w:t>SG20RG-EECAT</w:t>
            </w:r>
            <w:r w:rsidR="00961DF5" w:rsidRPr="00073574">
              <w:t xml:space="preserve"> meeting took place on</w:t>
            </w:r>
            <w:r w:rsidR="001D7B12" w:rsidRPr="00073574">
              <w:t xml:space="preserve"> 5 March 2020</w:t>
            </w:r>
            <w:r w:rsidR="00961DF5" w:rsidRPr="00073574">
              <w:t xml:space="preserve"> in Minsk, Belarus. The fifth SG20RG-EECAT meeting took place </w:t>
            </w:r>
            <w:r w:rsidR="00C6400E" w:rsidRPr="00073574">
              <w:t xml:space="preserve">from 16-18 March 2021 in Minsk, Belarus. </w:t>
            </w:r>
          </w:p>
          <w:p w14:paraId="17E315A9" w14:textId="25422F57" w:rsidR="00652515" w:rsidRPr="00073574" w:rsidRDefault="00652515" w:rsidP="002E241A">
            <w:pPr>
              <w:pStyle w:val="ListParagraph"/>
              <w:numPr>
                <w:ilvl w:val="0"/>
                <w:numId w:val="35"/>
              </w:numPr>
              <w:contextualSpacing w:val="0"/>
            </w:pPr>
            <w:r w:rsidRPr="00073574">
              <w:t>SG20 Regional Group for the Arab region (SG20RG-ARB) held its first meeting from 9 to 10 August 2017 in Cairo, Egypt. A second meeting was held from 19 to 20 Novembe</w:t>
            </w:r>
            <w:r w:rsidR="00187B18" w:rsidRPr="00073574">
              <w:t>r 2017 in Riyadh, Saudi Arabia.</w:t>
            </w:r>
            <w:r w:rsidR="007208BF" w:rsidRPr="00073574">
              <w:t xml:space="preserve"> A third meeting was held on 7 October 2019 in Riyadh, Saudi Arabia.</w:t>
            </w:r>
          </w:p>
          <w:p w14:paraId="5F5EA677" w14:textId="5B87DC4B" w:rsidR="00F12550" w:rsidRPr="00073574" w:rsidRDefault="00652515" w:rsidP="002E241A">
            <w:pPr>
              <w:pStyle w:val="ListParagraph"/>
              <w:numPr>
                <w:ilvl w:val="0"/>
                <w:numId w:val="35"/>
              </w:numPr>
              <w:contextualSpacing w:val="0"/>
              <w:rPr>
                <w:sz w:val="24"/>
              </w:rPr>
            </w:pPr>
            <w:r w:rsidRPr="00073574">
              <w:t xml:space="preserve">SG20 Regional Group for the African region (SG20RG-AFR) </w:t>
            </w:r>
            <w:r w:rsidR="00300D60" w:rsidRPr="00073574">
              <w:t>held</w:t>
            </w:r>
            <w:r w:rsidRPr="00073574">
              <w:t xml:space="preserve"> its first meeting on 11 and 12 April 2018 in Zanzibar, Tanzania.</w:t>
            </w:r>
            <w:r w:rsidR="00762673" w:rsidRPr="00073574">
              <w:t xml:space="preserve"> SG20RG-AFR </w:t>
            </w:r>
            <w:r w:rsidR="0080008D" w:rsidRPr="00073574">
              <w:t>held</w:t>
            </w:r>
            <w:r w:rsidR="00762673" w:rsidRPr="00073574">
              <w:t xml:space="preserve"> its second meeting from 27 to 29 August 2019 in Abuja, Nigeria. The meeting t</w:t>
            </w:r>
            <w:r w:rsidR="0080008D" w:rsidRPr="00073574">
              <w:t>ook</w:t>
            </w:r>
            <w:r w:rsidR="00762673" w:rsidRPr="00073574">
              <w:t xml:space="preserve"> place during the First Digital African Week.</w:t>
            </w:r>
            <w:r w:rsidR="0080008D" w:rsidRPr="00073574">
              <w:t xml:space="preserve"> The third SG20RG-AFR meeting took place virtually on 3 June 2021. </w:t>
            </w:r>
          </w:p>
          <w:p w14:paraId="04F94B0C" w14:textId="588E0F6B" w:rsidR="00300D60" w:rsidRPr="00073574" w:rsidRDefault="222F01BC" w:rsidP="002E241A">
            <w:pPr>
              <w:pStyle w:val="ListParagraph"/>
              <w:numPr>
                <w:ilvl w:val="0"/>
                <w:numId w:val="35"/>
              </w:numPr>
              <w:contextualSpacing w:val="0"/>
              <w:rPr>
                <w:sz w:val="24"/>
              </w:rPr>
            </w:pPr>
            <w:r w:rsidRPr="00073574">
              <w:t>SG20 Regional Group for Latin America (SG20RG-LATAM) held its first meeting on 20 April 2018 in Cartagena de Indias, Colombia.</w:t>
            </w:r>
            <w:r w:rsidR="43401F41" w:rsidRPr="00073574">
              <w:t xml:space="preserve"> The second meeting of the SG20RG-LATAM </w:t>
            </w:r>
            <w:r w:rsidR="22AB083D" w:rsidRPr="00073574">
              <w:t>was</w:t>
            </w:r>
            <w:r w:rsidR="43401F41" w:rsidRPr="00073574">
              <w:t xml:space="preserve"> held on 11 and 12 September 2019 in San Salvador, El Salvador.</w:t>
            </w:r>
            <w:r w:rsidR="22AB083D" w:rsidRPr="00073574">
              <w:t xml:space="preserve"> A one-day BSG training was held on 12 September 2019.</w:t>
            </w:r>
            <w:r w:rsidR="3C7759D7" w:rsidRPr="00073574">
              <w:t xml:space="preserve"> The third meeting of the SG20RG-LATAM </w:t>
            </w:r>
            <w:r w:rsidR="00175499" w:rsidRPr="00073574">
              <w:t>took p</w:t>
            </w:r>
            <w:r w:rsidR="00DA42AE" w:rsidRPr="00073574">
              <w:t>l</w:t>
            </w:r>
            <w:r w:rsidR="00175499" w:rsidRPr="00073574">
              <w:t>ace</w:t>
            </w:r>
            <w:r w:rsidR="3C7759D7" w:rsidRPr="00073574">
              <w:t xml:space="preserve"> </w:t>
            </w:r>
            <w:r w:rsidR="37DE2662" w:rsidRPr="00073574">
              <w:t xml:space="preserve">virtually </w:t>
            </w:r>
            <w:r w:rsidR="3C7759D7" w:rsidRPr="00073574">
              <w:t xml:space="preserve">on 13 and </w:t>
            </w:r>
            <w:r w:rsidR="33F257B1" w:rsidRPr="00073574">
              <w:t>14 October 2020.</w:t>
            </w:r>
            <w:r w:rsidR="00DA42AE" w:rsidRPr="00073574">
              <w:t xml:space="preserve"> The next SG20RG-LATAM meeting will be held </w:t>
            </w:r>
            <w:r w:rsidR="005A0BEE" w:rsidRPr="00073574">
              <w:t>virtually on 20 September 2021.</w:t>
            </w:r>
          </w:p>
          <w:p w14:paraId="65E14DAB" w14:textId="0407E87F" w:rsidR="00F12550" w:rsidRPr="00073574" w:rsidRDefault="00F12550" w:rsidP="009C43D6">
            <w:pPr>
              <w:spacing w:after="40"/>
              <w:rPr>
                <w:sz w:val="24"/>
              </w:rPr>
            </w:pPr>
            <w:r w:rsidRPr="00073574">
              <w:rPr>
                <w:rFonts w:asciiTheme="majorBidi" w:hAnsiTheme="majorBidi" w:cstheme="majorBidi"/>
              </w:rPr>
              <w:t xml:space="preserve">In 2018, ITU </w:t>
            </w:r>
            <w:r w:rsidR="00762673" w:rsidRPr="00073574">
              <w:rPr>
                <w:rFonts w:asciiTheme="majorBidi" w:hAnsiTheme="majorBidi" w:cstheme="majorBidi"/>
              </w:rPr>
              <w:t>celebrated</w:t>
            </w:r>
            <w:r w:rsidRPr="00073574">
              <w:rPr>
                <w:rFonts w:asciiTheme="majorBidi" w:hAnsiTheme="majorBidi" w:cstheme="majorBidi"/>
              </w:rPr>
              <w:t xml:space="preserve"> 50 years of the existence of ITU-T Regional Groups, as the first 3 regional groups set up under ITU-T SG3 were established in 1968 by the 4th Plenary Assembly of the CCITT. ITU-T has, as of January 2018, 23 regional groups.</w:t>
            </w:r>
          </w:p>
        </w:tc>
      </w:tr>
      <w:tr w:rsidR="00F0236A" w:rsidRPr="00073574" w14:paraId="436D94F3" w14:textId="77777777" w:rsidTr="634A3A28">
        <w:trPr>
          <w:jc w:val="center"/>
        </w:trPr>
        <w:tc>
          <w:tcPr>
            <w:tcW w:w="1074" w:type="dxa"/>
            <w:vMerge w:val="restart"/>
            <w:tcBorders>
              <w:top w:val="single" w:sz="12" w:space="0" w:color="auto"/>
            </w:tcBorders>
            <w:shd w:val="clear" w:color="auto" w:fill="auto"/>
          </w:tcPr>
          <w:p w14:paraId="799A4297" w14:textId="7346049D" w:rsidR="00F0236A" w:rsidRPr="00073574" w:rsidRDefault="00F0236A" w:rsidP="00DF36E1">
            <w:pPr>
              <w:pStyle w:val="Tabletext"/>
              <w:keepNext/>
              <w:keepLines/>
            </w:pPr>
            <w:r w:rsidRPr="00073574">
              <w:rPr>
                <w:b/>
                <w:bCs/>
                <w:sz w:val="24"/>
                <w:szCs w:val="24"/>
              </w:rPr>
              <w:lastRenderedPageBreak/>
              <w:t>54-03</w:t>
            </w:r>
          </w:p>
          <w:p w14:paraId="2DF991FE" w14:textId="77777777" w:rsidR="00F0236A" w:rsidRPr="00073574" w:rsidRDefault="00F0236A" w:rsidP="00DF36E1">
            <w:pPr>
              <w:pStyle w:val="Tabletext"/>
              <w:keepNext/>
              <w:keepLines/>
              <w:rPr>
                <w:b/>
                <w:bCs/>
                <w:sz w:val="24"/>
                <w:szCs w:val="24"/>
              </w:rPr>
            </w:pPr>
            <w:r w:rsidRPr="00073574">
              <w:rPr>
                <w:b/>
                <w:bCs/>
                <w:sz w:val="24"/>
                <w:szCs w:val="24"/>
              </w:rPr>
              <w:t>(44-25)</w:t>
            </w:r>
          </w:p>
        </w:tc>
        <w:tc>
          <w:tcPr>
            <w:tcW w:w="4528" w:type="dxa"/>
            <w:tcBorders>
              <w:top w:val="single" w:sz="12" w:space="0" w:color="auto"/>
            </w:tcBorders>
            <w:shd w:val="clear" w:color="auto" w:fill="auto"/>
          </w:tcPr>
          <w:p w14:paraId="5A628FEB" w14:textId="77777777" w:rsidR="00F0236A" w:rsidRPr="00073574" w:rsidRDefault="00F0236A" w:rsidP="00DF36E1">
            <w:pPr>
              <w:pStyle w:val="Tabletext"/>
              <w:keepNext/>
              <w:keepLines/>
              <w:rPr>
                <w:b/>
                <w:bCs/>
                <w:sz w:val="24"/>
                <w:szCs w:val="24"/>
              </w:rPr>
            </w:pPr>
            <w:r w:rsidRPr="00073574">
              <w:rPr>
                <w:b/>
                <w:bCs/>
                <w:sz w:val="24"/>
                <w:szCs w:val="24"/>
              </w:rPr>
              <w:t xml:space="preserve">Regions to encourage the creation of regional standardization bodies as appropriate, develop draft terms of reference, and joint and coordinated meetings of such bodies with regional groups (see also </w:t>
            </w:r>
            <w:hyperlink w:anchor="Resolution_44" w:history="1">
              <w:r w:rsidRPr="00073574">
                <w:rPr>
                  <w:rStyle w:val="Hyperlink"/>
                  <w:b/>
                  <w:bCs/>
                  <w:sz w:val="24"/>
                  <w:szCs w:val="24"/>
                </w:rPr>
                <w:t>Resolution 44</w:t>
              </w:r>
            </w:hyperlink>
            <w:r w:rsidRPr="00073574">
              <w:rPr>
                <w:b/>
                <w:bCs/>
                <w:sz w:val="24"/>
                <w:szCs w:val="24"/>
              </w:rPr>
              <w:t>). (invite regions 2, 3)</w:t>
            </w:r>
          </w:p>
        </w:tc>
        <w:tc>
          <w:tcPr>
            <w:tcW w:w="1893" w:type="dxa"/>
            <w:tcBorders>
              <w:top w:val="single" w:sz="12" w:space="0" w:color="auto"/>
            </w:tcBorders>
            <w:shd w:val="clear" w:color="auto" w:fill="auto"/>
            <w:vAlign w:val="center"/>
          </w:tcPr>
          <w:p w14:paraId="123811A0"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64" w:type="dxa"/>
            <w:tcBorders>
              <w:top w:val="single" w:sz="12" w:space="0" w:color="auto"/>
            </w:tcBorders>
            <w:shd w:val="clear" w:color="auto" w:fill="auto"/>
            <w:vAlign w:val="center"/>
          </w:tcPr>
          <w:p w14:paraId="0C08E625"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4C71C3B3" w14:textId="77777777" w:rsidR="00F0236A" w:rsidRPr="00073574" w:rsidRDefault="00F0236A" w:rsidP="00DF36E1">
            <w:pPr>
              <w:pStyle w:val="Tabletext"/>
              <w:jc w:val="center"/>
              <w:rPr>
                <w:b/>
                <w:bCs/>
                <w:sz w:val="24"/>
                <w:szCs w:val="24"/>
              </w:rPr>
            </w:pPr>
          </w:p>
        </w:tc>
      </w:tr>
      <w:tr w:rsidR="00F0236A" w:rsidRPr="00073574" w14:paraId="726DD15D" w14:textId="77777777" w:rsidTr="634A3A28">
        <w:trPr>
          <w:jc w:val="center"/>
        </w:trPr>
        <w:tc>
          <w:tcPr>
            <w:tcW w:w="1074" w:type="dxa"/>
            <w:vMerge/>
          </w:tcPr>
          <w:p w14:paraId="5DF80FD5" w14:textId="77777777" w:rsidR="00F0236A" w:rsidRPr="00073574" w:rsidRDefault="00F0236A" w:rsidP="00DF36E1">
            <w:pPr>
              <w:pStyle w:val="Tabletext"/>
              <w:rPr>
                <w:sz w:val="24"/>
                <w:szCs w:val="24"/>
              </w:rPr>
            </w:pPr>
          </w:p>
        </w:tc>
        <w:tc>
          <w:tcPr>
            <w:tcW w:w="8921" w:type="dxa"/>
            <w:gridSpan w:val="4"/>
            <w:shd w:val="clear" w:color="auto" w:fill="auto"/>
          </w:tcPr>
          <w:p w14:paraId="54194645" w14:textId="6C0492CB" w:rsidR="001B5609" w:rsidRPr="00073574" w:rsidRDefault="001B5609" w:rsidP="002E241A">
            <w:pPr>
              <w:pStyle w:val="ListParagraph"/>
              <w:numPr>
                <w:ilvl w:val="0"/>
                <w:numId w:val="36"/>
              </w:numPr>
              <w:spacing w:before="40"/>
              <w:ind w:left="357" w:hanging="357"/>
              <w:contextualSpacing w:val="0"/>
            </w:pPr>
            <w:r w:rsidRPr="00073574">
              <w:t>SG3 utilizes its regional groups to develop regional ITU-T Recommendations.</w:t>
            </w:r>
          </w:p>
          <w:p w14:paraId="10844B41" w14:textId="4D3DBA1A" w:rsidR="00F0236A" w:rsidRPr="00073574" w:rsidRDefault="00F0236A" w:rsidP="002E241A">
            <w:pPr>
              <w:pStyle w:val="ListParagraph"/>
              <w:numPr>
                <w:ilvl w:val="0"/>
                <w:numId w:val="36"/>
              </w:numPr>
              <w:ind w:left="357" w:hanging="357"/>
              <w:contextualSpacing w:val="0"/>
              <w:rPr>
                <w:b/>
              </w:rPr>
            </w:pPr>
            <w:r w:rsidRPr="00073574">
              <w:t>SG17 at its first meeting created a new regional group for the Arab region.</w:t>
            </w:r>
          </w:p>
          <w:p w14:paraId="30DDF61F" w14:textId="5958B6C4" w:rsidR="003D16CE" w:rsidRPr="00073574" w:rsidRDefault="003D16CE" w:rsidP="002E241A">
            <w:pPr>
              <w:pStyle w:val="ListParagraph"/>
              <w:numPr>
                <w:ilvl w:val="0"/>
                <w:numId w:val="36"/>
              </w:numPr>
              <w:ind w:left="357" w:hanging="357"/>
              <w:contextualSpacing w:val="0"/>
            </w:pPr>
            <w:r w:rsidRPr="00073574">
              <w:t>In this study period, March 2019 meeting, SG13 established a new SG13RG-EECAT.</w:t>
            </w:r>
          </w:p>
          <w:p w14:paraId="3E47AD2B" w14:textId="0FF7CF72" w:rsidR="00F0236A" w:rsidRPr="00073574" w:rsidRDefault="00F0236A" w:rsidP="002E241A">
            <w:pPr>
              <w:pStyle w:val="ListParagraph"/>
              <w:numPr>
                <w:ilvl w:val="0"/>
                <w:numId w:val="36"/>
              </w:numPr>
              <w:ind w:left="357" w:hanging="357"/>
              <w:contextualSpacing w:val="0"/>
              <w:rPr>
                <w:b/>
              </w:rPr>
            </w:pPr>
            <w:r w:rsidRPr="00073574">
              <w:t>SG20 at its meeting created new regional groups for Regional Group for Latin America (RG-LATAM), for the African Region (RG-AFR), for the Arab Region (RG-ARB), and for Eastern Europe, Central Asia and Transcaucasia (RG-EECAT).</w:t>
            </w:r>
          </w:p>
          <w:p w14:paraId="37335E3B" w14:textId="386A1F85" w:rsidR="00762673" w:rsidRPr="00073574" w:rsidRDefault="00762673" w:rsidP="002E241A">
            <w:pPr>
              <w:pStyle w:val="ListParagraph"/>
              <w:numPr>
                <w:ilvl w:val="0"/>
                <w:numId w:val="36"/>
              </w:numPr>
              <w:contextualSpacing w:val="0"/>
              <w:rPr>
                <w:b/>
              </w:rPr>
            </w:pPr>
            <w:r w:rsidRPr="00073574">
              <w:t xml:space="preserve">The Second meeting of the ITU-T SG20RG-LATAM </w:t>
            </w:r>
            <w:r w:rsidR="007208BF" w:rsidRPr="00073574">
              <w:t>was</w:t>
            </w:r>
            <w:r w:rsidRPr="00073574">
              <w:t xml:space="preserve"> preceded by the Standardization Committee of Telecommunications Regional Technical Commission (COMTELCA) on 9-10 September 2019</w:t>
            </w:r>
            <w:r w:rsidRPr="00073574">
              <w:rPr>
                <w:b/>
              </w:rPr>
              <w:t>.</w:t>
            </w:r>
          </w:p>
          <w:p w14:paraId="5ECB1912" w14:textId="1EA2655B" w:rsidR="00F0236A" w:rsidRPr="00073574" w:rsidRDefault="00F0236A" w:rsidP="002E241A">
            <w:pPr>
              <w:pStyle w:val="ListParagraph"/>
              <w:numPr>
                <w:ilvl w:val="0"/>
                <w:numId w:val="36"/>
              </w:numPr>
              <w:ind w:left="357" w:hanging="357"/>
              <w:contextualSpacing w:val="0"/>
            </w:pPr>
            <w:r w:rsidRPr="00073574">
              <w:t>ITU-T now has 2</w:t>
            </w:r>
            <w:r w:rsidR="00D56380" w:rsidRPr="00073574">
              <w:t>4</w:t>
            </w:r>
            <w:r w:rsidRPr="00073574">
              <w:t xml:space="preserve"> regional groups:</w:t>
            </w:r>
          </w:p>
          <w:p w14:paraId="308DA833" w14:textId="31A7AFB5" w:rsidR="00F0236A" w:rsidRPr="00073574" w:rsidRDefault="00F0236A" w:rsidP="00E34692">
            <w:pPr>
              <w:pStyle w:val="ListParagraph"/>
              <w:numPr>
                <w:ilvl w:val="0"/>
                <w:numId w:val="44"/>
              </w:numPr>
              <w:contextualSpacing w:val="0"/>
              <w:rPr>
                <w:rFonts w:asciiTheme="majorBidi" w:hAnsiTheme="majorBidi" w:cstheme="majorBidi"/>
              </w:rPr>
            </w:pPr>
            <w:r w:rsidRPr="00073574">
              <w:rPr>
                <w:rFonts w:asciiTheme="majorBidi" w:hAnsiTheme="majorBidi" w:cstheme="majorBidi"/>
              </w:rPr>
              <w:t xml:space="preserve">Eight for Africa (Study Groups 2, 3, 5, </w:t>
            </w:r>
            <w:r w:rsidR="00FC7A1A" w:rsidRPr="00073574">
              <w:rPr>
                <w:rFonts w:asciiTheme="majorBidi" w:hAnsiTheme="majorBidi" w:cstheme="majorBidi"/>
              </w:rPr>
              <w:t xml:space="preserve">11, </w:t>
            </w:r>
            <w:r w:rsidRPr="00073574">
              <w:rPr>
                <w:rFonts w:asciiTheme="majorBidi" w:hAnsiTheme="majorBidi" w:cstheme="majorBidi"/>
              </w:rPr>
              <w:t>12, 13, 17, and 20)</w:t>
            </w:r>
          </w:p>
          <w:p w14:paraId="457A6C24" w14:textId="090C92AA" w:rsidR="00F0236A" w:rsidRPr="00073574" w:rsidRDefault="00F0236A" w:rsidP="00E34692">
            <w:pPr>
              <w:pStyle w:val="ListParagraph"/>
              <w:numPr>
                <w:ilvl w:val="0"/>
                <w:numId w:val="44"/>
              </w:numPr>
              <w:contextualSpacing w:val="0"/>
              <w:rPr>
                <w:rFonts w:asciiTheme="majorBidi" w:hAnsiTheme="majorBidi" w:cstheme="majorBidi"/>
              </w:rPr>
            </w:pPr>
            <w:r w:rsidRPr="00073574">
              <w:rPr>
                <w:rFonts w:asciiTheme="majorBidi" w:hAnsiTheme="majorBidi" w:cstheme="majorBidi"/>
              </w:rPr>
              <w:t>Four for the Americas (Study Groups 2, 3, 5, 20)</w:t>
            </w:r>
          </w:p>
          <w:p w14:paraId="2A18ACF3" w14:textId="77777777" w:rsidR="00F0236A" w:rsidRPr="00073574" w:rsidRDefault="00F0236A" w:rsidP="00E34692">
            <w:pPr>
              <w:pStyle w:val="ListParagraph"/>
              <w:numPr>
                <w:ilvl w:val="0"/>
                <w:numId w:val="44"/>
              </w:numPr>
              <w:contextualSpacing w:val="0"/>
              <w:rPr>
                <w:rFonts w:asciiTheme="majorBidi" w:hAnsiTheme="majorBidi" w:cstheme="majorBidi"/>
              </w:rPr>
            </w:pPr>
            <w:r w:rsidRPr="00073574">
              <w:rPr>
                <w:rFonts w:asciiTheme="majorBidi" w:hAnsiTheme="majorBidi" w:cstheme="majorBidi"/>
              </w:rPr>
              <w:t>Five for the Arab States (Study Groups 2, 3, 5, 17, and 20)</w:t>
            </w:r>
          </w:p>
          <w:p w14:paraId="0FAFA479" w14:textId="77777777" w:rsidR="00F0236A" w:rsidRPr="00073574" w:rsidRDefault="00F0236A" w:rsidP="00E34692">
            <w:pPr>
              <w:pStyle w:val="ListParagraph"/>
              <w:numPr>
                <w:ilvl w:val="0"/>
                <w:numId w:val="44"/>
              </w:numPr>
              <w:contextualSpacing w:val="0"/>
              <w:rPr>
                <w:rFonts w:asciiTheme="majorBidi" w:hAnsiTheme="majorBidi" w:cstheme="majorBidi"/>
              </w:rPr>
            </w:pPr>
            <w:r w:rsidRPr="00073574">
              <w:rPr>
                <w:rFonts w:asciiTheme="majorBidi" w:hAnsiTheme="majorBidi" w:cstheme="majorBidi"/>
              </w:rPr>
              <w:t>Two for Asia and the Pacific (Study Groups 3 and 5)</w:t>
            </w:r>
          </w:p>
          <w:p w14:paraId="6045604A" w14:textId="193EF233" w:rsidR="00F0236A" w:rsidRPr="00073574" w:rsidRDefault="00D56380" w:rsidP="00E34692">
            <w:pPr>
              <w:pStyle w:val="ListParagraph"/>
              <w:numPr>
                <w:ilvl w:val="0"/>
                <w:numId w:val="44"/>
              </w:numPr>
              <w:contextualSpacing w:val="0"/>
              <w:rPr>
                <w:rFonts w:asciiTheme="majorBidi" w:hAnsiTheme="majorBidi" w:cstheme="majorBidi"/>
              </w:rPr>
            </w:pPr>
            <w:r w:rsidRPr="00073574">
              <w:rPr>
                <w:rFonts w:asciiTheme="majorBidi" w:hAnsiTheme="majorBidi" w:cstheme="majorBidi"/>
              </w:rPr>
              <w:lastRenderedPageBreak/>
              <w:t xml:space="preserve">Four </w:t>
            </w:r>
            <w:r w:rsidR="00F0236A" w:rsidRPr="00073574">
              <w:rPr>
                <w:rFonts w:asciiTheme="majorBidi" w:hAnsiTheme="majorBidi" w:cstheme="majorBidi"/>
              </w:rPr>
              <w:t xml:space="preserve">for Eastern Europe, Central Asia and Transcaucasia (Study Groups 3, 11, </w:t>
            </w:r>
            <w:r w:rsidRPr="00073574">
              <w:rPr>
                <w:rFonts w:asciiTheme="majorBidi" w:hAnsiTheme="majorBidi" w:cstheme="majorBidi"/>
              </w:rPr>
              <w:t xml:space="preserve">13, </w:t>
            </w:r>
            <w:r w:rsidR="00F0236A" w:rsidRPr="00073574">
              <w:rPr>
                <w:rFonts w:asciiTheme="majorBidi" w:hAnsiTheme="majorBidi" w:cstheme="majorBidi"/>
              </w:rPr>
              <w:t>and 20).</w:t>
            </w:r>
          </w:p>
          <w:p w14:paraId="608BE8C6" w14:textId="5DB01AFE" w:rsidR="00F0236A" w:rsidRPr="00073574" w:rsidRDefault="00F0236A" w:rsidP="00E34692">
            <w:pPr>
              <w:pStyle w:val="ListParagraph"/>
              <w:numPr>
                <w:ilvl w:val="0"/>
                <w:numId w:val="44"/>
              </w:numPr>
              <w:ind w:left="714" w:hanging="357"/>
              <w:contextualSpacing w:val="0"/>
            </w:pPr>
            <w:r w:rsidRPr="00073574">
              <w:rPr>
                <w:rFonts w:asciiTheme="majorBidi" w:hAnsiTheme="majorBidi" w:cstheme="majorBidi"/>
              </w:rPr>
              <w:t>One for Europe and the Mediterranean</w:t>
            </w:r>
            <w:r w:rsidRPr="00073574">
              <w:t xml:space="preserve"> Basin (Study Group 3).</w:t>
            </w:r>
          </w:p>
        </w:tc>
      </w:tr>
      <w:tr w:rsidR="00F0236A" w:rsidRPr="00073574" w14:paraId="394FA30F" w14:textId="77777777" w:rsidTr="634A3A28">
        <w:trPr>
          <w:jc w:val="center"/>
        </w:trPr>
        <w:tc>
          <w:tcPr>
            <w:tcW w:w="1074" w:type="dxa"/>
            <w:vMerge w:val="restart"/>
            <w:tcBorders>
              <w:top w:val="single" w:sz="12" w:space="0" w:color="auto"/>
            </w:tcBorders>
            <w:shd w:val="clear" w:color="auto" w:fill="auto"/>
          </w:tcPr>
          <w:p w14:paraId="7A05CA07" w14:textId="77777777" w:rsidR="00F0236A" w:rsidRPr="00073574" w:rsidRDefault="00F0236A" w:rsidP="00712C10">
            <w:pPr>
              <w:pStyle w:val="Tabletext"/>
              <w:keepNext/>
            </w:pPr>
            <w:r w:rsidRPr="00073574">
              <w:rPr>
                <w:b/>
                <w:bCs/>
                <w:sz w:val="24"/>
                <w:szCs w:val="24"/>
              </w:rPr>
              <w:lastRenderedPageBreak/>
              <w:t>54-04</w:t>
            </w:r>
          </w:p>
          <w:p w14:paraId="4B246873" w14:textId="77777777" w:rsidR="00F0236A" w:rsidRPr="00073574" w:rsidRDefault="00F0236A" w:rsidP="00DF36E1">
            <w:pPr>
              <w:pStyle w:val="Tabletext"/>
              <w:keepNext/>
              <w:keepLines/>
              <w:rPr>
                <w:b/>
                <w:bCs/>
                <w:sz w:val="24"/>
                <w:szCs w:val="24"/>
              </w:rPr>
            </w:pPr>
            <w:r w:rsidRPr="00073574">
              <w:rPr>
                <w:b/>
                <w:bCs/>
                <w:sz w:val="24"/>
                <w:szCs w:val="24"/>
              </w:rPr>
              <w:t>(</w:t>
            </w:r>
            <w:hyperlink w:anchor="Item44_14" w:history="1">
              <w:r w:rsidRPr="00073574">
                <w:rPr>
                  <w:b/>
                  <w:bCs/>
                  <w:sz w:val="24"/>
                  <w:szCs w:val="24"/>
                </w:rPr>
                <w:t>44-14</w:t>
              </w:r>
            </w:hyperlink>
            <w:r w:rsidRPr="00073574">
              <w:rPr>
                <w:b/>
                <w:bCs/>
                <w:sz w:val="24"/>
                <w:szCs w:val="24"/>
              </w:rPr>
              <w:t>)</w:t>
            </w:r>
          </w:p>
        </w:tc>
        <w:tc>
          <w:tcPr>
            <w:tcW w:w="4528" w:type="dxa"/>
            <w:tcBorders>
              <w:top w:val="single" w:sz="12" w:space="0" w:color="auto"/>
            </w:tcBorders>
            <w:shd w:val="clear" w:color="auto" w:fill="auto"/>
            <w:hideMark/>
          </w:tcPr>
          <w:p w14:paraId="4EC7F1FF" w14:textId="77777777" w:rsidR="00F0236A" w:rsidRPr="00073574" w:rsidRDefault="00F0236A" w:rsidP="00DF36E1">
            <w:pPr>
              <w:pStyle w:val="Tabletext"/>
              <w:keepNext/>
              <w:keepLines/>
              <w:rPr>
                <w:b/>
                <w:bCs/>
                <w:sz w:val="24"/>
                <w:szCs w:val="24"/>
              </w:rPr>
            </w:pPr>
            <w:r w:rsidRPr="00073574">
              <w:rPr>
                <w:b/>
                <w:bCs/>
                <w:sz w:val="24"/>
                <w:szCs w:val="24"/>
              </w:rPr>
              <w:t>SGs and TSAG to coordinate joint meetings of regional groups (i. RGs)</w:t>
            </w:r>
          </w:p>
        </w:tc>
        <w:tc>
          <w:tcPr>
            <w:tcW w:w="1893" w:type="dxa"/>
            <w:tcBorders>
              <w:top w:val="single" w:sz="12" w:space="0" w:color="auto"/>
            </w:tcBorders>
            <w:shd w:val="clear" w:color="auto" w:fill="auto"/>
            <w:vAlign w:val="center"/>
            <w:hideMark/>
          </w:tcPr>
          <w:p w14:paraId="679BA4E4"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64" w:type="dxa"/>
            <w:tcBorders>
              <w:top w:val="single" w:sz="12" w:space="0" w:color="auto"/>
            </w:tcBorders>
            <w:shd w:val="clear" w:color="auto" w:fill="auto"/>
            <w:vAlign w:val="center"/>
          </w:tcPr>
          <w:p w14:paraId="5911B630"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178736D7" w14:textId="77777777" w:rsidR="00F0236A" w:rsidRPr="00073574" w:rsidRDefault="00F0236A" w:rsidP="00DF36E1">
            <w:pPr>
              <w:pStyle w:val="Tabletext"/>
              <w:jc w:val="center"/>
              <w:rPr>
                <w:b/>
                <w:bCs/>
                <w:sz w:val="24"/>
                <w:szCs w:val="24"/>
              </w:rPr>
            </w:pPr>
          </w:p>
        </w:tc>
      </w:tr>
      <w:tr w:rsidR="00F0236A" w:rsidRPr="00073574" w14:paraId="1258BC51" w14:textId="77777777" w:rsidTr="634A3A28">
        <w:trPr>
          <w:jc w:val="center"/>
        </w:trPr>
        <w:tc>
          <w:tcPr>
            <w:tcW w:w="1074" w:type="dxa"/>
            <w:vMerge/>
          </w:tcPr>
          <w:p w14:paraId="3F2F3ED5" w14:textId="77777777" w:rsidR="00F0236A" w:rsidRPr="00073574" w:rsidRDefault="00F0236A" w:rsidP="00DF36E1">
            <w:pPr>
              <w:pStyle w:val="Tabletext"/>
              <w:rPr>
                <w:sz w:val="24"/>
                <w:szCs w:val="24"/>
              </w:rPr>
            </w:pPr>
          </w:p>
        </w:tc>
        <w:tc>
          <w:tcPr>
            <w:tcW w:w="8921" w:type="dxa"/>
            <w:gridSpan w:val="4"/>
            <w:tcBorders>
              <w:bottom w:val="single" w:sz="12" w:space="0" w:color="auto"/>
            </w:tcBorders>
            <w:shd w:val="clear" w:color="auto" w:fill="auto"/>
          </w:tcPr>
          <w:p w14:paraId="128A36B1" w14:textId="51C98206" w:rsidR="00F0236A" w:rsidRPr="00073574" w:rsidRDefault="00F0236A" w:rsidP="002E241A">
            <w:pPr>
              <w:pStyle w:val="ListParagraph"/>
              <w:numPr>
                <w:ilvl w:val="0"/>
                <w:numId w:val="36"/>
              </w:numPr>
              <w:spacing w:before="40"/>
              <w:ind w:left="357" w:hanging="357"/>
              <w:contextualSpacing w:val="0"/>
            </w:pPr>
            <w:r w:rsidRPr="00073574">
              <w:t>SG2RG-AMR and SG3RG-LAC met back-to-back 6-10 March 2017 including a regional standardisation forum in Trinidad Tobago.</w:t>
            </w:r>
            <w:r w:rsidR="00701468" w:rsidRPr="00073574">
              <w:t xml:space="preserve"> SG2 Regional Group for Africa, SG2 Regional Group for Arab states, and SG3 Regional Group for Arab States had a collocated meeting in Dubai, United Arab Emirates, 2019.</w:t>
            </w:r>
            <w:r w:rsidR="00CF5A8C" w:rsidRPr="00073574">
              <w:t xml:space="preserve"> </w:t>
            </w:r>
            <w:r w:rsidR="00AF2BE1" w:rsidRPr="00073574">
              <w:t>SG2RG-AFR and SG2RG-ARB held a joint e-meeting on 17 May 2021.</w:t>
            </w:r>
          </w:p>
          <w:p w14:paraId="51DD6A88" w14:textId="77777777" w:rsidR="008570B5" w:rsidRPr="00073574" w:rsidRDefault="008570B5" w:rsidP="002E241A">
            <w:pPr>
              <w:pStyle w:val="ListParagraph"/>
              <w:numPr>
                <w:ilvl w:val="0"/>
                <w:numId w:val="36"/>
              </w:numPr>
              <w:contextualSpacing w:val="0"/>
            </w:pPr>
            <w:r w:rsidRPr="00073574">
              <w:t>SG2RG-AMR was co-located with SG3RG-LAC in Managua, Nicaragua in March 2019.</w:t>
            </w:r>
          </w:p>
          <w:p w14:paraId="7779BC22" w14:textId="4881DCA5" w:rsidR="0052494B" w:rsidRPr="00073574" w:rsidRDefault="0052494B" w:rsidP="002E241A">
            <w:pPr>
              <w:pStyle w:val="ListParagraph"/>
              <w:numPr>
                <w:ilvl w:val="0"/>
                <w:numId w:val="36"/>
              </w:numPr>
              <w:contextualSpacing w:val="0"/>
            </w:pPr>
            <w:r w:rsidRPr="00073574">
              <w:t>SG3RG</w:t>
            </w:r>
            <w:r w:rsidR="005F32ED" w:rsidRPr="00073574">
              <w:t>-</w:t>
            </w:r>
            <w:r w:rsidRPr="00073574">
              <w:t>ARB back-to-back with SG5RG</w:t>
            </w:r>
            <w:r w:rsidR="00E579EB" w:rsidRPr="00073574">
              <w:t>-</w:t>
            </w:r>
            <w:r w:rsidRPr="00073574">
              <w:t>ARB in Kuwait City (Kuwait) in December 2018.</w:t>
            </w:r>
          </w:p>
          <w:p w14:paraId="69686360" w14:textId="399515C2" w:rsidR="0052494B" w:rsidRPr="00073574" w:rsidRDefault="0052494B" w:rsidP="002E241A">
            <w:pPr>
              <w:pStyle w:val="ListParagraph"/>
              <w:numPr>
                <w:ilvl w:val="0"/>
                <w:numId w:val="36"/>
              </w:numPr>
              <w:contextualSpacing w:val="0"/>
            </w:pPr>
            <w:r w:rsidRPr="00073574">
              <w:t>SG3RG</w:t>
            </w:r>
            <w:r w:rsidR="00E579EB" w:rsidRPr="00073574">
              <w:t>-</w:t>
            </w:r>
            <w:r w:rsidRPr="00073574">
              <w:t>EECAT back-to</w:t>
            </w:r>
            <w:r w:rsidR="00546FC9" w:rsidRPr="00073574">
              <w:t>-</w:t>
            </w:r>
            <w:r w:rsidRPr="00073574">
              <w:t xml:space="preserve">back with </w:t>
            </w:r>
            <w:r w:rsidRPr="00073574">
              <w:rPr>
                <w:rFonts w:asciiTheme="majorBidi" w:hAnsiTheme="majorBidi" w:cstheme="majorBidi"/>
              </w:rPr>
              <w:t>SG11RG</w:t>
            </w:r>
            <w:r w:rsidR="00E579EB" w:rsidRPr="00073574">
              <w:rPr>
                <w:rFonts w:asciiTheme="majorBidi" w:hAnsiTheme="majorBidi" w:cstheme="majorBidi"/>
              </w:rPr>
              <w:t>-</w:t>
            </w:r>
            <w:r w:rsidRPr="00073574">
              <w:rPr>
                <w:rFonts w:asciiTheme="majorBidi" w:hAnsiTheme="majorBidi" w:cstheme="majorBidi"/>
              </w:rPr>
              <w:t>EECAT back-to-back with SG13RG</w:t>
            </w:r>
            <w:r w:rsidR="00E579EB" w:rsidRPr="00073574">
              <w:rPr>
                <w:rFonts w:asciiTheme="majorBidi" w:hAnsiTheme="majorBidi" w:cstheme="majorBidi"/>
              </w:rPr>
              <w:t>-</w:t>
            </w:r>
            <w:r w:rsidRPr="00073574">
              <w:rPr>
                <w:rFonts w:asciiTheme="majorBidi" w:hAnsiTheme="majorBidi" w:cstheme="majorBidi"/>
              </w:rPr>
              <w:t xml:space="preserve">EECAT in </w:t>
            </w:r>
            <w:r w:rsidRPr="00073574">
              <w:t>Saint Petersburg, Russian Federation, in May 2019.</w:t>
            </w:r>
          </w:p>
          <w:p w14:paraId="7067751E" w14:textId="10034B31" w:rsidR="00821890" w:rsidRPr="00073574" w:rsidRDefault="00821890" w:rsidP="002E241A">
            <w:pPr>
              <w:pStyle w:val="ListParagraph"/>
              <w:numPr>
                <w:ilvl w:val="0"/>
                <w:numId w:val="36"/>
              </w:numPr>
              <w:contextualSpacing w:val="0"/>
            </w:pPr>
            <w:r w:rsidRPr="00073574">
              <w:t>SG3 and SG20 regional groups for the Arab Region had collocated meeting from 19 to 22 November 2017.</w:t>
            </w:r>
          </w:p>
          <w:p w14:paraId="3122166A" w14:textId="20AE4A65" w:rsidR="00300D60" w:rsidRPr="00073574" w:rsidRDefault="00300D60" w:rsidP="002E241A">
            <w:pPr>
              <w:pStyle w:val="ListParagraph"/>
              <w:numPr>
                <w:ilvl w:val="0"/>
                <w:numId w:val="36"/>
              </w:numPr>
              <w:contextualSpacing w:val="0"/>
            </w:pPr>
            <w:r w:rsidRPr="00073574">
              <w:t xml:space="preserve">SG3 and SG5 regional groups for the Arab Region </w:t>
            </w:r>
            <w:r w:rsidR="00762673" w:rsidRPr="00073574">
              <w:t>met</w:t>
            </w:r>
            <w:r w:rsidRPr="00073574">
              <w:t xml:space="preserve"> </w:t>
            </w:r>
            <w:r w:rsidR="008E7EA2" w:rsidRPr="00073574">
              <w:t xml:space="preserve">from 17 to 20 December 2018 in Kuwait </w:t>
            </w:r>
            <w:r w:rsidR="000B0231" w:rsidRPr="00073574">
              <w:t>C</w:t>
            </w:r>
            <w:r w:rsidR="008E7EA2" w:rsidRPr="00073574">
              <w:t xml:space="preserve">ity, Kuwait. An ITU Regional Standardization Forum on Emerging Economic, Regulatory and Policy Trends in Fast-Changing Digital World </w:t>
            </w:r>
            <w:r w:rsidR="00762673" w:rsidRPr="00073574">
              <w:t>took</w:t>
            </w:r>
            <w:r w:rsidR="008E7EA2" w:rsidRPr="00073574">
              <w:t xml:space="preserve"> place on 17 December 2018. The Annual Regional Forum on IoT </w:t>
            </w:r>
            <w:r w:rsidR="00762673" w:rsidRPr="00073574">
              <w:t>took</w:t>
            </w:r>
            <w:r w:rsidR="008E7EA2" w:rsidRPr="00073574">
              <w:t xml:space="preserve"> place on 17 December and the Arab Standardization Team meeting </w:t>
            </w:r>
            <w:r w:rsidR="00762673" w:rsidRPr="00073574">
              <w:t>took</w:t>
            </w:r>
            <w:r w:rsidR="008E7EA2" w:rsidRPr="00073574">
              <w:t xml:space="preserve"> place on 20 December 2018.</w:t>
            </w:r>
          </w:p>
          <w:p w14:paraId="5C88CEB7" w14:textId="6DC9E47B" w:rsidR="00542382" w:rsidRPr="00073574" w:rsidRDefault="00542382" w:rsidP="002E241A">
            <w:pPr>
              <w:pStyle w:val="ListParagraph"/>
              <w:numPr>
                <w:ilvl w:val="0"/>
                <w:numId w:val="36"/>
              </w:numPr>
              <w:contextualSpacing w:val="0"/>
            </w:pPr>
            <w:r w:rsidRPr="00073574">
              <w:t xml:space="preserve">SG5RG-AFR, SG20RG-AFR and SG5RG-ARB </w:t>
            </w:r>
            <w:r w:rsidR="00300D60" w:rsidRPr="00073574">
              <w:t>met</w:t>
            </w:r>
            <w:r w:rsidRPr="00073574">
              <w:t xml:space="preserve"> in Zanzibar, Tanzania from 9 to 12 April 2018.</w:t>
            </w:r>
          </w:p>
          <w:p w14:paraId="12B5CFAB" w14:textId="0BA11912" w:rsidR="00542382" w:rsidRPr="00073574" w:rsidRDefault="00542382" w:rsidP="002E241A">
            <w:pPr>
              <w:pStyle w:val="ListParagraph"/>
              <w:numPr>
                <w:ilvl w:val="0"/>
                <w:numId w:val="36"/>
              </w:numPr>
              <w:contextualSpacing w:val="0"/>
            </w:pPr>
            <w:r w:rsidRPr="00073574">
              <w:t xml:space="preserve">SG5RG-LATAM and SG20RG-LATAM </w:t>
            </w:r>
            <w:r w:rsidR="00300D60" w:rsidRPr="00073574">
              <w:t>met</w:t>
            </w:r>
            <w:r w:rsidRPr="00073574">
              <w:t xml:space="preserve"> from 19 to 20 April 2018 in Cartagena de Indias, Colombia.</w:t>
            </w:r>
          </w:p>
          <w:p w14:paraId="3E4B7120" w14:textId="16DB667C" w:rsidR="00762673" w:rsidRPr="00073574" w:rsidRDefault="00762673" w:rsidP="002E241A">
            <w:pPr>
              <w:pStyle w:val="ListParagraph"/>
              <w:numPr>
                <w:ilvl w:val="0"/>
                <w:numId w:val="36"/>
              </w:numPr>
              <w:contextualSpacing w:val="0"/>
            </w:pPr>
            <w:r w:rsidRPr="00073574">
              <w:t>SG5RG-AFR and SG20RG-AFR met from 27 to 30 August in Abuja Nigeria, during the First Digital African Week.</w:t>
            </w:r>
          </w:p>
          <w:p w14:paraId="5B60D873" w14:textId="46956F2C" w:rsidR="00F0236A" w:rsidRPr="00073574" w:rsidRDefault="003E386D" w:rsidP="002E241A">
            <w:pPr>
              <w:pStyle w:val="ListParagraph"/>
              <w:numPr>
                <w:ilvl w:val="0"/>
                <w:numId w:val="36"/>
              </w:numPr>
              <w:contextualSpacing w:val="0"/>
            </w:pPr>
            <w:r w:rsidRPr="00073574">
              <w:t>SG11</w:t>
            </w:r>
            <w:r w:rsidR="00F0236A" w:rsidRPr="00073574">
              <w:t>RG-AFR and SG13 RG-AFR met in Cairo 2-6 April 2017.</w:t>
            </w:r>
          </w:p>
          <w:p w14:paraId="7A25FD02" w14:textId="33E78C1F" w:rsidR="004F2C58" w:rsidRPr="00073574" w:rsidRDefault="004F2C58" w:rsidP="002E241A">
            <w:pPr>
              <w:pStyle w:val="ListParagraph"/>
              <w:numPr>
                <w:ilvl w:val="0"/>
                <w:numId w:val="36"/>
              </w:numPr>
              <w:contextualSpacing w:val="0"/>
            </w:pPr>
            <w:r w:rsidRPr="00073574">
              <w:t xml:space="preserve">SG11RG-AFR second meeting took place in Tunis 23-25 April 2018, </w:t>
            </w:r>
            <w:r w:rsidR="00527B3D" w:rsidRPr="00073574">
              <w:t>back-to-back</w:t>
            </w:r>
            <w:r w:rsidRPr="00073574">
              <w:t xml:space="preserve"> with the related Workshop.</w:t>
            </w:r>
            <w:r w:rsidR="00A177A4" w:rsidRPr="00073574">
              <w:t xml:space="preserve"> SG11RG-EECAT, SG13RG-EECAT and SG3RG-EECAT met in Saint Peterburg from 21-23 May 2019.</w:t>
            </w:r>
          </w:p>
          <w:p w14:paraId="5559F4C3" w14:textId="61089F4E" w:rsidR="0073593D" w:rsidRPr="00073574" w:rsidRDefault="0073593D" w:rsidP="002E241A">
            <w:pPr>
              <w:pStyle w:val="ListParagraph"/>
              <w:numPr>
                <w:ilvl w:val="0"/>
                <w:numId w:val="36"/>
              </w:numPr>
              <w:contextualSpacing w:val="0"/>
            </w:pPr>
            <w:r w:rsidRPr="00073574">
              <w:t>SG12RG-AFR met back-to-back with a Q12/12 Rapporteur Group Meeting and a workshop on telecommunication service quality.</w:t>
            </w:r>
          </w:p>
          <w:p w14:paraId="172DD8EC" w14:textId="4FF978FF" w:rsidR="008917D2" w:rsidRPr="00073574" w:rsidRDefault="008917D2" w:rsidP="007B1367">
            <w:pPr>
              <w:pStyle w:val="ListParagraph"/>
              <w:numPr>
                <w:ilvl w:val="0"/>
                <w:numId w:val="36"/>
              </w:numPr>
              <w:contextualSpacing w:val="0"/>
            </w:pPr>
            <w:r w:rsidRPr="00073574">
              <w:t>SG5-RG-AFR, SG5-RG-ARB, and SG5-RG-LATAM met online from 28 - 30 September 2021.</w:t>
            </w:r>
          </w:p>
          <w:p w14:paraId="41FE1150" w14:textId="21F044DC" w:rsidR="003C6E6E" w:rsidRPr="00073574" w:rsidRDefault="00F0236A" w:rsidP="002E241A">
            <w:pPr>
              <w:pStyle w:val="ListParagraph"/>
              <w:numPr>
                <w:ilvl w:val="0"/>
                <w:numId w:val="36"/>
              </w:numPr>
              <w:contextualSpacing w:val="0"/>
            </w:pPr>
            <w:r w:rsidRPr="00073574">
              <w:t xml:space="preserve">SG13 has dedicated Question (Q5/13 </w:t>
            </w:r>
            <w:r w:rsidR="0034409A" w:rsidRPr="00073574">
              <w:t>“</w:t>
            </w:r>
            <w:r w:rsidRPr="00073574">
              <w:t>Applying networks of future and innovation in developing countries</w:t>
            </w:r>
            <w:r w:rsidR="0034409A" w:rsidRPr="00073574">
              <w:t>”</w:t>
            </w:r>
            <w:r w:rsidR="003B2560" w:rsidRPr="00073574">
              <w:t>, since 2021 title is “Applying Future Networks and Innovation in Developing Countries”</w:t>
            </w:r>
            <w:r w:rsidRPr="00073574">
              <w:t>).</w:t>
            </w:r>
            <w:r w:rsidR="003D16CE" w:rsidRPr="00073574">
              <w:t xml:space="preserve"> </w:t>
            </w:r>
            <w:r w:rsidRPr="00073574">
              <w:t>SG13 continued the SG13 RG-AFR with updated ToR and priorities for the region.</w:t>
            </w:r>
            <w:r w:rsidR="003D16CE" w:rsidRPr="00073574">
              <w:t xml:space="preserve"> SG13 established in March 2019 a new SG13RG-EECAT. The 2017 meeting of SG13RG-AFR was co-located with the SG11RG-AFR in Cairo; in 2019 the meeting of SG13RG-EECAT was co-located with SG3RG-EECAT and SG11RG-EECAT in St Petersburg.</w:t>
            </w:r>
          </w:p>
          <w:p w14:paraId="2A71BC1E" w14:textId="0605040F" w:rsidR="00DE43BC" w:rsidRPr="00073574" w:rsidRDefault="379C6153" w:rsidP="002E241A">
            <w:pPr>
              <w:pStyle w:val="ListParagraph"/>
              <w:numPr>
                <w:ilvl w:val="0"/>
                <w:numId w:val="36"/>
              </w:numPr>
              <w:spacing w:after="40"/>
              <w:ind w:left="357" w:hanging="357"/>
              <w:contextualSpacing w:val="0"/>
            </w:pPr>
            <w:r w:rsidRPr="00073574">
              <w:lastRenderedPageBreak/>
              <w:t xml:space="preserve">SG20RG-EECAT and SG11RG-EECAT met in Saint Petersburg, Russian Federation from 20 to 22 June 2017 back-to-back with the ITU Regional Workshop for CIS on “Internet of Things (IoT) and future networks” (19-20 June 2017). SG20RG-EECAT and SG11RG-EECAT </w:t>
            </w:r>
            <w:r w:rsidR="222F01BC" w:rsidRPr="00073574">
              <w:t xml:space="preserve">met </w:t>
            </w:r>
            <w:r w:rsidRPr="00073574">
              <w:t>in Saint Petersburg, Russian Federation from 4 to 6 June 2018.</w:t>
            </w:r>
            <w:r w:rsidR="1AF9AE47" w:rsidRPr="00073574">
              <w:t xml:space="preserve"> </w:t>
            </w:r>
            <w:r w:rsidR="2A7CCC10" w:rsidRPr="00073574">
              <w:t>An ITU Regional Forum on “Internet of Things, Telecommunication Networks and Big Data as Basic Infrastructure for Digital Economy” took place on 4,5,</w:t>
            </w:r>
            <w:r w:rsidR="007A50A0" w:rsidRPr="00073574">
              <w:t xml:space="preserve"> </w:t>
            </w:r>
            <w:r w:rsidR="2A7CCC10" w:rsidRPr="00073574">
              <w:t>and 6 June 2018 (morning only).</w:t>
            </w:r>
          </w:p>
          <w:p w14:paraId="74A15614" w14:textId="0B132280" w:rsidR="008F16D2" w:rsidRPr="00073574" w:rsidRDefault="1A921C58" w:rsidP="008F16D2">
            <w:pPr>
              <w:pStyle w:val="ListParagraph"/>
              <w:numPr>
                <w:ilvl w:val="0"/>
                <w:numId w:val="36"/>
              </w:numPr>
              <w:spacing w:after="40"/>
              <w:ind w:left="357" w:hanging="357"/>
              <w:contextualSpacing w:val="0"/>
              <w:rPr>
                <w:rFonts w:eastAsia="Times New Roman"/>
              </w:rPr>
            </w:pPr>
            <w:r w:rsidRPr="00073574">
              <w:rPr>
                <w:rFonts w:eastAsia="Times New Roman"/>
              </w:rPr>
              <w:t>SG3 and SG20 regional group for Eastern Europe, Central Asia and Transcaucasia ha</w:t>
            </w:r>
            <w:r w:rsidR="00E836A5" w:rsidRPr="00073574">
              <w:rPr>
                <w:rFonts w:eastAsia="Times New Roman"/>
              </w:rPr>
              <w:t>d</w:t>
            </w:r>
            <w:r w:rsidRPr="00073574">
              <w:rPr>
                <w:rFonts w:eastAsia="Times New Roman"/>
              </w:rPr>
              <w:t xml:space="preserve"> a collocated meeting from 3-5 March 2020 in Minsk, Belarus. The regional group meetings were collocated with the </w:t>
            </w:r>
            <w:hyperlink r:id="rId395">
              <w:r w:rsidRPr="00073574">
                <w:rPr>
                  <w:rStyle w:val="Hyperlink"/>
                  <w:rFonts w:eastAsia="Times New Roman"/>
                </w:rPr>
                <w:t xml:space="preserve">ITU Forum </w:t>
              </w:r>
              <w:r w:rsidR="0034409A" w:rsidRPr="00073574">
                <w:rPr>
                  <w:rStyle w:val="Hyperlink"/>
                  <w:rFonts w:eastAsia="Times New Roman"/>
                </w:rPr>
                <w:t>“</w:t>
              </w:r>
              <w:r w:rsidRPr="00073574">
                <w:rPr>
                  <w:rStyle w:val="Hyperlink"/>
                  <w:rFonts w:eastAsia="Times New Roman"/>
                </w:rPr>
                <w:t>Smart sustainable cities: from concept to implementation</w:t>
              </w:r>
              <w:r w:rsidR="0034409A" w:rsidRPr="00073574">
                <w:rPr>
                  <w:rStyle w:val="Hyperlink"/>
                  <w:rFonts w:eastAsia="Times New Roman"/>
                </w:rPr>
                <w:t>”</w:t>
              </w:r>
            </w:hyperlink>
            <w:r w:rsidRPr="00073574">
              <w:rPr>
                <w:rFonts w:eastAsia="Times New Roman"/>
              </w:rPr>
              <w:t xml:space="preserve"> that took place from 3-5 March 2020.</w:t>
            </w:r>
          </w:p>
          <w:p w14:paraId="551E9C23" w14:textId="3EFDD3F2" w:rsidR="00DE43BC" w:rsidRPr="00073574" w:rsidRDefault="008F16D2" w:rsidP="007B1367">
            <w:pPr>
              <w:spacing w:after="40"/>
              <w:rPr>
                <w:rFonts w:eastAsia="Times New Roman"/>
              </w:rPr>
            </w:pPr>
            <w:r w:rsidRPr="00073574">
              <w:rPr>
                <w:rFonts w:eastAsia="Times New Roman"/>
              </w:rPr>
              <w:t>Also, see 54-01.</w:t>
            </w:r>
          </w:p>
        </w:tc>
      </w:tr>
      <w:tr w:rsidR="00F0236A" w:rsidRPr="00073574" w14:paraId="0AC4A8E3" w14:textId="77777777" w:rsidTr="634A3A28">
        <w:trPr>
          <w:jc w:val="center"/>
        </w:trPr>
        <w:tc>
          <w:tcPr>
            <w:tcW w:w="1074" w:type="dxa"/>
            <w:vMerge w:val="restart"/>
            <w:tcBorders>
              <w:top w:val="single" w:sz="12" w:space="0" w:color="auto"/>
            </w:tcBorders>
            <w:shd w:val="clear" w:color="auto" w:fill="auto"/>
          </w:tcPr>
          <w:p w14:paraId="713D1B7B" w14:textId="77777777" w:rsidR="00F0236A" w:rsidRPr="00073574" w:rsidRDefault="00F0236A" w:rsidP="00E54A2A">
            <w:pPr>
              <w:pStyle w:val="Tabletext"/>
              <w:keepNext/>
              <w:keepLines/>
            </w:pPr>
            <w:r w:rsidRPr="00073574">
              <w:rPr>
                <w:b/>
                <w:bCs/>
                <w:sz w:val="24"/>
                <w:szCs w:val="24"/>
              </w:rPr>
              <w:lastRenderedPageBreak/>
              <w:t>54-05</w:t>
            </w:r>
          </w:p>
          <w:p w14:paraId="50543664" w14:textId="77777777" w:rsidR="00F0236A" w:rsidRPr="00073574" w:rsidRDefault="00F0236A" w:rsidP="00DF36E1">
            <w:pPr>
              <w:pStyle w:val="Tabletext"/>
              <w:rPr>
                <w:b/>
                <w:bCs/>
                <w:sz w:val="24"/>
                <w:szCs w:val="24"/>
              </w:rPr>
            </w:pPr>
            <w:r w:rsidRPr="00073574">
              <w:t>(</w:t>
            </w:r>
            <w:r w:rsidRPr="00073574">
              <w:rPr>
                <w:b/>
                <w:bCs/>
                <w:sz w:val="24"/>
                <w:szCs w:val="24"/>
              </w:rPr>
              <w:t>44-21)</w:t>
            </w:r>
          </w:p>
        </w:tc>
        <w:tc>
          <w:tcPr>
            <w:tcW w:w="4528" w:type="dxa"/>
            <w:tcBorders>
              <w:top w:val="single" w:sz="12" w:space="0" w:color="auto"/>
            </w:tcBorders>
            <w:shd w:val="clear" w:color="auto" w:fill="auto"/>
          </w:tcPr>
          <w:p w14:paraId="49B78C25" w14:textId="77777777" w:rsidR="00F0236A" w:rsidRPr="00073574" w:rsidRDefault="00F0236A" w:rsidP="00DF36E1">
            <w:pPr>
              <w:pStyle w:val="Tabletext"/>
              <w:rPr>
                <w:b/>
                <w:bCs/>
                <w:sz w:val="24"/>
                <w:szCs w:val="24"/>
              </w:rPr>
            </w:pPr>
            <w:r w:rsidRPr="00073574">
              <w:rPr>
                <w:b/>
                <w:bCs/>
                <w:sz w:val="24"/>
                <w:szCs w:val="24"/>
              </w:rPr>
              <w:t xml:space="preserve">TSB to provide all necessary support for creation, organization of meetings and workshops of the regional groups to ensure their smooth functioning (see also </w:t>
            </w:r>
            <w:hyperlink w:anchor="Resolution_44" w:history="1">
              <w:r w:rsidRPr="00073574">
                <w:rPr>
                  <w:rStyle w:val="Hyperlink"/>
                  <w:b/>
                  <w:bCs/>
                  <w:sz w:val="24"/>
                  <w:szCs w:val="24"/>
                </w:rPr>
                <w:t>Resolution 44</w:t>
              </w:r>
            </w:hyperlink>
            <w:r w:rsidRPr="00073574">
              <w:rPr>
                <w:b/>
                <w:bCs/>
                <w:sz w:val="24"/>
                <w:szCs w:val="24"/>
              </w:rPr>
              <w:t>). (i. TSB Dir 1)</w:t>
            </w:r>
          </w:p>
        </w:tc>
        <w:tc>
          <w:tcPr>
            <w:tcW w:w="1893" w:type="dxa"/>
            <w:tcBorders>
              <w:top w:val="single" w:sz="12" w:space="0" w:color="auto"/>
            </w:tcBorders>
            <w:shd w:val="clear" w:color="auto" w:fill="auto"/>
            <w:vAlign w:val="center"/>
          </w:tcPr>
          <w:p w14:paraId="21883DE9"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64" w:type="dxa"/>
            <w:tcBorders>
              <w:top w:val="single" w:sz="12" w:space="0" w:color="auto"/>
            </w:tcBorders>
            <w:shd w:val="clear" w:color="auto" w:fill="auto"/>
            <w:vAlign w:val="center"/>
          </w:tcPr>
          <w:p w14:paraId="02BBDEA7"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7C595952" w14:textId="77777777" w:rsidR="00F0236A" w:rsidRPr="00073574" w:rsidRDefault="00F0236A" w:rsidP="00DF36E1">
            <w:pPr>
              <w:pStyle w:val="Tabletext"/>
              <w:jc w:val="center"/>
              <w:rPr>
                <w:b/>
                <w:bCs/>
                <w:sz w:val="24"/>
                <w:szCs w:val="24"/>
              </w:rPr>
            </w:pPr>
          </w:p>
        </w:tc>
      </w:tr>
      <w:tr w:rsidR="00F0236A" w:rsidRPr="00073574" w14:paraId="0D5F1DC3" w14:textId="77777777" w:rsidTr="634A3A28">
        <w:trPr>
          <w:jc w:val="center"/>
        </w:trPr>
        <w:tc>
          <w:tcPr>
            <w:tcW w:w="1074" w:type="dxa"/>
            <w:vMerge/>
          </w:tcPr>
          <w:p w14:paraId="358FCDE1" w14:textId="77777777" w:rsidR="00F0236A" w:rsidRPr="00073574" w:rsidRDefault="00F0236A" w:rsidP="00DF36E1">
            <w:pPr>
              <w:pStyle w:val="Tabletext"/>
              <w:rPr>
                <w:sz w:val="24"/>
                <w:szCs w:val="24"/>
              </w:rPr>
            </w:pPr>
          </w:p>
        </w:tc>
        <w:tc>
          <w:tcPr>
            <w:tcW w:w="8921" w:type="dxa"/>
            <w:gridSpan w:val="4"/>
            <w:shd w:val="clear" w:color="auto" w:fill="auto"/>
          </w:tcPr>
          <w:p w14:paraId="68D9FA2A" w14:textId="77777777" w:rsidR="00F0236A" w:rsidRPr="00073574" w:rsidRDefault="00F0236A" w:rsidP="00DF36E1">
            <w:pPr>
              <w:pStyle w:val="Tabletext"/>
              <w:rPr>
                <w:szCs w:val="22"/>
              </w:rPr>
            </w:pPr>
            <w:r w:rsidRPr="00073574">
              <w:rPr>
                <w:szCs w:val="22"/>
              </w:rPr>
              <w:t>See 44-21.</w:t>
            </w:r>
          </w:p>
        </w:tc>
      </w:tr>
      <w:tr w:rsidR="00F0236A" w:rsidRPr="00073574" w14:paraId="1A13B5C8" w14:textId="77777777" w:rsidTr="634A3A28">
        <w:trPr>
          <w:jc w:val="center"/>
        </w:trPr>
        <w:tc>
          <w:tcPr>
            <w:tcW w:w="1074" w:type="dxa"/>
            <w:vMerge w:val="restart"/>
            <w:tcBorders>
              <w:top w:val="single" w:sz="12" w:space="0" w:color="auto"/>
            </w:tcBorders>
            <w:shd w:val="clear" w:color="auto" w:fill="auto"/>
          </w:tcPr>
          <w:p w14:paraId="15058906" w14:textId="77777777" w:rsidR="00F0236A" w:rsidRPr="00073574" w:rsidRDefault="00F0236A" w:rsidP="00D100F9">
            <w:pPr>
              <w:pStyle w:val="Tabletext"/>
              <w:keepNext/>
              <w:keepLines/>
              <w:rPr>
                <w:b/>
                <w:bCs/>
                <w:sz w:val="24"/>
              </w:rPr>
            </w:pPr>
            <w:r w:rsidRPr="00073574">
              <w:rPr>
                <w:b/>
                <w:bCs/>
                <w:sz w:val="24"/>
                <w:szCs w:val="24"/>
              </w:rPr>
              <w:t>54-06</w:t>
            </w:r>
          </w:p>
          <w:p w14:paraId="10667417" w14:textId="77777777" w:rsidR="00F0236A" w:rsidRPr="00073574" w:rsidRDefault="00F0236A" w:rsidP="00D100F9">
            <w:pPr>
              <w:pStyle w:val="Tabletext"/>
              <w:keepNext/>
              <w:keepLines/>
              <w:rPr>
                <w:b/>
                <w:bCs/>
                <w:sz w:val="24"/>
                <w:szCs w:val="24"/>
              </w:rPr>
            </w:pPr>
            <w:r w:rsidRPr="00073574">
              <w:rPr>
                <w:b/>
                <w:bCs/>
                <w:sz w:val="24"/>
                <w:szCs w:val="24"/>
              </w:rPr>
              <w:t>(44-24)</w:t>
            </w:r>
          </w:p>
        </w:tc>
        <w:tc>
          <w:tcPr>
            <w:tcW w:w="4528" w:type="dxa"/>
            <w:tcBorders>
              <w:top w:val="single" w:sz="12" w:space="0" w:color="auto"/>
            </w:tcBorders>
            <w:shd w:val="clear" w:color="auto" w:fill="auto"/>
          </w:tcPr>
          <w:p w14:paraId="45803FB7" w14:textId="77777777" w:rsidR="00F0236A" w:rsidRPr="00073574" w:rsidRDefault="00F0236A" w:rsidP="00D100F9">
            <w:pPr>
              <w:pStyle w:val="Tabletext"/>
              <w:keepNext/>
              <w:keepLines/>
              <w:rPr>
                <w:b/>
                <w:bCs/>
                <w:sz w:val="24"/>
                <w:szCs w:val="24"/>
              </w:rPr>
            </w:pPr>
            <w:r w:rsidRPr="00073574">
              <w:rPr>
                <w:b/>
                <w:bCs/>
                <w:sz w:val="24"/>
                <w:szCs w:val="24"/>
              </w:rPr>
              <w:t xml:space="preserve">TSB to conduct workshops for developing countries, concurrently with meetings of ITU-T regional groups in the relevant regions and vice versa, in coordination/collaboration with ITU-D (see also </w:t>
            </w:r>
            <w:hyperlink w:anchor="Resolution_44" w:history="1">
              <w:r w:rsidRPr="00073574">
                <w:rPr>
                  <w:rStyle w:val="Hyperlink"/>
                  <w:b/>
                  <w:bCs/>
                  <w:sz w:val="24"/>
                  <w:szCs w:val="24"/>
                </w:rPr>
                <w:t>Resolution 44</w:t>
              </w:r>
            </w:hyperlink>
            <w:r w:rsidRPr="00073574">
              <w:rPr>
                <w:b/>
                <w:bCs/>
                <w:sz w:val="24"/>
                <w:szCs w:val="24"/>
              </w:rPr>
              <w:t>). (i. TSBDir 2)</w:t>
            </w:r>
          </w:p>
        </w:tc>
        <w:tc>
          <w:tcPr>
            <w:tcW w:w="1893" w:type="dxa"/>
            <w:tcBorders>
              <w:top w:val="single" w:sz="12" w:space="0" w:color="auto"/>
            </w:tcBorders>
            <w:shd w:val="clear" w:color="auto" w:fill="auto"/>
            <w:vAlign w:val="center"/>
          </w:tcPr>
          <w:p w14:paraId="64193382"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64" w:type="dxa"/>
            <w:tcBorders>
              <w:top w:val="single" w:sz="12" w:space="0" w:color="auto"/>
            </w:tcBorders>
            <w:shd w:val="clear" w:color="auto" w:fill="auto"/>
            <w:vAlign w:val="center"/>
          </w:tcPr>
          <w:p w14:paraId="35D9EEE0"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04ADC964" w14:textId="77777777" w:rsidR="00F0236A" w:rsidRPr="00073574" w:rsidRDefault="00F0236A" w:rsidP="00DF36E1">
            <w:pPr>
              <w:pStyle w:val="Tabletext"/>
              <w:jc w:val="center"/>
              <w:rPr>
                <w:b/>
                <w:bCs/>
                <w:sz w:val="24"/>
                <w:szCs w:val="24"/>
              </w:rPr>
            </w:pPr>
          </w:p>
        </w:tc>
      </w:tr>
      <w:tr w:rsidR="00F0236A" w:rsidRPr="00073574" w14:paraId="71BF0BDE" w14:textId="77777777" w:rsidTr="634A3A28">
        <w:trPr>
          <w:jc w:val="center"/>
        </w:trPr>
        <w:tc>
          <w:tcPr>
            <w:tcW w:w="1074" w:type="dxa"/>
            <w:vMerge/>
          </w:tcPr>
          <w:p w14:paraId="013172D5" w14:textId="77777777" w:rsidR="00F0236A" w:rsidRPr="00073574" w:rsidRDefault="00F0236A" w:rsidP="00DF36E1">
            <w:pPr>
              <w:pStyle w:val="Tabletext"/>
              <w:rPr>
                <w:sz w:val="24"/>
                <w:szCs w:val="24"/>
              </w:rPr>
            </w:pPr>
          </w:p>
        </w:tc>
        <w:tc>
          <w:tcPr>
            <w:tcW w:w="8921" w:type="dxa"/>
            <w:gridSpan w:val="4"/>
            <w:tcBorders>
              <w:bottom w:val="single" w:sz="12" w:space="0" w:color="auto"/>
            </w:tcBorders>
            <w:shd w:val="clear" w:color="auto" w:fill="auto"/>
          </w:tcPr>
          <w:p w14:paraId="610EF931" w14:textId="7E5D1304" w:rsidR="00F0236A" w:rsidRPr="00073574" w:rsidRDefault="00F0236A" w:rsidP="001E63F9">
            <w:pPr>
              <w:spacing w:before="40"/>
            </w:pPr>
            <w:r w:rsidRPr="00073574">
              <w:t xml:space="preserve">There were twelve Regional Standardization Forums (RSFs) held for developing countries or in developing countries during the 2013-2016 study period. These forums included tutorials on ITU-T working methods as well as more </w:t>
            </w:r>
            <w:r w:rsidR="007F0B1E" w:rsidRPr="00073574">
              <w:t>technically oriented</w:t>
            </w:r>
            <w:r w:rsidRPr="00073574">
              <w:t xml:space="preserve"> events covering themes including human exposure to EMF, quality of service, smart water management, international mobile roaming, mobile financial services, digital identity, big data, etc.</w:t>
            </w:r>
          </w:p>
          <w:p w14:paraId="167AC643" w14:textId="254E432D" w:rsidR="00F0236A" w:rsidRPr="00073574" w:rsidRDefault="00F0236A" w:rsidP="00DF36E1">
            <w:r w:rsidRPr="00073574">
              <w:t xml:space="preserve">A new strategy for the Standardization Forums was adopted under the BSG programme. These are now fully in line with the priorities of our study groups, and are mainly held in coordination with our regional groups. The Standardization Forums are also contributing </w:t>
            </w:r>
            <w:r w:rsidR="007F0B1E">
              <w:t>by</w:t>
            </w:r>
            <w:r w:rsidRPr="00073574">
              <w:t xml:space="preserve"> raising awareness of standards activities through the participation of key decision makers.</w:t>
            </w:r>
          </w:p>
          <w:p w14:paraId="7F14C823" w14:textId="5CF257A8" w:rsidR="00F0236A" w:rsidRPr="00073574" w:rsidRDefault="00F0236A" w:rsidP="00DF36E1">
            <w:pPr>
              <w:rPr>
                <w:rFonts w:asciiTheme="majorBidi" w:hAnsiTheme="majorBidi" w:cstheme="majorBidi"/>
              </w:rPr>
            </w:pPr>
            <w:r w:rsidRPr="00073574">
              <w:rPr>
                <w:rFonts w:asciiTheme="majorBidi" w:hAnsiTheme="majorBidi" w:cstheme="majorBidi"/>
              </w:rPr>
              <w:t>In 2017</w:t>
            </w:r>
            <w:r w:rsidR="009D1AE9" w:rsidRPr="00073574">
              <w:rPr>
                <w:rFonts w:asciiTheme="majorBidi" w:hAnsiTheme="majorBidi" w:cstheme="majorBidi"/>
              </w:rPr>
              <w:t>, 2018</w:t>
            </w:r>
            <w:r w:rsidR="005D44CD" w:rsidRPr="00073574">
              <w:rPr>
                <w:rFonts w:asciiTheme="majorBidi" w:hAnsiTheme="majorBidi" w:cstheme="majorBidi"/>
              </w:rPr>
              <w:t xml:space="preserve">, </w:t>
            </w:r>
            <w:r w:rsidR="000F288B" w:rsidRPr="00073574">
              <w:rPr>
                <w:rFonts w:asciiTheme="majorBidi" w:hAnsiTheme="majorBidi" w:cstheme="majorBidi"/>
              </w:rPr>
              <w:t>2019</w:t>
            </w:r>
            <w:r w:rsidR="005D44CD" w:rsidRPr="00073574">
              <w:rPr>
                <w:rFonts w:asciiTheme="majorBidi" w:hAnsiTheme="majorBidi" w:cstheme="majorBidi"/>
              </w:rPr>
              <w:t>, 2020 and 2021</w:t>
            </w:r>
            <w:r w:rsidRPr="00073574">
              <w:rPr>
                <w:rFonts w:asciiTheme="majorBidi" w:hAnsiTheme="majorBidi" w:cstheme="majorBidi"/>
              </w:rPr>
              <w:t xml:space="preserve"> the following Forums were held:</w:t>
            </w:r>
          </w:p>
          <w:p w14:paraId="6043692B" w14:textId="00DF3B6A" w:rsidR="00C1000A" w:rsidRPr="00073574" w:rsidRDefault="0053741E" w:rsidP="007B1367">
            <w:pPr>
              <w:pStyle w:val="ListParagraph"/>
              <w:numPr>
                <w:ilvl w:val="0"/>
                <w:numId w:val="70"/>
              </w:numPr>
              <w:spacing w:before="0" w:after="120"/>
              <w:contextualSpacing w:val="0"/>
            </w:pPr>
            <w:hyperlink r:id="rId396" w:history="1">
              <w:r w:rsidR="00AD7B85" w:rsidRPr="00073574">
                <w:rPr>
                  <w:rStyle w:val="Hyperlink"/>
                </w:rPr>
                <w:t>ITU-Forum on "Future Networks and Conformance and Interoperability (C&amp;I)"</w:t>
              </w:r>
            </w:hyperlink>
            <w:r w:rsidR="00AD7B85" w:rsidRPr="00073574">
              <w:t>, St</w:t>
            </w:r>
            <w:r w:rsidR="005421B1" w:rsidRPr="00073574">
              <w:t>.</w:t>
            </w:r>
            <w:r w:rsidR="00AD7B85" w:rsidRPr="00073574">
              <w:t xml:space="preserve"> Petersburg, Russia, 19-22 October 2021</w:t>
            </w:r>
          </w:p>
          <w:p w14:paraId="2F8CB158" w14:textId="31A69F8B" w:rsidR="00B15463" w:rsidRPr="00073574" w:rsidRDefault="0053741E" w:rsidP="007B1367">
            <w:pPr>
              <w:pStyle w:val="ListParagraph"/>
              <w:numPr>
                <w:ilvl w:val="0"/>
                <w:numId w:val="70"/>
              </w:numPr>
              <w:spacing w:before="0" w:after="120"/>
              <w:ind w:left="714" w:hanging="357"/>
              <w:contextualSpacing w:val="0"/>
            </w:pPr>
            <w:hyperlink r:id="rId397" w:history="1">
              <w:r w:rsidR="00FA32DD" w:rsidRPr="00073574">
                <w:rPr>
                  <w:rStyle w:val="Hyperlink"/>
                </w:rPr>
                <w:t>Episode 4 on “Smart Cities: a step towards digital transformation in Latin America”</w:t>
              </w:r>
            </w:hyperlink>
            <w:r w:rsidR="00FA32DD" w:rsidRPr="00073574">
              <w:t xml:space="preserve">, 20 September 2021. </w:t>
            </w:r>
            <w:r w:rsidR="00B15463" w:rsidRPr="00073574">
              <w:t xml:space="preserve">This episode is part of the </w:t>
            </w:r>
            <w:hyperlink r:id="rId398" w:history="1">
              <w:r w:rsidR="00B15463" w:rsidRPr="00073574">
                <w:rPr>
                  <w:rStyle w:val="Hyperlink"/>
                </w:rPr>
                <w:t>Webinar series on Digital transformation for cities and communities</w:t>
              </w:r>
            </w:hyperlink>
            <w:r w:rsidR="00B15463" w:rsidRPr="00073574">
              <w:t>.</w:t>
            </w:r>
          </w:p>
          <w:p w14:paraId="59770679" w14:textId="4FEC2491" w:rsidR="003352FA" w:rsidRPr="00073574" w:rsidRDefault="0053741E" w:rsidP="007B1367">
            <w:pPr>
              <w:pStyle w:val="ListParagraph"/>
              <w:numPr>
                <w:ilvl w:val="0"/>
                <w:numId w:val="70"/>
              </w:numPr>
              <w:spacing w:before="0" w:after="120"/>
              <w:ind w:left="714" w:hanging="357"/>
              <w:contextualSpacing w:val="0"/>
            </w:pPr>
            <w:hyperlink r:id="rId399" w:history="1">
              <w:r w:rsidR="003352FA" w:rsidRPr="00073574">
                <w:rPr>
                  <w:rStyle w:val="Hyperlink"/>
                </w:rPr>
                <w:t>ITU-T SG20RG-AFR Virtual Forum on “Accelerating Digital Transformation in Africa”</w:t>
              </w:r>
            </w:hyperlink>
            <w:r w:rsidR="003352FA" w:rsidRPr="00073574">
              <w:t>, 2 June 2021</w:t>
            </w:r>
          </w:p>
          <w:p w14:paraId="4E0514A2" w14:textId="051032BC" w:rsidR="00153998" w:rsidRPr="00073574" w:rsidRDefault="0053741E" w:rsidP="002E241A">
            <w:pPr>
              <w:pStyle w:val="ListParagraph"/>
              <w:numPr>
                <w:ilvl w:val="0"/>
                <w:numId w:val="70"/>
              </w:numPr>
              <w:spacing w:before="0" w:after="120"/>
              <w:contextualSpacing w:val="0"/>
            </w:pPr>
            <w:hyperlink r:id="rId400">
              <w:r w:rsidR="00153998" w:rsidRPr="00073574">
                <w:rPr>
                  <w:rStyle w:val="Hyperlink"/>
                </w:rPr>
                <w:t>ITU Regional Standardization Forum (RSF)</w:t>
              </w:r>
            </w:hyperlink>
            <w:r w:rsidR="00153998" w:rsidRPr="00073574">
              <w:t xml:space="preserve"> on </w:t>
            </w:r>
            <w:hyperlink r:id="rId401">
              <w:r w:rsidR="00153998" w:rsidRPr="00073574">
                <w:rPr>
                  <w:rStyle w:val="Hyperlink"/>
                </w:rPr>
                <w:t>“Smart sustainable cities: from concept to implementation”</w:t>
              </w:r>
            </w:hyperlink>
            <w:r w:rsidR="00153998" w:rsidRPr="00073574">
              <w:t>, Minsk, Belarus, 3 to 5 March 2020.</w:t>
            </w:r>
          </w:p>
          <w:p w14:paraId="33F57759" w14:textId="7625C36E" w:rsidR="00153998" w:rsidRPr="00073574" w:rsidRDefault="0053741E" w:rsidP="002E241A">
            <w:pPr>
              <w:pStyle w:val="ListParagraph"/>
              <w:numPr>
                <w:ilvl w:val="0"/>
                <w:numId w:val="70"/>
              </w:numPr>
              <w:spacing w:before="0" w:after="120"/>
              <w:contextualSpacing w:val="0"/>
            </w:pPr>
            <w:hyperlink r:id="rId402" w:history="1">
              <w:r w:rsidR="00153998" w:rsidRPr="00073574">
                <w:rPr>
                  <w:rStyle w:val="Hyperlink"/>
                </w:rPr>
                <w:t xml:space="preserve">7th SG13 Regional Workshop on </w:t>
              </w:r>
              <w:r w:rsidR="0034409A" w:rsidRPr="00073574">
                <w:rPr>
                  <w:rStyle w:val="Hyperlink"/>
                </w:rPr>
                <w:t>“</w:t>
              </w:r>
              <w:r w:rsidR="00153998" w:rsidRPr="00073574">
                <w:rPr>
                  <w:rStyle w:val="Hyperlink"/>
                </w:rPr>
                <w:t>Standardization of future networks towards Building a better connected Africa</w:t>
              </w:r>
              <w:r w:rsidR="0034409A" w:rsidRPr="00073574">
                <w:rPr>
                  <w:rStyle w:val="Hyperlink"/>
                </w:rPr>
                <w:t>”</w:t>
              </w:r>
            </w:hyperlink>
            <w:r w:rsidR="00153998" w:rsidRPr="00073574">
              <w:rPr>
                <w:szCs w:val="22"/>
              </w:rPr>
              <w:t xml:space="preserve">, </w:t>
            </w:r>
            <w:r w:rsidR="00153998" w:rsidRPr="0004521E">
              <w:rPr>
                <w:shd w:val="clear" w:color="auto" w:fill="FFFFFF"/>
              </w:rPr>
              <w:t>3-4 February 2020, Abuja, Nigeria.</w:t>
            </w:r>
          </w:p>
          <w:p w14:paraId="531F06DD" w14:textId="20E6414A" w:rsidR="00F45515" w:rsidRPr="00073574" w:rsidRDefault="0053741E" w:rsidP="002E241A">
            <w:pPr>
              <w:pStyle w:val="ListParagraph"/>
              <w:numPr>
                <w:ilvl w:val="0"/>
                <w:numId w:val="70"/>
              </w:numPr>
            </w:pPr>
            <w:hyperlink r:id="rId403">
              <w:r w:rsidR="00F45515" w:rsidRPr="00073574">
                <w:rPr>
                  <w:color w:val="0000FF"/>
                  <w:u w:val="single"/>
                </w:rPr>
                <w:t>ITU Regional Standardization Forum (RSF) on “Addressing Competition Issues in ICT Economy”</w:t>
              </w:r>
            </w:hyperlink>
            <w:r w:rsidR="00F45515" w:rsidRPr="00073574">
              <w:t>, Colombo, Sri Lanka, 1 October 2019.</w:t>
            </w:r>
          </w:p>
          <w:p w14:paraId="6D10C606" w14:textId="3255F459" w:rsidR="00F45515" w:rsidRPr="00073574" w:rsidRDefault="0053741E" w:rsidP="002E241A">
            <w:pPr>
              <w:pStyle w:val="ListParagraph"/>
              <w:numPr>
                <w:ilvl w:val="0"/>
                <w:numId w:val="70"/>
              </w:numPr>
              <w:contextualSpacing w:val="0"/>
              <w:rPr>
                <w:rFonts w:asciiTheme="majorBidi" w:hAnsiTheme="majorBidi" w:cstheme="majorBidi"/>
              </w:rPr>
            </w:pPr>
            <w:hyperlink r:id="rId404">
              <w:r w:rsidR="00F45515" w:rsidRPr="00073574">
                <w:rPr>
                  <w:rStyle w:val="Hyperlink"/>
                </w:rPr>
                <w:t>ITU Inter-regional Standardization Forum on “Operational issues on numbering, emergency service and OTTs”</w:t>
              </w:r>
            </w:hyperlink>
            <w:r w:rsidR="00F45515" w:rsidRPr="00073574">
              <w:t>, Dubai, United Emirates on 22 October 2019.</w:t>
            </w:r>
          </w:p>
          <w:p w14:paraId="3B3C1759" w14:textId="51BB2197" w:rsidR="00DD72DE" w:rsidRPr="00073574" w:rsidRDefault="0053741E" w:rsidP="002E241A">
            <w:pPr>
              <w:pStyle w:val="ListParagraph"/>
              <w:numPr>
                <w:ilvl w:val="0"/>
                <w:numId w:val="70"/>
              </w:numPr>
              <w:contextualSpacing w:val="0"/>
            </w:pPr>
            <w:hyperlink r:id="rId405" w:history="1">
              <w:r w:rsidR="00DD72DE" w:rsidRPr="00073574">
                <w:rPr>
                  <w:rStyle w:val="Hyperlink"/>
                </w:rPr>
                <w:t>Second Arab-African Interregional Standardization Forum on PKI for e-trust</w:t>
              </w:r>
            </w:hyperlink>
            <w:r w:rsidR="00DD72DE" w:rsidRPr="00073574">
              <w:rPr>
                <w:szCs w:val="22"/>
              </w:rPr>
              <w:t xml:space="preserve">, </w:t>
            </w:r>
            <w:r w:rsidR="00DD72DE" w:rsidRPr="00073574">
              <w:rPr>
                <w:shd w:val="clear" w:color="auto" w:fill="FFFFFF"/>
              </w:rPr>
              <w:t>Tunis,</w:t>
            </w:r>
            <w:r w:rsidR="00A96B47" w:rsidRPr="00073574">
              <w:rPr>
                <w:shd w:val="clear" w:color="auto" w:fill="FFFFFF"/>
              </w:rPr>
              <w:t xml:space="preserve"> </w:t>
            </w:r>
            <w:r w:rsidR="00DD72DE" w:rsidRPr="00073574">
              <w:rPr>
                <w:shd w:val="clear" w:color="auto" w:fill="FFFFFF"/>
              </w:rPr>
              <w:t>Tunisia, 4-5 April 2019</w:t>
            </w:r>
            <w:r w:rsidR="00FD5C5E" w:rsidRPr="00073574">
              <w:rPr>
                <w:shd w:val="clear" w:color="auto" w:fill="FFFFFF"/>
              </w:rPr>
              <w:t>.</w:t>
            </w:r>
          </w:p>
          <w:p w14:paraId="5B4ED1B6" w14:textId="13047DB1" w:rsidR="00F0236A" w:rsidRPr="00073574" w:rsidRDefault="0053741E" w:rsidP="002E241A">
            <w:pPr>
              <w:pStyle w:val="ListParagraph"/>
              <w:numPr>
                <w:ilvl w:val="0"/>
                <w:numId w:val="70"/>
              </w:numPr>
              <w:contextualSpacing w:val="0"/>
              <w:rPr>
                <w:rFonts w:asciiTheme="majorBidi" w:hAnsiTheme="majorBidi" w:cstheme="majorBidi"/>
              </w:rPr>
            </w:pPr>
            <w:hyperlink r:id="rId406">
              <w:r w:rsidR="00F0236A" w:rsidRPr="00073574">
                <w:rPr>
                  <w:rFonts w:asciiTheme="majorBidi" w:hAnsiTheme="majorBidi" w:cstheme="majorBidi"/>
                </w:rPr>
                <w:t>ITU</w:t>
              </w:r>
            </w:hyperlink>
            <w:hyperlink r:id="rId407">
              <w:r w:rsidR="00F0236A" w:rsidRPr="00073574">
                <w:rPr>
                  <w:rFonts w:asciiTheme="majorBidi" w:hAnsiTheme="majorBidi" w:cstheme="majorBidi"/>
                </w:rPr>
                <w:t xml:space="preserve"> Regional Standardization Forum </w:t>
              </w:r>
            </w:hyperlink>
            <w:hyperlink r:id="rId408">
              <w:r w:rsidR="0034409A" w:rsidRPr="00073574">
                <w:rPr>
                  <w:rFonts w:asciiTheme="majorBidi" w:hAnsiTheme="majorBidi" w:cstheme="majorBidi"/>
                </w:rPr>
                <w:t>–</w:t>
              </w:r>
              <w:r w:rsidR="00F0236A" w:rsidRPr="00073574">
                <w:rPr>
                  <w:rFonts w:asciiTheme="majorBidi" w:hAnsiTheme="majorBidi" w:cstheme="majorBidi"/>
                </w:rPr>
                <w:t xml:space="preserve"> Americas </w:t>
              </w:r>
            </w:hyperlink>
            <w:hyperlink r:id="rId409">
              <w:r w:rsidR="00F0236A" w:rsidRPr="00073574">
                <w:rPr>
                  <w:rFonts w:asciiTheme="majorBidi" w:hAnsiTheme="majorBidi" w:cstheme="majorBidi"/>
                </w:rPr>
                <w:t>Region</w:t>
              </w:r>
            </w:hyperlink>
            <w:r w:rsidR="00F0236A" w:rsidRPr="00073574">
              <w:rPr>
                <w:rFonts w:asciiTheme="majorBidi" w:hAnsiTheme="majorBidi" w:cstheme="majorBidi"/>
              </w:rPr>
              <w:t xml:space="preserve"> (which focused on SG2 and SG3 topics), Port of Spain, Trinidad and Tobago, 6 March 2017</w:t>
            </w:r>
            <w:r w:rsidR="00A96B47" w:rsidRPr="00073574">
              <w:rPr>
                <w:rFonts w:asciiTheme="majorBidi" w:hAnsiTheme="majorBidi" w:cstheme="majorBidi"/>
              </w:rPr>
              <w:t>.</w:t>
            </w:r>
          </w:p>
          <w:p w14:paraId="79D01BA4" w14:textId="2E56AEFE" w:rsidR="00F0236A" w:rsidRPr="00073574" w:rsidRDefault="0053741E" w:rsidP="002E241A">
            <w:pPr>
              <w:pStyle w:val="ListParagraph"/>
              <w:numPr>
                <w:ilvl w:val="0"/>
                <w:numId w:val="70"/>
              </w:numPr>
              <w:contextualSpacing w:val="0"/>
              <w:rPr>
                <w:rFonts w:asciiTheme="majorBidi" w:hAnsiTheme="majorBidi" w:cstheme="majorBidi"/>
              </w:rPr>
            </w:pPr>
            <w:hyperlink r:id="rId410">
              <w:r w:rsidR="00F0236A" w:rsidRPr="00073574">
                <w:rPr>
                  <w:rFonts w:asciiTheme="majorBidi" w:hAnsiTheme="majorBidi" w:cstheme="majorBidi"/>
                </w:rPr>
                <w:t>ITU</w:t>
              </w:r>
            </w:hyperlink>
            <w:hyperlink r:id="rId411">
              <w:r w:rsidR="00F0236A" w:rsidRPr="00073574">
                <w:rPr>
                  <w:rFonts w:asciiTheme="majorBidi" w:hAnsiTheme="majorBidi" w:cstheme="majorBidi"/>
                </w:rPr>
                <w:t xml:space="preserve"> </w:t>
              </w:r>
            </w:hyperlink>
            <w:hyperlink r:id="rId412">
              <w:r w:rsidR="00F0236A" w:rsidRPr="00073574">
                <w:rPr>
                  <w:rFonts w:asciiTheme="majorBidi" w:hAnsiTheme="majorBidi" w:cstheme="majorBidi"/>
                </w:rPr>
                <w:t xml:space="preserve">Regional Standardization Forum </w:t>
              </w:r>
            </w:hyperlink>
            <w:hyperlink r:id="rId413">
              <w:r w:rsidR="0034409A" w:rsidRPr="00073574">
                <w:rPr>
                  <w:rFonts w:asciiTheme="majorBidi" w:hAnsiTheme="majorBidi" w:cstheme="majorBidi"/>
                </w:rPr>
                <w:t>–</w:t>
              </w:r>
              <w:r w:rsidR="00F0236A" w:rsidRPr="00073574">
                <w:rPr>
                  <w:rFonts w:asciiTheme="majorBidi" w:hAnsiTheme="majorBidi" w:cstheme="majorBidi"/>
                </w:rPr>
                <w:t xml:space="preserve"> </w:t>
              </w:r>
            </w:hyperlink>
            <w:hyperlink r:id="rId414">
              <w:r w:rsidR="00F0236A" w:rsidRPr="00073574">
                <w:rPr>
                  <w:rFonts w:asciiTheme="majorBidi" w:hAnsiTheme="majorBidi" w:cstheme="majorBidi"/>
                </w:rPr>
                <w:t>Asia and Pacific Region</w:t>
              </w:r>
            </w:hyperlink>
            <w:r w:rsidR="00F0236A" w:rsidRPr="00073574">
              <w:rPr>
                <w:rFonts w:asciiTheme="majorBidi" w:hAnsiTheme="majorBidi" w:cstheme="majorBidi"/>
              </w:rPr>
              <w:t xml:space="preserve"> (which focused on SG3 topics), Seoul, Korea (Rep. of), 24 October 2017</w:t>
            </w:r>
            <w:r w:rsidR="00A96B47" w:rsidRPr="00073574">
              <w:rPr>
                <w:rFonts w:asciiTheme="majorBidi" w:hAnsiTheme="majorBidi" w:cstheme="majorBidi"/>
              </w:rPr>
              <w:t>.</w:t>
            </w:r>
          </w:p>
          <w:p w14:paraId="3FC14B54" w14:textId="4E8408E2" w:rsidR="00F0236A" w:rsidRPr="00073574" w:rsidRDefault="0053741E" w:rsidP="002E241A">
            <w:pPr>
              <w:pStyle w:val="ListParagraph"/>
              <w:numPr>
                <w:ilvl w:val="0"/>
                <w:numId w:val="70"/>
              </w:numPr>
              <w:contextualSpacing w:val="0"/>
              <w:rPr>
                <w:rFonts w:asciiTheme="majorBidi" w:hAnsiTheme="majorBidi" w:cstheme="majorBidi"/>
              </w:rPr>
            </w:pPr>
            <w:hyperlink r:id="rId415">
              <w:r w:rsidR="00F0236A" w:rsidRPr="00073574">
                <w:rPr>
                  <w:rFonts w:asciiTheme="majorBidi" w:hAnsiTheme="majorBidi" w:cstheme="majorBidi"/>
                </w:rPr>
                <w:t xml:space="preserve">ITU Regional Standardization Forum </w:t>
              </w:r>
            </w:hyperlink>
            <w:hyperlink r:id="rId416">
              <w:r w:rsidR="0034409A" w:rsidRPr="00073574">
                <w:rPr>
                  <w:rFonts w:asciiTheme="majorBidi" w:hAnsiTheme="majorBidi" w:cstheme="majorBidi"/>
                </w:rPr>
                <w:t>–</w:t>
              </w:r>
              <w:r w:rsidR="00F0236A" w:rsidRPr="00073574">
                <w:rPr>
                  <w:rFonts w:asciiTheme="majorBidi" w:hAnsiTheme="majorBidi" w:cstheme="majorBidi"/>
                </w:rPr>
                <w:t xml:space="preserve"> </w:t>
              </w:r>
            </w:hyperlink>
            <w:hyperlink r:id="rId417">
              <w:r w:rsidR="00F0236A" w:rsidRPr="00073574">
                <w:rPr>
                  <w:rFonts w:asciiTheme="majorBidi" w:hAnsiTheme="majorBidi" w:cstheme="majorBidi"/>
                </w:rPr>
                <w:t>Arab Region</w:t>
              </w:r>
            </w:hyperlink>
            <w:r w:rsidR="00F0236A" w:rsidRPr="00073574">
              <w:rPr>
                <w:rFonts w:asciiTheme="majorBidi" w:hAnsiTheme="majorBidi" w:cstheme="majorBidi"/>
              </w:rPr>
              <w:t xml:space="preserve"> (which focused on SG20 topics), Riyadh, Saudi Arabia, 19 November 2017</w:t>
            </w:r>
            <w:r w:rsidR="00A96B47" w:rsidRPr="00073574">
              <w:rPr>
                <w:rFonts w:asciiTheme="majorBidi" w:hAnsiTheme="majorBidi" w:cstheme="majorBidi"/>
              </w:rPr>
              <w:t>.</w:t>
            </w:r>
          </w:p>
          <w:p w14:paraId="16DAFF27" w14:textId="5886A153" w:rsidR="00F0236A" w:rsidRPr="00073574" w:rsidRDefault="0053741E" w:rsidP="002E241A">
            <w:pPr>
              <w:pStyle w:val="ListParagraph"/>
              <w:numPr>
                <w:ilvl w:val="0"/>
                <w:numId w:val="70"/>
              </w:numPr>
              <w:contextualSpacing w:val="0"/>
              <w:rPr>
                <w:rFonts w:asciiTheme="majorBidi" w:hAnsiTheme="majorBidi" w:cstheme="majorBidi"/>
                <w:sz w:val="24"/>
              </w:rPr>
            </w:pPr>
            <w:hyperlink r:id="rId418">
              <w:r w:rsidR="00F0236A" w:rsidRPr="00073574">
                <w:rPr>
                  <w:rFonts w:asciiTheme="majorBidi" w:hAnsiTheme="majorBidi" w:cstheme="majorBidi"/>
                </w:rPr>
                <w:t xml:space="preserve">ITU </w:t>
              </w:r>
            </w:hyperlink>
            <w:hyperlink r:id="rId419">
              <w:r w:rsidR="00F0236A" w:rsidRPr="00073574">
                <w:rPr>
                  <w:rFonts w:asciiTheme="majorBidi" w:hAnsiTheme="majorBidi" w:cstheme="majorBidi"/>
                </w:rPr>
                <w:t xml:space="preserve">Interregional Standardization Forum </w:t>
              </w:r>
            </w:hyperlink>
            <w:hyperlink r:id="rId420">
              <w:r w:rsidR="0034409A" w:rsidRPr="00073574">
                <w:rPr>
                  <w:rFonts w:asciiTheme="majorBidi" w:hAnsiTheme="majorBidi" w:cstheme="majorBidi"/>
                </w:rPr>
                <w:t>–</w:t>
              </w:r>
              <w:r w:rsidR="00F0236A" w:rsidRPr="00073574">
                <w:rPr>
                  <w:rFonts w:asciiTheme="majorBidi" w:hAnsiTheme="majorBidi" w:cstheme="majorBidi"/>
                </w:rPr>
                <w:t xml:space="preserve"> </w:t>
              </w:r>
            </w:hyperlink>
            <w:hyperlink r:id="rId421">
              <w:r w:rsidR="00F0236A" w:rsidRPr="00073574">
                <w:rPr>
                  <w:rFonts w:asciiTheme="majorBidi" w:hAnsiTheme="majorBidi" w:cstheme="majorBidi"/>
                </w:rPr>
                <w:t xml:space="preserve">Arab and African </w:t>
              </w:r>
            </w:hyperlink>
            <w:hyperlink r:id="rId422">
              <w:r w:rsidR="00F0236A" w:rsidRPr="00073574">
                <w:rPr>
                  <w:rFonts w:asciiTheme="majorBidi" w:hAnsiTheme="majorBidi" w:cstheme="majorBidi"/>
                </w:rPr>
                <w:t>Region</w:t>
              </w:r>
            </w:hyperlink>
            <w:r w:rsidR="00F0236A" w:rsidRPr="00073574">
              <w:rPr>
                <w:rFonts w:asciiTheme="majorBidi" w:hAnsiTheme="majorBidi" w:cstheme="majorBidi"/>
              </w:rPr>
              <w:t xml:space="preserve"> </w:t>
            </w:r>
            <w:r w:rsidR="00C43A15" w:rsidRPr="00073574">
              <w:rPr>
                <w:rFonts w:asciiTheme="majorBidi" w:hAnsiTheme="majorBidi" w:cstheme="majorBidi"/>
              </w:rPr>
              <w:t xml:space="preserve">with a </w:t>
            </w:r>
            <w:r w:rsidR="00F0236A" w:rsidRPr="00073574">
              <w:rPr>
                <w:rFonts w:asciiTheme="majorBidi" w:hAnsiTheme="majorBidi" w:cstheme="majorBidi"/>
              </w:rPr>
              <w:t>focus on</w:t>
            </w:r>
            <w:hyperlink r:id="rId423">
              <w:r w:rsidR="00C43A15" w:rsidRPr="00073574">
                <w:rPr>
                  <w:rStyle w:val="Hyperlink"/>
                  <w:rFonts w:asciiTheme="majorBidi" w:hAnsiTheme="majorBidi" w:cstheme="majorBidi"/>
                </w:rPr>
                <w:t xml:space="preserve"> PKI for e-trust in the hyperconnected world</w:t>
              </w:r>
            </w:hyperlink>
            <w:r w:rsidR="00C43A15" w:rsidRPr="00073574">
              <w:rPr>
                <w:rFonts w:asciiTheme="majorBidi" w:hAnsiTheme="majorBidi" w:cstheme="majorBidi"/>
              </w:rPr>
              <w:t>,</w:t>
            </w:r>
            <w:r w:rsidR="00F0236A" w:rsidRPr="00073574">
              <w:rPr>
                <w:rFonts w:asciiTheme="majorBidi" w:hAnsiTheme="majorBidi" w:cstheme="majorBidi"/>
              </w:rPr>
              <w:t xml:space="preserve"> Muscat, Oman, 11-12 December 2017.</w:t>
            </w:r>
          </w:p>
          <w:p w14:paraId="143A9714" w14:textId="3A55B24C" w:rsidR="00A52E4E" w:rsidRPr="00073574" w:rsidRDefault="0053741E" w:rsidP="002E241A">
            <w:pPr>
              <w:pStyle w:val="ListParagraph"/>
              <w:numPr>
                <w:ilvl w:val="0"/>
                <w:numId w:val="70"/>
              </w:numPr>
              <w:contextualSpacing w:val="0"/>
              <w:rPr>
                <w:rFonts w:asciiTheme="majorBidi" w:hAnsiTheme="majorBidi" w:cstheme="majorBidi"/>
              </w:rPr>
            </w:pPr>
            <w:hyperlink r:id="rId424" w:history="1">
              <w:r w:rsidR="00A52E4E" w:rsidRPr="00073574">
                <w:rPr>
                  <w:rStyle w:val="Hyperlink"/>
                  <w:rFonts w:asciiTheme="majorBidi" w:hAnsiTheme="majorBidi"/>
                </w:rPr>
                <w:t>ITU Regional Workshop on Deployment of VoLTE/ViLTE networks based on IMS: from Standardization to Implementation</w:t>
              </w:r>
            </w:hyperlink>
            <w:r w:rsidR="00A52E4E" w:rsidRPr="00073574">
              <w:rPr>
                <w:rFonts w:asciiTheme="majorBidi" w:hAnsiTheme="majorBidi" w:cstheme="majorBidi"/>
              </w:rPr>
              <w:t>, Samarkand, Republic of Uzbekistan, 2-3 October 2018</w:t>
            </w:r>
            <w:r w:rsidR="00A96B47" w:rsidRPr="00073574">
              <w:rPr>
                <w:rFonts w:asciiTheme="majorBidi" w:hAnsiTheme="majorBidi" w:cstheme="majorBidi"/>
              </w:rPr>
              <w:t>.</w:t>
            </w:r>
          </w:p>
          <w:p w14:paraId="6A7B3ED3" w14:textId="18950AF7" w:rsidR="00C4473F" w:rsidRPr="00073574" w:rsidRDefault="0053741E" w:rsidP="002E241A">
            <w:pPr>
              <w:numPr>
                <w:ilvl w:val="0"/>
                <w:numId w:val="70"/>
              </w:numPr>
              <w:shd w:val="clear" w:color="auto" w:fill="FFFFFF"/>
              <w:textAlignment w:val="baseline"/>
              <w:rPr>
                <w:rFonts w:eastAsia="Times New Roman"/>
                <w:color w:val="444444"/>
                <w:lang w:eastAsia="en-GB"/>
              </w:rPr>
            </w:pPr>
            <w:hyperlink r:id="rId425" w:history="1">
              <w:r w:rsidR="00C4473F" w:rsidRPr="00073574">
                <w:rPr>
                  <w:rStyle w:val="Hyperlink"/>
                  <w:rFonts w:asciiTheme="majorBidi" w:hAnsiTheme="majorBidi"/>
                </w:rPr>
                <w:t>ITU Regional Standardization Forum on Emerging Economic, Regulatory and Policy Trends in a Fast-Changing Digital World</w:t>
              </w:r>
            </w:hyperlink>
            <w:r w:rsidR="00C4473F" w:rsidRPr="00073574">
              <w:t>, X’ian, China, 27 August 2018</w:t>
            </w:r>
            <w:r w:rsidR="00C34C16" w:rsidRPr="00073574">
              <w:t>.</w:t>
            </w:r>
          </w:p>
          <w:p w14:paraId="39C87A36" w14:textId="77777777" w:rsidR="00C4473F" w:rsidRPr="00073574" w:rsidRDefault="0053741E" w:rsidP="002E241A">
            <w:pPr>
              <w:pStyle w:val="ListParagraph"/>
              <w:numPr>
                <w:ilvl w:val="0"/>
                <w:numId w:val="70"/>
              </w:numPr>
              <w:contextualSpacing w:val="0"/>
              <w:rPr>
                <w:rFonts w:asciiTheme="majorBidi" w:hAnsiTheme="majorBidi" w:cstheme="majorBidi"/>
                <w:sz w:val="24"/>
              </w:rPr>
            </w:pPr>
            <w:hyperlink r:id="rId426" w:history="1">
              <w:r w:rsidR="00C4473F" w:rsidRPr="00073574">
                <w:rPr>
                  <w:rStyle w:val="Hyperlink"/>
                  <w:rFonts w:asciiTheme="majorBidi" w:hAnsiTheme="majorBidi"/>
                </w:rPr>
                <w:t>ITU Regional Standardization Forum on Emerging Economic, Regulatory and Policy Trends in a Fast-Changing Digital World</w:t>
              </w:r>
            </w:hyperlink>
            <w:r w:rsidR="00C4473F" w:rsidRPr="00073574">
              <w:t>, Kigali, Rwanda, 5 February 2018.</w:t>
            </w:r>
          </w:p>
          <w:p w14:paraId="24DAB519" w14:textId="77777777" w:rsidR="00E6795C" w:rsidRPr="00073574" w:rsidRDefault="00DB39B3" w:rsidP="002E241A">
            <w:pPr>
              <w:pStyle w:val="ListParagraph"/>
              <w:numPr>
                <w:ilvl w:val="0"/>
                <w:numId w:val="70"/>
              </w:numPr>
              <w:spacing w:after="120"/>
              <w:contextualSpacing w:val="0"/>
              <w:rPr>
                <w:rFonts w:asciiTheme="majorBidi" w:hAnsiTheme="majorBidi" w:cstheme="majorBidi"/>
                <w:sz w:val="24"/>
              </w:rPr>
            </w:pPr>
            <w:r w:rsidRPr="00073574">
              <w:rPr>
                <w:rFonts w:asciiTheme="majorBidi" w:hAnsiTheme="majorBidi" w:cstheme="majorBidi"/>
              </w:rPr>
              <w:t>ITU Regional Standardization Forum on Emerging Economic, Regulatory and Policy Trends in a Fast-Changing Digital World; Kuwait City, Kuwait, 17 December 2018.</w:t>
            </w:r>
          </w:p>
          <w:p w14:paraId="53E38AC7" w14:textId="1CF19EAE" w:rsidR="00E6795C" w:rsidRPr="00073574" w:rsidRDefault="00E6795C" w:rsidP="002E241A">
            <w:pPr>
              <w:pStyle w:val="ListParagraph"/>
              <w:numPr>
                <w:ilvl w:val="0"/>
                <w:numId w:val="70"/>
              </w:numPr>
              <w:spacing w:after="120"/>
              <w:contextualSpacing w:val="0"/>
              <w:rPr>
                <w:rFonts w:asciiTheme="majorBidi" w:eastAsia="Arial Unicode MS" w:hAnsiTheme="majorBidi" w:cstheme="majorBidi"/>
                <w:kern w:val="1"/>
                <w:lang w:eastAsia="hi-IN" w:bidi="hi-IN"/>
              </w:rPr>
            </w:pPr>
            <w:r w:rsidRPr="00073574">
              <w:rPr>
                <w:rFonts w:asciiTheme="majorBidi" w:eastAsia="Arial Unicode MS" w:hAnsiTheme="majorBidi" w:cstheme="majorBidi"/>
                <w:kern w:val="1"/>
                <w:lang w:eastAsia="hi-IN" w:bidi="hi-IN"/>
              </w:rPr>
              <w:t>ITU Regional Standardization Forum on Emerging Economic, Regulatory and Policy Trends for an Inclusive, Sustainable and Trustworthy Digital World, Antananarivo, Madagascar, 18 February 2019</w:t>
            </w:r>
            <w:r w:rsidR="00C34C16" w:rsidRPr="00073574">
              <w:rPr>
                <w:rFonts w:asciiTheme="majorBidi" w:eastAsia="Arial Unicode MS" w:hAnsiTheme="majorBidi" w:cstheme="majorBidi"/>
                <w:kern w:val="1"/>
                <w:lang w:eastAsia="hi-IN" w:bidi="hi-IN"/>
              </w:rPr>
              <w:t>.</w:t>
            </w:r>
          </w:p>
          <w:p w14:paraId="7C612BDC" w14:textId="283CB8CE" w:rsidR="000F288B" w:rsidRPr="00073574" w:rsidRDefault="000F288B" w:rsidP="002E241A">
            <w:pPr>
              <w:pStyle w:val="ListParagraph"/>
              <w:numPr>
                <w:ilvl w:val="0"/>
                <w:numId w:val="70"/>
              </w:numPr>
              <w:spacing w:after="120"/>
              <w:contextualSpacing w:val="0"/>
              <w:rPr>
                <w:rStyle w:val="Hyperlink"/>
                <w:rFonts w:eastAsia="Arial Unicode MS"/>
                <w:color w:val="auto"/>
                <w:kern w:val="1"/>
                <w:u w:val="none"/>
                <w:lang w:eastAsia="hi-IN" w:bidi="hi-IN"/>
              </w:rPr>
            </w:pPr>
            <w:r w:rsidRPr="00073574">
              <w:rPr>
                <w:color w:val="2B579A"/>
                <w:shd w:val="clear" w:color="auto" w:fill="FFFFFF"/>
              </w:rPr>
              <w:fldChar w:fldCharType="begin"/>
            </w:r>
            <w:r w:rsidRPr="00073574">
              <w:rPr>
                <w:shd w:val="clear" w:color="auto" w:fill="FFFFFF"/>
              </w:rPr>
              <w:instrText>HYPERLINK "https://www.itu.int/en/ITU-D/Regional-Presence/CIS/Pages/EVENTS/2019/02_Minsk/02_Minsk.aspx" \t "_blank"</w:instrText>
            </w:r>
            <w:r w:rsidRPr="00073574">
              <w:rPr>
                <w:color w:val="2B579A"/>
                <w:shd w:val="clear" w:color="auto" w:fill="FFFFFF"/>
              </w:rPr>
              <w:fldChar w:fldCharType="separate"/>
            </w:r>
            <w:r w:rsidRPr="00073574">
              <w:rPr>
                <w:rStyle w:val="Hyperlink"/>
                <w:shd w:val="clear" w:color="auto" w:fill="FFFFFF"/>
              </w:rPr>
              <w:t xml:space="preserve">ITU-UN-Habitat-UNDP Forum on Smart sustainable cities: technological trends, success stories and future prospects, </w:t>
            </w:r>
            <w:r w:rsidRPr="00073574">
              <w:rPr>
                <w:rStyle w:val="Hyperlink"/>
                <w:color w:val="auto"/>
                <w:u w:val="none"/>
                <w:shd w:val="clear" w:color="auto" w:fill="FFFFFF"/>
              </w:rPr>
              <w:t>26-27 February 2019, Minsk, Belarus</w:t>
            </w:r>
            <w:r w:rsidR="00C42284" w:rsidRPr="00073574">
              <w:rPr>
                <w:rStyle w:val="Hyperlink"/>
                <w:color w:val="auto"/>
                <w:u w:val="none"/>
                <w:shd w:val="clear" w:color="auto" w:fill="FFFFFF"/>
              </w:rPr>
              <w:t>.</w:t>
            </w:r>
          </w:p>
          <w:p w14:paraId="48E70B89" w14:textId="77F2EE80" w:rsidR="000F288B" w:rsidRPr="00073574" w:rsidRDefault="000F288B" w:rsidP="002E241A">
            <w:pPr>
              <w:pStyle w:val="ListParagraph"/>
              <w:numPr>
                <w:ilvl w:val="0"/>
                <w:numId w:val="70"/>
              </w:numPr>
              <w:spacing w:after="120"/>
              <w:contextualSpacing w:val="0"/>
              <w:rPr>
                <w:rStyle w:val="Hyperlink"/>
              </w:rPr>
            </w:pPr>
            <w:r w:rsidRPr="00073574">
              <w:rPr>
                <w:rStyle w:val="Hyperlink"/>
                <w:rFonts w:eastAsia="Arial Unicode MS"/>
                <w:kern w:val="1"/>
                <w:lang w:eastAsia="hi-IN" w:bidi="hi-IN"/>
              </w:rPr>
              <w:t xml:space="preserve">ITU Training on Key performance indicators for smart sustainable cities to achieve the SDGs, </w:t>
            </w:r>
            <w:r w:rsidRPr="00073574">
              <w:rPr>
                <w:rStyle w:val="Hyperlink"/>
                <w:rFonts w:eastAsia="Arial Unicode MS"/>
                <w:color w:val="auto"/>
                <w:kern w:val="1"/>
                <w:u w:val="none"/>
                <w:lang w:eastAsia="hi-IN" w:bidi="hi-IN"/>
              </w:rPr>
              <w:t>27 February 2019 (11h30- 16h00), Minsk, Belarus</w:t>
            </w:r>
            <w:r w:rsidR="00C42284" w:rsidRPr="00073574">
              <w:rPr>
                <w:rStyle w:val="Hyperlink"/>
                <w:rFonts w:eastAsia="Arial Unicode MS"/>
                <w:color w:val="auto"/>
                <w:kern w:val="1"/>
                <w:u w:val="none"/>
                <w:lang w:eastAsia="hi-IN" w:bidi="hi-IN"/>
              </w:rPr>
              <w:t>.</w:t>
            </w:r>
          </w:p>
          <w:p w14:paraId="18F8E4CB" w14:textId="04A5F28B" w:rsidR="00E17110" w:rsidRPr="00073574" w:rsidRDefault="000F288B" w:rsidP="002E241A">
            <w:pPr>
              <w:pStyle w:val="ListParagraph"/>
              <w:numPr>
                <w:ilvl w:val="0"/>
                <w:numId w:val="70"/>
              </w:numPr>
              <w:spacing w:after="120"/>
              <w:contextualSpacing w:val="0"/>
              <w:rPr>
                <w:rFonts w:asciiTheme="majorBidi" w:eastAsia="Arial Unicode MS" w:hAnsiTheme="majorBidi" w:cstheme="majorBidi"/>
                <w:kern w:val="1"/>
                <w:lang w:eastAsia="hi-IN" w:bidi="hi-IN"/>
              </w:rPr>
            </w:pPr>
            <w:r w:rsidRPr="00073574">
              <w:rPr>
                <w:shd w:val="clear" w:color="auto" w:fill="FFFFFF"/>
              </w:rPr>
              <w:fldChar w:fldCharType="end"/>
            </w:r>
            <w:hyperlink r:id="rId427" w:history="1">
              <w:r w:rsidR="00E17110" w:rsidRPr="00073574">
                <w:rPr>
                  <w:rStyle w:val="Hyperlink"/>
                  <w:rFonts w:asciiTheme="majorBidi" w:eastAsia="Arial Unicode MS" w:hAnsiTheme="majorBidi" w:cstheme="majorBidi"/>
                  <w:kern w:val="1"/>
                  <w:lang w:eastAsia="hi-IN" w:bidi="hi-IN"/>
                </w:rPr>
                <w:t>ITU Regional Forum on “Internet of Things, Telecommunication Networks and Big Data as basic infrastructure for Digital Economy”</w:t>
              </w:r>
            </w:hyperlink>
            <w:r w:rsidR="00E17110" w:rsidRPr="00073574">
              <w:rPr>
                <w:rFonts w:asciiTheme="majorBidi" w:eastAsia="Arial Unicode MS" w:hAnsiTheme="majorBidi" w:cstheme="majorBidi"/>
                <w:kern w:val="1"/>
                <w:lang w:eastAsia="hi-IN" w:bidi="hi-IN"/>
              </w:rPr>
              <w:t>, Saint Petersburg, Russia, 4-6 June 2018</w:t>
            </w:r>
            <w:r w:rsidR="00A96B47" w:rsidRPr="00073574">
              <w:rPr>
                <w:rFonts w:asciiTheme="majorBidi" w:eastAsia="Arial Unicode MS" w:hAnsiTheme="majorBidi" w:cstheme="majorBidi"/>
                <w:kern w:val="1"/>
                <w:lang w:eastAsia="hi-IN" w:bidi="hi-IN"/>
              </w:rPr>
              <w:t>.</w:t>
            </w:r>
          </w:p>
          <w:p w14:paraId="78764FB6" w14:textId="44BBC520" w:rsidR="00E6795C" w:rsidRPr="00073574" w:rsidRDefault="00E6795C" w:rsidP="002E241A">
            <w:pPr>
              <w:pStyle w:val="ListParagraph"/>
              <w:numPr>
                <w:ilvl w:val="0"/>
                <w:numId w:val="70"/>
              </w:numPr>
              <w:spacing w:after="120"/>
              <w:contextualSpacing w:val="0"/>
              <w:rPr>
                <w:rFonts w:asciiTheme="majorBidi" w:eastAsia="Arial Unicode MS" w:hAnsiTheme="majorBidi" w:cstheme="majorBidi"/>
                <w:kern w:val="1"/>
                <w:lang w:eastAsia="hi-IN" w:bidi="hi-IN"/>
              </w:rPr>
            </w:pPr>
            <w:r w:rsidRPr="00073574">
              <w:rPr>
                <w:rFonts w:asciiTheme="majorBidi" w:eastAsia="Arial Unicode MS" w:hAnsiTheme="majorBidi" w:cstheme="majorBidi"/>
                <w:kern w:val="1"/>
                <w:lang w:eastAsia="hi-IN" w:bidi="hi-IN"/>
              </w:rPr>
              <w:t>ITU Workshop on International Numbering Resources (INRs) for the Americas, Managua, Nicaragua, 25-26 March 2019</w:t>
            </w:r>
            <w:r w:rsidR="00C34C16" w:rsidRPr="00073574">
              <w:rPr>
                <w:rFonts w:asciiTheme="majorBidi" w:eastAsia="Arial Unicode MS" w:hAnsiTheme="majorBidi" w:cstheme="majorBidi"/>
                <w:kern w:val="1"/>
                <w:lang w:eastAsia="hi-IN" w:bidi="hi-IN"/>
              </w:rPr>
              <w:t>.</w:t>
            </w:r>
          </w:p>
          <w:p w14:paraId="071861C6" w14:textId="09507DA5" w:rsidR="00E6795C" w:rsidRPr="00073574" w:rsidRDefault="00200432" w:rsidP="002E241A">
            <w:pPr>
              <w:pStyle w:val="ListParagraph"/>
              <w:numPr>
                <w:ilvl w:val="0"/>
                <w:numId w:val="70"/>
              </w:numPr>
              <w:spacing w:after="120"/>
              <w:contextualSpacing w:val="0"/>
              <w:rPr>
                <w:rFonts w:asciiTheme="majorBidi" w:eastAsia="Arial Unicode MS" w:hAnsiTheme="majorBidi" w:cstheme="majorBidi"/>
                <w:kern w:val="1"/>
                <w:lang w:eastAsia="hi-IN" w:bidi="hi-IN"/>
              </w:rPr>
            </w:pPr>
            <w:r w:rsidRPr="00073574">
              <w:rPr>
                <w:rFonts w:asciiTheme="majorBidi" w:eastAsia="Arial Unicode MS" w:hAnsiTheme="majorBidi" w:cstheme="majorBidi"/>
                <w:kern w:val="1"/>
                <w:lang w:eastAsia="hi-IN" w:bidi="hi-IN"/>
              </w:rPr>
              <w:t>4th ITU Workshop on Network 2030 jointly with ITU Forum on Future Applications and Services. Perspective 2030</w:t>
            </w:r>
            <w:r w:rsidR="00E6795C" w:rsidRPr="00073574">
              <w:rPr>
                <w:rFonts w:asciiTheme="majorBidi" w:eastAsia="Arial Unicode MS" w:hAnsiTheme="majorBidi" w:cstheme="majorBidi"/>
                <w:kern w:val="1"/>
                <w:lang w:eastAsia="hi-IN" w:bidi="hi-IN"/>
              </w:rPr>
              <w:t>”, Saint-Petersburg, Russia Federation, 21-23 May 2019.</w:t>
            </w:r>
          </w:p>
          <w:p w14:paraId="231BA452" w14:textId="48FDA1B7" w:rsidR="00AB5192" w:rsidRPr="00073574" w:rsidRDefault="000F288B" w:rsidP="00486064">
            <w:pPr>
              <w:pStyle w:val="ListParagraph"/>
              <w:numPr>
                <w:ilvl w:val="0"/>
                <w:numId w:val="70"/>
              </w:numPr>
              <w:spacing w:after="40"/>
              <w:contextualSpacing w:val="0"/>
              <w:rPr>
                <w:rFonts w:asciiTheme="majorBidi" w:eastAsia="Arial Unicode MS" w:hAnsiTheme="majorBidi" w:cstheme="majorBidi"/>
                <w:kern w:val="1"/>
                <w:lang w:eastAsia="hi-IN" w:bidi="hi-IN"/>
              </w:rPr>
            </w:pPr>
            <w:r w:rsidRPr="00073574">
              <w:rPr>
                <w:rFonts w:asciiTheme="majorBidi" w:eastAsia="Arial Unicode MS" w:hAnsiTheme="majorBidi" w:cstheme="majorBidi"/>
                <w:kern w:val="1"/>
                <w:lang w:eastAsia="hi-IN" w:bidi="hi-IN"/>
              </w:rPr>
              <w:t>The First Digital African Week will be held from 27 to 30 August 2019 in Abuja, Nigeria.</w:t>
            </w:r>
          </w:p>
          <w:p w14:paraId="6B2AECF0" w14:textId="2E97BDDE" w:rsidR="003B5E39" w:rsidRPr="00073574" w:rsidRDefault="0053741E" w:rsidP="002E241A">
            <w:pPr>
              <w:pStyle w:val="ListParagraph"/>
              <w:numPr>
                <w:ilvl w:val="0"/>
                <w:numId w:val="70"/>
              </w:numPr>
              <w:spacing w:after="40"/>
              <w:contextualSpacing w:val="0"/>
              <w:rPr>
                <w:rFonts w:asciiTheme="majorBidi" w:eastAsia="Arial Unicode MS" w:hAnsiTheme="majorBidi" w:cstheme="majorBidi"/>
                <w:kern w:val="1"/>
                <w:lang w:eastAsia="hi-IN" w:bidi="hi-IN"/>
              </w:rPr>
            </w:pPr>
            <w:hyperlink r:id="rId428" w:history="1">
              <w:r w:rsidR="00014AA7" w:rsidRPr="00073574">
                <w:rPr>
                  <w:rStyle w:val="Hyperlink"/>
                  <w:rFonts w:asciiTheme="majorBidi" w:eastAsia="Arial Unicode MS" w:hAnsiTheme="majorBidi" w:cstheme="majorBidi"/>
                  <w:kern w:val="1"/>
                  <w:lang w:eastAsia="hi-IN" w:bidi="hi-IN"/>
                </w:rPr>
                <w:t>ITU Regional Workshop for CIS on "Internet of Things (IoT) and future networks"</w:t>
              </w:r>
            </w:hyperlink>
            <w:r w:rsidR="00014AA7" w:rsidRPr="00073574">
              <w:rPr>
                <w:rFonts w:asciiTheme="majorBidi" w:eastAsia="Arial Unicode MS" w:hAnsiTheme="majorBidi" w:cstheme="majorBidi"/>
                <w:kern w:val="1"/>
                <w:lang w:eastAsia="hi-IN" w:bidi="hi-IN"/>
              </w:rPr>
              <w:t>, St Petersburg, Russia, 19-20 June 2017</w:t>
            </w:r>
            <w:r w:rsidR="003A15C1" w:rsidRPr="00073574">
              <w:rPr>
                <w:rFonts w:asciiTheme="majorBidi" w:eastAsia="Arial Unicode MS" w:hAnsiTheme="majorBidi" w:cstheme="majorBidi"/>
                <w:kern w:val="1"/>
                <w:lang w:eastAsia="hi-IN" w:bidi="hi-IN"/>
              </w:rPr>
              <w:t>.</w:t>
            </w:r>
          </w:p>
          <w:p w14:paraId="00F3CF2C" w14:textId="1F5CF045" w:rsidR="00BB2AAB" w:rsidRPr="00073574" w:rsidRDefault="0053741E" w:rsidP="00025B32">
            <w:pPr>
              <w:pStyle w:val="ListParagraph"/>
              <w:numPr>
                <w:ilvl w:val="0"/>
                <w:numId w:val="70"/>
              </w:numPr>
              <w:spacing w:after="40"/>
              <w:contextualSpacing w:val="0"/>
              <w:rPr>
                <w:rFonts w:asciiTheme="majorBidi" w:eastAsia="Arial Unicode MS" w:hAnsiTheme="majorBidi" w:cstheme="majorBidi"/>
                <w:kern w:val="1"/>
                <w:lang w:eastAsia="hi-IN" w:bidi="hi-IN"/>
              </w:rPr>
            </w:pPr>
            <w:hyperlink r:id="rId429" w:history="1">
              <w:r w:rsidR="00BB2AAB" w:rsidRPr="00073574">
                <w:rPr>
                  <w:rStyle w:val="Hyperlink"/>
                  <w:rFonts w:asciiTheme="majorBidi" w:eastAsia="Arial Unicode MS" w:hAnsiTheme="majorBidi" w:cstheme="majorBidi"/>
                  <w:kern w:val="1"/>
                  <w:lang w:eastAsia="hi-IN" w:bidi="hi-IN"/>
                </w:rPr>
                <w:t>Third ITU-T Study Group 11 Regional Workshop for Africa on “Counterfeit ICT Devices, Conformance and Interoperability Testing Challenges in Africa”</w:t>
              </w:r>
            </w:hyperlink>
            <w:r w:rsidR="00BB2AAB" w:rsidRPr="00073574">
              <w:rPr>
                <w:rFonts w:asciiTheme="majorBidi" w:eastAsia="Arial Unicode MS" w:hAnsiTheme="majorBidi" w:cstheme="majorBidi"/>
                <w:kern w:val="1"/>
                <w:lang w:eastAsia="hi-IN" w:bidi="hi-IN"/>
              </w:rPr>
              <w:t>, Tunis, Tunisia, 30 September 2019.</w:t>
            </w:r>
          </w:p>
          <w:p w14:paraId="55106CCC" w14:textId="029CC044" w:rsidR="00DB3AF8" w:rsidRPr="00073574" w:rsidRDefault="0053741E" w:rsidP="007B1367">
            <w:pPr>
              <w:pStyle w:val="ListParagraph"/>
              <w:numPr>
                <w:ilvl w:val="0"/>
                <w:numId w:val="70"/>
              </w:numPr>
              <w:spacing w:after="40"/>
              <w:contextualSpacing w:val="0"/>
              <w:rPr>
                <w:rFonts w:asciiTheme="majorBidi" w:eastAsia="Arial Unicode MS" w:hAnsiTheme="majorBidi" w:cstheme="majorBidi"/>
                <w:kern w:val="1"/>
                <w:lang w:eastAsia="hi-IN" w:bidi="hi-IN"/>
              </w:rPr>
            </w:pPr>
            <w:hyperlink r:id="rId430" w:history="1">
              <w:r w:rsidR="00DB3AF8" w:rsidRPr="00073574">
                <w:rPr>
                  <w:rStyle w:val="Hyperlink"/>
                  <w:rFonts w:asciiTheme="majorBidi" w:eastAsia="Arial Unicode MS" w:hAnsiTheme="majorBidi" w:cstheme="majorBidi"/>
                  <w:kern w:val="1"/>
                  <w:lang w:eastAsia="hi-IN" w:bidi="hi-IN"/>
                </w:rPr>
                <w:t>Second ITU-T Study Group 11 Regional Workshop for Africa on “Counterfeit ICT Devices, Conformance and Interoperability Testing Challenges in Africa”</w:t>
              </w:r>
            </w:hyperlink>
            <w:r w:rsidR="00DB3AF8" w:rsidRPr="00073574">
              <w:rPr>
                <w:rFonts w:asciiTheme="majorBidi" w:eastAsia="Arial Unicode MS" w:hAnsiTheme="majorBidi" w:cstheme="majorBidi"/>
                <w:kern w:val="1"/>
                <w:lang w:eastAsia="hi-IN" w:bidi="hi-IN"/>
              </w:rPr>
              <w:t>, Tunis, Tunisia, 23 April 2018</w:t>
            </w:r>
            <w:r w:rsidR="00BB2AAB" w:rsidRPr="00073574">
              <w:rPr>
                <w:rFonts w:asciiTheme="majorBidi" w:eastAsia="Arial Unicode MS" w:hAnsiTheme="majorBidi" w:cstheme="majorBidi"/>
                <w:kern w:val="1"/>
                <w:lang w:eastAsia="hi-IN" w:bidi="hi-IN"/>
              </w:rPr>
              <w:t>.</w:t>
            </w:r>
          </w:p>
          <w:p w14:paraId="69C04B77" w14:textId="50C39A24" w:rsidR="002C75E6" w:rsidRPr="00073574" w:rsidRDefault="0053741E" w:rsidP="002E241A">
            <w:pPr>
              <w:pStyle w:val="ListParagraph"/>
              <w:numPr>
                <w:ilvl w:val="0"/>
                <w:numId w:val="70"/>
              </w:numPr>
              <w:spacing w:after="40"/>
              <w:contextualSpacing w:val="0"/>
              <w:rPr>
                <w:rFonts w:asciiTheme="majorBidi" w:eastAsia="Arial Unicode MS" w:hAnsiTheme="majorBidi" w:cstheme="majorBidi"/>
                <w:kern w:val="1"/>
                <w:lang w:eastAsia="hi-IN" w:bidi="hi-IN"/>
              </w:rPr>
            </w:pPr>
            <w:hyperlink r:id="rId431" w:history="1">
              <w:r w:rsidR="003A15C1" w:rsidRPr="00073574">
                <w:rPr>
                  <w:rStyle w:val="Hyperlink"/>
                  <w:rFonts w:asciiTheme="majorBidi" w:eastAsia="Arial Unicode MS" w:hAnsiTheme="majorBidi" w:cstheme="majorBidi"/>
                  <w:kern w:val="1"/>
                  <w:lang w:eastAsia="hi-IN" w:bidi="hi-IN"/>
                </w:rPr>
                <w:t>SG 11 Regional Workshop for Africa on “Counterfeit ICT Devices, Conformance and Interoperability Testing Challenges in Africa”</w:t>
              </w:r>
            </w:hyperlink>
            <w:r w:rsidR="003A15C1" w:rsidRPr="00073574">
              <w:rPr>
                <w:rFonts w:asciiTheme="majorBidi" w:eastAsia="Arial Unicode MS" w:hAnsiTheme="majorBidi" w:cstheme="majorBidi"/>
                <w:kern w:val="1"/>
                <w:lang w:eastAsia="hi-IN" w:bidi="hi-IN"/>
              </w:rPr>
              <w:t>, Cairo, Egypt, 5 April 2017.</w:t>
            </w:r>
          </w:p>
          <w:p w14:paraId="7A7A91AD" w14:textId="4411A9B0" w:rsidR="0018517B" w:rsidRPr="00073574" w:rsidRDefault="0018517B" w:rsidP="0018517B">
            <w:pPr>
              <w:spacing w:after="40"/>
              <w:rPr>
                <w:rFonts w:eastAsia="Arial Unicode MS"/>
                <w:kern w:val="1"/>
                <w:lang w:eastAsia="hi-IN" w:bidi="hi-IN"/>
              </w:rPr>
            </w:pPr>
            <w:r w:rsidRPr="00073574">
              <w:rPr>
                <w:rFonts w:eastAsia="Arial Unicode MS"/>
                <w:kern w:val="1"/>
                <w:lang w:eastAsia="hi-IN" w:bidi="hi-IN"/>
              </w:rPr>
              <w:t>Workshops held in conjunction with meetings of SG12RG-AFR,</w:t>
            </w:r>
            <w:r w:rsidR="004458C3" w:rsidRPr="00073574">
              <w:rPr>
                <w:rFonts w:eastAsia="Arial Unicode MS"/>
                <w:kern w:val="1"/>
                <w:lang w:eastAsia="hi-IN" w:bidi="hi-IN"/>
              </w:rPr>
              <w:t xml:space="preserve"> in coordination with ITU-D</w:t>
            </w:r>
            <w:r w:rsidRPr="00073574">
              <w:rPr>
                <w:rFonts w:eastAsia="Arial Unicode MS"/>
                <w:kern w:val="1"/>
                <w:lang w:eastAsia="hi-IN" w:bidi="hi-IN"/>
              </w:rPr>
              <w:t>:</w:t>
            </w:r>
          </w:p>
          <w:p w14:paraId="321FAB87" w14:textId="7A7A3C1E" w:rsidR="0018517B" w:rsidRPr="00073574" w:rsidRDefault="0018517B" w:rsidP="002E241A">
            <w:pPr>
              <w:pStyle w:val="ListParagraph"/>
              <w:numPr>
                <w:ilvl w:val="0"/>
                <w:numId w:val="70"/>
              </w:numPr>
              <w:ind w:left="714" w:hanging="357"/>
              <w:contextualSpacing w:val="0"/>
              <w:rPr>
                <w:shd w:val="clear" w:color="auto" w:fill="FFFFFF"/>
              </w:rPr>
            </w:pPr>
            <w:r w:rsidRPr="00073574">
              <w:rPr>
                <w:shd w:val="clear" w:color="auto" w:fill="FFFFFF"/>
              </w:rPr>
              <w:t>ITU Workshop on Performance, QoS and QoE for Multimedia Services, Johannesburg, 24-25 July 2017.</w:t>
            </w:r>
          </w:p>
          <w:p w14:paraId="040415EA" w14:textId="77777777" w:rsidR="0018517B" w:rsidRPr="00073574" w:rsidRDefault="0018517B" w:rsidP="002E241A">
            <w:pPr>
              <w:pStyle w:val="ListParagraph"/>
              <w:numPr>
                <w:ilvl w:val="0"/>
                <w:numId w:val="70"/>
              </w:numPr>
              <w:ind w:left="714" w:hanging="357"/>
              <w:contextualSpacing w:val="0"/>
            </w:pPr>
            <w:r w:rsidRPr="00073574">
              <w:t>ITU Workshop on Performance, QoS and QoE for Multimedia Services, Dakar, 19-20 March 2018.</w:t>
            </w:r>
          </w:p>
          <w:p w14:paraId="2BC96A81" w14:textId="77777777" w:rsidR="0018517B" w:rsidRPr="00073574" w:rsidRDefault="0018517B" w:rsidP="002E241A">
            <w:pPr>
              <w:pStyle w:val="ListParagraph"/>
              <w:numPr>
                <w:ilvl w:val="0"/>
                <w:numId w:val="70"/>
              </w:numPr>
              <w:ind w:left="714" w:hanging="357"/>
              <w:contextualSpacing w:val="0"/>
              <w:rPr>
                <w:rFonts w:eastAsia="Arial Unicode MS"/>
                <w:kern w:val="1"/>
                <w:lang w:eastAsia="hi-IN" w:bidi="hi-IN"/>
              </w:rPr>
            </w:pPr>
            <w:r w:rsidRPr="00073574">
              <w:rPr>
                <w:shd w:val="clear" w:color="auto" w:fill="FFFFFF"/>
              </w:rPr>
              <w:t>ITU Workshop on Network Performance, Quality of Service and Quality of Experience, Kigali, 4-5 March 2019.</w:t>
            </w:r>
          </w:p>
          <w:p w14:paraId="28F2D0A0" w14:textId="4531D108" w:rsidR="0018517B" w:rsidRPr="00073574" w:rsidRDefault="0018517B" w:rsidP="002E241A">
            <w:pPr>
              <w:pStyle w:val="ListParagraph"/>
              <w:numPr>
                <w:ilvl w:val="0"/>
                <w:numId w:val="70"/>
              </w:numPr>
              <w:ind w:left="714" w:hanging="357"/>
              <w:contextualSpacing w:val="0"/>
              <w:rPr>
                <w:rFonts w:asciiTheme="majorBidi" w:eastAsia="Arial Unicode MS" w:hAnsiTheme="majorBidi" w:cstheme="majorBidi"/>
                <w:kern w:val="1"/>
                <w:lang w:eastAsia="hi-IN" w:bidi="hi-IN"/>
              </w:rPr>
            </w:pPr>
            <w:r w:rsidRPr="00073574">
              <w:rPr>
                <w:rFonts w:eastAsia="Arial Unicode MS"/>
                <w:kern w:val="1"/>
                <w:lang w:eastAsia="hi-IN" w:bidi="hi-IN"/>
              </w:rPr>
              <w:t>ITU Workshop on Network Performance, Quality of Service and Quality of Experience, N</w:t>
            </w:r>
            <w:r w:rsidR="0034409A" w:rsidRPr="00073574">
              <w:rPr>
                <w:rFonts w:eastAsia="Arial Unicode MS"/>
                <w:kern w:val="1"/>
                <w:lang w:eastAsia="hi-IN" w:bidi="hi-IN"/>
              </w:rPr>
              <w:t>’</w:t>
            </w:r>
            <w:r w:rsidRPr="00073574">
              <w:rPr>
                <w:rFonts w:eastAsia="Arial Unicode MS"/>
                <w:kern w:val="1"/>
                <w:lang w:eastAsia="hi-IN" w:bidi="hi-IN"/>
              </w:rPr>
              <w:t>Djamena, 2-3 March 2020.</w:t>
            </w:r>
          </w:p>
          <w:p w14:paraId="23C5DED6" w14:textId="64736824" w:rsidR="00AB5192" w:rsidRPr="00073574" w:rsidRDefault="00AB5192" w:rsidP="00AB5192">
            <w:pPr>
              <w:spacing w:after="40"/>
              <w:rPr>
                <w:rFonts w:eastAsia="Arial Unicode MS"/>
                <w:kern w:val="1"/>
                <w:lang w:eastAsia="hi-IN" w:bidi="hi-IN"/>
              </w:rPr>
            </w:pPr>
            <w:r w:rsidRPr="00073574">
              <w:rPr>
                <w:rFonts w:eastAsia="Arial Unicode MS"/>
                <w:kern w:val="1"/>
                <w:lang w:eastAsia="hi-IN" w:bidi="hi-IN"/>
              </w:rPr>
              <w:t>Workshops held in conjunction with meetings of SG9</w:t>
            </w:r>
            <w:r w:rsidR="00A06C5B" w:rsidRPr="00073574">
              <w:rPr>
                <w:rFonts w:eastAsia="Arial Unicode MS"/>
                <w:kern w:val="1"/>
                <w:lang w:eastAsia="hi-IN" w:bidi="hi-IN"/>
              </w:rPr>
              <w:t xml:space="preserve"> or Rapporteurs meetings of SG9. Which were </w:t>
            </w:r>
            <w:r w:rsidRPr="00073574">
              <w:rPr>
                <w:rFonts w:eastAsia="Arial Unicode MS"/>
                <w:kern w:val="1"/>
                <w:lang w:eastAsia="hi-IN" w:bidi="hi-IN"/>
              </w:rPr>
              <w:t>hosted in the regions, in coordination with ITU-D and regional offices:</w:t>
            </w:r>
          </w:p>
          <w:p w14:paraId="4472FD6E" w14:textId="55051343" w:rsidR="00AB5192" w:rsidRPr="00073574" w:rsidRDefault="0053741E" w:rsidP="00452F2C">
            <w:pPr>
              <w:numPr>
                <w:ilvl w:val="0"/>
                <w:numId w:val="120"/>
              </w:numPr>
              <w:ind w:left="714" w:hanging="357"/>
              <w:rPr>
                <w:rFonts w:eastAsia="Arial Unicode MS"/>
                <w:kern w:val="1"/>
                <w:szCs w:val="22"/>
                <w:lang w:eastAsia="hi-IN" w:bidi="hi-IN"/>
              </w:rPr>
            </w:pPr>
            <w:hyperlink r:id="rId432" w:history="1">
              <w:r w:rsidR="00AB5192" w:rsidRPr="00073574">
                <w:rPr>
                  <w:rStyle w:val="Hyperlink"/>
                  <w:rFonts w:eastAsia="Arial Unicode MS"/>
                  <w:kern w:val="1"/>
                  <w:szCs w:val="22"/>
                  <w:lang w:eastAsia="hi-IN" w:bidi="hi-IN"/>
                </w:rPr>
                <w:t>TV and content delivery on Integrated Broadband Cable Networks</w:t>
              </w:r>
            </w:hyperlink>
            <w:r w:rsidR="001756FA" w:rsidRPr="00073574">
              <w:rPr>
                <w:rFonts w:eastAsia="Arial Unicode MS"/>
                <w:kern w:val="1"/>
                <w:szCs w:val="22"/>
                <w:lang w:eastAsia="hi-IN" w:bidi="hi-IN"/>
              </w:rPr>
              <w:t xml:space="preserve">, </w:t>
            </w:r>
            <w:r w:rsidR="00AB5192" w:rsidRPr="00073574">
              <w:rPr>
                <w:rFonts w:eastAsia="Arial Unicode MS"/>
                <w:kern w:val="1"/>
                <w:szCs w:val="22"/>
                <w:lang w:eastAsia="hi-IN" w:bidi="hi-IN"/>
              </w:rPr>
              <w:t>Hangzhou, China, 26 May 2017</w:t>
            </w:r>
            <w:r w:rsidR="001756FA" w:rsidRPr="00073574">
              <w:rPr>
                <w:rFonts w:eastAsia="Arial Unicode MS"/>
                <w:kern w:val="1"/>
                <w:szCs w:val="22"/>
                <w:lang w:eastAsia="hi-IN" w:bidi="hi-IN"/>
              </w:rPr>
              <w:t>.</w:t>
            </w:r>
          </w:p>
          <w:p w14:paraId="4618B60E" w14:textId="3993BBA4" w:rsidR="00AB5192" w:rsidRPr="00073574" w:rsidRDefault="0053741E" w:rsidP="00452F2C">
            <w:pPr>
              <w:numPr>
                <w:ilvl w:val="0"/>
                <w:numId w:val="120"/>
              </w:numPr>
              <w:ind w:left="714" w:hanging="357"/>
              <w:rPr>
                <w:rStyle w:val="Emphasis"/>
                <w:rFonts w:eastAsia="Arial Unicode MS"/>
                <w:i w:val="0"/>
                <w:iCs w:val="0"/>
                <w:kern w:val="1"/>
                <w:szCs w:val="22"/>
                <w:lang w:eastAsia="hi-IN" w:bidi="hi-IN"/>
              </w:rPr>
            </w:pPr>
            <w:hyperlink r:id="rId433" w:history="1">
              <w:r w:rsidR="00AB5192" w:rsidRPr="00073574">
                <w:rPr>
                  <w:rStyle w:val="ms-rtethemeforecolor-5-0"/>
                  <w:color w:val="0072C6"/>
                  <w:szCs w:val="22"/>
                  <w:u w:val="single"/>
                  <w:bdr w:val="none" w:sz="0" w:space="0" w:color="auto" w:frame="1"/>
                  <w:shd w:val="clear" w:color="auto" w:fill="FFFFFF"/>
                </w:rPr>
                <w:t>The Future of TV for the Americas</w:t>
              </w:r>
            </w:hyperlink>
            <w:r w:rsidR="001756FA" w:rsidRPr="00073574">
              <w:rPr>
                <w:i/>
                <w:iCs/>
                <w:szCs w:val="22"/>
              </w:rPr>
              <w:t xml:space="preserve">, </w:t>
            </w:r>
            <w:r w:rsidR="00AB5192" w:rsidRPr="00073574">
              <w:rPr>
                <w:rStyle w:val="Emphasis"/>
                <w:i w:val="0"/>
                <w:szCs w:val="22"/>
                <w:bdr w:val="none" w:sz="0" w:space="0" w:color="auto" w:frame="1"/>
                <w:shd w:val="clear" w:color="auto" w:fill="FFFFFF"/>
              </w:rPr>
              <w:t>Bogotá, Colombia, 26 Nov 2018</w:t>
            </w:r>
            <w:r w:rsidR="001756FA" w:rsidRPr="00073574">
              <w:rPr>
                <w:rStyle w:val="Emphasis"/>
                <w:i w:val="0"/>
                <w:iCs w:val="0"/>
                <w:szCs w:val="22"/>
                <w:bdr w:val="none" w:sz="0" w:space="0" w:color="auto" w:frame="1"/>
                <w:shd w:val="clear" w:color="auto" w:fill="FFFFFF"/>
              </w:rPr>
              <w:t>.</w:t>
            </w:r>
          </w:p>
          <w:p w14:paraId="6D9BB8DE" w14:textId="2513FE8C" w:rsidR="00AB5192" w:rsidRPr="00073574" w:rsidRDefault="0053741E" w:rsidP="00452F2C">
            <w:pPr>
              <w:numPr>
                <w:ilvl w:val="0"/>
                <w:numId w:val="121"/>
              </w:numPr>
              <w:shd w:val="clear" w:color="auto" w:fill="FFFFFF"/>
              <w:ind w:left="714" w:hanging="357"/>
              <w:textAlignment w:val="baseline"/>
              <w:rPr>
                <w:rFonts w:eastAsia="Times New Roman"/>
                <w:color w:val="444444"/>
                <w:szCs w:val="22"/>
                <w:lang w:eastAsia="en-GB"/>
              </w:rPr>
            </w:pPr>
            <w:hyperlink r:id="rId434" w:history="1">
              <w:r w:rsidR="00AB5192" w:rsidRPr="00073574">
                <w:rPr>
                  <w:rFonts w:eastAsia="Times New Roman"/>
                  <w:color w:val="0072C6"/>
                  <w:szCs w:val="22"/>
                  <w:u w:val="single"/>
                  <w:bdr w:val="none" w:sz="0" w:space="0" w:color="auto" w:frame="1"/>
                  <w:lang w:eastAsia="en-GB"/>
                </w:rPr>
                <w:t>Future Integrated Broadband Cable Networks</w:t>
              </w:r>
            </w:hyperlink>
            <w:r w:rsidR="00AB5192" w:rsidRPr="00073574">
              <w:rPr>
                <w:rFonts w:eastAsia="Times New Roman"/>
                <w:color w:val="444444"/>
                <w:szCs w:val="22"/>
                <w:lang w:eastAsia="en-GB"/>
              </w:rPr>
              <w:t xml:space="preserve"> </w:t>
            </w:r>
            <w:r w:rsidR="00AB5192" w:rsidRPr="00073574">
              <w:rPr>
                <w:rFonts w:eastAsia="Times New Roman"/>
                <w:szCs w:val="22"/>
                <w:lang w:eastAsia="en-GB"/>
              </w:rPr>
              <w:t>(</w:t>
            </w:r>
            <w:r w:rsidR="00AB5192" w:rsidRPr="00073574">
              <w:rPr>
                <w:rFonts w:eastAsia="Times New Roman"/>
                <w:szCs w:val="22"/>
                <w:bdr w:val="none" w:sz="0" w:space="0" w:color="auto" w:frame="1"/>
                <w:lang w:eastAsia="en-GB"/>
              </w:rPr>
              <w:t>Wuhan, China, 14 April 2019)</w:t>
            </w:r>
          </w:p>
          <w:p w14:paraId="7573ACF4" w14:textId="7D5BB131" w:rsidR="0018517B" w:rsidRPr="00073574" w:rsidRDefault="0053741E" w:rsidP="00452F2C">
            <w:pPr>
              <w:numPr>
                <w:ilvl w:val="0"/>
                <w:numId w:val="120"/>
              </w:numPr>
              <w:shd w:val="clear" w:color="auto" w:fill="FFFFFF"/>
              <w:ind w:left="714" w:hanging="357"/>
              <w:textAlignment w:val="baseline"/>
              <w:rPr>
                <w:rFonts w:eastAsia="Arial Unicode MS"/>
                <w:kern w:val="1"/>
                <w:lang w:eastAsia="hi-IN" w:bidi="hi-IN"/>
              </w:rPr>
            </w:pPr>
            <w:hyperlink r:id="rId435" w:history="1">
              <w:r w:rsidR="00A06C5B" w:rsidRPr="00073574">
                <w:rPr>
                  <w:rFonts w:eastAsia="Times New Roman"/>
                  <w:color w:val="0072C6"/>
                  <w:szCs w:val="22"/>
                  <w:u w:val="single"/>
                  <w:shd w:val="clear" w:color="auto" w:fill="FFFFFF"/>
                  <w:lang w:eastAsia="en-GB"/>
                </w:rPr>
                <w:t>The Future of Cable TV for Asia &amp; Pacific</w:t>
              </w:r>
            </w:hyperlink>
            <w:r w:rsidR="001756FA" w:rsidRPr="00073574">
              <w:rPr>
                <w:rFonts w:eastAsia="Times New Roman"/>
                <w:color w:val="0066CC"/>
                <w:szCs w:val="22"/>
                <w:lang w:eastAsia="en-GB"/>
              </w:rPr>
              <w:t>,</w:t>
            </w:r>
            <w:r w:rsidR="00BB50D3" w:rsidRPr="00073574">
              <w:rPr>
                <w:rFonts w:eastAsia="Times New Roman"/>
                <w:color w:val="0066CC"/>
                <w:szCs w:val="22"/>
                <w:lang w:eastAsia="en-GB"/>
              </w:rPr>
              <w:t xml:space="preserve"> </w:t>
            </w:r>
            <w:r w:rsidR="00A06C5B" w:rsidRPr="00073574">
              <w:rPr>
                <w:rFonts w:eastAsia="Times New Roman"/>
                <w:szCs w:val="22"/>
                <w:bdr w:val="none" w:sz="0" w:space="0" w:color="auto" w:frame="1"/>
                <w:shd w:val="clear" w:color="auto" w:fill="FFFFFF"/>
                <w:lang w:eastAsia="en-GB"/>
              </w:rPr>
              <w:t>Guangzhou, China,</w:t>
            </w:r>
            <w:r w:rsidR="00166E05">
              <w:rPr>
                <w:rFonts w:eastAsia="Times New Roman"/>
                <w:szCs w:val="22"/>
                <w:bdr w:val="none" w:sz="0" w:space="0" w:color="auto" w:frame="1"/>
                <w:shd w:val="clear" w:color="auto" w:fill="FFFFFF"/>
                <w:lang w:eastAsia="en-GB"/>
              </w:rPr>
              <w:t xml:space="preserve"> </w:t>
            </w:r>
            <w:r w:rsidR="00A06C5B" w:rsidRPr="00073574">
              <w:rPr>
                <w:rFonts w:eastAsia="Times New Roman"/>
                <w:szCs w:val="22"/>
                <w:bdr w:val="none" w:sz="0" w:space="0" w:color="auto" w:frame="1"/>
                <w:shd w:val="clear" w:color="auto" w:fill="FFFFFF"/>
                <w:lang w:eastAsia="en-GB"/>
              </w:rPr>
              <w:t>3 September 2019</w:t>
            </w:r>
            <w:r w:rsidR="001756FA" w:rsidRPr="00073574">
              <w:rPr>
                <w:rFonts w:eastAsia="Times New Roman"/>
                <w:szCs w:val="22"/>
                <w:bdr w:val="none" w:sz="0" w:space="0" w:color="auto" w:frame="1"/>
                <w:shd w:val="clear" w:color="auto" w:fill="FFFFFF"/>
                <w:lang w:eastAsia="en-GB"/>
              </w:rPr>
              <w:t>.</w:t>
            </w:r>
          </w:p>
        </w:tc>
      </w:tr>
      <w:tr w:rsidR="00F0236A" w:rsidRPr="00073574" w14:paraId="25826484" w14:textId="77777777" w:rsidTr="634A3A28">
        <w:trPr>
          <w:jc w:val="center"/>
        </w:trPr>
        <w:tc>
          <w:tcPr>
            <w:tcW w:w="1074" w:type="dxa"/>
            <w:vMerge w:val="restart"/>
            <w:tcBorders>
              <w:top w:val="single" w:sz="12" w:space="0" w:color="auto"/>
            </w:tcBorders>
            <w:shd w:val="clear" w:color="auto" w:fill="auto"/>
          </w:tcPr>
          <w:p w14:paraId="49372DF9" w14:textId="77777777" w:rsidR="00F0236A" w:rsidRPr="00073574" w:rsidRDefault="00F0236A" w:rsidP="00601595">
            <w:pPr>
              <w:pStyle w:val="Tabletext"/>
              <w:keepNext/>
              <w:keepLines/>
              <w:rPr>
                <w:b/>
                <w:bCs/>
                <w:sz w:val="24"/>
                <w:szCs w:val="24"/>
              </w:rPr>
            </w:pPr>
            <w:r w:rsidRPr="00073574">
              <w:rPr>
                <w:b/>
                <w:bCs/>
                <w:sz w:val="24"/>
                <w:szCs w:val="24"/>
              </w:rPr>
              <w:lastRenderedPageBreak/>
              <w:t>54-07</w:t>
            </w:r>
          </w:p>
        </w:tc>
        <w:tc>
          <w:tcPr>
            <w:tcW w:w="4528" w:type="dxa"/>
            <w:tcBorders>
              <w:top w:val="single" w:sz="12" w:space="0" w:color="auto"/>
            </w:tcBorders>
            <w:shd w:val="clear" w:color="auto" w:fill="auto"/>
          </w:tcPr>
          <w:p w14:paraId="64EB79B4" w14:textId="77777777" w:rsidR="00F0236A" w:rsidRPr="00073574" w:rsidRDefault="00F0236A" w:rsidP="00DF36E1">
            <w:pPr>
              <w:pStyle w:val="Tabletext"/>
              <w:rPr>
                <w:b/>
                <w:bCs/>
                <w:sz w:val="24"/>
                <w:szCs w:val="24"/>
              </w:rPr>
            </w:pPr>
            <w:r w:rsidRPr="00073574">
              <w:rPr>
                <w:b/>
                <w:bCs/>
                <w:sz w:val="24"/>
                <w:szCs w:val="24"/>
              </w:rPr>
              <w:t>TSB Director to cooperate with BDT Director to continue provide specific assistance to regional groups, encourage the continuing development of computerized application tools, and take appropriate steps to facilitate meetings of the current and future regional groups to improve the effectiveness and efficiency of the SGs (c.u. TSBDir i), ii), iii))</w:t>
            </w:r>
          </w:p>
        </w:tc>
        <w:tc>
          <w:tcPr>
            <w:tcW w:w="1893" w:type="dxa"/>
            <w:tcBorders>
              <w:top w:val="single" w:sz="12" w:space="0" w:color="auto"/>
            </w:tcBorders>
            <w:shd w:val="clear" w:color="auto" w:fill="auto"/>
            <w:vAlign w:val="center"/>
          </w:tcPr>
          <w:p w14:paraId="38A8DCD6"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64" w:type="dxa"/>
            <w:tcBorders>
              <w:top w:val="single" w:sz="12" w:space="0" w:color="auto"/>
            </w:tcBorders>
            <w:shd w:val="clear" w:color="auto" w:fill="auto"/>
            <w:vAlign w:val="center"/>
          </w:tcPr>
          <w:p w14:paraId="412CCD8B"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6ED61221" w14:textId="77777777" w:rsidR="00F0236A" w:rsidRPr="00073574" w:rsidRDefault="00F0236A" w:rsidP="00DF36E1">
            <w:pPr>
              <w:pStyle w:val="Tabletext"/>
              <w:jc w:val="center"/>
              <w:rPr>
                <w:b/>
                <w:bCs/>
                <w:sz w:val="24"/>
                <w:szCs w:val="24"/>
              </w:rPr>
            </w:pPr>
          </w:p>
        </w:tc>
      </w:tr>
      <w:tr w:rsidR="00F0236A" w:rsidRPr="00073574" w14:paraId="07365A61" w14:textId="77777777" w:rsidTr="634A3A28">
        <w:trPr>
          <w:jc w:val="center"/>
        </w:trPr>
        <w:tc>
          <w:tcPr>
            <w:tcW w:w="1074" w:type="dxa"/>
            <w:vMerge/>
          </w:tcPr>
          <w:p w14:paraId="1656DE6B" w14:textId="77777777" w:rsidR="00F0236A" w:rsidRPr="00073574" w:rsidRDefault="00F0236A" w:rsidP="00DF36E1">
            <w:pPr>
              <w:pStyle w:val="Tabletext"/>
              <w:rPr>
                <w:sz w:val="24"/>
                <w:szCs w:val="24"/>
              </w:rPr>
            </w:pPr>
          </w:p>
        </w:tc>
        <w:tc>
          <w:tcPr>
            <w:tcW w:w="8921" w:type="dxa"/>
            <w:gridSpan w:val="4"/>
            <w:tcBorders>
              <w:bottom w:val="single" w:sz="12" w:space="0" w:color="auto"/>
            </w:tcBorders>
            <w:shd w:val="clear" w:color="auto" w:fill="auto"/>
          </w:tcPr>
          <w:p w14:paraId="1D9F66C5" w14:textId="77777777" w:rsidR="00F0236A" w:rsidRPr="00073574" w:rsidRDefault="00F0236A" w:rsidP="00DF36E1">
            <w:pPr>
              <w:pStyle w:val="Tabletext"/>
              <w:rPr>
                <w:szCs w:val="22"/>
              </w:rPr>
            </w:pPr>
            <w:r w:rsidRPr="00073574">
              <w:rPr>
                <w:szCs w:val="22"/>
              </w:rPr>
              <w:t>TSB Director holds monthly coordination meetings with the ITU regional Directors.</w:t>
            </w:r>
          </w:p>
        </w:tc>
      </w:tr>
      <w:tr w:rsidR="00F0236A" w:rsidRPr="00073574" w14:paraId="0E06641B" w14:textId="77777777" w:rsidTr="634A3A28">
        <w:trPr>
          <w:jc w:val="center"/>
        </w:trPr>
        <w:tc>
          <w:tcPr>
            <w:tcW w:w="1074" w:type="dxa"/>
            <w:vMerge w:val="restart"/>
            <w:tcBorders>
              <w:top w:val="single" w:sz="12" w:space="0" w:color="auto"/>
            </w:tcBorders>
            <w:shd w:val="clear" w:color="auto" w:fill="auto"/>
          </w:tcPr>
          <w:p w14:paraId="4B35E14D" w14:textId="77777777" w:rsidR="00F0236A" w:rsidRPr="00073574" w:rsidRDefault="00F0236A" w:rsidP="00B45B40">
            <w:pPr>
              <w:pStyle w:val="Tabletext"/>
              <w:keepNext/>
              <w:rPr>
                <w:b/>
                <w:bCs/>
                <w:sz w:val="24"/>
                <w:szCs w:val="24"/>
              </w:rPr>
            </w:pPr>
            <w:r w:rsidRPr="00073574">
              <w:rPr>
                <w:b/>
                <w:bCs/>
                <w:sz w:val="24"/>
                <w:szCs w:val="24"/>
              </w:rPr>
              <w:t>54-08</w:t>
            </w:r>
          </w:p>
        </w:tc>
        <w:tc>
          <w:tcPr>
            <w:tcW w:w="4528" w:type="dxa"/>
            <w:tcBorders>
              <w:top w:val="single" w:sz="12" w:space="0" w:color="auto"/>
            </w:tcBorders>
            <w:shd w:val="clear" w:color="auto" w:fill="auto"/>
          </w:tcPr>
          <w:p w14:paraId="6D112B4D" w14:textId="77777777" w:rsidR="00F0236A" w:rsidRPr="00073574" w:rsidRDefault="00F0236A" w:rsidP="00DF36E1">
            <w:pPr>
              <w:pStyle w:val="Tabletext"/>
              <w:rPr>
                <w:b/>
                <w:bCs/>
                <w:sz w:val="24"/>
                <w:szCs w:val="24"/>
              </w:rPr>
            </w:pPr>
            <w:r w:rsidRPr="00073574">
              <w:rPr>
                <w:b/>
                <w:bCs/>
                <w:sz w:val="24"/>
                <w:szCs w:val="24"/>
              </w:rPr>
              <w:t>Regional groups to cooperate closely with the relevant respective regional organizations, standardization bodies and ITU regional offices, and to report on their work in their regions (f.i. RGs).</w:t>
            </w:r>
          </w:p>
        </w:tc>
        <w:tc>
          <w:tcPr>
            <w:tcW w:w="1893" w:type="dxa"/>
            <w:tcBorders>
              <w:top w:val="single" w:sz="12" w:space="0" w:color="auto"/>
            </w:tcBorders>
            <w:shd w:val="clear" w:color="auto" w:fill="auto"/>
            <w:vAlign w:val="center"/>
          </w:tcPr>
          <w:p w14:paraId="46B70B21"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64" w:type="dxa"/>
            <w:tcBorders>
              <w:top w:val="single" w:sz="12" w:space="0" w:color="auto"/>
            </w:tcBorders>
            <w:shd w:val="clear" w:color="auto" w:fill="auto"/>
            <w:vAlign w:val="center"/>
          </w:tcPr>
          <w:p w14:paraId="7732C907" w14:textId="4B31FC8B" w:rsidR="00F0236A" w:rsidRPr="00073574" w:rsidDel="0035764B" w:rsidRDefault="001D393E"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7256FBCA" w14:textId="77777777" w:rsidR="00F0236A" w:rsidRPr="00073574" w:rsidRDefault="00F0236A" w:rsidP="00DF36E1">
            <w:pPr>
              <w:pStyle w:val="Tabletext"/>
              <w:jc w:val="center"/>
              <w:rPr>
                <w:b/>
                <w:bCs/>
                <w:sz w:val="24"/>
                <w:szCs w:val="24"/>
              </w:rPr>
            </w:pPr>
          </w:p>
        </w:tc>
      </w:tr>
      <w:tr w:rsidR="00F0236A" w:rsidRPr="00073574" w14:paraId="5FB62FCF" w14:textId="77777777" w:rsidTr="00D100F9">
        <w:trPr>
          <w:jc w:val="center"/>
        </w:trPr>
        <w:tc>
          <w:tcPr>
            <w:tcW w:w="1074" w:type="dxa"/>
            <w:vMerge/>
            <w:vAlign w:val="center"/>
          </w:tcPr>
          <w:p w14:paraId="263B0CB1" w14:textId="77777777" w:rsidR="00F0236A" w:rsidRPr="00073574" w:rsidRDefault="00F0236A" w:rsidP="00DF36E1">
            <w:pPr>
              <w:pStyle w:val="Tabletext"/>
              <w:rPr>
                <w:sz w:val="24"/>
                <w:szCs w:val="24"/>
              </w:rPr>
            </w:pPr>
          </w:p>
        </w:tc>
        <w:tc>
          <w:tcPr>
            <w:tcW w:w="8921" w:type="dxa"/>
            <w:gridSpan w:val="4"/>
            <w:shd w:val="clear" w:color="auto" w:fill="auto"/>
          </w:tcPr>
          <w:p w14:paraId="42C1CACB" w14:textId="33BAF60F" w:rsidR="00C12BE1" w:rsidRPr="00073574" w:rsidRDefault="00C12BE1" w:rsidP="00C12BE1">
            <w:pPr>
              <w:pStyle w:val="Tabletext"/>
              <w:rPr>
                <w:szCs w:val="22"/>
              </w:rPr>
            </w:pPr>
            <w:bookmarkStart w:id="235" w:name="_Hlk50743886"/>
            <w:r w:rsidRPr="00073574">
              <w:rPr>
                <w:szCs w:val="22"/>
              </w:rPr>
              <w:t>During th</w:t>
            </w:r>
            <w:r w:rsidR="00EB6B7E" w:rsidRPr="00073574">
              <w:rPr>
                <w:szCs w:val="22"/>
              </w:rPr>
              <w:t>is</w:t>
            </w:r>
            <w:r w:rsidRPr="00073574">
              <w:rPr>
                <w:szCs w:val="22"/>
              </w:rPr>
              <w:t xml:space="preserve"> Study Period, the work of the ITU-T Regional Groups of Study Groups ha</w:t>
            </w:r>
            <w:r w:rsidR="00473C20" w:rsidRPr="00073574">
              <w:rPr>
                <w:szCs w:val="22"/>
              </w:rPr>
              <w:t>s</w:t>
            </w:r>
            <w:r w:rsidRPr="00073574">
              <w:rPr>
                <w:szCs w:val="22"/>
              </w:rPr>
              <w:t xml:space="preserve"> been brought to the attention </w:t>
            </w:r>
            <w:r w:rsidR="00473C20" w:rsidRPr="00073574">
              <w:rPr>
                <w:szCs w:val="22"/>
              </w:rPr>
              <w:t xml:space="preserve">of </w:t>
            </w:r>
            <w:r w:rsidRPr="00073574">
              <w:rPr>
                <w:szCs w:val="22"/>
              </w:rPr>
              <w:t xml:space="preserve">and shared with each of the Regional and Areas Offices, </w:t>
            </w:r>
            <w:r w:rsidR="00473C20" w:rsidRPr="00073574">
              <w:rPr>
                <w:szCs w:val="22"/>
              </w:rPr>
              <w:t xml:space="preserve">so </w:t>
            </w:r>
            <w:r w:rsidRPr="00073574">
              <w:rPr>
                <w:szCs w:val="22"/>
              </w:rPr>
              <w:t xml:space="preserve">as to enhance awareness of the </w:t>
            </w:r>
            <w:r w:rsidR="00473C20" w:rsidRPr="00073574">
              <w:rPr>
                <w:szCs w:val="22"/>
              </w:rPr>
              <w:t xml:space="preserve">standardization </w:t>
            </w:r>
            <w:r w:rsidRPr="00073574">
              <w:rPr>
                <w:szCs w:val="22"/>
              </w:rPr>
              <w:t>work in each region, taking into account the needs and the requirements.</w:t>
            </w:r>
          </w:p>
          <w:p w14:paraId="6660164B" w14:textId="13479CF9" w:rsidR="00C12BE1" w:rsidRPr="00073574" w:rsidRDefault="00C12BE1" w:rsidP="00C12BE1">
            <w:pPr>
              <w:pStyle w:val="Tabletext"/>
              <w:rPr>
                <w:szCs w:val="22"/>
              </w:rPr>
            </w:pPr>
            <w:r w:rsidRPr="00073574">
              <w:rPr>
                <w:szCs w:val="22"/>
              </w:rPr>
              <w:t>The work of Regional Groups of Study Groups has been shared with Regional Organizations, as well as with Regional Standards Organizations, during their General Assemblies and Annual Events, as well as to the attention of National Standardiza</w:t>
            </w:r>
            <w:r w:rsidR="00117DFC" w:rsidRPr="00073574">
              <w:rPr>
                <w:szCs w:val="22"/>
              </w:rPr>
              <w:t>t</w:t>
            </w:r>
            <w:r w:rsidRPr="00073574">
              <w:rPr>
                <w:szCs w:val="22"/>
              </w:rPr>
              <w:t>ion Organizations.</w:t>
            </w:r>
          </w:p>
          <w:p w14:paraId="1EBD12B9" w14:textId="1A5FC047" w:rsidR="00F0236A" w:rsidRPr="00073574" w:rsidRDefault="001D393E" w:rsidP="00C12BE1">
            <w:pPr>
              <w:pStyle w:val="Tabletext"/>
              <w:rPr>
                <w:szCs w:val="22"/>
              </w:rPr>
            </w:pPr>
            <w:r w:rsidRPr="00073574">
              <w:rPr>
                <w:szCs w:val="22"/>
              </w:rPr>
              <w:lastRenderedPageBreak/>
              <w:t>The ITU Regional Offices and Area Offices reported to TSAG (</w:t>
            </w:r>
            <w:hyperlink r:id="rId436" w:history="1">
              <w:r w:rsidRPr="00073574">
                <w:rPr>
                  <w:rStyle w:val="Hyperlink"/>
                  <w:szCs w:val="22"/>
                </w:rPr>
                <w:t>TSAG TD324</w:t>
              </w:r>
            </w:hyperlink>
            <w:r w:rsidRPr="00073574">
              <w:rPr>
                <w:szCs w:val="22"/>
              </w:rPr>
              <w:t>).</w:t>
            </w:r>
          </w:p>
          <w:p w14:paraId="26602DC2" w14:textId="3753712C" w:rsidR="00816C95" w:rsidRPr="00073574" w:rsidRDefault="0039728B" w:rsidP="001D393E">
            <w:pPr>
              <w:pStyle w:val="Tabletext"/>
              <w:rPr>
                <w:szCs w:val="22"/>
              </w:rPr>
            </w:pPr>
            <w:r w:rsidRPr="00073574">
              <w:rPr>
                <w:szCs w:val="22"/>
              </w:rPr>
              <w:t>Regular participation of regional office representatives in SG12RG-AFR meetings and workshops organized by SG12.</w:t>
            </w:r>
          </w:p>
          <w:p w14:paraId="17297217" w14:textId="2BB59621" w:rsidR="00CA3164" w:rsidRPr="00073574" w:rsidRDefault="00CA3164" w:rsidP="00CA3164">
            <w:pPr>
              <w:pStyle w:val="Tabletext"/>
              <w:rPr>
                <w:szCs w:val="22"/>
              </w:rPr>
            </w:pPr>
            <w:r w:rsidRPr="00073574">
              <w:rPr>
                <w:szCs w:val="22"/>
              </w:rPr>
              <w:t>SG11RG-EECAT meetings and relevant workshops were organized in close collaboration with ITU Moscow Regional office. Representatives of RCC attended those events.</w:t>
            </w:r>
          </w:p>
          <w:p w14:paraId="004BB9CF" w14:textId="69BF51DB" w:rsidR="00816C95" w:rsidRPr="00073574" w:rsidRDefault="00816C95" w:rsidP="001D393E">
            <w:pPr>
              <w:pStyle w:val="Tabletext"/>
              <w:rPr>
                <w:szCs w:val="22"/>
              </w:rPr>
            </w:pPr>
            <w:r w:rsidRPr="00073574">
              <w:rPr>
                <w:szCs w:val="22"/>
              </w:rPr>
              <w:t>Representatives of COMTELCA and CITEL participate</w:t>
            </w:r>
            <w:r w:rsidR="00DF6626" w:rsidRPr="00073574">
              <w:rPr>
                <w:szCs w:val="22"/>
              </w:rPr>
              <w:t xml:space="preserve"> actively</w:t>
            </w:r>
            <w:r w:rsidRPr="00073574">
              <w:rPr>
                <w:szCs w:val="22"/>
              </w:rPr>
              <w:t xml:space="preserve"> in the regional group meetings for LATAM for ITU-T SG5 and SG20.</w:t>
            </w:r>
          </w:p>
          <w:p w14:paraId="4262B492" w14:textId="75085C4B" w:rsidR="00C12BE1" w:rsidRPr="00073574" w:rsidRDefault="00816C95" w:rsidP="00C12BE1">
            <w:pPr>
              <w:pStyle w:val="Tabletext"/>
              <w:rPr>
                <w:szCs w:val="22"/>
              </w:rPr>
            </w:pPr>
            <w:r w:rsidRPr="00073574">
              <w:rPr>
                <w:szCs w:val="22"/>
              </w:rPr>
              <w:t xml:space="preserve">Representatives from the African Telecommunication Union participate </w:t>
            </w:r>
            <w:r w:rsidR="00DF6626" w:rsidRPr="00073574">
              <w:rPr>
                <w:szCs w:val="22"/>
              </w:rPr>
              <w:t xml:space="preserve">actively </w:t>
            </w:r>
            <w:r w:rsidRPr="00073574">
              <w:rPr>
                <w:szCs w:val="22"/>
              </w:rPr>
              <w:t>in the regional group meeting</w:t>
            </w:r>
            <w:r w:rsidR="00DF6626" w:rsidRPr="00073574">
              <w:rPr>
                <w:szCs w:val="22"/>
              </w:rPr>
              <w:t>s</w:t>
            </w:r>
            <w:r w:rsidRPr="00073574">
              <w:rPr>
                <w:szCs w:val="22"/>
              </w:rPr>
              <w:t xml:space="preserve"> for Africa for ITU-T SG5 and SG20.</w:t>
            </w:r>
            <w:bookmarkEnd w:id="235"/>
          </w:p>
        </w:tc>
      </w:tr>
    </w:tbl>
    <w:bookmarkStart w:id="236" w:name="Item54_01"/>
    <w:bookmarkStart w:id="237" w:name="Item54_02"/>
    <w:bookmarkStart w:id="238" w:name="Item54_03"/>
    <w:bookmarkStart w:id="239" w:name="Item54_04"/>
    <w:bookmarkStart w:id="240" w:name="Item54_05"/>
    <w:bookmarkStart w:id="241" w:name="Item54_06"/>
    <w:bookmarkStart w:id="242" w:name="Item54_07"/>
    <w:bookmarkStart w:id="243" w:name="Item54_08"/>
    <w:bookmarkEnd w:id="236"/>
    <w:bookmarkEnd w:id="237"/>
    <w:bookmarkEnd w:id="238"/>
    <w:bookmarkEnd w:id="239"/>
    <w:bookmarkEnd w:id="240"/>
    <w:bookmarkEnd w:id="241"/>
    <w:bookmarkEnd w:id="242"/>
    <w:bookmarkEnd w:id="243"/>
    <w:p w14:paraId="6B55122E" w14:textId="77777777" w:rsidR="00F0236A" w:rsidRPr="00073574" w:rsidRDefault="00F0236A" w:rsidP="00F0236A">
      <w:pPr>
        <w:rPr>
          <w:sz w:val="24"/>
        </w:rPr>
      </w:pPr>
      <w:r w:rsidRPr="00073574">
        <w:rPr>
          <w:color w:val="2B579A"/>
          <w:shd w:val="clear" w:color="auto" w:fill="E6E6E6"/>
        </w:rPr>
        <w:lastRenderedPageBreak/>
        <w:fldChar w:fldCharType="begin"/>
      </w:r>
      <w:r w:rsidRPr="00073574">
        <w:rPr>
          <w:sz w:val="24"/>
        </w:rPr>
        <w:instrText xml:space="preserve"> HYPERLINK \l "Top" </w:instrText>
      </w:r>
      <w:r w:rsidRPr="00073574">
        <w:rPr>
          <w:color w:val="2B579A"/>
          <w:shd w:val="clear" w:color="auto" w:fill="E6E6E6"/>
        </w:rPr>
        <w:fldChar w:fldCharType="separate"/>
      </w:r>
      <w:r w:rsidRPr="00073574">
        <w:rPr>
          <w:rStyle w:val="Hyperlink"/>
          <w:rFonts w:eastAsia="Times New Roman"/>
          <w:sz w:val="24"/>
        </w:rPr>
        <w:t>» Top</w:t>
      </w:r>
      <w:r w:rsidRPr="00073574">
        <w:rPr>
          <w:rStyle w:val="Hyperlink"/>
          <w:rFonts w:eastAsia="Times New Roman"/>
          <w:sz w:val="24"/>
        </w:rPr>
        <w:fldChar w:fldCharType="end"/>
      </w:r>
    </w:p>
    <w:p w14:paraId="39A763D3" w14:textId="77777777" w:rsidR="00F0236A" w:rsidRPr="00073574" w:rsidRDefault="00F0236A" w:rsidP="00F0236A">
      <w:pPr>
        <w:rPr>
          <w:sz w:val="24"/>
        </w:rPr>
      </w:pPr>
    </w:p>
    <w:p w14:paraId="65AD6BE5" w14:textId="232CFACC" w:rsidR="00F0236A" w:rsidRPr="00073574" w:rsidRDefault="00F0236A" w:rsidP="00F0236A">
      <w:pPr>
        <w:pStyle w:val="Heading1"/>
        <w:keepNext/>
        <w:keepLines/>
        <w:rPr>
          <w:sz w:val="24"/>
          <w:szCs w:val="24"/>
          <w:lang w:val="en-GB"/>
        </w:rPr>
      </w:pPr>
      <w:bookmarkStart w:id="244" w:name="Resolution_55"/>
      <w:bookmarkStart w:id="245" w:name="_Resolution_55_-"/>
      <w:bookmarkStart w:id="246" w:name="_Toc304236439"/>
      <w:bookmarkStart w:id="247" w:name="_Toc471715375"/>
      <w:bookmarkStart w:id="248" w:name="_Toc93425261"/>
      <w:bookmarkEnd w:id="244"/>
      <w:bookmarkEnd w:id="245"/>
      <w:r w:rsidRPr="00073574">
        <w:rPr>
          <w:sz w:val="24"/>
          <w:szCs w:val="24"/>
          <w:lang w:val="en-GB"/>
        </w:rPr>
        <w:t xml:space="preserve">Resolution 55 </w:t>
      </w:r>
      <w:r w:rsidR="0034409A" w:rsidRPr="00073574">
        <w:rPr>
          <w:sz w:val="24"/>
          <w:szCs w:val="24"/>
          <w:lang w:val="en-GB"/>
        </w:rPr>
        <w:t>–</w:t>
      </w:r>
      <w:r w:rsidRPr="00073574">
        <w:rPr>
          <w:sz w:val="24"/>
          <w:szCs w:val="24"/>
          <w:lang w:val="en-GB"/>
        </w:rPr>
        <w:t xml:space="preserve"> Promoting gender equality in ITU Telecommunication Standardization Sector activities</w:t>
      </w:r>
      <w:bookmarkEnd w:id="246"/>
      <w:bookmarkEnd w:id="247"/>
      <w:bookmarkEnd w:id="248"/>
    </w:p>
    <w:p w14:paraId="49110CA7" w14:textId="77777777" w:rsidR="00F0236A" w:rsidRPr="00073574" w:rsidRDefault="00F0236A" w:rsidP="00F0236A">
      <w:pPr>
        <w:keepNext/>
        <w:keepLines/>
        <w:rPr>
          <w:b/>
          <w:bCs/>
          <w:sz w:val="24"/>
        </w:rPr>
      </w:pPr>
      <w:r w:rsidRPr="00073574">
        <w:rPr>
          <w:b/>
          <w:bCs/>
          <w:sz w:val="24"/>
        </w:rPr>
        <w:t>Resolution 55</w:t>
      </w:r>
    </w:p>
    <w:p w14:paraId="2E1F420E" w14:textId="77777777" w:rsidR="00F0236A" w:rsidRPr="00073574" w:rsidRDefault="00F0236A" w:rsidP="00F0236A">
      <w:pPr>
        <w:pStyle w:val="Call"/>
        <w:rPr>
          <w:sz w:val="24"/>
          <w:szCs w:val="24"/>
          <w:lang w:val="en-GB"/>
        </w:rPr>
      </w:pPr>
      <w:r w:rsidRPr="00073574">
        <w:rPr>
          <w:sz w:val="24"/>
          <w:szCs w:val="24"/>
          <w:lang w:val="en-GB"/>
        </w:rPr>
        <w:t>resolves</w:t>
      </w:r>
    </w:p>
    <w:p w14:paraId="0035CF55" w14:textId="6A329318" w:rsidR="00F0236A" w:rsidRPr="00073574" w:rsidRDefault="00F0236A" w:rsidP="00F0236A">
      <w:pPr>
        <w:rPr>
          <w:sz w:val="24"/>
        </w:rPr>
      </w:pPr>
      <w:r w:rsidRPr="00073574">
        <w:rPr>
          <w:sz w:val="24"/>
        </w:rPr>
        <w:t>1</w:t>
      </w:r>
      <w:r w:rsidRPr="00073574">
        <w:rPr>
          <w:sz w:val="24"/>
        </w:rPr>
        <w:tab/>
        <w:t xml:space="preserve">that ITU-T continue efforts to ensure that all its policies, work programmes, information dissemination activities, publications, study groups, seminars, courses, assemblies and conferences reflect the commitment to gender equality, and promote </w:t>
      </w:r>
      <w:r w:rsidR="00E31596" w:rsidRPr="00073574">
        <w:rPr>
          <w:sz w:val="24"/>
        </w:rPr>
        <w:t>gender balance:</w:t>
      </w:r>
    </w:p>
    <w:p w14:paraId="2B5FA4DB" w14:textId="77777777" w:rsidR="00F0236A" w:rsidRPr="00073574" w:rsidRDefault="00F0236A" w:rsidP="00F0236A">
      <w:pPr>
        <w:pStyle w:val="enumlev10"/>
        <w:rPr>
          <w:sz w:val="24"/>
          <w:szCs w:val="24"/>
        </w:rPr>
      </w:pPr>
      <w:r w:rsidRPr="00073574">
        <w:rPr>
          <w:sz w:val="24"/>
          <w:szCs w:val="24"/>
        </w:rPr>
        <w:t>i) for posts, including those at the Professional and higher levels in TSB,</w:t>
      </w:r>
    </w:p>
    <w:p w14:paraId="0F442926" w14:textId="77777777" w:rsidR="00F0236A" w:rsidRPr="00073574" w:rsidRDefault="00F0236A" w:rsidP="00F0236A">
      <w:pPr>
        <w:pStyle w:val="enumlev10"/>
        <w:rPr>
          <w:sz w:val="24"/>
          <w:szCs w:val="24"/>
        </w:rPr>
      </w:pPr>
      <w:r w:rsidRPr="00073574">
        <w:rPr>
          <w:sz w:val="24"/>
          <w:szCs w:val="24"/>
        </w:rPr>
        <w:t>ii) in the selection of chairmen, vice- chairmen and rapporteurs of the ITU-T study groups and of TSAG;</w:t>
      </w:r>
    </w:p>
    <w:p w14:paraId="44EB5286" w14:textId="77777777" w:rsidR="00F0236A" w:rsidRPr="00073574" w:rsidRDefault="00F0236A" w:rsidP="00F0236A">
      <w:pPr>
        <w:rPr>
          <w:sz w:val="24"/>
        </w:rPr>
      </w:pPr>
      <w:r w:rsidRPr="00073574">
        <w:rPr>
          <w:sz w:val="24"/>
        </w:rPr>
        <w:t>2</w:t>
      </w:r>
      <w:r w:rsidRPr="00073574">
        <w:rPr>
          <w:sz w:val="24"/>
        </w:rPr>
        <w:tab/>
        <w:t>that a high priority be accorded to gender mainstreaming in the management, staffing and operation of ITU-T;</w:t>
      </w:r>
    </w:p>
    <w:p w14:paraId="12C9AF9B" w14:textId="77777777" w:rsidR="00F0236A" w:rsidRPr="00073574" w:rsidRDefault="00F0236A" w:rsidP="00F0236A">
      <w:pPr>
        <w:rPr>
          <w:sz w:val="24"/>
        </w:rPr>
      </w:pPr>
      <w:r w:rsidRPr="00073574">
        <w:rPr>
          <w:sz w:val="24"/>
        </w:rPr>
        <w:t>3</w:t>
      </w:r>
      <w:r w:rsidRPr="00073574">
        <w:rPr>
          <w:sz w:val="24"/>
        </w:rPr>
        <w:tab/>
        <w:t>that ITU-T continue to support WISE,</w:t>
      </w:r>
    </w:p>
    <w:p w14:paraId="5E628760" w14:textId="77777777" w:rsidR="00F0236A" w:rsidRPr="00073574" w:rsidRDefault="00F0236A" w:rsidP="00F0236A">
      <w:pPr>
        <w:pStyle w:val="Call"/>
        <w:rPr>
          <w:sz w:val="24"/>
          <w:szCs w:val="24"/>
          <w:lang w:val="en-GB"/>
        </w:rPr>
      </w:pPr>
      <w:r w:rsidRPr="00073574">
        <w:rPr>
          <w:sz w:val="24"/>
          <w:szCs w:val="24"/>
          <w:lang w:val="en-GB"/>
        </w:rPr>
        <w:t>instructs the Director of the Telecommunication Standardization Bureau</w:t>
      </w:r>
    </w:p>
    <w:p w14:paraId="04F06551" w14:textId="77777777" w:rsidR="00F0236A" w:rsidRPr="00073574" w:rsidRDefault="00F0236A" w:rsidP="00F0236A">
      <w:pPr>
        <w:autoSpaceDE w:val="0"/>
        <w:autoSpaceDN w:val="0"/>
        <w:adjustRightInd w:val="0"/>
        <w:rPr>
          <w:rFonts w:eastAsia="Malgun Gothic"/>
          <w:color w:val="000000"/>
          <w:sz w:val="24"/>
          <w:lang w:eastAsia="zh-CN"/>
        </w:rPr>
      </w:pPr>
      <w:r w:rsidRPr="00073574">
        <w:rPr>
          <w:rFonts w:eastAsia="Malgun Gothic"/>
          <w:color w:val="000000"/>
          <w:sz w:val="24"/>
          <w:lang w:eastAsia="zh-CN"/>
        </w:rPr>
        <w:t>1</w:t>
      </w:r>
      <w:r w:rsidRPr="00073574">
        <w:rPr>
          <w:rFonts w:eastAsia="Malgun Gothic"/>
          <w:color w:val="000000"/>
          <w:sz w:val="24"/>
          <w:lang w:eastAsia="zh-CN"/>
        </w:rPr>
        <w:tab/>
        <w:t>to take the necessary steps to continue implementing the ITU GEM Policy, including, supporting the implementation of recommendations from the Joint Inspection Unit relevant to gender mainstreaming, supporting the Gender Focal Points for ITU-T, and encouraging TSB staff to undertake relevant training;</w:t>
      </w:r>
    </w:p>
    <w:p w14:paraId="156B7612" w14:textId="77777777" w:rsidR="00F0236A" w:rsidRPr="00073574" w:rsidRDefault="00F0236A" w:rsidP="00F0236A">
      <w:pPr>
        <w:rPr>
          <w:rFonts w:eastAsia="Malgun Gothic"/>
          <w:color w:val="000000"/>
          <w:sz w:val="24"/>
          <w:lang w:eastAsia="zh-CN"/>
        </w:rPr>
      </w:pPr>
      <w:r w:rsidRPr="00073574">
        <w:rPr>
          <w:rFonts w:eastAsia="Malgun Gothic"/>
          <w:color w:val="000000"/>
          <w:sz w:val="24"/>
          <w:lang w:eastAsia="zh-CN"/>
        </w:rPr>
        <w:t>2</w:t>
      </w:r>
      <w:r w:rsidRPr="00073574">
        <w:rPr>
          <w:rFonts w:eastAsia="Malgun Gothic"/>
          <w:color w:val="000000"/>
          <w:sz w:val="24"/>
          <w:lang w:eastAsia="zh-CN"/>
        </w:rPr>
        <w:tab/>
        <w:t>to continue the integration of a gender perspective in the work of TSB in accordance with the principles already applied in ITU;</w:t>
      </w:r>
    </w:p>
    <w:p w14:paraId="569D595E" w14:textId="77777777" w:rsidR="00F0236A" w:rsidRPr="00073574" w:rsidRDefault="00F0236A" w:rsidP="00F0236A">
      <w:pPr>
        <w:rPr>
          <w:sz w:val="24"/>
        </w:rPr>
      </w:pPr>
      <w:r w:rsidRPr="00073574">
        <w:rPr>
          <w:rFonts w:eastAsia="Malgun Gothic"/>
          <w:color w:val="000000"/>
          <w:sz w:val="24"/>
          <w:lang w:eastAsia="zh-CN"/>
        </w:rPr>
        <w:t>3</w:t>
      </w:r>
      <w:r w:rsidRPr="00073574">
        <w:rPr>
          <w:rFonts w:eastAsia="Malgun Gothic"/>
          <w:color w:val="000000"/>
          <w:sz w:val="24"/>
          <w:lang w:eastAsia="zh-CN"/>
        </w:rPr>
        <w:tab/>
        <w:t>to conduct an annual review on progress made in the Sector in advancing gender mainstreaming, including by collecting and reviewing statistics on ITU-T standardization activities by gender, and to share findings with TSAG and the next world telecommunication standardization assembly;</w:t>
      </w:r>
    </w:p>
    <w:p w14:paraId="6D7A5A44" w14:textId="77777777" w:rsidR="00F0236A" w:rsidRPr="00073574" w:rsidRDefault="00F0236A" w:rsidP="00F0236A">
      <w:pPr>
        <w:rPr>
          <w:rFonts w:eastAsia="Malgun Gothic"/>
          <w:color w:val="000000"/>
          <w:sz w:val="24"/>
          <w:lang w:eastAsia="zh-CN"/>
        </w:rPr>
      </w:pPr>
      <w:r w:rsidRPr="00073574">
        <w:rPr>
          <w:rFonts w:eastAsia="Malgun Gothic"/>
          <w:color w:val="000000"/>
          <w:sz w:val="24"/>
          <w:lang w:eastAsia="zh-CN"/>
        </w:rPr>
        <w:t>4</w:t>
      </w:r>
      <w:r w:rsidRPr="00073574">
        <w:rPr>
          <w:rFonts w:eastAsia="Malgun Gothic"/>
          <w:color w:val="000000"/>
          <w:sz w:val="24"/>
          <w:lang w:eastAsia="zh-CN"/>
        </w:rPr>
        <w:tab/>
        <w:t>to encourage the participation of women in all aspects of ITU-T activities and support an increase in the number of women in ITU-T leadership positions by:</w:t>
      </w:r>
    </w:p>
    <w:p w14:paraId="09E5CADB" w14:textId="240C4CB0" w:rsidR="00F0236A" w:rsidRPr="00073574" w:rsidRDefault="00F0236A" w:rsidP="00F0236A">
      <w:pPr>
        <w:rPr>
          <w:rFonts w:eastAsia="Malgun Gothic"/>
          <w:color w:val="000000"/>
          <w:sz w:val="24"/>
          <w:lang w:eastAsia="zh-CN"/>
        </w:rPr>
      </w:pPr>
      <w:r w:rsidRPr="00073574">
        <w:rPr>
          <w:rFonts w:eastAsia="Malgun Gothic"/>
          <w:color w:val="000000"/>
          <w:sz w:val="24"/>
          <w:lang w:eastAsia="zh-CN"/>
        </w:rPr>
        <w:t xml:space="preserve">i) encouraging membership to include women on their delegations, by, inter alia, including in all circulation letters the statement, </w:t>
      </w:r>
      <w:r w:rsidR="0034409A" w:rsidRPr="00073574">
        <w:rPr>
          <w:rFonts w:eastAsia="Malgun Gothic"/>
          <w:color w:val="000000"/>
          <w:sz w:val="24"/>
          <w:lang w:eastAsia="zh-CN"/>
        </w:rPr>
        <w:t>“</w:t>
      </w:r>
      <w:r w:rsidRPr="00073574">
        <w:rPr>
          <w:rFonts w:eastAsia="Malgun Gothic"/>
          <w:color w:val="000000"/>
          <w:sz w:val="24"/>
          <w:lang w:eastAsia="zh-CN"/>
        </w:rPr>
        <w:t>The membership is invited to include women on their delegations whenever possible</w:t>
      </w:r>
      <w:r w:rsidR="0034409A" w:rsidRPr="00073574">
        <w:rPr>
          <w:rFonts w:eastAsia="Malgun Gothic"/>
          <w:color w:val="000000"/>
          <w:sz w:val="24"/>
          <w:lang w:eastAsia="zh-CN"/>
        </w:rPr>
        <w:t>”</w:t>
      </w:r>
      <w:r w:rsidRPr="00073574">
        <w:rPr>
          <w:rFonts w:eastAsia="Malgun Gothic"/>
          <w:color w:val="000000"/>
          <w:sz w:val="24"/>
          <w:lang w:eastAsia="zh-CN"/>
        </w:rPr>
        <w:t>;</w:t>
      </w:r>
    </w:p>
    <w:p w14:paraId="4FA3F99E" w14:textId="77777777" w:rsidR="00F0236A" w:rsidRPr="00073574" w:rsidRDefault="00F0236A" w:rsidP="00F0236A">
      <w:pPr>
        <w:rPr>
          <w:rFonts w:eastAsia="Malgun Gothic"/>
          <w:color w:val="000000"/>
          <w:sz w:val="24"/>
          <w:lang w:eastAsia="zh-CN"/>
        </w:rPr>
      </w:pPr>
      <w:r w:rsidRPr="00073574">
        <w:rPr>
          <w:rFonts w:eastAsia="Malgun Gothic"/>
          <w:color w:val="000000"/>
          <w:sz w:val="24"/>
          <w:lang w:eastAsia="zh-CN"/>
        </w:rPr>
        <w:lastRenderedPageBreak/>
        <w:t>ii) making the selection of women for TSB positions at the Professional and higher levels a top priority;</w:t>
      </w:r>
    </w:p>
    <w:p w14:paraId="60ABF5DE" w14:textId="77777777" w:rsidR="00F0236A" w:rsidRPr="00073574" w:rsidRDefault="00F0236A" w:rsidP="00F0236A">
      <w:pPr>
        <w:rPr>
          <w:rFonts w:eastAsia="Malgun Gothic"/>
          <w:color w:val="000000"/>
          <w:sz w:val="24"/>
          <w:lang w:eastAsia="zh-CN"/>
        </w:rPr>
      </w:pPr>
      <w:r w:rsidRPr="00073574">
        <w:rPr>
          <w:rFonts w:eastAsia="Malgun Gothic"/>
          <w:color w:val="000000"/>
          <w:sz w:val="24"/>
          <w:lang w:eastAsia="zh-CN"/>
        </w:rPr>
        <w:t>5</w:t>
      </w:r>
      <w:r w:rsidRPr="00073574">
        <w:rPr>
          <w:rFonts w:eastAsia="Malgun Gothic"/>
          <w:color w:val="000000"/>
          <w:sz w:val="24"/>
          <w:lang w:eastAsia="zh-CN"/>
        </w:rPr>
        <w:tab/>
        <w:t>to support the ongoing work of WISE to ensure that all women have an opportunity to develop as ITU-T leaders by serving as rapporteurs or associate rapporteurs;</w:t>
      </w:r>
    </w:p>
    <w:p w14:paraId="40042CD3" w14:textId="77777777" w:rsidR="00F0236A" w:rsidRPr="00073574" w:rsidRDefault="00F0236A" w:rsidP="00F0236A">
      <w:pPr>
        <w:rPr>
          <w:rFonts w:eastAsia="Malgun Gothic"/>
          <w:color w:val="000000"/>
          <w:sz w:val="24"/>
          <w:lang w:eastAsia="zh-CN"/>
        </w:rPr>
      </w:pPr>
      <w:r w:rsidRPr="00073574">
        <w:rPr>
          <w:rFonts w:eastAsia="Malgun Gothic"/>
          <w:color w:val="000000"/>
          <w:sz w:val="24"/>
          <w:lang w:eastAsia="zh-CN"/>
        </w:rPr>
        <w:t>6</w:t>
      </w:r>
      <w:r w:rsidRPr="00073574">
        <w:rPr>
          <w:rFonts w:eastAsia="Malgun Gothic"/>
          <w:color w:val="000000"/>
          <w:sz w:val="24"/>
          <w:lang w:eastAsia="zh-CN"/>
        </w:rPr>
        <w:tab/>
        <w:t>to post on a public-facing WISE webpage current information on the number of women attending Sector events, including administration or Sector Member affiliation and study group distribution, and identify the study groups in which women hold leadership positions;</w:t>
      </w:r>
    </w:p>
    <w:p w14:paraId="7B38790F" w14:textId="77777777" w:rsidR="00F0236A" w:rsidRPr="00073574" w:rsidRDefault="00F0236A" w:rsidP="00F0236A">
      <w:pPr>
        <w:rPr>
          <w:rFonts w:eastAsia="Malgun Gothic"/>
          <w:color w:val="000000"/>
          <w:sz w:val="24"/>
          <w:lang w:eastAsia="zh-CN"/>
        </w:rPr>
      </w:pPr>
      <w:r w:rsidRPr="00073574">
        <w:rPr>
          <w:rFonts w:eastAsia="Malgun Gothic"/>
          <w:color w:val="000000"/>
          <w:sz w:val="24"/>
          <w:lang w:eastAsia="zh-CN"/>
        </w:rPr>
        <w:t>7</w:t>
      </w:r>
      <w:r w:rsidRPr="00073574">
        <w:rPr>
          <w:rFonts w:eastAsia="Malgun Gothic"/>
          <w:color w:val="000000"/>
          <w:sz w:val="24"/>
          <w:lang w:eastAsia="zh-CN"/>
        </w:rPr>
        <w:tab/>
        <w:t>to include gender balance as a factor in the distribution of financial assistance to attend ITU-T meetings where resources are available;</w:t>
      </w:r>
    </w:p>
    <w:p w14:paraId="40892F8F" w14:textId="77777777" w:rsidR="00F0236A" w:rsidRPr="00073574" w:rsidRDefault="00F0236A" w:rsidP="00F0236A">
      <w:pPr>
        <w:rPr>
          <w:sz w:val="24"/>
        </w:rPr>
      </w:pPr>
      <w:r w:rsidRPr="00073574">
        <w:rPr>
          <w:rFonts w:eastAsia="Malgun Gothic"/>
          <w:color w:val="000000"/>
          <w:sz w:val="24"/>
          <w:lang w:eastAsia="zh-CN"/>
        </w:rPr>
        <w:t>8</w:t>
      </w:r>
      <w:r w:rsidRPr="00073574">
        <w:rPr>
          <w:rFonts w:eastAsia="Malgun Gothic"/>
          <w:color w:val="000000"/>
          <w:sz w:val="24"/>
          <w:lang w:eastAsia="zh-CN"/>
        </w:rPr>
        <w:tab/>
        <w:t>to join the ITU Secretary-General in participating in the Planet 50/50 initiative sponsored by the United Nations High Commissioner for Human Rights to tackle invisible gender bias as a Geneva Gender Champion on behalf of ITU-T,</w:t>
      </w:r>
    </w:p>
    <w:p w14:paraId="69F24535" w14:textId="77777777" w:rsidR="00F0236A" w:rsidRPr="00073574" w:rsidRDefault="00F0236A" w:rsidP="00F0236A">
      <w:pPr>
        <w:pStyle w:val="Call"/>
        <w:rPr>
          <w:sz w:val="24"/>
          <w:szCs w:val="24"/>
          <w:lang w:val="en-GB"/>
        </w:rPr>
      </w:pPr>
      <w:r w:rsidRPr="00073574">
        <w:rPr>
          <w:sz w:val="24"/>
          <w:szCs w:val="24"/>
          <w:lang w:val="en-GB"/>
        </w:rPr>
        <w:t>invites the Secretary-General</w:t>
      </w:r>
    </w:p>
    <w:p w14:paraId="0E55EE4E" w14:textId="77777777" w:rsidR="00F0236A" w:rsidRPr="00073574" w:rsidRDefault="00F0236A" w:rsidP="00F0236A">
      <w:pPr>
        <w:rPr>
          <w:sz w:val="24"/>
        </w:rPr>
      </w:pPr>
      <w:r w:rsidRPr="00073574">
        <w:rPr>
          <w:sz w:val="24"/>
        </w:rPr>
        <w:t>1</w:t>
      </w:r>
      <w:r w:rsidRPr="00073574">
        <w:rPr>
          <w:sz w:val="24"/>
        </w:rPr>
        <w:tab/>
        <w:t>to comply with the reporting obligations, as required by UNSWAP, on ITU-T activities aimed at promoting gender equality and the empowerment of women;</w:t>
      </w:r>
    </w:p>
    <w:p w14:paraId="11A3D6F8" w14:textId="77777777" w:rsidR="00F0236A" w:rsidRPr="00073574" w:rsidRDefault="00F0236A" w:rsidP="00F0236A">
      <w:pPr>
        <w:rPr>
          <w:sz w:val="24"/>
        </w:rPr>
      </w:pPr>
      <w:r w:rsidRPr="00073574">
        <w:rPr>
          <w:sz w:val="24"/>
        </w:rPr>
        <w:t>2</w:t>
      </w:r>
      <w:r w:rsidRPr="00073574">
        <w:rPr>
          <w:sz w:val="24"/>
        </w:rPr>
        <w:tab/>
        <w:t>to encourage ITU staff to take account of the gender-neutral guidelines in the ITU English Language Style Guide and to avoid, as much as possible, the use of gender-specific terms,</w:t>
      </w:r>
    </w:p>
    <w:p w14:paraId="557A9726" w14:textId="77777777" w:rsidR="00F0236A" w:rsidRPr="00073574" w:rsidRDefault="00F0236A" w:rsidP="00F0236A">
      <w:pPr>
        <w:pStyle w:val="Call"/>
        <w:rPr>
          <w:sz w:val="24"/>
          <w:szCs w:val="24"/>
          <w:lang w:val="en-GB"/>
        </w:rPr>
      </w:pPr>
      <w:r w:rsidRPr="00073574">
        <w:rPr>
          <w:sz w:val="24"/>
          <w:szCs w:val="24"/>
          <w:lang w:val="en-GB"/>
        </w:rPr>
        <w:t>invites Member States and Sector Members</w:t>
      </w:r>
    </w:p>
    <w:p w14:paraId="5B056957" w14:textId="77777777" w:rsidR="00F0236A" w:rsidRPr="00073574" w:rsidRDefault="00F0236A" w:rsidP="00F0236A">
      <w:pPr>
        <w:rPr>
          <w:sz w:val="24"/>
        </w:rPr>
      </w:pPr>
      <w:r w:rsidRPr="00073574">
        <w:rPr>
          <w:sz w:val="24"/>
        </w:rPr>
        <w:t>1</w:t>
      </w:r>
      <w:r w:rsidRPr="00073574">
        <w:rPr>
          <w:sz w:val="24"/>
        </w:rPr>
        <w:tab/>
        <w:t>to submit candidatures for chairman/vice-chairman posts in order to support the active involvement of women as well as men in standardization groups and activities and in their own administrations and delegations;</w:t>
      </w:r>
    </w:p>
    <w:p w14:paraId="79A714F4" w14:textId="77777777" w:rsidR="00F0236A" w:rsidRPr="00073574" w:rsidRDefault="00F0236A" w:rsidP="00F0236A">
      <w:pPr>
        <w:rPr>
          <w:sz w:val="24"/>
        </w:rPr>
      </w:pPr>
      <w:r w:rsidRPr="00073574">
        <w:rPr>
          <w:sz w:val="24"/>
        </w:rPr>
        <w:t>2</w:t>
      </w:r>
      <w:r w:rsidRPr="00073574">
        <w:rPr>
          <w:sz w:val="24"/>
        </w:rPr>
        <w:tab/>
        <w:t>to actively support and participate in the work of TSB, to nominate experts for the ITU-T WISE group and to promote the use of ICTs for the economic and social empowerment of women and girls;</w:t>
      </w:r>
    </w:p>
    <w:p w14:paraId="19DBD97E" w14:textId="77777777" w:rsidR="00F0236A" w:rsidRPr="00073574" w:rsidRDefault="00F0236A" w:rsidP="00F0236A">
      <w:pPr>
        <w:spacing w:after="240"/>
        <w:rPr>
          <w:sz w:val="24"/>
        </w:rPr>
      </w:pPr>
      <w:r w:rsidRPr="00073574">
        <w:rPr>
          <w:sz w:val="24"/>
        </w:rPr>
        <w:t>3</w:t>
      </w:r>
      <w:r w:rsidRPr="00073574">
        <w:rPr>
          <w:sz w:val="24"/>
        </w:rPr>
        <w:tab/>
        <w:t>to encourage and actively support ICT education for girls and women, and support all measures that will help prepare them for a professional career in ICT standardization.</w:t>
      </w:r>
    </w:p>
    <w:tbl>
      <w:tblPr>
        <w:tblW w:w="95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02"/>
        <w:gridCol w:w="4437"/>
        <w:gridCol w:w="1626"/>
        <w:gridCol w:w="1206"/>
        <w:gridCol w:w="1336"/>
      </w:tblGrid>
      <w:tr w:rsidR="00F0236A" w:rsidRPr="00073574" w14:paraId="1ADF1DD3" w14:textId="77777777" w:rsidTr="00134E92">
        <w:trPr>
          <w:tblHeader/>
          <w:jc w:val="center"/>
        </w:trPr>
        <w:tc>
          <w:tcPr>
            <w:tcW w:w="902" w:type="dxa"/>
            <w:tcBorders>
              <w:top w:val="single" w:sz="12" w:space="0" w:color="auto"/>
              <w:bottom w:val="single" w:sz="12" w:space="0" w:color="auto"/>
            </w:tcBorders>
            <w:shd w:val="clear" w:color="auto" w:fill="auto"/>
            <w:vAlign w:val="center"/>
          </w:tcPr>
          <w:p w14:paraId="22336C33" w14:textId="77777777" w:rsidR="00F0236A" w:rsidRPr="00073574" w:rsidRDefault="00F0236A" w:rsidP="00B66250">
            <w:pPr>
              <w:pStyle w:val="Tablehead"/>
              <w:keepNext w:val="0"/>
              <w:rPr>
                <w:sz w:val="24"/>
                <w:szCs w:val="24"/>
              </w:rPr>
            </w:pPr>
            <w:r w:rsidRPr="00073574">
              <w:rPr>
                <w:sz w:val="24"/>
                <w:szCs w:val="24"/>
              </w:rPr>
              <w:t>Action Item</w:t>
            </w:r>
          </w:p>
        </w:tc>
        <w:tc>
          <w:tcPr>
            <w:tcW w:w="4437" w:type="dxa"/>
            <w:tcBorders>
              <w:top w:val="single" w:sz="12" w:space="0" w:color="auto"/>
              <w:bottom w:val="single" w:sz="12" w:space="0" w:color="auto"/>
            </w:tcBorders>
            <w:shd w:val="clear" w:color="auto" w:fill="auto"/>
            <w:vAlign w:val="center"/>
            <w:hideMark/>
          </w:tcPr>
          <w:p w14:paraId="29CAA790" w14:textId="77777777" w:rsidR="00F0236A" w:rsidRPr="00073574" w:rsidRDefault="00F0236A" w:rsidP="00DF36E1">
            <w:pPr>
              <w:pStyle w:val="Tablehead"/>
              <w:rPr>
                <w:sz w:val="24"/>
                <w:szCs w:val="24"/>
              </w:rPr>
            </w:pPr>
            <w:r w:rsidRPr="00073574">
              <w:rPr>
                <w:sz w:val="24"/>
                <w:szCs w:val="24"/>
              </w:rPr>
              <w:t>Action</w:t>
            </w:r>
          </w:p>
        </w:tc>
        <w:tc>
          <w:tcPr>
            <w:tcW w:w="1626" w:type="dxa"/>
            <w:tcBorders>
              <w:top w:val="single" w:sz="12" w:space="0" w:color="auto"/>
              <w:bottom w:val="single" w:sz="12" w:space="0" w:color="auto"/>
            </w:tcBorders>
            <w:shd w:val="clear" w:color="auto" w:fill="auto"/>
            <w:vAlign w:val="center"/>
            <w:hideMark/>
          </w:tcPr>
          <w:p w14:paraId="5E8AFA48" w14:textId="77777777" w:rsidR="00F0236A" w:rsidRPr="00073574" w:rsidRDefault="00F0236A" w:rsidP="00DF36E1">
            <w:pPr>
              <w:pStyle w:val="Tablehead"/>
              <w:rPr>
                <w:sz w:val="24"/>
                <w:szCs w:val="24"/>
              </w:rPr>
            </w:pPr>
            <w:r w:rsidRPr="00073574">
              <w:rPr>
                <w:sz w:val="24"/>
                <w:szCs w:val="24"/>
              </w:rPr>
              <w:t>Milestone</w:t>
            </w:r>
          </w:p>
        </w:tc>
        <w:tc>
          <w:tcPr>
            <w:tcW w:w="1206" w:type="dxa"/>
            <w:tcBorders>
              <w:top w:val="single" w:sz="12" w:space="0" w:color="auto"/>
              <w:bottom w:val="single" w:sz="12" w:space="0" w:color="auto"/>
            </w:tcBorders>
            <w:shd w:val="clear" w:color="auto" w:fill="auto"/>
          </w:tcPr>
          <w:p w14:paraId="14B07420" w14:textId="77777777" w:rsidR="00F0236A" w:rsidRPr="00073574" w:rsidRDefault="00F0236A" w:rsidP="00DF36E1">
            <w:pPr>
              <w:pStyle w:val="Tablehead"/>
              <w:rPr>
                <w:sz w:val="24"/>
                <w:szCs w:val="24"/>
              </w:rPr>
            </w:pPr>
            <w:r w:rsidRPr="00073574">
              <w:rPr>
                <w:sz w:val="24"/>
                <w:szCs w:val="24"/>
              </w:rPr>
              <w:t>Periodic goals met</w:t>
            </w:r>
          </w:p>
        </w:tc>
        <w:tc>
          <w:tcPr>
            <w:tcW w:w="1336" w:type="dxa"/>
            <w:tcBorders>
              <w:top w:val="single" w:sz="12" w:space="0" w:color="auto"/>
              <w:bottom w:val="single" w:sz="12" w:space="0" w:color="auto"/>
            </w:tcBorders>
            <w:shd w:val="clear" w:color="auto" w:fill="auto"/>
            <w:vAlign w:val="center"/>
          </w:tcPr>
          <w:p w14:paraId="5063AC8B" w14:textId="77777777" w:rsidR="00F0236A" w:rsidRPr="00073574" w:rsidRDefault="00F0236A" w:rsidP="00DF36E1">
            <w:pPr>
              <w:pStyle w:val="Tablehead"/>
              <w:rPr>
                <w:sz w:val="24"/>
                <w:szCs w:val="24"/>
              </w:rPr>
            </w:pPr>
            <w:r w:rsidRPr="00073574">
              <w:rPr>
                <w:sz w:val="24"/>
                <w:szCs w:val="24"/>
              </w:rPr>
              <w:t>Completed</w:t>
            </w:r>
          </w:p>
        </w:tc>
      </w:tr>
      <w:tr w:rsidR="00F0236A" w:rsidRPr="00073574" w14:paraId="60C710FF" w14:textId="77777777" w:rsidTr="0085771B">
        <w:trPr>
          <w:jc w:val="center"/>
        </w:trPr>
        <w:tc>
          <w:tcPr>
            <w:tcW w:w="902" w:type="dxa"/>
            <w:vMerge w:val="restart"/>
            <w:shd w:val="clear" w:color="auto" w:fill="auto"/>
          </w:tcPr>
          <w:p w14:paraId="7C87EC82" w14:textId="77777777" w:rsidR="00F0236A" w:rsidRPr="00073574" w:rsidRDefault="00F0236A" w:rsidP="00B45B40">
            <w:pPr>
              <w:pStyle w:val="Tabletext"/>
              <w:keepNext/>
              <w:rPr>
                <w:b/>
                <w:bCs/>
                <w:sz w:val="24"/>
                <w:szCs w:val="24"/>
              </w:rPr>
            </w:pPr>
            <w:r w:rsidRPr="00073574">
              <w:rPr>
                <w:b/>
                <w:bCs/>
                <w:sz w:val="24"/>
                <w:szCs w:val="24"/>
              </w:rPr>
              <w:t>55-02</w:t>
            </w:r>
          </w:p>
        </w:tc>
        <w:tc>
          <w:tcPr>
            <w:tcW w:w="4437" w:type="dxa"/>
            <w:shd w:val="clear" w:color="auto" w:fill="auto"/>
          </w:tcPr>
          <w:p w14:paraId="058934A9" w14:textId="77777777" w:rsidR="00F0236A" w:rsidRPr="00073574" w:rsidRDefault="00F0236A" w:rsidP="00DF36E1">
            <w:pPr>
              <w:pStyle w:val="Tabletext"/>
              <w:rPr>
                <w:b/>
                <w:bCs/>
                <w:sz w:val="24"/>
                <w:szCs w:val="24"/>
              </w:rPr>
            </w:pPr>
            <w:r w:rsidRPr="00073574">
              <w:rPr>
                <w:b/>
                <w:bCs/>
                <w:sz w:val="24"/>
                <w:szCs w:val="24"/>
              </w:rPr>
              <w:t>TSB Director to take the necessary steps to continue implementing the ITU GEM Policy, including, supporting the implementation of recommendations from the Joint Inspection Unit relevant to gender mainstreaming, supporting the Gender Focal Points for ITU-T, and encouraging TSB staff to undertake relevant training (i. TSBDir 1)</w:t>
            </w:r>
          </w:p>
        </w:tc>
        <w:tc>
          <w:tcPr>
            <w:tcW w:w="1626" w:type="dxa"/>
            <w:shd w:val="clear" w:color="auto" w:fill="auto"/>
            <w:vAlign w:val="center"/>
          </w:tcPr>
          <w:p w14:paraId="7BB5ED90" w14:textId="77777777" w:rsidR="00F0236A" w:rsidRPr="00073574" w:rsidRDefault="00F0236A" w:rsidP="00DF36E1">
            <w:pPr>
              <w:pStyle w:val="Tabletext"/>
              <w:jc w:val="center"/>
              <w:rPr>
                <w:b/>
                <w:bCs/>
                <w:sz w:val="24"/>
                <w:szCs w:val="24"/>
              </w:rPr>
            </w:pPr>
            <w:r w:rsidRPr="00073574">
              <w:rPr>
                <w:b/>
                <w:bCs/>
                <w:sz w:val="24"/>
                <w:szCs w:val="24"/>
              </w:rPr>
              <w:t>Ongoing</w:t>
            </w:r>
          </w:p>
        </w:tc>
        <w:tc>
          <w:tcPr>
            <w:tcW w:w="1206" w:type="dxa"/>
            <w:shd w:val="clear" w:color="auto" w:fill="auto"/>
            <w:vAlign w:val="center"/>
          </w:tcPr>
          <w:p w14:paraId="0D67BA08"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shd w:val="clear" w:color="auto" w:fill="auto"/>
            <w:vAlign w:val="center"/>
          </w:tcPr>
          <w:p w14:paraId="5F587D2D" w14:textId="77777777" w:rsidR="00F0236A" w:rsidRPr="00073574" w:rsidRDefault="00F0236A" w:rsidP="00DF36E1">
            <w:pPr>
              <w:pStyle w:val="Tabletext"/>
              <w:jc w:val="center"/>
              <w:rPr>
                <w:b/>
                <w:bCs/>
                <w:sz w:val="24"/>
                <w:szCs w:val="24"/>
              </w:rPr>
            </w:pPr>
          </w:p>
        </w:tc>
      </w:tr>
      <w:tr w:rsidR="00F0236A" w:rsidRPr="00073574" w14:paraId="68D819D1" w14:textId="77777777" w:rsidTr="5D161764">
        <w:trPr>
          <w:jc w:val="center"/>
        </w:trPr>
        <w:tc>
          <w:tcPr>
            <w:tcW w:w="902" w:type="dxa"/>
            <w:vMerge/>
          </w:tcPr>
          <w:p w14:paraId="4FE3E4D2" w14:textId="77777777" w:rsidR="00F0236A" w:rsidRPr="00073574" w:rsidRDefault="00F0236A" w:rsidP="00DF36E1">
            <w:pPr>
              <w:pStyle w:val="Tabletext"/>
              <w:rPr>
                <w:sz w:val="24"/>
                <w:szCs w:val="24"/>
              </w:rPr>
            </w:pPr>
          </w:p>
        </w:tc>
        <w:tc>
          <w:tcPr>
            <w:tcW w:w="8605" w:type="dxa"/>
            <w:gridSpan w:val="4"/>
            <w:tcBorders>
              <w:bottom w:val="single" w:sz="12" w:space="0" w:color="auto"/>
            </w:tcBorders>
            <w:shd w:val="clear" w:color="auto" w:fill="auto"/>
          </w:tcPr>
          <w:p w14:paraId="2573DC53" w14:textId="2C5AAB9A" w:rsidR="00F0236A" w:rsidRPr="00073574" w:rsidRDefault="00F0236A" w:rsidP="00DF36E1">
            <w:pPr>
              <w:pStyle w:val="Tabletext"/>
              <w:rPr>
                <w:sz w:val="24"/>
                <w:szCs w:val="24"/>
              </w:rPr>
            </w:pPr>
            <w:r w:rsidRPr="00073574">
              <w:rPr>
                <w:szCs w:val="22"/>
              </w:rPr>
              <w:t>TSB continues to collaborate with the other Bureaux and the General Secretariat to build a framework to move the gender agenda forward, under the umbrella of the ITU Gender Taskforce</w:t>
            </w:r>
            <w:r w:rsidR="00204BD2" w:rsidRPr="00073574">
              <w:rPr>
                <w:szCs w:val="22"/>
              </w:rPr>
              <w:t>.</w:t>
            </w:r>
            <w:r w:rsidRPr="00073574">
              <w:rPr>
                <w:szCs w:val="22"/>
              </w:rPr>
              <w:t xml:space="preserve"> </w:t>
            </w:r>
            <w:r w:rsidR="00CF61E6" w:rsidRPr="00073574">
              <w:rPr>
                <w:szCs w:val="22"/>
              </w:rPr>
              <w:t xml:space="preserve"> TSB staff </w:t>
            </w:r>
            <w:r w:rsidR="007628D4" w:rsidRPr="00073574">
              <w:rPr>
                <w:szCs w:val="22"/>
              </w:rPr>
              <w:t xml:space="preserve">have participated in various training </w:t>
            </w:r>
            <w:r w:rsidR="00283011" w:rsidRPr="00073574">
              <w:rPr>
                <w:szCs w:val="22"/>
              </w:rPr>
              <w:t>activities</w:t>
            </w:r>
            <w:r w:rsidR="007628D4" w:rsidRPr="00073574">
              <w:rPr>
                <w:szCs w:val="22"/>
              </w:rPr>
              <w:t xml:space="preserve"> including I Know Gender</w:t>
            </w:r>
            <w:r w:rsidR="00283011" w:rsidRPr="00073574">
              <w:rPr>
                <w:szCs w:val="22"/>
              </w:rPr>
              <w:t xml:space="preserve"> and</w:t>
            </w:r>
            <w:r w:rsidR="007628D4" w:rsidRPr="00073574">
              <w:rPr>
                <w:szCs w:val="22"/>
              </w:rPr>
              <w:t xml:space="preserve"> Unconscious Bias</w:t>
            </w:r>
            <w:r w:rsidR="00283011" w:rsidRPr="00073574">
              <w:rPr>
                <w:szCs w:val="22"/>
              </w:rPr>
              <w:t>.</w:t>
            </w:r>
            <w:r w:rsidR="00D967F1" w:rsidRPr="00073574">
              <w:rPr>
                <w:szCs w:val="22"/>
              </w:rPr>
              <w:t xml:space="preserve"> </w:t>
            </w:r>
            <w:r w:rsidR="00284E5E" w:rsidRPr="00073574">
              <w:rPr>
                <w:szCs w:val="22"/>
              </w:rPr>
              <w:t>The female staff in the professional grade category were e</w:t>
            </w:r>
            <w:r w:rsidR="009056E9" w:rsidRPr="00073574">
              <w:rPr>
                <w:szCs w:val="22"/>
              </w:rPr>
              <w:t xml:space="preserve">ncouraged to </w:t>
            </w:r>
            <w:r w:rsidR="00CF2D60" w:rsidRPr="00073574">
              <w:rPr>
                <w:szCs w:val="22"/>
              </w:rPr>
              <w:t xml:space="preserve">participate in </w:t>
            </w:r>
            <w:r w:rsidR="002E479C" w:rsidRPr="00073574">
              <w:rPr>
                <w:szCs w:val="22"/>
              </w:rPr>
              <w:t xml:space="preserve">corporate </w:t>
            </w:r>
            <w:r w:rsidR="00C37BDE" w:rsidRPr="00073574">
              <w:rPr>
                <w:szCs w:val="22"/>
              </w:rPr>
              <w:t>initiatives</w:t>
            </w:r>
            <w:r w:rsidR="00A75BA5" w:rsidRPr="00073574">
              <w:rPr>
                <w:szCs w:val="22"/>
              </w:rPr>
              <w:t xml:space="preserve"> </w:t>
            </w:r>
            <w:r w:rsidR="00DE4A90" w:rsidRPr="00073574">
              <w:rPr>
                <w:szCs w:val="22"/>
              </w:rPr>
              <w:t xml:space="preserve">on </w:t>
            </w:r>
            <w:r w:rsidR="00DE4A90" w:rsidRPr="00073574">
              <w:rPr>
                <w:sz w:val="24"/>
              </w:rPr>
              <w:t xml:space="preserve">practical strategies </w:t>
            </w:r>
            <w:r w:rsidR="00280CEE" w:rsidRPr="00073574">
              <w:rPr>
                <w:sz w:val="24"/>
              </w:rPr>
              <w:t>for empowerment.</w:t>
            </w:r>
            <w:r w:rsidR="007628D4" w:rsidRPr="00073574">
              <w:rPr>
                <w:szCs w:val="22"/>
              </w:rPr>
              <w:t xml:space="preserve"> </w:t>
            </w:r>
            <w:r w:rsidRPr="00073574">
              <w:rPr>
                <w:rFonts w:eastAsiaTheme="minorEastAsia"/>
                <w:szCs w:val="22"/>
                <w:lang w:eastAsia="ja-JP"/>
              </w:rPr>
              <w:t>Diversity of staff, gender equality and the empowerment of women continue to be among TSB</w:t>
            </w:r>
            <w:r w:rsidR="0034409A" w:rsidRPr="00073574">
              <w:rPr>
                <w:rFonts w:eastAsiaTheme="minorEastAsia"/>
                <w:szCs w:val="22"/>
                <w:lang w:eastAsia="ja-JP"/>
              </w:rPr>
              <w:t>’</w:t>
            </w:r>
            <w:r w:rsidRPr="00073574">
              <w:rPr>
                <w:rFonts w:eastAsiaTheme="minorEastAsia"/>
                <w:szCs w:val="22"/>
                <w:lang w:eastAsia="ja-JP"/>
              </w:rPr>
              <w:t>s priorities.</w:t>
            </w:r>
          </w:p>
        </w:tc>
      </w:tr>
      <w:tr w:rsidR="00F0236A" w:rsidRPr="00073574" w14:paraId="434A73F9" w14:textId="77777777" w:rsidTr="0085771B">
        <w:trPr>
          <w:jc w:val="center"/>
        </w:trPr>
        <w:tc>
          <w:tcPr>
            <w:tcW w:w="902" w:type="dxa"/>
            <w:vMerge w:val="restart"/>
            <w:tcBorders>
              <w:top w:val="single" w:sz="12" w:space="0" w:color="auto"/>
            </w:tcBorders>
            <w:shd w:val="clear" w:color="auto" w:fill="auto"/>
          </w:tcPr>
          <w:p w14:paraId="45635392" w14:textId="77777777" w:rsidR="00F0236A" w:rsidRPr="00073574" w:rsidRDefault="00F0236A" w:rsidP="00366A6E">
            <w:pPr>
              <w:pStyle w:val="Tabletext"/>
              <w:rPr>
                <w:b/>
                <w:bCs/>
                <w:sz w:val="24"/>
                <w:szCs w:val="24"/>
              </w:rPr>
            </w:pPr>
            <w:r w:rsidRPr="00073574">
              <w:rPr>
                <w:b/>
                <w:bCs/>
                <w:sz w:val="24"/>
                <w:szCs w:val="24"/>
              </w:rPr>
              <w:lastRenderedPageBreak/>
              <w:t>55-03</w:t>
            </w:r>
          </w:p>
        </w:tc>
        <w:tc>
          <w:tcPr>
            <w:tcW w:w="4437" w:type="dxa"/>
            <w:tcBorders>
              <w:top w:val="single" w:sz="12" w:space="0" w:color="auto"/>
            </w:tcBorders>
            <w:shd w:val="clear" w:color="auto" w:fill="auto"/>
            <w:hideMark/>
          </w:tcPr>
          <w:p w14:paraId="0E89F06B" w14:textId="77777777" w:rsidR="00F0236A" w:rsidRPr="00073574" w:rsidRDefault="00F0236A" w:rsidP="00DF36E1">
            <w:pPr>
              <w:pStyle w:val="Tabletext"/>
              <w:keepNext/>
              <w:keepLines/>
              <w:pageBreakBefore/>
              <w:rPr>
                <w:b/>
                <w:bCs/>
                <w:sz w:val="24"/>
                <w:szCs w:val="24"/>
              </w:rPr>
            </w:pPr>
            <w:r w:rsidRPr="00073574">
              <w:rPr>
                <w:b/>
                <w:bCs/>
                <w:sz w:val="24"/>
                <w:szCs w:val="24"/>
              </w:rPr>
              <w:t>TSB Director to encourage the participation of women in all aspects of ITU-T activities and support an increase in the number of women in ITU-T leadership positions (encouraging membership to include women on their delegations, selection of women for TSB positions at the Professional and higher levels; selection of chairmen vice chairmen and rapporteurs of ITU-T SGs and of TSAG (resolves 1, i. TSBDir 4)</w:t>
            </w:r>
          </w:p>
        </w:tc>
        <w:tc>
          <w:tcPr>
            <w:tcW w:w="1626" w:type="dxa"/>
            <w:tcBorders>
              <w:top w:val="single" w:sz="12" w:space="0" w:color="auto"/>
            </w:tcBorders>
            <w:shd w:val="clear" w:color="auto" w:fill="auto"/>
            <w:vAlign w:val="center"/>
            <w:hideMark/>
          </w:tcPr>
          <w:p w14:paraId="5CD8ED52" w14:textId="77777777" w:rsidR="00F0236A" w:rsidRPr="00073574" w:rsidRDefault="00F0236A" w:rsidP="00DF36E1">
            <w:pPr>
              <w:pStyle w:val="Tabletext"/>
              <w:jc w:val="center"/>
              <w:rPr>
                <w:b/>
                <w:bCs/>
                <w:sz w:val="24"/>
                <w:szCs w:val="24"/>
              </w:rPr>
            </w:pPr>
            <w:r w:rsidRPr="00073574">
              <w:rPr>
                <w:b/>
                <w:bCs/>
                <w:sz w:val="24"/>
                <w:szCs w:val="24"/>
              </w:rPr>
              <w:t>Ongoing</w:t>
            </w:r>
          </w:p>
        </w:tc>
        <w:tc>
          <w:tcPr>
            <w:tcW w:w="1206" w:type="dxa"/>
            <w:tcBorders>
              <w:top w:val="single" w:sz="12" w:space="0" w:color="auto"/>
            </w:tcBorders>
            <w:shd w:val="clear" w:color="auto" w:fill="auto"/>
            <w:vAlign w:val="center"/>
          </w:tcPr>
          <w:p w14:paraId="09154254"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0F9E3456" w14:textId="77777777" w:rsidR="00F0236A" w:rsidRPr="00073574" w:rsidRDefault="00F0236A" w:rsidP="00DF36E1">
            <w:pPr>
              <w:pStyle w:val="Tabletext"/>
              <w:jc w:val="center"/>
              <w:rPr>
                <w:b/>
                <w:bCs/>
                <w:sz w:val="24"/>
                <w:szCs w:val="24"/>
              </w:rPr>
            </w:pPr>
          </w:p>
        </w:tc>
      </w:tr>
      <w:tr w:rsidR="00F0236A" w:rsidRPr="00073574" w14:paraId="73552EF1" w14:textId="77777777" w:rsidTr="5D161764">
        <w:trPr>
          <w:jc w:val="center"/>
        </w:trPr>
        <w:tc>
          <w:tcPr>
            <w:tcW w:w="902" w:type="dxa"/>
            <w:vMerge/>
          </w:tcPr>
          <w:p w14:paraId="1A500228" w14:textId="77777777" w:rsidR="00F0236A" w:rsidRPr="00073574" w:rsidRDefault="00F0236A" w:rsidP="00DF36E1">
            <w:pPr>
              <w:pStyle w:val="Tabletext"/>
              <w:rPr>
                <w:sz w:val="24"/>
                <w:szCs w:val="24"/>
              </w:rPr>
            </w:pPr>
          </w:p>
        </w:tc>
        <w:tc>
          <w:tcPr>
            <w:tcW w:w="8605" w:type="dxa"/>
            <w:gridSpan w:val="4"/>
            <w:shd w:val="clear" w:color="auto" w:fill="auto"/>
          </w:tcPr>
          <w:p w14:paraId="0A6F8530" w14:textId="682C1F78" w:rsidR="00F0236A" w:rsidRPr="00073574" w:rsidRDefault="00F0236A" w:rsidP="00DF36E1">
            <w:pPr>
              <w:pStyle w:val="Tabletext"/>
              <w:rPr>
                <w:sz w:val="24"/>
                <w:szCs w:val="24"/>
              </w:rPr>
            </w:pPr>
            <w:r w:rsidRPr="00073574">
              <w:rPr>
                <w:rFonts w:eastAsiaTheme="minorEastAsia"/>
                <w:szCs w:val="22"/>
                <w:lang w:eastAsia="ja-JP"/>
              </w:rPr>
              <w:t xml:space="preserve">Member States and Sector Members are encouraged to support the active involvement of women experts in standardization groups and activities by this Resolution. </w:t>
            </w:r>
            <w:r w:rsidR="005C1AEA" w:rsidRPr="00073574">
              <w:rPr>
                <w:rFonts w:eastAsiaTheme="minorEastAsia"/>
                <w:szCs w:val="22"/>
                <w:lang w:eastAsia="ja-JP"/>
              </w:rPr>
              <w:t>Currently</w:t>
            </w:r>
            <w:r w:rsidR="00E2549B" w:rsidRPr="00073574">
              <w:rPr>
                <w:rFonts w:eastAsiaTheme="minorEastAsia"/>
                <w:szCs w:val="22"/>
                <w:lang w:eastAsia="ja-JP"/>
              </w:rPr>
              <w:t xml:space="preserve">, </w:t>
            </w:r>
            <w:r w:rsidR="006830CE" w:rsidRPr="00073574">
              <w:rPr>
                <w:rFonts w:eastAsiaTheme="minorEastAsia"/>
                <w:szCs w:val="22"/>
                <w:lang w:eastAsia="ja-JP"/>
              </w:rPr>
              <w:t>53% TSB staff are women</w:t>
            </w:r>
            <w:r w:rsidR="00B97976" w:rsidRPr="00073574">
              <w:rPr>
                <w:rFonts w:eastAsiaTheme="minorEastAsia"/>
                <w:szCs w:val="22"/>
                <w:lang w:eastAsia="ja-JP"/>
              </w:rPr>
              <w:t xml:space="preserve">. </w:t>
            </w:r>
            <w:r w:rsidR="00E81324" w:rsidRPr="00073574">
              <w:rPr>
                <w:rFonts w:eastAsiaTheme="minorEastAsia"/>
                <w:szCs w:val="22"/>
                <w:lang w:eastAsia="ja-JP"/>
              </w:rPr>
              <w:t xml:space="preserve">The Director of TSB continues to promote women </w:t>
            </w:r>
            <w:r w:rsidR="00350E3A" w:rsidRPr="00073574">
              <w:rPr>
                <w:rFonts w:eastAsiaTheme="minorEastAsia"/>
                <w:szCs w:val="22"/>
                <w:lang w:eastAsia="ja-JP"/>
              </w:rPr>
              <w:t>i</w:t>
            </w:r>
            <w:r w:rsidR="00EA6B35" w:rsidRPr="00073574">
              <w:rPr>
                <w:rFonts w:eastAsiaTheme="minorEastAsia"/>
                <w:szCs w:val="22"/>
                <w:lang w:eastAsia="ja-JP"/>
              </w:rPr>
              <w:t>n</w:t>
            </w:r>
            <w:r w:rsidR="00236543" w:rsidRPr="00073574">
              <w:rPr>
                <w:rFonts w:eastAsiaTheme="minorEastAsia"/>
                <w:szCs w:val="22"/>
                <w:lang w:eastAsia="ja-JP"/>
              </w:rPr>
              <w:t xml:space="preserve"> high</w:t>
            </w:r>
            <w:r w:rsidR="00BE0C1E" w:rsidRPr="00073574">
              <w:rPr>
                <w:rFonts w:eastAsiaTheme="minorEastAsia"/>
                <w:szCs w:val="22"/>
                <w:lang w:eastAsia="ja-JP"/>
              </w:rPr>
              <w:t>er grades</w:t>
            </w:r>
            <w:r w:rsidR="00EA6B35" w:rsidRPr="00073574">
              <w:rPr>
                <w:rFonts w:eastAsiaTheme="minorEastAsia"/>
                <w:szCs w:val="22"/>
                <w:lang w:eastAsia="ja-JP"/>
              </w:rPr>
              <w:t xml:space="preserve">. </w:t>
            </w:r>
            <w:r w:rsidR="00AC0BAC" w:rsidRPr="00073574">
              <w:rPr>
                <w:rFonts w:eastAsiaTheme="minorEastAsia"/>
                <w:szCs w:val="22"/>
                <w:lang w:eastAsia="ja-JP"/>
              </w:rPr>
              <w:t xml:space="preserve">The number of </w:t>
            </w:r>
            <w:r w:rsidR="0041363C" w:rsidRPr="00073574">
              <w:rPr>
                <w:rFonts w:eastAsiaTheme="minorEastAsia"/>
                <w:szCs w:val="22"/>
                <w:lang w:eastAsia="ja-JP"/>
              </w:rPr>
              <w:t>women</w:t>
            </w:r>
            <w:r w:rsidR="00AC0BAC" w:rsidRPr="00073574">
              <w:rPr>
                <w:rFonts w:eastAsiaTheme="minorEastAsia"/>
                <w:szCs w:val="22"/>
                <w:lang w:eastAsia="ja-JP"/>
              </w:rPr>
              <w:t xml:space="preserve"> in the professional categ</w:t>
            </w:r>
            <w:r w:rsidR="00025B09" w:rsidRPr="00073574">
              <w:rPr>
                <w:rFonts w:eastAsiaTheme="minorEastAsia"/>
                <w:szCs w:val="22"/>
                <w:lang w:eastAsia="ja-JP"/>
              </w:rPr>
              <w:t>ory has increased to 45%</w:t>
            </w:r>
            <w:r w:rsidR="00977C2F" w:rsidRPr="00073574">
              <w:rPr>
                <w:rFonts w:eastAsiaTheme="minorEastAsia"/>
                <w:szCs w:val="22"/>
                <w:lang w:eastAsia="ja-JP"/>
              </w:rPr>
              <w:t xml:space="preserve"> compared to </w:t>
            </w:r>
            <w:r w:rsidR="00582A1F" w:rsidRPr="00073574">
              <w:rPr>
                <w:rFonts w:eastAsiaTheme="minorEastAsia"/>
                <w:szCs w:val="22"/>
                <w:lang w:eastAsia="ja-JP"/>
              </w:rPr>
              <w:t xml:space="preserve">33% in </w:t>
            </w:r>
            <w:r w:rsidR="006C0C86" w:rsidRPr="00073574">
              <w:rPr>
                <w:rFonts w:eastAsiaTheme="minorEastAsia"/>
                <w:szCs w:val="22"/>
                <w:lang w:eastAsia="ja-JP"/>
              </w:rPr>
              <w:t>201</w:t>
            </w:r>
            <w:r w:rsidR="005C0518" w:rsidRPr="00073574">
              <w:rPr>
                <w:rFonts w:eastAsiaTheme="minorEastAsia"/>
                <w:szCs w:val="22"/>
                <w:lang w:eastAsia="ja-JP"/>
              </w:rPr>
              <w:t>6</w:t>
            </w:r>
            <w:r w:rsidR="00077F3B" w:rsidRPr="00073574">
              <w:rPr>
                <w:rFonts w:eastAsiaTheme="minorEastAsia"/>
                <w:szCs w:val="22"/>
                <w:lang w:eastAsia="ja-JP"/>
              </w:rPr>
              <w:t>.</w:t>
            </w:r>
          </w:p>
        </w:tc>
      </w:tr>
      <w:tr w:rsidR="00F0236A" w:rsidRPr="00073574" w14:paraId="759C7519" w14:textId="77777777" w:rsidTr="0085771B">
        <w:trPr>
          <w:jc w:val="center"/>
        </w:trPr>
        <w:tc>
          <w:tcPr>
            <w:tcW w:w="902" w:type="dxa"/>
            <w:vMerge w:val="restart"/>
            <w:tcBorders>
              <w:top w:val="single" w:sz="12" w:space="0" w:color="auto"/>
            </w:tcBorders>
            <w:shd w:val="clear" w:color="auto" w:fill="auto"/>
          </w:tcPr>
          <w:p w14:paraId="25F6CFB5" w14:textId="77777777" w:rsidR="00F0236A" w:rsidRPr="00073574" w:rsidRDefault="00F0236A" w:rsidP="00DF36E1">
            <w:pPr>
              <w:pStyle w:val="Tabletext"/>
              <w:rPr>
                <w:b/>
                <w:bCs/>
                <w:sz w:val="24"/>
                <w:szCs w:val="24"/>
              </w:rPr>
            </w:pPr>
            <w:r w:rsidRPr="00073574">
              <w:rPr>
                <w:b/>
                <w:bCs/>
                <w:sz w:val="24"/>
                <w:szCs w:val="24"/>
              </w:rPr>
              <w:t>55-04</w:t>
            </w:r>
          </w:p>
        </w:tc>
        <w:tc>
          <w:tcPr>
            <w:tcW w:w="4437" w:type="dxa"/>
            <w:tcBorders>
              <w:top w:val="single" w:sz="12" w:space="0" w:color="auto"/>
            </w:tcBorders>
            <w:shd w:val="clear" w:color="auto" w:fill="auto"/>
            <w:hideMark/>
          </w:tcPr>
          <w:p w14:paraId="088B2BD9" w14:textId="77777777" w:rsidR="00F0236A" w:rsidRPr="00073574" w:rsidRDefault="00F0236A" w:rsidP="00DF36E1">
            <w:pPr>
              <w:pStyle w:val="Tabletext"/>
              <w:rPr>
                <w:b/>
                <w:bCs/>
                <w:sz w:val="24"/>
                <w:szCs w:val="24"/>
              </w:rPr>
            </w:pPr>
            <w:r w:rsidRPr="00073574">
              <w:rPr>
                <w:b/>
                <w:sz w:val="24"/>
                <w:szCs w:val="24"/>
              </w:rPr>
              <w:t>ITU-T to continue WISE; and post WISE web-page (resolves 3, i. TSBDir 5, 6)</w:t>
            </w:r>
          </w:p>
        </w:tc>
        <w:tc>
          <w:tcPr>
            <w:tcW w:w="1626" w:type="dxa"/>
            <w:tcBorders>
              <w:top w:val="single" w:sz="12" w:space="0" w:color="auto"/>
            </w:tcBorders>
            <w:shd w:val="clear" w:color="auto" w:fill="auto"/>
            <w:vAlign w:val="center"/>
            <w:hideMark/>
          </w:tcPr>
          <w:p w14:paraId="5E1DD62F" w14:textId="7FC03966" w:rsidR="00F0236A" w:rsidRPr="00073574" w:rsidRDefault="00F0236A" w:rsidP="00DF36E1">
            <w:pPr>
              <w:pStyle w:val="Tabletext"/>
              <w:jc w:val="center"/>
              <w:rPr>
                <w:b/>
                <w:bCs/>
                <w:sz w:val="24"/>
                <w:szCs w:val="24"/>
              </w:rPr>
            </w:pPr>
            <w:r w:rsidRPr="00073574">
              <w:rPr>
                <w:b/>
                <w:bCs/>
                <w:sz w:val="24"/>
                <w:szCs w:val="24"/>
              </w:rPr>
              <w:t>Ongoing</w:t>
            </w:r>
          </w:p>
        </w:tc>
        <w:tc>
          <w:tcPr>
            <w:tcW w:w="1206" w:type="dxa"/>
            <w:tcBorders>
              <w:top w:val="single" w:sz="12" w:space="0" w:color="auto"/>
            </w:tcBorders>
            <w:shd w:val="clear" w:color="auto" w:fill="auto"/>
            <w:vAlign w:val="center"/>
          </w:tcPr>
          <w:p w14:paraId="39AEA550"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7C08B88A" w14:textId="77777777" w:rsidR="00F0236A" w:rsidRPr="00073574" w:rsidRDefault="00F0236A" w:rsidP="00DF36E1">
            <w:pPr>
              <w:pStyle w:val="Tabletext"/>
              <w:jc w:val="center"/>
              <w:rPr>
                <w:b/>
                <w:bCs/>
                <w:sz w:val="24"/>
                <w:szCs w:val="24"/>
              </w:rPr>
            </w:pPr>
          </w:p>
        </w:tc>
      </w:tr>
      <w:tr w:rsidR="00F0236A" w:rsidRPr="00073574" w14:paraId="21FBD023" w14:textId="77777777" w:rsidTr="5D161764">
        <w:trPr>
          <w:jc w:val="center"/>
        </w:trPr>
        <w:tc>
          <w:tcPr>
            <w:tcW w:w="902" w:type="dxa"/>
            <w:vMerge/>
          </w:tcPr>
          <w:p w14:paraId="0E4540BD" w14:textId="77777777" w:rsidR="00F0236A" w:rsidRPr="00073574" w:rsidRDefault="00F0236A" w:rsidP="00DF36E1">
            <w:pPr>
              <w:pStyle w:val="Tabletext"/>
              <w:rPr>
                <w:sz w:val="24"/>
                <w:szCs w:val="24"/>
              </w:rPr>
            </w:pPr>
          </w:p>
        </w:tc>
        <w:tc>
          <w:tcPr>
            <w:tcW w:w="8605" w:type="dxa"/>
            <w:gridSpan w:val="4"/>
            <w:tcBorders>
              <w:bottom w:val="single" w:sz="12" w:space="0" w:color="auto"/>
            </w:tcBorders>
            <w:shd w:val="clear" w:color="auto" w:fill="auto"/>
          </w:tcPr>
          <w:p w14:paraId="11D1417E" w14:textId="0C66F319" w:rsidR="00F0236A" w:rsidRPr="00073574" w:rsidDel="00D159DC" w:rsidRDefault="00F0236A" w:rsidP="001E63F9">
            <w:pPr>
              <w:spacing w:before="40"/>
              <w:rPr>
                <w:szCs w:val="22"/>
              </w:rPr>
            </w:pPr>
            <w:r w:rsidRPr="00073574" w:rsidDel="00D159DC">
              <w:rPr>
                <w:szCs w:val="22"/>
              </w:rPr>
              <w:t>The first WISE event was held on 30 October 2016 at the World Telecommunication Standardization Assembly (WTSA) in Yasmine Hammamet, Tunisia. The event consisted of a workshop on practical skills for successful negotiations, as part of ITU-T</w:t>
            </w:r>
            <w:r w:rsidR="0034409A" w:rsidRPr="00073574">
              <w:rPr>
                <w:szCs w:val="22"/>
              </w:rPr>
              <w:t>’</w:t>
            </w:r>
            <w:r w:rsidRPr="00073574" w:rsidDel="00D159DC">
              <w:rPr>
                <w:szCs w:val="22"/>
              </w:rPr>
              <w:t>s commitment to promoting equality for men and women delegates attending its meetings and conferences, followed by a panel discussion highlighting the experiences of leading women from the ICT and standardization fields.</w:t>
            </w:r>
          </w:p>
          <w:p w14:paraId="23CA4668" w14:textId="0BBBA9C0" w:rsidR="00935927" w:rsidRPr="00073574" w:rsidRDefault="00F0236A" w:rsidP="00DF36E1">
            <w:pPr>
              <w:pStyle w:val="Tabletext"/>
              <w:rPr>
                <w:rFonts w:eastAsiaTheme="minorEastAsia"/>
                <w:color w:val="0000FF"/>
                <w:szCs w:val="22"/>
                <w:u w:val="single"/>
                <w:lang w:eastAsia="ja-JP"/>
              </w:rPr>
            </w:pPr>
            <w:r w:rsidRPr="00073574" w:rsidDel="00D159DC">
              <w:rPr>
                <w:rFonts w:eastAsiaTheme="minorEastAsia"/>
                <w:szCs w:val="22"/>
                <w:lang w:eastAsia="ja-JP"/>
              </w:rPr>
              <w:t xml:space="preserve">WISE web page is available at: </w:t>
            </w:r>
            <w:hyperlink r:id="rId437" w:history="1">
              <w:r w:rsidRPr="00073574" w:rsidDel="00D159DC">
                <w:rPr>
                  <w:rStyle w:val="Hyperlink"/>
                  <w:rFonts w:eastAsiaTheme="minorEastAsia"/>
                  <w:szCs w:val="22"/>
                  <w:lang w:eastAsia="ja-JP"/>
                </w:rPr>
                <w:t>http://www.itu.int/en/ITU-T/wise/Pages/default.aspx</w:t>
              </w:r>
            </w:hyperlink>
          </w:p>
        </w:tc>
      </w:tr>
      <w:tr w:rsidR="00F0236A" w:rsidRPr="00073574" w14:paraId="5C7D9608" w14:textId="77777777" w:rsidTr="0085771B">
        <w:trPr>
          <w:jc w:val="center"/>
        </w:trPr>
        <w:tc>
          <w:tcPr>
            <w:tcW w:w="902" w:type="dxa"/>
            <w:vMerge w:val="restart"/>
            <w:tcBorders>
              <w:top w:val="single" w:sz="12" w:space="0" w:color="auto"/>
            </w:tcBorders>
            <w:shd w:val="clear" w:color="auto" w:fill="auto"/>
          </w:tcPr>
          <w:p w14:paraId="546C85B6" w14:textId="77777777" w:rsidR="00F0236A" w:rsidRPr="00073574" w:rsidRDefault="00F0236A" w:rsidP="00B45B40">
            <w:pPr>
              <w:pStyle w:val="Tabletext"/>
              <w:keepNext/>
              <w:rPr>
                <w:b/>
                <w:bCs/>
                <w:sz w:val="24"/>
                <w:szCs w:val="24"/>
              </w:rPr>
            </w:pPr>
            <w:r w:rsidRPr="00073574">
              <w:rPr>
                <w:b/>
                <w:bCs/>
                <w:sz w:val="24"/>
                <w:szCs w:val="24"/>
              </w:rPr>
              <w:t>55-05</w:t>
            </w:r>
          </w:p>
        </w:tc>
        <w:tc>
          <w:tcPr>
            <w:tcW w:w="4437" w:type="dxa"/>
            <w:tcBorders>
              <w:top w:val="single" w:sz="12" w:space="0" w:color="auto"/>
            </w:tcBorders>
            <w:shd w:val="clear" w:color="auto" w:fill="auto"/>
          </w:tcPr>
          <w:p w14:paraId="62527D64" w14:textId="77777777" w:rsidR="00F0236A" w:rsidRPr="00073574" w:rsidRDefault="00F0236A" w:rsidP="00B66250">
            <w:pPr>
              <w:pStyle w:val="Tabletext"/>
              <w:rPr>
                <w:b/>
                <w:bCs/>
                <w:sz w:val="24"/>
                <w:szCs w:val="24"/>
              </w:rPr>
            </w:pPr>
            <w:r w:rsidRPr="00073574">
              <w:rPr>
                <w:b/>
                <w:bCs/>
                <w:sz w:val="24"/>
                <w:szCs w:val="24"/>
              </w:rPr>
              <w:t>TSB Director to conduct an annual review on progress made in ITU-T in advancing gender mainstreaming, and to share findings with TSAG and the next WTSA. (i. TSB Dir 3)</w:t>
            </w:r>
          </w:p>
        </w:tc>
        <w:tc>
          <w:tcPr>
            <w:tcW w:w="1626" w:type="dxa"/>
            <w:tcBorders>
              <w:top w:val="single" w:sz="12" w:space="0" w:color="auto"/>
            </w:tcBorders>
            <w:shd w:val="clear" w:color="auto" w:fill="auto"/>
            <w:vAlign w:val="center"/>
          </w:tcPr>
          <w:p w14:paraId="11A16336" w14:textId="77777777" w:rsidR="00F0236A" w:rsidRPr="00073574" w:rsidRDefault="00F0236A" w:rsidP="00B66250">
            <w:pPr>
              <w:pStyle w:val="Tabletext"/>
              <w:jc w:val="center"/>
              <w:rPr>
                <w:b/>
                <w:bCs/>
                <w:sz w:val="24"/>
                <w:szCs w:val="24"/>
              </w:rPr>
            </w:pPr>
            <w:r w:rsidRPr="00073574">
              <w:rPr>
                <w:b/>
                <w:bCs/>
                <w:sz w:val="24"/>
                <w:szCs w:val="24"/>
              </w:rPr>
              <w:t>Ongoing</w:t>
            </w:r>
          </w:p>
          <w:p w14:paraId="7767C816" w14:textId="77777777" w:rsidR="00F0236A" w:rsidRPr="00073574" w:rsidRDefault="00F0236A" w:rsidP="00B66250">
            <w:pPr>
              <w:pStyle w:val="Tabletext"/>
              <w:jc w:val="center"/>
              <w:rPr>
                <w:b/>
                <w:bCs/>
                <w:sz w:val="24"/>
                <w:szCs w:val="24"/>
              </w:rPr>
            </w:pPr>
            <w:r w:rsidRPr="00073574">
              <w:rPr>
                <w:b/>
                <w:bCs/>
                <w:sz w:val="24"/>
                <w:szCs w:val="24"/>
              </w:rPr>
              <w:t>Annual TSAG meetings, WTSA-20</w:t>
            </w:r>
          </w:p>
        </w:tc>
        <w:tc>
          <w:tcPr>
            <w:tcW w:w="1206" w:type="dxa"/>
            <w:tcBorders>
              <w:top w:val="single" w:sz="12" w:space="0" w:color="auto"/>
            </w:tcBorders>
            <w:shd w:val="clear" w:color="auto" w:fill="auto"/>
            <w:vAlign w:val="center"/>
          </w:tcPr>
          <w:p w14:paraId="6373DA0B" w14:textId="6FD74FA5" w:rsidR="00F0236A" w:rsidRPr="00073574" w:rsidRDefault="00136086" w:rsidP="00B66250">
            <w:pPr>
              <w:pStyle w:val="Tabletext"/>
              <w:jc w:val="center"/>
              <w:rPr>
                <w:rFonts w:eastAsia="Malgun Gothic"/>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6E80C11E" w14:textId="57A71E17" w:rsidR="00F0236A" w:rsidRPr="00073574" w:rsidRDefault="00750EA2" w:rsidP="00B66250">
            <w:pPr>
              <w:pStyle w:val="Tabletext"/>
              <w:jc w:val="center"/>
              <w:rPr>
                <w:rFonts w:eastAsia="Malgun Gothic"/>
                <w:b/>
                <w:bCs/>
                <w:sz w:val="24"/>
                <w:szCs w:val="24"/>
              </w:rPr>
            </w:pPr>
            <w:r w:rsidRPr="00073574">
              <w:rPr>
                <w:b/>
                <w:bCs/>
                <w:sz w:val="24"/>
                <w:szCs w:val="24"/>
              </w:rPr>
              <w:t>√</w:t>
            </w:r>
          </w:p>
        </w:tc>
      </w:tr>
      <w:tr w:rsidR="00F0236A" w:rsidRPr="00073574" w14:paraId="796B0B76" w14:textId="77777777" w:rsidTr="5D161764">
        <w:trPr>
          <w:jc w:val="center"/>
        </w:trPr>
        <w:tc>
          <w:tcPr>
            <w:tcW w:w="902" w:type="dxa"/>
            <w:vMerge/>
          </w:tcPr>
          <w:p w14:paraId="58F18DBE" w14:textId="77777777" w:rsidR="00F0236A" w:rsidRPr="00073574" w:rsidRDefault="00F0236A" w:rsidP="00701410">
            <w:pPr>
              <w:pStyle w:val="Tabletext"/>
              <w:rPr>
                <w:sz w:val="24"/>
                <w:szCs w:val="24"/>
              </w:rPr>
            </w:pPr>
          </w:p>
        </w:tc>
        <w:tc>
          <w:tcPr>
            <w:tcW w:w="8605" w:type="dxa"/>
            <w:gridSpan w:val="4"/>
            <w:tcBorders>
              <w:bottom w:val="single" w:sz="12" w:space="0" w:color="auto"/>
            </w:tcBorders>
            <w:shd w:val="clear" w:color="auto" w:fill="auto"/>
          </w:tcPr>
          <w:p w14:paraId="576524D7" w14:textId="053FBA58" w:rsidR="00005B00" w:rsidRPr="00073574" w:rsidRDefault="00005B00" w:rsidP="00005B00">
            <w:pPr>
              <w:spacing w:before="40"/>
              <w:rPr>
                <w:szCs w:val="22"/>
              </w:rPr>
            </w:pPr>
            <w:r w:rsidRPr="00073574">
              <w:rPr>
                <w:szCs w:val="22"/>
              </w:rPr>
              <w:t>Resolution 55 (Rev. Hammamet, 2016) on “Promoting gender equality in ITU Telecommunication Standardization Sector activities” instructs the TSB Director to conduct an annual review on progress made in ITU-T in advancing gender mainstreaming, and to share findings with TSAG and the next WTSA</w:t>
            </w:r>
            <w:r w:rsidR="00B217AA" w:rsidRPr="00073574">
              <w:rPr>
                <w:szCs w:val="22"/>
              </w:rPr>
              <w:t>.</w:t>
            </w:r>
          </w:p>
          <w:p w14:paraId="19193EAE" w14:textId="6AB106B9" w:rsidR="00136086" w:rsidRPr="00073574" w:rsidRDefault="00136086" w:rsidP="00B66250">
            <w:pPr>
              <w:spacing w:before="40"/>
            </w:pPr>
            <w:r w:rsidRPr="00073574">
              <w:t xml:space="preserve">TSB continues to undertake actions to improve gender equality in TSB and ITU-T. </w:t>
            </w:r>
            <w:r w:rsidRPr="00073574">
              <w:rPr>
                <w:rFonts w:eastAsia="SimSun"/>
              </w:rPr>
              <w:t>TSB has endorsed the “Gender Responsive Standards” initiative by UNECE which aims to improve gender balance in standards development and ensure that the content and impacts of standards are gender responsive.</w:t>
            </w:r>
            <w:r w:rsidRPr="00073574">
              <w:t xml:space="preserve"> Diversity of staff, gender equality and the empowerment of women continue to be among TSB</w:t>
            </w:r>
            <w:r w:rsidR="0034409A" w:rsidRPr="00073574">
              <w:t>’</w:t>
            </w:r>
            <w:r w:rsidRPr="00073574">
              <w:t>s priorities.</w:t>
            </w:r>
          </w:p>
          <w:p w14:paraId="7439E1E5" w14:textId="60B00DB5" w:rsidR="00F0236A" w:rsidRPr="00073574" w:rsidRDefault="00136086" w:rsidP="00855D58">
            <w:pPr>
              <w:pStyle w:val="Tabletext"/>
              <w:spacing w:before="120"/>
              <w:rPr>
                <w:rFonts w:eastAsia="Malgun Gothic"/>
                <w:b/>
                <w:bCs/>
                <w:szCs w:val="22"/>
              </w:rPr>
            </w:pPr>
            <w:r w:rsidRPr="00073574">
              <w:rPr>
                <w:rFonts w:eastAsia="Malgun Gothic"/>
                <w:b/>
                <w:bCs/>
                <w:szCs w:val="22"/>
              </w:rPr>
              <w:t>Current status of the annual review:</w:t>
            </w:r>
          </w:p>
          <w:p w14:paraId="7F40C590" w14:textId="78068DC8" w:rsidR="00136086" w:rsidRPr="00073574" w:rsidRDefault="00136086" w:rsidP="002E241A">
            <w:pPr>
              <w:pStyle w:val="ListParagraph"/>
              <w:numPr>
                <w:ilvl w:val="0"/>
                <w:numId w:val="70"/>
              </w:numPr>
              <w:spacing w:after="120"/>
              <w:contextualSpacing w:val="0"/>
              <w:rPr>
                <w:rFonts w:eastAsia="Malgun Gothic"/>
              </w:rPr>
            </w:pPr>
            <w:r w:rsidRPr="00073574">
              <w:rPr>
                <w:rFonts w:eastAsia="Malgun Gothic"/>
              </w:rPr>
              <w:t xml:space="preserve">Participation in ITU-T </w:t>
            </w:r>
            <w:r w:rsidR="00DC2B1D" w:rsidRPr="00073574">
              <w:rPr>
                <w:rFonts w:eastAsia="Malgun Gothic"/>
              </w:rPr>
              <w:t>statutory</w:t>
            </w:r>
            <w:r w:rsidR="000D1DC9" w:rsidRPr="00073574">
              <w:rPr>
                <w:rFonts w:eastAsia="Malgun Gothic"/>
              </w:rPr>
              <w:t xml:space="preserve"> </w:t>
            </w:r>
            <w:r w:rsidRPr="00073574">
              <w:rPr>
                <w:rFonts w:eastAsia="Malgun Gothic"/>
              </w:rPr>
              <w:t>meeting</w:t>
            </w:r>
            <w:r w:rsidR="00DC763C" w:rsidRPr="00073574">
              <w:rPr>
                <w:rFonts w:eastAsia="Malgun Gothic"/>
              </w:rPr>
              <w:t>s</w:t>
            </w:r>
            <w:r w:rsidRPr="00073574">
              <w:rPr>
                <w:rFonts w:eastAsia="Malgun Gothic"/>
              </w:rPr>
              <w:t xml:space="preserve">: </w:t>
            </w:r>
            <w:r w:rsidR="00DC2B1D" w:rsidRPr="00073574">
              <w:rPr>
                <w:rFonts w:eastAsia="Malgun Gothic"/>
              </w:rPr>
              <w:t>26</w:t>
            </w:r>
            <w:r w:rsidRPr="00073574">
              <w:rPr>
                <w:rFonts w:eastAsia="Malgun Gothic"/>
              </w:rPr>
              <w:t>% are women</w:t>
            </w:r>
            <w:r w:rsidR="005C7DA6" w:rsidRPr="00073574">
              <w:rPr>
                <w:rFonts w:eastAsia="Malgun Gothic"/>
              </w:rPr>
              <w:t>. The number is higher in non-statuto</w:t>
            </w:r>
            <w:r w:rsidR="007C791B" w:rsidRPr="00073574">
              <w:rPr>
                <w:rFonts w:eastAsia="Malgun Gothic"/>
              </w:rPr>
              <w:t>ry meetings</w:t>
            </w:r>
            <w:r w:rsidR="008E0EFA" w:rsidRPr="00073574">
              <w:rPr>
                <w:rFonts w:eastAsia="Malgun Gothic"/>
              </w:rPr>
              <w:t>, approximately 35%</w:t>
            </w:r>
            <w:r w:rsidR="00B92B76" w:rsidRPr="00073574">
              <w:rPr>
                <w:rFonts w:eastAsia="Malgun Gothic"/>
              </w:rPr>
              <w:t>.</w:t>
            </w:r>
          </w:p>
          <w:p w14:paraId="6FFB10D6" w14:textId="59117972" w:rsidR="00136086" w:rsidRPr="00073574" w:rsidRDefault="00136086" w:rsidP="002E241A">
            <w:pPr>
              <w:pStyle w:val="ListParagraph"/>
              <w:numPr>
                <w:ilvl w:val="0"/>
                <w:numId w:val="70"/>
              </w:numPr>
              <w:spacing w:after="120"/>
              <w:contextualSpacing w:val="0"/>
              <w:rPr>
                <w:rFonts w:eastAsia="Malgun Gothic"/>
              </w:rPr>
            </w:pPr>
            <w:r w:rsidRPr="00073574">
              <w:rPr>
                <w:rFonts w:eastAsia="Malgun Gothic"/>
              </w:rPr>
              <w:t>Leadership positions (Chairmen &amp; Vice Chair</w:t>
            </w:r>
            <w:r w:rsidR="009C6D54" w:rsidRPr="00073574">
              <w:rPr>
                <w:rFonts w:eastAsia="Malgun Gothic"/>
              </w:rPr>
              <w:t>men</w:t>
            </w:r>
            <w:r w:rsidRPr="00073574">
              <w:rPr>
                <w:rFonts w:eastAsia="Malgun Gothic"/>
              </w:rPr>
              <w:t xml:space="preserve">): trends moving upwards </w:t>
            </w:r>
            <w:r w:rsidR="000537F5" w:rsidRPr="00073574">
              <w:rPr>
                <w:rFonts w:eastAsia="Malgun Gothic"/>
              </w:rPr>
              <w:t>currently</w:t>
            </w:r>
            <w:r w:rsidR="00F94AE9" w:rsidRPr="00073574">
              <w:rPr>
                <w:rFonts w:eastAsia="Malgun Gothic"/>
              </w:rPr>
              <w:t xml:space="preserve"> at 18%</w:t>
            </w:r>
            <w:r w:rsidRPr="00073574">
              <w:rPr>
                <w:rFonts w:eastAsia="Malgun Gothic"/>
              </w:rPr>
              <w:t>. Still work to be done.</w:t>
            </w:r>
          </w:p>
          <w:p w14:paraId="48F4471B" w14:textId="5C2C2C83" w:rsidR="00284CD5" w:rsidRPr="00073574" w:rsidRDefault="00284CD5" w:rsidP="002E241A">
            <w:pPr>
              <w:pStyle w:val="ListParagraph"/>
              <w:numPr>
                <w:ilvl w:val="0"/>
                <w:numId w:val="70"/>
              </w:numPr>
              <w:spacing w:after="120"/>
              <w:contextualSpacing w:val="0"/>
              <w:rPr>
                <w:rFonts w:eastAsia="Malgun Gothic"/>
              </w:rPr>
            </w:pPr>
            <w:r w:rsidRPr="00073574">
              <w:rPr>
                <w:rFonts w:eastAsia="Malgun Gothic"/>
              </w:rPr>
              <w:lastRenderedPageBreak/>
              <w:t>Staffing: Currently, 5</w:t>
            </w:r>
            <w:r w:rsidR="00863E66" w:rsidRPr="00073574">
              <w:rPr>
                <w:rFonts w:eastAsia="Malgun Gothic"/>
              </w:rPr>
              <w:t>3</w:t>
            </w:r>
            <w:r w:rsidRPr="00073574">
              <w:rPr>
                <w:rFonts w:eastAsia="Malgun Gothic"/>
              </w:rPr>
              <w:t>% of TSB staff are women; 4</w:t>
            </w:r>
            <w:r w:rsidR="004B69DE" w:rsidRPr="00073574">
              <w:rPr>
                <w:rFonts w:eastAsia="Malgun Gothic"/>
              </w:rPr>
              <w:t>5</w:t>
            </w:r>
            <w:r w:rsidRPr="00073574">
              <w:rPr>
                <w:rFonts w:eastAsia="Malgun Gothic"/>
              </w:rPr>
              <w:t>% of staff in the professional category are women.</w:t>
            </w:r>
          </w:p>
          <w:p w14:paraId="66C3F300" w14:textId="6E949567" w:rsidR="00284CD5" w:rsidRPr="00073574" w:rsidRDefault="00284CD5" w:rsidP="002E241A">
            <w:pPr>
              <w:pStyle w:val="ListParagraph"/>
              <w:numPr>
                <w:ilvl w:val="0"/>
                <w:numId w:val="70"/>
              </w:numPr>
              <w:spacing w:after="120"/>
              <w:contextualSpacing w:val="0"/>
              <w:rPr>
                <w:rFonts w:eastAsia="Malgun Gothic"/>
              </w:rPr>
            </w:pPr>
            <w:r w:rsidRPr="00073574">
              <w:rPr>
                <w:rFonts w:eastAsia="Malgun Gothic"/>
              </w:rPr>
              <w:t>Training &amp; Development: Staff in Study Group leadership positions on adopting a gender sensitive language in all documents &amp; encouraging more and active participation of women in ITU events. Leadership skills for women in the professional category.</w:t>
            </w:r>
          </w:p>
          <w:p w14:paraId="55348096" w14:textId="1B27DCAA" w:rsidR="00A11BA7" w:rsidRPr="00073574" w:rsidRDefault="00A11BA7" w:rsidP="002E241A">
            <w:pPr>
              <w:pStyle w:val="ListParagraph"/>
              <w:numPr>
                <w:ilvl w:val="0"/>
                <w:numId w:val="70"/>
              </w:numPr>
              <w:spacing w:after="120"/>
              <w:contextualSpacing w:val="0"/>
              <w:rPr>
                <w:rFonts w:eastAsia="Malgun Gothic"/>
              </w:rPr>
            </w:pPr>
            <w:r w:rsidRPr="00073574">
              <w:rPr>
                <w:rFonts w:eastAsia="Malgun Gothic"/>
              </w:rPr>
              <w:t>Promotions: The number of female staff in the professional category has more than quadrupled over the last 10 years. Currently 50% of staff at P5 level are women.  In the Study Group department, the core of TSB’s work, 75% of staff at P5 level are women. From 2016 to 20</w:t>
            </w:r>
            <w:r w:rsidR="006B3899" w:rsidRPr="00073574">
              <w:rPr>
                <w:rFonts w:eastAsia="Malgun Gothic"/>
              </w:rPr>
              <w:t>21</w:t>
            </w:r>
            <w:r w:rsidRPr="00073574">
              <w:rPr>
                <w:rFonts w:eastAsia="Malgun Gothic"/>
              </w:rPr>
              <w:t xml:space="preserve">, </w:t>
            </w:r>
            <w:r w:rsidR="006B3899" w:rsidRPr="00073574">
              <w:rPr>
                <w:rFonts w:eastAsia="Malgun Gothic"/>
              </w:rPr>
              <w:t>5</w:t>
            </w:r>
            <w:r w:rsidRPr="00073574">
              <w:rPr>
                <w:rFonts w:eastAsia="Malgun Gothic"/>
              </w:rPr>
              <w:t>0% of promotions in TSB were awarded to qualified women in the professional category.</w:t>
            </w:r>
            <w:r w:rsidR="00F907EA" w:rsidRPr="00073574">
              <w:rPr>
                <w:rFonts w:eastAsia="Malgun Gothic"/>
              </w:rPr>
              <w:t xml:space="preserve"> In 2019, 80 per cent of promotion</w:t>
            </w:r>
            <w:r w:rsidR="00653799" w:rsidRPr="00073574">
              <w:rPr>
                <w:rFonts w:eastAsia="Malgun Gothic"/>
              </w:rPr>
              <w:t>s</w:t>
            </w:r>
            <w:r w:rsidR="00F907EA" w:rsidRPr="00073574">
              <w:rPr>
                <w:rFonts w:eastAsia="Malgun Gothic"/>
              </w:rPr>
              <w:t xml:space="preserve"> into higher grades in TSB were awarded to women mainly in the professional category.</w:t>
            </w:r>
          </w:p>
          <w:p w14:paraId="370C95E5" w14:textId="4E3D352F" w:rsidR="00136086" w:rsidRPr="00073574" w:rsidRDefault="00136086" w:rsidP="00B66250">
            <w:pPr>
              <w:spacing w:after="120"/>
              <w:rPr>
                <w:rFonts w:eastAsia="Malgun Gothic"/>
                <w:b/>
                <w:bCs/>
                <w:szCs w:val="22"/>
              </w:rPr>
            </w:pPr>
            <w:r w:rsidRPr="00073574">
              <w:rPr>
                <w:rFonts w:eastAsia="Malgun Gothic"/>
                <w:b/>
                <w:bCs/>
                <w:szCs w:val="22"/>
              </w:rPr>
              <w:t>Actions by the Secretariat:</w:t>
            </w:r>
          </w:p>
          <w:p w14:paraId="27D2594E" w14:textId="1D2E1E0C" w:rsidR="00136086" w:rsidRPr="00073574" w:rsidRDefault="00136086" w:rsidP="002E241A">
            <w:pPr>
              <w:pStyle w:val="ListParagraph"/>
              <w:numPr>
                <w:ilvl w:val="0"/>
                <w:numId w:val="70"/>
              </w:numPr>
              <w:spacing w:after="120"/>
              <w:contextualSpacing w:val="0"/>
              <w:rPr>
                <w:rFonts w:eastAsia="Malgun Gothic"/>
              </w:rPr>
            </w:pPr>
            <w:r w:rsidRPr="00073574">
              <w:rPr>
                <w:rFonts w:eastAsia="Malgun Gothic"/>
              </w:rPr>
              <w:t>BSG trainings to encourage active participation of women from developing countries;</w:t>
            </w:r>
          </w:p>
          <w:p w14:paraId="0B2357E2" w14:textId="1BEDE3DE" w:rsidR="00136086" w:rsidRPr="00073574" w:rsidRDefault="002325F9" w:rsidP="00924D7F">
            <w:pPr>
              <w:pStyle w:val="ListParagraph"/>
              <w:numPr>
                <w:ilvl w:val="0"/>
                <w:numId w:val="70"/>
              </w:numPr>
              <w:spacing w:after="120"/>
              <w:contextualSpacing w:val="0"/>
              <w:rPr>
                <w:rFonts w:eastAsia="Malgun Gothic"/>
              </w:rPr>
            </w:pPr>
            <w:r w:rsidRPr="00073574">
              <w:rPr>
                <w:rFonts w:eastAsia="Malgun Gothic"/>
              </w:rPr>
              <w:t>Gender</w:t>
            </w:r>
            <w:r w:rsidR="00C75AAC" w:rsidRPr="00073574">
              <w:rPr>
                <w:rFonts w:eastAsia="Malgun Gothic"/>
              </w:rPr>
              <w:t xml:space="preserve"> aspect</w:t>
            </w:r>
            <w:r w:rsidR="00D60F75" w:rsidRPr="00073574">
              <w:rPr>
                <w:rFonts w:eastAsia="Malgun Gothic"/>
              </w:rPr>
              <w:t xml:space="preserve"> considered</w:t>
            </w:r>
            <w:r w:rsidR="00136086" w:rsidRPr="00073574">
              <w:rPr>
                <w:rFonts w:eastAsia="Malgun Gothic"/>
              </w:rPr>
              <w:t xml:space="preserve"> when awarding fellowships to attend ITU-T meeting;</w:t>
            </w:r>
            <w:r w:rsidR="004071CF" w:rsidRPr="00073574">
              <w:rPr>
                <w:rFonts w:eastAsia="Malgun Gothic"/>
              </w:rPr>
              <w:t xml:space="preserve"> </w:t>
            </w:r>
            <w:r w:rsidR="00691A06" w:rsidRPr="00073574">
              <w:rPr>
                <w:rFonts w:eastAsia="Malgun Gothic"/>
              </w:rPr>
              <w:t>24%</w:t>
            </w:r>
            <w:r w:rsidR="00C204A8" w:rsidRPr="00073574">
              <w:rPr>
                <w:rFonts w:eastAsia="Malgun Gothic"/>
              </w:rPr>
              <w:t xml:space="preserve"> of fellowship</w:t>
            </w:r>
            <w:r w:rsidR="00924D7F" w:rsidRPr="00073574">
              <w:rPr>
                <w:rFonts w:eastAsia="Malgun Gothic"/>
              </w:rPr>
              <w:t xml:space="preserve">s </w:t>
            </w:r>
            <w:r w:rsidR="00C204A8" w:rsidRPr="00073574">
              <w:rPr>
                <w:rFonts w:eastAsia="Malgun Gothic"/>
              </w:rPr>
              <w:t>from 2017 to 2020 wer</w:t>
            </w:r>
            <w:r w:rsidR="00924D7F" w:rsidRPr="00073574">
              <w:rPr>
                <w:rFonts w:eastAsia="Malgun Gothic"/>
              </w:rPr>
              <w:t xml:space="preserve">e awarded to women. Still work to be done. </w:t>
            </w:r>
            <w:r w:rsidR="00136086" w:rsidRPr="00073574">
              <w:rPr>
                <w:rFonts w:eastAsia="Malgun Gothic"/>
              </w:rPr>
              <w:t>Topics on gender in various ITU-T initiatives, climate change, E-Waste, Kaleidoscope, AI for Good, etc.;</w:t>
            </w:r>
          </w:p>
          <w:p w14:paraId="217B76F8" w14:textId="77777777" w:rsidR="00136086" w:rsidRPr="00073574" w:rsidRDefault="00136086" w:rsidP="002E241A">
            <w:pPr>
              <w:pStyle w:val="ListParagraph"/>
              <w:numPr>
                <w:ilvl w:val="0"/>
                <w:numId w:val="70"/>
              </w:numPr>
              <w:spacing w:after="120"/>
              <w:contextualSpacing w:val="0"/>
              <w:rPr>
                <w:rFonts w:eastAsia="Malgun Gothic"/>
              </w:rPr>
            </w:pPr>
            <w:r w:rsidRPr="00073574">
              <w:rPr>
                <w:rFonts w:eastAsia="Malgun Gothic"/>
              </w:rPr>
              <w:t>Various IT tools developed in-house to track and encourage active participation of men and women in ITU-T meetings, e.g. voice recognition platform.</w:t>
            </w:r>
          </w:p>
          <w:p w14:paraId="20FB31D9" w14:textId="7EC2E65E" w:rsidR="00136086" w:rsidRPr="00073574" w:rsidRDefault="00136086">
            <w:pPr>
              <w:spacing w:after="120"/>
              <w:rPr>
                <w:rFonts w:eastAsia="Malgun Gothic"/>
                <w:b/>
                <w:bCs/>
                <w:szCs w:val="22"/>
              </w:rPr>
            </w:pPr>
            <w:r w:rsidRPr="00073574">
              <w:rPr>
                <w:rFonts w:eastAsia="Malgun Gothic"/>
                <w:b/>
                <w:bCs/>
                <w:szCs w:val="22"/>
              </w:rPr>
              <w:t>Members encouraged:</w:t>
            </w:r>
          </w:p>
          <w:p w14:paraId="390766BE" w14:textId="7B425E9B" w:rsidR="00136086" w:rsidRPr="00073574" w:rsidRDefault="00136086" w:rsidP="002E241A">
            <w:pPr>
              <w:pStyle w:val="ListParagraph"/>
              <w:numPr>
                <w:ilvl w:val="0"/>
                <w:numId w:val="70"/>
              </w:numPr>
              <w:spacing w:after="120"/>
              <w:contextualSpacing w:val="0"/>
              <w:rPr>
                <w:rFonts w:eastAsia="Malgun Gothic"/>
              </w:rPr>
            </w:pPr>
            <w:r w:rsidRPr="00073574">
              <w:rPr>
                <w:rFonts w:eastAsia="Malgun Gothic"/>
              </w:rPr>
              <w:t>Member States encouraged to submit candidatures of qualified women for ITU-T leadership positions and nominate women as heads of delegations;</w:t>
            </w:r>
          </w:p>
          <w:p w14:paraId="17AAD7B3" w14:textId="77777777" w:rsidR="00136086" w:rsidRPr="00073574" w:rsidRDefault="00136086" w:rsidP="002E241A">
            <w:pPr>
              <w:pStyle w:val="ListParagraph"/>
              <w:numPr>
                <w:ilvl w:val="0"/>
                <w:numId w:val="70"/>
              </w:numPr>
              <w:spacing w:after="120"/>
              <w:contextualSpacing w:val="0"/>
              <w:rPr>
                <w:rFonts w:eastAsia="Malgun Gothic"/>
              </w:rPr>
            </w:pPr>
            <w:r w:rsidRPr="00073574">
              <w:rPr>
                <w:rFonts w:eastAsia="Malgun Gothic"/>
              </w:rPr>
              <w:t>Sector Members encouraged to nominate women expert speakers for ITU-T events panels</w:t>
            </w:r>
            <w:r w:rsidR="00E56939" w:rsidRPr="00073574">
              <w:rPr>
                <w:rFonts w:eastAsia="Malgun Gothic"/>
              </w:rPr>
              <w:t>.</w:t>
            </w:r>
          </w:p>
          <w:p w14:paraId="37EC7985" w14:textId="32301FD8" w:rsidR="00E56939" w:rsidRPr="00073574" w:rsidRDefault="00E56939">
            <w:pPr>
              <w:spacing w:after="120"/>
              <w:ind w:left="357"/>
              <w:rPr>
                <w:rFonts w:eastAsia="Malgun Gothic"/>
                <w:szCs w:val="22"/>
              </w:rPr>
            </w:pPr>
            <w:r w:rsidRPr="00073574">
              <w:rPr>
                <w:rFonts w:eastAsia="Malgun Gothic"/>
                <w:szCs w:val="22"/>
              </w:rPr>
              <w:t>See also action item 55-01.</w:t>
            </w:r>
          </w:p>
          <w:p w14:paraId="4B3D1149" w14:textId="7F4A4820" w:rsidR="00136086" w:rsidRPr="00073574" w:rsidRDefault="00136086" w:rsidP="00B45B40">
            <w:pPr>
              <w:keepNext/>
              <w:keepLines/>
              <w:spacing w:after="120"/>
              <w:rPr>
                <w:rFonts w:eastAsia="Malgun Gothic"/>
                <w:szCs w:val="22"/>
              </w:rPr>
            </w:pPr>
            <w:r w:rsidRPr="00073574">
              <w:rPr>
                <w:rFonts w:eastAsia="Malgun Gothic"/>
                <w:b/>
                <w:bCs/>
                <w:szCs w:val="22"/>
              </w:rPr>
              <w:t>Collaboration &amp; Partnerships:</w:t>
            </w:r>
          </w:p>
          <w:p w14:paraId="00CCF09F" w14:textId="4A92BB68" w:rsidR="00136086" w:rsidRPr="00073574" w:rsidRDefault="00136086" w:rsidP="00B45B40">
            <w:pPr>
              <w:keepNext/>
              <w:keepLines/>
              <w:numPr>
                <w:ilvl w:val="0"/>
                <w:numId w:val="81"/>
              </w:numPr>
              <w:spacing w:after="120"/>
              <w:rPr>
                <w:rFonts w:eastAsia="Malgun Gothic"/>
              </w:rPr>
            </w:pPr>
            <w:r w:rsidRPr="00073574">
              <w:rPr>
                <w:rFonts w:eastAsia="Malgun Gothic"/>
              </w:rPr>
              <w:t>The secretariat partners and collaborates with other UN agencies UNECE, ISO, IEC, CEN –CENELEC and many SDOs &amp; National Standard Bodies to move the gender agenda forward.</w:t>
            </w:r>
          </w:p>
          <w:p w14:paraId="587BBBB4" w14:textId="77777777" w:rsidR="00FE03CB" w:rsidRPr="00073574" w:rsidRDefault="00136086" w:rsidP="002E241A">
            <w:pPr>
              <w:numPr>
                <w:ilvl w:val="0"/>
                <w:numId w:val="81"/>
              </w:numPr>
              <w:spacing w:after="120"/>
              <w:rPr>
                <w:rFonts w:eastAsia="Malgun Gothic"/>
              </w:rPr>
            </w:pPr>
            <w:r w:rsidRPr="00073574">
              <w:rPr>
                <w:rFonts w:eastAsia="Malgun Gothic"/>
              </w:rPr>
              <w:t>In 2019, endorsed the UNECE Gender Responsive Standards Initiative, committing to ensuring that the content and impact of implemented standards are gender responsive.</w:t>
            </w:r>
          </w:p>
          <w:p w14:paraId="45D78DE3" w14:textId="3CC7A117" w:rsidR="008F3481" w:rsidRPr="00073574" w:rsidRDefault="00FE03CB" w:rsidP="00056B0F">
            <w:pPr>
              <w:spacing w:after="120"/>
              <w:rPr>
                <w:rFonts w:eastAsia="Malgun Gothic"/>
                <w:szCs w:val="22"/>
              </w:rPr>
            </w:pPr>
            <w:r w:rsidRPr="00073574">
              <w:rPr>
                <w:rFonts w:eastAsia="Malgun Gothic"/>
                <w:b/>
                <w:bCs/>
                <w:szCs w:val="22"/>
              </w:rPr>
              <w:t xml:space="preserve">Planned </w:t>
            </w:r>
            <w:r w:rsidR="009F6FF0" w:rsidRPr="00073574">
              <w:rPr>
                <w:rFonts w:eastAsia="Malgun Gothic"/>
                <w:b/>
                <w:bCs/>
                <w:szCs w:val="22"/>
              </w:rPr>
              <w:t>event and a</w:t>
            </w:r>
            <w:r w:rsidRPr="00073574">
              <w:rPr>
                <w:rFonts w:eastAsia="Malgun Gothic"/>
                <w:b/>
                <w:bCs/>
                <w:szCs w:val="22"/>
              </w:rPr>
              <w:t xml:space="preserve">ward </w:t>
            </w:r>
            <w:r w:rsidR="009F6FF0" w:rsidRPr="00073574">
              <w:rPr>
                <w:rFonts w:eastAsia="Malgun Gothic"/>
                <w:b/>
                <w:bCs/>
                <w:szCs w:val="22"/>
              </w:rPr>
              <w:t>c</w:t>
            </w:r>
            <w:r w:rsidRPr="00073574">
              <w:rPr>
                <w:rFonts w:eastAsia="Malgun Gothic"/>
                <w:b/>
                <w:bCs/>
                <w:szCs w:val="22"/>
              </w:rPr>
              <w:t>eremony at WTSA-20</w:t>
            </w:r>
            <w:r w:rsidR="001E68C0" w:rsidRPr="00073574">
              <w:rPr>
                <w:rFonts w:eastAsia="Malgun Gothic"/>
                <w:b/>
                <w:bCs/>
                <w:szCs w:val="22"/>
              </w:rPr>
              <w:t>.</w:t>
            </w:r>
          </w:p>
        </w:tc>
      </w:tr>
      <w:tr w:rsidR="00F0236A" w:rsidRPr="00073574" w14:paraId="56EF1675" w14:textId="77777777" w:rsidTr="0085771B">
        <w:trPr>
          <w:jc w:val="center"/>
        </w:trPr>
        <w:tc>
          <w:tcPr>
            <w:tcW w:w="902" w:type="dxa"/>
            <w:vMerge w:val="restart"/>
            <w:tcBorders>
              <w:top w:val="single" w:sz="12" w:space="0" w:color="auto"/>
            </w:tcBorders>
            <w:shd w:val="clear" w:color="auto" w:fill="auto"/>
          </w:tcPr>
          <w:p w14:paraId="1AA3B172" w14:textId="77777777" w:rsidR="00F0236A" w:rsidRPr="00073574" w:rsidRDefault="00F0236A" w:rsidP="00DF36E1">
            <w:pPr>
              <w:pStyle w:val="Tabletext"/>
              <w:rPr>
                <w:b/>
                <w:bCs/>
                <w:sz w:val="24"/>
                <w:szCs w:val="24"/>
              </w:rPr>
            </w:pPr>
            <w:r w:rsidRPr="00073574">
              <w:rPr>
                <w:b/>
                <w:bCs/>
                <w:sz w:val="24"/>
                <w:szCs w:val="24"/>
              </w:rPr>
              <w:lastRenderedPageBreak/>
              <w:t>55-06</w:t>
            </w:r>
          </w:p>
        </w:tc>
        <w:tc>
          <w:tcPr>
            <w:tcW w:w="4437" w:type="dxa"/>
            <w:tcBorders>
              <w:top w:val="single" w:sz="12" w:space="0" w:color="auto"/>
            </w:tcBorders>
            <w:shd w:val="clear" w:color="auto" w:fill="auto"/>
            <w:hideMark/>
          </w:tcPr>
          <w:p w14:paraId="14DB1465" w14:textId="77777777" w:rsidR="00F0236A" w:rsidRPr="00073574" w:rsidRDefault="00F0236A" w:rsidP="00DF36E1">
            <w:pPr>
              <w:pStyle w:val="Tabletext"/>
              <w:rPr>
                <w:b/>
                <w:bCs/>
                <w:sz w:val="24"/>
                <w:szCs w:val="24"/>
              </w:rPr>
            </w:pPr>
            <w:r w:rsidRPr="00073574">
              <w:rPr>
                <w:b/>
                <w:bCs/>
                <w:sz w:val="24"/>
                <w:szCs w:val="24"/>
              </w:rPr>
              <w:t>Sec-Gen to comply with the UNSWAP reporting obligations on the ITU-T activities aimed at promoting gender equality and the empowerment of women, and encourage ITU staff to avoid as much as possible gender-specific language. (i. SecGen 1, 2)</w:t>
            </w:r>
          </w:p>
        </w:tc>
        <w:tc>
          <w:tcPr>
            <w:tcW w:w="1626" w:type="dxa"/>
            <w:tcBorders>
              <w:top w:val="single" w:sz="12" w:space="0" w:color="auto"/>
            </w:tcBorders>
            <w:shd w:val="clear" w:color="auto" w:fill="auto"/>
            <w:vAlign w:val="center"/>
            <w:hideMark/>
          </w:tcPr>
          <w:p w14:paraId="33AA2016" w14:textId="77777777" w:rsidR="00F0236A" w:rsidRPr="00073574" w:rsidRDefault="00F0236A" w:rsidP="00DF36E1">
            <w:pPr>
              <w:pStyle w:val="Tabletext"/>
              <w:jc w:val="center"/>
              <w:rPr>
                <w:b/>
                <w:bCs/>
                <w:sz w:val="24"/>
                <w:szCs w:val="24"/>
              </w:rPr>
            </w:pPr>
            <w:r w:rsidRPr="00073574">
              <w:rPr>
                <w:b/>
                <w:bCs/>
                <w:sz w:val="24"/>
                <w:szCs w:val="24"/>
              </w:rPr>
              <w:t>Ongoing</w:t>
            </w:r>
          </w:p>
        </w:tc>
        <w:tc>
          <w:tcPr>
            <w:tcW w:w="1206" w:type="dxa"/>
            <w:tcBorders>
              <w:top w:val="single" w:sz="12" w:space="0" w:color="auto"/>
            </w:tcBorders>
            <w:shd w:val="clear" w:color="auto" w:fill="auto"/>
            <w:vAlign w:val="center"/>
          </w:tcPr>
          <w:p w14:paraId="209DCB14" w14:textId="6E667800" w:rsidR="00F0236A" w:rsidRPr="00073574" w:rsidRDefault="00023AEB" w:rsidP="00DF36E1">
            <w:pPr>
              <w:pStyle w:val="Tabletext"/>
              <w:jc w:val="center"/>
              <w:rPr>
                <w:rFonts w:eastAsia="Malgun Gothic"/>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608484FF" w14:textId="77777777" w:rsidR="00F0236A" w:rsidRPr="00073574" w:rsidRDefault="00F0236A" w:rsidP="00DF36E1">
            <w:pPr>
              <w:pStyle w:val="Tabletext"/>
              <w:jc w:val="center"/>
              <w:rPr>
                <w:rFonts w:eastAsia="Malgun Gothic"/>
                <w:b/>
                <w:bCs/>
                <w:sz w:val="24"/>
                <w:szCs w:val="24"/>
              </w:rPr>
            </w:pPr>
          </w:p>
        </w:tc>
      </w:tr>
      <w:tr w:rsidR="00F0236A" w:rsidRPr="00073574" w14:paraId="4470D2A6" w14:textId="77777777" w:rsidTr="5D161764">
        <w:trPr>
          <w:jc w:val="center"/>
        </w:trPr>
        <w:tc>
          <w:tcPr>
            <w:tcW w:w="902" w:type="dxa"/>
            <w:vMerge/>
          </w:tcPr>
          <w:p w14:paraId="2D3D6EF5" w14:textId="77777777" w:rsidR="00F0236A" w:rsidRPr="00073574" w:rsidRDefault="00F0236A" w:rsidP="00DF36E1">
            <w:pPr>
              <w:pStyle w:val="Tabletext"/>
              <w:rPr>
                <w:sz w:val="24"/>
                <w:szCs w:val="24"/>
              </w:rPr>
            </w:pPr>
          </w:p>
        </w:tc>
        <w:tc>
          <w:tcPr>
            <w:tcW w:w="8605" w:type="dxa"/>
            <w:gridSpan w:val="4"/>
            <w:tcBorders>
              <w:bottom w:val="single" w:sz="12" w:space="0" w:color="auto"/>
            </w:tcBorders>
            <w:shd w:val="clear" w:color="auto" w:fill="auto"/>
          </w:tcPr>
          <w:p w14:paraId="0B0A1E07" w14:textId="54C9E5A2" w:rsidR="00023AEB" w:rsidRPr="00073574" w:rsidRDefault="00023AEB" w:rsidP="00023AEB">
            <w:pPr>
              <w:pStyle w:val="Tabletext"/>
              <w:rPr>
                <w:rFonts w:eastAsiaTheme="minorHAnsi"/>
                <w:szCs w:val="22"/>
              </w:rPr>
            </w:pPr>
            <w:r w:rsidRPr="00073574">
              <w:t>ITU S</w:t>
            </w:r>
            <w:r w:rsidR="00F907EA" w:rsidRPr="00073574">
              <w:t>ec-</w:t>
            </w:r>
            <w:r w:rsidRPr="00073574">
              <w:t>G</w:t>
            </w:r>
            <w:r w:rsidR="00F907EA" w:rsidRPr="00073574">
              <w:t>en</w:t>
            </w:r>
            <w:r w:rsidRPr="00073574">
              <w:t xml:space="preserve"> has complied with UN SWAP reporting obligations. ITU has been reporting on the United Nations System-Wide Action Plan on Gender Equality and the Empowerment of Women (UN-SWAP) since its endorsement by the CEB in 2012. ITU was commended for implementing new mandatory gender training as well for reporting UN-SWAP results to the </w:t>
            </w:r>
            <w:r w:rsidRPr="00073574">
              <w:lastRenderedPageBreak/>
              <w:t>Council. ITU continues efforts to incorporate a gender perspective in the work programmes, management approaches, and human resource development of the Union. For example, a gender element has now been incorporated into the staff electronic performance management and development system (ePMDS).</w:t>
            </w:r>
          </w:p>
          <w:p w14:paraId="28D6686C" w14:textId="3D26C219" w:rsidR="00F0236A" w:rsidRPr="00073574" w:rsidRDefault="00023AEB" w:rsidP="00023AEB">
            <w:pPr>
              <w:pStyle w:val="Tabletext"/>
              <w:rPr>
                <w:rFonts w:eastAsia="Malgun Gothic"/>
                <w:szCs w:val="22"/>
              </w:rPr>
            </w:pPr>
            <w:r w:rsidRPr="00073574">
              <w:t xml:space="preserve">The Director of TSB, </w:t>
            </w:r>
            <w:r w:rsidR="00416E1C" w:rsidRPr="00073574">
              <w:t>M</w:t>
            </w:r>
            <w:r w:rsidRPr="00073574">
              <w:t>r Chaesub Lee, continues to undertake actions to improve gender equality in TSB and ITU-T.</w:t>
            </w:r>
          </w:p>
        </w:tc>
      </w:tr>
      <w:tr w:rsidR="00F0236A" w:rsidRPr="00073574" w14:paraId="6049A658" w14:textId="77777777" w:rsidTr="00B66250">
        <w:trPr>
          <w:jc w:val="center"/>
        </w:trPr>
        <w:tc>
          <w:tcPr>
            <w:tcW w:w="902" w:type="dxa"/>
            <w:vMerge w:val="restart"/>
            <w:tcBorders>
              <w:top w:val="single" w:sz="12" w:space="0" w:color="auto"/>
            </w:tcBorders>
            <w:shd w:val="clear" w:color="auto" w:fill="auto"/>
          </w:tcPr>
          <w:p w14:paraId="374DF4DC" w14:textId="77777777" w:rsidR="00F0236A" w:rsidRPr="00073574" w:rsidRDefault="00F0236A" w:rsidP="00B66250">
            <w:pPr>
              <w:pStyle w:val="Tabletext"/>
              <w:keepNext/>
              <w:keepLines/>
              <w:rPr>
                <w:b/>
                <w:bCs/>
                <w:sz w:val="24"/>
                <w:szCs w:val="24"/>
              </w:rPr>
            </w:pPr>
            <w:r w:rsidRPr="00073574">
              <w:rPr>
                <w:b/>
                <w:bCs/>
                <w:sz w:val="24"/>
                <w:szCs w:val="24"/>
              </w:rPr>
              <w:lastRenderedPageBreak/>
              <w:t>55-07</w:t>
            </w:r>
          </w:p>
        </w:tc>
        <w:tc>
          <w:tcPr>
            <w:tcW w:w="4437" w:type="dxa"/>
            <w:tcBorders>
              <w:top w:val="single" w:sz="12" w:space="0" w:color="auto"/>
            </w:tcBorders>
            <w:shd w:val="clear" w:color="auto" w:fill="auto"/>
          </w:tcPr>
          <w:p w14:paraId="44B76B7F" w14:textId="77777777" w:rsidR="00F0236A" w:rsidRPr="00073574" w:rsidRDefault="00F0236A" w:rsidP="00B66250">
            <w:pPr>
              <w:pStyle w:val="Tabletext"/>
              <w:keepNext/>
              <w:keepLines/>
              <w:rPr>
                <w:b/>
                <w:bCs/>
                <w:sz w:val="24"/>
                <w:szCs w:val="24"/>
              </w:rPr>
            </w:pPr>
            <w:r w:rsidRPr="00073574">
              <w:rPr>
                <w:b/>
                <w:bCs/>
                <w:sz w:val="24"/>
                <w:szCs w:val="24"/>
              </w:rPr>
              <w:t>TSB Director to join the ITU Secretary General in participating the Planet 50/50 initiative. (i. TSBDir 8)</w:t>
            </w:r>
          </w:p>
        </w:tc>
        <w:tc>
          <w:tcPr>
            <w:tcW w:w="1626" w:type="dxa"/>
            <w:tcBorders>
              <w:top w:val="single" w:sz="12" w:space="0" w:color="auto"/>
            </w:tcBorders>
            <w:shd w:val="clear" w:color="auto" w:fill="auto"/>
            <w:vAlign w:val="center"/>
          </w:tcPr>
          <w:p w14:paraId="4BA3BD3B" w14:textId="77777777" w:rsidR="00F0236A" w:rsidRPr="00073574" w:rsidRDefault="00F0236A" w:rsidP="00B66250">
            <w:pPr>
              <w:pStyle w:val="Tabletext"/>
              <w:keepNext/>
              <w:keepLines/>
              <w:jc w:val="center"/>
              <w:rPr>
                <w:b/>
                <w:bCs/>
                <w:sz w:val="24"/>
                <w:szCs w:val="24"/>
              </w:rPr>
            </w:pPr>
            <w:r w:rsidRPr="00073574">
              <w:rPr>
                <w:b/>
                <w:bCs/>
                <w:sz w:val="24"/>
                <w:szCs w:val="24"/>
              </w:rPr>
              <w:t>Ongoing</w:t>
            </w:r>
          </w:p>
        </w:tc>
        <w:tc>
          <w:tcPr>
            <w:tcW w:w="1206" w:type="dxa"/>
            <w:tcBorders>
              <w:top w:val="single" w:sz="12" w:space="0" w:color="auto"/>
            </w:tcBorders>
            <w:shd w:val="clear" w:color="auto" w:fill="auto"/>
            <w:vAlign w:val="center"/>
          </w:tcPr>
          <w:p w14:paraId="639F4EF5" w14:textId="77777777" w:rsidR="00F0236A" w:rsidRPr="00073574" w:rsidDel="002E51D5" w:rsidRDefault="00F0236A" w:rsidP="00B66250">
            <w:pPr>
              <w:pStyle w:val="Tabletext"/>
              <w:keepNext/>
              <w:keepLines/>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71A4F4A1" w14:textId="77777777" w:rsidR="00F0236A" w:rsidRPr="00073574" w:rsidRDefault="00F0236A" w:rsidP="00B66250">
            <w:pPr>
              <w:pStyle w:val="Tabletext"/>
              <w:keepNext/>
              <w:keepLines/>
              <w:jc w:val="center"/>
              <w:rPr>
                <w:rFonts w:eastAsia="Malgun Gothic"/>
                <w:b/>
                <w:bCs/>
                <w:sz w:val="24"/>
                <w:szCs w:val="24"/>
              </w:rPr>
            </w:pPr>
          </w:p>
        </w:tc>
      </w:tr>
      <w:tr w:rsidR="00F0236A" w:rsidRPr="00073574" w14:paraId="67FD4CB7" w14:textId="77777777" w:rsidTr="5D161764">
        <w:trPr>
          <w:jc w:val="center"/>
        </w:trPr>
        <w:tc>
          <w:tcPr>
            <w:tcW w:w="902" w:type="dxa"/>
            <w:vMerge/>
            <w:vAlign w:val="center"/>
          </w:tcPr>
          <w:p w14:paraId="047F6081" w14:textId="77777777" w:rsidR="00F0236A" w:rsidRPr="00073574" w:rsidRDefault="00F0236A" w:rsidP="00701410">
            <w:pPr>
              <w:pStyle w:val="Tabletext"/>
              <w:keepNext/>
              <w:keepLines/>
              <w:rPr>
                <w:sz w:val="24"/>
                <w:szCs w:val="24"/>
              </w:rPr>
            </w:pPr>
          </w:p>
        </w:tc>
        <w:tc>
          <w:tcPr>
            <w:tcW w:w="8605" w:type="dxa"/>
            <w:gridSpan w:val="4"/>
            <w:shd w:val="clear" w:color="auto" w:fill="auto"/>
          </w:tcPr>
          <w:p w14:paraId="25A5E2DF" w14:textId="12F11DF0" w:rsidR="00F0236A" w:rsidRPr="00073574" w:rsidRDefault="00F0236A" w:rsidP="00701410">
            <w:pPr>
              <w:pStyle w:val="Tabletext"/>
              <w:keepNext/>
              <w:keepLines/>
              <w:rPr>
                <w:rFonts w:eastAsia="Malgun Gothic"/>
                <w:szCs w:val="22"/>
              </w:rPr>
            </w:pPr>
            <w:r w:rsidRPr="00073574">
              <w:rPr>
                <w:szCs w:val="22"/>
              </w:rPr>
              <w:t>Then TSB Director supports the ITU Secretary General</w:t>
            </w:r>
            <w:r w:rsidR="0034409A" w:rsidRPr="00073574">
              <w:rPr>
                <w:szCs w:val="22"/>
              </w:rPr>
              <w:t>’</w:t>
            </w:r>
            <w:r w:rsidRPr="00073574">
              <w:rPr>
                <w:szCs w:val="22"/>
              </w:rPr>
              <w:t>s participation in the Planet 50/50 initiative and continues to encourage gender balanced panels in ITU-T meetings and conferences.</w:t>
            </w:r>
          </w:p>
        </w:tc>
      </w:tr>
    </w:tbl>
    <w:bookmarkStart w:id="249" w:name="Item55_01"/>
    <w:bookmarkStart w:id="250" w:name="Item55_02"/>
    <w:bookmarkStart w:id="251" w:name="Item55_03"/>
    <w:bookmarkStart w:id="252" w:name="Item55_04"/>
    <w:bookmarkStart w:id="253" w:name="Item55_05"/>
    <w:bookmarkStart w:id="254" w:name="Item55_06"/>
    <w:bookmarkStart w:id="255" w:name="Item55_07"/>
    <w:bookmarkEnd w:id="249"/>
    <w:bookmarkEnd w:id="250"/>
    <w:bookmarkEnd w:id="251"/>
    <w:bookmarkEnd w:id="252"/>
    <w:bookmarkEnd w:id="253"/>
    <w:bookmarkEnd w:id="254"/>
    <w:bookmarkEnd w:id="255"/>
    <w:p w14:paraId="7B750229" w14:textId="77777777" w:rsidR="00F0236A" w:rsidRPr="00073574" w:rsidRDefault="00F0236A" w:rsidP="00F0236A">
      <w:pPr>
        <w:rPr>
          <w:sz w:val="24"/>
        </w:rPr>
      </w:pPr>
      <w:r w:rsidRPr="00073574">
        <w:rPr>
          <w:color w:val="2B579A"/>
          <w:shd w:val="clear" w:color="auto" w:fill="E6E6E6"/>
        </w:rPr>
        <w:fldChar w:fldCharType="begin"/>
      </w:r>
      <w:r w:rsidRPr="00073574">
        <w:rPr>
          <w:sz w:val="24"/>
        </w:rPr>
        <w:instrText xml:space="preserve"> HYPERLINK \l "Top" </w:instrText>
      </w:r>
      <w:r w:rsidRPr="00073574">
        <w:rPr>
          <w:color w:val="2B579A"/>
          <w:shd w:val="clear" w:color="auto" w:fill="E6E6E6"/>
        </w:rPr>
        <w:fldChar w:fldCharType="separate"/>
      </w:r>
      <w:r w:rsidRPr="00073574">
        <w:rPr>
          <w:rStyle w:val="Hyperlink"/>
          <w:rFonts w:eastAsia="Times New Roman"/>
          <w:sz w:val="24"/>
        </w:rPr>
        <w:t>» Top</w:t>
      </w:r>
      <w:r w:rsidRPr="00073574">
        <w:rPr>
          <w:rStyle w:val="Hyperlink"/>
          <w:rFonts w:eastAsia="Times New Roman"/>
          <w:sz w:val="24"/>
        </w:rPr>
        <w:fldChar w:fldCharType="end"/>
      </w:r>
    </w:p>
    <w:p w14:paraId="52E0DE7F" w14:textId="77777777" w:rsidR="00F0236A" w:rsidRPr="00073574" w:rsidRDefault="00F0236A" w:rsidP="00F0236A">
      <w:pPr>
        <w:rPr>
          <w:sz w:val="24"/>
        </w:rPr>
      </w:pPr>
      <w:bookmarkStart w:id="256" w:name="Resolution_56"/>
      <w:bookmarkStart w:id="257" w:name="Resolution_57"/>
      <w:bookmarkStart w:id="258" w:name="Item57_01"/>
      <w:bookmarkStart w:id="259" w:name="Item57_02"/>
      <w:bookmarkStart w:id="260" w:name="Item57_03"/>
      <w:bookmarkEnd w:id="256"/>
      <w:bookmarkEnd w:id="257"/>
      <w:bookmarkEnd w:id="258"/>
      <w:bookmarkEnd w:id="259"/>
      <w:bookmarkEnd w:id="260"/>
    </w:p>
    <w:p w14:paraId="17C494DE" w14:textId="47164665" w:rsidR="00F0236A" w:rsidRPr="00073574" w:rsidRDefault="00F0236A" w:rsidP="00F0236A">
      <w:pPr>
        <w:pStyle w:val="Heading1"/>
        <w:keepNext/>
        <w:rPr>
          <w:sz w:val="24"/>
          <w:szCs w:val="24"/>
          <w:lang w:val="en-GB"/>
        </w:rPr>
      </w:pPr>
      <w:bookmarkStart w:id="261" w:name="Resolution_58"/>
      <w:bookmarkStart w:id="262" w:name="_Toc304236442"/>
      <w:bookmarkStart w:id="263" w:name="_Toc471715376"/>
      <w:bookmarkStart w:id="264" w:name="_Toc93425262"/>
      <w:bookmarkEnd w:id="261"/>
      <w:r w:rsidRPr="00073574">
        <w:rPr>
          <w:sz w:val="24"/>
          <w:szCs w:val="24"/>
          <w:lang w:val="en-GB"/>
        </w:rPr>
        <w:t xml:space="preserve">Resolution 58 </w:t>
      </w:r>
      <w:r w:rsidR="0034409A" w:rsidRPr="00073574">
        <w:rPr>
          <w:sz w:val="24"/>
          <w:szCs w:val="24"/>
          <w:lang w:val="en-GB"/>
        </w:rPr>
        <w:t>–</w:t>
      </w:r>
      <w:r w:rsidRPr="00073574">
        <w:rPr>
          <w:sz w:val="24"/>
          <w:szCs w:val="24"/>
          <w:lang w:val="en-GB"/>
        </w:rPr>
        <w:t xml:space="preserve"> Encourage the creation of national computer incident response teams, particularly for developing countries</w:t>
      </w:r>
      <w:bookmarkEnd w:id="262"/>
      <w:bookmarkEnd w:id="263"/>
      <w:bookmarkEnd w:id="264"/>
    </w:p>
    <w:p w14:paraId="6B8FBD3F" w14:textId="77777777" w:rsidR="00F0236A" w:rsidRPr="00073574" w:rsidRDefault="00F0236A" w:rsidP="00F0236A">
      <w:pPr>
        <w:rPr>
          <w:b/>
          <w:bCs/>
          <w:sz w:val="24"/>
        </w:rPr>
      </w:pPr>
      <w:r w:rsidRPr="00073574">
        <w:rPr>
          <w:b/>
          <w:bCs/>
          <w:sz w:val="24"/>
        </w:rPr>
        <w:t>Resolution 58</w:t>
      </w:r>
    </w:p>
    <w:p w14:paraId="045C075C" w14:textId="77777777" w:rsidR="00F0236A" w:rsidRPr="00073574" w:rsidRDefault="00F0236A" w:rsidP="00F0236A">
      <w:pPr>
        <w:pStyle w:val="Call"/>
        <w:rPr>
          <w:sz w:val="24"/>
          <w:szCs w:val="24"/>
          <w:lang w:val="en-GB"/>
        </w:rPr>
      </w:pPr>
      <w:r w:rsidRPr="00073574">
        <w:rPr>
          <w:sz w:val="24"/>
          <w:szCs w:val="24"/>
          <w:lang w:val="en-GB"/>
        </w:rPr>
        <w:t>resolves</w:t>
      </w:r>
    </w:p>
    <w:p w14:paraId="5993166F" w14:textId="77777777" w:rsidR="00F0236A" w:rsidRPr="00073574" w:rsidRDefault="00F0236A" w:rsidP="00F0236A">
      <w:pPr>
        <w:rPr>
          <w:sz w:val="24"/>
        </w:rPr>
      </w:pPr>
      <w:r w:rsidRPr="00073574">
        <w:rPr>
          <w:sz w:val="24"/>
        </w:rPr>
        <w:t>to support the creation of national CIRTs in Member States where CIRTs are needed and are currently absent,</w:t>
      </w:r>
    </w:p>
    <w:p w14:paraId="7AD07B22" w14:textId="6D74D783" w:rsidR="00F0236A" w:rsidRPr="00073574" w:rsidRDefault="00F0236A" w:rsidP="00F0236A">
      <w:pPr>
        <w:pStyle w:val="Call"/>
        <w:rPr>
          <w:sz w:val="24"/>
          <w:szCs w:val="24"/>
          <w:lang w:val="en-GB"/>
        </w:rPr>
      </w:pPr>
      <w:r w:rsidRPr="00073574">
        <w:rPr>
          <w:sz w:val="24"/>
          <w:szCs w:val="24"/>
          <w:lang w:val="en-GB"/>
        </w:rPr>
        <w:t>instructs the Director of the Telecommunication Standardization Bureau, in collaboration with the Director of the Telec</w:t>
      </w:r>
      <w:r w:rsidR="00E31596" w:rsidRPr="00073574">
        <w:rPr>
          <w:sz w:val="24"/>
          <w:szCs w:val="24"/>
          <w:lang w:val="en-GB"/>
        </w:rPr>
        <w:t>ommunication Development Bureau</w:t>
      </w:r>
    </w:p>
    <w:p w14:paraId="2B10CD40" w14:textId="7F45812A" w:rsidR="00F0236A" w:rsidRPr="00073574" w:rsidRDefault="00F0236A" w:rsidP="00F0236A">
      <w:pPr>
        <w:rPr>
          <w:sz w:val="24"/>
        </w:rPr>
      </w:pPr>
      <w:r w:rsidRPr="00073574">
        <w:rPr>
          <w:sz w:val="24"/>
        </w:rPr>
        <w:t>1</w:t>
      </w:r>
      <w:r w:rsidRPr="00073574">
        <w:rPr>
          <w:sz w:val="24"/>
        </w:rPr>
        <w:tab/>
        <w:t>to identify bes</w:t>
      </w:r>
      <w:r w:rsidR="00E31596" w:rsidRPr="00073574">
        <w:rPr>
          <w:sz w:val="24"/>
        </w:rPr>
        <w:t>t practices to establish CIRTs;</w:t>
      </w:r>
    </w:p>
    <w:p w14:paraId="3E9EDA81" w14:textId="3CA13521" w:rsidR="00F0236A" w:rsidRPr="00073574" w:rsidRDefault="00F0236A" w:rsidP="00F0236A">
      <w:pPr>
        <w:rPr>
          <w:sz w:val="24"/>
        </w:rPr>
      </w:pPr>
      <w:r w:rsidRPr="00073574">
        <w:rPr>
          <w:sz w:val="24"/>
        </w:rPr>
        <w:t>2</w:t>
      </w:r>
      <w:r w:rsidRPr="00073574">
        <w:rPr>
          <w:sz w:val="24"/>
        </w:rPr>
        <w:tab/>
        <w:t>to i</w:t>
      </w:r>
      <w:r w:rsidR="00E31596" w:rsidRPr="00073574">
        <w:rPr>
          <w:sz w:val="24"/>
        </w:rPr>
        <w:t>dentify where CIRTs are needed;</w:t>
      </w:r>
    </w:p>
    <w:p w14:paraId="6F3160ED" w14:textId="77777777" w:rsidR="00F0236A" w:rsidRPr="00073574" w:rsidRDefault="00F0236A" w:rsidP="00F0236A">
      <w:pPr>
        <w:rPr>
          <w:sz w:val="24"/>
        </w:rPr>
      </w:pPr>
      <w:r w:rsidRPr="00073574">
        <w:rPr>
          <w:sz w:val="24"/>
        </w:rPr>
        <w:t>3</w:t>
      </w:r>
      <w:r w:rsidRPr="00073574">
        <w:rPr>
          <w:sz w:val="24"/>
        </w:rPr>
        <w:tab/>
        <w:t>to collaborate with international experts and bodies to establish national CIRTs;</w:t>
      </w:r>
    </w:p>
    <w:p w14:paraId="54604AAC" w14:textId="77777777" w:rsidR="00F0236A" w:rsidRPr="00073574" w:rsidRDefault="00F0236A" w:rsidP="00F0236A">
      <w:pPr>
        <w:rPr>
          <w:sz w:val="24"/>
        </w:rPr>
      </w:pPr>
      <w:r w:rsidRPr="00073574">
        <w:rPr>
          <w:sz w:val="24"/>
        </w:rPr>
        <w:t>4</w:t>
      </w:r>
      <w:r w:rsidRPr="00073574">
        <w:rPr>
          <w:sz w:val="24"/>
        </w:rPr>
        <w:tab/>
        <w:t>to provide support, as appropriate, within existing budgetary resources;</w:t>
      </w:r>
    </w:p>
    <w:p w14:paraId="0D1D9BF4" w14:textId="77777777" w:rsidR="00F0236A" w:rsidRPr="00073574" w:rsidRDefault="00F0236A" w:rsidP="00F0236A">
      <w:pPr>
        <w:rPr>
          <w:sz w:val="24"/>
        </w:rPr>
      </w:pPr>
      <w:r w:rsidRPr="00073574">
        <w:rPr>
          <w:sz w:val="24"/>
        </w:rPr>
        <w:t>5</w:t>
      </w:r>
      <w:r w:rsidRPr="00073574">
        <w:rPr>
          <w:sz w:val="24"/>
        </w:rPr>
        <w:tab/>
        <w:t>to facilitate collaboration between national CIRTs, such as capacity building and exchange of information, within an appropriate framework,</w:t>
      </w:r>
    </w:p>
    <w:p w14:paraId="43F48F98" w14:textId="1BB7E039" w:rsidR="00F0236A" w:rsidRPr="00073574" w:rsidRDefault="00E31596" w:rsidP="00F0236A">
      <w:pPr>
        <w:pStyle w:val="Call"/>
        <w:rPr>
          <w:sz w:val="24"/>
          <w:szCs w:val="24"/>
          <w:lang w:val="en-GB"/>
        </w:rPr>
      </w:pPr>
      <w:r w:rsidRPr="00073574">
        <w:rPr>
          <w:sz w:val="24"/>
          <w:szCs w:val="24"/>
          <w:lang w:val="en-GB"/>
        </w:rPr>
        <w:t>invites the Member States</w:t>
      </w:r>
    </w:p>
    <w:p w14:paraId="18359DA7" w14:textId="77777777" w:rsidR="00F0236A" w:rsidRPr="00073574" w:rsidRDefault="00F0236A" w:rsidP="00F0236A">
      <w:pPr>
        <w:rPr>
          <w:sz w:val="24"/>
        </w:rPr>
      </w:pPr>
      <w:r w:rsidRPr="00073574">
        <w:rPr>
          <w:sz w:val="24"/>
        </w:rPr>
        <w:t>1</w:t>
      </w:r>
      <w:r w:rsidRPr="00073574">
        <w:rPr>
          <w:sz w:val="24"/>
        </w:rPr>
        <w:tab/>
        <w:t>to consider the creation of a national CIRT as a high priority;</w:t>
      </w:r>
    </w:p>
    <w:p w14:paraId="5BEDC491" w14:textId="77777777" w:rsidR="00F0236A" w:rsidRPr="00073574" w:rsidRDefault="00F0236A" w:rsidP="00F0236A">
      <w:pPr>
        <w:rPr>
          <w:sz w:val="24"/>
        </w:rPr>
      </w:pPr>
      <w:r w:rsidRPr="00073574">
        <w:rPr>
          <w:sz w:val="24"/>
        </w:rPr>
        <w:t>2</w:t>
      </w:r>
      <w:r w:rsidRPr="00073574">
        <w:rPr>
          <w:sz w:val="24"/>
        </w:rPr>
        <w:tab/>
        <w:t>to collaborate with other Member States and with Sector Members,</w:t>
      </w:r>
    </w:p>
    <w:p w14:paraId="4B9AD1A8" w14:textId="77777777" w:rsidR="00F0236A" w:rsidRPr="00073574" w:rsidRDefault="00F0236A" w:rsidP="00F0236A">
      <w:pPr>
        <w:pStyle w:val="Call"/>
        <w:rPr>
          <w:sz w:val="24"/>
          <w:szCs w:val="24"/>
          <w:lang w:val="en-GB"/>
        </w:rPr>
      </w:pPr>
      <w:r w:rsidRPr="00073574">
        <w:rPr>
          <w:sz w:val="24"/>
          <w:szCs w:val="24"/>
          <w:lang w:val="en-GB"/>
        </w:rPr>
        <w:t>invites Member States and Sector Members</w:t>
      </w:r>
    </w:p>
    <w:p w14:paraId="0D69F1DA" w14:textId="77777777" w:rsidR="00F0236A" w:rsidRPr="00073574" w:rsidRDefault="00F0236A" w:rsidP="00F0236A">
      <w:pPr>
        <w:spacing w:after="240"/>
        <w:rPr>
          <w:sz w:val="24"/>
        </w:rPr>
      </w:pPr>
      <w:r w:rsidRPr="00073574">
        <w:rPr>
          <w:sz w:val="24"/>
        </w:rPr>
        <w:t>to cooperate closely with ITU-T and ITU</w:t>
      </w:r>
      <w:r w:rsidRPr="00073574">
        <w:rPr>
          <w:sz w:val="24"/>
        </w:rPr>
        <w:noBreakHyphen/>
        <w:t>D in this regard.</w:t>
      </w:r>
    </w:p>
    <w:tbl>
      <w:tblPr>
        <w:tblW w:w="936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16"/>
        <w:gridCol w:w="4548"/>
        <w:gridCol w:w="1226"/>
        <w:gridCol w:w="1339"/>
        <w:gridCol w:w="1336"/>
      </w:tblGrid>
      <w:tr w:rsidR="00F0236A" w:rsidRPr="00073574" w14:paraId="7CFBC4D9" w14:textId="77777777" w:rsidTr="1EE68BAF">
        <w:trPr>
          <w:jc w:val="center"/>
        </w:trPr>
        <w:tc>
          <w:tcPr>
            <w:tcW w:w="916" w:type="dxa"/>
            <w:tcBorders>
              <w:top w:val="single" w:sz="12" w:space="0" w:color="auto"/>
              <w:bottom w:val="single" w:sz="12" w:space="0" w:color="auto"/>
            </w:tcBorders>
            <w:shd w:val="clear" w:color="auto" w:fill="auto"/>
            <w:vAlign w:val="center"/>
          </w:tcPr>
          <w:p w14:paraId="346FE72D" w14:textId="77777777" w:rsidR="00F0236A" w:rsidRPr="00073574" w:rsidRDefault="00F0236A" w:rsidP="00B242DF">
            <w:pPr>
              <w:pStyle w:val="Tablehead"/>
              <w:keepLines/>
              <w:rPr>
                <w:sz w:val="24"/>
                <w:szCs w:val="24"/>
              </w:rPr>
            </w:pPr>
            <w:r w:rsidRPr="00073574">
              <w:rPr>
                <w:sz w:val="24"/>
                <w:szCs w:val="24"/>
              </w:rPr>
              <w:lastRenderedPageBreak/>
              <w:t>Action Item</w:t>
            </w:r>
          </w:p>
        </w:tc>
        <w:tc>
          <w:tcPr>
            <w:tcW w:w="4548" w:type="dxa"/>
            <w:tcBorders>
              <w:top w:val="single" w:sz="12" w:space="0" w:color="auto"/>
              <w:bottom w:val="single" w:sz="12" w:space="0" w:color="auto"/>
            </w:tcBorders>
            <w:shd w:val="clear" w:color="auto" w:fill="auto"/>
            <w:vAlign w:val="center"/>
            <w:hideMark/>
          </w:tcPr>
          <w:p w14:paraId="44047EEA" w14:textId="77777777" w:rsidR="00F0236A" w:rsidRPr="00073574" w:rsidRDefault="00F0236A" w:rsidP="00B242DF">
            <w:pPr>
              <w:pStyle w:val="Tablehead"/>
              <w:keepLines/>
              <w:rPr>
                <w:sz w:val="24"/>
                <w:szCs w:val="24"/>
              </w:rPr>
            </w:pPr>
            <w:r w:rsidRPr="00073574">
              <w:rPr>
                <w:sz w:val="24"/>
                <w:szCs w:val="24"/>
              </w:rPr>
              <w:t>Action</w:t>
            </w:r>
          </w:p>
        </w:tc>
        <w:tc>
          <w:tcPr>
            <w:tcW w:w="1226" w:type="dxa"/>
            <w:tcBorders>
              <w:top w:val="single" w:sz="12" w:space="0" w:color="auto"/>
              <w:bottom w:val="single" w:sz="12" w:space="0" w:color="auto"/>
            </w:tcBorders>
            <w:shd w:val="clear" w:color="auto" w:fill="auto"/>
            <w:vAlign w:val="center"/>
            <w:hideMark/>
          </w:tcPr>
          <w:p w14:paraId="7B85C17A" w14:textId="77777777" w:rsidR="00F0236A" w:rsidRPr="00073574" w:rsidRDefault="00F0236A" w:rsidP="00DF36E1">
            <w:pPr>
              <w:pStyle w:val="Tablehead"/>
              <w:rPr>
                <w:sz w:val="24"/>
                <w:szCs w:val="24"/>
              </w:rPr>
            </w:pPr>
            <w:r w:rsidRPr="00073574">
              <w:rPr>
                <w:sz w:val="24"/>
                <w:szCs w:val="24"/>
              </w:rPr>
              <w:t>Milestone</w:t>
            </w:r>
          </w:p>
        </w:tc>
        <w:tc>
          <w:tcPr>
            <w:tcW w:w="1339" w:type="dxa"/>
            <w:tcBorders>
              <w:top w:val="single" w:sz="12" w:space="0" w:color="auto"/>
              <w:bottom w:val="single" w:sz="12" w:space="0" w:color="auto"/>
            </w:tcBorders>
            <w:shd w:val="clear" w:color="auto" w:fill="auto"/>
          </w:tcPr>
          <w:p w14:paraId="555C69CB" w14:textId="77777777" w:rsidR="00F0236A" w:rsidRPr="00073574" w:rsidRDefault="00F0236A" w:rsidP="00DF36E1">
            <w:pPr>
              <w:pStyle w:val="Tablehead"/>
              <w:rPr>
                <w:sz w:val="24"/>
                <w:szCs w:val="24"/>
              </w:rPr>
            </w:pPr>
            <w:r w:rsidRPr="00073574">
              <w:rPr>
                <w:sz w:val="24"/>
                <w:szCs w:val="24"/>
              </w:rPr>
              <w:t>Periodic goals met</w:t>
            </w:r>
          </w:p>
        </w:tc>
        <w:tc>
          <w:tcPr>
            <w:tcW w:w="1336" w:type="dxa"/>
            <w:tcBorders>
              <w:top w:val="single" w:sz="12" w:space="0" w:color="auto"/>
              <w:bottom w:val="single" w:sz="12" w:space="0" w:color="auto"/>
            </w:tcBorders>
            <w:shd w:val="clear" w:color="auto" w:fill="auto"/>
            <w:vAlign w:val="center"/>
          </w:tcPr>
          <w:p w14:paraId="55536FFB" w14:textId="77777777" w:rsidR="00F0236A" w:rsidRPr="00073574" w:rsidRDefault="00F0236A" w:rsidP="00DF36E1">
            <w:pPr>
              <w:pStyle w:val="Tablehead"/>
              <w:rPr>
                <w:sz w:val="24"/>
                <w:szCs w:val="24"/>
              </w:rPr>
            </w:pPr>
            <w:r w:rsidRPr="00073574">
              <w:rPr>
                <w:sz w:val="24"/>
                <w:szCs w:val="24"/>
              </w:rPr>
              <w:t>Completed</w:t>
            </w:r>
          </w:p>
        </w:tc>
      </w:tr>
      <w:tr w:rsidR="00F0236A" w:rsidRPr="00073574" w14:paraId="0BB5AFB2" w14:textId="77777777" w:rsidTr="1EE68BAF">
        <w:trPr>
          <w:cantSplit/>
          <w:jc w:val="center"/>
        </w:trPr>
        <w:tc>
          <w:tcPr>
            <w:tcW w:w="916" w:type="dxa"/>
            <w:vMerge w:val="restart"/>
            <w:tcBorders>
              <w:top w:val="single" w:sz="12" w:space="0" w:color="auto"/>
            </w:tcBorders>
            <w:shd w:val="clear" w:color="auto" w:fill="auto"/>
          </w:tcPr>
          <w:p w14:paraId="61BBC2C6" w14:textId="77777777" w:rsidR="00F0236A" w:rsidRPr="00073574" w:rsidRDefault="00F0236A" w:rsidP="00B242DF">
            <w:pPr>
              <w:pStyle w:val="Tabletext"/>
              <w:keepNext/>
              <w:keepLines/>
              <w:rPr>
                <w:b/>
                <w:bCs/>
                <w:sz w:val="24"/>
                <w:szCs w:val="24"/>
              </w:rPr>
            </w:pPr>
            <w:r w:rsidRPr="00073574">
              <w:rPr>
                <w:b/>
                <w:bCs/>
                <w:sz w:val="24"/>
                <w:szCs w:val="24"/>
              </w:rPr>
              <w:t>58-01</w:t>
            </w:r>
          </w:p>
        </w:tc>
        <w:tc>
          <w:tcPr>
            <w:tcW w:w="4548" w:type="dxa"/>
            <w:tcBorders>
              <w:top w:val="single" w:sz="12" w:space="0" w:color="auto"/>
              <w:bottom w:val="single" w:sz="4" w:space="0" w:color="auto"/>
            </w:tcBorders>
            <w:shd w:val="clear" w:color="auto" w:fill="auto"/>
            <w:hideMark/>
          </w:tcPr>
          <w:p w14:paraId="7B2C0F33" w14:textId="77777777" w:rsidR="00F0236A" w:rsidRPr="00073574" w:rsidRDefault="00F0236A" w:rsidP="00B242DF">
            <w:pPr>
              <w:pStyle w:val="Tabletext"/>
              <w:keepNext/>
              <w:keepLines/>
              <w:rPr>
                <w:b/>
                <w:bCs/>
                <w:sz w:val="24"/>
                <w:szCs w:val="24"/>
              </w:rPr>
            </w:pPr>
            <w:r w:rsidRPr="00073574">
              <w:rPr>
                <w:b/>
                <w:bCs/>
                <w:sz w:val="24"/>
                <w:szCs w:val="24"/>
              </w:rPr>
              <w:t>TSB Director, in collaboration with BDT Director and SG17, to identify best practices to establish CIRTs and identify where CIRTs are needed (i. TSBdir 1)</w:t>
            </w:r>
          </w:p>
        </w:tc>
        <w:tc>
          <w:tcPr>
            <w:tcW w:w="1226" w:type="dxa"/>
            <w:tcBorders>
              <w:top w:val="single" w:sz="12" w:space="0" w:color="auto"/>
              <w:bottom w:val="single" w:sz="4" w:space="0" w:color="auto"/>
            </w:tcBorders>
            <w:shd w:val="clear" w:color="auto" w:fill="auto"/>
            <w:vAlign w:val="center"/>
            <w:hideMark/>
          </w:tcPr>
          <w:p w14:paraId="64501F98" w14:textId="77777777" w:rsidR="00F0236A" w:rsidRPr="00073574" w:rsidRDefault="00F0236A" w:rsidP="00DF36E1">
            <w:pPr>
              <w:pStyle w:val="Tabletext"/>
              <w:jc w:val="center"/>
              <w:rPr>
                <w:b/>
                <w:bCs/>
                <w:sz w:val="24"/>
                <w:szCs w:val="24"/>
              </w:rPr>
            </w:pPr>
            <w:r w:rsidRPr="00073574">
              <w:rPr>
                <w:b/>
                <w:bCs/>
                <w:sz w:val="24"/>
                <w:szCs w:val="24"/>
              </w:rPr>
              <w:t>Ongoing</w:t>
            </w:r>
          </w:p>
        </w:tc>
        <w:tc>
          <w:tcPr>
            <w:tcW w:w="1339" w:type="dxa"/>
            <w:tcBorders>
              <w:top w:val="single" w:sz="12" w:space="0" w:color="auto"/>
              <w:bottom w:val="single" w:sz="4" w:space="0" w:color="auto"/>
            </w:tcBorders>
            <w:shd w:val="clear" w:color="auto" w:fill="auto"/>
            <w:vAlign w:val="center"/>
          </w:tcPr>
          <w:p w14:paraId="70D90506"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bottom w:val="single" w:sz="4" w:space="0" w:color="auto"/>
            </w:tcBorders>
            <w:shd w:val="clear" w:color="auto" w:fill="auto"/>
            <w:vAlign w:val="center"/>
          </w:tcPr>
          <w:p w14:paraId="50A2AC38" w14:textId="77777777" w:rsidR="00F0236A" w:rsidRPr="00073574" w:rsidRDefault="00F0236A" w:rsidP="00DF36E1">
            <w:pPr>
              <w:pStyle w:val="Tabletext"/>
              <w:jc w:val="center"/>
              <w:rPr>
                <w:b/>
                <w:bCs/>
                <w:sz w:val="24"/>
                <w:szCs w:val="24"/>
              </w:rPr>
            </w:pPr>
          </w:p>
        </w:tc>
      </w:tr>
      <w:tr w:rsidR="00F0236A" w:rsidRPr="00073574" w14:paraId="652FBA21" w14:textId="77777777" w:rsidTr="00BF3DDE">
        <w:trPr>
          <w:jc w:val="center"/>
        </w:trPr>
        <w:tc>
          <w:tcPr>
            <w:tcW w:w="916" w:type="dxa"/>
            <w:vMerge/>
          </w:tcPr>
          <w:p w14:paraId="542200DA" w14:textId="77777777" w:rsidR="00F0236A" w:rsidRPr="00073574" w:rsidRDefault="00F0236A" w:rsidP="00DF36E1">
            <w:pPr>
              <w:pStyle w:val="Tabletext"/>
              <w:rPr>
                <w:sz w:val="24"/>
                <w:szCs w:val="24"/>
              </w:rPr>
            </w:pPr>
          </w:p>
        </w:tc>
        <w:tc>
          <w:tcPr>
            <w:tcW w:w="8449" w:type="dxa"/>
            <w:gridSpan w:val="4"/>
            <w:tcBorders>
              <w:top w:val="single" w:sz="4" w:space="0" w:color="auto"/>
              <w:bottom w:val="single" w:sz="12" w:space="0" w:color="auto"/>
            </w:tcBorders>
            <w:shd w:val="clear" w:color="auto" w:fill="auto"/>
          </w:tcPr>
          <w:p w14:paraId="4E490B57" w14:textId="3715EAB9" w:rsidR="00461557" w:rsidRPr="00073574" w:rsidRDefault="00F0236A" w:rsidP="00DF36E1">
            <w:pPr>
              <w:pStyle w:val="Tabletext"/>
              <w:rPr>
                <w:szCs w:val="22"/>
              </w:rPr>
            </w:pPr>
            <w:r w:rsidRPr="00073574">
              <w:t xml:space="preserve">BDT is taking </w:t>
            </w:r>
            <w:r w:rsidR="0CECB410" w:rsidRPr="00073574">
              <w:t xml:space="preserve">the </w:t>
            </w:r>
            <w:r w:rsidRPr="00073574">
              <w:t>lead.</w:t>
            </w:r>
          </w:p>
          <w:p w14:paraId="1E3D5A1E" w14:textId="641821D1" w:rsidR="00F0236A" w:rsidRPr="00073574" w:rsidRDefault="1C1B1C28" w:rsidP="539711DF">
            <w:r w:rsidRPr="00073574">
              <w:rPr>
                <w:rFonts w:eastAsia="Times New Roman"/>
              </w:rPr>
              <w:t xml:space="preserve">Q3/17 “Telecommunications information security management” and Q4/17 “Cybersecurity” prepared a global directory of cybersecurity organizations, including CIRTs, which is currently hosted and maintained by the TSB on the SG17 website at: </w:t>
            </w:r>
            <w:hyperlink r:id="rId438" w:history="1">
              <w:r w:rsidRPr="00073574">
                <w:rPr>
                  <w:rStyle w:val="Hyperlink"/>
                  <w:rFonts w:eastAsia="Times New Roman"/>
                </w:rPr>
                <w:t>http://www.itu.int/ITU-T/studygroups/com17/nfvo/index.html</w:t>
              </w:r>
            </w:hyperlink>
            <w:r w:rsidRPr="00073574">
              <w:rPr>
                <w:rFonts w:eastAsia="Times New Roman"/>
              </w:rPr>
              <w:t>. This fosters global collaboration among organizations.</w:t>
            </w:r>
          </w:p>
          <w:p w14:paraId="37878616" w14:textId="0071E74B" w:rsidR="00F0236A" w:rsidRPr="00073574" w:rsidRDefault="7FC3A2CF" w:rsidP="00DF36E1">
            <w:pPr>
              <w:pStyle w:val="Tabletext"/>
            </w:pPr>
            <w:r w:rsidRPr="00073574">
              <w:t xml:space="preserve">SG17 </w:t>
            </w:r>
            <w:r w:rsidR="007623B1" w:rsidRPr="00073574">
              <w:t>approved</w:t>
            </w:r>
            <w:r w:rsidRPr="00073574">
              <w:t xml:space="preserve"> Recommendation </w:t>
            </w:r>
            <w:r w:rsidR="009E36E9" w:rsidRPr="00073574">
              <w:t xml:space="preserve">ITU-T </w:t>
            </w:r>
            <w:r w:rsidRPr="00073574">
              <w:t>X.</w:t>
            </w:r>
            <w:r w:rsidR="007623B1" w:rsidRPr="00073574">
              <w:t>1060</w:t>
            </w:r>
            <w:r w:rsidRPr="00073574">
              <w:t xml:space="preserve"> “Framework for the creation and operation of a cyber defence center”</w:t>
            </w:r>
            <w:r w:rsidR="007623B1" w:rsidRPr="00073574">
              <w:t xml:space="preserve"> in June 2021</w:t>
            </w:r>
            <w:r w:rsidR="00036E3F" w:rsidRPr="00073574">
              <w:t xml:space="preserve"> and </w:t>
            </w:r>
            <w:r w:rsidR="00E35B27" w:rsidRPr="00073574">
              <w:t xml:space="preserve">several African countries showed </w:t>
            </w:r>
            <w:r w:rsidR="00036E3F" w:rsidRPr="00073574">
              <w:t xml:space="preserve">immediately </w:t>
            </w:r>
            <w:r w:rsidR="00A803B0" w:rsidRPr="00073574">
              <w:t xml:space="preserve">high appreciation of its importance and </w:t>
            </w:r>
            <w:r w:rsidR="00036E3F" w:rsidRPr="00073574">
              <w:t>strong interest o</w:t>
            </w:r>
            <w:r w:rsidR="00E35B27" w:rsidRPr="00073574">
              <w:t>f its implementation</w:t>
            </w:r>
            <w:r w:rsidR="00A803B0" w:rsidRPr="00073574">
              <w:t xml:space="preserve"> in African countries</w:t>
            </w:r>
            <w:r w:rsidRPr="00073574">
              <w:t>.</w:t>
            </w:r>
            <w:r w:rsidR="00036E3F" w:rsidRPr="00073574">
              <w:t xml:space="preserve"> </w:t>
            </w:r>
            <w:r w:rsidR="00C17B0B" w:rsidRPr="00073574">
              <w:t xml:space="preserve">SG17RG-AFR launched an </w:t>
            </w:r>
            <w:r w:rsidR="00C17B0B" w:rsidRPr="00073574">
              <w:rPr>
                <w:bCs/>
              </w:rPr>
              <w:t xml:space="preserve">online </w:t>
            </w:r>
            <w:hyperlink r:id="rId439" w:history="1">
              <w:r w:rsidR="00C17B0B" w:rsidRPr="00073574">
                <w:rPr>
                  <w:rStyle w:val="Hyperlink"/>
                  <w:bCs/>
                </w:rPr>
                <w:t>survey</w:t>
              </w:r>
            </w:hyperlink>
            <w:r w:rsidR="00C17B0B" w:rsidRPr="00073574">
              <w:rPr>
                <w:bCs/>
              </w:rPr>
              <w:t xml:space="preserve"> for December 2021 – March 2022 as the first step to develop an implementation guideline of </w:t>
            </w:r>
            <w:r w:rsidR="004B1AF8" w:rsidRPr="00073574">
              <w:t xml:space="preserve">ITU-T </w:t>
            </w:r>
            <w:r w:rsidR="00C17B0B" w:rsidRPr="00073574">
              <w:rPr>
                <w:bCs/>
              </w:rPr>
              <w:t>X.1060 for African countries. See action 54-01.</w:t>
            </w:r>
          </w:p>
        </w:tc>
      </w:tr>
      <w:tr w:rsidR="00F0236A" w:rsidRPr="00073574" w14:paraId="510FF38C" w14:textId="77777777" w:rsidTr="1EE68BAF">
        <w:trPr>
          <w:cantSplit/>
          <w:jc w:val="center"/>
        </w:trPr>
        <w:tc>
          <w:tcPr>
            <w:tcW w:w="916" w:type="dxa"/>
            <w:vMerge w:val="restart"/>
            <w:tcBorders>
              <w:top w:val="single" w:sz="12" w:space="0" w:color="auto"/>
            </w:tcBorders>
            <w:shd w:val="clear" w:color="auto" w:fill="auto"/>
          </w:tcPr>
          <w:p w14:paraId="73047068" w14:textId="77777777" w:rsidR="00F0236A" w:rsidRPr="00073574" w:rsidRDefault="00F0236A" w:rsidP="00DF36E1">
            <w:pPr>
              <w:pStyle w:val="Tabletext"/>
              <w:rPr>
                <w:b/>
                <w:bCs/>
                <w:sz w:val="24"/>
                <w:szCs w:val="24"/>
              </w:rPr>
            </w:pPr>
            <w:r w:rsidRPr="00073574">
              <w:rPr>
                <w:b/>
                <w:bCs/>
                <w:sz w:val="24"/>
                <w:szCs w:val="24"/>
              </w:rPr>
              <w:t>58-02</w:t>
            </w:r>
          </w:p>
        </w:tc>
        <w:tc>
          <w:tcPr>
            <w:tcW w:w="4548" w:type="dxa"/>
            <w:tcBorders>
              <w:top w:val="single" w:sz="12" w:space="0" w:color="auto"/>
            </w:tcBorders>
            <w:shd w:val="clear" w:color="auto" w:fill="auto"/>
            <w:hideMark/>
          </w:tcPr>
          <w:p w14:paraId="0C593F9E" w14:textId="77777777" w:rsidR="00F0236A" w:rsidRPr="00073574" w:rsidRDefault="00F0236A" w:rsidP="00DF36E1">
            <w:pPr>
              <w:pStyle w:val="Tabletext"/>
              <w:rPr>
                <w:b/>
                <w:bCs/>
                <w:sz w:val="24"/>
                <w:szCs w:val="24"/>
              </w:rPr>
            </w:pPr>
            <w:r w:rsidRPr="00073574">
              <w:rPr>
                <w:b/>
                <w:bCs/>
                <w:sz w:val="24"/>
                <w:szCs w:val="24"/>
              </w:rPr>
              <w:t>TSB Director, in collaboration with BDT Director, to facilitate capacity building and information exchange between national CIRTs (i. TSBdir 5)</w:t>
            </w:r>
          </w:p>
        </w:tc>
        <w:tc>
          <w:tcPr>
            <w:tcW w:w="1226" w:type="dxa"/>
            <w:tcBorders>
              <w:top w:val="single" w:sz="12" w:space="0" w:color="auto"/>
            </w:tcBorders>
            <w:shd w:val="clear" w:color="auto" w:fill="auto"/>
            <w:vAlign w:val="center"/>
            <w:hideMark/>
          </w:tcPr>
          <w:p w14:paraId="56EA515C" w14:textId="77777777" w:rsidR="00F0236A" w:rsidRPr="00073574" w:rsidRDefault="00F0236A" w:rsidP="00DF36E1">
            <w:pPr>
              <w:pStyle w:val="Tabletext"/>
              <w:jc w:val="center"/>
              <w:rPr>
                <w:b/>
                <w:bCs/>
                <w:sz w:val="24"/>
                <w:szCs w:val="24"/>
              </w:rPr>
            </w:pPr>
            <w:r w:rsidRPr="00073574">
              <w:rPr>
                <w:b/>
                <w:bCs/>
                <w:sz w:val="24"/>
                <w:szCs w:val="24"/>
              </w:rPr>
              <w:t>Ongoing</w:t>
            </w:r>
          </w:p>
        </w:tc>
        <w:tc>
          <w:tcPr>
            <w:tcW w:w="1339" w:type="dxa"/>
            <w:tcBorders>
              <w:top w:val="single" w:sz="12" w:space="0" w:color="auto"/>
            </w:tcBorders>
            <w:shd w:val="clear" w:color="auto" w:fill="auto"/>
            <w:vAlign w:val="center"/>
          </w:tcPr>
          <w:p w14:paraId="764022C4"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1582AC12" w14:textId="77777777" w:rsidR="00F0236A" w:rsidRPr="00073574" w:rsidRDefault="00F0236A" w:rsidP="00DF36E1">
            <w:pPr>
              <w:pStyle w:val="Tabletext"/>
              <w:jc w:val="center"/>
              <w:rPr>
                <w:b/>
                <w:bCs/>
                <w:sz w:val="24"/>
                <w:szCs w:val="24"/>
              </w:rPr>
            </w:pPr>
          </w:p>
        </w:tc>
      </w:tr>
      <w:tr w:rsidR="00F0236A" w:rsidRPr="00073574" w14:paraId="511D1533" w14:textId="77777777" w:rsidTr="1EE68BAF">
        <w:trPr>
          <w:cantSplit/>
          <w:jc w:val="center"/>
        </w:trPr>
        <w:tc>
          <w:tcPr>
            <w:tcW w:w="916" w:type="dxa"/>
            <w:vMerge/>
          </w:tcPr>
          <w:p w14:paraId="6BFF26DC" w14:textId="77777777" w:rsidR="00F0236A" w:rsidRPr="00073574" w:rsidRDefault="00F0236A" w:rsidP="00DF36E1">
            <w:pPr>
              <w:pStyle w:val="Tabletext"/>
              <w:rPr>
                <w:sz w:val="24"/>
                <w:szCs w:val="24"/>
              </w:rPr>
            </w:pPr>
          </w:p>
        </w:tc>
        <w:tc>
          <w:tcPr>
            <w:tcW w:w="8449" w:type="dxa"/>
            <w:gridSpan w:val="4"/>
            <w:tcBorders>
              <w:bottom w:val="single" w:sz="12" w:space="0" w:color="auto"/>
            </w:tcBorders>
            <w:shd w:val="clear" w:color="auto" w:fill="auto"/>
          </w:tcPr>
          <w:p w14:paraId="34DEDB8E" w14:textId="4D664C62" w:rsidR="00F0236A" w:rsidRPr="00073574" w:rsidRDefault="00F0236A" w:rsidP="00DF36E1">
            <w:pPr>
              <w:pStyle w:val="Tabletext"/>
            </w:pPr>
            <w:r w:rsidRPr="00073574">
              <w:t xml:space="preserve">BDT is taking </w:t>
            </w:r>
            <w:r w:rsidR="0CECB410" w:rsidRPr="00073574">
              <w:t xml:space="preserve">the </w:t>
            </w:r>
            <w:r w:rsidRPr="00073574">
              <w:t>lead.</w:t>
            </w:r>
          </w:p>
          <w:p w14:paraId="3682C06E" w14:textId="6175DB7D" w:rsidR="00F0236A" w:rsidRPr="00073574" w:rsidRDefault="7029F6CB" w:rsidP="00DD6561">
            <w:pPr>
              <w:pStyle w:val="Tabletext"/>
            </w:pPr>
            <w:r w:rsidRPr="00073574">
              <w:t xml:space="preserve">SG17 approved ITU-T X.1215, </w:t>
            </w:r>
            <w:r w:rsidRPr="00073574">
              <w:rPr>
                <w:i/>
                <w:iCs/>
              </w:rPr>
              <w:t>Use cases for structured threat information expression</w:t>
            </w:r>
            <w:r w:rsidRPr="00073574">
              <w:t>.</w:t>
            </w:r>
          </w:p>
        </w:tc>
      </w:tr>
      <w:tr w:rsidR="00F0236A" w:rsidRPr="00073574" w14:paraId="103BB808" w14:textId="77777777" w:rsidTr="1EE68BAF">
        <w:trPr>
          <w:cantSplit/>
          <w:jc w:val="center"/>
        </w:trPr>
        <w:tc>
          <w:tcPr>
            <w:tcW w:w="916" w:type="dxa"/>
            <w:vMerge w:val="restart"/>
            <w:tcBorders>
              <w:top w:val="single" w:sz="12" w:space="0" w:color="auto"/>
            </w:tcBorders>
            <w:shd w:val="clear" w:color="auto" w:fill="auto"/>
          </w:tcPr>
          <w:p w14:paraId="63C32C2D" w14:textId="77777777" w:rsidR="00F0236A" w:rsidRPr="00073574" w:rsidRDefault="00F0236A" w:rsidP="00DF36E1">
            <w:pPr>
              <w:pStyle w:val="Tabletext"/>
              <w:keepNext/>
              <w:keepLines/>
              <w:rPr>
                <w:b/>
                <w:bCs/>
                <w:sz w:val="24"/>
                <w:szCs w:val="24"/>
              </w:rPr>
            </w:pPr>
            <w:r w:rsidRPr="00073574">
              <w:rPr>
                <w:b/>
                <w:bCs/>
                <w:sz w:val="24"/>
                <w:szCs w:val="24"/>
              </w:rPr>
              <w:t>58-03</w:t>
            </w:r>
          </w:p>
        </w:tc>
        <w:tc>
          <w:tcPr>
            <w:tcW w:w="4548" w:type="dxa"/>
            <w:tcBorders>
              <w:top w:val="single" w:sz="12" w:space="0" w:color="auto"/>
            </w:tcBorders>
            <w:shd w:val="clear" w:color="auto" w:fill="auto"/>
            <w:hideMark/>
          </w:tcPr>
          <w:p w14:paraId="5182B4B4" w14:textId="77777777" w:rsidR="00F0236A" w:rsidRPr="00073574" w:rsidRDefault="00F0236A" w:rsidP="00DF36E1">
            <w:pPr>
              <w:pStyle w:val="Tabletext"/>
              <w:keepNext/>
              <w:keepLines/>
              <w:rPr>
                <w:b/>
                <w:bCs/>
                <w:sz w:val="24"/>
                <w:szCs w:val="24"/>
              </w:rPr>
            </w:pPr>
            <w:r w:rsidRPr="00073574">
              <w:rPr>
                <w:b/>
                <w:bCs/>
                <w:sz w:val="24"/>
                <w:szCs w:val="24"/>
              </w:rPr>
              <w:t>Q3/17 to continue study the issue of CIRTs creation and possibility to provide a guideline in line with X.1056 (Security incident management for telecommunication organizations), in collaboration with Q4/17 and other relevant Questions and Recommendations (e.g., ITU-T E.409)</w:t>
            </w:r>
          </w:p>
        </w:tc>
        <w:tc>
          <w:tcPr>
            <w:tcW w:w="1226" w:type="dxa"/>
            <w:tcBorders>
              <w:top w:val="single" w:sz="12" w:space="0" w:color="auto"/>
            </w:tcBorders>
            <w:shd w:val="clear" w:color="auto" w:fill="auto"/>
            <w:vAlign w:val="center"/>
            <w:hideMark/>
          </w:tcPr>
          <w:p w14:paraId="1E5B4EFC" w14:textId="77777777" w:rsidR="00F0236A" w:rsidRPr="00073574" w:rsidRDefault="00F0236A" w:rsidP="00DF36E1">
            <w:pPr>
              <w:pStyle w:val="Tabletext"/>
              <w:jc w:val="center"/>
              <w:rPr>
                <w:b/>
                <w:bCs/>
                <w:sz w:val="24"/>
                <w:szCs w:val="24"/>
              </w:rPr>
            </w:pPr>
            <w:r w:rsidRPr="00073574">
              <w:rPr>
                <w:b/>
                <w:bCs/>
                <w:sz w:val="24"/>
                <w:szCs w:val="24"/>
              </w:rPr>
              <w:t>Ongoing</w:t>
            </w:r>
          </w:p>
        </w:tc>
        <w:tc>
          <w:tcPr>
            <w:tcW w:w="1339" w:type="dxa"/>
            <w:tcBorders>
              <w:top w:val="single" w:sz="12" w:space="0" w:color="auto"/>
            </w:tcBorders>
            <w:shd w:val="clear" w:color="auto" w:fill="auto"/>
            <w:vAlign w:val="center"/>
          </w:tcPr>
          <w:p w14:paraId="2FF1DB1C" w14:textId="14551E2A" w:rsidR="00F0236A" w:rsidRPr="00073574" w:rsidRDefault="00DD6561"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6C6F9889" w14:textId="77777777" w:rsidR="00F0236A" w:rsidRPr="00073574" w:rsidRDefault="00F0236A" w:rsidP="00DF36E1">
            <w:pPr>
              <w:pStyle w:val="Tabletext"/>
              <w:jc w:val="center"/>
              <w:rPr>
                <w:b/>
                <w:bCs/>
                <w:sz w:val="24"/>
                <w:szCs w:val="24"/>
              </w:rPr>
            </w:pPr>
          </w:p>
        </w:tc>
      </w:tr>
      <w:tr w:rsidR="00F0236A" w:rsidRPr="00073574" w14:paraId="4C3AB7DC" w14:textId="77777777" w:rsidTr="1EE68BAF">
        <w:trPr>
          <w:cantSplit/>
          <w:jc w:val="center"/>
        </w:trPr>
        <w:tc>
          <w:tcPr>
            <w:tcW w:w="916" w:type="dxa"/>
            <w:vMerge/>
            <w:vAlign w:val="center"/>
          </w:tcPr>
          <w:p w14:paraId="5E0FD2E9" w14:textId="77777777" w:rsidR="00F0236A" w:rsidRPr="00073574" w:rsidRDefault="00F0236A" w:rsidP="00DF36E1">
            <w:pPr>
              <w:pStyle w:val="Tabletext"/>
              <w:rPr>
                <w:sz w:val="24"/>
                <w:szCs w:val="24"/>
              </w:rPr>
            </w:pPr>
          </w:p>
        </w:tc>
        <w:tc>
          <w:tcPr>
            <w:tcW w:w="8449" w:type="dxa"/>
            <w:gridSpan w:val="4"/>
            <w:shd w:val="clear" w:color="auto" w:fill="auto"/>
          </w:tcPr>
          <w:p w14:paraId="5F1186F1" w14:textId="479FBA78" w:rsidR="00F0236A" w:rsidRPr="00073574" w:rsidRDefault="413F1C72" w:rsidP="00DD6561">
            <w:pPr>
              <w:pStyle w:val="Tabletext"/>
            </w:pPr>
            <w:r w:rsidRPr="00073574">
              <w:t xml:space="preserve">Q3/17 started work in collaboration with Q4/17 and Q22/ITU-D and FIRST to study CIRT creation and </w:t>
            </w:r>
            <w:r w:rsidR="00590BBD" w:rsidRPr="00073574">
              <w:t xml:space="preserve">developed </w:t>
            </w:r>
            <w:r w:rsidR="00A80209" w:rsidRPr="00073574">
              <w:t xml:space="preserve">Recommendation ITU-T </w:t>
            </w:r>
            <w:r w:rsidRPr="00073574">
              <w:t>X.</w:t>
            </w:r>
            <w:r w:rsidR="00590BBD" w:rsidRPr="00073574">
              <w:t xml:space="preserve">1060 </w:t>
            </w:r>
            <w:r w:rsidRPr="00073574">
              <w:rPr>
                <w:i/>
                <w:iCs/>
              </w:rPr>
              <w:t>Framework for the creation and operation of a cyber defence center</w:t>
            </w:r>
            <w:r w:rsidRPr="00073574">
              <w:t>.</w:t>
            </w:r>
          </w:p>
          <w:p w14:paraId="201B23D7" w14:textId="56570CE6" w:rsidR="00F0236A" w:rsidRPr="00073574" w:rsidRDefault="413F1C72" w:rsidP="00DD6561">
            <w:pPr>
              <w:pStyle w:val="Tabletext"/>
            </w:pPr>
            <w:r w:rsidRPr="00073574">
              <w:t xml:space="preserve">Q2/17 </w:t>
            </w:r>
            <w:r w:rsidR="00296F0A" w:rsidRPr="00073574">
              <w:t>developed</w:t>
            </w:r>
            <w:r w:rsidRPr="00073574">
              <w:t xml:space="preserve"> </w:t>
            </w:r>
            <w:r w:rsidR="00A80209" w:rsidRPr="00073574">
              <w:t xml:space="preserve">Recommendation ITU-T </w:t>
            </w:r>
            <w:r w:rsidRPr="00073574">
              <w:t>X.</w:t>
            </w:r>
            <w:r w:rsidR="00296F0A" w:rsidRPr="00073574">
              <w:t>1046</w:t>
            </w:r>
            <w:r w:rsidRPr="00073574">
              <w:rPr>
                <w:color w:val="008080"/>
                <w:u w:val="single"/>
              </w:rPr>
              <w:t>,</w:t>
            </w:r>
            <w:r w:rsidRPr="00073574">
              <w:t xml:space="preserve"> </w:t>
            </w:r>
            <w:r w:rsidRPr="00073574">
              <w:rPr>
                <w:i/>
                <w:iCs/>
              </w:rPr>
              <w:t>Guideline on Software-defined Security in SDN/NFV Network,</w:t>
            </w:r>
            <w:r w:rsidR="00A80209" w:rsidRPr="00073574">
              <w:rPr>
                <w:i/>
                <w:iCs/>
              </w:rPr>
              <w:t xml:space="preserve"> </w:t>
            </w:r>
            <w:r w:rsidRPr="00073574">
              <w:t>which supports automatic incident response.</w:t>
            </w:r>
          </w:p>
        </w:tc>
      </w:tr>
    </w:tbl>
    <w:bookmarkStart w:id="265" w:name="Item58_02"/>
    <w:bookmarkStart w:id="266" w:name="Item58_01"/>
    <w:bookmarkStart w:id="267" w:name="Item58_03"/>
    <w:bookmarkStart w:id="268" w:name="Item58_04"/>
    <w:bookmarkEnd w:id="265"/>
    <w:bookmarkEnd w:id="266"/>
    <w:bookmarkEnd w:id="267"/>
    <w:bookmarkEnd w:id="268"/>
    <w:p w14:paraId="03AC5B14" w14:textId="77777777" w:rsidR="00F0236A" w:rsidRPr="00073574" w:rsidRDefault="00F0236A" w:rsidP="00F0236A">
      <w:pPr>
        <w:rPr>
          <w:sz w:val="24"/>
        </w:rPr>
      </w:pPr>
      <w:r w:rsidRPr="00073574">
        <w:rPr>
          <w:color w:val="2B579A"/>
          <w:shd w:val="clear" w:color="auto" w:fill="E6E6E6"/>
        </w:rPr>
        <w:fldChar w:fldCharType="begin"/>
      </w:r>
      <w:r w:rsidRPr="00073574">
        <w:rPr>
          <w:sz w:val="24"/>
        </w:rPr>
        <w:instrText xml:space="preserve"> HYPERLINK \l "Top" </w:instrText>
      </w:r>
      <w:r w:rsidRPr="00073574">
        <w:rPr>
          <w:color w:val="2B579A"/>
          <w:shd w:val="clear" w:color="auto" w:fill="E6E6E6"/>
        </w:rPr>
        <w:fldChar w:fldCharType="separate"/>
      </w:r>
      <w:r w:rsidRPr="00073574">
        <w:rPr>
          <w:rStyle w:val="Hyperlink"/>
          <w:rFonts w:eastAsia="Times New Roman"/>
          <w:sz w:val="24"/>
        </w:rPr>
        <w:t>» Top</w:t>
      </w:r>
      <w:r w:rsidRPr="00073574">
        <w:rPr>
          <w:rStyle w:val="Hyperlink"/>
          <w:rFonts w:eastAsia="Times New Roman"/>
          <w:sz w:val="24"/>
        </w:rPr>
        <w:fldChar w:fldCharType="end"/>
      </w:r>
    </w:p>
    <w:p w14:paraId="062EADD0" w14:textId="77777777" w:rsidR="00F0236A" w:rsidRPr="00073574" w:rsidRDefault="00F0236A" w:rsidP="00F0236A">
      <w:pPr>
        <w:rPr>
          <w:sz w:val="24"/>
        </w:rPr>
      </w:pPr>
    </w:p>
    <w:p w14:paraId="47CECA19" w14:textId="6496AAFE" w:rsidR="00F0236A" w:rsidRPr="00073574" w:rsidRDefault="00F0236A" w:rsidP="00F0236A">
      <w:pPr>
        <w:pStyle w:val="Heading1"/>
        <w:keepNext/>
        <w:rPr>
          <w:sz w:val="24"/>
          <w:szCs w:val="24"/>
          <w:lang w:val="en-GB"/>
        </w:rPr>
      </w:pPr>
      <w:bookmarkStart w:id="269" w:name="Resolution_59"/>
      <w:bookmarkStart w:id="270" w:name="_Toc304236443"/>
      <w:bookmarkStart w:id="271" w:name="_Toc471715377"/>
      <w:bookmarkStart w:id="272" w:name="_Toc93425263"/>
      <w:bookmarkEnd w:id="269"/>
      <w:r w:rsidRPr="00073574">
        <w:rPr>
          <w:sz w:val="24"/>
          <w:szCs w:val="24"/>
          <w:lang w:val="en-GB"/>
        </w:rPr>
        <w:t xml:space="preserve">Resolution 59 </w:t>
      </w:r>
      <w:r w:rsidR="0034409A" w:rsidRPr="00073574">
        <w:rPr>
          <w:sz w:val="24"/>
          <w:szCs w:val="24"/>
          <w:lang w:val="en-GB"/>
        </w:rPr>
        <w:t>–</w:t>
      </w:r>
      <w:r w:rsidRPr="00073574">
        <w:rPr>
          <w:sz w:val="24"/>
          <w:szCs w:val="24"/>
          <w:lang w:val="en-GB"/>
        </w:rPr>
        <w:t xml:space="preserve"> Enhancing participation of telecommunication operators from developing countries</w:t>
      </w:r>
      <w:bookmarkEnd w:id="270"/>
      <w:bookmarkEnd w:id="271"/>
      <w:bookmarkEnd w:id="272"/>
    </w:p>
    <w:p w14:paraId="632BEA23" w14:textId="77777777" w:rsidR="00F0236A" w:rsidRPr="00073574" w:rsidRDefault="00F0236A" w:rsidP="00F0236A">
      <w:pPr>
        <w:rPr>
          <w:b/>
          <w:bCs/>
          <w:sz w:val="24"/>
        </w:rPr>
      </w:pPr>
      <w:r w:rsidRPr="00073574">
        <w:rPr>
          <w:b/>
          <w:bCs/>
          <w:sz w:val="24"/>
        </w:rPr>
        <w:t>Resolution 59</w:t>
      </w:r>
    </w:p>
    <w:p w14:paraId="26C21E61" w14:textId="77777777" w:rsidR="00F0236A" w:rsidRPr="00073574" w:rsidRDefault="00F0236A" w:rsidP="00F0236A">
      <w:pPr>
        <w:pStyle w:val="Call"/>
        <w:rPr>
          <w:sz w:val="24"/>
          <w:szCs w:val="24"/>
          <w:lang w:val="en-GB"/>
        </w:rPr>
      </w:pPr>
      <w:r w:rsidRPr="00073574">
        <w:rPr>
          <w:sz w:val="24"/>
          <w:szCs w:val="24"/>
          <w:lang w:val="en-GB"/>
        </w:rPr>
        <w:t>resolves to invite the Director of the Telecommunication Standardization Bureau</w:t>
      </w:r>
    </w:p>
    <w:p w14:paraId="001424AB" w14:textId="77777777" w:rsidR="00F0236A" w:rsidRPr="00073574" w:rsidRDefault="00F0236A" w:rsidP="00F0236A">
      <w:pPr>
        <w:rPr>
          <w:sz w:val="24"/>
        </w:rPr>
      </w:pPr>
      <w:r w:rsidRPr="00073574">
        <w:rPr>
          <w:sz w:val="24"/>
        </w:rPr>
        <w:t>1</w:t>
      </w:r>
      <w:r w:rsidRPr="00073574">
        <w:rPr>
          <w:sz w:val="24"/>
        </w:rPr>
        <w:tab/>
        <w:t>to encourage Sector Members from the developed countries to promote the participation in ITU</w:t>
      </w:r>
      <w:r w:rsidRPr="00073574">
        <w:rPr>
          <w:sz w:val="24"/>
        </w:rPr>
        <w:noBreakHyphen/>
        <w:t>T activities</w:t>
      </w:r>
      <w:r w:rsidRPr="00073574" w:rsidDel="00FD29F9">
        <w:rPr>
          <w:sz w:val="24"/>
        </w:rPr>
        <w:t xml:space="preserve"> </w:t>
      </w:r>
      <w:r w:rsidRPr="00073574">
        <w:rPr>
          <w:sz w:val="24"/>
        </w:rPr>
        <w:t>of their subsidiaries installed in developing countries;</w:t>
      </w:r>
    </w:p>
    <w:p w14:paraId="1FCF54CB" w14:textId="77777777" w:rsidR="00F0236A" w:rsidRPr="00073574" w:rsidRDefault="00F0236A" w:rsidP="00F0236A">
      <w:pPr>
        <w:rPr>
          <w:sz w:val="24"/>
        </w:rPr>
      </w:pPr>
      <w:r w:rsidRPr="00073574">
        <w:rPr>
          <w:sz w:val="24"/>
        </w:rPr>
        <w:lastRenderedPageBreak/>
        <w:t>2</w:t>
      </w:r>
      <w:r w:rsidRPr="00073574">
        <w:rPr>
          <w:sz w:val="24"/>
        </w:rPr>
        <w:tab/>
        <w:t>to develop mechanisms to support the effective participation by telecommunication operators from developing countries in standardization activities;</w:t>
      </w:r>
    </w:p>
    <w:p w14:paraId="6FF4AAB7" w14:textId="77777777" w:rsidR="00F0236A" w:rsidRPr="00073574" w:rsidRDefault="00F0236A" w:rsidP="00F0236A">
      <w:pPr>
        <w:rPr>
          <w:sz w:val="24"/>
        </w:rPr>
      </w:pPr>
      <w:r w:rsidRPr="00073574">
        <w:rPr>
          <w:rFonts w:eastAsia="Malgun Gothic"/>
          <w:sz w:val="24"/>
        </w:rPr>
        <w:t>3</w:t>
      </w:r>
      <w:r w:rsidRPr="00073574">
        <w:rPr>
          <w:rFonts w:eastAsia="Malgun Gothic"/>
          <w:sz w:val="24"/>
        </w:rPr>
        <w:tab/>
        <w:t>to raise the awareness of the developing countries regarding the benefits of participation and of becoming an ITU-T Sector Member and/or Associate,</w:t>
      </w:r>
    </w:p>
    <w:p w14:paraId="18461416" w14:textId="77777777" w:rsidR="00F0236A" w:rsidRPr="00073574" w:rsidRDefault="00F0236A" w:rsidP="00F0236A">
      <w:pPr>
        <w:pStyle w:val="Call"/>
        <w:rPr>
          <w:sz w:val="24"/>
          <w:szCs w:val="24"/>
          <w:lang w:val="en-GB"/>
        </w:rPr>
      </w:pPr>
      <w:r w:rsidRPr="00073574">
        <w:rPr>
          <w:sz w:val="24"/>
          <w:szCs w:val="24"/>
          <w:lang w:val="en-GB"/>
        </w:rPr>
        <w:t>invites Member States</w:t>
      </w:r>
    </w:p>
    <w:p w14:paraId="537D4F28" w14:textId="77777777" w:rsidR="00F0236A" w:rsidRPr="00073574" w:rsidRDefault="00F0236A" w:rsidP="00F0236A">
      <w:pPr>
        <w:spacing w:after="240"/>
        <w:rPr>
          <w:sz w:val="24"/>
        </w:rPr>
      </w:pPr>
      <w:r w:rsidRPr="00073574">
        <w:rPr>
          <w:sz w:val="24"/>
        </w:rPr>
        <w:t>to encourage their Sector Members to participate in ITU</w:t>
      </w:r>
      <w:r w:rsidRPr="00073574">
        <w:rPr>
          <w:sz w:val="24"/>
        </w:rPr>
        <w:noBreakHyphen/>
        <w:t>T activities.</w:t>
      </w:r>
    </w:p>
    <w:tbl>
      <w:tblPr>
        <w:tblW w:w="963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19"/>
        <w:gridCol w:w="4987"/>
        <w:gridCol w:w="1226"/>
        <w:gridCol w:w="1167"/>
        <w:gridCol w:w="1336"/>
      </w:tblGrid>
      <w:tr w:rsidR="00F0236A" w:rsidRPr="00073574" w14:paraId="47DD370F" w14:textId="77777777" w:rsidTr="21540CF0">
        <w:trPr>
          <w:cantSplit/>
          <w:jc w:val="center"/>
        </w:trPr>
        <w:tc>
          <w:tcPr>
            <w:tcW w:w="919" w:type="dxa"/>
            <w:tcBorders>
              <w:top w:val="single" w:sz="12" w:space="0" w:color="auto"/>
              <w:bottom w:val="single" w:sz="12" w:space="0" w:color="auto"/>
            </w:tcBorders>
            <w:shd w:val="clear" w:color="auto" w:fill="auto"/>
            <w:vAlign w:val="center"/>
          </w:tcPr>
          <w:p w14:paraId="09529018" w14:textId="77777777" w:rsidR="00F0236A" w:rsidRPr="00073574" w:rsidRDefault="00F0236A" w:rsidP="00DF36E1">
            <w:pPr>
              <w:pStyle w:val="Tablehead"/>
              <w:rPr>
                <w:sz w:val="24"/>
                <w:szCs w:val="24"/>
              </w:rPr>
            </w:pPr>
            <w:r w:rsidRPr="00073574">
              <w:rPr>
                <w:sz w:val="24"/>
                <w:szCs w:val="24"/>
              </w:rPr>
              <w:t>Action Item</w:t>
            </w:r>
          </w:p>
        </w:tc>
        <w:tc>
          <w:tcPr>
            <w:tcW w:w="4987" w:type="dxa"/>
            <w:tcBorders>
              <w:top w:val="single" w:sz="12" w:space="0" w:color="auto"/>
              <w:bottom w:val="single" w:sz="12" w:space="0" w:color="auto"/>
            </w:tcBorders>
            <w:shd w:val="clear" w:color="auto" w:fill="auto"/>
            <w:vAlign w:val="center"/>
            <w:hideMark/>
          </w:tcPr>
          <w:p w14:paraId="3F6EA509" w14:textId="77777777" w:rsidR="00F0236A" w:rsidRPr="00073574" w:rsidRDefault="00F0236A" w:rsidP="00DF36E1">
            <w:pPr>
              <w:pStyle w:val="Tablehead"/>
              <w:rPr>
                <w:sz w:val="24"/>
                <w:szCs w:val="24"/>
              </w:rPr>
            </w:pPr>
            <w:r w:rsidRPr="00073574">
              <w:rPr>
                <w:sz w:val="24"/>
                <w:szCs w:val="24"/>
              </w:rPr>
              <w:t>Action</w:t>
            </w:r>
          </w:p>
        </w:tc>
        <w:tc>
          <w:tcPr>
            <w:tcW w:w="1226" w:type="dxa"/>
            <w:tcBorders>
              <w:top w:val="single" w:sz="12" w:space="0" w:color="auto"/>
              <w:bottom w:val="single" w:sz="12" w:space="0" w:color="auto"/>
            </w:tcBorders>
            <w:shd w:val="clear" w:color="auto" w:fill="auto"/>
            <w:vAlign w:val="center"/>
            <w:hideMark/>
          </w:tcPr>
          <w:p w14:paraId="12BE2C94" w14:textId="77777777" w:rsidR="00F0236A" w:rsidRPr="00073574" w:rsidRDefault="00F0236A" w:rsidP="00DF36E1">
            <w:pPr>
              <w:pStyle w:val="Tablehead"/>
              <w:rPr>
                <w:sz w:val="24"/>
                <w:szCs w:val="24"/>
              </w:rPr>
            </w:pPr>
            <w:r w:rsidRPr="00073574">
              <w:rPr>
                <w:sz w:val="24"/>
                <w:szCs w:val="24"/>
              </w:rPr>
              <w:t>Milestone</w:t>
            </w:r>
          </w:p>
        </w:tc>
        <w:tc>
          <w:tcPr>
            <w:tcW w:w="1167" w:type="dxa"/>
            <w:tcBorders>
              <w:top w:val="single" w:sz="12" w:space="0" w:color="auto"/>
              <w:bottom w:val="single" w:sz="12" w:space="0" w:color="auto"/>
            </w:tcBorders>
            <w:shd w:val="clear" w:color="auto" w:fill="auto"/>
          </w:tcPr>
          <w:p w14:paraId="24C0E93B" w14:textId="77777777" w:rsidR="00F0236A" w:rsidRPr="00073574" w:rsidRDefault="00F0236A" w:rsidP="00DF36E1">
            <w:pPr>
              <w:pStyle w:val="Tablehead"/>
              <w:rPr>
                <w:sz w:val="24"/>
                <w:szCs w:val="24"/>
              </w:rPr>
            </w:pPr>
            <w:r w:rsidRPr="00073574">
              <w:rPr>
                <w:sz w:val="24"/>
                <w:szCs w:val="24"/>
              </w:rPr>
              <w:t>Periodic goals met</w:t>
            </w:r>
          </w:p>
        </w:tc>
        <w:tc>
          <w:tcPr>
            <w:tcW w:w="1336" w:type="dxa"/>
            <w:tcBorders>
              <w:top w:val="single" w:sz="12" w:space="0" w:color="auto"/>
              <w:bottom w:val="single" w:sz="12" w:space="0" w:color="auto"/>
            </w:tcBorders>
            <w:shd w:val="clear" w:color="auto" w:fill="auto"/>
            <w:vAlign w:val="center"/>
          </w:tcPr>
          <w:p w14:paraId="17C05082" w14:textId="77777777" w:rsidR="00F0236A" w:rsidRPr="00073574" w:rsidRDefault="00F0236A" w:rsidP="00DF36E1">
            <w:pPr>
              <w:pStyle w:val="Tablehead"/>
              <w:rPr>
                <w:sz w:val="24"/>
                <w:szCs w:val="24"/>
              </w:rPr>
            </w:pPr>
            <w:r w:rsidRPr="00073574">
              <w:rPr>
                <w:sz w:val="24"/>
                <w:szCs w:val="24"/>
              </w:rPr>
              <w:t>Completed</w:t>
            </w:r>
          </w:p>
        </w:tc>
      </w:tr>
      <w:tr w:rsidR="00F0236A" w:rsidRPr="00073574" w14:paraId="492CABDA" w14:textId="77777777" w:rsidTr="21540CF0">
        <w:trPr>
          <w:cantSplit/>
          <w:jc w:val="center"/>
        </w:trPr>
        <w:tc>
          <w:tcPr>
            <w:tcW w:w="919" w:type="dxa"/>
            <w:vMerge w:val="restart"/>
            <w:tcBorders>
              <w:top w:val="single" w:sz="12" w:space="0" w:color="auto"/>
            </w:tcBorders>
            <w:shd w:val="clear" w:color="auto" w:fill="auto"/>
          </w:tcPr>
          <w:p w14:paraId="0C961E42" w14:textId="77777777" w:rsidR="00F0236A" w:rsidRPr="00073574" w:rsidRDefault="00F0236A" w:rsidP="00DF36E1">
            <w:pPr>
              <w:pStyle w:val="Tabletext"/>
              <w:keepNext/>
              <w:keepLines/>
              <w:rPr>
                <w:b/>
                <w:bCs/>
                <w:sz w:val="24"/>
                <w:szCs w:val="24"/>
              </w:rPr>
            </w:pPr>
            <w:r w:rsidRPr="00073574">
              <w:rPr>
                <w:b/>
                <w:bCs/>
                <w:sz w:val="24"/>
                <w:szCs w:val="24"/>
              </w:rPr>
              <w:t>59-01</w:t>
            </w:r>
          </w:p>
        </w:tc>
        <w:tc>
          <w:tcPr>
            <w:tcW w:w="4987" w:type="dxa"/>
            <w:tcBorders>
              <w:top w:val="single" w:sz="12" w:space="0" w:color="auto"/>
              <w:bottom w:val="single" w:sz="4" w:space="0" w:color="auto"/>
            </w:tcBorders>
            <w:shd w:val="clear" w:color="auto" w:fill="auto"/>
            <w:hideMark/>
          </w:tcPr>
          <w:p w14:paraId="76137B5A" w14:textId="77777777" w:rsidR="00F0236A" w:rsidRPr="00073574" w:rsidRDefault="00F0236A" w:rsidP="00DF36E1">
            <w:pPr>
              <w:pStyle w:val="Tabletext"/>
              <w:keepNext/>
              <w:keepLines/>
              <w:rPr>
                <w:b/>
                <w:bCs/>
                <w:sz w:val="24"/>
                <w:szCs w:val="24"/>
              </w:rPr>
            </w:pPr>
            <w:r w:rsidRPr="00073574">
              <w:rPr>
                <w:b/>
                <w:bCs/>
                <w:sz w:val="24"/>
                <w:szCs w:val="24"/>
              </w:rPr>
              <w:t>TSB to raise awareness of developing countries regarding the benefits of ITU-T membership (resolves 3)</w:t>
            </w:r>
          </w:p>
        </w:tc>
        <w:tc>
          <w:tcPr>
            <w:tcW w:w="1226" w:type="dxa"/>
            <w:tcBorders>
              <w:top w:val="single" w:sz="12" w:space="0" w:color="auto"/>
              <w:bottom w:val="single" w:sz="4" w:space="0" w:color="auto"/>
            </w:tcBorders>
            <w:shd w:val="clear" w:color="auto" w:fill="auto"/>
            <w:vAlign w:val="center"/>
            <w:hideMark/>
          </w:tcPr>
          <w:p w14:paraId="6470206F"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67" w:type="dxa"/>
            <w:tcBorders>
              <w:top w:val="single" w:sz="12" w:space="0" w:color="auto"/>
              <w:bottom w:val="single" w:sz="4" w:space="0" w:color="auto"/>
            </w:tcBorders>
            <w:shd w:val="clear" w:color="auto" w:fill="auto"/>
            <w:vAlign w:val="center"/>
          </w:tcPr>
          <w:p w14:paraId="3C991C2A"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bottom w:val="single" w:sz="4" w:space="0" w:color="auto"/>
            </w:tcBorders>
            <w:shd w:val="clear" w:color="auto" w:fill="auto"/>
            <w:vAlign w:val="center"/>
          </w:tcPr>
          <w:p w14:paraId="58DA48EE" w14:textId="77777777" w:rsidR="00F0236A" w:rsidRPr="00073574" w:rsidRDefault="00F0236A" w:rsidP="00DF36E1">
            <w:pPr>
              <w:pStyle w:val="Tabletext"/>
              <w:jc w:val="center"/>
              <w:rPr>
                <w:b/>
                <w:bCs/>
                <w:sz w:val="24"/>
                <w:szCs w:val="24"/>
              </w:rPr>
            </w:pPr>
          </w:p>
        </w:tc>
      </w:tr>
      <w:tr w:rsidR="00F0236A" w:rsidRPr="00073574" w14:paraId="3655DFE3" w14:textId="77777777" w:rsidTr="21540CF0">
        <w:trPr>
          <w:cantSplit/>
          <w:jc w:val="center"/>
        </w:trPr>
        <w:tc>
          <w:tcPr>
            <w:tcW w:w="919" w:type="dxa"/>
            <w:vMerge/>
          </w:tcPr>
          <w:p w14:paraId="51C9986B" w14:textId="77777777" w:rsidR="00F0236A" w:rsidRPr="00073574" w:rsidRDefault="00F0236A" w:rsidP="00DF36E1">
            <w:pPr>
              <w:pStyle w:val="Tabletext"/>
              <w:rPr>
                <w:sz w:val="24"/>
                <w:szCs w:val="24"/>
              </w:rPr>
            </w:pPr>
          </w:p>
        </w:tc>
        <w:tc>
          <w:tcPr>
            <w:tcW w:w="8716" w:type="dxa"/>
            <w:gridSpan w:val="4"/>
            <w:tcBorders>
              <w:top w:val="single" w:sz="4" w:space="0" w:color="auto"/>
            </w:tcBorders>
            <w:shd w:val="clear" w:color="auto" w:fill="auto"/>
          </w:tcPr>
          <w:p w14:paraId="3DE932FD" w14:textId="77777777" w:rsidR="00F0236A" w:rsidRPr="00073574" w:rsidRDefault="00F0236A" w:rsidP="00DF36E1">
            <w:pPr>
              <w:pStyle w:val="Tabletext"/>
              <w:rPr>
                <w:szCs w:val="22"/>
              </w:rPr>
            </w:pPr>
            <w:r w:rsidRPr="00073574">
              <w:rPr>
                <w:szCs w:val="22"/>
              </w:rPr>
              <w:t>The benefits of ITU-T membership are being presented at ITU-T regional Study Groups meetings and workshops in developing countries.</w:t>
            </w:r>
          </w:p>
        </w:tc>
      </w:tr>
      <w:tr w:rsidR="00F0236A" w:rsidRPr="00073574" w14:paraId="5E24636B" w14:textId="77777777" w:rsidTr="21540CF0">
        <w:trPr>
          <w:cantSplit/>
          <w:jc w:val="center"/>
        </w:trPr>
        <w:tc>
          <w:tcPr>
            <w:tcW w:w="919" w:type="dxa"/>
            <w:vMerge w:val="restart"/>
            <w:tcBorders>
              <w:top w:val="single" w:sz="12" w:space="0" w:color="auto"/>
            </w:tcBorders>
            <w:shd w:val="clear" w:color="auto" w:fill="auto"/>
          </w:tcPr>
          <w:p w14:paraId="177AE85A" w14:textId="77777777" w:rsidR="00F0236A" w:rsidRPr="00073574" w:rsidRDefault="00F0236A" w:rsidP="00DF36E1">
            <w:pPr>
              <w:pStyle w:val="Tabletext"/>
              <w:rPr>
                <w:b/>
                <w:bCs/>
                <w:sz w:val="24"/>
                <w:szCs w:val="24"/>
              </w:rPr>
            </w:pPr>
            <w:r w:rsidRPr="00073574">
              <w:rPr>
                <w:b/>
                <w:bCs/>
                <w:sz w:val="24"/>
                <w:szCs w:val="24"/>
              </w:rPr>
              <w:t>59-02</w:t>
            </w:r>
          </w:p>
        </w:tc>
        <w:tc>
          <w:tcPr>
            <w:tcW w:w="4987" w:type="dxa"/>
            <w:tcBorders>
              <w:top w:val="single" w:sz="12" w:space="0" w:color="auto"/>
            </w:tcBorders>
            <w:shd w:val="clear" w:color="auto" w:fill="auto"/>
            <w:hideMark/>
          </w:tcPr>
          <w:p w14:paraId="613072D9" w14:textId="77777777" w:rsidR="00F0236A" w:rsidRPr="00073574" w:rsidRDefault="00F0236A" w:rsidP="00DF36E1">
            <w:pPr>
              <w:pStyle w:val="Tabletext"/>
              <w:rPr>
                <w:b/>
                <w:bCs/>
                <w:sz w:val="24"/>
                <w:szCs w:val="24"/>
              </w:rPr>
            </w:pPr>
            <w:r w:rsidRPr="00073574">
              <w:rPr>
                <w:b/>
                <w:bCs/>
                <w:sz w:val="24"/>
                <w:szCs w:val="24"/>
              </w:rPr>
              <w:t>TSB Director to encourage SMs from developing countries to promote their subsidiaries to participate in ITU-T activities (resolves 1)</w:t>
            </w:r>
          </w:p>
        </w:tc>
        <w:tc>
          <w:tcPr>
            <w:tcW w:w="1226" w:type="dxa"/>
            <w:tcBorders>
              <w:top w:val="single" w:sz="12" w:space="0" w:color="auto"/>
            </w:tcBorders>
            <w:shd w:val="clear" w:color="auto" w:fill="auto"/>
            <w:vAlign w:val="center"/>
            <w:hideMark/>
          </w:tcPr>
          <w:p w14:paraId="1AB2EAD7"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67" w:type="dxa"/>
            <w:tcBorders>
              <w:top w:val="single" w:sz="12" w:space="0" w:color="auto"/>
            </w:tcBorders>
            <w:shd w:val="clear" w:color="auto" w:fill="auto"/>
            <w:vAlign w:val="center"/>
          </w:tcPr>
          <w:p w14:paraId="5CE8052F" w14:textId="07F67508" w:rsidR="00F0236A" w:rsidRPr="00073574" w:rsidRDefault="004B0B45"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4C1BB610" w14:textId="77777777" w:rsidR="00F0236A" w:rsidRPr="00073574" w:rsidRDefault="00F0236A" w:rsidP="00DF36E1">
            <w:pPr>
              <w:pStyle w:val="Tabletext"/>
              <w:jc w:val="center"/>
              <w:rPr>
                <w:b/>
                <w:bCs/>
                <w:sz w:val="24"/>
                <w:szCs w:val="24"/>
              </w:rPr>
            </w:pPr>
          </w:p>
        </w:tc>
      </w:tr>
      <w:tr w:rsidR="00F0236A" w:rsidRPr="00073574" w14:paraId="18A6A77A" w14:textId="77777777" w:rsidTr="21540CF0">
        <w:trPr>
          <w:cantSplit/>
          <w:jc w:val="center"/>
        </w:trPr>
        <w:tc>
          <w:tcPr>
            <w:tcW w:w="919" w:type="dxa"/>
            <w:vMerge/>
          </w:tcPr>
          <w:p w14:paraId="3506F762" w14:textId="77777777" w:rsidR="00F0236A" w:rsidRPr="00073574" w:rsidRDefault="00F0236A" w:rsidP="00DF36E1">
            <w:pPr>
              <w:pStyle w:val="Tabletext"/>
              <w:rPr>
                <w:sz w:val="24"/>
                <w:szCs w:val="24"/>
              </w:rPr>
            </w:pPr>
          </w:p>
        </w:tc>
        <w:tc>
          <w:tcPr>
            <w:tcW w:w="8716" w:type="dxa"/>
            <w:gridSpan w:val="4"/>
            <w:tcBorders>
              <w:bottom w:val="single" w:sz="12" w:space="0" w:color="auto"/>
            </w:tcBorders>
            <w:shd w:val="clear" w:color="auto" w:fill="auto"/>
          </w:tcPr>
          <w:p w14:paraId="674D3993" w14:textId="6D21C46D" w:rsidR="004B0B45" w:rsidRPr="00073574" w:rsidRDefault="004B0B45" w:rsidP="004B0B45">
            <w:pPr>
              <w:pStyle w:val="Tabletext"/>
              <w:rPr>
                <w:szCs w:val="22"/>
              </w:rPr>
            </w:pPr>
            <w:r w:rsidRPr="00073574">
              <w:rPr>
                <w:szCs w:val="22"/>
              </w:rPr>
              <w:t xml:space="preserve">13 Sector Members </w:t>
            </w:r>
            <w:r w:rsidR="00366AA1" w:rsidRPr="00073574">
              <w:rPr>
                <w:szCs w:val="22"/>
              </w:rPr>
              <w:t xml:space="preserve">in total from developing countries </w:t>
            </w:r>
            <w:r w:rsidRPr="00073574">
              <w:rPr>
                <w:szCs w:val="22"/>
              </w:rPr>
              <w:t>attended CxO/CTO group meetings since 2017</w:t>
            </w:r>
            <w:r w:rsidR="006C13AC" w:rsidRPr="00073574">
              <w:rPr>
                <w:szCs w:val="22"/>
              </w:rPr>
              <w:t xml:space="preserve">, and more than 100 operators </w:t>
            </w:r>
            <w:r w:rsidR="00D24139" w:rsidRPr="00073574">
              <w:rPr>
                <w:szCs w:val="22"/>
              </w:rPr>
              <w:t xml:space="preserve">from developing countries </w:t>
            </w:r>
            <w:r w:rsidR="006C13AC" w:rsidRPr="00073574">
              <w:rPr>
                <w:szCs w:val="22"/>
              </w:rPr>
              <w:t xml:space="preserve">participated in ITU TelecomWorld events. </w:t>
            </w:r>
            <w:r w:rsidRPr="00073574">
              <w:rPr>
                <w:szCs w:val="22"/>
              </w:rPr>
              <w:t xml:space="preserve">The TSB Director took the opportunity to encourage those members </w:t>
            </w:r>
            <w:r w:rsidR="006C13AC" w:rsidRPr="00073574">
              <w:rPr>
                <w:szCs w:val="22"/>
              </w:rPr>
              <w:t xml:space="preserve">and organizations </w:t>
            </w:r>
            <w:r w:rsidR="00D24139" w:rsidRPr="00073574">
              <w:rPr>
                <w:szCs w:val="22"/>
              </w:rPr>
              <w:t xml:space="preserve">from developing countries </w:t>
            </w:r>
            <w:r w:rsidRPr="00073574">
              <w:rPr>
                <w:szCs w:val="22"/>
              </w:rPr>
              <w:t>to participate in ITU-T activities.</w:t>
            </w:r>
          </w:p>
        </w:tc>
      </w:tr>
      <w:tr w:rsidR="00F0236A" w:rsidRPr="00073574" w14:paraId="7904B7D2" w14:textId="77777777" w:rsidTr="21540CF0">
        <w:trPr>
          <w:cantSplit/>
          <w:jc w:val="center"/>
        </w:trPr>
        <w:tc>
          <w:tcPr>
            <w:tcW w:w="919" w:type="dxa"/>
            <w:vMerge w:val="restart"/>
            <w:tcBorders>
              <w:top w:val="single" w:sz="12" w:space="0" w:color="auto"/>
            </w:tcBorders>
            <w:shd w:val="clear" w:color="auto" w:fill="auto"/>
          </w:tcPr>
          <w:p w14:paraId="4C73BC73" w14:textId="77777777" w:rsidR="00F0236A" w:rsidRPr="00073574" w:rsidRDefault="00F0236A" w:rsidP="00AC4012">
            <w:pPr>
              <w:pStyle w:val="Tabletext"/>
              <w:rPr>
                <w:b/>
                <w:bCs/>
                <w:sz w:val="24"/>
                <w:szCs w:val="24"/>
              </w:rPr>
            </w:pPr>
            <w:r w:rsidRPr="00073574">
              <w:rPr>
                <w:b/>
                <w:bCs/>
                <w:sz w:val="24"/>
                <w:szCs w:val="24"/>
              </w:rPr>
              <w:t>59-03</w:t>
            </w:r>
          </w:p>
        </w:tc>
        <w:tc>
          <w:tcPr>
            <w:tcW w:w="4987" w:type="dxa"/>
            <w:tcBorders>
              <w:top w:val="single" w:sz="12" w:space="0" w:color="auto"/>
            </w:tcBorders>
            <w:shd w:val="clear" w:color="auto" w:fill="auto"/>
            <w:hideMark/>
          </w:tcPr>
          <w:p w14:paraId="0F116C69" w14:textId="77777777" w:rsidR="00F0236A" w:rsidRPr="00073574" w:rsidRDefault="00F0236A" w:rsidP="00DF36E1">
            <w:pPr>
              <w:pStyle w:val="Tabletext"/>
              <w:keepNext/>
              <w:keepLines/>
              <w:rPr>
                <w:b/>
                <w:bCs/>
                <w:sz w:val="24"/>
                <w:szCs w:val="24"/>
              </w:rPr>
            </w:pPr>
            <w:r w:rsidRPr="00073574">
              <w:rPr>
                <w:b/>
                <w:bCs/>
                <w:sz w:val="24"/>
                <w:szCs w:val="24"/>
              </w:rPr>
              <w:t>TSB Director to grant fellowships for network operators from developing countries</w:t>
            </w:r>
          </w:p>
        </w:tc>
        <w:tc>
          <w:tcPr>
            <w:tcW w:w="1226" w:type="dxa"/>
            <w:tcBorders>
              <w:top w:val="single" w:sz="12" w:space="0" w:color="auto"/>
            </w:tcBorders>
            <w:shd w:val="clear" w:color="auto" w:fill="auto"/>
            <w:vAlign w:val="center"/>
            <w:hideMark/>
          </w:tcPr>
          <w:p w14:paraId="2A78A973"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67" w:type="dxa"/>
            <w:tcBorders>
              <w:top w:val="single" w:sz="12" w:space="0" w:color="auto"/>
            </w:tcBorders>
            <w:shd w:val="clear" w:color="auto" w:fill="auto"/>
            <w:vAlign w:val="center"/>
          </w:tcPr>
          <w:p w14:paraId="7209682E"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6DEEB0E2" w14:textId="77777777" w:rsidR="00F0236A" w:rsidRPr="00073574" w:rsidRDefault="00F0236A" w:rsidP="00DF36E1">
            <w:pPr>
              <w:pStyle w:val="Tabletext"/>
              <w:jc w:val="center"/>
              <w:rPr>
                <w:b/>
                <w:bCs/>
                <w:sz w:val="24"/>
                <w:szCs w:val="24"/>
              </w:rPr>
            </w:pPr>
          </w:p>
        </w:tc>
      </w:tr>
      <w:tr w:rsidR="00F0236A" w:rsidRPr="00073574" w14:paraId="4A1875C6" w14:textId="77777777" w:rsidTr="21540CF0">
        <w:trPr>
          <w:jc w:val="center"/>
        </w:trPr>
        <w:tc>
          <w:tcPr>
            <w:tcW w:w="919" w:type="dxa"/>
            <w:vMerge/>
            <w:vAlign w:val="center"/>
          </w:tcPr>
          <w:p w14:paraId="450CFEE1" w14:textId="77777777" w:rsidR="00F0236A" w:rsidRPr="00073574" w:rsidRDefault="00F0236A" w:rsidP="00DF36E1">
            <w:pPr>
              <w:pStyle w:val="Tabletext"/>
              <w:rPr>
                <w:sz w:val="24"/>
                <w:szCs w:val="24"/>
              </w:rPr>
            </w:pPr>
          </w:p>
        </w:tc>
        <w:tc>
          <w:tcPr>
            <w:tcW w:w="8716" w:type="dxa"/>
            <w:gridSpan w:val="4"/>
            <w:shd w:val="clear" w:color="auto" w:fill="auto"/>
          </w:tcPr>
          <w:p w14:paraId="1E9AE6DD" w14:textId="0E6CE262" w:rsidR="00F0236A" w:rsidRPr="00073574" w:rsidRDefault="00F0236A" w:rsidP="21540CF0">
            <w:pPr>
              <w:spacing w:before="40"/>
            </w:pPr>
            <w:r w:rsidRPr="00073574">
              <w:t xml:space="preserve">Fellowships are made available to attend ITU-T meetings, including study group meetings and regional study group meetings, workshops and seminars. These are allocated according to the following criteria: available TSB budget; </w:t>
            </w:r>
            <w:r w:rsidR="7F7A70DC" w:rsidRPr="00073574">
              <w:rPr>
                <w:rFonts w:eastAsia="Times New Roman"/>
                <w:szCs w:val="22"/>
              </w:rPr>
              <w:t xml:space="preserve">active participation, including the submission of written </w:t>
            </w:r>
            <w:r w:rsidRPr="00073574">
              <w:t>contributions; equitable distribution among countries</w:t>
            </w:r>
            <w:r w:rsidR="556B7B7A" w:rsidRPr="00073574">
              <w:t xml:space="preserve"> and regions</w:t>
            </w:r>
            <w:r w:rsidRPr="00073574">
              <w:t>; gender balance and network operators.  The current policy is to allocate partial fellowships only.</w:t>
            </w:r>
          </w:p>
          <w:p w14:paraId="09AC29C6" w14:textId="77777777" w:rsidR="00F0236A" w:rsidRPr="00073574" w:rsidRDefault="00F0236A" w:rsidP="00DF36E1">
            <w:pPr>
              <w:pStyle w:val="Tabletext"/>
              <w:rPr>
                <w:rFonts w:eastAsiaTheme="minorEastAsia"/>
                <w:szCs w:val="22"/>
                <w:lang w:eastAsia="ja-JP"/>
              </w:rPr>
            </w:pPr>
            <w:r w:rsidRPr="00073574">
              <w:rPr>
                <w:rFonts w:eastAsiaTheme="minorEastAsia"/>
                <w:szCs w:val="22"/>
                <w:lang w:eastAsia="ja-JP"/>
              </w:rPr>
              <w:t>All Collective Letters issued include information on fellowships and the necessary application form. TSB provides the fellowships in coordination with BDT.</w:t>
            </w:r>
          </w:p>
          <w:p w14:paraId="547317E5" w14:textId="1CB0C624" w:rsidR="00FB2D35" w:rsidRPr="00073574" w:rsidRDefault="00FB2D35" w:rsidP="00DF36E1">
            <w:pPr>
              <w:pStyle w:val="Tabletext"/>
              <w:rPr>
                <w:rFonts w:eastAsiaTheme="minorEastAsia"/>
                <w:szCs w:val="22"/>
                <w:lang w:eastAsia="ja-JP"/>
              </w:rPr>
            </w:pPr>
            <w:r w:rsidRPr="00073574">
              <w:rPr>
                <w:rFonts w:eastAsiaTheme="minorEastAsia"/>
                <w:szCs w:val="22"/>
                <w:lang w:eastAsia="ja-JP"/>
              </w:rPr>
              <w:t>Due to Covid restrictions, no fellowships were awarded since March 2021.</w:t>
            </w:r>
          </w:p>
          <w:p w14:paraId="3797800E" w14:textId="41ABE670" w:rsidR="000D68A0" w:rsidRPr="00073574" w:rsidRDefault="000D68A0" w:rsidP="00DF36E1">
            <w:pPr>
              <w:pStyle w:val="Tabletext"/>
              <w:rPr>
                <w:sz w:val="24"/>
                <w:szCs w:val="24"/>
              </w:rPr>
            </w:pPr>
            <w:r w:rsidRPr="00073574">
              <w:rPr>
                <w:rFonts w:eastAsiaTheme="minorEastAsia"/>
                <w:szCs w:val="22"/>
                <w:lang w:eastAsia="ja-JP"/>
              </w:rPr>
              <w:t>See also action item 44-30.</w:t>
            </w:r>
          </w:p>
        </w:tc>
      </w:tr>
    </w:tbl>
    <w:bookmarkStart w:id="273" w:name="Item59_01"/>
    <w:bookmarkStart w:id="274" w:name="Item59_02"/>
    <w:bookmarkStart w:id="275" w:name="Item59_03"/>
    <w:bookmarkEnd w:id="273"/>
    <w:bookmarkEnd w:id="274"/>
    <w:bookmarkEnd w:id="275"/>
    <w:p w14:paraId="276AFADB" w14:textId="77777777" w:rsidR="00F0236A" w:rsidRPr="00073574" w:rsidRDefault="00F0236A" w:rsidP="00F0236A">
      <w:pPr>
        <w:rPr>
          <w:sz w:val="24"/>
        </w:rPr>
      </w:pPr>
      <w:r w:rsidRPr="00073574">
        <w:rPr>
          <w:color w:val="2B579A"/>
          <w:shd w:val="clear" w:color="auto" w:fill="E6E6E6"/>
        </w:rPr>
        <w:fldChar w:fldCharType="begin"/>
      </w:r>
      <w:r w:rsidRPr="00073574">
        <w:rPr>
          <w:sz w:val="24"/>
        </w:rPr>
        <w:instrText xml:space="preserve"> HYPERLINK \l "Top" </w:instrText>
      </w:r>
      <w:r w:rsidRPr="00073574">
        <w:rPr>
          <w:color w:val="2B579A"/>
          <w:shd w:val="clear" w:color="auto" w:fill="E6E6E6"/>
        </w:rPr>
        <w:fldChar w:fldCharType="separate"/>
      </w:r>
      <w:r w:rsidRPr="00073574">
        <w:rPr>
          <w:rStyle w:val="Hyperlink"/>
          <w:rFonts w:eastAsia="Times New Roman"/>
          <w:sz w:val="24"/>
        </w:rPr>
        <w:t>» Top</w:t>
      </w:r>
      <w:r w:rsidRPr="00073574">
        <w:rPr>
          <w:rStyle w:val="Hyperlink"/>
          <w:rFonts w:eastAsia="Times New Roman"/>
          <w:sz w:val="24"/>
        </w:rPr>
        <w:fldChar w:fldCharType="end"/>
      </w:r>
    </w:p>
    <w:p w14:paraId="4E2679CD" w14:textId="77777777" w:rsidR="00F0236A" w:rsidRPr="00073574" w:rsidRDefault="00F0236A" w:rsidP="00F0236A">
      <w:pPr>
        <w:rPr>
          <w:sz w:val="24"/>
        </w:rPr>
      </w:pPr>
    </w:p>
    <w:p w14:paraId="351B89EF" w14:textId="1813EFFB" w:rsidR="00F0236A" w:rsidRPr="00073574" w:rsidRDefault="00F0236A" w:rsidP="00D100F9">
      <w:pPr>
        <w:pStyle w:val="Heading1"/>
        <w:keepNext/>
        <w:keepLines/>
        <w:rPr>
          <w:sz w:val="24"/>
          <w:szCs w:val="24"/>
          <w:lang w:val="en-GB"/>
        </w:rPr>
      </w:pPr>
      <w:bookmarkStart w:id="276" w:name="Resolution_60"/>
      <w:bookmarkStart w:id="277" w:name="_Toc304236444"/>
      <w:bookmarkStart w:id="278" w:name="_Toc471715378"/>
      <w:bookmarkStart w:id="279" w:name="_Toc93425264"/>
      <w:bookmarkEnd w:id="276"/>
      <w:r w:rsidRPr="00073574">
        <w:rPr>
          <w:sz w:val="24"/>
          <w:szCs w:val="24"/>
          <w:lang w:val="en-GB"/>
        </w:rPr>
        <w:lastRenderedPageBreak/>
        <w:t xml:space="preserve">Resolution 60 </w:t>
      </w:r>
      <w:r w:rsidR="0034409A" w:rsidRPr="00073574">
        <w:rPr>
          <w:sz w:val="24"/>
          <w:szCs w:val="24"/>
          <w:lang w:val="en-GB"/>
        </w:rPr>
        <w:t>–</w:t>
      </w:r>
      <w:r w:rsidRPr="00073574">
        <w:rPr>
          <w:sz w:val="24"/>
          <w:szCs w:val="24"/>
          <w:lang w:val="en-GB"/>
        </w:rPr>
        <w:t xml:space="preserve"> Responding to the challenges of the evolution of the identification/numbering system and its convergence with IP-based systems / networks</w:t>
      </w:r>
      <w:bookmarkEnd w:id="277"/>
      <w:bookmarkEnd w:id="278"/>
      <w:bookmarkEnd w:id="279"/>
    </w:p>
    <w:p w14:paraId="7C877534" w14:textId="77777777" w:rsidR="00F0236A" w:rsidRPr="00073574" w:rsidRDefault="00F0236A" w:rsidP="00D100F9">
      <w:pPr>
        <w:keepNext/>
        <w:keepLines/>
        <w:rPr>
          <w:b/>
          <w:bCs/>
          <w:sz w:val="24"/>
        </w:rPr>
      </w:pPr>
      <w:r w:rsidRPr="00073574">
        <w:rPr>
          <w:b/>
          <w:bCs/>
          <w:sz w:val="24"/>
        </w:rPr>
        <w:t>Resolution 60</w:t>
      </w:r>
    </w:p>
    <w:p w14:paraId="73A854DB" w14:textId="77777777" w:rsidR="00F0236A" w:rsidRPr="00073574" w:rsidRDefault="00F0236A" w:rsidP="00D100F9">
      <w:pPr>
        <w:pStyle w:val="Call"/>
        <w:rPr>
          <w:sz w:val="24"/>
          <w:szCs w:val="24"/>
          <w:lang w:val="en-GB"/>
        </w:rPr>
      </w:pPr>
      <w:r w:rsidRPr="00073574">
        <w:rPr>
          <w:sz w:val="24"/>
          <w:szCs w:val="24"/>
          <w:lang w:val="en-GB"/>
        </w:rPr>
        <w:t>resolves to instruct ITU-T Study Group 2, within the mandate of ITU</w:t>
      </w:r>
      <w:r w:rsidRPr="00073574">
        <w:rPr>
          <w:sz w:val="24"/>
          <w:szCs w:val="24"/>
          <w:lang w:val="en-GB"/>
        </w:rPr>
        <w:noBreakHyphen/>
        <w:t>T</w:t>
      </w:r>
    </w:p>
    <w:p w14:paraId="1BCC5743" w14:textId="77777777" w:rsidR="00F0236A" w:rsidRPr="00073574" w:rsidRDefault="00F0236A" w:rsidP="00D100F9">
      <w:pPr>
        <w:keepNext/>
        <w:keepLines/>
        <w:rPr>
          <w:sz w:val="24"/>
        </w:rPr>
      </w:pPr>
      <w:r w:rsidRPr="00073574">
        <w:rPr>
          <w:sz w:val="24"/>
        </w:rPr>
        <w:t>1</w:t>
      </w:r>
      <w:r w:rsidRPr="00073574">
        <w:rPr>
          <w:sz w:val="24"/>
        </w:rPr>
        <w:tab/>
        <w:t>to continue studying, in liaison with the other relevant study groups, the necessary requirements for the structure and maintenance of telecommunication identification/numbering resources in relation to the deployment of IP-based networks and the transition to NGN and FN;</w:t>
      </w:r>
    </w:p>
    <w:p w14:paraId="093C6901" w14:textId="77777777" w:rsidR="00F0236A" w:rsidRPr="00073574" w:rsidRDefault="00F0236A" w:rsidP="00F0236A">
      <w:pPr>
        <w:rPr>
          <w:sz w:val="24"/>
        </w:rPr>
      </w:pPr>
      <w:r w:rsidRPr="00073574">
        <w:rPr>
          <w:sz w:val="24"/>
        </w:rPr>
        <w:t>2</w:t>
      </w:r>
      <w:r w:rsidRPr="00073574">
        <w:rPr>
          <w:sz w:val="24"/>
        </w:rPr>
        <w:tab/>
        <w:t>to ensure the development of the administrative requirements for identification/numbering resource management systems in NGN and FN;</w:t>
      </w:r>
    </w:p>
    <w:p w14:paraId="6D94FFA9" w14:textId="77777777" w:rsidR="00F0236A" w:rsidRPr="00073574" w:rsidRDefault="00F0236A" w:rsidP="00F0236A">
      <w:pPr>
        <w:rPr>
          <w:sz w:val="24"/>
        </w:rPr>
      </w:pPr>
      <w:r w:rsidRPr="00073574">
        <w:rPr>
          <w:sz w:val="24"/>
        </w:rPr>
        <w:t>3</w:t>
      </w:r>
      <w:r w:rsidRPr="00073574">
        <w:rPr>
          <w:sz w:val="24"/>
        </w:rPr>
        <w:tab/>
        <w:t>to continue developing guidelines, as well as a framework, for the evolution of the international telecommunication numbering system and its convergence with IP-based systems, in coordination with related study groups and associated regional groups, so that a basis for any new application can be provided,</w:t>
      </w:r>
    </w:p>
    <w:p w14:paraId="0820EE5C" w14:textId="77777777" w:rsidR="00F0236A" w:rsidRPr="00073574" w:rsidRDefault="00F0236A" w:rsidP="00F0236A">
      <w:pPr>
        <w:pStyle w:val="Call"/>
        <w:rPr>
          <w:sz w:val="24"/>
          <w:szCs w:val="24"/>
          <w:lang w:val="en-GB"/>
        </w:rPr>
      </w:pPr>
      <w:r w:rsidRPr="00073574">
        <w:rPr>
          <w:sz w:val="24"/>
          <w:szCs w:val="24"/>
          <w:lang w:val="en-GB"/>
        </w:rPr>
        <w:t>instructs relevant study groups, and in particular ITU-T Study Group 13</w:t>
      </w:r>
    </w:p>
    <w:p w14:paraId="7264EB8D" w14:textId="1EF6F6EB" w:rsidR="00F0236A" w:rsidRPr="00073574" w:rsidRDefault="00F0236A" w:rsidP="00F0236A">
      <w:pPr>
        <w:rPr>
          <w:sz w:val="24"/>
        </w:rPr>
      </w:pPr>
      <w:r w:rsidRPr="00073574">
        <w:rPr>
          <w:sz w:val="24"/>
        </w:rPr>
        <w:t>to support the work of Study Group 2, to ensure that such applications are based on appropriate guidelines, as well as a framework, for the evolution of the international telecommunication numbering/identification system, and to help investigate their impact on the n</w:t>
      </w:r>
      <w:r w:rsidR="00E31596" w:rsidRPr="00073574">
        <w:rPr>
          <w:sz w:val="24"/>
        </w:rPr>
        <w:t>umbering/identification system,</w:t>
      </w:r>
    </w:p>
    <w:p w14:paraId="24AD7FE7" w14:textId="77777777" w:rsidR="00F0236A" w:rsidRPr="00073574" w:rsidRDefault="00F0236A" w:rsidP="00F0236A">
      <w:pPr>
        <w:pStyle w:val="Call"/>
        <w:rPr>
          <w:sz w:val="24"/>
          <w:szCs w:val="24"/>
          <w:lang w:val="en-GB"/>
        </w:rPr>
      </w:pPr>
      <w:r w:rsidRPr="00073574">
        <w:rPr>
          <w:sz w:val="24"/>
          <w:szCs w:val="24"/>
          <w:lang w:val="en-GB"/>
        </w:rPr>
        <w:t>instructs the Director of the Telecommunication Standardization Bureau</w:t>
      </w:r>
    </w:p>
    <w:p w14:paraId="2F10882D" w14:textId="77777777" w:rsidR="00F0236A" w:rsidRPr="00073574" w:rsidRDefault="00F0236A" w:rsidP="00F0236A">
      <w:pPr>
        <w:rPr>
          <w:sz w:val="24"/>
        </w:rPr>
      </w:pPr>
      <w:r w:rsidRPr="00073574">
        <w:rPr>
          <w:sz w:val="24"/>
        </w:rPr>
        <w:t>to take appropriate action to facilitate the foregoing work regarding the evolution of the numbering/identification system or its converged applications,</w:t>
      </w:r>
    </w:p>
    <w:p w14:paraId="2844F639" w14:textId="77777777" w:rsidR="00F0236A" w:rsidRPr="00073574" w:rsidRDefault="00F0236A" w:rsidP="00F0236A">
      <w:pPr>
        <w:pStyle w:val="Call"/>
        <w:rPr>
          <w:sz w:val="24"/>
          <w:szCs w:val="24"/>
          <w:lang w:val="en-GB"/>
        </w:rPr>
      </w:pPr>
      <w:r w:rsidRPr="00073574">
        <w:rPr>
          <w:sz w:val="24"/>
          <w:szCs w:val="24"/>
          <w:lang w:val="en-GB"/>
        </w:rPr>
        <w:t>invites Member States and Sector Members</w:t>
      </w:r>
    </w:p>
    <w:p w14:paraId="78A6B44E" w14:textId="77777777" w:rsidR="00F0236A" w:rsidRPr="00073574" w:rsidRDefault="00F0236A" w:rsidP="00F0236A">
      <w:pPr>
        <w:rPr>
          <w:sz w:val="24"/>
        </w:rPr>
      </w:pPr>
      <w:r w:rsidRPr="00073574">
        <w:rPr>
          <w:sz w:val="24"/>
        </w:rPr>
        <w:t>1</w:t>
      </w:r>
      <w:r w:rsidRPr="00073574">
        <w:rPr>
          <w:sz w:val="24"/>
        </w:rPr>
        <w:tab/>
        <w:t>to contribute to these activities, taking into consideration their national concerns and experiences;</w:t>
      </w:r>
    </w:p>
    <w:p w14:paraId="2E601F1B" w14:textId="77777777" w:rsidR="00F0236A" w:rsidRPr="00073574" w:rsidRDefault="00F0236A" w:rsidP="00F0236A">
      <w:pPr>
        <w:spacing w:after="240"/>
        <w:rPr>
          <w:sz w:val="24"/>
        </w:rPr>
      </w:pPr>
      <w:r w:rsidRPr="00073574">
        <w:rPr>
          <w:sz w:val="24"/>
        </w:rPr>
        <w:t>2</w:t>
      </w:r>
      <w:r w:rsidRPr="00073574">
        <w:rPr>
          <w:sz w:val="24"/>
        </w:rPr>
        <w:tab/>
        <w:t>to participate in and to contribute to regional groups discussing the issue and to promote the participation of developing countries in those discussions.</w:t>
      </w:r>
    </w:p>
    <w:tbl>
      <w:tblPr>
        <w:tblW w:w="1019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31"/>
        <w:gridCol w:w="5310"/>
        <w:gridCol w:w="1170"/>
        <w:gridCol w:w="1158"/>
        <w:gridCol w:w="1622"/>
      </w:tblGrid>
      <w:tr w:rsidR="00F0236A" w:rsidRPr="00073574" w14:paraId="204B6965" w14:textId="77777777" w:rsidTr="00AA05DB">
        <w:trPr>
          <w:jc w:val="center"/>
        </w:trPr>
        <w:tc>
          <w:tcPr>
            <w:tcW w:w="931" w:type="dxa"/>
            <w:tcBorders>
              <w:top w:val="single" w:sz="12" w:space="0" w:color="auto"/>
              <w:bottom w:val="single" w:sz="12" w:space="0" w:color="auto"/>
            </w:tcBorders>
            <w:shd w:val="clear" w:color="auto" w:fill="auto"/>
            <w:vAlign w:val="center"/>
          </w:tcPr>
          <w:p w14:paraId="38961192" w14:textId="77777777" w:rsidR="00F0236A" w:rsidRPr="00073574" w:rsidRDefault="00F0236A" w:rsidP="00EA5981">
            <w:pPr>
              <w:pStyle w:val="Tablehead"/>
              <w:keepNext w:val="0"/>
              <w:rPr>
                <w:sz w:val="24"/>
                <w:szCs w:val="24"/>
              </w:rPr>
            </w:pPr>
            <w:r w:rsidRPr="00073574">
              <w:rPr>
                <w:sz w:val="24"/>
                <w:szCs w:val="24"/>
              </w:rPr>
              <w:t>Action Item</w:t>
            </w:r>
          </w:p>
        </w:tc>
        <w:tc>
          <w:tcPr>
            <w:tcW w:w="5310" w:type="dxa"/>
            <w:tcBorders>
              <w:top w:val="single" w:sz="12" w:space="0" w:color="auto"/>
              <w:bottom w:val="single" w:sz="12" w:space="0" w:color="auto"/>
            </w:tcBorders>
            <w:shd w:val="clear" w:color="auto" w:fill="auto"/>
            <w:vAlign w:val="center"/>
            <w:hideMark/>
          </w:tcPr>
          <w:p w14:paraId="702CE1CE" w14:textId="77777777" w:rsidR="00F0236A" w:rsidRPr="00073574" w:rsidRDefault="00F0236A" w:rsidP="00DF36E1">
            <w:pPr>
              <w:pStyle w:val="Tablehead"/>
              <w:rPr>
                <w:sz w:val="24"/>
                <w:szCs w:val="24"/>
              </w:rPr>
            </w:pPr>
            <w:r w:rsidRPr="00073574">
              <w:rPr>
                <w:sz w:val="24"/>
                <w:szCs w:val="24"/>
              </w:rPr>
              <w:t>Action</w:t>
            </w:r>
          </w:p>
        </w:tc>
        <w:tc>
          <w:tcPr>
            <w:tcW w:w="1170" w:type="dxa"/>
            <w:tcBorders>
              <w:top w:val="single" w:sz="12" w:space="0" w:color="auto"/>
              <w:bottom w:val="single" w:sz="12" w:space="0" w:color="auto"/>
            </w:tcBorders>
            <w:shd w:val="clear" w:color="auto" w:fill="auto"/>
            <w:vAlign w:val="center"/>
            <w:hideMark/>
          </w:tcPr>
          <w:p w14:paraId="04DF9EE4" w14:textId="77777777" w:rsidR="00F0236A" w:rsidRPr="00073574" w:rsidRDefault="00F0236A" w:rsidP="00DF36E1">
            <w:pPr>
              <w:pStyle w:val="Tablehead"/>
              <w:rPr>
                <w:sz w:val="24"/>
                <w:szCs w:val="24"/>
              </w:rPr>
            </w:pPr>
            <w:r w:rsidRPr="00073574">
              <w:rPr>
                <w:sz w:val="24"/>
                <w:szCs w:val="24"/>
              </w:rPr>
              <w:t>Milestone</w:t>
            </w:r>
          </w:p>
        </w:tc>
        <w:tc>
          <w:tcPr>
            <w:tcW w:w="1158" w:type="dxa"/>
            <w:tcBorders>
              <w:top w:val="single" w:sz="12" w:space="0" w:color="auto"/>
              <w:bottom w:val="single" w:sz="12" w:space="0" w:color="auto"/>
            </w:tcBorders>
            <w:shd w:val="clear" w:color="auto" w:fill="auto"/>
          </w:tcPr>
          <w:p w14:paraId="11DF3878" w14:textId="77777777" w:rsidR="00F0236A" w:rsidRPr="00073574" w:rsidRDefault="00F0236A" w:rsidP="00DF36E1">
            <w:pPr>
              <w:pStyle w:val="Tablehead"/>
              <w:rPr>
                <w:sz w:val="24"/>
                <w:szCs w:val="24"/>
              </w:rPr>
            </w:pPr>
            <w:r w:rsidRPr="00073574">
              <w:rPr>
                <w:sz w:val="24"/>
                <w:szCs w:val="24"/>
              </w:rPr>
              <w:t>Periodic goals met</w:t>
            </w:r>
          </w:p>
        </w:tc>
        <w:tc>
          <w:tcPr>
            <w:tcW w:w="1622" w:type="dxa"/>
            <w:tcBorders>
              <w:top w:val="single" w:sz="12" w:space="0" w:color="auto"/>
              <w:bottom w:val="single" w:sz="12" w:space="0" w:color="auto"/>
            </w:tcBorders>
            <w:shd w:val="clear" w:color="auto" w:fill="auto"/>
            <w:vAlign w:val="center"/>
          </w:tcPr>
          <w:p w14:paraId="3B860A71" w14:textId="77777777" w:rsidR="00F0236A" w:rsidRPr="00073574" w:rsidRDefault="00F0236A" w:rsidP="00DF36E1">
            <w:pPr>
              <w:pStyle w:val="Tablehead"/>
              <w:rPr>
                <w:sz w:val="24"/>
                <w:szCs w:val="24"/>
              </w:rPr>
            </w:pPr>
            <w:r w:rsidRPr="00073574">
              <w:rPr>
                <w:sz w:val="24"/>
                <w:szCs w:val="24"/>
              </w:rPr>
              <w:t>Completed</w:t>
            </w:r>
          </w:p>
        </w:tc>
      </w:tr>
      <w:tr w:rsidR="00F0236A" w:rsidRPr="00073574" w14:paraId="34E1955E" w14:textId="77777777" w:rsidTr="00AA05DB">
        <w:trPr>
          <w:jc w:val="center"/>
        </w:trPr>
        <w:tc>
          <w:tcPr>
            <w:tcW w:w="931" w:type="dxa"/>
            <w:vMerge w:val="restart"/>
            <w:tcBorders>
              <w:top w:val="single" w:sz="12" w:space="0" w:color="auto"/>
            </w:tcBorders>
            <w:shd w:val="clear" w:color="auto" w:fill="auto"/>
          </w:tcPr>
          <w:p w14:paraId="08170117" w14:textId="77777777" w:rsidR="00F0236A" w:rsidRPr="00073574" w:rsidRDefault="00F0236A" w:rsidP="00DF36E1">
            <w:pPr>
              <w:pStyle w:val="Tabletext"/>
              <w:rPr>
                <w:b/>
                <w:bCs/>
                <w:sz w:val="24"/>
                <w:szCs w:val="24"/>
              </w:rPr>
            </w:pPr>
            <w:r w:rsidRPr="00073574">
              <w:rPr>
                <w:b/>
                <w:bCs/>
                <w:sz w:val="24"/>
                <w:szCs w:val="24"/>
              </w:rPr>
              <w:t>60-01</w:t>
            </w:r>
          </w:p>
        </w:tc>
        <w:tc>
          <w:tcPr>
            <w:tcW w:w="5310" w:type="dxa"/>
            <w:tcBorders>
              <w:top w:val="single" w:sz="12" w:space="0" w:color="auto"/>
              <w:bottom w:val="single" w:sz="2" w:space="0" w:color="auto"/>
            </w:tcBorders>
            <w:shd w:val="clear" w:color="auto" w:fill="auto"/>
            <w:hideMark/>
          </w:tcPr>
          <w:p w14:paraId="75918813" w14:textId="77777777" w:rsidR="00F0236A" w:rsidRPr="00073574" w:rsidRDefault="00F0236A" w:rsidP="00DF36E1">
            <w:pPr>
              <w:pStyle w:val="Tabletext"/>
              <w:rPr>
                <w:b/>
                <w:bCs/>
                <w:sz w:val="24"/>
                <w:szCs w:val="24"/>
              </w:rPr>
            </w:pPr>
            <w:r w:rsidRPr="00073574">
              <w:rPr>
                <w:b/>
                <w:bCs/>
                <w:sz w:val="24"/>
                <w:szCs w:val="24"/>
              </w:rPr>
              <w:t>SG2, supported particularly by SG13, to study necessary requirements and related resource management systems regarding telecommunication identification/numbering resources in relation to the deployment of IP-based networks and the transition to NGN and FN, and to develop guidelines for evolution of the international telecommunication numbering system and its convergence with IP-based systems</w:t>
            </w:r>
          </w:p>
        </w:tc>
        <w:tc>
          <w:tcPr>
            <w:tcW w:w="1170" w:type="dxa"/>
            <w:tcBorders>
              <w:top w:val="single" w:sz="12" w:space="0" w:color="auto"/>
              <w:bottom w:val="single" w:sz="2" w:space="0" w:color="auto"/>
            </w:tcBorders>
            <w:shd w:val="clear" w:color="auto" w:fill="auto"/>
            <w:vAlign w:val="center"/>
            <w:hideMark/>
          </w:tcPr>
          <w:p w14:paraId="6B1E2DFF"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58" w:type="dxa"/>
            <w:tcBorders>
              <w:top w:val="single" w:sz="12" w:space="0" w:color="auto"/>
              <w:bottom w:val="single" w:sz="2" w:space="0" w:color="auto"/>
            </w:tcBorders>
            <w:shd w:val="clear" w:color="auto" w:fill="auto"/>
            <w:vAlign w:val="center"/>
          </w:tcPr>
          <w:p w14:paraId="7FD77B74" w14:textId="273C6D4F" w:rsidR="00F0236A" w:rsidRPr="00073574" w:rsidRDefault="00AA05DB" w:rsidP="00DF36E1">
            <w:pPr>
              <w:pStyle w:val="Tabletext"/>
              <w:jc w:val="center"/>
              <w:rPr>
                <w:b/>
                <w:bCs/>
                <w:sz w:val="24"/>
                <w:szCs w:val="24"/>
              </w:rPr>
            </w:pPr>
            <w:r w:rsidRPr="00073574">
              <w:rPr>
                <w:b/>
                <w:bCs/>
                <w:sz w:val="24"/>
                <w:szCs w:val="24"/>
              </w:rPr>
              <w:t>√</w:t>
            </w:r>
          </w:p>
        </w:tc>
        <w:tc>
          <w:tcPr>
            <w:tcW w:w="1622" w:type="dxa"/>
            <w:tcBorders>
              <w:top w:val="single" w:sz="12" w:space="0" w:color="auto"/>
              <w:bottom w:val="single" w:sz="2" w:space="0" w:color="auto"/>
            </w:tcBorders>
            <w:shd w:val="clear" w:color="auto" w:fill="auto"/>
            <w:vAlign w:val="center"/>
          </w:tcPr>
          <w:p w14:paraId="08A82008" w14:textId="77777777" w:rsidR="00F0236A" w:rsidRPr="00073574" w:rsidRDefault="00F0236A" w:rsidP="00DF36E1">
            <w:pPr>
              <w:pStyle w:val="Tabletext"/>
              <w:jc w:val="center"/>
              <w:rPr>
                <w:b/>
                <w:bCs/>
                <w:sz w:val="24"/>
                <w:szCs w:val="24"/>
              </w:rPr>
            </w:pPr>
          </w:p>
        </w:tc>
      </w:tr>
      <w:tr w:rsidR="00F0236A" w:rsidRPr="00073574" w14:paraId="7DF61410" w14:textId="77777777" w:rsidTr="00AA05DB">
        <w:trPr>
          <w:jc w:val="center"/>
        </w:trPr>
        <w:tc>
          <w:tcPr>
            <w:tcW w:w="931" w:type="dxa"/>
            <w:vMerge/>
            <w:shd w:val="clear" w:color="auto" w:fill="auto"/>
            <w:vAlign w:val="center"/>
          </w:tcPr>
          <w:p w14:paraId="4D2C1568" w14:textId="77777777" w:rsidR="00F0236A" w:rsidRPr="00073574" w:rsidRDefault="00F0236A" w:rsidP="00DF36E1">
            <w:pPr>
              <w:pStyle w:val="Tabletext"/>
              <w:rPr>
                <w:sz w:val="24"/>
                <w:szCs w:val="24"/>
              </w:rPr>
            </w:pPr>
          </w:p>
        </w:tc>
        <w:tc>
          <w:tcPr>
            <w:tcW w:w="9260" w:type="dxa"/>
            <w:gridSpan w:val="4"/>
            <w:tcBorders>
              <w:top w:val="single" w:sz="2" w:space="0" w:color="auto"/>
            </w:tcBorders>
            <w:shd w:val="clear" w:color="auto" w:fill="auto"/>
          </w:tcPr>
          <w:p w14:paraId="1694EE74" w14:textId="77777777" w:rsidR="00B41F03" w:rsidRPr="00073574" w:rsidRDefault="00F0236A">
            <w:pPr>
              <w:pStyle w:val="Tabletext"/>
              <w:rPr>
                <w:szCs w:val="22"/>
              </w:rPr>
            </w:pPr>
            <w:r w:rsidRPr="00073574">
              <w:rPr>
                <w:szCs w:val="22"/>
              </w:rPr>
              <w:t>Actions by ITU-T SG2 depend on Contributions.</w:t>
            </w:r>
          </w:p>
          <w:p w14:paraId="2F3E23F4" w14:textId="68FC347E" w:rsidR="00AA05DB" w:rsidRPr="00073574" w:rsidRDefault="00AA05DB" w:rsidP="00FB2E43">
            <w:pPr>
              <w:pStyle w:val="Tabletext"/>
              <w:rPr>
                <w:szCs w:val="22"/>
              </w:rPr>
            </w:pPr>
            <w:r w:rsidRPr="00073574">
              <w:rPr>
                <w:szCs w:val="22"/>
              </w:rPr>
              <w:t>SG2 is studying draft Recommendation ITU-T E.112 (revised) “Arrangements</w:t>
            </w:r>
            <w:r w:rsidR="000004D9" w:rsidRPr="00073574">
              <w:rPr>
                <w:szCs w:val="22"/>
              </w:rPr>
              <w:t xml:space="preserve"> t</w:t>
            </w:r>
            <w:r w:rsidRPr="00073574">
              <w:rPr>
                <w:szCs w:val="22"/>
              </w:rPr>
              <w:t>o be made for controlling the telephone services between two countries”</w:t>
            </w:r>
            <w:r w:rsidR="00FB2E43" w:rsidRPr="00073574">
              <w:rPr>
                <w:szCs w:val="22"/>
              </w:rPr>
              <w:t>, and Recomm</w:t>
            </w:r>
            <w:r w:rsidR="001A16DE" w:rsidRPr="00073574">
              <w:rPr>
                <w:szCs w:val="22"/>
              </w:rPr>
              <w:t>e</w:t>
            </w:r>
            <w:r w:rsidR="00FB2E43" w:rsidRPr="00073574">
              <w:rPr>
                <w:szCs w:val="22"/>
              </w:rPr>
              <w:t xml:space="preserve">ndation ITU T E.370 </w:t>
            </w:r>
            <w:r w:rsidR="00FB2E43" w:rsidRPr="00073574">
              <w:rPr>
                <w:szCs w:val="22"/>
              </w:rPr>
              <w:lastRenderedPageBreak/>
              <w:t>(revised) “Service principles when public circuit-switched international telecommunication networks interwork with IP-based networks”.</w:t>
            </w:r>
          </w:p>
        </w:tc>
      </w:tr>
    </w:tbl>
    <w:bookmarkStart w:id="280" w:name="Item60_01"/>
    <w:bookmarkEnd w:id="280"/>
    <w:p w14:paraId="646CB481" w14:textId="77777777" w:rsidR="00F0236A" w:rsidRPr="00073574" w:rsidRDefault="00F0236A" w:rsidP="00F0236A">
      <w:pPr>
        <w:rPr>
          <w:sz w:val="24"/>
        </w:rPr>
      </w:pPr>
      <w:r w:rsidRPr="00073574">
        <w:rPr>
          <w:color w:val="2B579A"/>
          <w:shd w:val="clear" w:color="auto" w:fill="E6E6E6"/>
        </w:rPr>
        <w:lastRenderedPageBreak/>
        <w:fldChar w:fldCharType="begin"/>
      </w:r>
      <w:r w:rsidRPr="00073574">
        <w:rPr>
          <w:sz w:val="24"/>
        </w:rPr>
        <w:instrText xml:space="preserve"> HYPERLINK \l "Top" </w:instrText>
      </w:r>
      <w:r w:rsidRPr="00073574">
        <w:rPr>
          <w:color w:val="2B579A"/>
          <w:shd w:val="clear" w:color="auto" w:fill="E6E6E6"/>
        </w:rPr>
        <w:fldChar w:fldCharType="separate"/>
      </w:r>
      <w:r w:rsidRPr="00073574">
        <w:rPr>
          <w:rStyle w:val="Hyperlink"/>
          <w:rFonts w:eastAsia="Times New Roman"/>
          <w:sz w:val="24"/>
        </w:rPr>
        <w:t>» Top</w:t>
      </w:r>
      <w:r w:rsidRPr="00073574">
        <w:rPr>
          <w:rStyle w:val="Hyperlink"/>
          <w:rFonts w:eastAsia="Times New Roman"/>
          <w:sz w:val="24"/>
        </w:rPr>
        <w:fldChar w:fldCharType="end"/>
      </w:r>
    </w:p>
    <w:p w14:paraId="39559B18" w14:textId="77777777" w:rsidR="00F0236A" w:rsidRPr="00073574" w:rsidRDefault="00F0236A" w:rsidP="00F0236A">
      <w:pPr>
        <w:rPr>
          <w:sz w:val="24"/>
        </w:rPr>
      </w:pPr>
    </w:p>
    <w:p w14:paraId="242BC694" w14:textId="2E76C11B" w:rsidR="00F0236A" w:rsidRPr="00073574" w:rsidRDefault="00F0236A" w:rsidP="00F0236A">
      <w:pPr>
        <w:pStyle w:val="Heading1"/>
        <w:rPr>
          <w:sz w:val="24"/>
          <w:szCs w:val="24"/>
          <w:lang w:val="en-GB"/>
        </w:rPr>
      </w:pPr>
      <w:bookmarkStart w:id="281" w:name="Resolution_61"/>
      <w:bookmarkStart w:id="282" w:name="_Toc304236445"/>
      <w:bookmarkStart w:id="283" w:name="_Toc471715379"/>
      <w:bookmarkStart w:id="284" w:name="_Toc93425265"/>
      <w:bookmarkEnd w:id="281"/>
      <w:r w:rsidRPr="00073574">
        <w:rPr>
          <w:sz w:val="24"/>
          <w:szCs w:val="24"/>
          <w:lang w:val="en-GB"/>
        </w:rPr>
        <w:t xml:space="preserve">Resolution 61 </w:t>
      </w:r>
      <w:r w:rsidR="0034409A" w:rsidRPr="00073574">
        <w:rPr>
          <w:sz w:val="24"/>
          <w:szCs w:val="24"/>
          <w:lang w:val="en-GB"/>
        </w:rPr>
        <w:t>–</w:t>
      </w:r>
      <w:r w:rsidRPr="00073574">
        <w:rPr>
          <w:sz w:val="24"/>
          <w:szCs w:val="24"/>
          <w:lang w:val="en-GB"/>
        </w:rPr>
        <w:t xml:space="preserve"> Countering and combating misappropriation and misuse of international telecommunication numbering resources</w:t>
      </w:r>
      <w:bookmarkEnd w:id="282"/>
      <w:bookmarkEnd w:id="283"/>
      <w:bookmarkEnd w:id="284"/>
    </w:p>
    <w:p w14:paraId="3E6DF3F5" w14:textId="77777777" w:rsidR="00F0236A" w:rsidRPr="00073574" w:rsidRDefault="00F0236A" w:rsidP="00F0236A">
      <w:pPr>
        <w:rPr>
          <w:b/>
          <w:bCs/>
          <w:sz w:val="24"/>
        </w:rPr>
      </w:pPr>
      <w:r w:rsidRPr="00073574">
        <w:rPr>
          <w:b/>
          <w:bCs/>
          <w:sz w:val="24"/>
        </w:rPr>
        <w:t>Resolution 61</w:t>
      </w:r>
    </w:p>
    <w:p w14:paraId="1B34CFD4" w14:textId="77777777" w:rsidR="00F0236A" w:rsidRPr="00073574" w:rsidRDefault="00F0236A" w:rsidP="00F0236A">
      <w:pPr>
        <w:pStyle w:val="Call"/>
        <w:rPr>
          <w:sz w:val="24"/>
          <w:szCs w:val="24"/>
          <w:lang w:val="en-GB"/>
        </w:rPr>
      </w:pPr>
      <w:r w:rsidRPr="00073574">
        <w:rPr>
          <w:sz w:val="24"/>
          <w:szCs w:val="24"/>
          <w:lang w:val="en-GB"/>
        </w:rPr>
        <w:t>resolves to invite Member States</w:t>
      </w:r>
    </w:p>
    <w:p w14:paraId="5415B8FA" w14:textId="77777777" w:rsidR="00F0236A" w:rsidRPr="00073574" w:rsidRDefault="00F0236A" w:rsidP="00F0236A">
      <w:pPr>
        <w:rPr>
          <w:sz w:val="24"/>
        </w:rPr>
      </w:pPr>
      <w:r w:rsidRPr="00073574">
        <w:rPr>
          <w:sz w:val="24"/>
        </w:rPr>
        <w:t>1</w:t>
      </w:r>
      <w:r w:rsidRPr="00073574">
        <w:rPr>
          <w:sz w:val="24"/>
        </w:rPr>
        <w:tab/>
        <w:t>to ensure that ITU-T E.164 numbering resources are used only by the assignees and only for the purposes for which they were assigned, and that unassigned resources are not used;</w:t>
      </w:r>
    </w:p>
    <w:p w14:paraId="60663B2A" w14:textId="77777777" w:rsidR="00F0236A" w:rsidRPr="00073574" w:rsidRDefault="00F0236A" w:rsidP="00F0236A">
      <w:pPr>
        <w:rPr>
          <w:sz w:val="24"/>
        </w:rPr>
      </w:pPr>
      <w:r w:rsidRPr="00073574">
        <w:rPr>
          <w:sz w:val="24"/>
        </w:rPr>
        <w:t>2</w:t>
      </w:r>
      <w:r w:rsidRPr="00073574">
        <w:rPr>
          <w:sz w:val="24"/>
        </w:rPr>
        <w:tab/>
        <w:t>to endeavour to ensure that operating agencies authorized by Member States release routing information to duly authorized agencies in cases of fraud, in accordance with national law;</w:t>
      </w:r>
    </w:p>
    <w:p w14:paraId="4CF8AD1F" w14:textId="77777777" w:rsidR="00F0236A" w:rsidRPr="00073574" w:rsidRDefault="00F0236A" w:rsidP="00F0236A">
      <w:pPr>
        <w:rPr>
          <w:sz w:val="24"/>
        </w:rPr>
      </w:pPr>
      <w:r w:rsidRPr="00073574">
        <w:rPr>
          <w:sz w:val="24"/>
        </w:rPr>
        <w:t>3</w:t>
      </w:r>
      <w:r w:rsidRPr="00073574">
        <w:rPr>
          <w:sz w:val="24"/>
        </w:rPr>
        <w:tab/>
        <w:t>to encourage administrations and national regulators to collaborate and share information on fraudulent activities related to misappropriation and misuse of international numbering resources, and to collaborate to counter and combat such activities;</w:t>
      </w:r>
    </w:p>
    <w:p w14:paraId="7B16698E" w14:textId="216D4308" w:rsidR="00F0236A" w:rsidRPr="00073574" w:rsidRDefault="00F0236A" w:rsidP="00F0236A">
      <w:pPr>
        <w:rPr>
          <w:sz w:val="24"/>
        </w:rPr>
      </w:pPr>
      <w:r w:rsidRPr="00073574">
        <w:rPr>
          <w:sz w:val="24"/>
        </w:rPr>
        <w:t>4</w:t>
      </w:r>
      <w:r w:rsidRPr="00073574">
        <w:rPr>
          <w:sz w:val="24"/>
        </w:rPr>
        <w:tab/>
        <w:t>to encourage all international telecommunication operators to enhance the effectiveness of ITU</w:t>
      </w:r>
      <w:r w:rsidR="0034409A" w:rsidRPr="00073574">
        <w:rPr>
          <w:sz w:val="24"/>
        </w:rPr>
        <w:t>’</w:t>
      </w:r>
      <w:r w:rsidRPr="00073574">
        <w:rPr>
          <w:sz w:val="24"/>
        </w:rPr>
        <w:t>s role and to give effect to its Recommendations, particularly those of ITU</w:t>
      </w:r>
      <w:r w:rsidRPr="00073574">
        <w:rPr>
          <w:sz w:val="24"/>
        </w:rPr>
        <w:noBreakHyphen/>
        <w:t>T Study Group 2, in order to promote a new and more effective basis to counter and combat fraudulent activities due to number misappropriation and misuse, which would help limit the negative effects of these fraudulent activities and the blocking of international calls;</w:t>
      </w:r>
    </w:p>
    <w:p w14:paraId="25DC70FC" w14:textId="77777777" w:rsidR="00F0236A" w:rsidRPr="00073574" w:rsidRDefault="00F0236A" w:rsidP="00F0236A">
      <w:pPr>
        <w:rPr>
          <w:sz w:val="24"/>
        </w:rPr>
      </w:pPr>
      <w:r w:rsidRPr="00073574">
        <w:rPr>
          <w:sz w:val="24"/>
        </w:rPr>
        <w:t>5</w:t>
      </w:r>
      <w:r w:rsidRPr="00073574">
        <w:rPr>
          <w:sz w:val="24"/>
        </w:rPr>
        <w:tab/>
        <w:t>to encourage administrations and international telecommunication operators to implement ITU</w:t>
      </w:r>
      <w:r w:rsidRPr="00073574">
        <w:rPr>
          <w:sz w:val="24"/>
        </w:rPr>
        <w:noBreakHyphen/>
        <w:t>T Recommendations in order to mitigate the adverse effects of fraudulent number misappropriation and misuse, including blocking of calls to certain countries,</w:t>
      </w:r>
    </w:p>
    <w:p w14:paraId="14E74BE4" w14:textId="77777777" w:rsidR="00F0236A" w:rsidRPr="00073574" w:rsidRDefault="00F0236A" w:rsidP="00F0236A">
      <w:pPr>
        <w:pStyle w:val="Call"/>
        <w:rPr>
          <w:sz w:val="24"/>
          <w:szCs w:val="24"/>
          <w:lang w:val="en-GB"/>
        </w:rPr>
      </w:pPr>
      <w:r w:rsidRPr="00073574">
        <w:rPr>
          <w:sz w:val="24"/>
          <w:szCs w:val="24"/>
          <w:lang w:val="en-GB"/>
        </w:rPr>
        <w:t>resolves further</w:t>
      </w:r>
    </w:p>
    <w:p w14:paraId="0857233A" w14:textId="77777777" w:rsidR="00F0236A" w:rsidRPr="00073574" w:rsidRDefault="00F0236A" w:rsidP="00F0236A">
      <w:pPr>
        <w:rPr>
          <w:sz w:val="24"/>
        </w:rPr>
      </w:pPr>
      <w:r w:rsidRPr="00073574">
        <w:rPr>
          <w:sz w:val="24"/>
        </w:rPr>
        <w:t>1</w:t>
      </w:r>
      <w:r w:rsidRPr="00073574">
        <w:rPr>
          <w:sz w:val="24"/>
        </w:rPr>
        <w:tab/>
        <w:t>that administrations and operating agencies authorized by Member States take, to the furthest extent practicable, all reasonable measures to provide information necessary to address issues related to number misappropriation and misuse;</w:t>
      </w:r>
    </w:p>
    <w:p w14:paraId="11EF20CB" w14:textId="6741969D" w:rsidR="00F0236A" w:rsidRPr="00073574" w:rsidRDefault="00F0236A" w:rsidP="00F0236A">
      <w:pPr>
        <w:rPr>
          <w:sz w:val="24"/>
        </w:rPr>
      </w:pPr>
      <w:r w:rsidRPr="00073574">
        <w:rPr>
          <w:sz w:val="24"/>
        </w:rPr>
        <w:t>2</w:t>
      </w:r>
      <w:r w:rsidRPr="00073574">
        <w:rPr>
          <w:sz w:val="24"/>
        </w:rPr>
        <w:tab/>
        <w:t xml:space="preserve">that administrations and operating agencies authorized by Member States should take note of and consider, to the furthest extent practicable, the </w:t>
      </w:r>
      <w:r w:rsidR="0034409A" w:rsidRPr="00073574">
        <w:rPr>
          <w:sz w:val="24"/>
        </w:rPr>
        <w:t>“</w:t>
      </w:r>
      <w:r w:rsidRPr="00073574">
        <w:rPr>
          <w:sz w:val="24"/>
        </w:rPr>
        <w:t>Suggested guidelines for regulators, administrations and operating agencies authorized by Member States for dealing with number misappropriation</w:t>
      </w:r>
      <w:r w:rsidR="0034409A" w:rsidRPr="00073574">
        <w:rPr>
          <w:sz w:val="24"/>
        </w:rPr>
        <w:t>”</w:t>
      </w:r>
      <w:r w:rsidRPr="00073574">
        <w:rPr>
          <w:sz w:val="24"/>
        </w:rPr>
        <w:t>, in accordance with the attachment to this resolution;</w:t>
      </w:r>
    </w:p>
    <w:p w14:paraId="1DC9D27B" w14:textId="77777777" w:rsidR="00F0236A" w:rsidRPr="00073574" w:rsidRDefault="00F0236A" w:rsidP="00F0236A">
      <w:pPr>
        <w:rPr>
          <w:sz w:val="24"/>
        </w:rPr>
      </w:pPr>
      <w:r w:rsidRPr="00073574">
        <w:rPr>
          <w:sz w:val="24"/>
        </w:rPr>
        <w:t>3</w:t>
      </w:r>
      <w:r w:rsidRPr="00073574">
        <w:rPr>
          <w:sz w:val="24"/>
        </w:rPr>
        <w:tab/>
        <w:t>that Member States and national regulators should take note of instances of activities related to the misuse of international numbering resources, in accordance with Recommendation ITU</w:t>
      </w:r>
      <w:r w:rsidRPr="00073574">
        <w:rPr>
          <w:sz w:val="24"/>
        </w:rPr>
        <w:noBreakHyphen/>
        <w:t>T E.164, through relevant ITU</w:t>
      </w:r>
      <w:r w:rsidRPr="00073574">
        <w:rPr>
          <w:sz w:val="24"/>
        </w:rPr>
        <w:noBreakHyphen/>
        <w:t>T resources (e.g. the ITU-T Operational Bulletin);</w:t>
      </w:r>
    </w:p>
    <w:p w14:paraId="629C7E24" w14:textId="77777777" w:rsidR="00F0236A" w:rsidRPr="00073574" w:rsidRDefault="00F0236A" w:rsidP="00F0236A">
      <w:pPr>
        <w:rPr>
          <w:sz w:val="24"/>
        </w:rPr>
      </w:pPr>
      <w:r w:rsidRPr="00073574">
        <w:rPr>
          <w:sz w:val="24"/>
        </w:rPr>
        <w:t>4</w:t>
      </w:r>
      <w:r w:rsidRPr="00073574">
        <w:rPr>
          <w:sz w:val="24"/>
        </w:rPr>
        <w:tab/>
        <w:t>to request Study Group 2 to study all aspects and forms of misappropriation and misuse of numbering resources, in particular of international country codes, with a view to amending Recommendation ITU</w:t>
      </w:r>
      <w:r w:rsidRPr="00073574">
        <w:rPr>
          <w:sz w:val="24"/>
        </w:rPr>
        <w:noBreakHyphen/>
        <w:t>T E.156 and its supplements and guidelines to support countering and combating these activities;</w:t>
      </w:r>
    </w:p>
    <w:p w14:paraId="28A01388" w14:textId="77777777" w:rsidR="00F0236A" w:rsidRPr="00073574" w:rsidRDefault="00F0236A" w:rsidP="00F0236A">
      <w:pPr>
        <w:rPr>
          <w:sz w:val="24"/>
        </w:rPr>
      </w:pPr>
      <w:r w:rsidRPr="00073574">
        <w:rPr>
          <w:sz w:val="24"/>
        </w:rPr>
        <w:t>5</w:t>
      </w:r>
      <w:r w:rsidRPr="00073574">
        <w:rPr>
          <w:sz w:val="24"/>
        </w:rPr>
        <w:tab/>
        <w:t xml:space="preserve">to request ITU-T Study Group 3, in collaboration with Study Group 2, to develop definitions for inappropriate activities, including inappropriate activities causing loss of </w:t>
      </w:r>
      <w:r w:rsidRPr="00073574">
        <w:rPr>
          <w:sz w:val="24"/>
        </w:rPr>
        <w:lastRenderedPageBreak/>
        <w:t>revenue, related to misappropriation and misuse of international numbering resources specified in the relevant ITU-T Recommendations, and to continue to study such matters;</w:t>
      </w:r>
    </w:p>
    <w:p w14:paraId="201A03D4" w14:textId="77777777" w:rsidR="00F0236A" w:rsidRPr="00073574" w:rsidRDefault="00F0236A" w:rsidP="00F0236A">
      <w:pPr>
        <w:spacing w:after="240"/>
        <w:rPr>
          <w:sz w:val="24"/>
        </w:rPr>
      </w:pPr>
      <w:r w:rsidRPr="00073574">
        <w:rPr>
          <w:sz w:val="24"/>
        </w:rPr>
        <w:t>6</w:t>
      </w:r>
      <w:r w:rsidRPr="00073574">
        <w:rPr>
          <w:sz w:val="24"/>
        </w:rPr>
        <w:tab/>
        <w:t>to request Study Group 3 to study the economic effects resulting from misappropriation and misuse of numbering resources, including call blocking.</w:t>
      </w:r>
    </w:p>
    <w:tbl>
      <w:tblPr>
        <w:tblW w:w="958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29"/>
        <w:gridCol w:w="4892"/>
        <w:gridCol w:w="1216"/>
        <w:gridCol w:w="1210"/>
        <w:gridCol w:w="1336"/>
      </w:tblGrid>
      <w:tr w:rsidR="00F0236A" w:rsidRPr="00073574" w14:paraId="5605D1B0" w14:textId="77777777" w:rsidTr="00134E92">
        <w:trPr>
          <w:tblHeader/>
          <w:jc w:val="center"/>
        </w:trPr>
        <w:tc>
          <w:tcPr>
            <w:tcW w:w="929" w:type="dxa"/>
            <w:tcBorders>
              <w:top w:val="single" w:sz="12" w:space="0" w:color="auto"/>
              <w:bottom w:val="single" w:sz="12" w:space="0" w:color="auto"/>
            </w:tcBorders>
            <w:shd w:val="clear" w:color="auto" w:fill="auto"/>
            <w:vAlign w:val="center"/>
          </w:tcPr>
          <w:p w14:paraId="21119111" w14:textId="77777777" w:rsidR="00F0236A" w:rsidRPr="00073574" w:rsidRDefault="00F0236A" w:rsidP="00DF36E1">
            <w:pPr>
              <w:pStyle w:val="Tablehead"/>
              <w:rPr>
                <w:sz w:val="24"/>
                <w:szCs w:val="24"/>
              </w:rPr>
            </w:pPr>
            <w:r w:rsidRPr="00073574">
              <w:rPr>
                <w:sz w:val="24"/>
                <w:szCs w:val="24"/>
              </w:rPr>
              <w:t>Action Item</w:t>
            </w:r>
          </w:p>
        </w:tc>
        <w:tc>
          <w:tcPr>
            <w:tcW w:w="4892" w:type="dxa"/>
            <w:tcBorders>
              <w:top w:val="single" w:sz="12" w:space="0" w:color="auto"/>
              <w:bottom w:val="single" w:sz="12" w:space="0" w:color="auto"/>
            </w:tcBorders>
            <w:shd w:val="clear" w:color="auto" w:fill="auto"/>
            <w:vAlign w:val="center"/>
            <w:hideMark/>
          </w:tcPr>
          <w:p w14:paraId="39F703BB" w14:textId="77777777" w:rsidR="00F0236A" w:rsidRPr="00073574" w:rsidRDefault="00F0236A" w:rsidP="00DF36E1">
            <w:pPr>
              <w:pStyle w:val="Tablehead"/>
              <w:rPr>
                <w:sz w:val="24"/>
                <w:szCs w:val="24"/>
              </w:rPr>
            </w:pPr>
            <w:r w:rsidRPr="00073574">
              <w:rPr>
                <w:sz w:val="24"/>
                <w:szCs w:val="24"/>
              </w:rPr>
              <w:t>Action</w:t>
            </w:r>
          </w:p>
        </w:tc>
        <w:tc>
          <w:tcPr>
            <w:tcW w:w="1216" w:type="dxa"/>
            <w:tcBorders>
              <w:top w:val="single" w:sz="12" w:space="0" w:color="auto"/>
              <w:bottom w:val="single" w:sz="12" w:space="0" w:color="auto"/>
            </w:tcBorders>
            <w:shd w:val="clear" w:color="auto" w:fill="auto"/>
            <w:vAlign w:val="center"/>
            <w:hideMark/>
          </w:tcPr>
          <w:p w14:paraId="5456EC82" w14:textId="77777777" w:rsidR="00F0236A" w:rsidRPr="00073574" w:rsidRDefault="00F0236A" w:rsidP="00DF36E1">
            <w:pPr>
              <w:pStyle w:val="Tablehead"/>
              <w:rPr>
                <w:sz w:val="24"/>
                <w:szCs w:val="24"/>
              </w:rPr>
            </w:pPr>
            <w:r w:rsidRPr="00073574">
              <w:rPr>
                <w:sz w:val="24"/>
                <w:szCs w:val="24"/>
              </w:rPr>
              <w:t>Milestone</w:t>
            </w:r>
          </w:p>
        </w:tc>
        <w:tc>
          <w:tcPr>
            <w:tcW w:w="1210" w:type="dxa"/>
            <w:tcBorders>
              <w:top w:val="single" w:sz="12" w:space="0" w:color="auto"/>
              <w:bottom w:val="single" w:sz="12" w:space="0" w:color="auto"/>
            </w:tcBorders>
            <w:shd w:val="clear" w:color="auto" w:fill="auto"/>
          </w:tcPr>
          <w:p w14:paraId="25BC0D52" w14:textId="77777777" w:rsidR="00F0236A" w:rsidRPr="00073574" w:rsidRDefault="00F0236A" w:rsidP="00DF36E1">
            <w:pPr>
              <w:pStyle w:val="Tablehead"/>
              <w:rPr>
                <w:sz w:val="24"/>
                <w:szCs w:val="24"/>
              </w:rPr>
            </w:pPr>
            <w:r w:rsidRPr="00073574">
              <w:rPr>
                <w:sz w:val="24"/>
                <w:szCs w:val="24"/>
              </w:rPr>
              <w:t>Periodic goals met</w:t>
            </w:r>
          </w:p>
        </w:tc>
        <w:tc>
          <w:tcPr>
            <w:tcW w:w="1336" w:type="dxa"/>
            <w:tcBorders>
              <w:top w:val="single" w:sz="12" w:space="0" w:color="auto"/>
              <w:bottom w:val="single" w:sz="12" w:space="0" w:color="auto"/>
            </w:tcBorders>
            <w:shd w:val="clear" w:color="auto" w:fill="auto"/>
            <w:vAlign w:val="center"/>
          </w:tcPr>
          <w:p w14:paraId="3A57D151" w14:textId="77777777" w:rsidR="00F0236A" w:rsidRPr="00073574" w:rsidRDefault="00F0236A" w:rsidP="00DF36E1">
            <w:pPr>
              <w:pStyle w:val="Tablehead"/>
              <w:rPr>
                <w:sz w:val="24"/>
                <w:szCs w:val="24"/>
              </w:rPr>
            </w:pPr>
            <w:r w:rsidRPr="00073574">
              <w:rPr>
                <w:sz w:val="24"/>
                <w:szCs w:val="24"/>
              </w:rPr>
              <w:t>Completed</w:t>
            </w:r>
          </w:p>
        </w:tc>
      </w:tr>
      <w:tr w:rsidR="00F0236A" w:rsidRPr="00073574" w14:paraId="137BF63A" w14:textId="77777777" w:rsidTr="0085771B">
        <w:trPr>
          <w:cantSplit/>
          <w:jc w:val="center"/>
        </w:trPr>
        <w:tc>
          <w:tcPr>
            <w:tcW w:w="929" w:type="dxa"/>
            <w:vMerge w:val="restart"/>
            <w:tcBorders>
              <w:top w:val="single" w:sz="12" w:space="0" w:color="auto"/>
            </w:tcBorders>
            <w:shd w:val="clear" w:color="auto" w:fill="auto"/>
          </w:tcPr>
          <w:p w14:paraId="384A2ECB" w14:textId="77777777" w:rsidR="00F0236A" w:rsidRPr="00073574" w:rsidRDefault="00F0236A" w:rsidP="00B45B40">
            <w:pPr>
              <w:pStyle w:val="Tabletext"/>
              <w:keepNext/>
              <w:rPr>
                <w:b/>
                <w:bCs/>
                <w:sz w:val="24"/>
                <w:szCs w:val="24"/>
              </w:rPr>
            </w:pPr>
            <w:r w:rsidRPr="00073574">
              <w:rPr>
                <w:b/>
                <w:bCs/>
                <w:sz w:val="24"/>
                <w:szCs w:val="24"/>
              </w:rPr>
              <w:t>61-01</w:t>
            </w:r>
          </w:p>
        </w:tc>
        <w:tc>
          <w:tcPr>
            <w:tcW w:w="4892" w:type="dxa"/>
            <w:tcBorders>
              <w:top w:val="single" w:sz="12" w:space="0" w:color="auto"/>
              <w:bottom w:val="single" w:sz="4" w:space="0" w:color="auto"/>
            </w:tcBorders>
            <w:shd w:val="clear" w:color="auto" w:fill="auto"/>
            <w:hideMark/>
          </w:tcPr>
          <w:p w14:paraId="10F20421" w14:textId="77777777" w:rsidR="00F0236A" w:rsidRPr="00073574" w:rsidRDefault="00F0236A" w:rsidP="00DF36E1">
            <w:pPr>
              <w:pStyle w:val="Tabletext"/>
              <w:rPr>
                <w:b/>
                <w:bCs/>
                <w:sz w:val="24"/>
                <w:szCs w:val="24"/>
              </w:rPr>
            </w:pPr>
            <w:r w:rsidRPr="00073574">
              <w:rPr>
                <w:b/>
                <w:bCs/>
                <w:sz w:val="24"/>
                <w:szCs w:val="24"/>
              </w:rPr>
              <w:t>SG2 to study all aspects and forms of misappropriation and misuse of numbering resources, particular international country codes, with a view to amending Recommendation ITU-T E.156 and its supplements and guidelines</w:t>
            </w:r>
          </w:p>
        </w:tc>
        <w:tc>
          <w:tcPr>
            <w:tcW w:w="1216" w:type="dxa"/>
            <w:tcBorders>
              <w:top w:val="single" w:sz="12" w:space="0" w:color="auto"/>
              <w:bottom w:val="single" w:sz="4" w:space="0" w:color="auto"/>
            </w:tcBorders>
            <w:shd w:val="clear" w:color="auto" w:fill="auto"/>
            <w:vAlign w:val="center"/>
            <w:hideMark/>
          </w:tcPr>
          <w:p w14:paraId="2F952C6C" w14:textId="77777777" w:rsidR="00F0236A" w:rsidRPr="00073574" w:rsidRDefault="00F0236A" w:rsidP="00DF36E1">
            <w:pPr>
              <w:pStyle w:val="Tabletext"/>
              <w:jc w:val="center"/>
              <w:rPr>
                <w:b/>
                <w:bCs/>
                <w:sz w:val="24"/>
                <w:szCs w:val="24"/>
              </w:rPr>
            </w:pPr>
            <w:r w:rsidRPr="00073574">
              <w:rPr>
                <w:b/>
                <w:bCs/>
                <w:sz w:val="24"/>
                <w:szCs w:val="24"/>
              </w:rPr>
              <w:t>Ongoing</w:t>
            </w:r>
          </w:p>
        </w:tc>
        <w:tc>
          <w:tcPr>
            <w:tcW w:w="1210" w:type="dxa"/>
            <w:tcBorders>
              <w:top w:val="single" w:sz="12" w:space="0" w:color="auto"/>
              <w:bottom w:val="single" w:sz="4" w:space="0" w:color="auto"/>
            </w:tcBorders>
            <w:shd w:val="clear" w:color="auto" w:fill="auto"/>
            <w:vAlign w:val="center"/>
          </w:tcPr>
          <w:p w14:paraId="08D5FB30"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bottom w:val="single" w:sz="4" w:space="0" w:color="auto"/>
            </w:tcBorders>
            <w:shd w:val="clear" w:color="auto" w:fill="auto"/>
            <w:vAlign w:val="center"/>
          </w:tcPr>
          <w:p w14:paraId="14120CA6" w14:textId="0EED038D" w:rsidR="00F0236A" w:rsidRPr="00073574" w:rsidRDefault="00C97284" w:rsidP="00DF36E1">
            <w:pPr>
              <w:pStyle w:val="Tabletext"/>
              <w:jc w:val="center"/>
              <w:rPr>
                <w:b/>
                <w:bCs/>
                <w:sz w:val="24"/>
                <w:szCs w:val="24"/>
              </w:rPr>
            </w:pPr>
            <w:r w:rsidRPr="00073574">
              <w:rPr>
                <w:b/>
                <w:bCs/>
                <w:sz w:val="24"/>
                <w:szCs w:val="24"/>
              </w:rPr>
              <w:t>√</w:t>
            </w:r>
          </w:p>
        </w:tc>
      </w:tr>
      <w:tr w:rsidR="00F0236A" w:rsidRPr="00073574" w14:paraId="28681BF2" w14:textId="77777777" w:rsidTr="0085771B">
        <w:trPr>
          <w:cantSplit/>
          <w:jc w:val="center"/>
        </w:trPr>
        <w:tc>
          <w:tcPr>
            <w:tcW w:w="929" w:type="dxa"/>
            <w:vMerge/>
            <w:tcBorders>
              <w:bottom w:val="single" w:sz="12" w:space="0" w:color="auto"/>
            </w:tcBorders>
            <w:shd w:val="clear" w:color="auto" w:fill="auto"/>
          </w:tcPr>
          <w:p w14:paraId="15A1D235" w14:textId="77777777" w:rsidR="00F0236A" w:rsidRPr="00073574" w:rsidRDefault="00F0236A" w:rsidP="00DF36E1">
            <w:pPr>
              <w:pStyle w:val="Tabletext"/>
              <w:rPr>
                <w:sz w:val="24"/>
                <w:szCs w:val="24"/>
              </w:rPr>
            </w:pPr>
          </w:p>
        </w:tc>
        <w:tc>
          <w:tcPr>
            <w:tcW w:w="8654" w:type="dxa"/>
            <w:gridSpan w:val="4"/>
            <w:tcBorders>
              <w:top w:val="single" w:sz="4" w:space="0" w:color="auto"/>
            </w:tcBorders>
            <w:shd w:val="clear" w:color="auto" w:fill="auto"/>
          </w:tcPr>
          <w:p w14:paraId="7C0A0B80" w14:textId="73721AEA" w:rsidR="00F0236A" w:rsidRPr="00073574" w:rsidRDefault="00516B63" w:rsidP="00B77459">
            <w:pPr>
              <w:pStyle w:val="Tabletext"/>
              <w:rPr>
                <w:szCs w:val="22"/>
              </w:rPr>
            </w:pPr>
            <w:r w:rsidRPr="00073574">
              <w:rPr>
                <w:szCs w:val="22"/>
              </w:rPr>
              <w:t xml:space="preserve">Recommendation </w:t>
            </w:r>
            <w:r w:rsidR="00F0236A" w:rsidRPr="00073574">
              <w:rPr>
                <w:szCs w:val="22"/>
              </w:rPr>
              <w:t xml:space="preserve">ITU-T E.156 </w:t>
            </w:r>
            <w:r w:rsidR="00B77459" w:rsidRPr="00073574">
              <w:rPr>
                <w:szCs w:val="22"/>
              </w:rPr>
              <w:t xml:space="preserve">(revised) </w:t>
            </w:r>
            <w:r w:rsidR="0034409A" w:rsidRPr="00073574">
              <w:rPr>
                <w:szCs w:val="22"/>
              </w:rPr>
              <w:t>“</w:t>
            </w:r>
            <w:r w:rsidR="00F0236A" w:rsidRPr="00073574">
              <w:rPr>
                <w:szCs w:val="22"/>
              </w:rPr>
              <w:t>Guidelines for ITU-T action on reported misuse of E.164 number resources</w:t>
            </w:r>
            <w:r w:rsidR="0034409A" w:rsidRPr="00073574">
              <w:rPr>
                <w:szCs w:val="22"/>
              </w:rPr>
              <w:t>”</w:t>
            </w:r>
            <w:r w:rsidR="00F0236A" w:rsidRPr="00073574">
              <w:rPr>
                <w:szCs w:val="22"/>
              </w:rPr>
              <w:t xml:space="preserve"> </w:t>
            </w:r>
            <w:r w:rsidR="002561AE" w:rsidRPr="00073574">
              <w:rPr>
                <w:szCs w:val="22"/>
              </w:rPr>
              <w:t xml:space="preserve">was approved </w:t>
            </w:r>
            <w:r w:rsidRPr="00073574">
              <w:rPr>
                <w:szCs w:val="22"/>
              </w:rPr>
              <w:t xml:space="preserve">on </w:t>
            </w:r>
            <w:r w:rsidR="00E258E9" w:rsidRPr="00073574">
              <w:rPr>
                <w:szCs w:val="22"/>
              </w:rPr>
              <w:t>5 June 2020</w:t>
            </w:r>
            <w:r w:rsidR="00F0236A" w:rsidRPr="00073574">
              <w:rPr>
                <w:szCs w:val="22"/>
              </w:rPr>
              <w:t>.</w:t>
            </w:r>
          </w:p>
        </w:tc>
      </w:tr>
      <w:tr w:rsidR="00F0236A" w:rsidRPr="00073574" w14:paraId="7E85A9CA" w14:textId="77777777" w:rsidTr="0085771B">
        <w:trPr>
          <w:cantSplit/>
          <w:jc w:val="center"/>
        </w:trPr>
        <w:tc>
          <w:tcPr>
            <w:tcW w:w="929" w:type="dxa"/>
            <w:vMerge w:val="restart"/>
            <w:tcBorders>
              <w:top w:val="single" w:sz="12" w:space="0" w:color="auto"/>
            </w:tcBorders>
            <w:shd w:val="clear" w:color="auto" w:fill="auto"/>
          </w:tcPr>
          <w:p w14:paraId="3D04E2DD" w14:textId="77777777" w:rsidR="00F0236A" w:rsidRPr="00073574" w:rsidRDefault="00F0236A" w:rsidP="005B5893">
            <w:pPr>
              <w:pStyle w:val="Tabletext"/>
              <w:keepNext/>
              <w:keepLines/>
              <w:rPr>
                <w:b/>
                <w:bCs/>
                <w:sz w:val="24"/>
                <w:szCs w:val="24"/>
              </w:rPr>
            </w:pPr>
            <w:r w:rsidRPr="00073574">
              <w:rPr>
                <w:b/>
                <w:bCs/>
                <w:sz w:val="24"/>
                <w:szCs w:val="24"/>
              </w:rPr>
              <w:t>61-02</w:t>
            </w:r>
          </w:p>
        </w:tc>
        <w:tc>
          <w:tcPr>
            <w:tcW w:w="4892" w:type="dxa"/>
            <w:tcBorders>
              <w:top w:val="single" w:sz="12" w:space="0" w:color="auto"/>
            </w:tcBorders>
            <w:shd w:val="clear" w:color="auto" w:fill="auto"/>
            <w:hideMark/>
          </w:tcPr>
          <w:p w14:paraId="7F800ADA" w14:textId="77777777" w:rsidR="00F0236A" w:rsidRPr="00073574" w:rsidRDefault="00F0236A" w:rsidP="005B5893">
            <w:pPr>
              <w:pStyle w:val="Tabletext"/>
              <w:keepNext/>
              <w:keepLines/>
              <w:rPr>
                <w:b/>
                <w:bCs/>
                <w:sz w:val="24"/>
                <w:szCs w:val="24"/>
              </w:rPr>
            </w:pPr>
            <w:r w:rsidRPr="00073574">
              <w:rPr>
                <w:b/>
                <w:bCs/>
                <w:sz w:val="24"/>
                <w:szCs w:val="24"/>
              </w:rPr>
              <w:t>SG3 to develop definitions for inappropriate activities related to misappropriation and misuse of international numbering resources specified in ITU-T Recommendations</w:t>
            </w:r>
          </w:p>
        </w:tc>
        <w:tc>
          <w:tcPr>
            <w:tcW w:w="1216" w:type="dxa"/>
            <w:tcBorders>
              <w:top w:val="single" w:sz="12" w:space="0" w:color="auto"/>
            </w:tcBorders>
            <w:shd w:val="clear" w:color="auto" w:fill="auto"/>
            <w:vAlign w:val="center"/>
            <w:hideMark/>
          </w:tcPr>
          <w:p w14:paraId="6E2D53D7" w14:textId="77777777" w:rsidR="00F0236A" w:rsidRPr="00073574" w:rsidRDefault="00F0236A" w:rsidP="005B5893">
            <w:pPr>
              <w:pStyle w:val="Tabletext"/>
              <w:keepNext/>
              <w:keepLines/>
              <w:jc w:val="center"/>
              <w:rPr>
                <w:b/>
                <w:bCs/>
                <w:sz w:val="24"/>
                <w:szCs w:val="24"/>
              </w:rPr>
            </w:pPr>
            <w:r w:rsidRPr="00073574">
              <w:rPr>
                <w:b/>
                <w:bCs/>
                <w:sz w:val="24"/>
                <w:szCs w:val="24"/>
              </w:rPr>
              <w:t>Ongoing</w:t>
            </w:r>
          </w:p>
        </w:tc>
        <w:tc>
          <w:tcPr>
            <w:tcW w:w="1210" w:type="dxa"/>
            <w:tcBorders>
              <w:top w:val="single" w:sz="12" w:space="0" w:color="auto"/>
            </w:tcBorders>
            <w:shd w:val="clear" w:color="auto" w:fill="auto"/>
            <w:vAlign w:val="center"/>
          </w:tcPr>
          <w:p w14:paraId="5BF648AE" w14:textId="5ADFAA68" w:rsidR="00F0236A" w:rsidRPr="00073574" w:rsidRDefault="00132342" w:rsidP="005B5893">
            <w:pPr>
              <w:pStyle w:val="Tabletext"/>
              <w:keepNext/>
              <w:keepLines/>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124F1281" w14:textId="77777777" w:rsidR="00F0236A" w:rsidRPr="00073574" w:rsidRDefault="00F0236A" w:rsidP="005B5893">
            <w:pPr>
              <w:pStyle w:val="Tabletext"/>
              <w:keepNext/>
              <w:keepLines/>
              <w:jc w:val="center"/>
              <w:rPr>
                <w:b/>
                <w:bCs/>
                <w:sz w:val="24"/>
                <w:szCs w:val="24"/>
              </w:rPr>
            </w:pPr>
          </w:p>
        </w:tc>
      </w:tr>
      <w:tr w:rsidR="00F0236A" w:rsidRPr="00073574" w14:paraId="6322FEA2" w14:textId="77777777" w:rsidTr="0085771B">
        <w:trPr>
          <w:cantSplit/>
          <w:jc w:val="center"/>
        </w:trPr>
        <w:tc>
          <w:tcPr>
            <w:tcW w:w="929" w:type="dxa"/>
            <w:vMerge/>
            <w:tcBorders>
              <w:bottom w:val="single" w:sz="12" w:space="0" w:color="auto"/>
            </w:tcBorders>
            <w:shd w:val="clear" w:color="auto" w:fill="auto"/>
          </w:tcPr>
          <w:p w14:paraId="68CF9CCC" w14:textId="77777777" w:rsidR="00F0236A" w:rsidRPr="00073574" w:rsidRDefault="00F0236A" w:rsidP="005B5893">
            <w:pPr>
              <w:pStyle w:val="Tabletext"/>
              <w:keepNext/>
              <w:keepLines/>
              <w:rPr>
                <w:sz w:val="24"/>
                <w:szCs w:val="24"/>
              </w:rPr>
            </w:pPr>
          </w:p>
        </w:tc>
        <w:tc>
          <w:tcPr>
            <w:tcW w:w="8654" w:type="dxa"/>
            <w:gridSpan w:val="4"/>
            <w:tcBorders>
              <w:bottom w:val="single" w:sz="12" w:space="0" w:color="auto"/>
            </w:tcBorders>
            <w:shd w:val="clear" w:color="auto" w:fill="auto"/>
          </w:tcPr>
          <w:p w14:paraId="7FBF2608" w14:textId="2D582571" w:rsidR="00F0236A" w:rsidRPr="00073574" w:rsidRDefault="00132342" w:rsidP="005B5893">
            <w:pPr>
              <w:pStyle w:val="Tabletext"/>
              <w:keepNext/>
              <w:keepLines/>
              <w:rPr>
                <w:szCs w:val="22"/>
              </w:rPr>
            </w:pPr>
            <w:r w:rsidRPr="00073574">
              <w:rPr>
                <w:szCs w:val="22"/>
              </w:rPr>
              <w:t>ITU-T Study Group 3 is studying work item STUDY_ACPMI</w:t>
            </w:r>
            <w:r w:rsidR="0084617A" w:rsidRPr="00073574">
              <w:rPr>
                <w:szCs w:val="22"/>
              </w:rPr>
              <w:t xml:space="preserve">, </w:t>
            </w:r>
            <w:r w:rsidRPr="00073574">
              <w:rPr>
                <w:szCs w:val="22"/>
              </w:rPr>
              <w:t>Alternative Calling Procedures, and misappropriation and misuse of facilities and services (CLI, CPND and OI), and in work item D.SIMBOX</w:t>
            </w:r>
            <w:r w:rsidR="006D008B" w:rsidRPr="00073574">
              <w:rPr>
                <w:szCs w:val="22"/>
              </w:rPr>
              <w:t xml:space="preserve">, </w:t>
            </w:r>
            <w:r w:rsidRPr="00073574">
              <w:rPr>
                <w:szCs w:val="22"/>
              </w:rPr>
              <w:t>Economic impact of SIMBOX bypass.</w:t>
            </w:r>
            <w:r w:rsidR="006D008B" w:rsidRPr="00073574">
              <w:rPr>
                <w:szCs w:val="22"/>
              </w:rPr>
              <w:t xml:space="preserve"> SG3 is also lia</w:t>
            </w:r>
            <w:r w:rsidR="004A4EE0" w:rsidRPr="00073574">
              <w:rPr>
                <w:szCs w:val="22"/>
              </w:rPr>
              <w:t>i</w:t>
            </w:r>
            <w:r w:rsidR="006D008B" w:rsidRPr="00073574">
              <w:rPr>
                <w:szCs w:val="22"/>
              </w:rPr>
              <w:t>sing with SG2 on the definition of OTT Bypass.</w:t>
            </w:r>
          </w:p>
        </w:tc>
      </w:tr>
      <w:tr w:rsidR="00F0236A" w:rsidRPr="00073574" w14:paraId="61D0A4B2" w14:textId="77777777" w:rsidTr="0085771B">
        <w:trPr>
          <w:cantSplit/>
          <w:jc w:val="center"/>
        </w:trPr>
        <w:tc>
          <w:tcPr>
            <w:tcW w:w="929" w:type="dxa"/>
            <w:vMerge w:val="restart"/>
            <w:tcBorders>
              <w:top w:val="single" w:sz="12" w:space="0" w:color="auto"/>
            </w:tcBorders>
            <w:shd w:val="clear" w:color="auto" w:fill="auto"/>
          </w:tcPr>
          <w:p w14:paraId="508F8543" w14:textId="77777777" w:rsidR="00F0236A" w:rsidRPr="00073574" w:rsidRDefault="00F0236A" w:rsidP="0028134B">
            <w:pPr>
              <w:pStyle w:val="Tabletext"/>
              <w:keepNext/>
              <w:keepLines/>
              <w:rPr>
                <w:b/>
                <w:bCs/>
                <w:sz w:val="24"/>
                <w:szCs w:val="24"/>
              </w:rPr>
            </w:pPr>
            <w:r w:rsidRPr="00073574">
              <w:rPr>
                <w:b/>
                <w:bCs/>
                <w:sz w:val="24"/>
                <w:szCs w:val="24"/>
              </w:rPr>
              <w:t>61-03</w:t>
            </w:r>
          </w:p>
        </w:tc>
        <w:tc>
          <w:tcPr>
            <w:tcW w:w="4892" w:type="dxa"/>
            <w:tcBorders>
              <w:top w:val="single" w:sz="12" w:space="0" w:color="auto"/>
            </w:tcBorders>
            <w:shd w:val="clear" w:color="auto" w:fill="auto"/>
            <w:hideMark/>
          </w:tcPr>
          <w:p w14:paraId="2CF83136" w14:textId="77777777" w:rsidR="00F0236A" w:rsidRPr="00073574" w:rsidRDefault="00F0236A" w:rsidP="00DF36E1">
            <w:pPr>
              <w:pStyle w:val="Tabletext"/>
              <w:rPr>
                <w:b/>
                <w:bCs/>
                <w:sz w:val="24"/>
                <w:szCs w:val="24"/>
              </w:rPr>
            </w:pPr>
            <w:r w:rsidRPr="00073574">
              <w:rPr>
                <w:b/>
                <w:bCs/>
                <w:sz w:val="24"/>
                <w:szCs w:val="24"/>
              </w:rPr>
              <w:t>SG3 to study the economic effects of misappropriation and misuse of numbering resources, including call blocking</w:t>
            </w:r>
          </w:p>
        </w:tc>
        <w:tc>
          <w:tcPr>
            <w:tcW w:w="1216" w:type="dxa"/>
            <w:tcBorders>
              <w:top w:val="single" w:sz="12" w:space="0" w:color="auto"/>
            </w:tcBorders>
            <w:shd w:val="clear" w:color="auto" w:fill="auto"/>
            <w:vAlign w:val="center"/>
            <w:hideMark/>
          </w:tcPr>
          <w:p w14:paraId="48849E3D" w14:textId="77777777" w:rsidR="00F0236A" w:rsidRPr="00073574" w:rsidRDefault="00F0236A" w:rsidP="00DF36E1">
            <w:pPr>
              <w:pStyle w:val="Tabletext"/>
              <w:jc w:val="center"/>
              <w:rPr>
                <w:b/>
                <w:bCs/>
                <w:sz w:val="24"/>
                <w:szCs w:val="24"/>
              </w:rPr>
            </w:pPr>
            <w:r w:rsidRPr="00073574">
              <w:rPr>
                <w:b/>
                <w:bCs/>
                <w:sz w:val="24"/>
                <w:szCs w:val="24"/>
              </w:rPr>
              <w:t>Ongoing</w:t>
            </w:r>
          </w:p>
        </w:tc>
        <w:tc>
          <w:tcPr>
            <w:tcW w:w="1210" w:type="dxa"/>
            <w:tcBorders>
              <w:top w:val="single" w:sz="12" w:space="0" w:color="auto"/>
            </w:tcBorders>
            <w:shd w:val="clear" w:color="auto" w:fill="auto"/>
            <w:vAlign w:val="center"/>
          </w:tcPr>
          <w:p w14:paraId="22B757CA" w14:textId="7336EEB6" w:rsidR="00F0236A" w:rsidRPr="00073574" w:rsidRDefault="00241650"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6EAF9AC0" w14:textId="77777777" w:rsidR="00F0236A" w:rsidRPr="00073574" w:rsidRDefault="00F0236A" w:rsidP="00DF36E1">
            <w:pPr>
              <w:pStyle w:val="Tabletext"/>
              <w:jc w:val="center"/>
              <w:rPr>
                <w:b/>
                <w:bCs/>
                <w:sz w:val="24"/>
                <w:szCs w:val="24"/>
              </w:rPr>
            </w:pPr>
          </w:p>
        </w:tc>
      </w:tr>
      <w:tr w:rsidR="00F0236A" w:rsidRPr="00073574" w14:paraId="6A03C309" w14:textId="77777777" w:rsidTr="00DF36E1">
        <w:trPr>
          <w:cantSplit/>
          <w:jc w:val="center"/>
        </w:trPr>
        <w:tc>
          <w:tcPr>
            <w:tcW w:w="929" w:type="dxa"/>
            <w:vMerge/>
            <w:shd w:val="clear" w:color="auto" w:fill="auto"/>
            <w:vAlign w:val="center"/>
          </w:tcPr>
          <w:p w14:paraId="1C4B1EB4" w14:textId="77777777" w:rsidR="00F0236A" w:rsidRPr="00073574" w:rsidRDefault="00F0236A" w:rsidP="00DF36E1">
            <w:pPr>
              <w:pStyle w:val="Tabletext"/>
              <w:rPr>
                <w:sz w:val="24"/>
                <w:szCs w:val="24"/>
              </w:rPr>
            </w:pPr>
          </w:p>
        </w:tc>
        <w:tc>
          <w:tcPr>
            <w:tcW w:w="8654" w:type="dxa"/>
            <w:gridSpan w:val="4"/>
            <w:shd w:val="clear" w:color="auto" w:fill="auto"/>
          </w:tcPr>
          <w:p w14:paraId="08E5914C" w14:textId="369D4DD3" w:rsidR="00F0236A" w:rsidRPr="00073574" w:rsidRDefault="00241650" w:rsidP="00DF36E1">
            <w:pPr>
              <w:pStyle w:val="Tabletext"/>
              <w:rPr>
                <w:szCs w:val="22"/>
              </w:rPr>
            </w:pPr>
            <w:r w:rsidRPr="00073574">
              <w:rPr>
                <w:szCs w:val="22"/>
              </w:rPr>
              <w:t>Q8/3 is studying work item STUDY_ACPMI Alternative Calling Procedures, and misappropriation and misuse of facilities and services (CLI, CPND and OI).</w:t>
            </w:r>
          </w:p>
        </w:tc>
      </w:tr>
    </w:tbl>
    <w:bookmarkStart w:id="285" w:name="Item61_01"/>
    <w:bookmarkStart w:id="286" w:name="Item61_02"/>
    <w:bookmarkStart w:id="287" w:name="Item61_03"/>
    <w:bookmarkEnd w:id="285"/>
    <w:bookmarkEnd w:id="286"/>
    <w:bookmarkEnd w:id="287"/>
    <w:p w14:paraId="2D5E137A" w14:textId="77777777" w:rsidR="00F0236A" w:rsidRPr="00073574" w:rsidRDefault="00F0236A" w:rsidP="00F0236A">
      <w:pPr>
        <w:rPr>
          <w:sz w:val="24"/>
        </w:rPr>
      </w:pPr>
      <w:r w:rsidRPr="00073574">
        <w:rPr>
          <w:color w:val="2B579A"/>
          <w:shd w:val="clear" w:color="auto" w:fill="E6E6E6"/>
        </w:rPr>
        <w:fldChar w:fldCharType="begin"/>
      </w:r>
      <w:r w:rsidRPr="00073574">
        <w:rPr>
          <w:sz w:val="24"/>
        </w:rPr>
        <w:instrText xml:space="preserve"> HYPERLINK \l "Top" </w:instrText>
      </w:r>
      <w:r w:rsidRPr="00073574">
        <w:rPr>
          <w:color w:val="2B579A"/>
          <w:shd w:val="clear" w:color="auto" w:fill="E6E6E6"/>
        </w:rPr>
        <w:fldChar w:fldCharType="separate"/>
      </w:r>
      <w:r w:rsidRPr="00073574">
        <w:rPr>
          <w:rStyle w:val="Hyperlink"/>
          <w:rFonts w:eastAsia="Times New Roman"/>
          <w:sz w:val="24"/>
        </w:rPr>
        <w:t>» Top</w:t>
      </w:r>
      <w:r w:rsidRPr="00073574">
        <w:rPr>
          <w:rStyle w:val="Hyperlink"/>
          <w:rFonts w:eastAsia="Times New Roman"/>
          <w:sz w:val="24"/>
        </w:rPr>
        <w:fldChar w:fldCharType="end"/>
      </w:r>
    </w:p>
    <w:p w14:paraId="0D1DF5AE" w14:textId="77777777" w:rsidR="00F0236A" w:rsidRPr="00073574" w:rsidRDefault="00F0236A" w:rsidP="00F0236A">
      <w:pPr>
        <w:rPr>
          <w:sz w:val="24"/>
        </w:rPr>
      </w:pPr>
    </w:p>
    <w:p w14:paraId="5166DD31" w14:textId="77777777" w:rsidR="00F0236A" w:rsidRPr="00073574" w:rsidRDefault="00F0236A" w:rsidP="00F0236A">
      <w:pPr>
        <w:pStyle w:val="Heading1"/>
        <w:keepNext/>
        <w:rPr>
          <w:sz w:val="24"/>
          <w:szCs w:val="24"/>
          <w:lang w:val="en-GB"/>
        </w:rPr>
      </w:pPr>
      <w:bookmarkStart w:id="288" w:name="Resolution_62"/>
      <w:bookmarkStart w:id="289" w:name="_Toc304236446"/>
      <w:bookmarkStart w:id="290" w:name="_Toc471715380"/>
      <w:bookmarkStart w:id="291" w:name="_Toc93425266"/>
      <w:bookmarkEnd w:id="288"/>
      <w:r w:rsidRPr="00073574">
        <w:rPr>
          <w:sz w:val="24"/>
          <w:szCs w:val="24"/>
          <w:lang w:val="en-GB"/>
        </w:rPr>
        <w:t>Resolution 62 - Dispute settlement</w:t>
      </w:r>
      <w:bookmarkEnd w:id="289"/>
      <w:bookmarkEnd w:id="290"/>
      <w:bookmarkEnd w:id="291"/>
    </w:p>
    <w:p w14:paraId="7240777D" w14:textId="77777777" w:rsidR="00F0236A" w:rsidRPr="00073574" w:rsidRDefault="00F0236A" w:rsidP="00F0236A">
      <w:pPr>
        <w:rPr>
          <w:b/>
          <w:bCs/>
          <w:sz w:val="24"/>
        </w:rPr>
      </w:pPr>
      <w:r w:rsidRPr="00073574">
        <w:rPr>
          <w:b/>
          <w:bCs/>
          <w:sz w:val="24"/>
        </w:rPr>
        <w:t>Resolution 62</w:t>
      </w:r>
    </w:p>
    <w:p w14:paraId="2E34FCAF" w14:textId="77777777" w:rsidR="00F0236A" w:rsidRPr="00073574" w:rsidRDefault="00F0236A" w:rsidP="00F0236A">
      <w:pPr>
        <w:pStyle w:val="Call"/>
        <w:rPr>
          <w:sz w:val="24"/>
          <w:szCs w:val="24"/>
          <w:rtl/>
          <w:lang w:val="en-GB"/>
        </w:rPr>
      </w:pPr>
      <w:r w:rsidRPr="00073574">
        <w:rPr>
          <w:sz w:val="24"/>
          <w:szCs w:val="24"/>
          <w:lang w:val="en-GB"/>
        </w:rPr>
        <w:t>resolves to instruct ITU-T Study Group 3</w:t>
      </w:r>
    </w:p>
    <w:p w14:paraId="41CE8C3B" w14:textId="77777777" w:rsidR="00F0236A" w:rsidRPr="00073574" w:rsidRDefault="00F0236A" w:rsidP="00F0236A">
      <w:pPr>
        <w:rPr>
          <w:sz w:val="24"/>
          <w:rtl/>
        </w:rPr>
      </w:pPr>
      <w:r w:rsidRPr="00073574">
        <w:rPr>
          <w:sz w:val="24"/>
        </w:rPr>
        <w:t>1</w:t>
      </w:r>
      <w:r w:rsidRPr="00073574">
        <w:rPr>
          <w:sz w:val="24"/>
        </w:rPr>
        <w:tab/>
        <w:t>to expedite its work on international connectivity, in order to facilitate the implementation of relevant resolutions;</w:t>
      </w:r>
    </w:p>
    <w:p w14:paraId="2BE6984A" w14:textId="77777777" w:rsidR="00F0236A" w:rsidRPr="00073574" w:rsidRDefault="00F0236A" w:rsidP="00F0236A">
      <w:pPr>
        <w:rPr>
          <w:sz w:val="24"/>
        </w:rPr>
      </w:pPr>
      <w:r w:rsidRPr="00073574">
        <w:rPr>
          <w:sz w:val="24"/>
        </w:rPr>
        <w:t>2</w:t>
      </w:r>
      <w:r w:rsidRPr="00073574">
        <w:rPr>
          <w:sz w:val="24"/>
        </w:rPr>
        <w:tab/>
        <w:t>to collect data with respect to the implementation and practical effects of the implementation of relevant resolutions and ITU-T D-series Recommendations,</w:t>
      </w:r>
    </w:p>
    <w:p w14:paraId="486D1517" w14:textId="77777777" w:rsidR="00F0236A" w:rsidRPr="00073574" w:rsidRDefault="00F0236A" w:rsidP="00F0236A">
      <w:pPr>
        <w:pStyle w:val="Call"/>
        <w:rPr>
          <w:sz w:val="24"/>
          <w:szCs w:val="24"/>
          <w:rtl/>
          <w:lang w:val="en-GB"/>
        </w:rPr>
      </w:pPr>
      <w:r w:rsidRPr="00073574">
        <w:rPr>
          <w:sz w:val="24"/>
          <w:szCs w:val="24"/>
          <w:lang w:val="en-GB"/>
        </w:rPr>
        <w:t>invites Member States</w:t>
      </w:r>
    </w:p>
    <w:p w14:paraId="1BCEF4C4" w14:textId="77777777" w:rsidR="00F0236A" w:rsidRPr="00073574" w:rsidRDefault="00F0236A" w:rsidP="00F0236A">
      <w:pPr>
        <w:rPr>
          <w:sz w:val="24"/>
        </w:rPr>
      </w:pPr>
      <w:r w:rsidRPr="00073574">
        <w:rPr>
          <w:sz w:val="24"/>
        </w:rPr>
        <w:t>1</w:t>
      </w:r>
      <w:r w:rsidRPr="00073574">
        <w:rPr>
          <w:sz w:val="24"/>
        </w:rPr>
        <w:tab/>
        <w:t>to encourage each party to include in a negotiation or agreement related to, or arising out of, international connectivity matters a dispute settlement clause in such agreements;</w:t>
      </w:r>
    </w:p>
    <w:p w14:paraId="6D90BBC6" w14:textId="77777777" w:rsidR="00F0236A" w:rsidRPr="00073574" w:rsidRDefault="00F0236A" w:rsidP="00F0236A">
      <w:pPr>
        <w:rPr>
          <w:sz w:val="24"/>
          <w:rtl/>
        </w:rPr>
      </w:pPr>
      <w:r w:rsidRPr="00073574">
        <w:rPr>
          <w:sz w:val="24"/>
        </w:rPr>
        <w:t>2</w:t>
      </w:r>
      <w:r w:rsidRPr="00073574">
        <w:rPr>
          <w:sz w:val="24"/>
        </w:rPr>
        <w:tab/>
        <w:t>to encourage all operating agencies domiciled within their territories to implement relevant ITU</w:t>
      </w:r>
      <w:r w:rsidRPr="00073574">
        <w:rPr>
          <w:sz w:val="24"/>
        </w:rPr>
        <w:noBreakHyphen/>
        <w:t>T Recommendations;</w:t>
      </w:r>
    </w:p>
    <w:p w14:paraId="64807A16" w14:textId="7F7E8479" w:rsidR="00F0236A" w:rsidRPr="00073574" w:rsidRDefault="00F0236A" w:rsidP="00F0236A">
      <w:pPr>
        <w:rPr>
          <w:sz w:val="24"/>
          <w:rtl/>
        </w:rPr>
      </w:pPr>
      <w:r w:rsidRPr="00073574">
        <w:rPr>
          <w:sz w:val="24"/>
        </w:rPr>
        <w:t>3</w:t>
      </w:r>
      <w:r w:rsidRPr="00073574">
        <w:rPr>
          <w:sz w:val="24"/>
        </w:rPr>
        <w:tab/>
        <w:t>to contribute to ITU</w:t>
      </w:r>
      <w:r w:rsidRPr="00073574">
        <w:rPr>
          <w:sz w:val="24"/>
        </w:rPr>
        <w:noBreakHyphen/>
        <w:t>T</w:t>
      </w:r>
      <w:r w:rsidR="003C7E25" w:rsidRPr="00073574">
        <w:rPr>
          <w:sz w:val="24"/>
        </w:rPr>
        <w:t>'</w:t>
      </w:r>
      <w:r w:rsidRPr="00073574">
        <w:rPr>
          <w:sz w:val="24"/>
        </w:rPr>
        <w:t>s further work in the areas mentioned in this resolution,</w:t>
      </w:r>
    </w:p>
    <w:p w14:paraId="2FD89235" w14:textId="77777777" w:rsidR="00F0236A" w:rsidRPr="00073574" w:rsidRDefault="00F0236A" w:rsidP="00F0236A">
      <w:pPr>
        <w:pStyle w:val="Call"/>
        <w:rPr>
          <w:sz w:val="24"/>
          <w:szCs w:val="24"/>
          <w:rtl/>
          <w:lang w:val="en-GB"/>
        </w:rPr>
      </w:pPr>
      <w:r w:rsidRPr="00073574">
        <w:rPr>
          <w:sz w:val="24"/>
          <w:szCs w:val="24"/>
          <w:lang w:val="en-GB"/>
        </w:rPr>
        <w:lastRenderedPageBreak/>
        <w:t>instructs the Director of the Telecommunication Standardization Bureau</w:t>
      </w:r>
    </w:p>
    <w:p w14:paraId="226DCA88" w14:textId="77777777" w:rsidR="00F0236A" w:rsidRPr="00073574" w:rsidRDefault="00F0236A" w:rsidP="00F0236A">
      <w:pPr>
        <w:rPr>
          <w:sz w:val="24"/>
          <w:rtl/>
        </w:rPr>
      </w:pPr>
      <w:r w:rsidRPr="00073574">
        <w:rPr>
          <w:sz w:val="24"/>
        </w:rPr>
        <w:t>1</w:t>
      </w:r>
      <w:r w:rsidRPr="00073574">
        <w:rPr>
          <w:sz w:val="24"/>
        </w:rPr>
        <w:tab/>
        <w:t>to report annually to the ITU Council with respect to the implementation of this resolution;</w:t>
      </w:r>
    </w:p>
    <w:p w14:paraId="68FF7DA0" w14:textId="77777777" w:rsidR="00F0236A" w:rsidRPr="00073574" w:rsidRDefault="00F0236A" w:rsidP="00F0236A">
      <w:pPr>
        <w:spacing w:after="240"/>
        <w:rPr>
          <w:sz w:val="24"/>
        </w:rPr>
      </w:pPr>
      <w:r w:rsidRPr="00073574">
        <w:rPr>
          <w:sz w:val="24"/>
        </w:rPr>
        <w:t>2</w:t>
      </w:r>
      <w:r w:rsidRPr="00073574">
        <w:rPr>
          <w:sz w:val="24"/>
        </w:rPr>
        <w:tab/>
        <w:t>to provide all necessary support, within the existing budget, to Study Group 3 for its further work on this matter.</w:t>
      </w:r>
    </w:p>
    <w:tbl>
      <w:tblPr>
        <w:tblW w:w="976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27"/>
        <w:gridCol w:w="4953"/>
        <w:gridCol w:w="1216"/>
        <w:gridCol w:w="1331"/>
        <w:gridCol w:w="1336"/>
      </w:tblGrid>
      <w:tr w:rsidR="00F0236A" w:rsidRPr="00073574" w14:paraId="1E12D238" w14:textId="77777777" w:rsidTr="00134E92">
        <w:trPr>
          <w:tblHeader/>
          <w:jc w:val="center"/>
        </w:trPr>
        <w:tc>
          <w:tcPr>
            <w:tcW w:w="927" w:type="dxa"/>
            <w:tcBorders>
              <w:top w:val="single" w:sz="12" w:space="0" w:color="auto"/>
              <w:bottom w:val="single" w:sz="12" w:space="0" w:color="auto"/>
            </w:tcBorders>
            <w:shd w:val="clear" w:color="auto" w:fill="auto"/>
            <w:vAlign w:val="center"/>
          </w:tcPr>
          <w:p w14:paraId="2C834223" w14:textId="77777777" w:rsidR="00F0236A" w:rsidRPr="00073574" w:rsidRDefault="00F0236A" w:rsidP="00B242DF">
            <w:pPr>
              <w:pStyle w:val="Tablehead"/>
              <w:keepNext w:val="0"/>
              <w:rPr>
                <w:sz w:val="24"/>
                <w:szCs w:val="24"/>
              </w:rPr>
            </w:pPr>
            <w:r w:rsidRPr="00073574">
              <w:rPr>
                <w:sz w:val="24"/>
                <w:szCs w:val="24"/>
              </w:rPr>
              <w:t>Action Item</w:t>
            </w:r>
          </w:p>
        </w:tc>
        <w:tc>
          <w:tcPr>
            <w:tcW w:w="4953" w:type="dxa"/>
            <w:tcBorders>
              <w:top w:val="single" w:sz="12" w:space="0" w:color="auto"/>
              <w:bottom w:val="single" w:sz="12" w:space="0" w:color="auto"/>
            </w:tcBorders>
            <w:shd w:val="clear" w:color="auto" w:fill="auto"/>
            <w:vAlign w:val="center"/>
            <w:hideMark/>
          </w:tcPr>
          <w:p w14:paraId="428CF87B" w14:textId="77777777" w:rsidR="00F0236A" w:rsidRPr="00073574" w:rsidRDefault="00F0236A" w:rsidP="00DF36E1">
            <w:pPr>
              <w:pStyle w:val="Tablehead"/>
              <w:rPr>
                <w:sz w:val="24"/>
                <w:szCs w:val="24"/>
              </w:rPr>
            </w:pPr>
            <w:r w:rsidRPr="00073574">
              <w:rPr>
                <w:sz w:val="24"/>
                <w:szCs w:val="24"/>
              </w:rPr>
              <w:t>Action</w:t>
            </w:r>
          </w:p>
        </w:tc>
        <w:tc>
          <w:tcPr>
            <w:tcW w:w="1216" w:type="dxa"/>
            <w:tcBorders>
              <w:top w:val="single" w:sz="12" w:space="0" w:color="auto"/>
              <w:bottom w:val="single" w:sz="12" w:space="0" w:color="auto"/>
            </w:tcBorders>
            <w:shd w:val="clear" w:color="auto" w:fill="auto"/>
            <w:vAlign w:val="center"/>
            <w:hideMark/>
          </w:tcPr>
          <w:p w14:paraId="35255044" w14:textId="77777777" w:rsidR="00F0236A" w:rsidRPr="00073574" w:rsidRDefault="00F0236A" w:rsidP="00DF36E1">
            <w:pPr>
              <w:pStyle w:val="Tablehead"/>
              <w:rPr>
                <w:sz w:val="24"/>
                <w:szCs w:val="24"/>
              </w:rPr>
            </w:pPr>
            <w:r w:rsidRPr="00073574">
              <w:rPr>
                <w:sz w:val="24"/>
                <w:szCs w:val="24"/>
              </w:rPr>
              <w:t>Milestone</w:t>
            </w:r>
          </w:p>
        </w:tc>
        <w:tc>
          <w:tcPr>
            <w:tcW w:w="1331" w:type="dxa"/>
            <w:tcBorders>
              <w:top w:val="single" w:sz="12" w:space="0" w:color="auto"/>
              <w:bottom w:val="single" w:sz="12" w:space="0" w:color="auto"/>
            </w:tcBorders>
            <w:shd w:val="clear" w:color="auto" w:fill="auto"/>
          </w:tcPr>
          <w:p w14:paraId="7385026A" w14:textId="77777777" w:rsidR="00F0236A" w:rsidRPr="00073574" w:rsidRDefault="00F0236A" w:rsidP="00DF36E1">
            <w:pPr>
              <w:pStyle w:val="Tablehead"/>
              <w:rPr>
                <w:sz w:val="24"/>
                <w:szCs w:val="24"/>
              </w:rPr>
            </w:pPr>
            <w:r w:rsidRPr="00073574">
              <w:rPr>
                <w:sz w:val="24"/>
                <w:szCs w:val="24"/>
              </w:rPr>
              <w:t>Periodic goals met</w:t>
            </w:r>
          </w:p>
        </w:tc>
        <w:tc>
          <w:tcPr>
            <w:tcW w:w="1336" w:type="dxa"/>
            <w:tcBorders>
              <w:top w:val="single" w:sz="12" w:space="0" w:color="auto"/>
              <w:bottom w:val="single" w:sz="12" w:space="0" w:color="auto"/>
            </w:tcBorders>
            <w:shd w:val="clear" w:color="auto" w:fill="auto"/>
            <w:vAlign w:val="center"/>
          </w:tcPr>
          <w:p w14:paraId="50BA81CF" w14:textId="77777777" w:rsidR="00F0236A" w:rsidRPr="00073574" w:rsidRDefault="00F0236A" w:rsidP="00DF36E1">
            <w:pPr>
              <w:pStyle w:val="Tablehead"/>
              <w:rPr>
                <w:sz w:val="24"/>
                <w:szCs w:val="24"/>
              </w:rPr>
            </w:pPr>
            <w:r w:rsidRPr="00073574">
              <w:rPr>
                <w:sz w:val="24"/>
                <w:szCs w:val="24"/>
              </w:rPr>
              <w:t>Completed</w:t>
            </w:r>
          </w:p>
        </w:tc>
      </w:tr>
      <w:tr w:rsidR="00F0236A" w:rsidRPr="00073574" w14:paraId="4D9FB2F1" w14:textId="77777777" w:rsidTr="00407292">
        <w:trPr>
          <w:jc w:val="center"/>
        </w:trPr>
        <w:tc>
          <w:tcPr>
            <w:tcW w:w="927" w:type="dxa"/>
            <w:vMerge w:val="restart"/>
            <w:tcBorders>
              <w:top w:val="single" w:sz="12" w:space="0" w:color="auto"/>
            </w:tcBorders>
            <w:shd w:val="clear" w:color="auto" w:fill="auto"/>
          </w:tcPr>
          <w:p w14:paraId="53177706" w14:textId="77777777" w:rsidR="00F0236A" w:rsidRPr="00073574" w:rsidRDefault="00F0236A" w:rsidP="00407292">
            <w:pPr>
              <w:pStyle w:val="Tabletext"/>
              <w:rPr>
                <w:b/>
                <w:bCs/>
                <w:sz w:val="24"/>
                <w:szCs w:val="24"/>
              </w:rPr>
            </w:pPr>
            <w:r w:rsidRPr="00073574">
              <w:rPr>
                <w:b/>
                <w:bCs/>
                <w:sz w:val="24"/>
                <w:szCs w:val="24"/>
              </w:rPr>
              <w:t>62-01</w:t>
            </w:r>
          </w:p>
        </w:tc>
        <w:tc>
          <w:tcPr>
            <w:tcW w:w="4953" w:type="dxa"/>
            <w:tcBorders>
              <w:top w:val="single" w:sz="12" w:space="0" w:color="auto"/>
              <w:bottom w:val="single" w:sz="4" w:space="0" w:color="auto"/>
            </w:tcBorders>
            <w:shd w:val="clear" w:color="auto" w:fill="auto"/>
            <w:hideMark/>
          </w:tcPr>
          <w:p w14:paraId="463E025D" w14:textId="77777777" w:rsidR="00F0236A" w:rsidRPr="00073574" w:rsidRDefault="00F0236A" w:rsidP="00407292">
            <w:pPr>
              <w:pStyle w:val="Tabletext"/>
              <w:rPr>
                <w:b/>
                <w:bCs/>
                <w:sz w:val="24"/>
                <w:szCs w:val="24"/>
              </w:rPr>
            </w:pPr>
            <w:r w:rsidRPr="00073574">
              <w:rPr>
                <w:b/>
                <w:bCs/>
                <w:sz w:val="24"/>
                <w:szCs w:val="24"/>
              </w:rPr>
              <w:t>SG3 to collect data with respect to implementation and practical effects of implementation of relevant resolutions and E-series Recommendations.</w:t>
            </w:r>
          </w:p>
        </w:tc>
        <w:tc>
          <w:tcPr>
            <w:tcW w:w="1216" w:type="dxa"/>
            <w:tcBorders>
              <w:top w:val="single" w:sz="12" w:space="0" w:color="auto"/>
              <w:bottom w:val="single" w:sz="4" w:space="0" w:color="auto"/>
            </w:tcBorders>
            <w:shd w:val="clear" w:color="auto" w:fill="auto"/>
            <w:vAlign w:val="center"/>
          </w:tcPr>
          <w:p w14:paraId="53ED73D0" w14:textId="77777777" w:rsidR="00F0236A" w:rsidRPr="00073574" w:rsidRDefault="00F0236A" w:rsidP="00407292">
            <w:pPr>
              <w:pStyle w:val="Tabletext"/>
              <w:jc w:val="center"/>
              <w:rPr>
                <w:b/>
                <w:bCs/>
                <w:sz w:val="24"/>
                <w:szCs w:val="24"/>
              </w:rPr>
            </w:pPr>
            <w:r w:rsidRPr="00073574">
              <w:rPr>
                <w:b/>
                <w:bCs/>
                <w:sz w:val="24"/>
                <w:szCs w:val="24"/>
              </w:rPr>
              <w:t>Ongoing</w:t>
            </w:r>
          </w:p>
        </w:tc>
        <w:tc>
          <w:tcPr>
            <w:tcW w:w="1331" w:type="dxa"/>
            <w:tcBorders>
              <w:top w:val="single" w:sz="12" w:space="0" w:color="auto"/>
              <w:bottom w:val="single" w:sz="4" w:space="0" w:color="auto"/>
            </w:tcBorders>
            <w:shd w:val="clear" w:color="auto" w:fill="auto"/>
            <w:vAlign w:val="center"/>
          </w:tcPr>
          <w:p w14:paraId="5780DE15" w14:textId="77777777" w:rsidR="00F0236A" w:rsidRPr="00073574" w:rsidRDefault="00F0236A" w:rsidP="00407292">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05D4BE93" w14:textId="77777777" w:rsidR="00F0236A" w:rsidRPr="00073574" w:rsidRDefault="00F0236A" w:rsidP="00407292">
            <w:pPr>
              <w:pStyle w:val="Tabletext"/>
              <w:jc w:val="center"/>
              <w:rPr>
                <w:b/>
                <w:bCs/>
                <w:sz w:val="24"/>
                <w:szCs w:val="24"/>
              </w:rPr>
            </w:pPr>
          </w:p>
        </w:tc>
      </w:tr>
      <w:tr w:rsidR="00F0236A" w:rsidRPr="00073574" w14:paraId="1A1EE9C3" w14:textId="77777777" w:rsidTr="0EE30F2E">
        <w:trPr>
          <w:jc w:val="center"/>
        </w:trPr>
        <w:tc>
          <w:tcPr>
            <w:tcW w:w="927" w:type="dxa"/>
            <w:vMerge/>
          </w:tcPr>
          <w:p w14:paraId="02A0A178" w14:textId="77777777" w:rsidR="00F0236A" w:rsidRPr="00073574" w:rsidRDefault="00F0236A" w:rsidP="00407292">
            <w:pPr>
              <w:pStyle w:val="Tabletext"/>
              <w:rPr>
                <w:sz w:val="24"/>
                <w:szCs w:val="24"/>
              </w:rPr>
            </w:pPr>
          </w:p>
        </w:tc>
        <w:tc>
          <w:tcPr>
            <w:tcW w:w="8836" w:type="dxa"/>
            <w:gridSpan w:val="4"/>
            <w:tcBorders>
              <w:top w:val="single" w:sz="4" w:space="0" w:color="auto"/>
            </w:tcBorders>
            <w:shd w:val="clear" w:color="auto" w:fill="auto"/>
          </w:tcPr>
          <w:p w14:paraId="0BA8289D" w14:textId="46BF85C2" w:rsidR="00921C55" w:rsidRPr="00073574" w:rsidRDefault="00F0236A" w:rsidP="00407292">
            <w:pPr>
              <w:pStyle w:val="Tabletext"/>
              <w:rPr>
                <w:szCs w:val="22"/>
              </w:rPr>
            </w:pPr>
            <w:r w:rsidRPr="00073574">
              <w:rPr>
                <w:szCs w:val="22"/>
              </w:rPr>
              <w:t>SG3</w:t>
            </w:r>
            <w:r w:rsidR="006C3F4A" w:rsidRPr="00073574">
              <w:rPr>
                <w:szCs w:val="22"/>
              </w:rPr>
              <w:t xml:space="preserve"> </w:t>
            </w:r>
            <w:r w:rsidR="00C61ECD" w:rsidRPr="00073574">
              <w:rPr>
                <w:szCs w:val="22"/>
              </w:rPr>
              <w:t xml:space="preserve">approved </w:t>
            </w:r>
            <w:r w:rsidR="000562F6" w:rsidRPr="00073574">
              <w:rPr>
                <w:szCs w:val="22"/>
              </w:rPr>
              <w:t xml:space="preserve">Recommendation </w:t>
            </w:r>
            <w:r w:rsidR="006C3F4A" w:rsidRPr="00073574">
              <w:rPr>
                <w:rFonts w:asciiTheme="majorBidi" w:hAnsiTheme="majorBidi" w:cstheme="majorBidi"/>
                <w:szCs w:val="24"/>
              </w:rPr>
              <w:t>ITU-T D.198 th</w:t>
            </w:r>
            <w:r w:rsidR="00FF4331" w:rsidRPr="00073574">
              <w:rPr>
                <w:rFonts w:asciiTheme="majorBidi" w:hAnsiTheme="majorBidi" w:cstheme="majorBidi"/>
                <w:szCs w:val="24"/>
              </w:rPr>
              <w:t>at</w:t>
            </w:r>
            <w:r w:rsidR="006C3F4A" w:rsidRPr="00073574">
              <w:rPr>
                <w:rFonts w:asciiTheme="majorBidi" w:hAnsiTheme="majorBidi" w:cstheme="majorBidi"/>
                <w:szCs w:val="24"/>
              </w:rPr>
              <w:t xml:space="preserve"> recognizes the right of any operator to present price/tariffs/rates charged for telecommunications services in any form deemed convenient for the operator, and recommends that telecommunications companies offering international connections/exchange of traffic make use as far as possible of the same templates/forms/format of data to represent traffic destinations and offered price/tariffs/rates including if required optional clarifying information or quality of service criteria.</w:t>
            </w:r>
          </w:p>
          <w:p w14:paraId="1235DE65" w14:textId="7CA13D6C" w:rsidR="005D62C4" w:rsidRPr="00073574" w:rsidRDefault="00D05FEC" w:rsidP="00407292">
            <w:pPr>
              <w:pStyle w:val="Tabletext"/>
              <w:rPr>
                <w:szCs w:val="22"/>
              </w:rPr>
            </w:pPr>
            <w:r w:rsidRPr="00073574">
              <w:rPr>
                <w:szCs w:val="22"/>
              </w:rPr>
              <w:t>SG3 finaliz</w:t>
            </w:r>
            <w:r w:rsidR="00921C55" w:rsidRPr="00073574">
              <w:rPr>
                <w:szCs w:val="22"/>
              </w:rPr>
              <w:t xml:space="preserve">ed and issued in TSB Circular 168 Cor.1 </w:t>
            </w:r>
            <w:r w:rsidR="00C01440" w:rsidRPr="00073574">
              <w:rPr>
                <w:szCs w:val="22"/>
              </w:rPr>
              <w:t>on</w:t>
            </w:r>
            <w:r w:rsidR="00921C55" w:rsidRPr="00073574">
              <w:rPr>
                <w:szCs w:val="22"/>
              </w:rPr>
              <w:t xml:space="preserve"> 14 May 2019 </w:t>
            </w:r>
            <w:r w:rsidR="004E4BE5" w:rsidRPr="00073574">
              <w:rPr>
                <w:szCs w:val="22"/>
              </w:rPr>
              <w:t xml:space="preserve">that contains </w:t>
            </w:r>
            <w:r w:rsidR="00921C55" w:rsidRPr="00073574">
              <w:rPr>
                <w:szCs w:val="22"/>
              </w:rPr>
              <w:t>a questionnaire on the implementation status of Recommendations ITU-T D.98 and D.97</w:t>
            </w:r>
            <w:r w:rsidR="00F11B24" w:rsidRPr="00073574">
              <w:rPr>
                <w:szCs w:val="22"/>
              </w:rPr>
              <w:t xml:space="preserve"> on international mobile roaming; SG3 consider</w:t>
            </w:r>
            <w:r w:rsidR="000100DE" w:rsidRPr="00073574">
              <w:rPr>
                <w:szCs w:val="22"/>
              </w:rPr>
              <w:t>ed</w:t>
            </w:r>
            <w:r w:rsidR="00F11B24" w:rsidRPr="00073574">
              <w:rPr>
                <w:szCs w:val="22"/>
              </w:rPr>
              <w:t xml:space="preserve"> the results of Circular 168</w:t>
            </w:r>
            <w:r w:rsidR="00921C55" w:rsidRPr="00073574">
              <w:rPr>
                <w:szCs w:val="22"/>
              </w:rPr>
              <w:t>.</w:t>
            </w:r>
          </w:p>
          <w:p w14:paraId="48FC8248" w14:textId="797EC399" w:rsidR="00F0236A" w:rsidRPr="00073574" w:rsidRDefault="00110AB5" w:rsidP="00407292">
            <w:pPr>
              <w:pStyle w:val="Tabletext"/>
              <w:rPr>
                <w:szCs w:val="22"/>
              </w:rPr>
            </w:pPr>
            <w:r w:rsidRPr="00073574">
              <w:rPr>
                <w:szCs w:val="22"/>
              </w:rPr>
              <w:t>SG3 is</w:t>
            </w:r>
            <w:r w:rsidR="005D62C4" w:rsidRPr="00073574">
              <w:rPr>
                <w:szCs w:val="22"/>
              </w:rPr>
              <w:t xml:space="preserve">sued Circular </w:t>
            </w:r>
            <w:r w:rsidR="004E4BE5" w:rsidRPr="00073574">
              <w:rPr>
                <w:szCs w:val="22"/>
              </w:rPr>
              <w:t>265 on</w:t>
            </w:r>
            <w:r w:rsidR="00DB3EF7" w:rsidRPr="00073574">
              <w:rPr>
                <w:szCs w:val="22"/>
              </w:rPr>
              <w:t xml:space="preserve"> 36 August 2020 that contains a questionnaire on</w:t>
            </w:r>
            <w:r w:rsidRPr="00073574">
              <w:rPr>
                <w:szCs w:val="22"/>
              </w:rPr>
              <w:t xml:space="preserve"> dispute resolution processes</w:t>
            </w:r>
            <w:r w:rsidR="00930F71" w:rsidRPr="00073574">
              <w:rPr>
                <w:szCs w:val="22"/>
              </w:rPr>
              <w:t>; SG3 considered the results obtained from Circular 265</w:t>
            </w:r>
            <w:r w:rsidRPr="00073574">
              <w:rPr>
                <w:szCs w:val="22"/>
              </w:rPr>
              <w:t>.</w:t>
            </w:r>
          </w:p>
        </w:tc>
      </w:tr>
      <w:tr w:rsidR="00F0236A" w:rsidRPr="00073574" w14:paraId="526ABE66" w14:textId="77777777" w:rsidTr="002D0FEC">
        <w:trPr>
          <w:cantSplit/>
          <w:jc w:val="center"/>
        </w:trPr>
        <w:tc>
          <w:tcPr>
            <w:tcW w:w="927" w:type="dxa"/>
            <w:vMerge w:val="restart"/>
            <w:tcBorders>
              <w:top w:val="single" w:sz="12" w:space="0" w:color="auto"/>
            </w:tcBorders>
            <w:shd w:val="clear" w:color="auto" w:fill="auto"/>
          </w:tcPr>
          <w:p w14:paraId="2EFA9D01" w14:textId="77777777" w:rsidR="00F0236A" w:rsidRPr="00073574" w:rsidRDefault="00F0236A" w:rsidP="00407292">
            <w:pPr>
              <w:pStyle w:val="Tabletext"/>
              <w:rPr>
                <w:b/>
                <w:bCs/>
                <w:sz w:val="24"/>
                <w:szCs w:val="24"/>
              </w:rPr>
            </w:pPr>
            <w:r w:rsidRPr="00073574">
              <w:rPr>
                <w:b/>
                <w:bCs/>
                <w:sz w:val="24"/>
                <w:szCs w:val="24"/>
              </w:rPr>
              <w:t>62-03</w:t>
            </w:r>
          </w:p>
        </w:tc>
        <w:tc>
          <w:tcPr>
            <w:tcW w:w="4953" w:type="dxa"/>
            <w:tcBorders>
              <w:top w:val="single" w:sz="12" w:space="0" w:color="auto"/>
            </w:tcBorders>
            <w:shd w:val="clear" w:color="auto" w:fill="auto"/>
            <w:vAlign w:val="center"/>
            <w:hideMark/>
          </w:tcPr>
          <w:p w14:paraId="5F660DEC" w14:textId="77777777" w:rsidR="00F0236A" w:rsidRPr="00073574" w:rsidRDefault="00F0236A" w:rsidP="00DF36E1">
            <w:pPr>
              <w:pStyle w:val="Tabletext"/>
              <w:rPr>
                <w:b/>
                <w:bCs/>
                <w:sz w:val="24"/>
                <w:szCs w:val="24"/>
              </w:rPr>
            </w:pPr>
            <w:r w:rsidRPr="00073574">
              <w:rPr>
                <w:b/>
                <w:bCs/>
                <w:sz w:val="24"/>
                <w:szCs w:val="24"/>
              </w:rPr>
              <w:t>TSB Director to prepare report to Council annually</w:t>
            </w:r>
          </w:p>
        </w:tc>
        <w:tc>
          <w:tcPr>
            <w:tcW w:w="1216" w:type="dxa"/>
            <w:tcBorders>
              <w:top w:val="single" w:sz="12" w:space="0" w:color="auto"/>
            </w:tcBorders>
            <w:shd w:val="clear" w:color="auto" w:fill="auto"/>
            <w:vAlign w:val="center"/>
            <w:hideMark/>
          </w:tcPr>
          <w:p w14:paraId="6930F96A" w14:textId="77777777" w:rsidR="00F0236A" w:rsidRPr="00073574" w:rsidRDefault="00F0236A" w:rsidP="00DF36E1">
            <w:pPr>
              <w:pStyle w:val="Tabletext"/>
              <w:jc w:val="center"/>
              <w:rPr>
                <w:b/>
                <w:bCs/>
                <w:sz w:val="24"/>
                <w:szCs w:val="24"/>
              </w:rPr>
            </w:pPr>
            <w:r w:rsidRPr="00073574">
              <w:rPr>
                <w:b/>
                <w:bCs/>
                <w:sz w:val="24"/>
                <w:szCs w:val="24"/>
              </w:rPr>
              <w:t>Ongoing, 3 months before Council</w:t>
            </w:r>
          </w:p>
        </w:tc>
        <w:tc>
          <w:tcPr>
            <w:tcW w:w="1331" w:type="dxa"/>
            <w:tcBorders>
              <w:top w:val="single" w:sz="12" w:space="0" w:color="auto"/>
            </w:tcBorders>
            <w:shd w:val="clear" w:color="auto" w:fill="auto"/>
            <w:vAlign w:val="center"/>
          </w:tcPr>
          <w:p w14:paraId="16DD39D1" w14:textId="03E563F1" w:rsidR="00F0236A" w:rsidRPr="00073574" w:rsidRDefault="002D0FEC"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3FFFC664" w14:textId="77777777" w:rsidR="00F0236A" w:rsidRPr="00073574" w:rsidRDefault="00F0236A" w:rsidP="00DF36E1">
            <w:pPr>
              <w:pStyle w:val="Tabletext"/>
              <w:jc w:val="center"/>
              <w:rPr>
                <w:b/>
                <w:bCs/>
                <w:sz w:val="24"/>
                <w:szCs w:val="24"/>
              </w:rPr>
            </w:pPr>
          </w:p>
        </w:tc>
      </w:tr>
      <w:tr w:rsidR="00F0236A" w:rsidRPr="00073574" w14:paraId="110188D5" w14:textId="77777777" w:rsidTr="0EE30F2E">
        <w:trPr>
          <w:cantSplit/>
          <w:jc w:val="center"/>
        </w:trPr>
        <w:tc>
          <w:tcPr>
            <w:tcW w:w="927" w:type="dxa"/>
            <w:vMerge/>
            <w:vAlign w:val="center"/>
          </w:tcPr>
          <w:p w14:paraId="64172140" w14:textId="77777777" w:rsidR="00F0236A" w:rsidRPr="00073574" w:rsidRDefault="00F0236A" w:rsidP="00DF36E1">
            <w:pPr>
              <w:pStyle w:val="Tabletext"/>
              <w:rPr>
                <w:sz w:val="24"/>
                <w:szCs w:val="24"/>
              </w:rPr>
            </w:pPr>
          </w:p>
        </w:tc>
        <w:tc>
          <w:tcPr>
            <w:tcW w:w="8836" w:type="dxa"/>
            <w:gridSpan w:val="4"/>
            <w:shd w:val="clear" w:color="auto" w:fill="auto"/>
          </w:tcPr>
          <w:p w14:paraId="6663780D" w14:textId="38ADA2CE" w:rsidR="00F0236A" w:rsidRPr="00073574" w:rsidRDefault="002D0FEC" w:rsidP="002D0FEC">
            <w:pPr>
              <w:pStyle w:val="Tabletext"/>
              <w:rPr>
                <w:szCs w:val="22"/>
              </w:rPr>
            </w:pPr>
            <w:r w:rsidRPr="00073574">
              <w:rPr>
                <w:szCs w:val="22"/>
              </w:rPr>
              <w:t xml:space="preserve">For the time being, there is nothing else to report to Council than reflected in </w:t>
            </w:r>
            <w:r w:rsidR="00D7042E" w:rsidRPr="00073574">
              <w:rPr>
                <w:szCs w:val="22"/>
              </w:rPr>
              <w:t>62-01.</w:t>
            </w:r>
          </w:p>
        </w:tc>
      </w:tr>
    </w:tbl>
    <w:p w14:paraId="68ED09AC" w14:textId="083005AB" w:rsidR="0EE30F2E" w:rsidRPr="00073574" w:rsidRDefault="0EE30F2E">
      <w:bookmarkStart w:id="292" w:name="Item62_01"/>
      <w:bookmarkStart w:id="293" w:name="Item62_02"/>
      <w:bookmarkStart w:id="294" w:name="Item62_03"/>
      <w:bookmarkEnd w:id="292"/>
      <w:bookmarkEnd w:id="293"/>
      <w:bookmarkEnd w:id="294"/>
    </w:p>
    <w:p w14:paraId="02EAFB65" w14:textId="77777777" w:rsidR="00F0236A" w:rsidRPr="00073574" w:rsidRDefault="0053741E" w:rsidP="00F0236A">
      <w:pPr>
        <w:rPr>
          <w:sz w:val="24"/>
        </w:rPr>
      </w:pPr>
      <w:hyperlink w:anchor="Top" w:history="1">
        <w:r w:rsidR="00F0236A" w:rsidRPr="00073574">
          <w:rPr>
            <w:rStyle w:val="Hyperlink"/>
            <w:rFonts w:eastAsia="Times New Roman"/>
            <w:sz w:val="24"/>
          </w:rPr>
          <w:t>» Top</w:t>
        </w:r>
      </w:hyperlink>
    </w:p>
    <w:p w14:paraId="0BBB0505" w14:textId="77777777" w:rsidR="00F0236A" w:rsidRPr="00073574" w:rsidRDefault="00F0236A" w:rsidP="00F0236A">
      <w:pPr>
        <w:rPr>
          <w:sz w:val="24"/>
        </w:rPr>
      </w:pPr>
    </w:p>
    <w:p w14:paraId="20BC548E" w14:textId="77777777" w:rsidR="00F0236A" w:rsidRPr="00073574" w:rsidRDefault="00F0236A" w:rsidP="00F0236A">
      <w:pPr>
        <w:pStyle w:val="Heading1"/>
        <w:keepNext/>
        <w:rPr>
          <w:sz w:val="24"/>
          <w:szCs w:val="24"/>
          <w:lang w:val="en-GB"/>
        </w:rPr>
      </w:pPr>
      <w:bookmarkStart w:id="295" w:name="Resolution_64"/>
      <w:bookmarkStart w:id="296" w:name="_Resolution_64_-"/>
      <w:bookmarkStart w:id="297" w:name="_Toc304236448"/>
      <w:bookmarkStart w:id="298" w:name="_Toc471715381"/>
      <w:bookmarkStart w:id="299" w:name="_Toc93425267"/>
      <w:bookmarkEnd w:id="295"/>
      <w:bookmarkEnd w:id="296"/>
      <w:r w:rsidRPr="00073574">
        <w:rPr>
          <w:sz w:val="24"/>
          <w:szCs w:val="24"/>
          <w:lang w:val="en-GB"/>
        </w:rPr>
        <w:t>Resolution 64 - IP address allocation and facilitating the transition to and deployment of IPv6</w:t>
      </w:r>
      <w:bookmarkEnd w:id="297"/>
      <w:bookmarkEnd w:id="298"/>
      <w:bookmarkEnd w:id="299"/>
    </w:p>
    <w:p w14:paraId="74049DD8" w14:textId="77777777" w:rsidR="00F0236A" w:rsidRPr="00073574" w:rsidRDefault="00F0236A" w:rsidP="00F0236A">
      <w:pPr>
        <w:pStyle w:val="Headingb"/>
        <w:rPr>
          <w:sz w:val="24"/>
          <w:szCs w:val="24"/>
        </w:rPr>
      </w:pPr>
      <w:r w:rsidRPr="00073574">
        <w:rPr>
          <w:sz w:val="24"/>
          <w:szCs w:val="24"/>
        </w:rPr>
        <w:t>Resolution 64</w:t>
      </w:r>
    </w:p>
    <w:p w14:paraId="7028695B" w14:textId="77777777" w:rsidR="00F0236A" w:rsidRPr="00073574" w:rsidRDefault="00F0236A" w:rsidP="00F0236A">
      <w:pPr>
        <w:pStyle w:val="Call"/>
        <w:rPr>
          <w:sz w:val="24"/>
          <w:szCs w:val="24"/>
          <w:rtl/>
          <w:lang w:val="en-GB"/>
        </w:rPr>
      </w:pPr>
      <w:r w:rsidRPr="00073574">
        <w:rPr>
          <w:sz w:val="24"/>
          <w:szCs w:val="24"/>
          <w:lang w:val="en-GB"/>
        </w:rPr>
        <w:t>resolves</w:t>
      </w:r>
    </w:p>
    <w:p w14:paraId="595EB048" w14:textId="77777777" w:rsidR="00F0236A" w:rsidRPr="00073574" w:rsidRDefault="00F0236A" w:rsidP="00F0236A">
      <w:pPr>
        <w:rPr>
          <w:sz w:val="24"/>
        </w:rPr>
      </w:pPr>
      <w:r w:rsidRPr="00073574">
        <w:rPr>
          <w:sz w:val="24"/>
        </w:rPr>
        <w:t>1</w:t>
      </w:r>
      <w:r w:rsidRPr="00073574">
        <w:rPr>
          <w:sz w:val="24"/>
        </w:rPr>
        <w:tab/>
        <w:t>to instruct ITU-T Study Groups 2 and 3, each according to its mandate, to continue to study the allocation of IP addresses, and to monitor and evaluate the allocation of IPv4 addresses which may be still available, returned or unused, in the interests of the developing countries;</w:t>
      </w:r>
    </w:p>
    <w:p w14:paraId="209DAD79" w14:textId="77777777" w:rsidR="00F0236A" w:rsidRPr="00073574" w:rsidRDefault="00F0236A" w:rsidP="00F0236A">
      <w:pPr>
        <w:rPr>
          <w:sz w:val="24"/>
        </w:rPr>
      </w:pPr>
      <w:r w:rsidRPr="00073574">
        <w:rPr>
          <w:sz w:val="24"/>
        </w:rPr>
        <w:t>2</w:t>
      </w:r>
      <w:r w:rsidRPr="00073574">
        <w:rPr>
          <w:sz w:val="24"/>
        </w:rPr>
        <w:tab/>
        <w:t>to instruct Study Groups 2 and 3, each according to its mandate, to analyse statistics for the purpose of assessing the pace and geography of IPv6 address allocation and registration for interested members and, especially, developing countries, in collaboration with all relevant stakeholders;</w:t>
      </w:r>
    </w:p>
    <w:p w14:paraId="5C14C356" w14:textId="77777777" w:rsidR="00F0236A" w:rsidRPr="00073574" w:rsidRDefault="00F0236A" w:rsidP="00F0236A">
      <w:pPr>
        <w:rPr>
          <w:sz w:val="24"/>
        </w:rPr>
      </w:pPr>
      <w:r w:rsidRPr="00073574">
        <w:rPr>
          <w:sz w:val="24"/>
        </w:rPr>
        <w:t>3</w:t>
      </w:r>
      <w:r w:rsidRPr="00073574">
        <w:rPr>
          <w:sz w:val="24"/>
        </w:rPr>
        <w:tab/>
        <w:t xml:space="preserve">to enhance the exchange of experiences and information with all stakeholders regarding the deployment of IPv6, with the aim of creating opportunities for collaborative efforts and </w:t>
      </w:r>
      <w:r w:rsidRPr="00073574">
        <w:rPr>
          <w:sz w:val="24"/>
        </w:rPr>
        <w:lastRenderedPageBreak/>
        <w:t>the enhancement of technical skills, and to ensure that feedback exists to enrich ITU efforts to support the transition to and deployment of IPv6,</w:t>
      </w:r>
    </w:p>
    <w:p w14:paraId="2396A5EB" w14:textId="77777777" w:rsidR="00F0236A" w:rsidRPr="00073574" w:rsidRDefault="00F0236A" w:rsidP="00F0236A">
      <w:pPr>
        <w:pStyle w:val="Call"/>
        <w:rPr>
          <w:sz w:val="24"/>
          <w:szCs w:val="24"/>
          <w:lang w:val="en-GB"/>
        </w:rPr>
      </w:pPr>
      <w:r w:rsidRPr="00073574">
        <w:rPr>
          <w:sz w:val="24"/>
          <w:szCs w:val="24"/>
          <w:lang w:val="en-GB"/>
        </w:rPr>
        <w:t>instructs the Director of the Telecommunication Standardization Bureau, in close collaboration with the Director of the Telecommunication Development Bureau</w:t>
      </w:r>
    </w:p>
    <w:p w14:paraId="6567DC85" w14:textId="77777777" w:rsidR="00F0236A" w:rsidRPr="00073574" w:rsidRDefault="00F0236A" w:rsidP="00F0236A">
      <w:pPr>
        <w:rPr>
          <w:sz w:val="24"/>
        </w:rPr>
      </w:pPr>
      <w:r w:rsidRPr="00073574">
        <w:rPr>
          <w:sz w:val="24"/>
        </w:rPr>
        <w:t>1</w:t>
      </w:r>
      <w:r w:rsidRPr="00073574">
        <w:rPr>
          <w:sz w:val="24"/>
        </w:rPr>
        <w:tab/>
        <w:t>to continue the ongoing activities between the Telecommunication Standardization Bureau (TSB) and BDT, taking into consideration the involvement of those partners willing to participate and bring their expertise to assist developing countries with IPv6 migration and deployment, and respond to their regional needs as identified by BDT, taking into account Resolution 63 (Rev. Dubai, 2014);</w:t>
      </w:r>
    </w:p>
    <w:p w14:paraId="5C83C457" w14:textId="77777777" w:rsidR="00F0236A" w:rsidRPr="00073574" w:rsidRDefault="00F0236A" w:rsidP="00F0236A">
      <w:pPr>
        <w:rPr>
          <w:sz w:val="24"/>
        </w:rPr>
      </w:pPr>
      <w:r w:rsidRPr="00073574">
        <w:rPr>
          <w:sz w:val="24"/>
        </w:rPr>
        <w:t>2</w:t>
      </w:r>
      <w:r w:rsidRPr="00073574">
        <w:rPr>
          <w:sz w:val="24"/>
        </w:rPr>
        <w:tab/>
        <w:t>to update and maintain the website which provides information about global activities related to IPv6, in order to facilitate awareness-raising and highlight the importance of IPv6 deployment for all ITU members and interested entities, as well as information related to training events being undertaken by ITU and relevant organizations (e.g. regional Internet registries (RIR), network operator groups and the Internet Society (ISOC));</w:t>
      </w:r>
    </w:p>
    <w:p w14:paraId="46101845" w14:textId="77777777" w:rsidR="00F0236A" w:rsidRPr="00073574" w:rsidRDefault="00F0236A" w:rsidP="00F0236A">
      <w:pPr>
        <w:rPr>
          <w:sz w:val="24"/>
        </w:rPr>
      </w:pPr>
      <w:r w:rsidRPr="00073574">
        <w:rPr>
          <w:sz w:val="24"/>
        </w:rPr>
        <w:t>3</w:t>
      </w:r>
      <w:r w:rsidRPr="00073574">
        <w:rPr>
          <w:sz w:val="24"/>
        </w:rPr>
        <w:tab/>
        <w:t xml:space="preserve">to promote awareness of the importance of IPv6 deployment, facilitate joint training activities, involving appropriate experts from the relevant entities, provide information, </w:t>
      </w:r>
      <w:r w:rsidRPr="00073574">
        <w:rPr>
          <w:rFonts w:eastAsia="Malgun Gothic"/>
          <w:sz w:val="24"/>
        </w:rPr>
        <w:t xml:space="preserve">including roadmaps and guidelines, and to assist </w:t>
      </w:r>
      <w:r w:rsidRPr="00073574">
        <w:rPr>
          <w:sz w:val="24"/>
        </w:rPr>
        <w:t xml:space="preserve">in the continued establishment of IPv6 test-bed laboratories in developing countries </w:t>
      </w:r>
      <w:r w:rsidRPr="00073574">
        <w:rPr>
          <w:rFonts w:eastAsia="Malgun Gothic"/>
          <w:sz w:val="24"/>
        </w:rPr>
        <w:t>in collaboration with appropriate relevant organizations</w:t>
      </w:r>
      <w:r w:rsidRPr="00073574">
        <w:rPr>
          <w:sz w:val="24"/>
        </w:rPr>
        <w:t>, and to promote awareness of the advantages of IPv6 over IPv4 with regard to IoT given the substantial demand for IP addresses for IoT devices;</w:t>
      </w:r>
    </w:p>
    <w:p w14:paraId="727FE0A9" w14:textId="77777777" w:rsidR="00F0236A" w:rsidRPr="00073574" w:rsidRDefault="00F0236A" w:rsidP="00F0236A">
      <w:pPr>
        <w:rPr>
          <w:sz w:val="24"/>
        </w:rPr>
      </w:pPr>
      <w:r w:rsidRPr="00073574">
        <w:rPr>
          <w:sz w:val="24"/>
        </w:rPr>
        <w:t>4</w:t>
      </w:r>
      <w:r w:rsidRPr="00073574">
        <w:rPr>
          <w:sz w:val="24"/>
        </w:rPr>
        <w:tab/>
        <w:t>to support BDT in relevant IPv6 training for engineers, network operators and content providers that can enhance their skills and which they can further apply at their respective organizations,</w:t>
      </w:r>
    </w:p>
    <w:p w14:paraId="2EDAAC2E" w14:textId="77777777" w:rsidR="00F0236A" w:rsidRPr="00073574" w:rsidRDefault="00F0236A" w:rsidP="00F0236A">
      <w:pPr>
        <w:pStyle w:val="Call"/>
        <w:rPr>
          <w:sz w:val="24"/>
          <w:szCs w:val="24"/>
          <w:lang w:val="en-GB"/>
        </w:rPr>
      </w:pPr>
      <w:r w:rsidRPr="00073574">
        <w:rPr>
          <w:sz w:val="24"/>
          <w:szCs w:val="24"/>
          <w:lang w:val="en-GB"/>
        </w:rPr>
        <w:t>further instructs the Director of the Telecommunication Standardization Bureau</w:t>
      </w:r>
    </w:p>
    <w:p w14:paraId="160C330F" w14:textId="77777777" w:rsidR="00F0236A" w:rsidRPr="00073574" w:rsidRDefault="00F0236A" w:rsidP="00F0236A">
      <w:pPr>
        <w:rPr>
          <w:sz w:val="24"/>
        </w:rPr>
      </w:pPr>
      <w:r w:rsidRPr="00073574">
        <w:rPr>
          <w:sz w:val="24"/>
        </w:rPr>
        <w:t xml:space="preserve">to take appropriate action to facilitate the activities of Study Groups 2 and 3 in the area of IP addresses, and to report to the ITU Council and also to the 2020 world telecommunication standardization assembly, regarding the progress on action taken with respect to </w:t>
      </w:r>
      <w:r w:rsidRPr="00073574">
        <w:rPr>
          <w:i/>
          <w:iCs/>
          <w:sz w:val="24"/>
        </w:rPr>
        <w:t>resolves</w:t>
      </w:r>
      <w:r w:rsidRPr="00073574">
        <w:rPr>
          <w:sz w:val="24"/>
        </w:rPr>
        <w:t xml:space="preserve"> above,</w:t>
      </w:r>
    </w:p>
    <w:p w14:paraId="6D0F91D3" w14:textId="77777777" w:rsidR="00F0236A" w:rsidRPr="00073574" w:rsidRDefault="00F0236A" w:rsidP="00F0236A">
      <w:pPr>
        <w:pStyle w:val="Call"/>
        <w:rPr>
          <w:sz w:val="24"/>
          <w:szCs w:val="24"/>
          <w:rtl/>
          <w:lang w:val="en-GB"/>
        </w:rPr>
      </w:pPr>
      <w:r w:rsidRPr="00073574">
        <w:rPr>
          <w:sz w:val="24"/>
          <w:szCs w:val="24"/>
          <w:lang w:val="en-GB"/>
        </w:rPr>
        <w:t>invites Member States and Sector Members</w:t>
      </w:r>
    </w:p>
    <w:p w14:paraId="095A4185" w14:textId="77777777" w:rsidR="00F0236A" w:rsidRPr="00073574" w:rsidRDefault="00F0236A" w:rsidP="00F0236A">
      <w:pPr>
        <w:rPr>
          <w:sz w:val="24"/>
        </w:rPr>
      </w:pPr>
      <w:r w:rsidRPr="00073574">
        <w:rPr>
          <w:sz w:val="24"/>
        </w:rPr>
        <w:t>1</w:t>
      </w:r>
      <w:r w:rsidRPr="00073574">
        <w:rPr>
          <w:sz w:val="24"/>
        </w:rPr>
        <w:tab/>
        <w:t xml:space="preserve">through the knowledge gained under </w:t>
      </w:r>
      <w:r w:rsidRPr="00073574">
        <w:rPr>
          <w:i/>
          <w:sz w:val="24"/>
        </w:rPr>
        <w:t>resolves</w:t>
      </w:r>
      <w:r w:rsidRPr="00073574">
        <w:rPr>
          <w:sz w:val="24"/>
        </w:rPr>
        <w:t xml:space="preserve"> 3, to promote specific initiatives at the national level which foster interaction with governmental, private and academic entities and civil society for the purposes of the information exchange necessary for the deployment of IPv6 in their respective countries;</w:t>
      </w:r>
    </w:p>
    <w:p w14:paraId="66903426" w14:textId="77777777" w:rsidR="00F0236A" w:rsidRPr="00073574" w:rsidRDefault="00F0236A" w:rsidP="00F0236A">
      <w:pPr>
        <w:rPr>
          <w:sz w:val="24"/>
        </w:rPr>
      </w:pPr>
      <w:r w:rsidRPr="00073574">
        <w:rPr>
          <w:sz w:val="24"/>
        </w:rPr>
        <w:t>2</w:t>
      </w:r>
      <w:r w:rsidRPr="00073574">
        <w:rPr>
          <w:sz w:val="24"/>
        </w:rPr>
        <w:tab/>
        <w:t>to ensure that newly deployed communication and computer equipment has IPv6 capability, as appropriate, taking into consideration a necessary period for the transition from IPv4 to IPv6;</w:t>
      </w:r>
    </w:p>
    <w:p w14:paraId="452D95C8" w14:textId="77777777" w:rsidR="00F0236A" w:rsidRPr="00073574" w:rsidRDefault="00F0236A" w:rsidP="00F0236A">
      <w:pPr>
        <w:rPr>
          <w:sz w:val="24"/>
        </w:rPr>
      </w:pPr>
      <w:r w:rsidRPr="00073574">
        <w:rPr>
          <w:sz w:val="24"/>
        </w:rPr>
        <w:t>3</w:t>
      </w:r>
      <w:r w:rsidRPr="00073574">
        <w:rPr>
          <w:sz w:val="24"/>
        </w:rPr>
        <w:tab/>
        <w:t>to consider committing to an IPv6 transition and communicating progress,</w:t>
      </w:r>
    </w:p>
    <w:p w14:paraId="00D7FCCA" w14:textId="77777777" w:rsidR="00F0236A" w:rsidRPr="00073574" w:rsidRDefault="00F0236A" w:rsidP="00F0236A">
      <w:pPr>
        <w:pStyle w:val="Call"/>
        <w:rPr>
          <w:sz w:val="24"/>
          <w:szCs w:val="24"/>
          <w:lang w:val="en-GB"/>
        </w:rPr>
      </w:pPr>
      <w:r w:rsidRPr="00073574">
        <w:rPr>
          <w:sz w:val="24"/>
          <w:szCs w:val="24"/>
          <w:lang w:val="en-GB"/>
        </w:rPr>
        <w:t>invites Member States</w:t>
      </w:r>
    </w:p>
    <w:p w14:paraId="790990C5" w14:textId="77777777" w:rsidR="00F0236A" w:rsidRPr="00073574" w:rsidRDefault="00F0236A" w:rsidP="00F0236A">
      <w:pPr>
        <w:rPr>
          <w:sz w:val="24"/>
        </w:rPr>
      </w:pPr>
      <w:r w:rsidRPr="00073574">
        <w:rPr>
          <w:sz w:val="24"/>
        </w:rPr>
        <w:t>1</w:t>
      </w:r>
      <w:r w:rsidRPr="00073574">
        <w:rPr>
          <w:sz w:val="24"/>
        </w:rPr>
        <w:tab/>
        <w:t>to develop national policies to promote the technological update of systems, in order to ensure that the public services provided utilizing the IP protocol and the communications infrastructure and relevant applications of the Member States are compatible with IPv6;</w:t>
      </w:r>
    </w:p>
    <w:p w14:paraId="7F03C907" w14:textId="77777777" w:rsidR="00F0236A" w:rsidRPr="00073574" w:rsidRDefault="00F0236A" w:rsidP="00F0236A">
      <w:pPr>
        <w:rPr>
          <w:sz w:val="24"/>
        </w:rPr>
      </w:pPr>
      <w:r w:rsidRPr="00073574">
        <w:rPr>
          <w:sz w:val="24"/>
        </w:rPr>
        <w:t>2</w:t>
      </w:r>
      <w:r w:rsidRPr="00073574">
        <w:rPr>
          <w:sz w:val="24"/>
        </w:rPr>
        <w:tab/>
        <w:t>to consider the possibility of national programmes to encourage Internet service providers (ISPs) and other relevant organizations to transition to IPv6;</w:t>
      </w:r>
    </w:p>
    <w:p w14:paraId="4F4419D6" w14:textId="77777777" w:rsidR="00F0236A" w:rsidRPr="00073574" w:rsidRDefault="00F0236A" w:rsidP="00F0236A">
      <w:pPr>
        <w:spacing w:after="240"/>
        <w:rPr>
          <w:sz w:val="24"/>
        </w:rPr>
      </w:pPr>
      <w:r w:rsidRPr="00073574">
        <w:rPr>
          <w:sz w:val="24"/>
        </w:rPr>
        <w:lastRenderedPageBreak/>
        <w:t>3</w:t>
      </w:r>
      <w:r w:rsidRPr="00073574">
        <w:rPr>
          <w:sz w:val="24"/>
        </w:rPr>
        <w:tab/>
        <w:t>to consider using government procurement requirements to encourage deployment of IPv6 among ISPs and other relevant organizations, if appropriate.</w:t>
      </w:r>
    </w:p>
    <w:tbl>
      <w:tblPr>
        <w:tblW w:w="98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11"/>
        <w:gridCol w:w="4526"/>
        <w:gridCol w:w="1897"/>
        <w:gridCol w:w="1162"/>
        <w:gridCol w:w="1336"/>
      </w:tblGrid>
      <w:tr w:rsidR="00F0236A" w:rsidRPr="00073574" w14:paraId="17BA23CB" w14:textId="77777777" w:rsidTr="7277BFE4">
        <w:trPr>
          <w:tblHeader/>
          <w:jc w:val="center"/>
        </w:trPr>
        <w:tc>
          <w:tcPr>
            <w:tcW w:w="911" w:type="dxa"/>
            <w:tcBorders>
              <w:top w:val="single" w:sz="12" w:space="0" w:color="auto"/>
              <w:bottom w:val="single" w:sz="12" w:space="0" w:color="auto"/>
            </w:tcBorders>
            <w:shd w:val="clear" w:color="auto" w:fill="auto"/>
            <w:vAlign w:val="center"/>
          </w:tcPr>
          <w:p w14:paraId="02A0102C" w14:textId="77777777" w:rsidR="00F0236A" w:rsidRPr="00073574" w:rsidRDefault="00F0236A" w:rsidP="00CC7014">
            <w:pPr>
              <w:pStyle w:val="Tablehead"/>
              <w:keepNext w:val="0"/>
              <w:rPr>
                <w:sz w:val="24"/>
                <w:szCs w:val="24"/>
              </w:rPr>
            </w:pPr>
            <w:r w:rsidRPr="00073574">
              <w:rPr>
                <w:sz w:val="24"/>
                <w:szCs w:val="24"/>
              </w:rPr>
              <w:t>Action Item</w:t>
            </w:r>
          </w:p>
        </w:tc>
        <w:tc>
          <w:tcPr>
            <w:tcW w:w="4526" w:type="dxa"/>
            <w:tcBorders>
              <w:top w:val="single" w:sz="12" w:space="0" w:color="auto"/>
              <w:bottom w:val="single" w:sz="12" w:space="0" w:color="auto"/>
            </w:tcBorders>
            <w:shd w:val="clear" w:color="auto" w:fill="auto"/>
            <w:vAlign w:val="center"/>
            <w:hideMark/>
          </w:tcPr>
          <w:p w14:paraId="51990AE6" w14:textId="77777777" w:rsidR="00F0236A" w:rsidRPr="00073574" w:rsidRDefault="00F0236A" w:rsidP="00DF36E1">
            <w:pPr>
              <w:pStyle w:val="Tablehead"/>
              <w:rPr>
                <w:sz w:val="24"/>
                <w:szCs w:val="24"/>
              </w:rPr>
            </w:pPr>
            <w:r w:rsidRPr="00073574">
              <w:rPr>
                <w:sz w:val="24"/>
                <w:szCs w:val="24"/>
              </w:rPr>
              <w:t>Action</w:t>
            </w:r>
          </w:p>
        </w:tc>
        <w:tc>
          <w:tcPr>
            <w:tcW w:w="1897" w:type="dxa"/>
            <w:tcBorders>
              <w:top w:val="single" w:sz="12" w:space="0" w:color="auto"/>
              <w:bottom w:val="single" w:sz="12" w:space="0" w:color="auto"/>
            </w:tcBorders>
            <w:shd w:val="clear" w:color="auto" w:fill="auto"/>
            <w:vAlign w:val="center"/>
            <w:hideMark/>
          </w:tcPr>
          <w:p w14:paraId="77440C1F" w14:textId="77777777" w:rsidR="00F0236A" w:rsidRPr="00073574" w:rsidRDefault="00F0236A" w:rsidP="00DF36E1">
            <w:pPr>
              <w:pStyle w:val="Tablehead"/>
              <w:rPr>
                <w:sz w:val="24"/>
                <w:szCs w:val="24"/>
              </w:rPr>
            </w:pPr>
            <w:r w:rsidRPr="00073574">
              <w:rPr>
                <w:sz w:val="24"/>
                <w:szCs w:val="24"/>
              </w:rPr>
              <w:t>Milestone</w:t>
            </w:r>
          </w:p>
        </w:tc>
        <w:tc>
          <w:tcPr>
            <w:tcW w:w="1162" w:type="dxa"/>
            <w:tcBorders>
              <w:top w:val="single" w:sz="12" w:space="0" w:color="auto"/>
              <w:bottom w:val="single" w:sz="12" w:space="0" w:color="auto"/>
            </w:tcBorders>
            <w:shd w:val="clear" w:color="auto" w:fill="auto"/>
          </w:tcPr>
          <w:p w14:paraId="0891E7B1" w14:textId="77777777" w:rsidR="00F0236A" w:rsidRPr="00073574" w:rsidRDefault="00F0236A" w:rsidP="00DF36E1">
            <w:pPr>
              <w:pStyle w:val="Tablehead"/>
              <w:rPr>
                <w:sz w:val="24"/>
                <w:szCs w:val="24"/>
              </w:rPr>
            </w:pPr>
            <w:r w:rsidRPr="00073574">
              <w:rPr>
                <w:sz w:val="24"/>
                <w:szCs w:val="24"/>
              </w:rPr>
              <w:t>Periodic goals met</w:t>
            </w:r>
          </w:p>
        </w:tc>
        <w:tc>
          <w:tcPr>
            <w:tcW w:w="1336" w:type="dxa"/>
            <w:tcBorders>
              <w:top w:val="single" w:sz="12" w:space="0" w:color="auto"/>
              <w:bottom w:val="single" w:sz="12" w:space="0" w:color="auto"/>
            </w:tcBorders>
            <w:shd w:val="clear" w:color="auto" w:fill="auto"/>
            <w:vAlign w:val="center"/>
          </w:tcPr>
          <w:p w14:paraId="60723077" w14:textId="77777777" w:rsidR="00F0236A" w:rsidRPr="00073574" w:rsidRDefault="00F0236A" w:rsidP="00DF36E1">
            <w:pPr>
              <w:pStyle w:val="Tablehead"/>
              <w:rPr>
                <w:sz w:val="24"/>
                <w:szCs w:val="24"/>
              </w:rPr>
            </w:pPr>
            <w:r w:rsidRPr="00073574">
              <w:rPr>
                <w:sz w:val="24"/>
                <w:szCs w:val="24"/>
              </w:rPr>
              <w:t>Completed</w:t>
            </w:r>
          </w:p>
        </w:tc>
      </w:tr>
      <w:tr w:rsidR="00F0236A" w:rsidRPr="00073574" w14:paraId="7CB9BA79" w14:textId="77777777" w:rsidTr="7277BFE4">
        <w:trPr>
          <w:jc w:val="center"/>
        </w:trPr>
        <w:tc>
          <w:tcPr>
            <w:tcW w:w="911" w:type="dxa"/>
            <w:vMerge w:val="restart"/>
            <w:shd w:val="clear" w:color="auto" w:fill="auto"/>
          </w:tcPr>
          <w:p w14:paraId="5AFBDF10" w14:textId="77777777" w:rsidR="00F0236A" w:rsidRPr="00073574" w:rsidRDefault="00F0236A" w:rsidP="00366BA3">
            <w:pPr>
              <w:pStyle w:val="Tabletext"/>
              <w:rPr>
                <w:rStyle w:val="Hyperlink"/>
                <w:b/>
                <w:bCs/>
                <w:sz w:val="24"/>
                <w:szCs w:val="24"/>
              </w:rPr>
            </w:pPr>
            <w:r w:rsidRPr="00073574">
              <w:rPr>
                <w:b/>
                <w:bCs/>
                <w:sz w:val="24"/>
                <w:szCs w:val="24"/>
              </w:rPr>
              <w:t>64-02</w:t>
            </w:r>
          </w:p>
        </w:tc>
        <w:tc>
          <w:tcPr>
            <w:tcW w:w="4526" w:type="dxa"/>
            <w:shd w:val="clear" w:color="auto" w:fill="auto"/>
          </w:tcPr>
          <w:p w14:paraId="0BA94B1F" w14:textId="77777777" w:rsidR="00F0236A" w:rsidRPr="00073574" w:rsidRDefault="00F0236A" w:rsidP="00366BA3">
            <w:pPr>
              <w:pStyle w:val="Tabletext"/>
              <w:rPr>
                <w:b/>
                <w:bCs/>
                <w:sz w:val="24"/>
                <w:szCs w:val="24"/>
              </w:rPr>
            </w:pPr>
            <w:r w:rsidRPr="00073574">
              <w:rPr>
                <w:b/>
                <w:bCs/>
                <w:sz w:val="24"/>
                <w:szCs w:val="24"/>
              </w:rPr>
              <w:t>SG2 (and SG3) to study allocation of IP addresses, and to monitor and evaluate IPv4 allocation for interested members and, especially, developing countries (resolves 1)</w:t>
            </w:r>
          </w:p>
        </w:tc>
        <w:tc>
          <w:tcPr>
            <w:tcW w:w="1897" w:type="dxa"/>
            <w:shd w:val="clear" w:color="auto" w:fill="auto"/>
            <w:vAlign w:val="center"/>
          </w:tcPr>
          <w:p w14:paraId="78B3A3B9" w14:textId="77777777" w:rsidR="00F0236A" w:rsidRPr="00073574" w:rsidRDefault="00F0236A" w:rsidP="00366BA3">
            <w:pPr>
              <w:pStyle w:val="Tabletext"/>
              <w:jc w:val="center"/>
              <w:rPr>
                <w:b/>
                <w:bCs/>
                <w:sz w:val="24"/>
                <w:szCs w:val="24"/>
              </w:rPr>
            </w:pPr>
            <w:r w:rsidRPr="00073574">
              <w:rPr>
                <w:b/>
                <w:bCs/>
                <w:sz w:val="24"/>
                <w:szCs w:val="24"/>
              </w:rPr>
              <w:t>Ongoing</w:t>
            </w:r>
          </w:p>
        </w:tc>
        <w:tc>
          <w:tcPr>
            <w:tcW w:w="1162" w:type="dxa"/>
            <w:shd w:val="clear" w:color="auto" w:fill="auto"/>
            <w:vAlign w:val="center"/>
          </w:tcPr>
          <w:p w14:paraId="1E9CEAA4" w14:textId="77777777" w:rsidR="00F0236A" w:rsidRPr="00073574" w:rsidRDefault="00F0236A" w:rsidP="00366BA3">
            <w:pPr>
              <w:pStyle w:val="Tabletext"/>
              <w:jc w:val="center"/>
              <w:rPr>
                <w:b/>
                <w:bCs/>
                <w:sz w:val="24"/>
                <w:szCs w:val="24"/>
              </w:rPr>
            </w:pPr>
            <w:r w:rsidRPr="00073574">
              <w:rPr>
                <w:b/>
                <w:bCs/>
                <w:sz w:val="24"/>
                <w:szCs w:val="24"/>
              </w:rPr>
              <w:t>√</w:t>
            </w:r>
          </w:p>
        </w:tc>
        <w:tc>
          <w:tcPr>
            <w:tcW w:w="1336" w:type="dxa"/>
            <w:shd w:val="clear" w:color="auto" w:fill="auto"/>
            <w:vAlign w:val="center"/>
          </w:tcPr>
          <w:p w14:paraId="04E267EE" w14:textId="77777777" w:rsidR="00F0236A" w:rsidRPr="00073574" w:rsidRDefault="00F0236A" w:rsidP="00366BA3">
            <w:pPr>
              <w:pStyle w:val="Tabletext"/>
              <w:jc w:val="center"/>
              <w:rPr>
                <w:b/>
                <w:bCs/>
                <w:sz w:val="24"/>
                <w:szCs w:val="24"/>
              </w:rPr>
            </w:pPr>
          </w:p>
        </w:tc>
      </w:tr>
      <w:tr w:rsidR="00F0236A" w:rsidRPr="00073574" w14:paraId="4C141119" w14:textId="77777777" w:rsidTr="7277BFE4">
        <w:trPr>
          <w:jc w:val="center"/>
        </w:trPr>
        <w:tc>
          <w:tcPr>
            <w:tcW w:w="911" w:type="dxa"/>
            <w:vMerge/>
          </w:tcPr>
          <w:p w14:paraId="7C33A9D1" w14:textId="77777777" w:rsidR="00F0236A" w:rsidRPr="00073574" w:rsidRDefault="00F0236A" w:rsidP="00366BA3">
            <w:pPr>
              <w:pStyle w:val="Tabletext"/>
              <w:rPr>
                <w:sz w:val="24"/>
                <w:szCs w:val="24"/>
              </w:rPr>
            </w:pPr>
          </w:p>
        </w:tc>
        <w:tc>
          <w:tcPr>
            <w:tcW w:w="8921" w:type="dxa"/>
            <w:gridSpan w:val="4"/>
            <w:tcBorders>
              <w:bottom w:val="single" w:sz="12" w:space="0" w:color="auto"/>
            </w:tcBorders>
            <w:shd w:val="clear" w:color="auto" w:fill="auto"/>
          </w:tcPr>
          <w:p w14:paraId="6B6446E5" w14:textId="77777777" w:rsidR="00F0236A" w:rsidRPr="00073574" w:rsidRDefault="00F0236A" w:rsidP="001E63F9">
            <w:pPr>
              <w:pStyle w:val="Tabletext"/>
              <w:spacing w:after="120"/>
              <w:rPr>
                <w:szCs w:val="22"/>
              </w:rPr>
            </w:pPr>
            <w:r w:rsidRPr="00073574">
              <w:rPr>
                <w:szCs w:val="22"/>
              </w:rPr>
              <w:t xml:space="preserve">The continuation of the Ad hoc group and the associated Correspondence Group to propose the methodology and work items needed to pursue the implementation of the parts of WTSA Resolution 64 </w:t>
            </w:r>
            <w:r w:rsidR="003C7E25" w:rsidRPr="00073574">
              <w:rPr>
                <w:szCs w:val="22"/>
              </w:rPr>
              <w:t>"</w:t>
            </w:r>
            <w:r w:rsidRPr="00073574">
              <w:rPr>
                <w:szCs w:val="22"/>
              </w:rPr>
              <w:t>Internet protocol address allocation and facilitating the transition to and deployment of IPv6</w:t>
            </w:r>
            <w:r w:rsidR="003C7E25" w:rsidRPr="00073574">
              <w:rPr>
                <w:szCs w:val="22"/>
              </w:rPr>
              <w:t>"</w:t>
            </w:r>
            <w:r w:rsidRPr="00073574">
              <w:rPr>
                <w:szCs w:val="22"/>
              </w:rPr>
              <w:t xml:space="preserve"> relevant to Study Group 2, was agreed in the SG2 meeting of 29 March to 7 April 2017. The Ad hoc group on Resolution 64 met jointly with Q1/2. SG2-C.4 </w:t>
            </w:r>
            <w:r w:rsidR="003C7E25" w:rsidRPr="00073574">
              <w:rPr>
                <w:szCs w:val="22"/>
              </w:rPr>
              <w:t>"</w:t>
            </w:r>
            <w:r w:rsidRPr="00073574">
              <w:rPr>
                <w:szCs w:val="22"/>
              </w:rPr>
              <w:t>Allocation of IP addresses and facilitation of IPv6 deployment.</w:t>
            </w:r>
            <w:r w:rsidR="003C7E25" w:rsidRPr="00073574">
              <w:rPr>
                <w:szCs w:val="22"/>
              </w:rPr>
              <w:t>"</w:t>
            </w:r>
            <w:r w:rsidRPr="00073574">
              <w:rPr>
                <w:szCs w:val="22"/>
              </w:rPr>
              <w:t xml:space="preserve"> from the Central African Republic was presented. The meeting report is contained in </w:t>
            </w:r>
            <w:r w:rsidR="00112C75" w:rsidRPr="00073574">
              <w:rPr>
                <w:szCs w:val="22"/>
              </w:rPr>
              <w:t>TD</w:t>
            </w:r>
            <w:r w:rsidRPr="00073574">
              <w:rPr>
                <w:szCs w:val="22"/>
              </w:rPr>
              <w:t>105 (GEN/2).</w:t>
            </w:r>
          </w:p>
          <w:p w14:paraId="3E2E0943" w14:textId="5B289BCD" w:rsidR="00637391" w:rsidRPr="00073574" w:rsidRDefault="00637391" w:rsidP="00366BA3">
            <w:pPr>
              <w:pStyle w:val="Tabletext"/>
              <w:spacing w:before="120" w:after="120"/>
              <w:rPr>
                <w:szCs w:val="22"/>
              </w:rPr>
            </w:pPr>
            <w:r w:rsidRPr="00073574">
              <w:rPr>
                <w:szCs w:val="22"/>
              </w:rPr>
              <w:t>During the SG2 meeting of 27 November to 1 December</w:t>
            </w:r>
            <w:r w:rsidR="00142E60" w:rsidRPr="00073574">
              <w:rPr>
                <w:szCs w:val="22"/>
              </w:rPr>
              <w:t xml:space="preserve"> 2018</w:t>
            </w:r>
            <w:r w:rsidRPr="00073574">
              <w:rPr>
                <w:szCs w:val="22"/>
              </w:rPr>
              <w:t>, the ad hoc group (AHG) on WTSA-16 Resolution 64,” Internet protocol address allocation and facilitating the transition to and deployment of IPv6,” meet informally. The meeting approved the liaison prepared by the informal meeting to TSAG and IAB (IETF Internet Architecture Board), on "IAB statement on IPv6", which is a r</w:t>
            </w:r>
            <w:r w:rsidR="00BA0B92" w:rsidRPr="00073574">
              <w:rPr>
                <w:szCs w:val="22"/>
              </w:rPr>
              <w:t xml:space="preserve">eply to TSAG-LS 3 contained in </w:t>
            </w:r>
            <w:r w:rsidRPr="00073574">
              <w:rPr>
                <w:szCs w:val="22"/>
              </w:rPr>
              <w:t>SG2-TD279/GEN.</w:t>
            </w:r>
          </w:p>
          <w:p w14:paraId="6BCB88ED" w14:textId="31356499" w:rsidR="00921C95" w:rsidRPr="00073574" w:rsidRDefault="00921C95" w:rsidP="00366BA3">
            <w:pPr>
              <w:pStyle w:val="Tabletext"/>
              <w:spacing w:before="120" w:after="120"/>
            </w:pPr>
            <w:r w:rsidRPr="00073574">
              <w:rPr>
                <w:szCs w:val="22"/>
              </w:rPr>
              <w:t>In the SG2 meeting of 4 to 13 July 2018, a new routing method for Internet of Things worked out wit</w:t>
            </w:r>
            <w:r w:rsidR="008125A9" w:rsidRPr="00073574">
              <w:rPr>
                <w:szCs w:val="22"/>
              </w:rPr>
              <w:t xml:space="preserve">hin a European research project was discussed. </w:t>
            </w:r>
            <w:r w:rsidRPr="00073574">
              <w:rPr>
                <w:szCs w:val="22"/>
              </w:rPr>
              <w:t xml:space="preserve">It uses </w:t>
            </w:r>
            <w:r w:rsidR="00BE5127" w:rsidRPr="00073574">
              <w:rPr>
                <w:szCs w:val="22"/>
              </w:rPr>
              <w:t xml:space="preserve">ITU-T </w:t>
            </w:r>
            <w:r w:rsidRPr="00073574">
              <w:rPr>
                <w:szCs w:val="22"/>
              </w:rPr>
              <w:t>E.164 numbers in the prefix of the IPv6 address.</w:t>
            </w:r>
            <w:r w:rsidR="008125A9" w:rsidRPr="00073574">
              <w:rPr>
                <w:szCs w:val="22"/>
              </w:rPr>
              <w:t xml:space="preserve"> See </w:t>
            </w:r>
            <w:r w:rsidR="00BE5127" w:rsidRPr="00073574">
              <w:rPr>
                <w:szCs w:val="22"/>
              </w:rPr>
              <w:t xml:space="preserve">section </w:t>
            </w:r>
            <w:r w:rsidR="008125A9" w:rsidRPr="00073574">
              <w:rPr>
                <w:szCs w:val="22"/>
              </w:rPr>
              <w:t>3.4 of Q1/2 meeting report (</w:t>
            </w:r>
            <w:hyperlink r:id="rId440" w:history="1">
              <w:r w:rsidR="008125A9" w:rsidRPr="00073574">
                <w:rPr>
                  <w:rStyle w:val="Hyperlink"/>
                  <w:szCs w:val="22"/>
                </w:rPr>
                <w:t>SG2-TD398-R1</w:t>
              </w:r>
            </w:hyperlink>
            <w:r w:rsidR="00E66AFF" w:rsidRPr="00073574">
              <w:rPr>
                <w:szCs w:val="22"/>
              </w:rPr>
              <w:t>/GEN</w:t>
            </w:r>
            <w:r w:rsidR="008125A9" w:rsidRPr="00073574">
              <w:rPr>
                <w:szCs w:val="22"/>
              </w:rPr>
              <w:t xml:space="preserve">). </w:t>
            </w:r>
            <w:r w:rsidR="008125A9" w:rsidRPr="00073574">
              <w:t>L</w:t>
            </w:r>
            <w:r w:rsidRPr="00073574">
              <w:t>iaison</w:t>
            </w:r>
            <w:r w:rsidR="008125A9" w:rsidRPr="00073574">
              <w:t>s</w:t>
            </w:r>
            <w:r w:rsidRPr="00073574">
              <w:t xml:space="preserve"> </w:t>
            </w:r>
            <w:r w:rsidR="008125A9" w:rsidRPr="00073574">
              <w:t>with</w:t>
            </w:r>
            <w:r w:rsidRPr="00073574">
              <w:t xml:space="preserve"> IETF on “Clarifications to IETF Process related to individual drafts and requests for IANA allocation related to I</w:t>
            </w:r>
            <w:r w:rsidR="00E66AFF" w:rsidRPr="00073574">
              <w:t>Pv6 addressing”</w:t>
            </w:r>
            <w:r w:rsidR="008125A9" w:rsidRPr="00073574">
              <w:t xml:space="preserve"> were exchanged (</w:t>
            </w:r>
            <w:hyperlink r:id="rId441" w:history="1">
              <w:r w:rsidR="008125A9" w:rsidRPr="00073574">
                <w:rPr>
                  <w:rStyle w:val="Hyperlink"/>
                </w:rPr>
                <w:t>SG2-TD458</w:t>
              </w:r>
              <w:r w:rsidR="00E66AFF" w:rsidRPr="00073574">
                <w:rPr>
                  <w:rStyle w:val="Hyperlink"/>
                </w:rPr>
                <w:t>/GEN</w:t>
              </w:r>
            </w:hyperlink>
            <w:r w:rsidR="008125A9" w:rsidRPr="00073574">
              <w:t xml:space="preserve"> and </w:t>
            </w:r>
            <w:hyperlink r:id="rId442" w:history="1">
              <w:r w:rsidR="008125A9" w:rsidRPr="00073574">
                <w:rPr>
                  <w:rStyle w:val="Hyperlink"/>
                </w:rPr>
                <w:t>SG2-TD519</w:t>
              </w:r>
            </w:hyperlink>
            <w:r w:rsidR="00E66AFF" w:rsidRPr="00073574">
              <w:t>/GEN</w:t>
            </w:r>
            <w:r w:rsidR="008125A9" w:rsidRPr="00073574">
              <w:t>).</w:t>
            </w:r>
            <w:r w:rsidR="00B11D47" w:rsidRPr="00073574">
              <w:t xml:space="preserve"> Updates were provided in the SG2 meeting of 20 to 28 February 2019, see section 3.11 of </w:t>
            </w:r>
            <w:r w:rsidR="00B11D47" w:rsidRPr="00073574">
              <w:rPr>
                <w:szCs w:val="22"/>
              </w:rPr>
              <w:t>Q1/2 meeting report (</w:t>
            </w:r>
            <w:hyperlink r:id="rId443" w:history="1">
              <w:r w:rsidR="00B11D47" w:rsidRPr="00073574">
                <w:rPr>
                  <w:rStyle w:val="Hyperlink"/>
                  <w:szCs w:val="22"/>
                </w:rPr>
                <w:t>SG2-TD612-R1</w:t>
              </w:r>
            </w:hyperlink>
            <w:r w:rsidR="00B11D47" w:rsidRPr="00073574">
              <w:rPr>
                <w:szCs w:val="22"/>
              </w:rPr>
              <w:t>).</w:t>
            </w:r>
          </w:p>
          <w:p w14:paraId="128F7869" w14:textId="77777777" w:rsidR="00921C95" w:rsidRPr="00073574" w:rsidRDefault="00177B46" w:rsidP="00366BA3">
            <w:pPr>
              <w:pStyle w:val="Tabletext"/>
              <w:spacing w:before="120" w:after="120"/>
              <w:rPr>
                <w:rFonts w:asciiTheme="majorBidi" w:hAnsiTheme="majorBidi" w:cstheme="majorBidi"/>
              </w:rPr>
            </w:pPr>
            <w:r w:rsidRPr="00073574">
              <w:t>The ITU-T IPv6 secretariat received a submission with an IETF proposal for an Adaptive IPv4 Address Space called EzIP to use an IPv4 protocol header extension to allow for some bigger IPv4 address space to overcome IPv4 address depletion in domains that have not yet been migrated to IPv6. Relevant information was provided to SG2 (</w:t>
            </w:r>
            <w:hyperlink r:id="rId444" w:history="1">
              <w:r w:rsidRPr="00073574">
                <w:rPr>
                  <w:rStyle w:val="Hyperlink"/>
                </w:rPr>
                <w:t>SG2-TD427</w:t>
              </w:r>
            </w:hyperlink>
            <w:r w:rsidR="00E66AFF" w:rsidRPr="00073574">
              <w:t>/GEN</w:t>
            </w:r>
            <w:r w:rsidRPr="00073574">
              <w:t>) and t</w:t>
            </w:r>
            <w:r w:rsidR="00921C95" w:rsidRPr="00073574">
              <w:rPr>
                <w:rFonts w:asciiTheme="majorBidi" w:hAnsiTheme="majorBidi" w:cstheme="majorBidi"/>
              </w:rPr>
              <w:t>he participants noted that any proposal for study must be submitted as contributions</w:t>
            </w:r>
            <w:r w:rsidRPr="00073574">
              <w:rPr>
                <w:rFonts w:asciiTheme="majorBidi" w:hAnsiTheme="majorBidi" w:cstheme="majorBidi"/>
              </w:rPr>
              <w:t>.</w:t>
            </w:r>
          </w:p>
          <w:p w14:paraId="6506AC7D" w14:textId="2EAC0C08" w:rsidR="001061D5" w:rsidRPr="00073574" w:rsidRDefault="001061D5" w:rsidP="00366BA3">
            <w:pPr>
              <w:pStyle w:val="Tabletext"/>
              <w:spacing w:before="120" w:after="120"/>
              <w:rPr>
                <w:szCs w:val="22"/>
              </w:rPr>
            </w:pPr>
            <w:r w:rsidRPr="00073574">
              <w:rPr>
                <w:rFonts w:asciiTheme="majorBidi" w:hAnsiTheme="majorBidi" w:cstheme="majorBidi"/>
              </w:rPr>
              <w:t xml:space="preserve">SG3 is studying in work item </w:t>
            </w:r>
            <w:r w:rsidR="006A2E90" w:rsidRPr="00073574">
              <w:rPr>
                <w:rFonts w:asciiTheme="majorBidi" w:hAnsiTheme="majorBidi" w:cstheme="majorBidi"/>
              </w:rPr>
              <w:t>STUDY IPV6 the economic impact of transition from IPv4 to IPv6.</w:t>
            </w:r>
            <w:r w:rsidR="00E55A9D" w:rsidRPr="00073574">
              <w:rPr>
                <w:rFonts w:asciiTheme="majorBidi" w:hAnsiTheme="majorBidi" w:cstheme="majorBidi"/>
              </w:rPr>
              <w:t xml:space="preserve"> </w:t>
            </w:r>
            <w:r w:rsidR="002A2209" w:rsidRPr="00073574">
              <w:rPr>
                <w:rFonts w:asciiTheme="majorBidi" w:hAnsiTheme="majorBidi" w:cstheme="majorBidi"/>
              </w:rPr>
              <w:t xml:space="preserve">The updated </w:t>
            </w:r>
            <w:r w:rsidR="00E55A9D" w:rsidRPr="00073574">
              <w:rPr>
                <w:rFonts w:asciiTheme="majorBidi" w:hAnsiTheme="majorBidi" w:cstheme="majorBidi"/>
              </w:rPr>
              <w:t xml:space="preserve">Q6/3 is dedicated to the </w:t>
            </w:r>
            <w:r w:rsidR="0091399D" w:rsidRPr="00073574">
              <w:rPr>
                <w:rFonts w:asciiTheme="majorBidi" w:hAnsiTheme="majorBidi" w:cstheme="majorBidi"/>
              </w:rPr>
              <w:t xml:space="preserve">cost provision of services and impact of IPv6 deployment. </w:t>
            </w:r>
          </w:p>
        </w:tc>
      </w:tr>
      <w:tr w:rsidR="00F0236A" w:rsidRPr="00073574" w14:paraId="67E3372F" w14:textId="77777777" w:rsidTr="7277BFE4">
        <w:trPr>
          <w:cantSplit/>
          <w:jc w:val="center"/>
        </w:trPr>
        <w:tc>
          <w:tcPr>
            <w:tcW w:w="911" w:type="dxa"/>
            <w:vMerge w:val="restart"/>
            <w:tcBorders>
              <w:top w:val="single" w:sz="12" w:space="0" w:color="auto"/>
            </w:tcBorders>
            <w:shd w:val="clear" w:color="auto" w:fill="auto"/>
          </w:tcPr>
          <w:p w14:paraId="38E0D62E" w14:textId="77777777" w:rsidR="00F0236A" w:rsidRPr="00073574" w:rsidRDefault="00F0236A" w:rsidP="00DF36E1">
            <w:pPr>
              <w:pStyle w:val="Tabletext"/>
              <w:rPr>
                <w:rStyle w:val="Hyperlink"/>
                <w:b/>
                <w:bCs/>
                <w:sz w:val="24"/>
                <w:szCs w:val="24"/>
              </w:rPr>
            </w:pPr>
            <w:r w:rsidRPr="00073574">
              <w:rPr>
                <w:b/>
                <w:bCs/>
                <w:sz w:val="24"/>
                <w:szCs w:val="24"/>
              </w:rPr>
              <w:t>64-03</w:t>
            </w:r>
          </w:p>
        </w:tc>
        <w:tc>
          <w:tcPr>
            <w:tcW w:w="4526" w:type="dxa"/>
            <w:tcBorders>
              <w:top w:val="single" w:sz="12" w:space="0" w:color="auto"/>
            </w:tcBorders>
            <w:shd w:val="clear" w:color="auto" w:fill="auto"/>
          </w:tcPr>
          <w:p w14:paraId="24858458" w14:textId="77777777" w:rsidR="00F0236A" w:rsidRPr="00073574" w:rsidRDefault="00F0236A" w:rsidP="00DF36E1">
            <w:pPr>
              <w:pStyle w:val="Tabletext"/>
              <w:rPr>
                <w:b/>
                <w:bCs/>
                <w:sz w:val="24"/>
                <w:szCs w:val="24"/>
              </w:rPr>
            </w:pPr>
            <w:r w:rsidRPr="00073574">
              <w:rPr>
                <w:b/>
                <w:bCs/>
                <w:sz w:val="24"/>
                <w:szCs w:val="24"/>
              </w:rPr>
              <w:t>(SG2 and) SG3 to analyse statistics for the purpose of assessing the pace and geography of IPv6 addresses and registration for interested members and, especially for developing countries, in collaboration with all relevant stakeholders (resolves 2).</w:t>
            </w:r>
          </w:p>
        </w:tc>
        <w:tc>
          <w:tcPr>
            <w:tcW w:w="1897" w:type="dxa"/>
            <w:tcBorders>
              <w:top w:val="single" w:sz="12" w:space="0" w:color="auto"/>
            </w:tcBorders>
            <w:shd w:val="clear" w:color="auto" w:fill="auto"/>
            <w:vAlign w:val="center"/>
          </w:tcPr>
          <w:p w14:paraId="3132F172"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62" w:type="dxa"/>
            <w:tcBorders>
              <w:top w:val="single" w:sz="12" w:space="0" w:color="auto"/>
            </w:tcBorders>
            <w:shd w:val="clear" w:color="auto" w:fill="auto"/>
            <w:vAlign w:val="center"/>
          </w:tcPr>
          <w:p w14:paraId="0A657537" w14:textId="27D96302" w:rsidR="00F0236A" w:rsidRPr="00073574" w:rsidRDefault="00FF5BEE"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714E6770" w14:textId="77777777" w:rsidR="00F0236A" w:rsidRPr="00073574" w:rsidRDefault="00F0236A" w:rsidP="00DF36E1">
            <w:pPr>
              <w:pStyle w:val="Tabletext"/>
              <w:jc w:val="center"/>
              <w:rPr>
                <w:b/>
                <w:bCs/>
                <w:sz w:val="24"/>
                <w:szCs w:val="24"/>
              </w:rPr>
            </w:pPr>
          </w:p>
        </w:tc>
      </w:tr>
      <w:tr w:rsidR="00F0236A" w:rsidRPr="00073574" w14:paraId="527791DD" w14:textId="77777777" w:rsidTr="00B242DF">
        <w:trPr>
          <w:jc w:val="center"/>
        </w:trPr>
        <w:tc>
          <w:tcPr>
            <w:tcW w:w="911" w:type="dxa"/>
            <w:vMerge/>
          </w:tcPr>
          <w:p w14:paraId="12C8FDE3" w14:textId="77777777" w:rsidR="00F0236A" w:rsidRPr="00073574" w:rsidRDefault="00F0236A" w:rsidP="00DF36E1">
            <w:pPr>
              <w:pStyle w:val="Tabletext"/>
              <w:rPr>
                <w:sz w:val="24"/>
                <w:szCs w:val="24"/>
              </w:rPr>
            </w:pPr>
          </w:p>
        </w:tc>
        <w:tc>
          <w:tcPr>
            <w:tcW w:w="8921" w:type="dxa"/>
            <w:gridSpan w:val="4"/>
            <w:shd w:val="clear" w:color="auto" w:fill="auto"/>
          </w:tcPr>
          <w:p w14:paraId="43C0B1F3" w14:textId="3E316445" w:rsidR="00F0236A" w:rsidRPr="00073574" w:rsidRDefault="00987965" w:rsidP="00DF36E1">
            <w:pPr>
              <w:pStyle w:val="Tabletext"/>
              <w:rPr>
                <w:szCs w:val="22"/>
              </w:rPr>
            </w:pPr>
            <w:r w:rsidRPr="00073574">
              <w:rPr>
                <w:szCs w:val="22"/>
              </w:rPr>
              <w:t>SG20 started to develop w</w:t>
            </w:r>
            <w:r w:rsidR="00FF5BEE" w:rsidRPr="00073574">
              <w:rPr>
                <w:szCs w:val="22"/>
              </w:rPr>
              <w:t xml:space="preserve">ithin three work items </w:t>
            </w:r>
            <w:r w:rsidRPr="00073574">
              <w:rPr>
                <w:szCs w:val="22"/>
              </w:rPr>
              <w:t xml:space="preserve">concerning: </w:t>
            </w:r>
            <w:r w:rsidR="00FF5BEE" w:rsidRPr="00073574">
              <w:rPr>
                <w:szCs w:val="22"/>
              </w:rPr>
              <w:t xml:space="preserve">a reference model of IPv6 subnet addressing plan for Internet of things deployment, a reference model of protocol suite for IPV6 interoperable Internet of things deployments, and the </w:t>
            </w:r>
            <w:r w:rsidR="00FF5BEE" w:rsidRPr="00073574">
              <w:rPr>
                <w:bdr w:val="none" w:sz="0" w:space="0" w:color="auto" w:frame="1"/>
              </w:rPr>
              <w:t xml:space="preserve">IPv6 potential for the Internet of things and smart cities. </w:t>
            </w:r>
            <w:r w:rsidRPr="00073574">
              <w:rPr>
                <w:bdr w:val="none" w:sz="0" w:space="0" w:color="auto" w:frame="1"/>
              </w:rPr>
              <w:t>Unfortunately, due to lack of contributions, the three work items could not be completed and they were discontinued.</w:t>
            </w:r>
          </w:p>
        </w:tc>
      </w:tr>
      <w:tr w:rsidR="00F0236A" w:rsidRPr="00073574" w14:paraId="7ACE212E" w14:textId="77777777" w:rsidTr="7277BFE4">
        <w:trPr>
          <w:cantSplit/>
          <w:jc w:val="center"/>
        </w:trPr>
        <w:tc>
          <w:tcPr>
            <w:tcW w:w="911" w:type="dxa"/>
            <w:vMerge w:val="restart"/>
            <w:tcBorders>
              <w:top w:val="single" w:sz="12" w:space="0" w:color="auto"/>
            </w:tcBorders>
            <w:shd w:val="clear" w:color="auto" w:fill="auto"/>
          </w:tcPr>
          <w:p w14:paraId="5023BC47" w14:textId="77777777" w:rsidR="00F0236A" w:rsidRPr="00073574" w:rsidRDefault="00F0236A" w:rsidP="00534213">
            <w:pPr>
              <w:pStyle w:val="Tabletext"/>
              <w:keepNext/>
              <w:keepLines/>
              <w:rPr>
                <w:rStyle w:val="Hyperlink"/>
                <w:b/>
                <w:bCs/>
                <w:sz w:val="24"/>
                <w:szCs w:val="24"/>
              </w:rPr>
            </w:pPr>
            <w:r w:rsidRPr="00073574">
              <w:rPr>
                <w:b/>
                <w:bCs/>
                <w:sz w:val="24"/>
                <w:szCs w:val="24"/>
              </w:rPr>
              <w:lastRenderedPageBreak/>
              <w:t>64-06</w:t>
            </w:r>
          </w:p>
        </w:tc>
        <w:tc>
          <w:tcPr>
            <w:tcW w:w="4526" w:type="dxa"/>
            <w:tcBorders>
              <w:top w:val="single" w:sz="12" w:space="0" w:color="auto"/>
            </w:tcBorders>
            <w:shd w:val="clear" w:color="auto" w:fill="auto"/>
            <w:hideMark/>
          </w:tcPr>
          <w:p w14:paraId="05FAC657" w14:textId="77777777" w:rsidR="00F0236A" w:rsidRPr="00073574" w:rsidRDefault="00F0236A" w:rsidP="00DF36E1">
            <w:pPr>
              <w:pStyle w:val="Tabletext"/>
              <w:rPr>
                <w:b/>
                <w:bCs/>
                <w:sz w:val="24"/>
                <w:szCs w:val="24"/>
              </w:rPr>
            </w:pPr>
            <w:r w:rsidRPr="00073574">
              <w:rPr>
                <w:b/>
                <w:bCs/>
                <w:sz w:val="24"/>
                <w:szCs w:val="24"/>
              </w:rPr>
              <w:t>TSB Director, in collaboration with BDT Director, to continue project to assist developing countries with IPv6 migration and deployment. (i. TSBDir 1)</w:t>
            </w:r>
          </w:p>
        </w:tc>
        <w:tc>
          <w:tcPr>
            <w:tcW w:w="1897" w:type="dxa"/>
            <w:tcBorders>
              <w:top w:val="single" w:sz="12" w:space="0" w:color="auto"/>
            </w:tcBorders>
            <w:shd w:val="clear" w:color="auto" w:fill="auto"/>
            <w:vAlign w:val="center"/>
            <w:hideMark/>
          </w:tcPr>
          <w:p w14:paraId="0097A338"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62" w:type="dxa"/>
            <w:tcBorders>
              <w:top w:val="single" w:sz="12" w:space="0" w:color="auto"/>
            </w:tcBorders>
            <w:shd w:val="clear" w:color="auto" w:fill="auto"/>
            <w:vAlign w:val="center"/>
          </w:tcPr>
          <w:p w14:paraId="545D43E1" w14:textId="32B22AA3" w:rsidR="00F0236A" w:rsidRPr="00073574" w:rsidRDefault="00451605"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1901F2D9" w14:textId="77777777" w:rsidR="00F0236A" w:rsidRPr="00073574" w:rsidRDefault="00F0236A" w:rsidP="00DF36E1">
            <w:pPr>
              <w:pStyle w:val="Tabletext"/>
              <w:jc w:val="center"/>
              <w:rPr>
                <w:b/>
                <w:bCs/>
                <w:sz w:val="24"/>
                <w:szCs w:val="24"/>
              </w:rPr>
            </w:pPr>
          </w:p>
        </w:tc>
      </w:tr>
      <w:tr w:rsidR="00F0236A" w:rsidRPr="00073574" w14:paraId="10A8CBFA" w14:textId="77777777" w:rsidTr="7277BFE4">
        <w:trPr>
          <w:cantSplit/>
          <w:jc w:val="center"/>
        </w:trPr>
        <w:tc>
          <w:tcPr>
            <w:tcW w:w="911" w:type="dxa"/>
            <w:vMerge/>
          </w:tcPr>
          <w:p w14:paraId="50DBE44F" w14:textId="77777777" w:rsidR="00F0236A" w:rsidRPr="00073574" w:rsidRDefault="00F0236A" w:rsidP="00DF36E1">
            <w:pPr>
              <w:pStyle w:val="Tabletext"/>
              <w:rPr>
                <w:sz w:val="24"/>
                <w:szCs w:val="24"/>
              </w:rPr>
            </w:pPr>
          </w:p>
        </w:tc>
        <w:tc>
          <w:tcPr>
            <w:tcW w:w="8921" w:type="dxa"/>
            <w:gridSpan w:val="4"/>
            <w:tcBorders>
              <w:bottom w:val="single" w:sz="12" w:space="0" w:color="auto"/>
            </w:tcBorders>
            <w:shd w:val="clear" w:color="auto" w:fill="auto"/>
          </w:tcPr>
          <w:p w14:paraId="1ED29B9E" w14:textId="1A9C5A8B" w:rsidR="00F0236A" w:rsidRPr="00073574" w:rsidRDefault="00451605" w:rsidP="002B77BF">
            <w:pPr>
              <w:pStyle w:val="Tabletext"/>
              <w:rPr>
                <w:szCs w:val="22"/>
              </w:rPr>
            </w:pPr>
            <w:r w:rsidRPr="00073574">
              <w:rPr>
                <w:szCs w:val="22"/>
              </w:rPr>
              <w:t xml:space="preserve">Note: The ITU IPv6 project to assist developing countries with IPv6 migration and deployment is led by ITU-D; reports </w:t>
            </w:r>
            <w:r w:rsidR="00DD3D14" w:rsidRPr="00073574">
              <w:rPr>
                <w:szCs w:val="22"/>
              </w:rPr>
              <w:t>on</w:t>
            </w:r>
            <w:r w:rsidRPr="00073574">
              <w:rPr>
                <w:szCs w:val="22"/>
              </w:rPr>
              <w:t xml:space="preserve"> the ITU IPv6 project are found in section 3 of SecGen’s report on ITU INTERNET ACTIVITIES: RESOLUTIONS 101, 102, 133 &amp; 180 to CWG-Internet (</w:t>
            </w:r>
            <w:hyperlink r:id="rId445" w:history="1">
              <w:r w:rsidR="002B77BF" w:rsidRPr="00073574">
                <w:rPr>
                  <w:rStyle w:val="Hyperlink"/>
                  <w:szCs w:val="22"/>
                </w:rPr>
                <w:t>9/2</w:t>
              </w:r>
            </w:hyperlink>
            <w:r w:rsidR="002B77BF" w:rsidRPr="00073574">
              <w:rPr>
                <w:szCs w:val="22"/>
              </w:rPr>
              <w:t xml:space="preserve">, </w:t>
            </w:r>
            <w:hyperlink r:id="rId446" w:history="1">
              <w:r w:rsidR="002B77BF" w:rsidRPr="00073574">
                <w:rPr>
                  <w:rStyle w:val="Hyperlink"/>
                  <w:szCs w:val="22"/>
                </w:rPr>
                <w:t>10/2</w:t>
              </w:r>
            </w:hyperlink>
            <w:r w:rsidR="002B77BF" w:rsidRPr="00073574">
              <w:rPr>
                <w:szCs w:val="22"/>
              </w:rPr>
              <w:t xml:space="preserve">, </w:t>
            </w:r>
            <w:hyperlink r:id="rId447" w:history="1">
              <w:r w:rsidR="002B77BF" w:rsidRPr="00073574">
                <w:rPr>
                  <w:rStyle w:val="Hyperlink"/>
                  <w:szCs w:val="22"/>
                </w:rPr>
                <w:t>11/2</w:t>
              </w:r>
            </w:hyperlink>
            <w:r w:rsidR="005811CA" w:rsidRPr="0005140F">
              <w:rPr>
                <w:rStyle w:val="Hyperlink"/>
                <w:szCs w:val="22"/>
                <w:u w:val="none"/>
              </w:rPr>
              <w:t xml:space="preserve">, </w:t>
            </w:r>
            <w:hyperlink r:id="rId448" w:history="1">
              <w:r w:rsidR="005811CA" w:rsidRPr="00073574">
                <w:rPr>
                  <w:rStyle w:val="Hyperlink"/>
                  <w:szCs w:val="22"/>
                </w:rPr>
                <w:t>12/2</w:t>
              </w:r>
            </w:hyperlink>
            <w:r w:rsidR="005811CA" w:rsidRPr="0005140F">
              <w:rPr>
                <w:rStyle w:val="Hyperlink"/>
                <w:szCs w:val="22"/>
                <w:u w:val="none"/>
              </w:rPr>
              <w:t xml:space="preserve">, </w:t>
            </w:r>
            <w:hyperlink r:id="rId449" w:history="1">
              <w:r w:rsidR="005811CA" w:rsidRPr="00073574">
                <w:rPr>
                  <w:rStyle w:val="Hyperlink"/>
                  <w:szCs w:val="22"/>
                </w:rPr>
                <w:t>13/3</w:t>
              </w:r>
            </w:hyperlink>
            <w:r w:rsidR="00D24DE2" w:rsidRPr="0005140F">
              <w:rPr>
                <w:rStyle w:val="Hyperlink"/>
                <w:szCs w:val="22"/>
                <w:u w:val="none"/>
              </w:rPr>
              <w:t>,</w:t>
            </w:r>
            <w:r w:rsidR="00D24DE2" w:rsidRPr="0005140F">
              <w:rPr>
                <w:rStyle w:val="Hyperlink"/>
                <w:u w:val="none"/>
              </w:rPr>
              <w:t xml:space="preserve"> </w:t>
            </w:r>
            <w:hyperlink r:id="rId450" w:history="1">
              <w:r w:rsidR="00D24DE2" w:rsidRPr="00073574">
                <w:rPr>
                  <w:rStyle w:val="Hyperlink"/>
                </w:rPr>
                <w:t>14/2</w:t>
              </w:r>
              <w:r w:rsidR="00345156" w:rsidRPr="00073574">
                <w:rPr>
                  <w:rStyle w:val="Hyperlink"/>
                </w:rPr>
                <w:t>R1</w:t>
              </w:r>
            </w:hyperlink>
            <w:r w:rsidR="00CA30C0" w:rsidRPr="0005140F">
              <w:rPr>
                <w:rStyle w:val="Hyperlink"/>
                <w:u w:val="none"/>
              </w:rPr>
              <w:t xml:space="preserve">, </w:t>
            </w:r>
            <w:hyperlink r:id="rId451" w:history="1">
              <w:r w:rsidR="00CA30C0" w:rsidRPr="00073574">
                <w:rPr>
                  <w:rStyle w:val="Hyperlink"/>
                </w:rPr>
                <w:t>15/2</w:t>
              </w:r>
            </w:hyperlink>
            <w:hyperlink r:id="rId452" w:history="1">
              <w:r w:rsidR="00670200" w:rsidRPr="00073574">
                <w:rPr>
                  <w:rStyle w:val="Hyperlink"/>
                </w:rPr>
                <w:t>16/</w:t>
              </w:r>
              <w:r w:rsidR="00643428" w:rsidRPr="00073574">
                <w:rPr>
                  <w:rStyle w:val="Hyperlink"/>
                </w:rPr>
                <w:t>2</w:t>
              </w:r>
            </w:hyperlink>
            <w:r w:rsidRPr="00073574">
              <w:rPr>
                <w:szCs w:val="22"/>
              </w:rPr>
              <w:t>), and to Council (</w:t>
            </w:r>
            <w:hyperlink r:id="rId453" w:history="1">
              <w:r w:rsidRPr="00073574">
                <w:rPr>
                  <w:rStyle w:val="Hyperlink"/>
                  <w:szCs w:val="22"/>
                </w:rPr>
                <w:t>C33/17</w:t>
              </w:r>
            </w:hyperlink>
            <w:r w:rsidR="002B77BF" w:rsidRPr="00073574">
              <w:rPr>
                <w:szCs w:val="22"/>
              </w:rPr>
              <w:t>,</w:t>
            </w:r>
            <w:r w:rsidRPr="00073574">
              <w:rPr>
                <w:szCs w:val="22"/>
              </w:rPr>
              <w:t xml:space="preserve"> </w:t>
            </w:r>
            <w:hyperlink r:id="rId454" w:history="1">
              <w:r w:rsidRPr="00073574">
                <w:rPr>
                  <w:rStyle w:val="Hyperlink"/>
                  <w:szCs w:val="22"/>
                </w:rPr>
                <w:t>C33/18</w:t>
              </w:r>
            </w:hyperlink>
            <w:r w:rsidR="00991E0A" w:rsidRPr="0005140F">
              <w:rPr>
                <w:rStyle w:val="Hyperlink"/>
                <w:szCs w:val="22"/>
                <w:u w:val="none"/>
              </w:rPr>
              <w:t xml:space="preserve">, </w:t>
            </w:r>
            <w:hyperlink r:id="rId455" w:history="1">
              <w:r w:rsidR="00991E0A" w:rsidRPr="00073574">
                <w:rPr>
                  <w:rStyle w:val="Hyperlink"/>
                  <w:szCs w:val="22"/>
                </w:rPr>
                <w:t>C19/33</w:t>
              </w:r>
            </w:hyperlink>
            <w:r w:rsidR="008E61D7" w:rsidRPr="0005140F">
              <w:rPr>
                <w:rStyle w:val="Hyperlink"/>
                <w:szCs w:val="22"/>
                <w:u w:val="none"/>
              </w:rPr>
              <w:t xml:space="preserve">, </w:t>
            </w:r>
            <w:hyperlink r:id="rId456" w:history="1">
              <w:r w:rsidR="002B474E" w:rsidRPr="00073574">
                <w:rPr>
                  <w:rStyle w:val="Hyperlink"/>
                  <w:szCs w:val="22"/>
                </w:rPr>
                <w:t>C20/33</w:t>
              </w:r>
            </w:hyperlink>
            <w:r w:rsidR="002B474E" w:rsidRPr="0005140F">
              <w:rPr>
                <w:rStyle w:val="Hyperlink"/>
                <w:szCs w:val="22"/>
                <w:u w:val="none"/>
              </w:rPr>
              <w:t xml:space="preserve">, </w:t>
            </w:r>
            <w:hyperlink r:id="rId457" w:history="1">
              <w:r w:rsidR="008E61D7" w:rsidRPr="00073574">
                <w:rPr>
                  <w:rStyle w:val="Hyperlink"/>
                  <w:szCs w:val="22"/>
                </w:rPr>
                <w:t>C21/33</w:t>
              </w:r>
            </w:hyperlink>
            <w:r w:rsidRPr="00073574">
              <w:rPr>
                <w:szCs w:val="22"/>
              </w:rPr>
              <w:t>) respectively.</w:t>
            </w:r>
          </w:p>
        </w:tc>
      </w:tr>
      <w:tr w:rsidR="00F0236A" w:rsidRPr="00073574" w14:paraId="05F7AF0C" w14:textId="77777777" w:rsidTr="7277BFE4">
        <w:trPr>
          <w:cantSplit/>
          <w:jc w:val="center"/>
        </w:trPr>
        <w:tc>
          <w:tcPr>
            <w:tcW w:w="911" w:type="dxa"/>
            <w:vMerge w:val="restart"/>
            <w:tcBorders>
              <w:top w:val="single" w:sz="12" w:space="0" w:color="auto"/>
            </w:tcBorders>
            <w:shd w:val="clear" w:color="auto" w:fill="auto"/>
          </w:tcPr>
          <w:p w14:paraId="36A5E58D" w14:textId="77777777" w:rsidR="00F0236A" w:rsidRPr="00073574" w:rsidRDefault="00F0236A" w:rsidP="00DF36E1">
            <w:pPr>
              <w:pStyle w:val="Tabletext"/>
              <w:keepNext/>
              <w:keepLines/>
              <w:rPr>
                <w:rStyle w:val="Hyperlink"/>
                <w:b/>
                <w:bCs/>
                <w:sz w:val="24"/>
                <w:szCs w:val="24"/>
              </w:rPr>
            </w:pPr>
            <w:r w:rsidRPr="00073574">
              <w:rPr>
                <w:b/>
                <w:bCs/>
                <w:sz w:val="24"/>
                <w:szCs w:val="24"/>
              </w:rPr>
              <w:t>64-07</w:t>
            </w:r>
          </w:p>
        </w:tc>
        <w:tc>
          <w:tcPr>
            <w:tcW w:w="4526" w:type="dxa"/>
            <w:tcBorders>
              <w:top w:val="single" w:sz="12" w:space="0" w:color="auto"/>
            </w:tcBorders>
            <w:shd w:val="clear" w:color="auto" w:fill="auto"/>
          </w:tcPr>
          <w:p w14:paraId="156420C0" w14:textId="77777777" w:rsidR="00F0236A" w:rsidRPr="00073574" w:rsidRDefault="00F0236A" w:rsidP="00DF36E1">
            <w:pPr>
              <w:pStyle w:val="Tabletext"/>
              <w:keepNext/>
              <w:keepLines/>
              <w:rPr>
                <w:b/>
                <w:bCs/>
                <w:sz w:val="24"/>
                <w:szCs w:val="24"/>
              </w:rPr>
            </w:pPr>
            <w:r w:rsidRPr="00073574">
              <w:rPr>
                <w:b/>
                <w:bCs/>
                <w:sz w:val="24"/>
                <w:szCs w:val="24"/>
              </w:rPr>
              <w:t>TSB Director, in collaboration with BDT Director, to update and maintain the IPv6 portal website that provides information on global activities related to IPv6 and to training events of ITU and relevant orgs. (i. TSBDir 2)</w:t>
            </w:r>
          </w:p>
        </w:tc>
        <w:tc>
          <w:tcPr>
            <w:tcW w:w="1897" w:type="dxa"/>
            <w:tcBorders>
              <w:top w:val="single" w:sz="12" w:space="0" w:color="auto"/>
            </w:tcBorders>
            <w:shd w:val="clear" w:color="auto" w:fill="auto"/>
            <w:vAlign w:val="center"/>
          </w:tcPr>
          <w:p w14:paraId="3D492703"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62" w:type="dxa"/>
            <w:tcBorders>
              <w:top w:val="single" w:sz="12" w:space="0" w:color="auto"/>
            </w:tcBorders>
            <w:shd w:val="clear" w:color="auto" w:fill="auto"/>
            <w:vAlign w:val="center"/>
          </w:tcPr>
          <w:p w14:paraId="3A6A7FF2" w14:textId="5C5F4DE5" w:rsidR="00F0236A" w:rsidRPr="00073574" w:rsidRDefault="00557EA8"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22BB494C" w14:textId="77777777" w:rsidR="00F0236A" w:rsidRPr="00073574" w:rsidRDefault="00F0236A" w:rsidP="00DF36E1">
            <w:pPr>
              <w:pStyle w:val="Tabletext"/>
              <w:jc w:val="center"/>
              <w:rPr>
                <w:b/>
                <w:bCs/>
                <w:sz w:val="24"/>
                <w:szCs w:val="24"/>
              </w:rPr>
            </w:pPr>
          </w:p>
        </w:tc>
      </w:tr>
      <w:tr w:rsidR="00F0236A" w:rsidRPr="00073574" w14:paraId="5681BB54" w14:textId="77777777" w:rsidTr="7277BFE4">
        <w:trPr>
          <w:cantSplit/>
          <w:jc w:val="center"/>
        </w:trPr>
        <w:tc>
          <w:tcPr>
            <w:tcW w:w="911" w:type="dxa"/>
            <w:vMerge/>
          </w:tcPr>
          <w:p w14:paraId="0A0308F3" w14:textId="77777777" w:rsidR="00F0236A" w:rsidRPr="00073574" w:rsidRDefault="00F0236A" w:rsidP="00DF36E1">
            <w:pPr>
              <w:pStyle w:val="Tabletext"/>
              <w:rPr>
                <w:sz w:val="24"/>
                <w:szCs w:val="24"/>
              </w:rPr>
            </w:pPr>
          </w:p>
        </w:tc>
        <w:tc>
          <w:tcPr>
            <w:tcW w:w="8921" w:type="dxa"/>
            <w:gridSpan w:val="4"/>
            <w:tcBorders>
              <w:bottom w:val="single" w:sz="12" w:space="0" w:color="auto"/>
            </w:tcBorders>
            <w:shd w:val="clear" w:color="auto" w:fill="auto"/>
          </w:tcPr>
          <w:p w14:paraId="317AFE7C" w14:textId="65AC38BE" w:rsidR="00F0236A" w:rsidRPr="00073574" w:rsidRDefault="00557EA8" w:rsidP="001E63F9">
            <w:pPr>
              <w:spacing w:before="40" w:after="40"/>
              <w:rPr>
                <w:szCs w:val="22"/>
              </w:rPr>
            </w:pPr>
            <w:r w:rsidRPr="00073574">
              <w:t xml:space="preserve">The ITU-T IPv6 webpage at </w:t>
            </w:r>
            <w:hyperlink r:id="rId458" w:history="1">
              <w:r w:rsidR="001061D5" w:rsidRPr="00073574">
                <w:rPr>
                  <w:rStyle w:val="Hyperlink"/>
                </w:rPr>
                <w:t>https://www.itu.int/en/ITU-T/ipv6/Pages/default.aspx</w:t>
              </w:r>
            </w:hyperlink>
            <w:r w:rsidRPr="00073574">
              <w:t xml:space="preserve"> is maintained and has been updated.</w:t>
            </w:r>
          </w:p>
        </w:tc>
      </w:tr>
      <w:tr w:rsidR="00F0236A" w:rsidRPr="00073574" w14:paraId="14EA83A2" w14:textId="77777777" w:rsidTr="7277BFE4">
        <w:trPr>
          <w:cantSplit/>
          <w:jc w:val="center"/>
        </w:trPr>
        <w:tc>
          <w:tcPr>
            <w:tcW w:w="911" w:type="dxa"/>
            <w:vMerge w:val="restart"/>
            <w:tcBorders>
              <w:top w:val="single" w:sz="12" w:space="0" w:color="auto"/>
            </w:tcBorders>
            <w:shd w:val="clear" w:color="auto" w:fill="auto"/>
          </w:tcPr>
          <w:p w14:paraId="49FC6F04" w14:textId="77777777" w:rsidR="00F0236A" w:rsidRPr="00073574" w:rsidRDefault="00F0236A" w:rsidP="00DF36E1">
            <w:pPr>
              <w:pStyle w:val="Tabletext"/>
              <w:rPr>
                <w:rStyle w:val="Hyperlink"/>
                <w:b/>
                <w:bCs/>
                <w:sz w:val="24"/>
                <w:szCs w:val="24"/>
              </w:rPr>
            </w:pPr>
            <w:r w:rsidRPr="00073574">
              <w:rPr>
                <w:b/>
                <w:bCs/>
                <w:sz w:val="24"/>
                <w:szCs w:val="24"/>
              </w:rPr>
              <w:t>64-08</w:t>
            </w:r>
          </w:p>
        </w:tc>
        <w:tc>
          <w:tcPr>
            <w:tcW w:w="4526" w:type="dxa"/>
            <w:tcBorders>
              <w:top w:val="single" w:sz="12" w:space="0" w:color="auto"/>
            </w:tcBorders>
            <w:shd w:val="clear" w:color="auto" w:fill="auto"/>
          </w:tcPr>
          <w:p w14:paraId="743BBCB3" w14:textId="77777777" w:rsidR="00F0236A" w:rsidRPr="00073574" w:rsidRDefault="00F0236A" w:rsidP="00DF36E1">
            <w:pPr>
              <w:pStyle w:val="Tabletext"/>
              <w:rPr>
                <w:b/>
                <w:bCs/>
                <w:sz w:val="24"/>
                <w:szCs w:val="24"/>
              </w:rPr>
            </w:pPr>
            <w:r w:rsidRPr="00073574">
              <w:rPr>
                <w:b/>
                <w:bCs/>
                <w:sz w:val="24"/>
                <w:szCs w:val="24"/>
              </w:rPr>
              <w:t>TSB Director, in collaboration with BDT Director, to provide information, including roadmaps and guidelines to assist in the continued establishment of IPv6 test-bed labs in developing countries in collaboration with other orgs; and to promote awareness of the advantages of IPv6 over IPv4 with regard to IoT given the substantial demand for IP addresses for IoT devices. (i. TSBDir 3)</w:t>
            </w:r>
          </w:p>
        </w:tc>
        <w:tc>
          <w:tcPr>
            <w:tcW w:w="1897" w:type="dxa"/>
            <w:tcBorders>
              <w:top w:val="single" w:sz="12" w:space="0" w:color="auto"/>
            </w:tcBorders>
            <w:shd w:val="clear" w:color="auto" w:fill="auto"/>
            <w:vAlign w:val="center"/>
          </w:tcPr>
          <w:p w14:paraId="32C30D79"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62" w:type="dxa"/>
            <w:tcBorders>
              <w:top w:val="single" w:sz="12" w:space="0" w:color="auto"/>
            </w:tcBorders>
            <w:shd w:val="clear" w:color="auto" w:fill="auto"/>
            <w:vAlign w:val="center"/>
          </w:tcPr>
          <w:p w14:paraId="7FE8AAE7" w14:textId="46C30EE8" w:rsidR="00F0236A" w:rsidRPr="00073574" w:rsidRDefault="000C5DDB"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1BF158DB" w14:textId="77777777" w:rsidR="00F0236A" w:rsidRPr="00073574" w:rsidRDefault="00F0236A" w:rsidP="00DF36E1">
            <w:pPr>
              <w:pStyle w:val="Tabletext"/>
              <w:jc w:val="center"/>
              <w:rPr>
                <w:b/>
                <w:bCs/>
                <w:sz w:val="24"/>
                <w:szCs w:val="24"/>
              </w:rPr>
            </w:pPr>
          </w:p>
        </w:tc>
      </w:tr>
      <w:tr w:rsidR="00F0236A" w:rsidRPr="00073574" w14:paraId="0D17469F" w14:textId="77777777" w:rsidTr="7277BFE4">
        <w:trPr>
          <w:cantSplit/>
          <w:jc w:val="center"/>
        </w:trPr>
        <w:tc>
          <w:tcPr>
            <w:tcW w:w="911" w:type="dxa"/>
            <w:vMerge/>
          </w:tcPr>
          <w:p w14:paraId="03C88891" w14:textId="77777777" w:rsidR="00F0236A" w:rsidRPr="00073574" w:rsidRDefault="00F0236A" w:rsidP="00DF36E1">
            <w:pPr>
              <w:pStyle w:val="Tabletext"/>
              <w:rPr>
                <w:sz w:val="24"/>
                <w:szCs w:val="24"/>
              </w:rPr>
            </w:pPr>
          </w:p>
        </w:tc>
        <w:tc>
          <w:tcPr>
            <w:tcW w:w="8921" w:type="dxa"/>
            <w:gridSpan w:val="4"/>
            <w:tcBorders>
              <w:bottom w:val="single" w:sz="12" w:space="0" w:color="auto"/>
            </w:tcBorders>
            <w:shd w:val="clear" w:color="auto" w:fill="auto"/>
          </w:tcPr>
          <w:p w14:paraId="578F3109" w14:textId="77777777" w:rsidR="00791E83" w:rsidRPr="00073574" w:rsidRDefault="00791E83" w:rsidP="00791E83">
            <w:pPr>
              <w:pStyle w:val="Tabletext"/>
              <w:rPr>
                <w:szCs w:val="22"/>
              </w:rPr>
            </w:pPr>
            <w:r w:rsidRPr="00073574">
              <w:rPr>
                <w:szCs w:val="22"/>
              </w:rPr>
              <w:t>Excellent collaboration and cooperation is ongoing between TSB, BDT in the context of smart sustainable cities.</w:t>
            </w:r>
          </w:p>
          <w:p w14:paraId="74CF8079" w14:textId="04293470" w:rsidR="001653CC" w:rsidRPr="00073574" w:rsidRDefault="00791E83" w:rsidP="00791E83">
            <w:pPr>
              <w:pStyle w:val="Tabletext"/>
              <w:rPr>
                <w:szCs w:val="22"/>
              </w:rPr>
            </w:pPr>
            <w:r w:rsidRPr="00073574">
              <w:rPr>
                <w:szCs w:val="22"/>
              </w:rPr>
              <w:t>The events below have been jointly organized with the support of the respective regional office:</w:t>
            </w:r>
          </w:p>
          <w:p w14:paraId="2C671C81" w14:textId="5C0ED993" w:rsidR="001653CC" w:rsidRPr="00073574" w:rsidRDefault="0053741E" w:rsidP="002E241A">
            <w:pPr>
              <w:numPr>
                <w:ilvl w:val="0"/>
                <w:numId w:val="82"/>
              </w:numPr>
              <w:shd w:val="clear" w:color="auto" w:fill="FFFFFF"/>
              <w:ind w:left="714" w:hanging="357"/>
              <w:textAlignment w:val="baseline"/>
              <w:rPr>
                <w:rFonts w:eastAsia="Times New Roman"/>
                <w:color w:val="444444"/>
              </w:rPr>
            </w:pPr>
            <w:hyperlink r:id="rId459" w:tgtFrame="_blank" w:history="1">
              <w:r w:rsidR="001653CC" w:rsidRPr="00073574">
                <w:rPr>
                  <w:rStyle w:val="Hyperlink"/>
                </w:rPr>
                <w:t>ITU-UN-Habitat-UNDP Forum on Smart sustainable cities: technological trends, success stories and future prospects</w:t>
              </w:r>
            </w:hyperlink>
            <w:r w:rsidR="001653CC" w:rsidRPr="00073574">
              <w:rPr>
                <w:rFonts w:eastAsia="Times New Roman"/>
                <w:color w:val="444444"/>
                <w:bdr w:val="none" w:sz="0" w:space="0" w:color="auto" w:frame="1"/>
              </w:rPr>
              <w:t xml:space="preserve">, </w:t>
            </w:r>
            <w:r w:rsidR="001653CC" w:rsidRPr="00073574">
              <w:rPr>
                <w:rFonts w:eastAsia="Times New Roman"/>
                <w:bdr w:val="none" w:sz="0" w:space="0" w:color="auto" w:frame="1"/>
                <w:shd w:val="clear" w:color="auto" w:fill="FFFFFF"/>
              </w:rPr>
              <w:t>26-27 February 2019, Minsk, Belarus, and</w:t>
            </w:r>
          </w:p>
          <w:p w14:paraId="0ABD4A85" w14:textId="4EF20847" w:rsidR="001653CC" w:rsidRPr="00073574" w:rsidRDefault="0053741E" w:rsidP="002E241A">
            <w:pPr>
              <w:numPr>
                <w:ilvl w:val="0"/>
                <w:numId w:val="82"/>
              </w:numPr>
              <w:shd w:val="clear" w:color="auto" w:fill="FFFFFF"/>
              <w:ind w:left="714" w:hanging="357"/>
              <w:textAlignment w:val="baseline"/>
              <w:rPr>
                <w:rFonts w:eastAsia="Times New Roman"/>
              </w:rPr>
            </w:pPr>
            <w:hyperlink r:id="rId460" w:history="1">
              <w:r w:rsidR="001653CC" w:rsidRPr="00073574">
                <w:rPr>
                  <w:rStyle w:val="Hyperlink"/>
                </w:rPr>
                <w:t>4th Asia-Pacific Regional Forum on Smart Sustainable Cities and e-Government 2018</w:t>
              </w:r>
            </w:hyperlink>
            <w:r w:rsidR="001653CC" w:rsidRPr="00073574">
              <w:rPr>
                <w:rFonts w:eastAsia="Times New Roman"/>
                <w:color w:val="444444"/>
              </w:rPr>
              <w:t xml:space="preserve">, </w:t>
            </w:r>
            <w:r w:rsidR="001653CC" w:rsidRPr="00073574">
              <w:rPr>
                <w:rFonts w:eastAsia="Times New Roman"/>
              </w:rPr>
              <w:t>4-6 July 2018, Thanh Hoa city, Viet Nam.</w:t>
            </w:r>
          </w:p>
          <w:p w14:paraId="3F2BC452" w14:textId="66DB05DB" w:rsidR="00F0236A" w:rsidRPr="00073574" w:rsidRDefault="00791E83" w:rsidP="001653CC">
            <w:pPr>
              <w:pStyle w:val="Tabletext"/>
              <w:spacing w:before="120"/>
              <w:rPr>
                <w:szCs w:val="22"/>
              </w:rPr>
            </w:pPr>
            <w:r w:rsidRPr="00073574">
              <w:rPr>
                <w:szCs w:val="22"/>
              </w:rPr>
              <w:t xml:space="preserve">A webinar is also planned </w:t>
            </w:r>
            <w:r w:rsidR="001653CC" w:rsidRPr="00073574">
              <w:t>on “Achieving the sustainable development goals (SDGs) in cities through digital transformation in the CIS region”, Virtual, 8 October 2020.</w:t>
            </w:r>
            <w:r w:rsidRPr="00073574">
              <w:t xml:space="preserve"> This webinar is jointly organized by TSB, BDT and the regional office of the CIS region.</w:t>
            </w:r>
          </w:p>
        </w:tc>
      </w:tr>
      <w:tr w:rsidR="00F0236A" w:rsidRPr="00073574" w14:paraId="2B7EB712" w14:textId="77777777" w:rsidTr="7277BFE4">
        <w:trPr>
          <w:cantSplit/>
          <w:jc w:val="center"/>
        </w:trPr>
        <w:tc>
          <w:tcPr>
            <w:tcW w:w="911" w:type="dxa"/>
            <w:vMerge w:val="restart"/>
            <w:tcBorders>
              <w:top w:val="single" w:sz="12" w:space="0" w:color="auto"/>
            </w:tcBorders>
            <w:shd w:val="clear" w:color="auto" w:fill="auto"/>
          </w:tcPr>
          <w:p w14:paraId="50FD0A84" w14:textId="77777777" w:rsidR="00F0236A" w:rsidRPr="00073574" w:rsidRDefault="00F0236A" w:rsidP="00DF36E1">
            <w:pPr>
              <w:pStyle w:val="Tabletext"/>
              <w:keepNext/>
              <w:keepLines/>
              <w:rPr>
                <w:b/>
                <w:bCs/>
                <w:sz w:val="24"/>
                <w:szCs w:val="24"/>
              </w:rPr>
            </w:pPr>
            <w:r w:rsidRPr="00073574">
              <w:rPr>
                <w:b/>
                <w:bCs/>
                <w:sz w:val="24"/>
                <w:szCs w:val="24"/>
              </w:rPr>
              <w:lastRenderedPageBreak/>
              <w:t>64-09</w:t>
            </w:r>
          </w:p>
        </w:tc>
        <w:tc>
          <w:tcPr>
            <w:tcW w:w="4526" w:type="dxa"/>
            <w:tcBorders>
              <w:top w:val="single" w:sz="12" w:space="0" w:color="auto"/>
            </w:tcBorders>
            <w:shd w:val="clear" w:color="auto" w:fill="auto"/>
          </w:tcPr>
          <w:p w14:paraId="1689521B" w14:textId="77777777" w:rsidR="00F0236A" w:rsidRPr="00073574" w:rsidRDefault="00F0236A" w:rsidP="00DF36E1">
            <w:pPr>
              <w:pStyle w:val="Tabletext"/>
              <w:keepNext/>
              <w:keepLines/>
              <w:rPr>
                <w:b/>
                <w:bCs/>
                <w:sz w:val="24"/>
                <w:szCs w:val="24"/>
              </w:rPr>
            </w:pPr>
            <w:r w:rsidRPr="00073574">
              <w:rPr>
                <w:b/>
                <w:bCs/>
                <w:sz w:val="24"/>
                <w:szCs w:val="24"/>
              </w:rPr>
              <w:t>TSB Director to report to Council and to WTSA-20 (f.i. TSBDir)</w:t>
            </w:r>
          </w:p>
        </w:tc>
        <w:tc>
          <w:tcPr>
            <w:tcW w:w="1897" w:type="dxa"/>
            <w:tcBorders>
              <w:top w:val="single" w:sz="12" w:space="0" w:color="auto"/>
            </w:tcBorders>
            <w:shd w:val="clear" w:color="auto" w:fill="auto"/>
            <w:vAlign w:val="center"/>
          </w:tcPr>
          <w:p w14:paraId="2D1F9BB8" w14:textId="618B13EF" w:rsidR="00F0236A" w:rsidRPr="00073574" w:rsidRDefault="00F0236A" w:rsidP="00DF36E1">
            <w:pPr>
              <w:pStyle w:val="Tabletext"/>
              <w:jc w:val="center"/>
              <w:rPr>
                <w:b/>
                <w:bCs/>
                <w:sz w:val="24"/>
                <w:szCs w:val="24"/>
              </w:rPr>
            </w:pPr>
            <w:r w:rsidRPr="00073574">
              <w:rPr>
                <w:b/>
                <w:bCs/>
                <w:sz w:val="24"/>
                <w:szCs w:val="24"/>
              </w:rPr>
              <w:t>Council 20</w:t>
            </w:r>
            <w:r w:rsidR="002A4C92" w:rsidRPr="00073574">
              <w:rPr>
                <w:b/>
                <w:bCs/>
                <w:sz w:val="24"/>
                <w:szCs w:val="24"/>
              </w:rPr>
              <w:t>20</w:t>
            </w:r>
            <w:r w:rsidRPr="00073574">
              <w:rPr>
                <w:b/>
                <w:bCs/>
                <w:sz w:val="24"/>
                <w:szCs w:val="24"/>
              </w:rPr>
              <w:t>,</w:t>
            </w:r>
          </w:p>
          <w:p w14:paraId="30A5A761" w14:textId="77777777" w:rsidR="00F0236A" w:rsidRPr="00073574" w:rsidRDefault="00F0236A" w:rsidP="00DF36E1">
            <w:pPr>
              <w:pStyle w:val="Tabletext"/>
              <w:jc w:val="center"/>
              <w:rPr>
                <w:b/>
                <w:bCs/>
                <w:sz w:val="24"/>
                <w:szCs w:val="24"/>
              </w:rPr>
            </w:pPr>
            <w:r w:rsidRPr="00073574">
              <w:rPr>
                <w:b/>
                <w:bCs/>
                <w:sz w:val="24"/>
                <w:szCs w:val="24"/>
              </w:rPr>
              <w:t>WTSA-20</w:t>
            </w:r>
          </w:p>
        </w:tc>
        <w:tc>
          <w:tcPr>
            <w:tcW w:w="1162" w:type="dxa"/>
            <w:tcBorders>
              <w:top w:val="single" w:sz="12" w:space="0" w:color="auto"/>
            </w:tcBorders>
            <w:shd w:val="clear" w:color="auto" w:fill="auto"/>
            <w:vAlign w:val="center"/>
          </w:tcPr>
          <w:p w14:paraId="5E12FD4B"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198C03E9" w14:textId="4F1A69D4" w:rsidR="00F0236A" w:rsidRPr="00073574" w:rsidRDefault="007C31C0" w:rsidP="00DF36E1">
            <w:pPr>
              <w:pStyle w:val="Tabletext"/>
              <w:jc w:val="center"/>
              <w:rPr>
                <w:b/>
                <w:bCs/>
                <w:sz w:val="24"/>
                <w:szCs w:val="24"/>
              </w:rPr>
            </w:pPr>
            <w:r w:rsidRPr="00073574">
              <w:rPr>
                <w:b/>
                <w:bCs/>
                <w:sz w:val="24"/>
                <w:szCs w:val="24"/>
              </w:rPr>
              <w:t>√</w:t>
            </w:r>
          </w:p>
        </w:tc>
      </w:tr>
      <w:tr w:rsidR="00F0236A" w:rsidRPr="00073574" w14:paraId="3F74227A" w14:textId="77777777" w:rsidTr="7277BFE4">
        <w:trPr>
          <w:cantSplit/>
          <w:jc w:val="center"/>
        </w:trPr>
        <w:tc>
          <w:tcPr>
            <w:tcW w:w="911" w:type="dxa"/>
            <w:vMerge/>
          </w:tcPr>
          <w:p w14:paraId="3741F492" w14:textId="77777777" w:rsidR="00F0236A" w:rsidRPr="00073574" w:rsidRDefault="00F0236A" w:rsidP="00DF36E1">
            <w:pPr>
              <w:pStyle w:val="Tabletext"/>
              <w:rPr>
                <w:sz w:val="24"/>
                <w:szCs w:val="24"/>
              </w:rPr>
            </w:pPr>
          </w:p>
        </w:tc>
        <w:tc>
          <w:tcPr>
            <w:tcW w:w="8921" w:type="dxa"/>
            <w:gridSpan w:val="4"/>
            <w:tcBorders>
              <w:bottom w:val="single" w:sz="12" w:space="0" w:color="auto"/>
            </w:tcBorders>
            <w:shd w:val="clear" w:color="auto" w:fill="auto"/>
          </w:tcPr>
          <w:p w14:paraId="16FCF690" w14:textId="32C381E2" w:rsidR="00F0236A" w:rsidRPr="00073574" w:rsidRDefault="00F0236A" w:rsidP="00455348">
            <w:pPr>
              <w:pStyle w:val="Tabletext"/>
              <w:rPr>
                <w:szCs w:val="22"/>
              </w:rPr>
            </w:pPr>
            <w:r w:rsidRPr="00073574">
              <w:rPr>
                <w:szCs w:val="22"/>
              </w:rPr>
              <w:t>TSB Director</w:t>
            </w:r>
            <w:r w:rsidR="003C7E25" w:rsidRPr="00073574">
              <w:rPr>
                <w:szCs w:val="22"/>
              </w:rPr>
              <w:t>'</w:t>
            </w:r>
            <w:r w:rsidRPr="00073574">
              <w:rPr>
                <w:szCs w:val="22"/>
              </w:rPr>
              <w:t xml:space="preserve">s reports are contained in </w:t>
            </w:r>
            <w:hyperlink r:id="rId461" w:history="1">
              <w:r w:rsidRPr="00073574">
                <w:rPr>
                  <w:rStyle w:val="Hyperlink"/>
                  <w:szCs w:val="22"/>
                </w:rPr>
                <w:t>C17/33</w:t>
              </w:r>
            </w:hyperlink>
            <w:r w:rsidRPr="006B4278">
              <w:rPr>
                <w:rStyle w:val="Hyperlink"/>
                <w:szCs w:val="22"/>
                <w:u w:val="none"/>
              </w:rPr>
              <w:t xml:space="preserve">, </w:t>
            </w:r>
            <w:hyperlink r:id="rId462" w:history="1">
              <w:r w:rsidRPr="00073574">
                <w:rPr>
                  <w:rStyle w:val="Hyperlink"/>
                  <w:szCs w:val="22"/>
                </w:rPr>
                <w:t>C18/</w:t>
              </w:r>
              <w:r w:rsidR="00455348" w:rsidRPr="00073574">
                <w:rPr>
                  <w:rStyle w:val="Hyperlink"/>
                  <w:szCs w:val="22"/>
                </w:rPr>
                <w:t>33</w:t>
              </w:r>
            </w:hyperlink>
            <w:r w:rsidR="009417A5" w:rsidRPr="006B4278">
              <w:rPr>
                <w:rStyle w:val="Hyperlink"/>
                <w:szCs w:val="22"/>
                <w:u w:val="none"/>
              </w:rPr>
              <w:t xml:space="preserve">, </w:t>
            </w:r>
            <w:hyperlink r:id="rId463" w:history="1">
              <w:r w:rsidR="009417A5" w:rsidRPr="00073574">
                <w:rPr>
                  <w:rStyle w:val="Hyperlink"/>
                  <w:szCs w:val="22"/>
                </w:rPr>
                <w:t>C19/33</w:t>
              </w:r>
            </w:hyperlink>
            <w:r w:rsidR="00A22A03" w:rsidRPr="00073574">
              <w:rPr>
                <w:szCs w:val="22"/>
              </w:rPr>
              <w:t xml:space="preserve">, </w:t>
            </w:r>
            <w:hyperlink r:id="rId464" w:history="1">
              <w:r w:rsidR="00A22A03" w:rsidRPr="00073574">
                <w:rPr>
                  <w:rStyle w:val="Hyperlink"/>
                  <w:szCs w:val="22"/>
                </w:rPr>
                <w:t>C20/33</w:t>
              </w:r>
            </w:hyperlink>
            <w:r w:rsidR="008B0F70" w:rsidRPr="00073574">
              <w:rPr>
                <w:szCs w:val="22"/>
              </w:rPr>
              <w:t xml:space="preserve">, </w:t>
            </w:r>
            <w:hyperlink r:id="rId465" w:history="1">
              <w:r w:rsidR="008B0F70" w:rsidRPr="00073574">
                <w:rPr>
                  <w:rStyle w:val="Hyperlink"/>
                  <w:szCs w:val="22"/>
                </w:rPr>
                <w:t>C21/33</w:t>
              </w:r>
            </w:hyperlink>
            <w:r w:rsidR="00A22A03" w:rsidRPr="00073574">
              <w:rPr>
                <w:szCs w:val="22"/>
              </w:rPr>
              <w:t>.</w:t>
            </w:r>
          </w:p>
          <w:p w14:paraId="7762CCD6" w14:textId="169AFA5A" w:rsidR="006D6E48" w:rsidRPr="00073574" w:rsidRDefault="00561F0D" w:rsidP="00201419">
            <w:pPr>
              <w:pStyle w:val="Call"/>
              <w:ind w:left="0"/>
              <w:rPr>
                <w:szCs w:val="22"/>
                <w:lang w:val="en-GB"/>
              </w:rPr>
            </w:pPr>
            <w:r w:rsidRPr="00073574">
              <w:rPr>
                <w:szCs w:val="22"/>
                <w:lang w:val="en-GB"/>
              </w:rPr>
              <w:t xml:space="preserve">Resolution 64 </w:t>
            </w:r>
            <w:r w:rsidR="00294BB5" w:rsidRPr="00073574">
              <w:rPr>
                <w:szCs w:val="22"/>
                <w:lang w:val="en-GB"/>
              </w:rPr>
              <w:t>(Rev. Hammamet, 2016) on “</w:t>
            </w:r>
            <w:r w:rsidRPr="00073574">
              <w:rPr>
                <w:szCs w:val="22"/>
                <w:lang w:val="en-GB"/>
              </w:rPr>
              <w:t>IP address allocation and facilitating the transition to and deployment of IPv6</w:t>
            </w:r>
            <w:r w:rsidR="00294BB5" w:rsidRPr="00073574">
              <w:rPr>
                <w:szCs w:val="22"/>
                <w:lang w:val="en-GB"/>
              </w:rPr>
              <w:t xml:space="preserve">” </w:t>
            </w:r>
            <w:r w:rsidR="006D6E48" w:rsidRPr="00073574">
              <w:rPr>
                <w:i w:val="0"/>
                <w:iCs/>
                <w:szCs w:val="22"/>
                <w:lang w:val="en-GB"/>
              </w:rPr>
              <w:t xml:space="preserve">further instructs </w:t>
            </w:r>
            <w:r w:rsidR="005601F0" w:rsidRPr="00073574">
              <w:rPr>
                <w:i w:val="0"/>
                <w:iCs/>
                <w:szCs w:val="22"/>
                <w:lang w:val="en-GB"/>
              </w:rPr>
              <w:t xml:space="preserve">the </w:t>
            </w:r>
            <w:r w:rsidR="00294BB5" w:rsidRPr="00073574">
              <w:rPr>
                <w:i w:val="0"/>
                <w:iCs/>
                <w:szCs w:val="22"/>
                <w:lang w:val="en-GB"/>
              </w:rPr>
              <w:t>TSB Director</w:t>
            </w:r>
            <w:r w:rsidR="00E724CA" w:rsidRPr="00073574">
              <w:rPr>
                <w:i w:val="0"/>
                <w:iCs/>
                <w:szCs w:val="22"/>
                <w:lang w:val="en-GB"/>
              </w:rPr>
              <w:t xml:space="preserve"> </w:t>
            </w:r>
            <w:r w:rsidR="006D6E48" w:rsidRPr="00073574">
              <w:rPr>
                <w:i w:val="0"/>
                <w:iCs/>
                <w:szCs w:val="22"/>
                <w:lang w:val="en-GB"/>
              </w:rPr>
              <w:t xml:space="preserve">to take appropriate action to facilitate the activities of Study Groups 2 and 3 in the area of IP addresses, and to report to the ITU Council and also to the 2020 </w:t>
            </w:r>
            <w:r w:rsidR="004200A3" w:rsidRPr="00073574">
              <w:rPr>
                <w:i w:val="0"/>
                <w:iCs/>
                <w:szCs w:val="22"/>
                <w:lang w:val="en-GB"/>
              </w:rPr>
              <w:t>WTSA</w:t>
            </w:r>
            <w:r w:rsidR="006D6E48" w:rsidRPr="00073574">
              <w:rPr>
                <w:i w:val="0"/>
                <w:iCs/>
                <w:szCs w:val="22"/>
                <w:lang w:val="en-GB"/>
              </w:rPr>
              <w:t xml:space="preserve">, regarding the progress on action taken with respect to </w:t>
            </w:r>
            <w:r w:rsidR="006D6E48" w:rsidRPr="00073574">
              <w:rPr>
                <w:szCs w:val="22"/>
                <w:lang w:val="en-GB"/>
              </w:rPr>
              <w:t>resolves</w:t>
            </w:r>
            <w:r w:rsidR="00A86998" w:rsidRPr="00073574">
              <w:rPr>
                <w:i w:val="0"/>
                <w:iCs/>
                <w:szCs w:val="22"/>
                <w:lang w:val="en-GB"/>
              </w:rPr>
              <w:t xml:space="preserve"> </w:t>
            </w:r>
            <w:r w:rsidR="00A86998" w:rsidRPr="00073574">
              <w:rPr>
                <w:szCs w:val="22"/>
                <w:lang w:val="en-GB"/>
              </w:rPr>
              <w:t>1</w:t>
            </w:r>
            <w:r w:rsidR="00A86998" w:rsidRPr="00073574">
              <w:rPr>
                <w:i w:val="0"/>
                <w:iCs/>
                <w:szCs w:val="22"/>
                <w:lang w:val="en-GB"/>
              </w:rPr>
              <w:t xml:space="preserve">, </w:t>
            </w:r>
            <w:r w:rsidR="00A86998" w:rsidRPr="00073574">
              <w:rPr>
                <w:szCs w:val="22"/>
                <w:lang w:val="en-GB"/>
              </w:rPr>
              <w:t>2</w:t>
            </w:r>
            <w:r w:rsidR="00A86998" w:rsidRPr="00073574">
              <w:rPr>
                <w:i w:val="0"/>
                <w:iCs/>
                <w:szCs w:val="22"/>
                <w:lang w:val="en-GB"/>
              </w:rPr>
              <w:t xml:space="preserve">, and </w:t>
            </w:r>
            <w:r w:rsidR="00A86998" w:rsidRPr="00073574">
              <w:rPr>
                <w:szCs w:val="22"/>
                <w:lang w:val="en-GB"/>
              </w:rPr>
              <w:t>3</w:t>
            </w:r>
            <w:r w:rsidR="00A86998" w:rsidRPr="00073574">
              <w:rPr>
                <w:i w:val="0"/>
                <w:iCs/>
                <w:szCs w:val="22"/>
                <w:lang w:val="en-GB"/>
              </w:rPr>
              <w:t>.</w:t>
            </w:r>
          </w:p>
          <w:p w14:paraId="43880B9E" w14:textId="3DA207F9" w:rsidR="006D6E48" w:rsidRPr="00073574" w:rsidRDefault="00E10B71" w:rsidP="00455348">
            <w:pPr>
              <w:pStyle w:val="Tabletext"/>
              <w:rPr>
                <w:szCs w:val="22"/>
              </w:rPr>
            </w:pPr>
            <w:r w:rsidRPr="00073574">
              <w:rPr>
                <w:szCs w:val="22"/>
              </w:rPr>
              <w:t xml:space="preserve">The WTSA Action Plan </w:t>
            </w:r>
            <w:r w:rsidR="00206E9F" w:rsidRPr="00073574">
              <w:rPr>
                <w:szCs w:val="22"/>
              </w:rPr>
              <w:t xml:space="preserve">provides in action item </w:t>
            </w:r>
            <w:r w:rsidR="00D97F31" w:rsidRPr="00073574">
              <w:rPr>
                <w:szCs w:val="22"/>
              </w:rPr>
              <w:t xml:space="preserve">64-02 (for </w:t>
            </w:r>
            <w:r w:rsidR="00D97F31" w:rsidRPr="00073574">
              <w:rPr>
                <w:i/>
                <w:iCs/>
                <w:szCs w:val="22"/>
              </w:rPr>
              <w:t>resolves 2</w:t>
            </w:r>
            <w:r w:rsidR="00D97F31" w:rsidRPr="00073574">
              <w:rPr>
                <w:szCs w:val="22"/>
              </w:rPr>
              <w:t xml:space="preserve">), and in action item 64-03 (for </w:t>
            </w:r>
            <w:r w:rsidR="00D97F31" w:rsidRPr="00073574">
              <w:rPr>
                <w:i/>
                <w:iCs/>
                <w:szCs w:val="22"/>
              </w:rPr>
              <w:t>resolves 3</w:t>
            </w:r>
            <w:r w:rsidR="00D97F31" w:rsidRPr="00073574">
              <w:rPr>
                <w:szCs w:val="22"/>
              </w:rPr>
              <w:t xml:space="preserve">) </w:t>
            </w:r>
            <w:r w:rsidR="007552DD" w:rsidRPr="00073574">
              <w:rPr>
                <w:szCs w:val="22"/>
              </w:rPr>
              <w:t>detailed re</w:t>
            </w:r>
            <w:r w:rsidR="006F4AAA" w:rsidRPr="00073574">
              <w:rPr>
                <w:szCs w:val="22"/>
              </w:rPr>
              <w:t>ports</w:t>
            </w:r>
            <w:r w:rsidR="00AE2F28" w:rsidRPr="00073574">
              <w:rPr>
                <w:szCs w:val="22"/>
              </w:rPr>
              <w:t xml:space="preserve"> </w:t>
            </w:r>
            <w:r w:rsidR="00BA42FC" w:rsidRPr="00073574">
              <w:rPr>
                <w:szCs w:val="22"/>
              </w:rPr>
              <w:t xml:space="preserve">on the allocation of IP addresses and </w:t>
            </w:r>
            <w:r w:rsidR="00AE2F28" w:rsidRPr="00073574">
              <w:rPr>
                <w:szCs w:val="22"/>
              </w:rPr>
              <w:t xml:space="preserve">on the situation </w:t>
            </w:r>
            <w:r w:rsidR="005A1BA3" w:rsidRPr="00073574">
              <w:rPr>
                <w:szCs w:val="22"/>
              </w:rPr>
              <w:t>within ITU-T SG 2, 3, and 20</w:t>
            </w:r>
            <w:r w:rsidR="00EF3DF1" w:rsidRPr="00073574">
              <w:rPr>
                <w:szCs w:val="22"/>
              </w:rPr>
              <w:t xml:space="preserve"> and their studies</w:t>
            </w:r>
            <w:r w:rsidR="006F4AAA" w:rsidRPr="00073574">
              <w:rPr>
                <w:szCs w:val="22"/>
              </w:rPr>
              <w:t>.</w:t>
            </w:r>
            <w:r w:rsidR="00303B2B" w:rsidRPr="00073574">
              <w:rPr>
                <w:szCs w:val="22"/>
              </w:rPr>
              <w:t xml:space="preserve"> With respect to </w:t>
            </w:r>
            <w:r w:rsidR="00303B2B" w:rsidRPr="00073574">
              <w:rPr>
                <w:i/>
                <w:iCs/>
                <w:szCs w:val="22"/>
              </w:rPr>
              <w:t>resolves 3</w:t>
            </w:r>
            <w:r w:rsidR="00303B2B" w:rsidRPr="00073574">
              <w:rPr>
                <w:szCs w:val="22"/>
              </w:rPr>
              <w:t xml:space="preserve">, related information is </w:t>
            </w:r>
            <w:r w:rsidR="00EC1B6F" w:rsidRPr="00073574">
              <w:rPr>
                <w:szCs w:val="22"/>
              </w:rPr>
              <w:t xml:space="preserve">reported </w:t>
            </w:r>
            <w:r w:rsidR="00303B2B" w:rsidRPr="00073574">
              <w:rPr>
                <w:szCs w:val="22"/>
              </w:rPr>
              <w:t xml:space="preserve">in the action items </w:t>
            </w:r>
            <w:r w:rsidR="007A25A9" w:rsidRPr="00073574">
              <w:rPr>
                <w:szCs w:val="22"/>
              </w:rPr>
              <w:t>64-06</w:t>
            </w:r>
            <w:r w:rsidR="00234334" w:rsidRPr="00073574">
              <w:rPr>
                <w:szCs w:val="22"/>
              </w:rPr>
              <w:t>, …, 64-08</w:t>
            </w:r>
            <w:r w:rsidR="00F42952" w:rsidRPr="00073574">
              <w:rPr>
                <w:szCs w:val="22"/>
              </w:rPr>
              <w:t>, and 64-10.</w:t>
            </w:r>
          </w:p>
          <w:p w14:paraId="4211E6FF" w14:textId="4137F1A5" w:rsidR="00753D00" w:rsidRPr="00073574" w:rsidRDefault="004D5321" w:rsidP="00455348">
            <w:pPr>
              <w:pStyle w:val="Tabletext"/>
              <w:rPr>
                <w:szCs w:val="22"/>
              </w:rPr>
            </w:pPr>
            <w:r w:rsidRPr="00073574">
              <w:rPr>
                <w:szCs w:val="22"/>
              </w:rPr>
              <w:t xml:space="preserve">Collaboration between TSB and BDT </w:t>
            </w:r>
            <w:r w:rsidR="0051210D" w:rsidRPr="00073574">
              <w:rPr>
                <w:szCs w:val="22"/>
              </w:rPr>
              <w:t>yiel</w:t>
            </w:r>
            <w:r w:rsidR="001E555D" w:rsidRPr="00073574">
              <w:rPr>
                <w:szCs w:val="22"/>
              </w:rPr>
              <w:t>d</w:t>
            </w:r>
            <w:r w:rsidR="0051210D" w:rsidRPr="00073574">
              <w:rPr>
                <w:szCs w:val="22"/>
              </w:rPr>
              <w:t xml:space="preserve">ed </w:t>
            </w:r>
            <w:r w:rsidR="00A6061F" w:rsidRPr="00073574">
              <w:rPr>
                <w:szCs w:val="22"/>
              </w:rPr>
              <w:t>information exchange such as in work</w:t>
            </w:r>
            <w:r w:rsidR="00B242DF" w:rsidRPr="00073574">
              <w:rPr>
                <w:szCs w:val="22"/>
              </w:rPr>
              <w:t>s</w:t>
            </w:r>
            <w:r w:rsidR="00A6061F" w:rsidRPr="00073574">
              <w:rPr>
                <w:szCs w:val="22"/>
              </w:rPr>
              <w:t>hops and seminars</w:t>
            </w:r>
            <w:r w:rsidR="002D6A5F" w:rsidRPr="00073574">
              <w:rPr>
                <w:szCs w:val="22"/>
              </w:rPr>
              <w:t xml:space="preserve">, in particular </w:t>
            </w:r>
            <w:r w:rsidR="00AA102F" w:rsidRPr="00073574">
              <w:rPr>
                <w:szCs w:val="22"/>
              </w:rPr>
              <w:t>in the context of IP addresses for IoT devices</w:t>
            </w:r>
            <w:r w:rsidR="00A6061F" w:rsidRPr="00073574">
              <w:rPr>
                <w:szCs w:val="22"/>
              </w:rPr>
              <w:t>.</w:t>
            </w:r>
            <w:r w:rsidR="005437AE" w:rsidRPr="00073574">
              <w:rPr>
                <w:szCs w:val="22"/>
              </w:rPr>
              <w:t xml:space="preserve"> How</w:t>
            </w:r>
            <w:r w:rsidR="00F511DC" w:rsidRPr="00073574">
              <w:rPr>
                <w:szCs w:val="22"/>
              </w:rPr>
              <w:t xml:space="preserve">ever, </w:t>
            </w:r>
            <w:r w:rsidR="001D2B85" w:rsidRPr="00073574">
              <w:rPr>
                <w:szCs w:val="22"/>
              </w:rPr>
              <w:t xml:space="preserve">no results could be accomplished on the </w:t>
            </w:r>
            <w:r w:rsidR="008F510C" w:rsidRPr="00073574">
              <w:rPr>
                <w:szCs w:val="22"/>
              </w:rPr>
              <w:t>establishment of IPv6 test-bed labs in developing countries in collaboration with other org</w:t>
            </w:r>
            <w:r w:rsidR="001D2B85" w:rsidRPr="00073574">
              <w:rPr>
                <w:szCs w:val="22"/>
              </w:rPr>
              <w:t>anizations.</w:t>
            </w:r>
          </w:p>
          <w:p w14:paraId="2F03E2B8" w14:textId="6ABE8BB0" w:rsidR="00C82C0F" w:rsidRPr="00073574" w:rsidRDefault="00C82C0F" w:rsidP="00F42952">
            <w:pPr>
              <w:pStyle w:val="Tabletext"/>
              <w:spacing w:before="240"/>
              <w:rPr>
                <w:szCs w:val="22"/>
              </w:rPr>
            </w:pPr>
            <w:r w:rsidRPr="00073574">
              <w:rPr>
                <w:szCs w:val="22"/>
              </w:rPr>
              <w:t xml:space="preserve">Resolution </w:t>
            </w:r>
            <w:r w:rsidR="00482E37" w:rsidRPr="00073574">
              <w:rPr>
                <w:szCs w:val="22"/>
              </w:rPr>
              <w:t>102 (Rev. Dubai, 2018) “ITU's role with regard to international public policy issues pertaining to the Internet and the management of Internet resources, including domain names and addresses</w:t>
            </w:r>
            <w:r w:rsidR="006B4E4B" w:rsidRPr="00073574">
              <w:rPr>
                <w:szCs w:val="22"/>
              </w:rPr>
              <w:t>”</w:t>
            </w:r>
            <w:r w:rsidR="00C61721" w:rsidRPr="00073574">
              <w:rPr>
                <w:szCs w:val="22"/>
              </w:rPr>
              <w:t xml:space="preserve"> instructs the TSB Director</w:t>
            </w:r>
            <w:r w:rsidR="006B4E4B" w:rsidRPr="00073574">
              <w:rPr>
                <w:szCs w:val="22"/>
              </w:rPr>
              <w:t xml:space="preserve"> to report to WTSA </w:t>
            </w:r>
            <w:r w:rsidR="002E68B5" w:rsidRPr="00073574">
              <w:rPr>
                <w:szCs w:val="22"/>
              </w:rPr>
              <w:t>on the activities undertaken and achievements on these subjects</w:t>
            </w:r>
            <w:r w:rsidR="00285269" w:rsidRPr="00073574">
              <w:rPr>
                <w:szCs w:val="22"/>
              </w:rPr>
              <w:t>, including proposals for further consideration as appropriate.</w:t>
            </w:r>
          </w:p>
          <w:p w14:paraId="4F3FD058" w14:textId="0D8FB1FA" w:rsidR="00A12C88" w:rsidRPr="00073574" w:rsidRDefault="0053741E" w:rsidP="00455348">
            <w:pPr>
              <w:pStyle w:val="Tabletext"/>
              <w:rPr>
                <w:szCs w:val="22"/>
              </w:rPr>
            </w:pPr>
            <w:hyperlink r:id="rId466" w:history="1">
              <w:r w:rsidR="005F4F93" w:rsidRPr="00073574">
                <w:rPr>
                  <w:rStyle w:val="Hyperlink"/>
                  <w:szCs w:val="22"/>
                </w:rPr>
                <w:t>TSAG-TD</w:t>
              </w:r>
              <w:r w:rsidR="00F22D4F" w:rsidRPr="00073574">
                <w:rPr>
                  <w:rStyle w:val="Hyperlink"/>
                  <w:szCs w:val="22"/>
                </w:rPr>
                <w:t>1082</w:t>
              </w:r>
            </w:hyperlink>
            <w:r w:rsidR="00F22D4F" w:rsidRPr="00073574">
              <w:rPr>
                <w:szCs w:val="22"/>
              </w:rPr>
              <w:t xml:space="preserve"> contain</w:t>
            </w:r>
            <w:r w:rsidR="008732F1" w:rsidRPr="00073574">
              <w:rPr>
                <w:szCs w:val="22"/>
              </w:rPr>
              <w:t>s</w:t>
            </w:r>
            <w:r w:rsidR="00F22D4F" w:rsidRPr="00073574">
              <w:rPr>
                <w:szCs w:val="22"/>
              </w:rPr>
              <w:t xml:space="preserve"> the PP Action Plan; </w:t>
            </w:r>
            <w:r w:rsidR="00630C42" w:rsidRPr="00073574">
              <w:rPr>
                <w:szCs w:val="22"/>
              </w:rPr>
              <w:t>where action item</w:t>
            </w:r>
            <w:r w:rsidR="001B5672" w:rsidRPr="00073574">
              <w:rPr>
                <w:szCs w:val="22"/>
              </w:rPr>
              <w:t>s</w:t>
            </w:r>
            <w:r w:rsidR="00630C42" w:rsidRPr="00073574">
              <w:rPr>
                <w:szCs w:val="22"/>
              </w:rPr>
              <w:t xml:space="preserve"> 102-01,</w:t>
            </w:r>
            <w:r w:rsidR="0099204C">
              <w:rPr>
                <w:szCs w:val="22"/>
              </w:rPr>
              <w:t xml:space="preserve"> </w:t>
            </w:r>
            <w:r w:rsidR="00630C42" w:rsidRPr="00073574">
              <w:rPr>
                <w:szCs w:val="22"/>
              </w:rPr>
              <w:t>…,</w:t>
            </w:r>
            <w:r w:rsidR="0099204C">
              <w:rPr>
                <w:szCs w:val="22"/>
              </w:rPr>
              <w:t xml:space="preserve"> </w:t>
            </w:r>
            <w:r w:rsidR="00630C42" w:rsidRPr="00073574">
              <w:rPr>
                <w:szCs w:val="22"/>
              </w:rPr>
              <w:t xml:space="preserve">102-07 </w:t>
            </w:r>
            <w:r w:rsidR="001B5672" w:rsidRPr="00073574">
              <w:rPr>
                <w:szCs w:val="22"/>
              </w:rPr>
              <w:t xml:space="preserve">contain the TSB Director’s </w:t>
            </w:r>
            <w:r w:rsidR="004F2284" w:rsidRPr="00073574">
              <w:rPr>
                <w:szCs w:val="22"/>
              </w:rPr>
              <w:t xml:space="preserve">report </w:t>
            </w:r>
            <w:r w:rsidR="00E565A6" w:rsidRPr="00073574">
              <w:rPr>
                <w:szCs w:val="22"/>
              </w:rPr>
              <w:t xml:space="preserve">(with </w:t>
            </w:r>
            <w:r w:rsidR="00E9603C" w:rsidRPr="00073574">
              <w:rPr>
                <w:szCs w:val="22"/>
              </w:rPr>
              <w:t xml:space="preserve">further information) </w:t>
            </w:r>
            <w:r w:rsidR="004F2284" w:rsidRPr="00073574">
              <w:rPr>
                <w:szCs w:val="22"/>
              </w:rPr>
              <w:t>on the implementation of that Resolution</w:t>
            </w:r>
            <w:r w:rsidR="001B5672" w:rsidRPr="00073574">
              <w:rPr>
                <w:szCs w:val="22"/>
              </w:rPr>
              <w:t>.</w:t>
            </w:r>
          </w:p>
          <w:p w14:paraId="62EC6895" w14:textId="7B7F6D07" w:rsidR="00546488" w:rsidRPr="00073574" w:rsidRDefault="0074762F" w:rsidP="00455348">
            <w:pPr>
              <w:pStyle w:val="Tabletext"/>
              <w:rPr>
                <w:szCs w:val="22"/>
              </w:rPr>
            </w:pPr>
            <w:r w:rsidRPr="00073574">
              <w:rPr>
                <w:szCs w:val="22"/>
              </w:rPr>
              <w:t xml:space="preserve">In summary, the TSB Director </w:t>
            </w:r>
            <w:r w:rsidR="002E5A8B" w:rsidRPr="00073574">
              <w:rPr>
                <w:szCs w:val="22"/>
              </w:rPr>
              <w:t xml:space="preserve">regularly </w:t>
            </w:r>
            <w:r w:rsidRPr="00073574">
              <w:rPr>
                <w:szCs w:val="22"/>
              </w:rPr>
              <w:t xml:space="preserve">reported </w:t>
            </w:r>
            <w:r w:rsidR="002E5A8B" w:rsidRPr="00073574">
              <w:rPr>
                <w:szCs w:val="22"/>
              </w:rPr>
              <w:t xml:space="preserve">the </w:t>
            </w:r>
            <w:r w:rsidR="002273B9" w:rsidRPr="00073574">
              <w:rPr>
                <w:szCs w:val="22"/>
              </w:rPr>
              <w:t xml:space="preserve">many </w:t>
            </w:r>
            <w:r w:rsidR="002E5A8B" w:rsidRPr="00073574">
              <w:rPr>
                <w:szCs w:val="22"/>
              </w:rPr>
              <w:t xml:space="preserve">activities </w:t>
            </w:r>
            <w:r w:rsidR="002273B9" w:rsidRPr="00073574">
              <w:rPr>
                <w:szCs w:val="22"/>
              </w:rPr>
              <w:t xml:space="preserve">and </w:t>
            </w:r>
            <w:r w:rsidR="00E9603C" w:rsidRPr="00073574">
              <w:rPr>
                <w:szCs w:val="22"/>
              </w:rPr>
              <w:t xml:space="preserve">many </w:t>
            </w:r>
            <w:r w:rsidR="002273B9" w:rsidRPr="00073574">
              <w:rPr>
                <w:szCs w:val="22"/>
              </w:rPr>
              <w:t xml:space="preserve">achieved results </w:t>
            </w:r>
            <w:r w:rsidR="002E5A8B" w:rsidRPr="00073574">
              <w:rPr>
                <w:szCs w:val="22"/>
              </w:rPr>
              <w:t xml:space="preserve">of ITU-T </w:t>
            </w:r>
            <w:r w:rsidR="004350ED" w:rsidRPr="00073574">
              <w:rPr>
                <w:szCs w:val="22"/>
              </w:rPr>
              <w:t xml:space="preserve">as </w:t>
            </w:r>
            <w:r w:rsidR="0049760A" w:rsidRPr="00073574">
              <w:rPr>
                <w:szCs w:val="22"/>
              </w:rPr>
              <w:t xml:space="preserve">are </w:t>
            </w:r>
            <w:r w:rsidR="004350ED" w:rsidRPr="00073574">
              <w:rPr>
                <w:szCs w:val="22"/>
              </w:rPr>
              <w:t xml:space="preserve">in scope of Resolution 102 </w:t>
            </w:r>
            <w:r w:rsidR="00A12C88" w:rsidRPr="00073574">
              <w:rPr>
                <w:szCs w:val="22"/>
              </w:rPr>
              <w:t xml:space="preserve">as well as </w:t>
            </w:r>
            <w:r w:rsidR="000D71F1" w:rsidRPr="00073574">
              <w:rPr>
                <w:szCs w:val="22"/>
              </w:rPr>
              <w:t xml:space="preserve">of </w:t>
            </w:r>
            <w:r w:rsidR="000D71F1" w:rsidRPr="00073574">
              <w:t xml:space="preserve">Resolutions 101, 133, 180, and 206 of the Plenipotentiary Conference </w:t>
            </w:r>
            <w:r w:rsidR="004350ED" w:rsidRPr="00073574">
              <w:rPr>
                <w:szCs w:val="22"/>
              </w:rPr>
              <w:t xml:space="preserve">to </w:t>
            </w:r>
            <w:r w:rsidR="00176791" w:rsidRPr="00073574">
              <w:rPr>
                <w:szCs w:val="22"/>
              </w:rPr>
              <w:t xml:space="preserve">the </w:t>
            </w:r>
            <w:r w:rsidR="00176791" w:rsidRPr="00073574">
              <w:rPr>
                <w:bCs/>
                <w:szCs w:val="22"/>
              </w:rPr>
              <w:t>Council</w:t>
            </w:r>
            <w:r w:rsidR="00176791" w:rsidRPr="00073574">
              <w:t xml:space="preserve"> Working Group on International Internet-related Public Policy Issues (CWG-Internet)</w:t>
            </w:r>
            <w:r w:rsidR="0049760A" w:rsidRPr="00073574">
              <w:t xml:space="preserve"> </w:t>
            </w:r>
            <w:r w:rsidR="004350ED" w:rsidRPr="00073574">
              <w:rPr>
                <w:szCs w:val="22"/>
              </w:rPr>
              <w:t>and</w:t>
            </w:r>
            <w:r w:rsidR="00705AA8" w:rsidRPr="00073574">
              <w:rPr>
                <w:szCs w:val="22"/>
              </w:rPr>
              <w:t xml:space="preserve"> also</w:t>
            </w:r>
            <w:r w:rsidR="004350ED" w:rsidRPr="00073574">
              <w:rPr>
                <w:szCs w:val="22"/>
              </w:rPr>
              <w:t xml:space="preserve"> to Council</w:t>
            </w:r>
            <w:r w:rsidR="006C7A15" w:rsidRPr="00073574">
              <w:rPr>
                <w:szCs w:val="22"/>
              </w:rPr>
              <w:t>.</w:t>
            </w:r>
          </w:p>
          <w:p w14:paraId="7850665E" w14:textId="00E6D446" w:rsidR="00F0236A" w:rsidRPr="00073574" w:rsidRDefault="00E07612" w:rsidP="00FB3CF1">
            <w:pPr>
              <w:pStyle w:val="Tabletext"/>
              <w:rPr>
                <w:szCs w:val="22"/>
              </w:rPr>
            </w:pPr>
            <w:r w:rsidRPr="00073574">
              <w:rPr>
                <w:szCs w:val="22"/>
              </w:rPr>
              <w:t xml:space="preserve">The TSB Director </w:t>
            </w:r>
            <w:r w:rsidR="00CF495D" w:rsidRPr="00073574">
              <w:rPr>
                <w:szCs w:val="22"/>
              </w:rPr>
              <w:t>facilitat</w:t>
            </w:r>
            <w:r w:rsidR="004B13E8" w:rsidRPr="00073574">
              <w:rPr>
                <w:szCs w:val="22"/>
              </w:rPr>
              <w:t>ed</w:t>
            </w:r>
            <w:r w:rsidR="00CF495D" w:rsidRPr="00073574">
              <w:rPr>
                <w:szCs w:val="22"/>
              </w:rPr>
              <w:t xml:space="preserve"> coordination and assistance in the development of public policy issues pertaining to Internet domain names and addresses and other Internet resources </w:t>
            </w:r>
            <w:r w:rsidRPr="00073574">
              <w:rPr>
                <w:szCs w:val="22"/>
              </w:rPr>
              <w:t xml:space="preserve">Results and activities </w:t>
            </w:r>
            <w:r w:rsidR="004B13E8" w:rsidRPr="00073574">
              <w:rPr>
                <w:szCs w:val="22"/>
              </w:rPr>
              <w:t xml:space="preserve">by making the relevant ITU-T study groups aware of the open consultations </w:t>
            </w:r>
            <w:r w:rsidR="00512518" w:rsidRPr="00073574">
              <w:rPr>
                <w:szCs w:val="22"/>
              </w:rPr>
              <w:t xml:space="preserve">conducted by </w:t>
            </w:r>
            <w:r w:rsidR="00512518" w:rsidRPr="00073574">
              <w:t>CWG-Internet</w:t>
            </w:r>
            <w:r w:rsidR="00512518" w:rsidRPr="00073574">
              <w:rPr>
                <w:szCs w:val="22"/>
              </w:rPr>
              <w:t xml:space="preserve"> </w:t>
            </w:r>
            <w:r w:rsidR="004B13E8" w:rsidRPr="00073574">
              <w:rPr>
                <w:szCs w:val="22"/>
              </w:rPr>
              <w:t xml:space="preserve">and the </w:t>
            </w:r>
            <w:r w:rsidR="00976EB4" w:rsidRPr="00073574">
              <w:rPr>
                <w:szCs w:val="22"/>
              </w:rPr>
              <w:t xml:space="preserve">respective </w:t>
            </w:r>
            <w:r w:rsidR="004B13E8" w:rsidRPr="00073574">
              <w:rPr>
                <w:szCs w:val="22"/>
              </w:rPr>
              <w:t>results</w:t>
            </w:r>
            <w:r w:rsidR="00C074BD" w:rsidRPr="00073574">
              <w:rPr>
                <w:szCs w:val="22"/>
              </w:rPr>
              <w:t>.</w:t>
            </w:r>
          </w:p>
        </w:tc>
      </w:tr>
      <w:tr w:rsidR="00F0236A" w:rsidRPr="00073574" w14:paraId="65AD934E" w14:textId="77777777" w:rsidTr="7277BFE4">
        <w:trPr>
          <w:cantSplit/>
          <w:jc w:val="center"/>
        </w:trPr>
        <w:tc>
          <w:tcPr>
            <w:tcW w:w="911" w:type="dxa"/>
            <w:vMerge w:val="restart"/>
            <w:tcBorders>
              <w:top w:val="single" w:sz="12" w:space="0" w:color="auto"/>
            </w:tcBorders>
            <w:shd w:val="clear" w:color="auto" w:fill="auto"/>
          </w:tcPr>
          <w:p w14:paraId="655B85C0" w14:textId="77777777" w:rsidR="00F0236A" w:rsidRPr="00073574" w:rsidRDefault="00F0236A" w:rsidP="00D100F9">
            <w:pPr>
              <w:pStyle w:val="Tabletext"/>
              <w:keepNext/>
              <w:keepLines/>
              <w:rPr>
                <w:b/>
                <w:bCs/>
                <w:sz w:val="24"/>
                <w:szCs w:val="24"/>
              </w:rPr>
            </w:pPr>
            <w:r w:rsidRPr="00073574">
              <w:rPr>
                <w:b/>
                <w:bCs/>
                <w:sz w:val="24"/>
                <w:szCs w:val="24"/>
              </w:rPr>
              <w:t>64-10</w:t>
            </w:r>
          </w:p>
        </w:tc>
        <w:tc>
          <w:tcPr>
            <w:tcW w:w="4526" w:type="dxa"/>
            <w:tcBorders>
              <w:top w:val="single" w:sz="12" w:space="0" w:color="auto"/>
            </w:tcBorders>
            <w:shd w:val="clear" w:color="auto" w:fill="auto"/>
          </w:tcPr>
          <w:p w14:paraId="0326F204" w14:textId="77777777" w:rsidR="00F0236A" w:rsidRPr="00073574" w:rsidRDefault="00F0236A" w:rsidP="00D100F9">
            <w:pPr>
              <w:pStyle w:val="Tabletext"/>
              <w:keepNext/>
              <w:keepLines/>
              <w:rPr>
                <w:b/>
                <w:bCs/>
                <w:sz w:val="24"/>
                <w:szCs w:val="24"/>
              </w:rPr>
            </w:pPr>
            <w:r w:rsidRPr="00073574">
              <w:rPr>
                <w:b/>
                <w:bCs/>
                <w:sz w:val="24"/>
                <w:szCs w:val="24"/>
              </w:rPr>
              <w:t>TSB Director to support BDT in relevant IPv6 training for engineers, network operators and content providers that can enhance their skills and which they can further apply at their respective organizations (i. TSBDir 4)</w:t>
            </w:r>
          </w:p>
        </w:tc>
        <w:tc>
          <w:tcPr>
            <w:tcW w:w="1897" w:type="dxa"/>
            <w:tcBorders>
              <w:top w:val="single" w:sz="12" w:space="0" w:color="auto"/>
            </w:tcBorders>
            <w:shd w:val="clear" w:color="auto" w:fill="auto"/>
            <w:vAlign w:val="center"/>
          </w:tcPr>
          <w:p w14:paraId="081F4013" w14:textId="77777777" w:rsidR="00F0236A" w:rsidRPr="00073574" w:rsidRDefault="00F0236A" w:rsidP="00D100F9">
            <w:pPr>
              <w:pStyle w:val="Tabletext"/>
              <w:keepNext/>
              <w:keepLines/>
              <w:jc w:val="center"/>
              <w:rPr>
                <w:b/>
                <w:bCs/>
                <w:sz w:val="24"/>
                <w:szCs w:val="24"/>
              </w:rPr>
            </w:pPr>
            <w:r w:rsidRPr="00073574">
              <w:rPr>
                <w:b/>
                <w:bCs/>
                <w:sz w:val="24"/>
                <w:szCs w:val="24"/>
              </w:rPr>
              <w:t>Ongoing</w:t>
            </w:r>
          </w:p>
        </w:tc>
        <w:tc>
          <w:tcPr>
            <w:tcW w:w="1162" w:type="dxa"/>
            <w:tcBorders>
              <w:top w:val="single" w:sz="12" w:space="0" w:color="auto"/>
            </w:tcBorders>
            <w:shd w:val="clear" w:color="auto" w:fill="auto"/>
            <w:vAlign w:val="center"/>
          </w:tcPr>
          <w:p w14:paraId="31E9CA5C" w14:textId="08138751" w:rsidR="00F0236A" w:rsidRPr="00073574" w:rsidDel="00517D9A" w:rsidRDefault="00132342" w:rsidP="00D100F9">
            <w:pPr>
              <w:pStyle w:val="Tabletext"/>
              <w:keepNext/>
              <w:keepLines/>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7104F165" w14:textId="77777777" w:rsidR="00F0236A" w:rsidRPr="00073574" w:rsidRDefault="00F0236A" w:rsidP="00D100F9">
            <w:pPr>
              <w:pStyle w:val="Tabletext"/>
              <w:keepNext/>
              <w:keepLines/>
              <w:jc w:val="center"/>
              <w:rPr>
                <w:b/>
                <w:bCs/>
                <w:sz w:val="24"/>
                <w:szCs w:val="24"/>
              </w:rPr>
            </w:pPr>
          </w:p>
        </w:tc>
      </w:tr>
      <w:tr w:rsidR="00F0236A" w:rsidRPr="00073574" w14:paraId="46A542AA" w14:textId="77777777" w:rsidTr="7277BFE4">
        <w:trPr>
          <w:cantSplit/>
          <w:jc w:val="center"/>
        </w:trPr>
        <w:tc>
          <w:tcPr>
            <w:tcW w:w="911" w:type="dxa"/>
            <w:vMerge/>
            <w:vAlign w:val="center"/>
          </w:tcPr>
          <w:p w14:paraId="4EF9173D" w14:textId="77777777" w:rsidR="00F0236A" w:rsidRPr="00073574" w:rsidRDefault="00F0236A" w:rsidP="00D100F9">
            <w:pPr>
              <w:pStyle w:val="Tabletext"/>
              <w:keepNext/>
              <w:keepLines/>
              <w:rPr>
                <w:sz w:val="24"/>
                <w:szCs w:val="24"/>
              </w:rPr>
            </w:pPr>
          </w:p>
        </w:tc>
        <w:tc>
          <w:tcPr>
            <w:tcW w:w="8921" w:type="dxa"/>
            <w:gridSpan w:val="4"/>
            <w:shd w:val="clear" w:color="auto" w:fill="auto"/>
          </w:tcPr>
          <w:p w14:paraId="44FD5B52" w14:textId="6286B22E" w:rsidR="00F0236A" w:rsidRPr="00073574" w:rsidRDefault="00132342" w:rsidP="00D100F9">
            <w:pPr>
              <w:pStyle w:val="Tabletext"/>
              <w:keepNext/>
              <w:keepLines/>
              <w:rPr>
                <w:szCs w:val="22"/>
              </w:rPr>
            </w:pPr>
            <w:r w:rsidRPr="00073574">
              <w:rPr>
                <w:szCs w:val="22"/>
              </w:rPr>
              <w:t xml:space="preserve">TSB has been coordinating and collaborating with BDT; such as in the IPv6 project for its planning and its implementation. </w:t>
            </w:r>
          </w:p>
        </w:tc>
      </w:tr>
    </w:tbl>
    <w:p w14:paraId="0254643D" w14:textId="083005AB" w:rsidR="0EE30F2E" w:rsidRPr="00073574" w:rsidRDefault="0EE30F2E">
      <w:bookmarkStart w:id="300" w:name="Item64_01"/>
      <w:bookmarkStart w:id="301" w:name="Item64_02"/>
      <w:bookmarkStart w:id="302" w:name="Item64_03"/>
      <w:bookmarkStart w:id="303" w:name="Item64_04"/>
      <w:bookmarkStart w:id="304" w:name="Item64_05"/>
      <w:bookmarkStart w:id="305" w:name="Item64_06"/>
      <w:bookmarkStart w:id="306" w:name="Item64_07"/>
      <w:bookmarkStart w:id="307" w:name="Item64_08"/>
      <w:bookmarkStart w:id="308" w:name="Item64_09"/>
      <w:bookmarkStart w:id="309" w:name="Item64_10"/>
      <w:bookmarkEnd w:id="300"/>
      <w:bookmarkEnd w:id="301"/>
      <w:bookmarkEnd w:id="302"/>
      <w:bookmarkEnd w:id="303"/>
      <w:bookmarkEnd w:id="304"/>
      <w:bookmarkEnd w:id="305"/>
      <w:bookmarkEnd w:id="306"/>
      <w:bookmarkEnd w:id="307"/>
      <w:bookmarkEnd w:id="308"/>
      <w:bookmarkEnd w:id="309"/>
    </w:p>
    <w:p w14:paraId="4CFB407C" w14:textId="77777777" w:rsidR="00F0236A" w:rsidRPr="00073574" w:rsidRDefault="0053741E" w:rsidP="00F0236A">
      <w:pPr>
        <w:rPr>
          <w:sz w:val="24"/>
        </w:rPr>
      </w:pPr>
      <w:hyperlink w:anchor="Top" w:history="1">
        <w:r w:rsidR="00F0236A" w:rsidRPr="00073574">
          <w:rPr>
            <w:rStyle w:val="Hyperlink"/>
            <w:rFonts w:eastAsia="Times New Roman"/>
            <w:sz w:val="24"/>
          </w:rPr>
          <w:t>» Top</w:t>
        </w:r>
      </w:hyperlink>
    </w:p>
    <w:p w14:paraId="5DE5AEE2" w14:textId="77777777" w:rsidR="00F0236A" w:rsidRPr="00073574" w:rsidRDefault="00F0236A" w:rsidP="00F0236A">
      <w:pPr>
        <w:rPr>
          <w:sz w:val="24"/>
        </w:rPr>
      </w:pPr>
    </w:p>
    <w:p w14:paraId="4F730C23" w14:textId="77777777" w:rsidR="00F0236A" w:rsidRPr="00073574" w:rsidRDefault="00F0236A" w:rsidP="00EA5981">
      <w:pPr>
        <w:pStyle w:val="Heading1"/>
        <w:keepNext/>
        <w:keepLines/>
        <w:rPr>
          <w:sz w:val="24"/>
          <w:szCs w:val="24"/>
          <w:lang w:val="en-GB"/>
        </w:rPr>
      </w:pPr>
      <w:bookmarkStart w:id="310" w:name="Resolution_65"/>
      <w:bookmarkStart w:id="311" w:name="_Toc304236449"/>
      <w:bookmarkStart w:id="312" w:name="_Toc471715382"/>
      <w:bookmarkStart w:id="313" w:name="_Toc93425268"/>
      <w:bookmarkEnd w:id="310"/>
      <w:r w:rsidRPr="00073574">
        <w:rPr>
          <w:sz w:val="24"/>
          <w:szCs w:val="24"/>
          <w:lang w:val="en-GB"/>
        </w:rPr>
        <w:lastRenderedPageBreak/>
        <w:t>Resolution 65 - Calling party number delivery</w:t>
      </w:r>
      <w:bookmarkEnd w:id="311"/>
      <w:r w:rsidRPr="00073574">
        <w:rPr>
          <w:sz w:val="24"/>
          <w:szCs w:val="24"/>
          <w:lang w:val="en-GB"/>
        </w:rPr>
        <w:t>, calling line identification and origin identification information</w:t>
      </w:r>
      <w:bookmarkEnd w:id="312"/>
      <w:bookmarkEnd w:id="313"/>
    </w:p>
    <w:p w14:paraId="0BA5741C" w14:textId="77777777" w:rsidR="00F0236A" w:rsidRPr="00073574" w:rsidRDefault="00F0236A" w:rsidP="00EA5981">
      <w:pPr>
        <w:keepNext/>
        <w:keepLines/>
        <w:rPr>
          <w:b/>
          <w:bCs/>
          <w:sz w:val="24"/>
        </w:rPr>
      </w:pPr>
      <w:r w:rsidRPr="00073574">
        <w:rPr>
          <w:b/>
          <w:bCs/>
          <w:sz w:val="24"/>
        </w:rPr>
        <w:t>Resolution 65</w:t>
      </w:r>
    </w:p>
    <w:p w14:paraId="6563FE08" w14:textId="77777777" w:rsidR="00F0236A" w:rsidRPr="00073574" w:rsidRDefault="00F0236A" w:rsidP="00EA5981">
      <w:pPr>
        <w:pStyle w:val="Call"/>
        <w:rPr>
          <w:sz w:val="24"/>
          <w:szCs w:val="24"/>
          <w:lang w:val="en-GB"/>
        </w:rPr>
      </w:pPr>
      <w:r w:rsidRPr="00073574">
        <w:rPr>
          <w:sz w:val="24"/>
          <w:szCs w:val="24"/>
          <w:lang w:val="en-GB"/>
        </w:rPr>
        <w:t>resolves</w:t>
      </w:r>
    </w:p>
    <w:p w14:paraId="48156B06" w14:textId="77777777" w:rsidR="00F0236A" w:rsidRPr="00073574" w:rsidRDefault="00F0236A" w:rsidP="00EA5981">
      <w:pPr>
        <w:keepNext/>
        <w:keepLines/>
        <w:rPr>
          <w:sz w:val="24"/>
        </w:rPr>
      </w:pPr>
      <w:r w:rsidRPr="00073574">
        <w:rPr>
          <w:sz w:val="24"/>
        </w:rPr>
        <w:t>1</w:t>
      </w:r>
      <w:r w:rsidRPr="00073574">
        <w:rPr>
          <w:sz w:val="24"/>
        </w:rPr>
        <w:tab/>
        <w:t>that international CLI, CPN delivery and OI shall be provided based on the relevant ITU</w:t>
      </w:r>
      <w:r w:rsidRPr="00073574">
        <w:rPr>
          <w:sz w:val="24"/>
        </w:rPr>
        <w:noBreakHyphen/>
        <w:t>T Recommendations where technically possible;</w:t>
      </w:r>
    </w:p>
    <w:p w14:paraId="78B79127" w14:textId="77777777" w:rsidR="00F0236A" w:rsidRPr="00073574" w:rsidRDefault="00F0236A" w:rsidP="00F0236A">
      <w:pPr>
        <w:rPr>
          <w:sz w:val="24"/>
        </w:rPr>
      </w:pPr>
      <w:r w:rsidRPr="00073574">
        <w:rPr>
          <w:sz w:val="24"/>
        </w:rPr>
        <w:t>2</w:t>
      </w:r>
      <w:r w:rsidRPr="00073574">
        <w:rPr>
          <w:sz w:val="24"/>
        </w:rPr>
        <w:tab/>
        <w:t>that the delivered CPN shall at least, where technically possible, be prefixed with country codes so that a terminating country can identify in which country the calls are originated, or identify the terminal that originates the call, before they are delivered from the originating country to that terminating country, known as OI information;</w:t>
      </w:r>
    </w:p>
    <w:p w14:paraId="35488C6A" w14:textId="77777777" w:rsidR="00F0236A" w:rsidRPr="00073574" w:rsidRDefault="00F0236A" w:rsidP="00F0236A">
      <w:pPr>
        <w:rPr>
          <w:sz w:val="24"/>
        </w:rPr>
      </w:pPr>
      <w:r w:rsidRPr="00073574">
        <w:rPr>
          <w:sz w:val="24"/>
        </w:rPr>
        <w:t>3</w:t>
      </w:r>
      <w:r w:rsidRPr="00073574">
        <w:rPr>
          <w:sz w:val="24"/>
        </w:rPr>
        <w:tab/>
        <w:t>that, in addition to the country code if delivered, the delivered CPN and CLI shall include the national destination code, or sufficient information to allow proper billing and accounting, for each call;</w:t>
      </w:r>
    </w:p>
    <w:p w14:paraId="3B3F931A" w14:textId="77777777" w:rsidR="00F0236A" w:rsidRPr="00073574" w:rsidRDefault="00F0236A" w:rsidP="00F0236A">
      <w:pPr>
        <w:rPr>
          <w:sz w:val="24"/>
        </w:rPr>
      </w:pPr>
      <w:r w:rsidRPr="00073574">
        <w:rPr>
          <w:sz w:val="24"/>
        </w:rPr>
        <w:t>4</w:t>
      </w:r>
      <w:r w:rsidRPr="00073574">
        <w:rPr>
          <w:sz w:val="24"/>
        </w:rPr>
        <w:tab/>
        <w:t>that the OI information in a heterogeneous networking environment shall, where technically possible, be an identifier assigned to a subscriber by the originating service provider, or be replaced by a default identifier by the originating provider to identify the origin of the call;</w:t>
      </w:r>
    </w:p>
    <w:p w14:paraId="10FB290F" w14:textId="77777777" w:rsidR="00F0236A" w:rsidRPr="00073574" w:rsidRDefault="00F0236A" w:rsidP="00F0236A">
      <w:pPr>
        <w:rPr>
          <w:sz w:val="24"/>
        </w:rPr>
      </w:pPr>
      <w:r w:rsidRPr="00073574">
        <w:rPr>
          <w:sz w:val="24"/>
        </w:rPr>
        <w:t>5</w:t>
      </w:r>
      <w:r w:rsidRPr="00073574">
        <w:rPr>
          <w:sz w:val="24"/>
        </w:rPr>
        <w:tab/>
        <w:t>that the CPN, CLI and OI information shall be transmitted transparently by transit networks (including hubs),</w:t>
      </w:r>
    </w:p>
    <w:p w14:paraId="0E62EB69" w14:textId="77777777" w:rsidR="00F0236A" w:rsidRPr="00073574" w:rsidRDefault="00F0236A" w:rsidP="00F0236A">
      <w:pPr>
        <w:pStyle w:val="Call"/>
        <w:rPr>
          <w:sz w:val="24"/>
          <w:szCs w:val="24"/>
          <w:lang w:val="en-GB"/>
        </w:rPr>
      </w:pPr>
      <w:r w:rsidRPr="00073574">
        <w:rPr>
          <w:sz w:val="24"/>
          <w:szCs w:val="24"/>
          <w:lang w:val="en-GB"/>
        </w:rPr>
        <w:t>instructs</w:t>
      </w:r>
    </w:p>
    <w:p w14:paraId="03EDCF26" w14:textId="77777777" w:rsidR="00F0236A" w:rsidRPr="00073574" w:rsidRDefault="00F0236A" w:rsidP="00F0236A">
      <w:pPr>
        <w:rPr>
          <w:sz w:val="24"/>
        </w:rPr>
      </w:pPr>
      <w:r w:rsidRPr="00073574">
        <w:rPr>
          <w:sz w:val="24"/>
        </w:rPr>
        <w:t>1</w:t>
      </w:r>
      <w:r w:rsidRPr="00073574">
        <w:rPr>
          <w:sz w:val="24"/>
        </w:rPr>
        <w:tab/>
        <w:t>ITU-T Study Group 2, ITU-T Study Group 3 and, where required, ITU-T Study Group 11 and ITU</w:t>
      </w:r>
      <w:r w:rsidRPr="00073574">
        <w:rPr>
          <w:sz w:val="24"/>
        </w:rPr>
        <w:noBreakHyphen/>
        <w:t>T Study Group 17 to further study the emerging issues of CPN delivery, CLI and OI information, in particular for a heterogeneous networking environment, including security methods and possible validation techniques;</w:t>
      </w:r>
    </w:p>
    <w:p w14:paraId="55309A87" w14:textId="77777777" w:rsidR="00F0236A" w:rsidRPr="00073574" w:rsidRDefault="00F0236A" w:rsidP="00F0236A">
      <w:pPr>
        <w:rPr>
          <w:sz w:val="24"/>
        </w:rPr>
      </w:pPr>
      <w:r w:rsidRPr="00073574">
        <w:rPr>
          <w:sz w:val="24"/>
        </w:rPr>
        <w:t>2</w:t>
      </w:r>
      <w:r w:rsidRPr="00073574">
        <w:rPr>
          <w:sz w:val="24"/>
        </w:rPr>
        <w:tab/>
        <w:t>the study groups concerned to expedite work on Recommendations that would provide additional detail and guidance for the implementation of this resolution;</w:t>
      </w:r>
    </w:p>
    <w:p w14:paraId="44A50FF3" w14:textId="77777777" w:rsidR="00F0236A" w:rsidRPr="00073574" w:rsidRDefault="00F0236A" w:rsidP="00F0236A">
      <w:pPr>
        <w:rPr>
          <w:sz w:val="24"/>
        </w:rPr>
      </w:pPr>
      <w:r w:rsidRPr="00073574">
        <w:rPr>
          <w:sz w:val="24"/>
        </w:rPr>
        <w:t>3</w:t>
      </w:r>
      <w:r w:rsidRPr="00073574">
        <w:rPr>
          <w:sz w:val="24"/>
        </w:rPr>
        <w:tab/>
        <w:t>the Director of the TSB to report on the progress achieved by the study groups in implementing this resolution, which is intended to improve security and minimize fraud, and minimize technical harm as called for by Article 42 of the Constitution,</w:t>
      </w:r>
    </w:p>
    <w:p w14:paraId="0B61AE21" w14:textId="77777777" w:rsidR="00F0236A" w:rsidRPr="00073574" w:rsidRDefault="00F0236A" w:rsidP="00F0236A">
      <w:pPr>
        <w:pStyle w:val="Call"/>
        <w:rPr>
          <w:i w:val="0"/>
          <w:sz w:val="24"/>
          <w:szCs w:val="24"/>
          <w:lang w:val="en-GB"/>
        </w:rPr>
      </w:pPr>
      <w:r w:rsidRPr="00073574">
        <w:rPr>
          <w:sz w:val="24"/>
          <w:szCs w:val="24"/>
          <w:lang w:val="en-GB"/>
        </w:rPr>
        <w:t>invites Member States</w:t>
      </w:r>
    </w:p>
    <w:p w14:paraId="3D61DB17" w14:textId="77777777" w:rsidR="00F0236A" w:rsidRPr="00073574" w:rsidRDefault="00F0236A" w:rsidP="00F0236A">
      <w:pPr>
        <w:rPr>
          <w:sz w:val="24"/>
        </w:rPr>
      </w:pPr>
      <w:r w:rsidRPr="00073574">
        <w:rPr>
          <w:sz w:val="24"/>
        </w:rPr>
        <w:t>1</w:t>
      </w:r>
      <w:r w:rsidRPr="00073574">
        <w:rPr>
          <w:sz w:val="24"/>
        </w:rPr>
        <w:tab/>
        <w:t>to contribute to this work and to cooperate in the implementation of this resolution.</w:t>
      </w:r>
    </w:p>
    <w:p w14:paraId="6E1ED68C" w14:textId="77777777" w:rsidR="00F0236A" w:rsidRPr="00073574" w:rsidRDefault="00F0236A" w:rsidP="00F0236A">
      <w:pPr>
        <w:spacing w:after="240"/>
        <w:rPr>
          <w:sz w:val="24"/>
        </w:rPr>
      </w:pPr>
      <w:r w:rsidRPr="00073574">
        <w:rPr>
          <w:sz w:val="24"/>
        </w:rPr>
        <w:t>2</w:t>
      </w:r>
      <w:r w:rsidRPr="00073574">
        <w:rPr>
          <w:sz w:val="24"/>
        </w:rPr>
        <w:tab/>
        <w:t>to consider developing, within their national regulatory and legal frameworks, guidelines or other means for implementing this resolution.</w:t>
      </w:r>
    </w:p>
    <w:tbl>
      <w:tblPr>
        <w:tblW w:w="98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10"/>
        <w:gridCol w:w="4554"/>
        <w:gridCol w:w="1884"/>
        <w:gridCol w:w="1148"/>
        <w:gridCol w:w="1336"/>
      </w:tblGrid>
      <w:tr w:rsidR="00F0236A" w:rsidRPr="00073574" w14:paraId="68E2868D" w14:textId="77777777" w:rsidTr="634A3A28">
        <w:trPr>
          <w:tblHeader/>
          <w:jc w:val="center"/>
        </w:trPr>
        <w:tc>
          <w:tcPr>
            <w:tcW w:w="910" w:type="dxa"/>
            <w:tcBorders>
              <w:top w:val="single" w:sz="12" w:space="0" w:color="auto"/>
              <w:bottom w:val="single" w:sz="12" w:space="0" w:color="auto"/>
            </w:tcBorders>
            <w:shd w:val="clear" w:color="auto" w:fill="auto"/>
            <w:vAlign w:val="center"/>
          </w:tcPr>
          <w:p w14:paraId="3019A6DB" w14:textId="77777777" w:rsidR="00F0236A" w:rsidRPr="00073574" w:rsidRDefault="00F0236A" w:rsidP="00B242DF">
            <w:pPr>
              <w:pStyle w:val="Tablehead"/>
              <w:keepNext w:val="0"/>
              <w:pageBreakBefore/>
              <w:rPr>
                <w:sz w:val="24"/>
                <w:szCs w:val="24"/>
              </w:rPr>
            </w:pPr>
            <w:r w:rsidRPr="00073574">
              <w:rPr>
                <w:sz w:val="24"/>
                <w:szCs w:val="24"/>
              </w:rPr>
              <w:lastRenderedPageBreak/>
              <w:t>Action Item</w:t>
            </w:r>
          </w:p>
        </w:tc>
        <w:tc>
          <w:tcPr>
            <w:tcW w:w="4554" w:type="dxa"/>
            <w:tcBorders>
              <w:top w:val="single" w:sz="12" w:space="0" w:color="auto"/>
              <w:bottom w:val="single" w:sz="12" w:space="0" w:color="auto"/>
            </w:tcBorders>
            <w:shd w:val="clear" w:color="auto" w:fill="auto"/>
            <w:vAlign w:val="center"/>
            <w:hideMark/>
          </w:tcPr>
          <w:p w14:paraId="6322EBE9" w14:textId="77777777" w:rsidR="00F0236A" w:rsidRPr="00073574" w:rsidRDefault="00F0236A" w:rsidP="00DF36E1">
            <w:pPr>
              <w:pStyle w:val="Tablehead"/>
              <w:rPr>
                <w:sz w:val="24"/>
                <w:szCs w:val="24"/>
              </w:rPr>
            </w:pPr>
            <w:r w:rsidRPr="00073574">
              <w:rPr>
                <w:sz w:val="24"/>
                <w:szCs w:val="24"/>
              </w:rPr>
              <w:t>Action</w:t>
            </w:r>
          </w:p>
        </w:tc>
        <w:tc>
          <w:tcPr>
            <w:tcW w:w="1884" w:type="dxa"/>
            <w:tcBorders>
              <w:top w:val="single" w:sz="12" w:space="0" w:color="auto"/>
              <w:bottom w:val="single" w:sz="12" w:space="0" w:color="auto"/>
            </w:tcBorders>
            <w:shd w:val="clear" w:color="auto" w:fill="auto"/>
            <w:vAlign w:val="center"/>
            <w:hideMark/>
          </w:tcPr>
          <w:p w14:paraId="4DC12701" w14:textId="77777777" w:rsidR="00F0236A" w:rsidRPr="00073574" w:rsidRDefault="00F0236A" w:rsidP="00DF36E1">
            <w:pPr>
              <w:pStyle w:val="Tablehead"/>
              <w:rPr>
                <w:sz w:val="24"/>
                <w:szCs w:val="24"/>
              </w:rPr>
            </w:pPr>
            <w:r w:rsidRPr="00073574">
              <w:rPr>
                <w:sz w:val="24"/>
                <w:szCs w:val="24"/>
              </w:rPr>
              <w:t>Milestone</w:t>
            </w:r>
          </w:p>
        </w:tc>
        <w:tc>
          <w:tcPr>
            <w:tcW w:w="1148" w:type="dxa"/>
            <w:tcBorders>
              <w:top w:val="single" w:sz="12" w:space="0" w:color="auto"/>
              <w:bottom w:val="single" w:sz="12" w:space="0" w:color="auto"/>
            </w:tcBorders>
            <w:shd w:val="clear" w:color="auto" w:fill="auto"/>
          </w:tcPr>
          <w:p w14:paraId="060237A5" w14:textId="77777777" w:rsidR="00F0236A" w:rsidRPr="00073574" w:rsidRDefault="00F0236A" w:rsidP="00DF36E1">
            <w:pPr>
              <w:pStyle w:val="Tablehead"/>
              <w:rPr>
                <w:sz w:val="24"/>
                <w:szCs w:val="24"/>
              </w:rPr>
            </w:pPr>
            <w:r w:rsidRPr="00073574">
              <w:rPr>
                <w:sz w:val="24"/>
                <w:szCs w:val="24"/>
              </w:rPr>
              <w:t>Periodic goals met</w:t>
            </w:r>
          </w:p>
        </w:tc>
        <w:tc>
          <w:tcPr>
            <w:tcW w:w="1336" w:type="dxa"/>
            <w:tcBorders>
              <w:top w:val="single" w:sz="12" w:space="0" w:color="auto"/>
              <w:bottom w:val="single" w:sz="12" w:space="0" w:color="auto"/>
            </w:tcBorders>
            <w:shd w:val="clear" w:color="auto" w:fill="auto"/>
            <w:vAlign w:val="center"/>
          </w:tcPr>
          <w:p w14:paraId="1E1D6619" w14:textId="77777777" w:rsidR="00F0236A" w:rsidRPr="00073574" w:rsidRDefault="00F0236A" w:rsidP="00DF36E1">
            <w:pPr>
              <w:pStyle w:val="Tablehead"/>
              <w:rPr>
                <w:sz w:val="24"/>
                <w:szCs w:val="24"/>
              </w:rPr>
            </w:pPr>
            <w:r w:rsidRPr="00073574">
              <w:rPr>
                <w:sz w:val="24"/>
                <w:szCs w:val="24"/>
              </w:rPr>
              <w:t>Completed</w:t>
            </w:r>
          </w:p>
        </w:tc>
      </w:tr>
      <w:tr w:rsidR="00F0236A" w:rsidRPr="00073574" w14:paraId="272CD292" w14:textId="77777777" w:rsidTr="634A3A28">
        <w:trPr>
          <w:jc w:val="center"/>
        </w:trPr>
        <w:tc>
          <w:tcPr>
            <w:tcW w:w="910" w:type="dxa"/>
            <w:vMerge w:val="restart"/>
            <w:tcBorders>
              <w:top w:val="single" w:sz="12" w:space="0" w:color="auto"/>
            </w:tcBorders>
            <w:shd w:val="clear" w:color="auto" w:fill="auto"/>
          </w:tcPr>
          <w:p w14:paraId="5550B546" w14:textId="77777777" w:rsidR="00F0236A" w:rsidRPr="00073574" w:rsidRDefault="00F0236A" w:rsidP="000366FF">
            <w:pPr>
              <w:pStyle w:val="Tabletext"/>
              <w:rPr>
                <w:b/>
                <w:bCs/>
                <w:sz w:val="24"/>
                <w:szCs w:val="24"/>
              </w:rPr>
            </w:pPr>
            <w:r w:rsidRPr="00073574">
              <w:rPr>
                <w:b/>
                <w:bCs/>
                <w:sz w:val="24"/>
                <w:szCs w:val="24"/>
              </w:rPr>
              <w:t>65-01</w:t>
            </w:r>
          </w:p>
        </w:tc>
        <w:tc>
          <w:tcPr>
            <w:tcW w:w="4554" w:type="dxa"/>
            <w:tcBorders>
              <w:top w:val="single" w:sz="12" w:space="0" w:color="auto"/>
              <w:bottom w:val="single" w:sz="4" w:space="0" w:color="auto"/>
            </w:tcBorders>
            <w:shd w:val="clear" w:color="auto" w:fill="auto"/>
            <w:hideMark/>
          </w:tcPr>
          <w:p w14:paraId="14472768" w14:textId="77777777" w:rsidR="00F0236A" w:rsidRPr="00073574" w:rsidRDefault="00F0236A" w:rsidP="00CC7014">
            <w:pPr>
              <w:pStyle w:val="Tabletext"/>
              <w:keepNext/>
              <w:keepLines/>
              <w:rPr>
                <w:b/>
                <w:bCs/>
                <w:sz w:val="24"/>
                <w:szCs w:val="24"/>
              </w:rPr>
            </w:pPr>
            <w:r w:rsidRPr="00073574">
              <w:rPr>
                <w:b/>
                <w:bCs/>
                <w:sz w:val="24"/>
                <w:szCs w:val="24"/>
              </w:rPr>
              <w:t>SG2, SG3, SG11 and SG17 to further study emerging issues of CPND, CLI and OI, including security methods and possible validation techniques (instructs 1)</w:t>
            </w:r>
          </w:p>
        </w:tc>
        <w:tc>
          <w:tcPr>
            <w:tcW w:w="1884" w:type="dxa"/>
            <w:tcBorders>
              <w:top w:val="single" w:sz="12" w:space="0" w:color="auto"/>
              <w:bottom w:val="single" w:sz="4" w:space="0" w:color="auto"/>
            </w:tcBorders>
            <w:shd w:val="clear" w:color="auto" w:fill="auto"/>
            <w:vAlign w:val="center"/>
          </w:tcPr>
          <w:p w14:paraId="08BF869E"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48" w:type="dxa"/>
            <w:tcBorders>
              <w:top w:val="single" w:sz="12" w:space="0" w:color="auto"/>
              <w:bottom w:val="single" w:sz="4" w:space="0" w:color="auto"/>
            </w:tcBorders>
            <w:shd w:val="clear" w:color="auto" w:fill="auto"/>
            <w:vAlign w:val="center"/>
          </w:tcPr>
          <w:p w14:paraId="369C19F7"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bottom w:val="single" w:sz="4" w:space="0" w:color="auto"/>
            </w:tcBorders>
            <w:shd w:val="clear" w:color="auto" w:fill="auto"/>
            <w:vAlign w:val="center"/>
          </w:tcPr>
          <w:p w14:paraId="1D9CE5E9" w14:textId="77777777" w:rsidR="00F0236A" w:rsidRPr="00073574" w:rsidRDefault="00F0236A" w:rsidP="00DF36E1">
            <w:pPr>
              <w:pStyle w:val="Tabletext"/>
              <w:jc w:val="center"/>
              <w:rPr>
                <w:b/>
                <w:bCs/>
                <w:sz w:val="24"/>
                <w:szCs w:val="24"/>
              </w:rPr>
            </w:pPr>
          </w:p>
        </w:tc>
      </w:tr>
      <w:tr w:rsidR="00F0236A" w:rsidRPr="00073574" w14:paraId="5E20E89B" w14:textId="77777777" w:rsidTr="634A3A28">
        <w:trPr>
          <w:jc w:val="center"/>
        </w:trPr>
        <w:tc>
          <w:tcPr>
            <w:tcW w:w="910" w:type="dxa"/>
            <w:vMerge/>
          </w:tcPr>
          <w:p w14:paraId="7D96E3FB" w14:textId="77777777" w:rsidR="00F0236A" w:rsidRPr="00073574" w:rsidRDefault="00F0236A" w:rsidP="00DF36E1">
            <w:pPr>
              <w:pStyle w:val="Tabletext"/>
              <w:rPr>
                <w:sz w:val="24"/>
                <w:szCs w:val="24"/>
              </w:rPr>
            </w:pPr>
          </w:p>
        </w:tc>
        <w:tc>
          <w:tcPr>
            <w:tcW w:w="8922" w:type="dxa"/>
            <w:gridSpan w:val="4"/>
            <w:tcBorders>
              <w:top w:val="single" w:sz="4" w:space="0" w:color="auto"/>
              <w:bottom w:val="single" w:sz="12" w:space="0" w:color="auto"/>
            </w:tcBorders>
            <w:shd w:val="clear" w:color="auto" w:fill="auto"/>
          </w:tcPr>
          <w:p w14:paraId="5F32446F" w14:textId="00173C90" w:rsidR="008E6200" w:rsidRPr="00073574" w:rsidRDefault="00F0236A" w:rsidP="002E241A">
            <w:pPr>
              <w:pStyle w:val="ListParagraph"/>
              <w:numPr>
                <w:ilvl w:val="0"/>
                <w:numId w:val="28"/>
              </w:numPr>
              <w:spacing w:before="40"/>
              <w:ind w:left="357" w:hanging="357"/>
              <w:contextualSpacing w:val="0"/>
            </w:pPr>
            <w:r w:rsidRPr="00073574">
              <w:t xml:space="preserve">SG2 in its meeting of </w:t>
            </w:r>
            <w:r w:rsidR="1162C846" w:rsidRPr="00073574">
              <w:t>29 March to 7 April 2017, SG2-C</w:t>
            </w:r>
            <w:r w:rsidRPr="00073574">
              <w:t xml:space="preserve">17 (NTT) on Credibility of CLI , </w:t>
            </w:r>
            <w:r w:rsidR="00112C75" w:rsidRPr="00073574">
              <w:t>TD</w:t>
            </w:r>
            <w:r w:rsidRPr="00073574">
              <w:t xml:space="preserve">59 (GEN/2) (TSB) on machine learning and detection of abnormal activities in numbering misuse and caller ID spoofing and the paper </w:t>
            </w:r>
            <w:r w:rsidR="003C7E25" w:rsidRPr="00073574">
              <w:t>"</w:t>
            </w:r>
            <w:r w:rsidRPr="00073574">
              <w:t>Toward authenticated caller ID transmission: the need for a standardized authentication scheme in Rec. ITU-T Q.731.3 calling line identification presentation</w:t>
            </w:r>
            <w:r w:rsidR="003C7E25" w:rsidRPr="00073574">
              <w:t>"</w:t>
            </w:r>
            <w:r w:rsidRPr="00073574">
              <w:t xml:space="preserve"> contained in </w:t>
            </w:r>
            <w:r w:rsidR="00112C75" w:rsidRPr="00073574">
              <w:t>TD</w:t>
            </w:r>
            <w:r w:rsidRPr="00073574">
              <w:t>80 (GEN/2) (TSB) were noted.</w:t>
            </w:r>
            <w:r w:rsidRPr="00073574">
              <w:br/>
            </w:r>
            <w:r w:rsidR="1162C846" w:rsidRPr="00073574">
              <w:t>SG2-C</w:t>
            </w:r>
            <w:r w:rsidR="2D306EA1" w:rsidRPr="00073574">
              <w:t>44 (Nepal) and SG2-C55 (Voxbone) were received and discussed in the SG2 meeting of 27 November to 1 December</w:t>
            </w:r>
            <w:r w:rsidR="750D4F21" w:rsidRPr="00073574">
              <w:t xml:space="preserve"> 2017</w:t>
            </w:r>
            <w:r w:rsidR="2D306EA1" w:rsidRPr="00073574">
              <w:t>.</w:t>
            </w:r>
            <w:r w:rsidR="35646BBD" w:rsidRPr="00073574">
              <w:t xml:space="preserve"> </w:t>
            </w:r>
            <w:r w:rsidR="1680674C" w:rsidRPr="00073574">
              <w:t>SG2-C130 (UK) and SG2-C131 (Russia) were received and discussed in the SG2 meeting of 4 to 13 July 2018.</w:t>
            </w:r>
            <w:r w:rsidR="138A0298" w:rsidRPr="00073574">
              <w:t xml:space="preserve"> SG2-C</w:t>
            </w:r>
            <w:r w:rsidR="1CA5C5EE" w:rsidRPr="00073574">
              <w:t>183 (Egypt) was discussed in the SG2 meeting in February</w:t>
            </w:r>
            <w:r w:rsidR="51D429FE" w:rsidRPr="00073574">
              <w:t xml:space="preserve"> 2019. SG2-</w:t>
            </w:r>
            <w:r w:rsidR="7D71B927" w:rsidRPr="00073574">
              <w:t>C</w:t>
            </w:r>
            <w:r w:rsidR="51D429FE" w:rsidRPr="00073574">
              <w:t>205 (China Mobile Communications Corporation)</w:t>
            </w:r>
            <w:r w:rsidR="12DAD6F8" w:rsidRPr="00073574">
              <w:t xml:space="preserve"> </w:t>
            </w:r>
            <w:r w:rsidR="55684EAC" w:rsidRPr="00073574">
              <w:t>was</w:t>
            </w:r>
            <w:r w:rsidR="12DAD6F8" w:rsidRPr="00073574">
              <w:t xml:space="preserve"> discussed at the SG2 meeting in December 2019.</w:t>
            </w:r>
            <w:r w:rsidR="128983EE" w:rsidRPr="00073574">
              <w:t xml:space="preserve"> </w:t>
            </w:r>
            <w:r w:rsidR="00D277B7" w:rsidRPr="00073574">
              <w:t xml:space="preserve">In June 2021, </w:t>
            </w:r>
            <w:r w:rsidR="008940F0" w:rsidRPr="00073574">
              <w:t xml:space="preserve">SG2-C315 </w:t>
            </w:r>
            <w:r w:rsidR="00B50CD0" w:rsidRPr="00073574">
              <w:t xml:space="preserve">(UAE) </w:t>
            </w:r>
            <w:r w:rsidR="008940F0" w:rsidRPr="00073574">
              <w:t xml:space="preserve">on " Fixed Lines as identifiers for OTT services" and SG2-C316 </w:t>
            </w:r>
            <w:r w:rsidR="00B50CD0" w:rsidRPr="00073574">
              <w:t xml:space="preserve">(UAE) </w:t>
            </w:r>
            <w:r w:rsidR="008940F0" w:rsidRPr="00073574">
              <w:t>on "</w:t>
            </w:r>
            <w:r w:rsidR="00F22EE6" w:rsidRPr="00073574">
              <w:t>Fraud case due to use of E.164 resources with the OTT services" were discussed</w:t>
            </w:r>
            <w:r w:rsidR="00BE7EC4" w:rsidRPr="00073574">
              <w:t>, and SG2-C326</w:t>
            </w:r>
            <w:r w:rsidR="00B50CD0" w:rsidRPr="00073574">
              <w:t xml:space="preserve"> (Sudan)</w:t>
            </w:r>
            <w:r w:rsidR="00BE7EC4" w:rsidRPr="00073574">
              <w:t xml:space="preserve"> launched work on </w:t>
            </w:r>
            <w:r w:rsidR="00D04DE0" w:rsidRPr="00073574">
              <w:t>a new work item on "Methodologies to mitigate Wangiri Fraud".</w:t>
            </w:r>
            <w:r w:rsidR="00CA2838" w:rsidRPr="00073574">
              <w:t xml:space="preserve"> At the November 2021 meeting of ITU-T SG2</w:t>
            </w:r>
            <w:r w:rsidR="00160338" w:rsidRPr="00073574">
              <w:t xml:space="preserve">, the experts agreed to start work </w:t>
            </w:r>
            <w:r w:rsidR="00D65B51" w:rsidRPr="00073574">
              <w:t>on a new Technical Report</w:t>
            </w:r>
            <w:r w:rsidR="00160338" w:rsidRPr="00073574">
              <w:t xml:space="preserve"> </w:t>
            </w:r>
            <w:r w:rsidR="00123CC1" w:rsidRPr="00073574">
              <w:t>on</w:t>
            </w:r>
            <w:r w:rsidR="00D65B51" w:rsidRPr="00073574">
              <w:t xml:space="preserve"> </w:t>
            </w:r>
            <w:r w:rsidR="00123CC1" w:rsidRPr="00073574">
              <w:t>"</w:t>
            </w:r>
            <w:r w:rsidR="00D65B51" w:rsidRPr="00073574">
              <w:t>Permitted call masking</w:t>
            </w:r>
            <w:r w:rsidR="00123CC1" w:rsidRPr="00073574">
              <w:t>" (SG</w:t>
            </w:r>
            <w:r w:rsidR="00425A4C" w:rsidRPr="00073574">
              <w:t>2-C361, Egypt)</w:t>
            </w:r>
            <w:r w:rsidR="00B55128" w:rsidRPr="00073574">
              <w:t>.</w:t>
            </w:r>
          </w:p>
          <w:p w14:paraId="37A57462" w14:textId="219046A7" w:rsidR="0045439A" w:rsidRPr="00073574" w:rsidRDefault="6715698D" w:rsidP="634A3A28">
            <w:pPr>
              <w:pStyle w:val="ListParagraph"/>
              <w:numPr>
                <w:ilvl w:val="0"/>
                <w:numId w:val="28"/>
              </w:numPr>
              <w:contextualSpacing w:val="0"/>
            </w:pPr>
            <w:r w:rsidRPr="00073574">
              <w:t xml:space="preserve">SG3 is studying </w:t>
            </w:r>
            <w:r w:rsidR="07D4EB88" w:rsidRPr="00073574">
              <w:t xml:space="preserve">the </w:t>
            </w:r>
            <w:r w:rsidRPr="00073574">
              <w:t>work item STUDY_ACPMIS</w:t>
            </w:r>
            <w:r w:rsidR="07D4EB88" w:rsidRPr="00073574">
              <w:t xml:space="preserve">, </w:t>
            </w:r>
            <w:r w:rsidRPr="00073574">
              <w:t xml:space="preserve">Alternative Calling Procedures, and misappropriation and misuse of facilities and services (CLI, CPND and OI), and </w:t>
            </w:r>
            <w:r w:rsidR="07D4EB88" w:rsidRPr="00073574">
              <w:t xml:space="preserve">the </w:t>
            </w:r>
            <w:r w:rsidRPr="00073574">
              <w:t>work item D.SIMBOX</w:t>
            </w:r>
            <w:r w:rsidR="07D4EB88" w:rsidRPr="00073574">
              <w:t>,</w:t>
            </w:r>
            <w:r w:rsidRPr="00073574">
              <w:t xml:space="preserve"> the economic impact of SIMBOX bypass.</w:t>
            </w:r>
          </w:p>
          <w:p w14:paraId="20B51630" w14:textId="1B817B0A" w:rsidR="004E10D4" w:rsidRPr="00073574" w:rsidRDefault="6EB534BC" w:rsidP="634A3A28">
            <w:pPr>
              <w:pStyle w:val="ListParagraph"/>
              <w:numPr>
                <w:ilvl w:val="0"/>
                <w:numId w:val="28"/>
              </w:numPr>
              <w:spacing w:after="40"/>
              <w:ind w:left="357" w:hanging="357"/>
              <w:contextualSpacing w:val="0"/>
            </w:pPr>
            <w:r w:rsidRPr="00073574">
              <w:t xml:space="preserve">SG11 </w:t>
            </w:r>
            <w:r w:rsidR="6135BF21" w:rsidRPr="00073574">
              <w:t xml:space="preserve">revised set of </w:t>
            </w:r>
            <w:r w:rsidRPr="00073574">
              <w:t>Recommendation</w:t>
            </w:r>
            <w:r w:rsidR="6135BF21" w:rsidRPr="00073574">
              <w:t>s</w:t>
            </w:r>
            <w:r w:rsidRPr="00073574">
              <w:t xml:space="preserve"> ITU-T Q.731.3</w:t>
            </w:r>
            <w:r w:rsidR="6135BF21" w:rsidRPr="00073574">
              <w:t>-Q.731.6</w:t>
            </w:r>
            <w:r w:rsidRPr="00073574">
              <w:t xml:space="preserve"> and </w:t>
            </w:r>
            <w:r w:rsidR="34122391" w:rsidRPr="00073574">
              <w:t>approved ITU-T Q.3057</w:t>
            </w:r>
            <w:r w:rsidRPr="00073574">
              <w:t xml:space="preserve"> “Signalling requirements and architecture for interconnection between trustable network entities”.</w:t>
            </w:r>
            <w:r w:rsidR="09942FEC" w:rsidRPr="00073574">
              <w:t xml:space="preserve"> SG11 organized a Brainstorming session on SS7 vulnerabilities on 22 October 2019.</w:t>
            </w:r>
            <w:r w:rsidR="22EFF16C" w:rsidRPr="00073574">
              <w:t xml:space="preserve"> SG11 is developing new draft Recommendation Q.CIDA “Signalling requirements of calling line identification authentication”</w:t>
            </w:r>
            <w:r w:rsidR="0095589E" w:rsidRPr="00073574">
              <w:t xml:space="preserve"> and </w:t>
            </w:r>
            <w:r w:rsidR="006F328D" w:rsidRPr="00073574">
              <w:t>Q.Pro-Trust “</w:t>
            </w:r>
            <w:r w:rsidR="003D15C3" w:rsidRPr="00073574">
              <w:t>Signalling procedures and protocols for enabling interconnection between trustable network entities in support of existing and emerging networks</w:t>
            </w:r>
            <w:r w:rsidR="006F328D" w:rsidRPr="00073574">
              <w:t>”</w:t>
            </w:r>
            <w:r w:rsidR="22EFF16C" w:rsidRPr="00073574">
              <w:t>.</w:t>
            </w:r>
            <w:r w:rsidR="00222939" w:rsidRPr="00073574">
              <w:t xml:space="preserve"> </w:t>
            </w:r>
            <w:r w:rsidR="00925686" w:rsidRPr="00073574">
              <w:t xml:space="preserve">In </w:t>
            </w:r>
            <w:r w:rsidR="008A26B2" w:rsidRPr="00073574">
              <w:t>N</w:t>
            </w:r>
            <w:r w:rsidR="00925686" w:rsidRPr="00073574">
              <w:t xml:space="preserve">ovember 2021, SG11 in close collaboration with SG2 and SG17 </w:t>
            </w:r>
            <w:r w:rsidR="008A26B2" w:rsidRPr="00073574">
              <w:t>organized</w:t>
            </w:r>
            <w:r w:rsidR="00925686" w:rsidRPr="00073574">
              <w:t xml:space="preserve"> ITU Workshop on “Improving the security of signalling protocols”.</w:t>
            </w:r>
          </w:p>
        </w:tc>
      </w:tr>
      <w:tr w:rsidR="00F0236A" w:rsidRPr="00073574" w14:paraId="7B225CFC" w14:textId="77777777" w:rsidTr="634A3A28">
        <w:trPr>
          <w:cantSplit/>
          <w:jc w:val="center"/>
        </w:trPr>
        <w:tc>
          <w:tcPr>
            <w:tcW w:w="910" w:type="dxa"/>
            <w:vMerge w:val="restart"/>
            <w:tcBorders>
              <w:top w:val="single" w:sz="12" w:space="0" w:color="auto"/>
            </w:tcBorders>
            <w:shd w:val="clear" w:color="auto" w:fill="auto"/>
          </w:tcPr>
          <w:p w14:paraId="2F8872DA" w14:textId="77777777" w:rsidR="00F0236A" w:rsidRPr="00073574" w:rsidRDefault="00F0236A" w:rsidP="008F2BEB">
            <w:pPr>
              <w:pStyle w:val="Tabletext"/>
              <w:keepNext/>
              <w:keepLines/>
              <w:rPr>
                <w:b/>
                <w:bCs/>
                <w:sz w:val="24"/>
                <w:szCs w:val="24"/>
              </w:rPr>
            </w:pPr>
            <w:r w:rsidRPr="00073574">
              <w:rPr>
                <w:b/>
                <w:bCs/>
                <w:sz w:val="24"/>
                <w:szCs w:val="24"/>
              </w:rPr>
              <w:t>65-02</w:t>
            </w:r>
          </w:p>
        </w:tc>
        <w:tc>
          <w:tcPr>
            <w:tcW w:w="4554" w:type="dxa"/>
            <w:tcBorders>
              <w:top w:val="single" w:sz="12" w:space="0" w:color="auto"/>
            </w:tcBorders>
            <w:shd w:val="clear" w:color="auto" w:fill="auto"/>
          </w:tcPr>
          <w:p w14:paraId="20AAE84B" w14:textId="77777777" w:rsidR="00F0236A" w:rsidRPr="00073574" w:rsidRDefault="00F0236A" w:rsidP="00DF36E1">
            <w:pPr>
              <w:pStyle w:val="Tabletext"/>
              <w:rPr>
                <w:b/>
                <w:bCs/>
                <w:sz w:val="24"/>
                <w:szCs w:val="24"/>
              </w:rPr>
            </w:pPr>
            <w:r w:rsidRPr="00073574">
              <w:rPr>
                <w:b/>
                <w:bCs/>
                <w:sz w:val="24"/>
                <w:szCs w:val="24"/>
              </w:rPr>
              <w:t>SGs to expedite work on Recommendations that would provide additional detail and guidance for the implementation of this resolution</w:t>
            </w:r>
          </w:p>
        </w:tc>
        <w:tc>
          <w:tcPr>
            <w:tcW w:w="1884" w:type="dxa"/>
            <w:tcBorders>
              <w:top w:val="single" w:sz="12" w:space="0" w:color="auto"/>
            </w:tcBorders>
            <w:shd w:val="clear" w:color="auto" w:fill="auto"/>
            <w:vAlign w:val="center"/>
          </w:tcPr>
          <w:p w14:paraId="579E4994"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48" w:type="dxa"/>
            <w:tcBorders>
              <w:top w:val="single" w:sz="12" w:space="0" w:color="auto"/>
            </w:tcBorders>
            <w:shd w:val="clear" w:color="auto" w:fill="auto"/>
            <w:vAlign w:val="center"/>
          </w:tcPr>
          <w:p w14:paraId="6E79A5C7"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4BD9BC87" w14:textId="77777777" w:rsidR="00F0236A" w:rsidRPr="00073574" w:rsidRDefault="00F0236A" w:rsidP="00DF36E1">
            <w:pPr>
              <w:pStyle w:val="Tabletext"/>
              <w:jc w:val="center"/>
              <w:rPr>
                <w:b/>
                <w:bCs/>
                <w:sz w:val="24"/>
                <w:szCs w:val="24"/>
              </w:rPr>
            </w:pPr>
          </w:p>
        </w:tc>
      </w:tr>
      <w:tr w:rsidR="00F0236A" w:rsidRPr="00073574" w14:paraId="60552549" w14:textId="77777777" w:rsidTr="634A3A28">
        <w:trPr>
          <w:cantSplit/>
          <w:jc w:val="center"/>
        </w:trPr>
        <w:tc>
          <w:tcPr>
            <w:tcW w:w="910" w:type="dxa"/>
            <w:vMerge/>
          </w:tcPr>
          <w:p w14:paraId="7056167F" w14:textId="77777777" w:rsidR="00F0236A" w:rsidRPr="00073574" w:rsidRDefault="00F0236A" w:rsidP="00DF36E1">
            <w:pPr>
              <w:pStyle w:val="Tabletext"/>
              <w:rPr>
                <w:sz w:val="24"/>
                <w:szCs w:val="24"/>
              </w:rPr>
            </w:pPr>
          </w:p>
        </w:tc>
        <w:tc>
          <w:tcPr>
            <w:tcW w:w="8922" w:type="dxa"/>
            <w:gridSpan w:val="4"/>
            <w:tcBorders>
              <w:bottom w:val="single" w:sz="12" w:space="0" w:color="auto"/>
            </w:tcBorders>
            <w:shd w:val="clear" w:color="auto" w:fill="auto"/>
          </w:tcPr>
          <w:p w14:paraId="2628D8A8" w14:textId="77777777" w:rsidR="00F0236A" w:rsidRPr="00073574" w:rsidRDefault="005925BA" w:rsidP="001E63F9">
            <w:pPr>
              <w:pStyle w:val="Tabletext"/>
              <w:rPr>
                <w:szCs w:val="22"/>
              </w:rPr>
            </w:pPr>
            <w:r w:rsidRPr="00073574">
              <w:rPr>
                <w:szCs w:val="22"/>
              </w:rPr>
              <w:t>SG2</w:t>
            </w:r>
            <w:r w:rsidR="00DA1C8B" w:rsidRPr="00073574">
              <w:rPr>
                <w:szCs w:val="22"/>
              </w:rPr>
              <w:t xml:space="preserve"> </w:t>
            </w:r>
            <w:r w:rsidR="00344430" w:rsidRPr="00073574">
              <w:rPr>
                <w:szCs w:val="22"/>
              </w:rPr>
              <w:t xml:space="preserve">has </w:t>
            </w:r>
            <w:r w:rsidR="001A3D04" w:rsidRPr="00073574">
              <w:rPr>
                <w:szCs w:val="22"/>
              </w:rPr>
              <w:t xml:space="preserve">Approved </w:t>
            </w:r>
            <w:r w:rsidR="00DA1C8B" w:rsidRPr="00073574">
              <w:rPr>
                <w:szCs w:val="22"/>
              </w:rPr>
              <w:t>Recommendation ITU-T E.157 (revised) “International calling party number delivery”</w:t>
            </w:r>
            <w:r w:rsidR="004020F6" w:rsidRPr="00073574">
              <w:rPr>
                <w:szCs w:val="22"/>
              </w:rPr>
              <w:t xml:space="preserve"> and Approved by Agreement a</w:t>
            </w:r>
            <w:r w:rsidRPr="00073574">
              <w:rPr>
                <w:szCs w:val="22"/>
              </w:rPr>
              <w:t xml:space="preserve"> new </w:t>
            </w:r>
            <w:r w:rsidR="0042075B" w:rsidRPr="00073574">
              <w:rPr>
                <w:szCs w:val="22"/>
              </w:rPr>
              <w:t>Technical Report</w:t>
            </w:r>
            <w:r w:rsidRPr="00073574">
              <w:rPr>
                <w:szCs w:val="22"/>
              </w:rPr>
              <w:t xml:space="preserve"> on spoofing </w:t>
            </w:r>
            <w:r w:rsidR="00CD2EA7" w:rsidRPr="00073574">
              <w:rPr>
                <w:szCs w:val="22"/>
              </w:rPr>
              <w:t>at its e-meeting held from 31 May to 11 June 2021.</w:t>
            </w:r>
          </w:p>
          <w:p w14:paraId="31A9F628" w14:textId="05702F1F" w:rsidR="0052283C" w:rsidRPr="00073574" w:rsidRDefault="0052283C" w:rsidP="001E63F9">
            <w:pPr>
              <w:pStyle w:val="Tabletext"/>
              <w:rPr>
                <w:szCs w:val="22"/>
              </w:rPr>
            </w:pPr>
            <w:r w:rsidRPr="00073574">
              <w:rPr>
                <w:szCs w:val="22"/>
              </w:rPr>
              <w:t xml:space="preserve">SG17 developed </w:t>
            </w:r>
            <w:r w:rsidR="006D0B88" w:rsidRPr="00073574">
              <w:t xml:space="preserve">ITU-T </w:t>
            </w:r>
            <w:r w:rsidR="0048185F" w:rsidRPr="00073574">
              <w:rPr>
                <w:szCs w:val="22"/>
              </w:rPr>
              <w:t xml:space="preserve">X.Sup35 </w:t>
            </w:r>
            <w:r w:rsidR="00F44B1C" w:rsidRPr="00073574">
              <w:rPr>
                <w:szCs w:val="22"/>
              </w:rPr>
              <w:t>Supplement to ITU-T X.1254 on use cases of entity authentication assurance (EAA) framework.</w:t>
            </w:r>
          </w:p>
        </w:tc>
      </w:tr>
      <w:tr w:rsidR="00F0236A" w:rsidRPr="00073574" w14:paraId="2532644F" w14:textId="77777777" w:rsidTr="634A3A28">
        <w:trPr>
          <w:cantSplit/>
          <w:jc w:val="center"/>
        </w:trPr>
        <w:tc>
          <w:tcPr>
            <w:tcW w:w="910" w:type="dxa"/>
            <w:vMerge w:val="restart"/>
            <w:tcBorders>
              <w:top w:val="single" w:sz="12" w:space="0" w:color="auto"/>
            </w:tcBorders>
            <w:shd w:val="clear" w:color="auto" w:fill="auto"/>
          </w:tcPr>
          <w:p w14:paraId="3D8449AC" w14:textId="77777777" w:rsidR="00F0236A" w:rsidRPr="00073574" w:rsidRDefault="00F0236A" w:rsidP="00B242DF">
            <w:pPr>
              <w:pStyle w:val="Tabletext"/>
              <w:rPr>
                <w:b/>
                <w:bCs/>
                <w:sz w:val="24"/>
                <w:szCs w:val="24"/>
              </w:rPr>
            </w:pPr>
            <w:r w:rsidRPr="00073574">
              <w:rPr>
                <w:b/>
                <w:bCs/>
                <w:sz w:val="24"/>
                <w:szCs w:val="24"/>
              </w:rPr>
              <w:t>65-03</w:t>
            </w:r>
          </w:p>
        </w:tc>
        <w:tc>
          <w:tcPr>
            <w:tcW w:w="4554" w:type="dxa"/>
            <w:tcBorders>
              <w:top w:val="single" w:sz="12" w:space="0" w:color="auto"/>
            </w:tcBorders>
            <w:shd w:val="clear" w:color="auto" w:fill="auto"/>
            <w:hideMark/>
          </w:tcPr>
          <w:p w14:paraId="170B1165" w14:textId="58CE448D" w:rsidR="00F0236A" w:rsidRPr="00073574" w:rsidRDefault="00F0236A" w:rsidP="00DF36E1">
            <w:pPr>
              <w:pStyle w:val="Tabletext"/>
              <w:keepNext/>
              <w:keepLines/>
              <w:rPr>
                <w:b/>
                <w:bCs/>
                <w:sz w:val="24"/>
                <w:szCs w:val="24"/>
              </w:rPr>
            </w:pPr>
            <w:r w:rsidRPr="00073574">
              <w:rPr>
                <w:b/>
                <w:bCs/>
                <w:sz w:val="24"/>
                <w:szCs w:val="24"/>
              </w:rPr>
              <w:t>TSB Director to report [to WTSA-20] on progress achieved by study groups in implementing Resolution 65</w:t>
            </w:r>
            <w:r w:rsidR="001B05D8" w:rsidRPr="00073574">
              <w:rPr>
                <w:b/>
                <w:bCs/>
                <w:sz w:val="24"/>
                <w:szCs w:val="24"/>
              </w:rPr>
              <w:t xml:space="preserve"> [instructs 3]</w:t>
            </w:r>
          </w:p>
        </w:tc>
        <w:tc>
          <w:tcPr>
            <w:tcW w:w="1884" w:type="dxa"/>
            <w:tcBorders>
              <w:top w:val="single" w:sz="12" w:space="0" w:color="auto"/>
            </w:tcBorders>
            <w:shd w:val="clear" w:color="auto" w:fill="auto"/>
            <w:vAlign w:val="center"/>
          </w:tcPr>
          <w:p w14:paraId="1EA7153A" w14:textId="77777777" w:rsidR="00F0236A" w:rsidRPr="00073574" w:rsidRDefault="00F0236A" w:rsidP="00DF36E1">
            <w:pPr>
              <w:pStyle w:val="Tabletext"/>
              <w:jc w:val="center"/>
              <w:rPr>
                <w:b/>
                <w:bCs/>
                <w:sz w:val="24"/>
                <w:szCs w:val="24"/>
              </w:rPr>
            </w:pPr>
            <w:r w:rsidRPr="00073574">
              <w:rPr>
                <w:b/>
                <w:bCs/>
                <w:sz w:val="24"/>
                <w:szCs w:val="24"/>
              </w:rPr>
              <w:t>WTSA-20</w:t>
            </w:r>
          </w:p>
        </w:tc>
        <w:tc>
          <w:tcPr>
            <w:tcW w:w="1148" w:type="dxa"/>
            <w:tcBorders>
              <w:top w:val="single" w:sz="12" w:space="0" w:color="auto"/>
            </w:tcBorders>
            <w:shd w:val="clear" w:color="auto" w:fill="auto"/>
            <w:vAlign w:val="center"/>
          </w:tcPr>
          <w:p w14:paraId="0AE61B21" w14:textId="1BAAABE2" w:rsidR="00F0236A" w:rsidRPr="00073574" w:rsidRDefault="00F9149A"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38AB7849" w14:textId="4F78364A" w:rsidR="00F0236A" w:rsidRPr="00073574" w:rsidRDefault="00F9149A" w:rsidP="00DF36E1">
            <w:pPr>
              <w:pStyle w:val="Tabletext"/>
              <w:jc w:val="center"/>
              <w:rPr>
                <w:b/>
                <w:bCs/>
                <w:sz w:val="24"/>
                <w:szCs w:val="24"/>
              </w:rPr>
            </w:pPr>
            <w:r w:rsidRPr="00073574">
              <w:rPr>
                <w:b/>
                <w:bCs/>
                <w:sz w:val="24"/>
                <w:szCs w:val="24"/>
              </w:rPr>
              <w:t>√</w:t>
            </w:r>
          </w:p>
        </w:tc>
      </w:tr>
      <w:tr w:rsidR="00F0236A" w:rsidRPr="00073574" w14:paraId="24952CAC" w14:textId="77777777" w:rsidTr="00B242DF">
        <w:trPr>
          <w:jc w:val="center"/>
        </w:trPr>
        <w:tc>
          <w:tcPr>
            <w:tcW w:w="910" w:type="dxa"/>
            <w:vMerge/>
            <w:vAlign w:val="center"/>
          </w:tcPr>
          <w:p w14:paraId="193EF1BC" w14:textId="77777777" w:rsidR="00F0236A" w:rsidRPr="00073574" w:rsidRDefault="00F0236A" w:rsidP="00DF36E1">
            <w:pPr>
              <w:pStyle w:val="Tabletext"/>
              <w:rPr>
                <w:sz w:val="24"/>
                <w:szCs w:val="24"/>
              </w:rPr>
            </w:pPr>
          </w:p>
        </w:tc>
        <w:tc>
          <w:tcPr>
            <w:tcW w:w="8922" w:type="dxa"/>
            <w:gridSpan w:val="4"/>
            <w:shd w:val="clear" w:color="auto" w:fill="auto"/>
          </w:tcPr>
          <w:p w14:paraId="7DC66D33" w14:textId="52712005" w:rsidR="00650047" w:rsidRPr="00073574" w:rsidRDefault="00FD7602" w:rsidP="00650047">
            <w:pPr>
              <w:rPr>
                <w:szCs w:val="22"/>
              </w:rPr>
            </w:pPr>
            <w:r w:rsidRPr="00073574">
              <w:rPr>
                <w:szCs w:val="22"/>
              </w:rPr>
              <w:t>Resolution 65 (</w:t>
            </w:r>
            <w:r w:rsidR="00D57378" w:rsidRPr="00073574">
              <w:rPr>
                <w:szCs w:val="22"/>
              </w:rPr>
              <w:t>Rev. Hammamet, 2016</w:t>
            </w:r>
            <w:r w:rsidRPr="00073574">
              <w:rPr>
                <w:szCs w:val="22"/>
              </w:rPr>
              <w:t>) on “Calling party number delivery, calling line identification and origin identification information”</w:t>
            </w:r>
            <w:r w:rsidRPr="00073574">
              <w:rPr>
                <w:i/>
                <w:iCs/>
                <w:szCs w:val="22"/>
              </w:rPr>
              <w:t xml:space="preserve"> </w:t>
            </w:r>
            <w:r w:rsidR="005241EE" w:rsidRPr="00073574">
              <w:rPr>
                <w:szCs w:val="22"/>
              </w:rPr>
              <w:t>i</w:t>
            </w:r>
            <w:r w:rsidR="00C33749" w:rsidRPr="00073574">
              <w:rPr>
                <w:szCs w:val="22"/>
              </w:rPr>
              <w:t xml:space="preserve">nstructs </w:t>
            </w:r>
            <w:r w:rsidR="00650047" w:rsidRPr="00073574">
              <w:rPr>
                <w:szCs w:val="22"/>
              </w:rPr>
              <w:t xml:space="preserve">the Director of the TSB to report on the progress achieved by the study groups in implementing this resolution, which is intended to </w:t>
            </w:r>
            <w:r w:rsidR="00650047" w:rsidRPr="00073574">
              <w:rPr>
                <w:szCs w:val="22"/>
              </w:rPr>
              <w:lastRenderedPageBreak/>
              <w:t>improve security and minimize fraud, and minimize technical harm as called for by Article 42 of the Constitution</w:t>
            </w:r>
            <w:r w:rsidR="00C33749" w:rsidRPr="00073574">
              <w:rPr>
                <w:szCs w:val="22"/>
              </w:rPr>
              <w:t>:</w:t>
            </w:r>
          </w:p>
          <w:p w14:paraId="2968B62F" w14:textId="45FC9DE6" w:rsidR="004D6DC2" w:rsidRPr="00073574" w:rsidRDefault="00BD266C">
            <w:pPr>
              <w:pStyle w:val="Tabletext"/>
              <w:rPr>
                <w:szCs w:val="22"/>
              </w:rPr>
            </w:pPr>
            <w:r w:rsidRPr="00073574">
              <w:rPr>
                <w:szCs w:val="22"/>
              </w:rPr>
              <w:t xml:space="preserve">In </w:t>
            </w:r>
            <w:r w:rsidR="00A0091D" w:rsidRPr="00073574">
              <w:rPr>
                <w:szCs w:val="22"/>
              </w:rPr>
              <w:t xml:space="preserve">June 2021, </w:t>
            </w:r>
            <w:r w:rsidR="00F24299" w:rsidRPr="00073574">
              <w:rPr>
                <w:szCs w:val="22"/>
              </w:rPr>
              <w:t>ITU-T SG2</w:t>
            </w:r>
            <w:r w:rsidR="00A0091D" w:rsidRPr="00073574">
              <w:rPr>
                <w:szCs w:val="22"/>
              </w:rPr>
              <w:t xml:space="preserve"> Approved an updated version of E.157, "</w:t>
            </w:r>
            <w:r w:rsidR="00187F4A" w:rsidRPr="00073574">
              <w:rPr>
                <w:szCs w:val="22"/>
              </w:rPr>
              <w:t>International calling party number delivery</w:t>
            </w:r>
            <w:r w:rsidR="00A0091D" w:rsidRPr="00073574">
              <w:rPr>
                <w:szCs w:val="22"/>
              </w:rPr>
              <w:t>"</w:t>
            </w:r>
            <w:r w:rsidR="00656DD6" w:rsidRPr="00073574">
              <w:rPr>
                <w:szCs w:val="22"/>
              </w:rPr>
              <w:t xml:space="preserve">, </w:t>
            </w:r>
            <w:r w:rsidR="003650B6" w:rsidRPr="00073574">
              <w:rPr>
                <w:szCs w:val="22"/>
              </w:rPr>
              <w:t>which updates this Recommendation to ensure that originating operators shall be able to identify the calling party number that originated an international call; that originating and transit operators shall ensure the provision of the CPN over international networks, unless the calling party requests restriction; and that if the CPN is missing or incorrect, it may be replaced at the discretion of the national regulatory authority</w:t>
            </w:r>
            <w:r w:rsidR="00734EE4" w:rsidRPr="00073574">
              <w:rPr>
                <w:szCs w:val="22"/>
              </w:rPr>
              <w:t xml:space="preserve"> by a special allocated number.</w:t>
            </w:r>
            <w:r w:rsidR="007C7F4D" w:rsidRPr="00073574">
              <w:rPr>
                <w:szCs w:val="22"/>
              </w:rPr>
              <w:t xml:space="preserve"> The </w:t>
            </w:r>
            <w:r w:rsidR="00660D34" w:rsidRPr="00073574">
              <w:rPr>
                <w:szCs w:val="22"/>
              </w:rPr>
              <w:t>Technical Report on "Countering spoofing" provides information that could assist in implementing measures to counter spoofing.</w:t>
            </w:r>
            <w:r w:rsidR="00DA2B0A" w:rsidRPr="00073574">
              <w:rPr>
                <w:szCs w:val="22"/>
              </w:rPr>
              <w:t xml:space="preserve"> In addition to the work described above</w:t>
            </w:r>
            <w:r w:rsidR="00297620" w:rsidRPr="00073574">
              <w:rPr>
                <w:szCs w:val="22"/>
              </w:rPr>
              <w:t xml:space="preserve"> (65-01)</w:t>
            </w:r>
            <w:r w:rsidR="00DA2B0A" w:rsidRPr="00073574">
              <w:rPr>
                <w:szCs w:val="22"/>
              </w:rPr>
              <w:t xml:space="preserve">, the SG2 experts </w:t>
            </w:r>
            <w:r w:rsidR="00297620" w:rsidRPr="00073574">
              <w:rPr>
                <w:szCs w:val="22"/>
              </w:rPr>
              <w:t>discussed the</w:t>
            </w:r>
            <w:r w:rsidR="00DA2B0A" w:rsidRPr="00073574">
              <w:rPr>
                <w:szCs w:val="22"/>
              </w:rPr>
              <w:t xml:space="preserve"> "Global adaptation of STIR/SHAKEN" at the June 2021 meeting (SG2-TD1440/G), which was further discussed at the Q1/2 RGM (e-meeting, 6-10 September 2021).</w:t>
            </w:r>
            <w:r w:rsidR="00B64AC0" w:rsidRPr="00073574">
              <w:rPr>
                <w:szCs w:val="22"/>
              </w:rPr>
              <w:t xml:space="preserve"> Further study is dependent on the submission of Contributions to future meetings.</w:t>
            </w:r>
          </w:p>
          <w:p w14:paraId="2BCFADDC" w14:textId="2A01E7E9" w:rsidR="00E33EB8" w:rsidRPr="00073574" w:rsidRDefault="00E33EB8" w:rsidP="00E33EB8">
            <w:pPr>
              <w:pStyle w:val="Tabletext"/>
              <w:rPr>
                <w:szCs w:val="22"/>
              </w:rPr>
            </w:pPr>
            <w:r w:rsidRPr="00073574">
              <w:rPr>
                <w:szCs w:val="22"/>
              </w:rPr>
              <w:t>ITU-T SG11 has been developing a set of standards on this matter. ITU-T SG11 revised Recommendations ITU-T Q.731.3, Q.731.4, Q.731.5 and Q.731.6, in order to specify an exceptional procedure for transit exchange connected to CPE (Customer Premises Equipment) with the purpose of providing predefined calling party number by the originating operator. For the time being, the implementation of such a change is in the hands of states and their legislation. Also, SG11 developed new Recommendation ITU T Q.3057, which defines the signalling architecture and requirements for interconnection between trustable network entities in support of existing and emerging networks. This approach may help financial institutions to build trustable connection with their customers.</w:t>
            </w:r>
          </w:p>
          <w:p w14:paraId="594D9C26" w14:textId="77777777" w:rsidR="00E33EB8" w:rsidRPr="00073574" w:rsidRDefault="00E33EB8" w:rsidP="00E33EB8">
            <w:pPr>
              <w:pStyle w:val="Tabletext"/>
              <w:rPr>
                <w:szCs w:val="22"/>
              </w:rPr>
            </w:pPr>
            <w:r w:rsidRPr="00073574">
              <w:rPr>
                <w:szCs w:val="22"/>
              </w:rPr>
              <w:t>SG11 continues its standardization focused on improving protocols and signalling messages exchange that may mitigate telephone fraud and spoofing. Additionally, the ongoing work of SG11 focuses on extension of the Recommendation ITU-T Q.3057 by defining algorithms for checking certificates for different protocols using Signalling Security Gateway (SSGW), which validates the signatures of other operator's certificates and allowing or blocking the signalling packets.</w:t>
            </w:r>
          </w:p>
          <w:p w14:paraId="75349F01" w14:textId="116C45BC" w:rsidR="00E33EB8" w:rsidRPr="00073574" w:rsidRDefault="00E33EB8" w:rsidP="00E33EB8">
            <w:pPr>
              <w:pStyle w:val="Tabletext"/>
              <w:rPr>
                <w:szCs w:val="22"/>
              </w:rPr>
            </w:pPr>
            <w:r w:rsidRPr="00073574">
              <w:rPr>
                <w:szCs w:val="22"/>
              </w:rPr>
              <w:t>The requirements for Trusted Signalling Certification Authority (TSCA) and the framework on issuing and distribution of certificates among different operators need to be standardized. In this regard, ITU-T SG11 collaborates with ITU-T SG2, SG17 and other SDOs on this subject matter.</w:t>
            </w:r>
          </w:p>
          <w:p w14:paraId="54F21221" w14:textId="77777777" w:rsidR="00AE1609" w:rsidRPr="00073574" w:rsidRDefault="004D6DC2" w:rsidP="00AE1609">
            <w:pPr>
              <w:pStyle w:val="Tabletext"/>
              <w:rPr>
                <w:szCs w:val="22"/>
              </w:rPr>
            </w:pPr>
            <w:r w:rsidRPr="00073574">
              <w:rPr>
                <w:szCs w:val="22"/>
              </w:rPr>
              <w:t xml:space="preserve">ITU-T SG2, SG11 and SG17 experts participated in the </w:t>
            </w:r>
            <w:r w:rsidR="00A418DF" w:rsidRPr="00073574">
              <w:rPr>
                <w:szCs w:val="22"/>
              </w:rPr>
              <w:t>ITU Workshop on "Improving the security of signalling protocols" on 29 November 2021.</w:t>
            </w:r>
            <w:r w:rsidR="00601CC8" w:rsidRPr="00073574">
              <w:rPr>
                <w:szCs w:val="22"/>
              </w:rPr>
              <w:t xml:space="preserve"> The workshop aimed to exchange views on different measures to cope with the vulnerabilities of existing networks, services and protocols. The brainstorming session focused on the potential way forward to enhance the security mechanisms for different protocols.</w:t>
            </w:r>
            <w:r w:rsidR="00AE1609" w:rsidRPr="00073574">
              <w:rPr>
                <w:szCs w:val="22"/>
              </w:rPr>
              <w:t xml:space="preserve"> It was highlighted the importance to build a hierarchy of trust, country/regional first, then global where the digital certificates must be interoperable across different domains (SIP, SS7 and others). Also, it was pointed out that the trust anchor needs to be a globally trusted SDO, preferably one which is already in charge of numbering and this anchor must interoperate with existing repositories. It was indicated that there is a need to formulate a way to standardize these local/regional certification processes in order to keep the bad actors out. This standardization process should involve as many countries as possible in order to improve its applicability on the global scale. This certification process standardization must be connected to a largely accepted digital identity management frameworks for the operator plane and for the individual plane (Calling Line Identification - CLI), for example STIR/SHAKEN &amp; ITU-T Q.3057, GANA for the operator plane and SG17's IdM for the individual plane can be considered.</w:t>
            </w:r>
          </w:p>
          <w:p w14:paraId="1ECC7445" w14:textId="61FC3393" w:rsidR="00F0236A" w:rsidRPr="00073574" w:rsidDel="00D53BBF" w:rsidRDefault="00AE1609">
            <w:pPr>
              <w:pStyle w:val="Tabletext"/>
              <w:rPr>
                <w:szCs w:val="22"/>
              </w:rPr>
            </w:pPr>
            <w:r w:rsidRPr="00073574">
              <w:rPr>
                <w:szCs w:val="22"/>
              </w:rPr>
              <w:t xml:space="preserve">The key takeaways of the Workshop are available in </w:t>
            </w:r>
            <w:hyperlink r:id="rId467" w:history="1">
              <w:r w:rsidRPr="00073574">
                <w:rPr>
                  <w:rStyle w:val="Hyperlink"/>
                  <w:szCs w:val="22"/>
                </w:rPr>
                <w:t>SG11-TD1874/GEN</w:t>
              </w:r>
            </w:hyperlink>
            <w:r w:rsidRPr="00073574">
              <w:rPr>
                <w:szCs w:val="22"/>
              </w:rPr>
              <w:t>.</w:t>
            </w:r>
          </w:p>
        </w:tc>
      </w:tr>
    </w:tbl>
    <w:p w14:paraId="7868AE1E" w14:textId="1859E327" w:rsidR="7277BFE4" w:rsidRPr="00073574" w:rsidRDefault="7277BFE4">
      <w:bookmarkStart w:id="314" w:name="Item65_01"/>
      <w:bookmarkStart w:id="315" w:name="Item65_02"/>
      <w:bookmarkStart w:id="316" w:name="Item65_03"/>
      <w:bookmarkEnd w:id="314"/>
      <w:bookmarkEnd w:id="315"/>
      <w:bookmarkEnd w:id="316"/>
    </w:p>
    <w:p w14:paraId="09DF7F68" w14:textId="77777777" w:rsidR="00F0236A" w:rsidRPr="00073574" w:rsidRDefault="0053741E" w:rsidP="00F0236A">
      <w:pPr>
        <w:rPr>
          <w:sz w:val="24"/>
        </w:rPr>
      </w:pPr>
      <w:hyperlink w:anchor="Top" w:history="1">
        <w:r w:rsidR="00F0236A" w:rsidRPr="00073574">
          <w:rPr>
            <w:rStyle w:val="Hyperlink"/>
            <w:rFonts w:eastAsia="Times New Roman"/>
            <w:sz w:val="24"/>
          </w:rPr>
          <w:t>» Top</w:t>
        </w:r>
      </w:hyperlink>
    </w:p>
    <w:p w14:paraId="5E275FBE" w14:textId="77777777" w:rsidR="00F0236A" w:rsidRPr="00073574" w:rsidRDefault="00F0236A" w:rsidP="00F0236A">
      <w:pPr>
        <w:rPr>
          <w:sz w:val="24"/>
        </w:rPr>
      </w:pPr>
    </w:p>
    <w:p w14:paraId="2790E73F" w14:textId="77777777" w:rsidR="00F0236A" w:rsidRPr="00073574" w:rsidRDefault="00F0236A" w:rsidP="00F0236A">
      <w:pPr>
        <w:pStyle w:val="Heading1"/>
        <w:keepNext/>
        <w:rPr>
          <w:sz w:val="24"/>
          <w:szCs w:val="24"/>
          <w:lang w:val="en-GB"/>
        </w:rPr>
      </w:pPr>
      <w:bookmarkStart w:id="317" w:name="Resolution_66"/>
      <w:bookmarkStart w:id="318" w:name="_Toc304236450"/>
      <w:bookmarkStart w:id="319" w:name="_Toc471715383"/>
      <w:bookmarkStart w:id="320" w:name="_Toc93425269"/>
      <w:bookmarkEnd w:id="317"/>
      <w:r w:rsidRPr="00073574">
        <w:rPr>
          <w:sz w:val="24"/>
          <w:szCs w:val="24"/>
          <w:lang w:val="en-GB"/>
        </w:rPr>
        <w:t>Resolution 66 - Technology Watch in the Telecommunication Standardization Bureau</w:t>
      </w:r>
      <w:bookmarkEnd w:id="318"/>
      <w:bookmarkEnd w:id="319"/>
      <w:bookmarkEnd w:id="320"/>
    </w:p>
    <w:p w14:paraId="7D0432F3" w14:textId="77777777" w:rsidR="00F0236A" w:rsidRPr="00073574" w:rsidRDefault="00F0236A" w:rsidP="00F0236A">
      <w:pPr>
        <w:rPr>
          <w:b/>
          <w:bCs/>
          <w:sz w:val="24"/>
        </w:rPr>
      </w:pPr>
      <w:r w:rsidRPr="00073574">
        <w:rPr>
          <w:b/>
          <w:bCs/>
          <w:sz w:val="24"/>
        </w:rPr>
        <w:t>Resolution 66</w:t>
      </w:r>
    </w:p>
    <w:p w14:paraId="25239707" w14:textId="77777777" w:rsidR="00F0236A" w:rsidRPr="00073574" w:rsidRDefault="00F0236A" w:rsidP="00F0236A">
      <w:pPr>
        <w:pStyle w:val="Call"/>
        <w:rPr>
          <w:sz w:val="24"/>
          <w:szCs w:val="24"/>
          <w:lang w:val="en-GB"/>
        </w:rPr>
      </w:pPr>
      <w:r w:rsidRPr="00073574">
        <w:rPr>
          <w:sz w:val="24"/>
          <w:szCs w:val="24"/>
          <w:lang w:val="en-GB"/>
        </w:rPr>
        <w:t>resolves to instruct the Director of the Telecommunication Standardization Bureau</w:t>
      </w:r>
    </w:p>
    <w:p w14:paraId="6165C008" w14:textId="77777777" w:rsidR="00F0236A" w:rsidRPr="00073574" w:rsidRDefault="00F0236A" w:rsidP="00F0236A">
      <w:pPr>
        <w:rPr>
          <w:sz w:val="24"/>
        </w:rPr>
      </w:pPr>
      <w:r w:rsidRPr="00073574">
        <w:rPr>
          <w:sz w:val="24"/>
        </w:rPr>
        <w:t>1</w:t>
      </w:r>
      <w:r w:rsidRPr="00073574">
        <w:rPr>
          <w:sz w:val="24"/>
        </w:rPr>
        <w:tab/>
        <w:t>to ensure that Technology Watch activities are performed within the Bureau and to submit the findings for contributing to the development of relevant ITU-T Recommendations;</w:t>
      </w:r>
    </w:p>
    <w:p w14:paraId="1784E09B" w14:textId="77777777" w:rsidR="00F0236A" w:rsidRPr="00073574" w:rsidRDefault="00F0236A" w:rsidP="00F0236A">
      <w:pPr>
        <w:rPr>
          <w:sz w:val="24"/>
        </w:rPr>
      </w:pPr>
      <w:r w:rsidRPr="00073574">
        <w:rPr>
          <w:sz w:val="24"/>
        </w:rPr>
        <w:t>2</w:t>
      </w:r>
      <w:r w:rsidRPr="00073574">
        <w:rPr>
          <w:sz w:val="24"/>
        </w:rPr>
        <w:tab/>
        <w:t>to continue to provide the output of Technology Watch, with relevant findings and analysis, as soon as possible to the relevant study groups and the Telecommunication Standardization Advisory Group for their consideration and action in accordance with their mandates;</w:t>
      </w:r>
    </w:p>
    <w:p w14:paraId="5FA94AC9" w14:textId="4D925839" w:rsidR="00F0236A" w:rsidRPr="00073574" w:rsidRDefault="00F0236A" w:rsidP="00F0236A">
      <w:pPr>
        <w:rPr>
          <w:sz w:val="24"/>
        </w:rPr>
      </w:pPr>
      <w:r w:rsidRPr="00073574">
        <w:rPr>
          <w:sz w:val="24"/>
        </w:rPr>
        <w:t>3</w:t>
      </w:r>
      <w:r w:rsidRPr="00073574">
        <w:rPr>
          <w:sz w:val="24"/>
        </w:rPr>
        <w:tab/>
        <w:t>to continue to publish the main results of Techn</w:t>
      </w:r>
      <w:r w:rsidR="00E31596" w:rsidRPr="00073574">
        <w:rPr>
          <w:sz w:val="24"/>
        </w:rPr>
        <w:t>ology Watch as brief summaries,</w:t>
      </w:r>
    </w:p>
    <w:p w14:paraId="7CA6EEDC" w14:textId="77777777" w:rsidR="00F0236A" w:rsidRPr="00073574" w:rsidRDefault="00F0236A" w:rsidP="00F0236A">
      <w:pPr>
        <w:pStyle w:val="Call"/>
        <w:rPr>
          <w:sz w:val="24"/>
          <w:szCs w:val="24"/>
          <w:lang w:val="en-GB"/>
        </w:rPr>
      </w:pPr>
      <w:r w:rsidRPr="00073574">
        <w:rPr>
          <w:sz w:val="24"/>
          <w:szCs w:val="24"/>
          <w:lang w:val="en-GB"/>
        </w:rPr>
        <w:t>encourages Member States and Sector Members</w:t>
      </w:r>
    </w:p>
    <w:p w14:paraId="2B267911" w14:textId="77777777" w:rsidR="00F0236A" w:rsidRPr="00073574" w:rsidRDefault="00F0236A" w:rsidP="00F0236A">
      <w:pPr>
        <w:spacing w:after="240"/>
        <w:rPr>
          <w:sz w:val="24"/>
        </w:rPr>
      </w:pPr>
      <w:r w:rsidRPr="00073574">
        <w:rPr>
          <w:sz w:val="24"/>
        </w:rPr>
        <w:t>to contribute actively to Technology Watch, by submitting topic proposals and abstracts for future activities and by reviewing and discussing the Technology Watch findings.</w:t>
      </w:r>
    </w:p>
    <w:tbl>
      <w:tblPr>
        <w:tblW w:w="98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10"/>
        <w:gridCol w:w="5214"/>
        <w:gridCol w:w="1226"/>
        <w:gridCol w:w="1144"/>
        <w:gridCol w:w="1338"/>
      </w:tblGrid>
      <w:tr w:rsidR="00F0236A" w:rsidRPr="00073574" w14:paraId="4CE9A2E7" w14:textId="77777777" w:rsidTr="7277BFE4">
        <w:trPr>
          <w:jc w:val="center"/>
        </w:trPr>
        <w:tc>
          <w:tcPr>
            <w:tcW w:w="910" w:type="dxa"/>
            <w:tcBorders>
              <w:top w:val="single" w:sz="12" w:space="0" w:color="auto"/>
              <w:bottom w:val="single" w:sz="12" w:space="0" w:color="auto"/>
            </w:tcBorders>
            <w:shd w:val="clear" w:color="auto" w:fill="auto"/>
            <w:vAlign w:val="center"/>
          </w:tcPr>
          <w:p w14:paraId="7DFF407D" w14:textId="77777777" w:rsidR="00F0236A" w:rsidRPr="00073574" w:rsidRDefault="00F0236A" w:rsidP="00DF36E1">
            <w:pPr>
              <w:pStyle w:val="Tablehead"/>
              <w:rPr>
                <w:sz w:val="24"/>
                <w:szCs w:val="24"/>
              </w:rPr>
            </w:pPr>
            <w:r w:rsidRPr="00073574">
              <w:rPr>
                <w:sz w:val="24"/>
                <w:szCs w:val="24"/>
              </w:rPr>
              <w:t>Action Item</w:t>
            </w:r>
          </w:p>
        </w:tc>
        <w:tc>
          <w:tcPr>
            <w:tcW w:w="5214" w:type="dxa"/>
            <w:tcBorders>
              <w:top w:val="single" w:sz="12" w:space="0" w:color="auto"/>
              <w:bottom w:val="single" w:sz="12" w:space="0" w:color="auto"/>
            </w:tcBorders>
            <w:shd w:val="clear" w:color="auto" w:fill="auto"/>
            <w:vAlign w:val="center"/>
            <w:hideMark/>
          </w:tcPr>
          <w:p w14:paraId="4459E7E8" w14:textId="77777777" w:rsidR="00F0236A" w:rsidRPr="00073574" w:rsidRDefault="00F0236A" w:rsidP="00DF36E1">
            <w:pPr>
              <w:pStyle w:val="Tablehead"/>
              <w:rPr>
                <w:sz w:val="24"/>
                <w:szCs w:val="24"/>
              </w:rPr>
            </w:pPr>
            <w:r w:rsidRPr="00073574">
              <w:rPr>
                <w:sz w:val="24"/>
                <w:szCs w:val="24"/>
              </w:rPr>
              <w:t>Action</w:t>
            </w:r>
          </w:p>
        </w:tc>
        <w:tc>
          <w:tcPr>
            <w:tcW w:w="1226" w:type="dxa"/>
            <w:tcBorders>
              <w:top w:val="single" w:sz="12" w:space="0" w:color="auto"/>
              <w:bottom w:val="single" w:sz="12" w:space="0" w:color="auto"/>
            </w:tcBorders>
            <w:shd w:val="clear" w:color="auto" w:fill="auto"/>
            <w:vAlign w:val="center"/>
            <w:hideMark/>
          </w:tcPr>
          <w:p w14:paraId="482289B8" w14:textId="77777777" w:rsidR="00F0236A" w:rsidRPr="00073574" w:rsidRDefault="00F0236A" w:rsidP="00DF36E1">
            <w:pPr>
              <w:pStyle w:val="Tablehead"/>
              <w:rPr>
                <w:sz w:val="24"/>
                <w:szCs w:val="24"/>
              </w:rPr>
            </w:pPr>
            <w:r w:rsidRPr="00073574">
              <w:rPr>
                <w:sz w:val="24"/>
                <w:szCs w:val="24"/>
              </w:rPr>
              <w:t>Milestone</w:t>
            </w:r>
          </w:p>
        </w:tc>
        <w:tc>
          <w:tcPr>
            <w:tcW w:w="1144" w:type="dxa"/>
            <w:tcBorders>
              <w:top w:val="single" w:sz="12" w:space="0" w:color="auto"/>
              <w:bottom w:val="single" w:sz="12" w:space="0" w:color="auto"/>
            </w:tcBorders>
            <w:shd w:val="clear" w:color="auto" w:fill="auto"/>
          </w:tcPr>
          <w:p w14:paraId="700A3AE5" w14:textId="77777777" w:rsidR="00F0236A" w:rsidRPr="00073574" w:rsidRDefault="00F0236A" w:rsidP="00DF36E1">
            <w:pPr>
              <w:pStyle w:val="Tablehead"/>
              <w:rPr>
                <w:sz w:val="24"/>
                <w:szCs w:val="24"/>
              </w:rPr>
            </w:pPr>
            <w:r w:rsidRPr="00073574">
              <w:rPr>
                <w:sz w:val="24"/>
                <w:szCs w:val="24"/>
              </w:rPr>
              <w:t>Periodic goals met</w:t>
            </w:r>
          </w:p>
        </w:tc>
        <w:tc>
          <w:tcPr>
            <w:tcW w:w="1338" w:type="dxa"/>
            <w:tcBorders>
              <w:top w:val="single" w:sz="12" w:space="0" w:color="auto"/>
              <w:bottom w:val="single" w:sz="12" w:space="0" w:color="auto"/>
            </w:tcBorders>
            <w:shd w:val="clear" w:color="auto" w:fill="auto"/>
            <w:vAlign w:val="center"/>
          </w:tcPr>
          <w:p w14:paraId="53826857" w14:textId="77777777" w:rsidR="00F0236A" w:rsidRPr="00073574" w:rsidRDefault="00F0236A" w:rsidP="00DF36E1">
            <w:pPr>
              <w:pStyle w:val="Tablehead"/>
              <w:rPr>
                <w:sz w:val="24"/>
                <w:szCs w:val="24"/>
              </w:rPr>
            </w:pPr>
            <w:r w:rsidRPr="00073574">
              <w:rPr>
                <w:sz w:val="24"/>
                <w:szCs w:val="24"/>
              </w:rPr>
              <w:t>Completed</w:t>
            </w:r>
          </w:p>
        </w:tc>
      </w:tr>
      <w:tr w:rsidR="00F0236A" w:rsidRPr="00073574" w14:paraId="24EDD4C6" w14:textId="77777777" w:rsidTr="7277BFE4">
        <w:trPr>
          <w:cantSplit/>
          <w:jc w:val="center"/>
        </w:trPr>
        <w:tc>
          <w:tcPr>
            <w:tcW w:w="910" w:type="dxa"/>
            <w:vMerge w:val="restart"/>
            <w:tcBorders>
              <w:top w:val="single" w:sz="12" w:space="0" w:color="auto"/>
            </w:tcBorders>
            <w:shd w:val="clear" w:color="auto" w:fill="auto"/>
          </w:tcPr>
          <w:p w14:paraId="3A1B54D4" w14:textId="77777777" w:rsidR="00F0236A" w:rsidRPr="00073574" w:rsidRDefault="00F0236A" w:rsidP="00DF36E1">
            <w:pPr>
              <w:pStyle w:val="Tabletext"/>
              <w:rPr>
                <w:b/>
                <w:bCs/>
                <w:sz w:val="24"/>
                <w:szCs w:val="24"/>
              </w:rPr>
            </w:pPr>
            <w:r w:rsidRPr="00073574">
              <w:rPr>
                <w:b/>
                <w:bCs/>
                <w:sz w:val="24"/>
                <w:szCs w:val="24"/>
              </w:rPr>
              <w:t>66-01</w:t>
            </w:r>
          </w:p>
        </w:tc>
        <w:tc>
          <w:tcPr>
            <w:tcW w:w="5214" w:type="dxa"/>
            <w:tcBorders>
              <w:top w:val="single" w:sz="12" w:space="0" w:color="auto"/>
              <w:bottom w:val="single" w:sz="4" w:space="0" w:color="auto"/>
            </w:tcBorders>
            <w:shd w:val="clear" w:color="auto" w:fill="auto"/>
            <w:hideMark/>
          </w:tcPr>
          <w:p w14:paraId="45922BD9" w14:textId="77777777" w:rsidR="00F0236A" w:rsidRPr="00073574" w:rsidRDefault="00F0236A" w:rsidP="00DF36E1">
            <w:pPr>
              <w:pStyle w:val="Tabletext"/>
              <w:rPr>
                <w:b/>
                <w:bCs/>
                <w:sz w:val="24"/>
                <w:szCs w:val="24"/>
              </w:rPr>
            </w:pPr>
            <w:r w:rsidRPr="00073574">
              <w:rPr>
                <w:b/>
                <w:bCs/>
                <w:sz w:val="24"/>
                <w:szCs w:val="24"/>
              </w:rPr>
              <w:t>TSB Director to continue the Technology Watch Function in TSB</w:t>
            </w:r>
          </w:p>
        </w:tc>
        <w:tc>
          <w:tcPr>
            <w:tcW w:w="1226" w:type="dxa"/>
            <w:tcBorders>
              <w:top w:val="single" w:sz="12" w:space="0" w:color="auto"/>
              <w:bottom w:val="single" w:sz="4" w:space="0" w:color="auto"/>
            </w:tcBorders>
            <w:shd w:val="clear" w:color="auto" w:fill="auto"/>
            <w:vAlign w:val="center"/>
          </w:tcPr>
          <w:p w14:paraId="13A8EDB7"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44" w:type="dxa"/>
            <w:tcBorders>
              <w:top w:val="single" w:sz="12" w:space="0" w:color="auto"/>
              <w:bottom w:val="single" w:sz="4" w:space="0" w:color="auto"/>
            </w:tcBorders>
            <w:shd w:val="clear" w:color="auto" w:fill="auto"/>
            <w:vAlign w:val="center"/>
          </w:tcPr>
          <w:p w14:paraId="52B43CB4" w14:textId="77777777" w:rsidR="00F0236A" w:rsidRPr="00073574" w:rsidRDefault="00F0236A" w:rsidP="00DF36E1">
            <w:pPr>
              <w:pStyle w:val="Tabletext"/>
              <w:jc w:val="center"/>
              <w:rPr>
                <w:b/>
                <w:bCs/>
                <w:sz w:val="24"/>
                <w:szCs w:val="24"/>
              </w:rPr>
            </w:pPr>
          </w:p>
        </w:tc>
        <w:tc>
          <w:tcPr>
            <w:tcW w:w="1338" w:type="dxa"/>
            <w:tcBorders>
              <w:top w:val="single" w:sz="12" w:space="0" w:color="auto"/>
              <w:bottom w:val="single" w:sz="4" w:space="0" w:color="auto"/>
            </w:tcBorders>
            <w:shd w:val="clear" w:color="auto" w:fill="auto"/>
            <w:vAlign w:val="center"/>
          </w:tcPr>
          <w:p w14:paraId="67899A35" w14:textId="77777777" w:rsidR="00F0236A" w:rsidRPr="00073574" w:rsidRDefault="00F0236A" w:rsidP="00DF36E1">
            <w:pPr>
              <w:pStyle w:val="Tabletext"/>
              <w:jc w:val="center"/>
              <w:rPr>
                <w:b/>
                <w:bCs/>
                <w:sz w:val="24"/>
                <w:szCs w:val="24"/>
              </w:rPr>
            </w:pPr>
          </w:p>
        </w:tc>
      </w:tr>
      <w:tr w:rsidR="00F0236A" w:rsidRPr="00073574" w14:paraId="5787AD24" w14:textId="77777777" w:rsidTr="7277BFE4">
        <w:trPr>
          <w:cantSplit/>
          <w:jc w:val="center"/>
        </w:trPr>
        <w:tc>
          <w:tcPr>
            <w:tcW w:w="910" w:type="dxa"/>
            <w:vMerge/>
          </w:tcPr>
          <w:p w14:paraId="53086A86" w14:textId="77777777" w:rsidR="00F0236A" w:rsidRPr="00073574" w:rsidRDefault="00F0236A" w:rsidP="00DF36E1">
            <w:pPr>
              <w:pStyle w:val="Tabletext"/>
              <w:rPr>
                <w:sz w:val="24"/>
                <w:szCs w:val="24"/>
              </w:rPr>
            </w:pPr>
          </w:p>
        </w:tc>
        <w:tc>
          <w:tcPr>
            <w:tcW w:w="8922" w:type="dxa"/>
            <w:gridSpan w:val="4"/>
            <w:tcBorders>
              <w:top w:val="single" w:sz="4" w:space="0" w:color="auto"/>
              <w:bottom w:val="single" w:sz="12" w:space="0" w:color="auto"/>
            </w:tcBorders>
            <w:shd w:val="clear" w:color="auto" w:fill="auto"/>
          </w:tcPr>
          <w:p w14:paraId="04EB722C" w14:textId="77777777" w:rsidR="00F0236A" w:rsidRPr="00073574" w:rsidRDefault="00F0236A" w:rsidP="00DF36E1">
            <w:pPr>
              <w:pStyle w:val="Tabletext"/>
              <w:rPr>
                <w:szCs w:val="22"/>
              </w:rPr>
            </w:pPr>
          </w:p>
        </w:tc>
      </w:tr>
      <w:tr w:rsidR="00F0236A" w:rsidRPr="00073574" w14:paraId="7E457FC4" w14:textId="77777777" w:rsidTr="7277BFE4">
        <w:trPr>
          <w:cantSplit/>
          <w:jc w:val="center"/>
        </w:trPr>
        <w:tc>
          <w:tcPr>
            <w:tcW w:w="910" w:type="dxa"/>
            <w:vMerge w:val="restart"/>
            <w:tcBorders>
              <w:top w:val="single" w:sz="12" w:space="0" w:color="auto"/>
            </w:tcBorders>
            <w:shd w:val="clear" w:color="auto" w:fill="auto"/>
          </w:tcPr>
          <w:p w14:paraId="0B0A2FE6" w14:textId="77777777" w:rsidR="00F0236A" w:rsidRPr="00073574" w:rsidRDefault="00F0236A" w:rsidP="00DF36E1">
            <w:pPr>
              <w:pStyle w:val="Tabletext"/>
              <w:rPr>
                <w:b/>
                <w:bCs/>
                <w:sz w:val="24"/>
                <w:szCs w:val="24"/>
              </w:rPr>
            </w:pPr>
            <w:r w:rsidRPr="00073574">
              <w:rPr>
                <w:b/>
                <w:bCs/>
                <w:sz w:val="24"/>
                <w:szCs w:val="24"/>
              </w:rPr>
              <w:t>66-02</w:t>
            </w:r>
          </w:p>
        </w:tc>
        <w:tc>
          <w:tcPr>
            <w:tcW w:w="5214" w:type="dxa"/>
            <w:tcBorders>
              <w:top w:val="single" w:sz="12" w:space="0" w:color="auto"/>
            </w:tcBorders>
            <w:shd w:val="clear" w:color="auto" w:fill="auto"/>
            <w:vAlign w:val="center"/>
            <w:hideMark/>
          </w:tcPr>
          <w:p w14:paraId="20DC3AA9" w14:textId="77777777" w:rsidR="00F0236A" w:rsidRPr="00073574" w:rsidRDefault="00F0236A" w:rsidP="00DF36E1">
            <w:pPr>
              <w:pStyle w:val="Tabletext"/>
              <w:rPr>
                <w:b/>
                <w:bCs/>
                <w:sz w:val="24"/>
                <w:szCs w:val="24"/>
              </w:rPr>
            </w:pPr>
            <w:r w:rsidRPr="00073574">
              <w:rPr>
                <w:b/>
                <w:bCs/>
                <w:sz w:val="24"/>
                <w:szCs w:val="24"/>
              </w:rPr>
              <w:t>TSB to provide outputs of TWF to SGs and TSAG for their consideration and action</w:t>
            </w:r>
          </w:p>
        </w:tc>
        <w:tc>
          <w:tcPr>
            <w:tcW w:w="1226" w:type="dxa"/>
            <w:tcBorders>
              <w:top w:val="single" w:sz="12" w:space="0" w:color="auto"/>
            </w:tcBorders>
            <w:shd w:val="clear" w:color="auto" w:fill="auto"/>
            <w:vAlign w:val="center"/>
            <w:hideMark/>
          </w:tcPr>
          <w:p w14:paraId="3BC33066" w14:textId="77777777" w:rsidR="00F0236A" w:rsidRPr="00073574" w:rsidRDefault="00F0236A" w:rsidP="00DF36E1">
            <w:pPr>
              <w:pStyle w:val="Tabletext"/>
              <w:jc w:val="center"/>
              <w:rPr>
                <w:b/>
                <w:bCs/>
                <w:sz w:val="24"/>
                <w:szCs w:val="24"/>
              </w:rPr>
            </w:pPr>
            <w:r w:rsidRPr="00073574">
              <w:rPr>
                <w:b/>
                <w:bCs/>
                <w:sz w:val="24"/>
                <w:szCs w:val="24"/>
              </w:rPr>
              <w:t>Ongoing</w:t>
            </w:r>
          </w:p>
          <w:p w14:paraId="4A248C13" w14:textId="77777777" w:rsidR="00F0236A" w:rsidRPr="00073574" w:rsidRDefault="00F0236A" w:rsidP="00DF36E1">
            <w:pPr>
              <w:pStyle w:val="Tabletext"/>
              <w:jc w:val="center"/>
              <w:rPr>
                <w:b/>
                <w:bCs/>
                <w:sz w:val="24"/>
                <w:szCs w:val="24"/>
              </w:rPr>
            </w:pPr>
            <w:r w:rsidRPr="00073574">
              <w:rPr>
                <w:b/>
                <w:bCs/>
                <w:sz w:val="24"/>
                <w:szCs w:val="24"/>
              </w:rPr>
              <w:t>each TSAG meeting</w:t>
            </w:r>
          </w:p>
        </w:tc>
        <w:tc>
          <w:tcPr>
            <w:tcW w:w="1144" w:type="dxa"/>
            <w:tcBorders>
              <w:top w:val="single" w:sz="12" w:space="0" w:color="auto"/>
            </w:tcBorders>
            <w:shd w:val="clear" w:color="auto" w:fill="auto"/>
            <w:vAlign w:val="center"/>
          </w:tcPr>
          <w:p w14:paraId="771E98A1" w14:textId="77777777" w:rsidR="00F0236A" w:rsidRPr="00073574" w:rsidRDefault="00F0236A" w:rsidP="00DF36E1">
            <w:pPr>
              <w:pStyle w:val="Tabletext"/>
              <w:jc w:val="center"/>
              <w:rPr>
                <w:b/>
                <w:bCs/>
                <w:sz w:val="24"/>
                <w:szCs w:val="24"/>
              </w:rPr>
            </w:pPr>
          </w:p>
        </w:tc>
        <w:tc>
          <w:tcPr>
            <w:tcW w:w="1338" w:type="dxa"/>
            <w:tcBorders>
              <w:top w:val="single" w:sz="12" w:space="0" w:color="auto"/>
            </w:tcBorders>
            <w:shd w:val="clear" w:color="auto" w:fill="auto"/>
            <w:vAlign w:val="center"/>
          </w:tcPr>
          <w:p w14:paraId="6BD24F9F" w14:textId="77777777" w:rsidR="00F0236A" w:rsidRPr="00073574" w:rsidRDefault="00F0236A" w:rsidP="00DF36E1">
            <w:pPr>
              <w:pStyle w:val="Tabletext"/>
              <w:jc w:val="center"/>
              <w:rPr>
                <w:b/>
                <w:bCs/>
                <w:sz w:val="24"/>
                <w:szCs w:val="24"/>
              </w:rPr>
            </w:pPr>
          </w:p>
        </w:tc>
      </w:tr>
      <w:tr w:rsidR="00F0236A" w:rsidRPr="00073574" w14:paraId="223A0CB9" w14:textId="77777777" w:rsidTr="7277BFE4">
        <w:trPr>
          <w:cantSplit/>
          <w:jc w:val="center"/>
        </w:trPr>
        <w:tc>
          <w:tcPr>
            <w:tcW w:w="910" w:type="dxa"/>
            <w:vMerge/>
            <w:vAlign w:val="center"/>
          </w:tcPr>
          <w:p w14:paraId="4B438FE4" w14:textId="77777777" w:rsidR="00F0236A" w:rsidRPr="00073574" w:rsidRDefault="00F0236A" w:rsidP="00DF36E1">
            <w:pPr>
              <w:pStyle w:val="Tabletext"/>
              <w:rPr>
                <w:sz w:val="24"/>
                <w:szCs w:val="24"/>
              </w:rPr>
            </w:pPr>
          </w:p>
        </w:tc>
        <w:tc>
          <w:tcPr>
            <w:tcW w:w="8922" w:type="dxa"/>
            <w:gridSpan w:val="4"/>
            <w:shd w:val="clear" w:color="auto" w:fill="auto"/>
          </w:tcPr>
          <w:p w14:paraId="79F40A3F" w14:textId="77777777" w:rsidR="00F0236A" w:rsidRPr="00073574" w:rsidRDefault="00F0236A" w:rsidP="00DF36E1">
            <w:pPr>
              <w:pStyle w:val="Tabletext"/>
              <w:rPr>
                <w:szCs w:val="22"/>
              </w:rPr>
            </w:pPr>
          </w:p>
        </w:tc>
      </w:tr>
      <w:tr w:rsidR="00973D9E" w:rsidRPr="00073574" w14:paraId="76120725" w14:textId="77777777" w:rsidTr="7277BFE4">
        <w:trPr>
          <w:cantSplit/>
          <w:jc w:val="center"/>
        </w:trPr>
        <w:tc>
          <w:tcPr>
            <w:tcW w:w="910" w:type="dxa"/>
            <w:vMerge w:val="restart"/>
            <w:tcBorders>
              <w:top w:val="single" w:sz="12" w:space="0" w:color="auto"/>
            </w:tcBorders>
            <w:shd w:val="clear" w:color="auto" w:fill="auto"/>
          </w:tcPr>
          <w:p w14:paraId="40E324B6" w14:textId="0593826A" w:rsidR="00973D9E" w:rsidRPr="00073574" w:rsidRDefault="00973D9E" w:rsidP="00125D20">
            <w:pPr>
              <w:pStyle w:val="Tabletext"/>
              <w:rPr>
                <w:b/>
                <w:bCs/>
                <w:sz w:val="24"/>
                <w:szCs w:val="24"/>
              </w:rPr>
            </w:pPr>
            <w:bookmarkStart w:id="321" w:name="Item66_01"/>
            <w:bookmarkStart w:id="322" w:name="Item66_02"/>
            <w:bookmarkEnd w:id="321"/>
            <w:bookmarkEnd w:id="322"/>
            <w:r w:rsidRPr="00073574">
              <w:rPr>
                <w:b/>
                <w:bCs/>
                <w:sz w:val="24"/>
                <w:szCs w:val="24"/>
              </w:rPr>
              <w:t>66-03</w:t>
            </w:r>
          </w:p>
        </w:tc>
        <w:tc>
          <w:tcPr>
            <w:tcW w:w="5214" w:type="dxa"/>
            <w:tcBorders>
              <w:top w:val="single" w:sz="12" w:space="0" w:color="auto"/>
            </w:tcBorders>
            <w:shd w:val="clear" w:color="auto" w:fill="auto"/>
            <w:vAlign w:val="center"/>
            <w:hideMark/>
          </w:tcPr>
          <w:p w14:paraId="65042079" w14:textId="2526EE8B" w:rsidR="00973D9E" w:rsidRPr="00073574" w:rsidRDefault="00973D9E" w:rsidP="00125D20">
            <w:pPr>
              <w:pStyle w:val="Tabletext"/>
              <w:rPr>
                <w:b/>
                <w:bCs/>
                <w:sz w:val="24"/>
                <w:szCs w:val="24"/>
              </w:rPr>
            </w:pPr>
            <w:r w:rsidRPr="00073574">
              <w:rPr>
                <w:b/>
                <w:bCs/>
                <w:sz w:val="24"/>
                <w:szCs w:val="24"/>
              </w:rPr>
              <w:t>WTSA-16 instructed the TSB Director to report on an ongoing basis to TSAG concerning the implementation of Resolution 66 “Technology Watch in the Telecommunication Standardization Bureau”</w:t>
            </w:r>
            <w:r w:rsidR="004B1182" w:rsidRPr="00073574">
              <w:rPr>
                <w:b/>
                <w:bCs/>
                <w:sz w:val="24"/>
                <w:szCs w:val="24"/>
              </w:rPr>
              <w:t xml:space="preserve"> (WTSA-16 Proceedings, clause </w:t>
            </w:r>
            <w:r w:rsidR="004F468A" w:rsidRPr="00073574">
              <w:rPr>
                <w:b/>
                <w:bCs/>
                <w:sz w:val="24"/>
                <w:szCs w:val="24"/>
              </w:rPr>
              <w:t>5.4</w:t>
            </w:r>
            <w:r w:rsidR="004B1182" w:rsidRPr="00073574">
              <w:rPr>
                <w:b/>
                <w:bCs/>
                <w:sz w:val="24"/>
                <w:szCs w:val="24"/>
              </w:rPr>
              <w:t>)</w:t>
            </w:r>
          </w:p>
        </w:tc>
        <w:tc>
          <w:tcPr>
            <w:tcW w:w="1226" w:type="dxa"/>
            <w:tcBorders>
              <w:top w:val="single" w:sz="12" w:space="0" w:color="auto"/>
            </w:tcBorders>
            <w:shd w:val="clear" w:color="auto" w:fill="auto"/>
            <w:vAlign w:val="center"/>
            <w:hideMark/>
          </w:tcPr>
          <w:p w14:paraId="6A5EB14C" w14:textId="77777777" w:rsidR="00973D9E" w:rsidRPr="00073574" w:rsidRDefault="00973D9E" w:rsidP="00125D20">
            <w:pPr>
              <w:pStyle w:val="Tabletext"/>
              <w:jc w:val="center"/>
              <w:rPr>
                <w:b/>
                <w:bCs/>
                <w:sz w:val="24"/>
                <w:szCs w:val="24"/>
              </w:rPr>
            </w:pPr>
            <w:r w:rsidRPr="00073574">
              <w:rPr>
                <w:b/>
                <w:bCs/>
                <w:sz w:val="24"/>
                <w:szCs w:val="24"/>
              </w:rPr>
              <w:t>Ongoing</w:t>
            </w:r>
          </w:p>
          <w:p w14:paraId="4DC4ADAA" w14:textId="77777777" w:rsidR="00973D9E" w:rsidRPr="00073574" w:rsidRDefault="00973D9E" w:rsidP="00125D20">
            <w:pPr>
              <w:pStyle w:val="Tabletext"/>
              <w:jc w:val="center"/>
              <w:rPr>
                <w:b/>
                <w:bCs/>
                <w:sz w:val="24"/>
                <w:szCs w:val="24"/>
              </w:rPr>
            </w:pPr>
            <w:r w:rsidRPr="00073574">
              <w:rPr>
                <w:b/>
                <w:bCs/>
                <w:sz w:val="24"/>
                <w:szCs w:val="24"/>
              </w:rPr>
              <w:t>each TSAG meeting</w:t>
            </w:r>
          </w:p>
        </w:tc>
        <w:tc>
          <w:tcPr>
            <w:tcW w:w="1144" w:type="dxa"/>
            <w:tcBorders>
              <w:top w:val="single" w:sz="12" w:space="0" w:color="auto"/>
            </w:tcBorders>
            <w:shd w:val="clear" w:color="auto" w:fill="auto"/>
            <w:vAlign w:val="center"/>
          </w:tcPr>
          <w:p w14:paraId="0D4732AB" w14:textId="45118A2C" w:rsidR="00973D9E" w:rsidRPr="00073574" w:rsidRDefault="00AA06E6" w:rsidP="00125D20">
            <w:pPr>
              <w:pStyle w:val="Tabletext"/>
              <w:jc w:val="center"/>
              <w:rPr>
                <w:b/>
                <w:bCs/>
                <w:sz w:val="24"/>
                <w:szCs w:val="24"/>
              </w:rPr>
            </w:pPr>
            <w:r w:rsidRPr="00073574">
              <w:rPr>
                <w:b/>
                <w:bCs/>
                <w:sz w:val="24"/>
                <w:szCs w:val="24"/>
              </w:rPr>
              <w:t>√</w:t>
            </w:r>
          </w:p>
        </w:tc>
        <w:tc>
          <w:tcPr>
            <w:tcW w:w="1338" w:type="dxa"/>
            <w:tcBorders>
              <w:top w:val="single" w:sz="12" w:space="0" w:color="auto"/>
            </w:tcBorders>
            <w:shd w:val="clear" w:color="auto" w:fill="auto"/>
            <w:vAlign w:val="center"/>
          </w:tcPr>
          <w:p w14:paraId="7F6F90C6" w14:textId="77777777" w:rsidR="00973D9E" w:rsidRPr="00073574" w:rsidRDefault="00973D9E" w:rsidP="00125D20">
            <w:pPr>
              <w:pStyle w:val="Tabletext"/>
              <w:jc w:val="center"/>
              <w:rPr>
                <w:b/>
                <w:bCs/>
                <w:sz w:val="24"/>
                <w:szCs w:val="24"/>
              </w:rPr>
            </w:pPr>
          </w:p>
        </w:tc>
      </w:tr>
      <w:tr w:rsidR="00973D9E" w:rsidRPr="00073574" w14:paraId="5AE979B9" w14:textId="77777777" w:rsidTr="7277BFE4">
        <w:trPr>
          <w:cantSplit/>
          <w:jc w:val="center"/>
        </w:trPr>
        <w:tc>
          <w:tcPr>
            <w:tcW w:w="910" w:type="dxa"/>
            <w:vMerge/>
            <w:vAlign w:val="center"/>
          </w:tcPr>
          <w:p w14:paraId="2CA9032A" w14:textId="77777777" w:rsidR="00973D9E" w:rsidRPr="00073574" w:rsidRDefault="00973D9E" w:rsidP="00125D20">
            <w:pPr>
              <w:pStyle w:val="Tabletext"/>
              <w:rPr>
                <w:sz w:val="24"/>
                <w:szCs w:val="24"/>
              </w:rPr>
            </w:pPr>
          </w:p>
        </w:tc>
        <w:tc>
          <w:tcPr>
            <w:tcW w:w="8922" w:type="dxa"/>
            <w:gridSpan w:val="4"/>
            <w:shd w:val="clear" w:color="auto" w:fill="auto"/>
          </w:tcPr>
          <w:p w14:paraId="6AEB2B50" w14:textId="3D07E1DB" w:rsidR="00973D9E" w:rsidRPr="00073574" w:rsidRDefault="00AA06E6" w:rsidP="00125D20">
            <w:pPr>
              <w:pStyle w:val="Tabletext"/>
              <w:rPr>
                <w:szCs w:val="22"/>
              </w:rPr>
            </w:pPr>
            <w:r w:rsidRPr="00073574">
              <w:rPr>
                <w:szCs w:val="22"/>
              </w:rPr>
              <w:t>Accomplished through this document.</w:t>
            </w:r>
          </w:p>
        </w:tc>
      </w:tr>
    </w:tbl>
    <w:p w14:paraId="2A049951" w14:textId="1B9E7D24" w:rsidR="7277BFE4" w:rsidRPr="00073574" w:rsidRDefault="7277BFE4"/>
    <w:p w14:paraId="2806D62C" w14:textId="77777777" w:rsidR="00F0236A" w:rsidRPr="00073574" w:rsidRDefault="0053741E" w:rsidP="00F0236A">
      <w:pPr>
        <w:rPr>
          <w:sz w:val="24"/>
        </w:rPr>
      </w:pPr>
      <w:hyperlink w:anchor="Top" w:history="1">
        <w:r w:rsidR="00F0236A" w:rsidRPr="00073574">
          <w:rPr>
            <w:rStyle w:val="Hyperlink"/>
            <w:rFonts w:eastAsia="Times New Roman"/>
            <w:sz w:val="24"/>
          </w:rPr>
          <w:t>» Top</w:t>
        </w:r>
      </w:hyperlink>
    </w:p>
    <w:p w14:paraId="29531BF8" w14:textId="77777777" w:rsidR="00F0236A" w:rsidRPr="00073574" w:rsidRDefault="00F0236A" w:rsidP="00F0236A">
      <w:pPr>
        <w:rPr>
          <w:sz w:val="24"/>
        </w:rPr>
      </w:pPr>
    </w:p>
    <w:p w14:paraId="7464C598" w14:textId="77777777" w:rsidR="00F0236A" w:rsidRPr="00073574" w:rsidRDefault="00F0236A" w:rsidP="00DC13A0">
      <w:pPr>
        <w:pStyle w:val="Heading1"/>
        <w:keepNext/>
        <w:keepLines/>
        <w:rPr>
          <w:sz w:val="24"/>
          <w:szCs w:val="24"/>
          <w:lang w:val="en-GB"/>
        </w:rPr>
      </w:pPr>
      <w:bookmarkStart w:id="323" w:name="Resolution_67"/>
      <w:bookmarkStart w:id="324" w:name="_Toc304236451"/>
      <w:bookmarkStart w:id="325" w:name="_Toc471715384"/>
      <w:bookmarkStart w:id="326" w:name="_Toc93425270"/>
      <w:bookmarkEnd w:id="323"/>
      <w:r w:rsidRPr="00073574">
        <w:rPr>
          <w:sz w:val="24"/>
          <w:szCs w:val="24"/>
          <w:lang w:val="en-GB"/>
        </w:rPr>
        <w:lastRenderedPageBreak/>
        <w:t xml:space="preserve">Resolution 67 – </w:t>
      </w:r>
      <w:bookmarkEnd w:id="324"/>
      <w:r w:rsidRPr="00073574">
        <w:rPr>
          <w:sz w:val="24"/>
          <w:szCs w:val="24"/>
          <w:lang w:val="en-GB"/>
        </w:rPr>
        <w:t>Use in the ITU Telecommunication Standardization Sector of the languages of the Union on an equal footing</w:t>
      </w:r>
      <w:bookmarkEnd w:id="325"/>
      <w:bookmarkEnd w:id="326"/>
    </w:p>
    <w:p w14:paraId="58FD4384" w14:textId="77777777" w:rsidR="00F0236A" w:rsidRPr="00073574" w:rsidRDefault="00F0236A" w:rsidP="00DC13A0">
      <w:pPr>
        <w:keepNext/>
        <w:keepLines/>
        <w:rPr>
          <w:b/>
          <w:bCs/>
          <w:sz w:val="24"/>
        </w:rPr>
      </w:pPr>
      <w:r w:rsidRPr="00073574">
        <w:rPr>
          <w:b/>
          <w:bCs/>
          <w:sz w:val="24"/>
        </w:rPr>
        <w:t>Resolution 67</w:t>
      </w:r>
    </w:p>
    <w:p w14:paraId="0713FCFE" w14:textId="77777777" w:rsidR="00F0236A" w:rsidRPr="00073574" w:rsidRDefault="00F0236A" w:rsidP="00DC13A0">
      <w:pPr>
        <w:pStyle w:val="Call"/>
        <w:rPr>
          <w:sz w:val="24"/>
          <w:szCs w:val="24"/>
          <w:lang w:val="en-GB"/>
        </w:rPr>
      </w:pPr>
      <w:r w:rsidRPr="00073574">
        <w:rPr>
          <w:sz w:val="24"/>
          <w:szCs w:val="24"/>
          <w:lang w:val="en-GB"/>
        </w:rPr>
        <w:t>resolves</w:t>
      </w:r>
    </w:p>
    <w:p w14:paraId="24DD4E2D" w14:textId="77777777" w:rsidR="00F0236A" w:rsidRPr="00073574" w:rsidRDefault="00F0236A" w:rsidP="00F0236A">
      <w:pPr>
        <w:rPr>
          <w:sz w:val="24"/>
        </w:rPr>
      </w:pPr>
      <w:r w:rsidRPr="00073574">
        <w:rPr>
          <w:sz w:val="24"/>
        </w:rPr>
        <w:t>1</w:t>
      </w:r>
      <w:r w:rsidRPr="00073574">
        <w:rPr>
          <w:sz w:val="24"/>
        </w:rPr>
        <w:tab/>
        <w:t>that the ITU</w:t>
      </w:r>
      <w:r w:rsidRPr="00073574">
        <w:rPr>
          <w:sz w:val="24"/>
        </w:rPr>
        <w:noBreakHyphen/>
        <w:t>T study groups, within their terms of reference, should continue their work on technical and operational terms and their definitions in English only;</w:t>
      </w:r>
    </w:p>
    <w:p w14:paraId="590CED23" w14:textId="77777777" w:rsidR="00F0236A" w:rsidRPr="00073574" w:rsidRDefault="00F0236A" w:rsidP="00F0236A">
      <w:pPr>
        <w:rPr>
          <w:sz w:val="24"/>
        </w:rPr>
      </w:pPr>
      <w:r w:rsidRPr="00073574">
        <w:rPr>
          <w:sz w:val="24"/>
        </w:rPr>
        <w:t>2</w:t>
      </w:r>
      <w:r w:rsidRPr="00073574">
        <w:rPr>
          <w:sz w:val="24"/>
        </w:rPr>
        <w:tab/>
        <w:t>that the work on standardization vocabulary within ITU</w:t>
      </w:r>
      <w:r w:rsidRPr="00073574">
        <w:rPr>
          <w:sz w:val="24"/>
        </w:rPr>
        <w:noBreakHyphen/>
        <w:t>T shall be based on the proposals made by the study groups in the English language, with the consideration and adoption of the translation into the other five official languages as proposed by the General Secretariat, and that this shall be ensured by SCV;</w:t>
      </w:r>
    </w:p>
    <w:p w14:paraId="5FF23AEB" w14:textId="7EE54B1F" w:rsidR="00F0236A" w:rsidRPr="00073574" w:rsidRDefault="00F0236A" w:rsidP="00F0236A">
      <w:pPr>
        <w:rPr>
          <w:sz w:val="24"/>
        </w:rPr>
      </w:pPr>
      <w:r w:rsidRPr="00073574">
        <w:rPr>
          <w:sz w:val="24"/>
        </w:rPr>
        <w:t>3</w:t>
      </w:r>
      <w:r w:rsidRPr="00073574">
        <w:rPr>
          <w:sz w:val="24"/>
        </w:rPr>
        <w:tab/>
        <w:t>that, when proposing terms and definitions, the ITU</w:t>
      </w:r>
      <w:r w:rsidRPr="00073574">
        <w:rPr>
          <w:sz w:val="24"/>
        </w:rPr>
        <w:noBreakHyphen/>
        <w:t xml:space="preserve">T study groups shall use the guidelines given in Annex B to the </w:t>
      </w:r>
      <w:r w:rsidR="003C7E25" w:rsidRPr="00073574">
        <w:rPr>
          <w:sz w:val="24"/>
        </w:rPr>
        <w:t>"</w:t>
      </w:r>
      <w:r w:rsidRPr="00073574">
        <w:rPr>
          <w:sz w:val="24"/>
        </w:rPr>
        <w:t>Author</w:t>
      </w:r>
      <w:r w:rsidR="003C7E25" w:rsidRPr="00073574">
        <w:rPr>
          <w:sz w:val="24"/>
        </w:rPr>
        <w:t>'</w:t>
      </w:r>
      <w:r w:rsidRPr="00073574">
        <w:rPr>
          <w:sz w:val="24"/>
        </w:rPr>
        <w:t>s guide for drafting ITU-T Recommendations</w:t>
      </w:r>
      <w:r w:rsidR="003C7E25" w:rsidRPr="00073574">
        <w:rPr>
          <w:sz w:val="24"/>
        </w:rPr>
        <w:t>"</w:t>
      </w:r>
      <w:r w:rsidRPr="00073574">
        <w:rPr>
          <w:sz w:val="24"/>
        </w:rPr>
        <w:t>;</w:t>
      </w:r>
    </w:p>
    <w:p w14:paraId="6ACB3617" w14:textId="77777777" w:rsidR="00F0236A" w:rsidRPr="00073574" w:rsidRDefault="00F0236A" w:rsidP="00F0236A">
      <w:pPr>
        <w:rPr>
          <w:sz w:val="24"/>
        </w:rPr>
      </w:pPr>
      <w:r w:rsidRPr="00073574">
        <w:rPr>
          <w:sz w:val="24"/>
        </w:rPr>
        <w:t>4</w:t>
      </w:r>
      <w:r w:rsidRPr="00073574">
        <w:rPr>
          <w:sz w:val="24"/>
        </w:rPr>
        <w:tab/>
        <w:t>that, where more than one ITU</w:t>
      </w:r>
      <w:r w:rsidRPr="00073574">
        <w:rPr>
          <w:sz w:val="24"/>
        </w:rPr>
        <w:noBreakHyphen/>
        <w:t>T study group is defining the same terms and/or concept, efforts should be made to select a single term and a single definition which is acceptable to all of the ITU</w:t>
      </w:r>
      <w:r w:rsidRPr="00073574">
        <w:rPr>
          <w:sz w:val="24"/>
        </w:rPr>
        <w:noBreakHyphen/>
        <w:t>T study groups concerned;</w:t>
      </w:r>
    </w:p>
    <w:p w14:paraId="10E6FFB4" w14:textId="77777777" w:rsidR="00F0236A" w:rsidRPr="00073574" w:rsidRDefault="00F0236A" w:rsidP="00F0236A">
      <w:pPr>
        <w:rPr>
          <w:sz w:val="24"/>
          <w:rtl/>
        </w:rPr>
      </w:pPr>
      <w:r w:rsidRPr="00073574">
        <w:rPr>
          <w:sz w:val="24"/>
        </w:rPr>
        <w:t>5</w:t>
      </w:r>
      <w:r w:rsidRPr="00073574">
        <w:rPr>
          <w:sz w:val="24"/>
        </w:rPr>
        <w:tab/>
        <w:t>that, when selecting terms and preparing definitions, the ITU</w:t>
      </w:r>
      <w:r w:rsidRPr="00073574">
        <w:rPr>
          <w:sz w:val="24"/>
        </w:rPr>
        <w:noBreakHyphen/>
        <w:t>T study groups shall take into account the established use of terms and existing definitions in ITU, in particular those appearing in the online ITU Terms and Definitions database;</w:t>
      </w:r>
    </w:p>
    <w:p w14:paraId="08EC4CDF" w14:textId="77777777" w:rsidR="00F0236A" w:rsidRPr="00073574" w:rsidRDefault="00F0236A" w:rsidP="00F0236A">
      <w:pPr>
        <w:rPr>
          <w:sz w:val="24"/>
        </w:rPr>
      </w:pPr>
      <w:r w:rsidRPr="00073574">
        <w:rPr>
          <w:sz w:val="24"/>
        </w:rPr>
        <w:t>6</w:t>
      </w:r>
      <w:r w:rsidRPr="00073574">
        <w:rPr>
          <w:sz w:val="24"/>
        </w:rPr>
        <w:tab/>
        <w:t>that the Telecommunication Standardization Bureau (TSB) should collect all new terms and definitions which are proposed by the ITU</w:t>
      </w:r>
      <w:r w:rsidRPr="00073574">
        <w:rPr>
          <w:sz w:val="24"/>
        </w:rPr>
        <w:noBreakHyphen/>
        <w:t>T study groups in consultation with SCV, and enter them in the online ITU Terms and Definitions database;</w:t>
      </w:r>
    </w:p>
    <w:p w14:paraId="6C4DCE7E" w14:textId="77777777" w:rsidR="00F0236A" w:rsidRPr="00073574" w:rsidRDefault="00F0236A" w:rsidP="00F0236A">
      <w:pPr>
        <w:rPr>
          <w:sz w:val="24"/>
        </w:rPr>
      </w:pPr>
      <w:r w:rsidRPr="00073574">
        <w:rPr>
          <w:sz w:val="24"/>
        </w:rPr>
        <w:t>7</w:t>
      </w:r>
      <w:r w:rsidRPr="00073574">
        <w:rPr>
          <w:sz w:val="24"/>
        </w:rPr>
        <w:tab/>
        <w:t>that SCV should work in close collaboration with the CCV in ITU</w:t>
      </w:r>
      <w:r w:rsidRPr="00073574">
        <w:rPr>
          <w:sz w:val="24"/>
        </w:rPr>
        <w:noBreakHyphen/>
        <w:t>R, holding joint meetings where possible, preferably online;</w:t>
      </w:r>
    </w:p>
    <w:p w14:paraId="7FF79C8C" w14:textId="77777777" w:rsidR="00F0236A" w:rsidRPr="00073574" w:rsidRDefault="00F0236A" w:rsidP="00F0236A">
      <w:pPr>
        <w:rPr>
          <w:sz w:val="24"/>
        </w:rPr>
      </w:pPr>
      <w:r w:rsidRPr="00073574">
        <w:rPr>
          <w:sz w:val="24"/>
        </w:rPr>
        <w:t>8</w:t>
      </w:r>
      <w:r w:rsidRPr="00073574">
        <w:rPr>
          <w:sz w:val="24"/>
        </w:rPr>
        <w:tab/>
        <w:t>that, in its work, SCV should be guided by the provisions of Resolution 154 (Rev. Busan, 2014) and collaborate in this regard with CWG-LANG;</w:t>
      </w:r>
    </w:p>
    <w:p w14:paraId="593DB2E6" w14:textId="77777777" w:rsidR="00F0236A" w:rsidRPr="00073574" w:rsidRDefault="00F0236A" w:rsidP="00F0236A">
      <w:pPr>
        <w:rPr>
          <w:sz w:val="24"/>
        </w:rPr>
      </w:pPr>
      <w:r w:rsidRPr="00073574">
        <w:rPr>
          <w:sz w:val="24"/>
        </w:rPr>
        <w:t>9</w:t>
      </w:r>
      <w:r w:rsidRPr="00073574">
        <w:rPr>
          <w:sz w:val="24"/>
        </w:rPr>
        <w:tab/>
        <w:t>that the Telecommunication Standardization Advisory Group (TSAG) and the Radiocommunication Advisory Group should consider the feasibility of establishing a joint working body within ITU to deal with issues of vocabulary and use of all six languages of the Union on an equal footing, and to report to their respective assemblies,</w:t>
      </w:r>
    </w:p>
    <w:p w14:paraId="2F050E21" w14:textId="77777777" w:rsidR="00F0236A" w:rsidRPr="00073574" w:rsidRDefault="00F0236A" w:rsidP="00F0236A">
      <w:pPr>
        <w:pStyle w:val="Call"/>
        <w:rPr>
          <w:sz w:val="24"/>
          <w:szCs w:val="24"/>
          <w:lang w:val="en-GB"/>
        </w:rPr>
      </w:pPr>
      <w:r w:rsidRPr="00073574">
        <w:rPr>
          <w:sz w:val="24"/>
          <w:szCs w:val="24"/>
          <w:lang w:val="en-GB"/>
        </w:rPr>
        <w:t>instructs the Director of the Telecommunication Standardization Bureau</w:t>
      </w:r>
    </w:p>
    <w:p w14:paraId="6FFBC307" w14:textId="77777777" w:rsidR="00F0236A" w:rsidRPr="00073574" w:rsidRDefault="00F0236A" w:rsidP="00F0236A">
      <w:pPr>
        <w:rPr>
          <w:sz w:val="24"/>
        </w:rPr>
      </w:pPr>
      <w:r w:rsidRPr="00073574">
        <w:rPr>
          <w:sz w:val="24"/>
        </w:rPr>
        <w:t>1</w:t>
      </w:r>
      <w:r w:rsidRPr="00073574">
        <w:rPr>
          <w:sz w:val="24"/>
        </w:rPr>
        <w:tab/>
        <w:t>to continue to translate all Recommendations approved under the traditional approval process (TAP) in all the languages of the Union;</w:t>
      </w:r>
    </w:p>
    <w:p w14:paraId="2875E8D8" w14:textId="77777777" w:rsidR="00F0236A" w:rsidRPr="00073574" w:rsidRDefault="00F0236A" w:rsidP="00F0236A">
      <w:pPr>
        <w:rPr>
          <w:sz w:val="24"/>
        </w:rPr>
      </w:pPr>
      <w:r w:rsidRPr="00073574">
        <w:rPr>
          <w:sz w:val="24"/>
        </w:rPr>
        <w:t>2</w:t>
      </w:r>
      <w:r w:rsidRPr="00073574">
        <w:rPr>
          <w:sz w:val="24"/>
        </w:rPr>
        <w:tab/>
        <w:t>to translate all TSAG reports in all the languages of the Union;</w:t>
      </w:r>
    </w:p>
    <w:p w14:paraId="4E725F57" w14:textId="77777777" w:rsidR="00F0236A" w:rsidRPr="00073574" w:rsidRDefault="00F0236A" w:rsidP="00F0236A">
      <w:pPr>
        <w:rPr>
          <w:sz w:val="24"/>
        </w:rPr>
      </w:pPr>
      <w:r w:rsidRPr="00073574">
        <w:rPr>
          <w:sz w:val="24"/>
        </w:rPr>
        <w:t>3</w:t>
      </w:r>
      <w:r w:rsidRPr="00073574">
        <w:rPr>
          <w:sz w:val="24"/>
        </w:rPr>
        <w:tab/>
        <w:t>to include in the circular that announces the approval of a Recommendation an indication of whether it will be translated;</w:t>
      </w:r>
    </w:p>
    <w:p w14:paraId="14C06147" w14:textId="77777777" w:rsidR="00F0236A" w:rsidRPr="00073574" w:rsidRDefault="00F0236A" w:rsidP="00F0236A">
      <w:pPr>
        <w:rPr>
          <w:sz w:val="24"/>
        </w:rPr>
      </w:pPr>
      <w:r w:rsidRPr="00073574">
        <w:rPr>
          <w:sz w:val="24"/>
        </w:rPr>
        <w:t>4</w:t>
      </w:r>
      <w:r w:rsidRPr="00073574">
        <w:rPr>
          <w:sz w:val="24"/>
        </w:rPr>
        <w:tab/>
        <w:t>to continue the practice of translating ITU</w:t>
      </w:r>
      <w:r w:rsidRPr="00073574">
        <w:rPr>
          <w:sz w:val="24"/>
        </w:rPr>
        <w:noBreakHyphen/>
        <w:t>T Recommendations approved under the alternative approval process (AAP), with the possibility of doubling the number of pages of such Recommendations translated, within the financial resources of the Union;</w:t>
      </w:r>
    </w:p>
    <w:p w14:paraId="33609E03" w14:textId="77777777" w:rsidR="00F0236A" w:rsidRPr="00073574" w:rsidRDefault="00F0236A" w:rsidP="00F0236A">
      <w:pPr>
        <w:rPr>
          <w:sz w:val="24"/>
        </w:rPr>
      </w:pPr>
      <w:r w:rsidRPr="00073574">
        <w:rPr>
          <w:sz w:val="24"/>
        </w:rPr>
        <w:t>5</w:t>
      </w:r>
      <w:r w:rsidRPr="00073574">
        <w:rPr>
          <w:sz w:val="24"/>
        </w:rPr>
        <w:tab/>
        <w:t>to monitor the quality of translation and associated expenses;</w:t>
      </w:r>
    </w:p>
    <w:p w14:paraId="1C9A9BEE" w14:textId="77777777" w:rsidR="00F0236A" w:rsidRPr="00073574" w:rsidRDefault="00F0236A" w:rsidP="00F0236A">
      <w:pPr>
        <w:rPr>
          <w:sz w:val="24"/>
        </w:rPr>
      </w:pPr>
      <w:r w:rsidRPr="00073574">
        <w:rPr>
          <w:sz w:val="24"/>
        </w:rPr>
        <w:t>6</w:t>
      </w:r>
      <w:r w:rsidRPr="00073574">
        <w:rPr>
          <w:sz w:val="24"/>
        </w:rPr>
        <w:tab/>
        <w:t>to bring this resolution to the attention of the Director of the Radiocommunication Bureau,</w:t>
      </w:r>
    </w:p>
    <w:p w14:paraId="725CADD5" w14:textId="77777777" w:rsidR="00F0236A" w:rsidRPr="00073574" w:rsidRDefault="00F0236A" w:rsidP="00F0236A">
      <w:pPr>
        <w:pStyle w:val="Call"/>
        <w:rPr>
          <w:sz w:val="24"/>
          <w:szCs w:val="24"/>
          <w:lang w:val="en-GB"/>
        </w:rPr>
      </w:pPr>
      <w:r w:rsidRPr="00073574">
        <w:rPr>
          <w:sz w:val="24"/>
          <w:szCs w:val="24"/>
          <w:lang w:val="en-GB"/>
        </w:rPr>
        <w:lastRenderedPageBreak/>
        <w:t>invites the Council</w:t>
      </w:r>
    </w:p>
    <w:p w14:paraId="6885C34E" w14:textId="77777777" w:rsidR="00F0236A" w:rsidRPr="00073574" w:rsidRDefault="00F0236A" w:rsidP="00F0236A">
      <w:pPr>
        <w:rPr>
          <w:sz w:val="24"/>
        </w:rPr>
      </w:pPr>
      <w:r w:rsidRPr="00073574">
        <w:rPr>
          <w:sz w:val="24"/>
        </w:rPr>
        <w:t>1</w:t>
      </w:r>
      <w:r w:rsidRPr="00073574">
        <w:rPr>
          <w:sz w:val="24"/>
        </w:rPr>
        <w:tab/>
        <w:t>to take appropriate measures to ensure that information is posted on the ITU websites in the six official languages of the Union on an equal footing within budgetary limits, consistent with Council Resolution 1372;</w:t>
      </w:r>
    </w:p>
    <w:p w14:paraId="6EA27C26" w14:textId="77777777" w:rsidR="00F0236A" w:rsidRPr="00073574" w:rsidRDefault="00F0236A" w:rsidP="00F0236A">
      <w:pPr>
        <w:rPr>
          <w:sz w:val="24"/>
        </w:rPr>
      </w:pPr>
      <w:r w:rsidRPr="00073574">
        <w:rPr>
          <w:sz w:val="24"/>
        </w:rPr>
        <w:t>2</w:t>
      </w:r>
      <w:r w:rsidRPr="00073574">
        <w:rPr>
          <w:sz w:val="24"/>
        </w:rPr>
        <w:tab/>
        <w:t>to consider a review of Resolution 154 (Rev. Busan, 2014) to enable the feasibility of establishing a single working body within ITU to deal with issues of vocabulary and use of all six languages of the Union on an equal footing,</w:t>
      </w:r>
    </w:p>
    <w:p w14:paraId="6A819E76" w14:textId="77777777" w:rsidR="00F0236A" w:rsidRPr="00073574" w:rsidRDefault="00F0236A" w:rsidP="00F0236A">
      <w:pPr>
        <w:pStyle w:val="Call"/>
        <w:rPr>
          <w:sz w:val="24"/>
          <w:szCs w:val="24"/>
          <w:lang w:val="en-GB"/>
        </w:rPr>
      </w:pPr>
      <w:r w:rsidRPr="00073574">
        <w:rPr>
          <w:sz w:val="24"/>
          <w:szCs w:val="24"/>
          <w:lang w:val="en-GB"/>
        </w:rPr>
        <w:t>instructs the Telecommunication Standardization Advisory Group</w:t>
      </w:r>
    </w:p>
    <w:p w14:paraId="09A8FB00" w14:textId="77777777" w:rsidR="00F0236A" w:rsidRPr="00073574" w:rsidRDefault="00F0236A" w:rsidP="00F0236A">
      <w:pPr>
        <w:spacing w:after="240"/>
        <w:rPr>
          <w:sz w:val="24"/>
        </w:rPr>
      </w:pPr>
      <w:r w:rsidRPr="00073574">
        <w:rPr>
          <w:sz w:val="24"/>
        </w:rPr>
        <w:t>to consider the best mechanism for deciding which Recommendations approved under AAP shall be translated, in light of the relevant Council d</w:t>
      </w:r>
      <w:r w:rsidRPr="00073574">
        <w:rPr>
          <w:rFonts w:cs="Calibri"/>
          <w:color w:val="000000"/>
          <w:sz w:val="24"/>
        </w:rPr>
        <w:t>ecisions</w:t>
      </w:r>
      <w:r w:rsidRPr="00073574">
        <w:rPr>
          <w:sz w:val="24"/>
        </w:rPr>
        <w:t>.</w:t>
      </w:r>
    </w:p>
    <w:tbl>
      <w:tblPr>
        <w:tblW w:w="99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27"/>
        <w:gridCol w:w="5183"/>
        <w:gridCol w:w="1336"/>
        <w:gridCol w:w="1161"/>
        <w:gridCol w:w="1336"/>
      </w:tblGrid>
      <w:tr w:rsidR="00F0236A" w:rsidRPr="00073574" w14:paraId="78998140" w14:textId="77777777" w:rsidTr="00D100F9">
        <w:trPr>
          <w:tblHeader/>
          <w:jc w:val="center"/>
        </w:trPr>
        <w:tc>
          <w:tcPr>
            <w:tcW w:w="929" w:type="dxa"/>
            <w:tcBorders>
              <w:top w:val="single" w:sz="12" w:space="0" w:color="auto"/>
              <w:bottom w:val="single" w:sz="12" w:space="0" w:color="auto"/>
            </w:tcBorders>
            <w:shd w:val="clear" w:color="auto" w:fill="auto"/>
            <w:vAlign w:val="center"/>
          </w:tcPr>
          <w:p w14:paraId="32B1D238" w14:textId="77777777" w:rsidR="00F0236A" w:rsidRPr="00073574" w:rsidRDefault="00F0236A" w:rsidP="00D100F9">
            <w:pPr>
              <w:pStyle w:val="Tablehead"/>
              <w:keepNext w:val="0"/>
              <w:rPr>
                <w:sz w:val="24"/>
                <w:szCs w:val="24"/>
              </w:rPr>
            </w:pPr>
            <w:r w:rsidRPr="00073574">
              <w:rPr>
                <w:sz w:val="24"/>
                <w:szCs w:val="24"/>
              </w:rPr>
              <w:t>Action Item</w:t>
            </w:r>
          </w:p>
        </w:tc>
        <w:tc>
          <w:tcPr>
            <w:tcW w:w="5288" w:type="dxa"/>
            <w:tcBorders>
              <w:top w:val="single" w:sz="12" w:space="0" w:color="auto"/>
              <w:bottom w:val="single" w:sz="12" w:space="0" w:color="auto"/>
            </w:tcBorders>
            <w:shd w:val="clear" w:color="auto" w:fill="auto"/>
            <w:vAlign w:val="center"/>
            <w:hideMark/>
          </w:tcPr>
          <w:p w14:paraId="6ADA700E" w14:textId="77777777" w:rsidR="00F0236A" w:rsidRPr="00073574" w:rsidRDefault="00F0236A" w:rsidP="00D100F9">
            <w:pPr>
              <w:pStyle w:val="Tablehead"/>
              <w:keepNext w:val="0"/>
              <w:rPr>
                <w:sz w:val="24"/>
                <w:szCs w:val="24"/>
              </w:rPr>
            </w:pPr>
            <w:r w:rsidRPr="00073574">
              <w:rPr>
                <w:sz w:val="24"/>
                <w:szCs w:val="24"/>
              </w:rPr>
              <w:t>Action</w:t>
            </w:r>
          </w:p>
        </w:tc>
        <w:tc>
          <w:tcPr>
            <w:tcW w:w="1226" w:type="dxa"/>
            <w:tcBorders>
              <w:top w:val="single" w:sz="12" w:space="0" w:color="auto"/>
              <w:bottom w:val="single" w:sz="12" w:space="0" w:color="auto"/>
            </w:tcBorders>
            <w:shd w:val="clear" w:color="auto" w:fill="auto"/>
            <w:vAlign w:val="center"/>
            <w:hideMark/>
          </w:tcPr>
          <w:p w14:paraId="5909AE63" w14:textId="77777777" w:rsidR="00F0236A" w:rsidRPr="00073574" w:rsidRDefault="00F0236A" w:rsidP="00D100F9">
            <w:pPr>
              <w:pStyle w:val="Tablehead"/>
              <w:keepNext w:val="0"/>
              <w:rPr>
                <w:sz w:val="24"/>
                <w:szCs w:val="24"/>
              </w:rPr>
            </w:pPr>
            <w:r w:rsidRPr="00073574">
              <w:rPr>
                <w:sz w:val="24"/>
                <w:szCs w:val="24"/>
              </w:rPr>
              <w:t>Milestone</w:t>
            </w:r>
          </w:p>
        </w:tc>
        <w:tc>
          <w:tcPr>
            <w:tcW w:w="1164" w:type="dxa"/>
            <w:tcBorders>
              <w:top w:val="single" w:sz="12" w:space="0" w:color="auto"/>
              <w:bottom w:val="single" w:sz="12" w:space="0" w:color="auto"/>
            </w:tcBorders>
            <w:shd w:val="clear" w:color="auto" w:fill="auto"/>
          </w:tcPr>
          <w:p w14:paraId="6373FBFB" w14:textId="77777777" w:rsidR="00F0236A" w:rsidRPr="00073574" w:rsidRDefault="00F0236A" w:rsidP="00D100F9">
            <w:pPr>
              <w:pStyle w:val="Tablehead"/>
              <w:keepNext w:val="0"/>
              <w:rPr>
                <w:sz w:val="24"/>
                <w:szCs w:val="24"/>
              </w:rPr>
            </w:pPr>
            <w:r w:rsidRPr="00073574">
              <w:rPr>
                <w:sz w:val="24"/>
                <w:szCs w:val="24"/>
              </w:rPr>
              <w:t>Periodic goals met</w:t>
            </w:r>
          </w:p>
        </w:tc>
        <w:tc>
          <w:tcPr>
            <w:tcW w:w="1336" w:type="dxa"/>
            <w:tcBorders>
              <w:top w:val="single" w:sz="12" w:space="0" w:color="auto"/>
              <w:bottom w:val="single" w:sz="12" w:space="0" w:color="auto"/>
            </w:tcBorders>
            <w:shd w:val="clear" w:color="auto" w:fill="auto"/>
            <w:vAlign w:val="center"/>
          </w:tcPr>
          <w:p w14:paraId="7396BB39" w14:textId="77777777" w:rsidR="00F0236A" w:rsidRPr="00073574" w:rsidRDefault="00F0236A" w:rsidP="00D100F9">
            <w:pPr>
              <w:pStyle w:val="Tablehead"/>
              <w:keepNext w:val="0"/>
              <w:rPr>
                <w:sz w:val="24"/>
                <w:szCs w:val="24"/>
              </w:rPr>
            </w:pPr>
            <w:r w:rsidRPr="00073574">
              <w:rPr>
                <w:sz w:val="24"/>
                <w:szCs w:val="24"/>
              </w:rPr>
              <w:t>Completed</w:t>
            </w:r>
          </w:p>
        </w:tc>
      </w:tr>
      <w:tr w:rsidR="00F0236A" w:rsidRPr="00073574" w14:paraId="14E2E96A" w14:textId="77777777" w:rsidTr="00D100F9">
        <w:trPr>
          <w:jc w:val="center"/>
        </w:trPr>
        <w:tc>
          <w:tcPr>
            <w:tcW w:w="929" w:type="dxa"/>
            <w:vMerge w:val="restart"/>
            <w:tcBorders>
              <w:top w:val="single" w:sz="12" w:space="0" w:color="auto"/>
            </w:tcBorders>
            <w:shd w:val="clear" w:color="auto" w:fill="auto"/>
          </w:tcPr>
          <w:p w14:paraId="340064B8" w14:textId="77777777" w:rsidR="00F0236A" w:rsidRPr="00073574" w:rsidRDefault="00F0236A" w:rsidP="00D100F9">
            <w:pPr>
              <w:pStyle w:val="Tabletext"/>
              <w:rPr>
                <w:b/>
                <w:bCs/>
                <w:sz w:val="24"/>
                <w:szCs w:val="24"/>
              </w:rPr>
            </w:pPr>
            <w:r w:rsidRPr="00073574">
              <w:rPr>
                <w:b/>
                <w:bCs/>
                <w:sz w:val="24"/>
                <w:szCs w:val="24"/>
              </w:rPr>
              <w:t>67-01</w:t>
            </w:r>
          </w:p>
        </w:tc>
        <w:tc>
          <w:tcPr>
            <w:tcW w:w="5288" w:type="dxa"/>
            <w:tcBorders>
              <w:top w:val="single" w:sz="12" w:space="0" w:color="auto"/>
              <w:bottom w:val="single" w:sz="2" w:space="0" w:color="auto"/>
            </w:tcBorders>
            <w:shd w:val="clear" w:color="auto" w:fill="auto"/>
          </w:tcPr>
          <w:p w14:paraId="0E24B30D" w14:textId="77777777" w:rsidR="00F0236A" w:rsidRPr="00073574" w:rsidRDefault="00F0236A" w:rsidP="00D100F9">
            <w:pPr>
              <w:pStyle w:val="Tabletext"/>
              <w:rPr>
                <w:b/>
                <w:bCs/>
                <w:sz w:val="24"/>
                <w:szCs w:val="24"/>
              </w:rPr>
            </w:pPr>
            <w:r w:rsidRPr="00073574">
              <w:rPr>
                <w:b/>
                <w:bCs/>
                <w:sz w:val="24"/>
                <w:szCs w:val="24"/>
              </w:rPr>
              <w:t>SGs to follow the guidelines on the use of language and coordination on terms and definitions in this Resolution (resolves 1, 2, 3, 4, 5)</w:t>
            </w:r>
          </w:p>
        </w:tc>
        <w:tc>
          <w:tcPr>
            <w:tcW w:w="1226" w:type="dxa"/>
            <w:tcBorders>
              <w:top w:val="single" w:sz="12" w:space="0" w:color="auto"/>
              <w:bottom w:val="single" w:sz="2" w:space="0" w:color="auto"/>
            </w:tcBorders>
            <w:shd w:val="clear" w:color="auto" w:fill="auto"/>
            <w:vAlign w:val="center"/>
          </w:tcPr>
          <w:p w14:paraId="30F5A2C9" w14:textId="77777777" w:rsidR="00F0236A" w:rsidRPr="00073574" w:rsidRDefault="00F0236A" w:rsidP="00D100F9">
            <w:pPr>
              <w:pStyle w:val="Tabletext"/>
              <w:jc w:val="center"/>
              <w:rPr>
                <w:b/>
                <w:bCs/>
                <w:sz w:val="24"/>
                <w:szCs w:val="24"/>
              </w:rPr>
            </w:pPr>
            <w:r w:rsidRPr="00073574">
              <w:rPr>
                <w:b/>
                <w:bCs/>
                <w:sz w:val="24"/>
                <w:szCs w:val="24"/>
              </w:rPr>
              <w:t>Ongoing</w:t>
            </w:r>
          </w:p>
        </w:tc>
        <w:tc>
          <w:tcPr>
            <w:tcW w:w="1164" w:type="dxa"/>
            <w:tcBorders>
              <w:top w:val="single" w:sz="12" w:space="0" w:color="auto"/>
              <w:bottom w:val="single" w:sz="2" w:space="0" w:color="auto"/>
            </w:tcBorders>
            <w:shd w:val="clear" w:color="auto" w:fill="auto"/>
            <w:vAlign w:val="center"/>
          </w:tcPr>
          <w:p w14:paraId="5A72C12D" w14:textId="77777777" w:rsidR="00F0236A" w:rsidRPr="00073574" w:rsidRDefault="00F0236A" w:rsidP="00D100F9">
            <w:pPr>
              <w:pStyle w:val="Tabletext"/>
              <w:jc w:val="center"/>
              <w:rPr>
                <w:b/>
                <w:bCs/>
                <w:sz w:val="24"/>
                <w:szCs w:val="24"/>
              </w:rPr>
            </w:pPr>
            <w:r w:rsidRPr="00073574">
              <w:rPr>
                <w:b/>
                <w:bCs/>
                <w:sz w:val="24"/>
                <w:szCs w:val="24"/>
              </w:rPr>
              <w:t>√</w:t>
            </w:r>
          </w:p>
        </w:tc>
        <w:tc>
          <w:tcPr>
            <w:tcW w:w="1336" w:type="dxa"/>
            <w:tcBorders>
              <w:top w:val="single" w:sz="12" w:space="0" w:color="auto"/>
              <w:bottom w:val="single" w:sz="2" w:space="0" w:color="auto"/>
            </w:tcBorders>
            <w:shd w:val="clear" w:color="auto" w:fill="auto"/>
            <w:vAlign w:val="center"/>
          </w:tcPr>
          <w:p w14:paraId="7F69B21C" w14:textId="77777777" w:rsidR="00F0236A" w:rsidRPr="00073574" w:rsidRDefault="00F0236A" w:rsidP="00D100F9">
            <w:pPr>
              <w:pStyle w:val="Tabletext"/>
              <w:jc w:val="center"/>
              <w:rPr>
                <w:b/>
                <w:bCs/>
                <w:sz w:val="24"/>
                <w:szCs w:val="24"/>
              </w:rPr>
            </w:pPr>
          </w:p>
        </w:tc>
      </w:tr>
      <w:tr w:rsidR="00F0236A" w:rsidRPr="00073574" w14:paraId="4A0B76A6" w14:textId="77777777" w:rsidTr="00D100F9">
        <w:trPr>
          <w:jc w:val="center"/>
        </w:trPr>
        <w:tc>
          <w:tcPr>
            <w:tcW w:w="929" w:type="dxa"/>
            <w:vMerge/>
          </w:tcPr>
          <w:p w14:paraId="60214A1E" w14:textId="77777777" w:rsidR="00F0236A" w:rsidRPr="00073574" w:rsidRDefault="00F0236A" w:rsidP="00D100F9">
            <w:pPr>
              <w:pStyle w:val="Tabletext"/>
              <w:rPr>
                <w:sz w:val="24"/>
                <w:szCs w:val="24"/>
              </w:rPr>
            </w:pPr>
          </w:p>
        </w:tc>
        <w:tc>
          <w:tcPr>
            <w:tcW w:w="9014" w:type="dxa"/>
            <w:gridSpan w:val="4"/>
            <w:tcBorders>
              <w:top w:val="single" w:sz="2" w:space="0" w:color="auto"/>
              <w:bottom w:val="single" w:sz="12" w:space="0" w:color="auto"/>
            </w:tcBorders>
            <w:shd w:val="clear" w:color="auto" w:fill="auto"/>
          </w:tcPr>
          <w:p w14:paraId="78254D17" w14:textId="50D9483E" w:rsidR="00570C6C" w:rsidRPr="00073574" w:rsidRDefault="00045DD8" w:rsidP="008730F4">
            <w:pPr>
              <w:pStyle w:val="Tabletext"/>
              <w:rPr>
                <w:sz w:val="24"/>
                <w:szCs w:val="24"/>
              </w:rPr>
            </w:pPr>
            <w:r w:rsidRPr="00073574">
              <w:rPr>
                <w:szCs w:val="22"/>
              </w:rPr>
              <w:t>All the ITU-T study groups have</w:t>
            </w:r>
            <w:r w:rsidR="00F0236A" w:rsidRPr="00073574">
              <w:rPr>
                <w:szCs w:val="22"/>
              </w:rPr>
              <w:t xml:space="preserve"> </w:t>
            </w:r>
            <w:r w:rsidRPr="00073574">
              <w:rPr>
                <w:szCs w:val="22"/>
              </w:rPr>
              <w:t>a</w:t>
            </w:r>
            <w:r w:rsidR="00F0236A" w:rsidRPr="00073574">
              <w:rPr>
                <w:szCs w:val="22"/>
              </w:rPr>
              <w:t>ppointed their liaison rapporteur for SCV</w:t>
            </w:r>
            <w:r w:rsidR="00251662" w:rsidRPr="00073574">
              <w:rPr>
                <w:szCs w:val="22"/>
              </w:rPr>
              <w:t xml:space="preserve"> and </w:t>
            </w:r>
            <w:r w:rsidR="00E6549D" w:rsidRPr="00073574">
              <w:rPr>
                <w:szCs w:val="22"/>
              </w:rPr>
              <w:t xml:space="preserve">submit </w:t>
            </w:r>
            <w:r w:rsidR="009D3B68" w:rsidRPr="00073574">
              <w:rPr>
                <w:szCs w:val="22"/>
              </w:rPr>
              <w:t xml:space="preserve">their </w:t>
            </w:r>
            <w:r w:rsidR="00E6549D" w:rsidRPr="00073574">
              <w:rPr>
                <w:szCs w:val="22"/>
              </w:rPr>
              <w:t xml:space="preserve">new terms and definitions to the SCV for </w:t>
            </w:r>
            <w:r w:rsidR="00746353" w:rsidRPr="00073574">
              <w:rPr>
                <w:szCs w:val="22"/>
              </w:rPr>
              <w:t>harmonization</w:t>
            </w:r>
            <w:r w:rsidR="009D3B68" w:rsidRPr="00073574">
              <w:rPr>
                <w:szCs w:val="22"/>
              </w:rPr>
              <w:t xml:space="preserve"> in accordance with </w:t>
            </w:r>
            <w:r w:rsidR="00E20945" w:rsidRPr="00073574">
              <w:rPr>
                <w:szCs w:val="22"/>
              </w:rPr>
              <w:t>resolves 1-5 of this Resoluti</w:t>
            </w:r>
            <w:r w:rsidR="00001D5E" w:rsidRPr="00073574">
              <w:rPr>
                <w:szCs w:val="22"/>
              </w:rPr>
              <w:t>on</w:t>
            </w:r>
            <w:r w:rsidR="00746353" w:rsidRPr="00073574">
              <w:rPr>
                <w:szCs w:val="22"/>
              </w:rPr>
              <w:t>.</w:t>
            </w:r>
          </w:p>
        </w:tc>
      </w:tr>
      <w:tr w:rsidR="00F0236A" w:rsidRPr="00073574" w14:paraId="740512F9" w14:textId="77777777" w:rsidTr="00D100F9">
        <w:trPr>
          <w:jc w:val="center"/>
        </w:trPr>
        <w:tc>
          <w:tcPr>
            <w:tcW w:w="929" w:type="dxa"/>
            <w:vMerge w:val="restart"/>
            <w:tcBorders>
              <w:top w:val="single" w:sz="12" w:space="0" w:color="auto"/>
            </w:tcBorders>
            <w:shd w:val="clear" w:color="auto" w:fill="auto"/>
          </w:tcPr>
          <w:p w14:paraId="34D38B8F" w14:textId="77777777" w:rsidR="00F0236A" w:rsidRPr="00073574" w:rsidRDefault="00F0236A" w:rsidP="00D100F9">
            <w:pPr>
              <w:pStyle w:val="Tabletext"/>
              <w:rPr>
                <w:b/>
                <w:bCs/>
                <w:sz w:val="24"/>
                <w:szCs w:val="24"/>
              </w:rPr>
            </w:pPr>
            <w:r w:rsidRPr="00073574">
              <w:rPr>
                <w:b/>
                <w:bCs/>
                <w:sz w:val="24"/>
                <w:szCs w:val="24"/>
              </w:rPr>
              <w:t>67-02</w:t>
            </w:r>
          </w:p>
        </w:tc>
        <w:tc>
          <w:tcPr>
            <w:tcW w:w="5288" w:type="dxa"/>
            <w:tcBorders>
              <w:top w:val="single" w:sz="12" w:space="0" w:color="auto"/>
            </w:tcBorders>
            <w:shd w:val="clear" w:color="auto" w:fill="auto"/>
            <w:hideMark/>
          </w:tcPr>
          <w:p w14:paraId="329DAAD7" w14:textId="77777777" w:rsidR="00F0236A" w:rsidRPr="00073574" w:rsidRDefault="00F0236A" w:rsidP="00D100F9">
            <w:pPr>
              <w:pStyle w:val="Tabletext"/>
              <w:rPr>
                <w:b/>
                <w:bCs/>
                <w:sz w:val="24"/>
                <w:szCs w:val="24"/>
              </w:rPr>
            </w:pPr>
            <w:r w:rsidRPr="00073574">
              <w:rPr>
                <w:b/>
                <w:bCs/>
                <w:sz w:val="24"/>
                <w:szCs w:val="24"/>
              </w:rPr>
              <w:t>TSB to enter all new terms and definitions in the online ITU Terms and Definitions database (resolves 6)</w:t>
            </w:r>
          </w:p>
        </w:tc>
        <w:tc>
          <w:tcPr>
            <w:tcW w:w="1226" w:type="dxa"/>
            <w:tcBorders>
              <w:top w:val="single" w:sz="12" w:space="0" w:color="auto"/>
            </w:tcBorders>
            <w:shd w:val="clear" w:color="auto" w:fill="auto"/>
            <w:vAlign w:val="center"/>
          </w:tcPr>
          <w:p w14:paraId="65AFD54B" w14:textId="77777777" w:rsidR="00F0236A" w:rsidRPr="00073574" w:rsidRDefault="00F0236A" w:rsidP="00D100F9">
            <w:pPr>
              <w:pStyle w:val="Tabletext"/>
              <w:jc w:val="center"/>
              <w:rPr>
                <w:b/>
                <w:bCs/>
                <w:sz w:val="24"/>
                <w:szCs w:val="24"/>
              </w:rPr>
            </w:pPr>
            <w:r w:rsidRPr="00073574">
              <w:rPr>
                <w:b/>
                <w:bCs/>
                <w:sz w:val="24"/>
                <w:szCs w:val="24"/>
              </w:rPr>
              <w:t>Ongoing</w:t>
            </w:r>
          </w:p>
        </w:tc>
        <w:tc>
          <w:tcPr>
            <w:tcW w:w="1164" w:type="dxa"/>
            <w:tcBorders>
              <w:top w:val="single" w:sz="12" w:space="0" w:color="auto"/>
            </w:tcBorders>
            <w:shd w:val="clear" w:color="auto" w:fill="auto"/>
            <w:vAlign w:val="center"/>
          </w:tcPr>
          <w:p w14:paraId="25967A43" w14:textId="77777777" w:rsidR="00F0236A" w:rsidRPr="00073574" w:rsidRDefault="00F0236A" w:rsidP="00D100F9">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18DD11EB" w14:textId="77777777" w:rsidR="00F0236A" w:rsidRPr="00073574" w:rsidRDefault="00F0236A" w:rsidP="00D100F9">
            <w:pPr>
              <w:pStyle w:val="Tabletext"/>
              <w:jc w:val="center"/>
              <w:rPr>
                <w:b/>
                <w:bCs/>
                <w:sz w:val="24"/>
                <w:szCs w:val="24"/>
              </w:rPr>
            </w:pPr>
          </w:p>
        </w:tc>
      </w:tr>
      <w:tr w:rsidR="00F0236A" w:rsidRPr="00073574" w14:paraId="1265BD89" w14:textId="77777777" w:rsidTr="00D100F9">
        <w:trPr>
          <w:jc w:val="center"/>
        </w:trPr>
        <w:tc>
          <w:tcPr>
            <w:tcW w:w="929" w:type="dxa"/>
            <w:vMerge/>
          </w:tcPr>
          <w:p w14:paraId="01B5D9EA" w14:textId="77777777" w:rsidR="00F0236A" w:rsidRPr="00073574" w:rsidRDefault="00F0236A" w:rsidP="00D100F9">
            <w:pPr>
              <w:pStyle w:val="Tabletext"/>
              <w:rPr>
                <w:sz w:val="24"/>
                <w:szCs w:val="24"/>
              </w:rPr>
            </w:pPr>
          </w:p>
        </w:tc>
        <w:tc>
          <w:tcPr>
            <w:tcW w:w="9014" w:type="dxa"/>
            <w:gridSpan w:val="4"/>
            <w:tcBorders>
              <w:bottom w:val="single" w:sz="12" w:space="0" w:color="auto"/>
            </w:tcBorders>
            <w:shd w:val="clear" w:color="auto" w:fill="auto"/>
          </w:tcPr>
          <w:p w14:paraId="3875986F" w14:textId="3DFA55C3" w:rsidR="00F0236A" w:rsidRPr="00073574" w:rsidRDefault="00F0236A" w:rsidP="00D100F9">
            <w:pPr>
              <w:pStyle w:val="Tabletext"/>
              <w:rPr>
                <w:sz w:val="24"/>
                <w:szCs w:val="24"/>
              </w:rPr>
            </w:pPr>
            <w:r w:rsidRPr="00073574">
              <w:rPr>
                <w:rFonts w:eastAsiaTheme="minorEastAsia"/>
                <w:szCs w:val="22"/>
                <w:lang w:eastAsia="ja-JP"/>
              </w:rPr>
              <w:t>TSB continues to systematically enter new terms</w:t>
            </w:r>
            <w:r w:rsidR="00001D5E" w:rsidRPr="00073574">
              <w:rPr>
                <w:rFonts w:eastAsiaTheme="minorEastAsia"/>
                <w:szCs w:val="22"/>
                <w:lang w:eastAsia="ja-JP"/>
              </w:rPr>
              <w:t>, definitions</w:t>
            </w:r>
            <w:r w:rsidRPr="00073574">
              <w:rPr>
                <w:rFonts w:eastAsiaTheme="minorEastAsia"/>
                <w:szCs w:val="22"/>
                <w:lang w:eastAsia="ja-JP"/>
              </w:rPr>
              <w:t xml:space="preserve"> and abbreviations </w:t>
            </w:r>
            <w:r w:rsidR="00A00E1A" w:rsidRPr="00073574">
              <w:rPr>
                <w:rFonts w:eastAsiaTheme="minorEastAsia"/>
                <w:szCs w:val="22"/>
                <w:lang w:eastAsia="ja-JP"/>
              </w:rPr>
              <w:t xml:space="preserve">approved by the membership </w:t>
            </w:r>
            <w:r w:rsidR="00F27B37" w:rsidRPr="00073574">
              <w:rPr>
                <w:rFonts w:eastAsiaTheme="minorEastAsia"/>
                <w:szCs w:val="22"/>
                <w:lang w:eastAsia="ja-JP"/>
              </w:rPr>
              <w:t xml:space="preserve">in ITU-T Recommendations </w:t>
            </w:r>
            <w:r w:rsidRPr="00073574">
              <w:rPr>
                <w:rFonts w:eastAsiaTheme="minorEastAsia"/>
                <w:szCs w:val="22"/>
                <w:lang w:eastAsia="ja-JP"/>
              </w:rPr>
              <w:t>into the online ITU Terms and Definitions database.</w:t>
            </w:r>
          </w:p>
        </w:tc>
      </w:tr>
      <w:tr w:rsidR="00F0236A" w:rsidRPr="00073574" w14:paraId="17BCAFCE" w14:textId="77777777" w:rsidTr="00D100F9">
        <w:trPr>
          <w:jc w:val="center"/>
        </w:trPr>
        <w:tc>
          <w:tcPr>
            <w:tcW w:w="929" w:type="dxa"/>
            <w:vMerge w:val="restart"/>
            <w:tcBorders>
              <w:top w:val="single" w:sz="12" w:space="0" w:color="auto"/>
            </w:tcBorders>
            <w:shd w:val="clear" w:color="auto" w:fill="auto"/>
          </w:tcPr>
          <w:p w14:paraId="6424E7C4" w14:textId="77777777" w:rsidR="00F0236A" w:rsidRPr="00073574" w:rsidRDefault="00F0236A" w:rsidP="00D100F9">
            <w:pPr>
              <w:pStyle w:val="Tabletext"/>
              <w:rPr>
                <w:b/>
                <w:bCs/>
                <w:sz w:val="24"/>
                <w:szCs w:val="24"/>
              </w:rPr>
            </w:pPr>
            <w:r w:rsidRPr="00073574">
              <w:rPr>
                <w:b/>
                <w:bCs/>
                <w:sz w:val="24"/>
                <w:szCs w:val="24"/>
              </w:rPr>
              <w:t>67-03</w:t>
            </w:r>
          </w:p>
        </w:tc>
        <w:tc>
          <w:tcPr>
            <w:tcW w:w="5288" w:type="dxa"/>
            <w:tcBorders>
              <w:top w:val="single" w:sz="12" w:space="0" w:color="auto"/>
            </w:tcBorders>
            <w:shd w:val="clear" w:color="auto" w:fill="auto"/>
            <w:hideMark/>
          </w:tcPr>
          <w:p w14:paraId="76DC307A" w14:textId="77777777" w:rsidR="00F0236A" w:rsidRPr="00073574" w:rsidRDefault="00F0236A" w:rsidP="00D100F9">
            <w:pPr>
              <w:pStyle w:val="Tabletext"/>
              <w:rPr>
                <w:b/>
                <w:bCs/>
                <w:sz w:val="24"/>
                <w:szCs w:val="24"/>
              </w:rPr>
            </w:pPr>
            <w:r w:rsidRPr="00073574">
              <w:rPr>
                <w:b/>
                <w:bCs/>
                <w:sz w:val="24"/>
                <w:szCs w:val="24"/>
              </w:rPr>
              <w:t>TSB Director to continue translate TAP Recs, TSAG reports in all languages of the Union, indicate in approval announcement whether a Rec will be translated (i. TSB Dir 1, 2, 3)</w:t>
            </w:r>
          </w:p>
        </w:tc>
        <w:tc>
          <w:tcPr>
            <w:tcW w:w="1226" w:type="dxa"/>
            <w:tcBorders>
              <w:top w:val="single" w:sz="12" w:space="0" w:color="auto"/>
            </w:tcBorders>
            <w:shd w:val="clear" w:color="auto" w:fill="auto"/>
            <w:vAlign w:val="center"/>
          </w:tcPr>
          <w:p w14:paraId="783CB632" w14:textId="77777777" w:rsidR="00F0236A" w:rsidRPr="00073574" w:rsidRDefault="00F0236A" w:rsidP="00D100F9">
            <w:pPr>
              <w:pStyle w:val="Tabletext"/>
              <w:jc w:val="center"/>
              <w:rPr>
                <w:b/>
                <w:bCs/>
                <w:sz w:val="24"/>
                <w:szCs w:val="24"/>
              </w:rPr>
            </w:pPr>
            <w:r w:rsidRPr="00073574">
              <w:rPr>
                <w:b/>
                <w:bCs/>
                <w:sz w:val="24"/>
                <w:szCs w:val="24"/>
              </w:rPr>
              <w:t>Ongoing</w:t>
            </w:r>
          </w:p>
        </w:tc>
        <w:tc>
          <w:tcPr>
            <w:tcW w:w="1164" w:type="dxa"/>
            <w:tcBorders>
              <w:top w:val="single" w:sz="12" w:space="0" w:color="auto"/>
            </w:tcBorders>
            <w:shd w:val="clear" w:color="auto" w:fill="auto"/>
            <w:vAlign w:val="center"/>
          </w:tcPr>
          <w:p w14:paraId="4C26A25C" w14:textId="77777777" w:rsidR="00F0236A" w:rsidRPr="00073574" w:rsidRDefault="00F0236A" w:rsidP="00D100F9">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012F898E" w14:textId="77777777" w:rsidR="00F0236A" w:rsidRPr="00073574" w:rsidRDefault="00F0236A" w:rsidP="00D100F9">
            <w:pPr>
              <w:pStyle w:val="Tabletext"/>
              <w:jc w:val="center"/>
              <w:rPr>
                <w:b/>
                <w:bCs/>
                <w:sz w:val="24"/>
                <w:szCs w:val="24"/>
              </w:rPr>
            </w:pPr>
          </w:p>
        </w:tc>
      </w:tr>
      <w:tr w:rsidR="00F0236A" w:rsidRPr="00073574" w14:paraId="0622BC07" w14:textId="77777777" w:rsidTr="00D100F9">
        <w:trPr>
          <w:jc w:val="center"/>
        </w:trPr>
        <w:tc>
          <w:tcPr>
            <w:tcW w:w="929" w:type="dxa"/>
            <w:vMerge/>
          </w:tcPr>
          <w:p w14:paraId="3CB1338D" w14:textId="77777777" w:rsidR="00F0236A" w:rsidRPr="00073574" w:rsidRDefault="00F0236A" w:rsidP="00D100F9">
            <w:pPr>
              <w:pStyle w:val="Tabletext"/>
              <w:rPr>
                <w:sz w:val="24"/>
                <w:szCs w:val="24"/>
              </w:rPr>
            </w:pPr>
          </w:p>
        </w:tc>
        <w:tc>
          <w:tcPr>
            <w:tcW w:w="9014" w:type="dxa"/>
            <w:gridSpan w:val="4"/>
            <w:shd w:val="clear" w:color="auto" w:fill="auto"/>
          </w:tcPr>
          <w:p w14:paraId="751372A9" w14:textId="2A27C922" w:rsidR="00F0236A" w:rsidRPr="00073574" w:rsidRDefault="004557BB" w:rsidP="00D100F9">
            <w:pPr>
              <w:pStyle w:val="Tabletext"/>
              <w:rPr>
                <w:sz w:val="24"/>
                <w:szCs w:val="24"/>
              </w:rPr>
            </w:pPr>
            <w:r w:rsidRPr="00073574">
              <w:rPr>
                <w:rFonts w:asciiTheme="majorBidi" w:hAnsiTheme="majorBidi" w:cstheme="majorBidi"/>
              </w:rPr>
              <w:t xml:space="preserve">TSB continues to translate </w:t>
            </w:r>
            <w:r w:rsidR="000E17A6" w:rsidRPr="00073574">
              <w:rPr>
                <w:rFonts w:asciiTheme="majorBidi" w:hAnsiTheme="majorBidi" w:cstheme="majorBidi"/>
              </w:rPr>
              <w:t xml:space="preserve">all </w:t>
            </w:r>
            <w:r w:rsidRPr="00073574">
              <w:rPr>
                <w:rFonts w:asciiTheme="majorBidi" w:hAnsiTheme="majorBidi" w:cstheme="majorBidi"/>
              </w:rPr>
              <w:t>Recommendations approved under the traditional approval process (TAP), as well as all TSAG reports in all the languages of the Union on an equal footing.</w:t>
            </w:r>
          </w:p>
        </w:tc>
      </w:tr>
      <w:tr w:rsidR="00F0236A" w:rsidRPr="00073574" w14:paraId="6A723F3C" w14:textId="77777777" w:rsidTr="00D100F9">
        <w:trPr>
          <w:jc w:val="center"/>
        </w:trPr>
        <w:tc>
          <w:tcPr>
            <w:tcW w:w="929" w:type="dxa"/>
            <w:vMerge w:val="restart"/>
            <w:tcBorders>
              <w:top w:val="single" w:sz="12" w:space="0" w:color="auto"/>
            </w:tcBorders>
            <w:shd w:val="clear" w:color="auto" w:fill="auto"/>
          </w:tcPr>
          <w:p w14:paraId="7D940B1E" w14:textId="77777777" w:rsidR="00F0236A" w:rsidRPr="00073574" w:rsidRDefault="00F0236A" w:rsidP="00D100F9">
            <w:pPr>
              <w:pStyle w:val="Tabletext"/>
              <w:rPr>
                <w:b/>
                <w:bCs/>
                <w:sz w:val="24"/>
                <w:szCs w:val="24"/>
              </w:rPr>
            </w:pPr>
            <w:r w:rsidRPr="00073574">
              <w:rPr>
                <w:b/>
                <w:bCs/>
                <w:sz w:val="24"/>
                <w:szCs w:val="24"/>
              </w:rPr>
              <w:t>67-05</w:t>
            </w:r>
          </w:p>
        </w:tc>
        <w:tc>
          <w:tcPr>
            <w:tcW w:w="5288" w:type="dxa"/>
            <w:tcBorders>
              <w:top w:val="single" w:sz="12" w:space="0" w:color="auto"/>
            </w:tcBorders>
            <w:shd w:val="clear" w:color="auto" w:fill="auto"/>
          </w:tcPr>
          <w:p w14:paraId="337B6F0B" w14:textId="77777777" w:rsidR="00F0236A" w:rsidRPr="00073574" w:rsidRDefault="00F0236A" w:rsidP="00D100F9">
            <w:pPr>
              <w:pStyle w:val="Tabletext"/>
              <w:rPr>
                <w:b/>
                <w:bCs/>
                <w:sz w:val="24"/>
                <w:szCs w:val="24"/>
              </w:rPr>
            </w:pPr>
            <w:r w:rsidRPr="00073574">
              <w:rPr>
                <w:b/>
                <w:bCs/>
                <w:sz w:val="24"/>
                <w:szCs w:val="24"/>
              </w:rPr>
              <w:t>TSAG to consider best mechanism to decide which AAP Rec shall be translated, in light of relevant Council decisions</w:t>
            </w:r>
          </w:p>
        </w:tc>
        <w:tc>
          <w:tcPr>
            <w:tcW w:w="1226" w:type="dxa"/>
            <w:tcBorders>
              <w:top w:val="single" w:sz="12" w:space="0" w:color="auto"/>
            </w:tcBorders>
            <w:shd w:val="clear" w:color="auto" w:fill="auto"/>
            <w:vAlign w:val="center"/>
          </w:tcPr>
          <w:p w14:paraId="215FB744" w14:textId="77777777" w:rsidR="00F0236A" w:rsidRPr="00073574" w:rsidRDefault="00F0236A" w:rsidP="00D100F9">
            <w:pPr>
              <w:pStyle w:val="Tabletext"/>
              <w:jc w:val="center"/>
              <w:rPr>
                <w:b/>
                <w:bCs/>
                <w:sz w:val="24"/>
                <w:szCs w:val="24"/>
              </w:rPr>
            </w:pPr>
            <w:r w:rsidRPr="00073574">
              <w:rPr>
                <w:b/>
                <w:bCs/>
                <w:sz w:val="24"/>
                <w:szCs w:val="24"/>
              </w:rPr>
              <w:t>Ongoing</w:t>
            </w:r>
          </w:p>
        </w:tc>
        <w:tc>
          <w:tcPr>
            <w:tcW w:w="1164" w:type="dxa"/>
            <w:tcBorders>
              <w:top w:val="single" w:sz="12" w:space="0" w:color="auto"/>
            </w:tcBorders>
            <w:shd w:val="clear" w:color="auto" w:fill="auto"/>
            <w:vAlign w:val="center"/>
          </w:tcPr>
          <w:p w14:paraId="70065D01" w14:textId="794EF913" w:rsidR="00F0236A" w:rsidRPr="00073574" w:rsidRDefault="00A458D3" w:rsidP="00D100F9">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3F2ADD22" w14:textId="77777777" w:rsidR="00F0236A" w:rsidRPr="00073574" w:rsidRDefault="00F0236A" w:rsidP="00D100F9">
            <w:pPr>
              <w:pStyle w:val="Tabletext"/>
              <w:jc w:val="center"/>
              <w:rPr>
                <w:b/>
                <w:bCs/>
                <w:sz w:val="24"/>
                <w:szCs w:val="24"/>
              </w:rPr>
            </w:pPr>
          </w:p>
        </w:tc>
      </w:tr>
      <w:tr w:rsidR="00F0236A" w:rsidRPr="00073574" w14:paraId="70229681" w14:textId="77777777" w:rsidTr="00D100F9">
        <w:trPr>
          <w:jc w:val="center"/>
        </w:trPr>
        <w:tc>
          <w:tcPr>
            <w:tcW w:w="929" w:type="dxa"/>
            <w:vMerge/>
          </w:tcPr>
          <w:p w14:paraId="3BF0D17D" w14:textId="77777777" w:rsidR="00F0236A" w:rsidRPr="00073574" w:rsidRDefault="00F0236A" w:rsidP="00D100F9">
            <w:pPr>
              <w:pStyle w:val="Tabletext"/>
              <w:rPr>
                <w:sz w:val="24"/>
                <w:szCs w:val="24"/>
              </w:rPr>
            </w:pPr>
          </w:p>
        </w:tc>
        <w:tc>
          <w:tcPr>
            <w:tcW w:w="9014" w:type="dxa"/>
            <w:gridSpan w:val="4"/>
            <w:tcBorders>
              <w:bottom w:val="single" w:sz="12" w:space="0" w:color="auto"/>
            </w:tcBorders>
            <w:shd w:val="clear" w:color="auto" w:fill="auto"/>
          </w:tcPr>
          <w:p w14:paraId="20A18972" w14:textId="4C2A7460" w:rsidR="00F0236A" w:rsidRPr="00073574" w:rsidRDefault="00045DD8" w:rsidP="00D100F9">
            <w:pPr>
              <w:pStyle w:val="Tabletext"/>
              <w:rPr>
                <w:szCs w:val="22"/>
              </w:rPr>
            </w:pPr>
            <w:r w:rsidRPr="00073574">
              <w:rPr>
                <w:szCs w:val="22"/>
              </w:rPr>
              <w:t xml:space="preserve">AAP Recommendations </w:t>
            </w:r>
            <w:r w:rsidR="004557BB" w:rsidRPr="00073574">
              <w:rPr>
                <w:szCs w:val="22"/>
              </w:rPr>
              <w:t>are</w:t>
            </w:r>
            <w:r w:rsidRPr="00073574">
              <w:rPr>
                <w:szCs w:val="22"/>
              </w:rPr>
              <w:t xml:space="preserve"> translated in accordance with the </w:t>
            </w:r>
            <w:r w:rsidR="004557BB" w:rsidRPr="00073574">
              <w:rPr>
                <w:szCs w:val="22"/>
              </w:rPr>
              <w:t>needs expressed by the</w:t>
            </w:r>
            <w:r w:rsidRPr="00073574">
              <w:rPr>
                <w:szCs w:val="22"/>
              </w:rPr>
              <w:t xml:space="preserve"> linguistic groups and the study groups, and within budget constraints.</w:t>
            </w:r>
          </w:p>
        </w:tc>
      </w:tr>
      <w:tr w:rsidR="00F0236A" w:rsidRPr="00073574" w14:paraId="6E2F9CD8" w14:textId="77777777" w:rsidTr="00D100F9">
        <w:trPr>
          <w:jc w:val="center"/>
        </w:trPr>
        <w:tc>
          <w:tcPr>
            <w:tcW w:w="929" w:type="dxa"/>
            <w:vMerge w:val="restart"/>
            <w:tcBorders>
              <w:top w:val="single" w:sz="12" w:space="0" w:color="auto"/>
            </w:tcBorders>
            <w:shd w:val="clear" w:color="auto" w:fill="auto"/>
          </w:tcPr>
          <w:p w14:paraId="79F4C6A0" w14:textId="77777777" w:rsidR="00F0236A" w:rsidRPr="00073574" w:rsidRDefault="00F0236A" w:rsidP="00D24C99">
            <w:pPr>
              <w:pStyle w:val="Tabletext"/>
              <w:keepNext/>
              <w:keepLines/>
              <w:rPr>
                <w:b/>
                <w:bCs/>
                <w:sz w:val="24"/>
                <w:szCs w:val="24"/>
              </w:rPr>
            </w:pPr>
            <w:r w:rsidRPr="00073574">
              <w:rPr>
                <w:b/>
                <w:bCs/>
                <w:sz w:val="24"/>
                <w:szCs w:val="24"/>
              </w:rPr>
              <w:lastRenderedPageBreak/>
              <w:t>67-06</w:t>
            </w:r>
          </w:p>
        </w:tc>
        <w:tc>
          <w:tcPr>
            <w:tcW w:w="5288" w:type="dxa"/>
            <w:tcBorders>
              <w:top w:val="single" w:sz="12" w:space="0" w:color="auto"/>
            </w:tcBorders>
            <w:shd w:val="clear" w:color="auto" w:fill="auto"/>
          </w:tcPr>
          <w:p w14:paraId="3E74DA64" w14:textId="48216AF2" w:rsidR="00F0236A" w:rsidRPr="00073574" w:rsidRDefault="00F0236A" w:rsidP="00D24C99">
            <w:pPr>
              <w:pStyle w:val="Tabletext"/>
              <w:keepNext/>
              <w:keepLines/>
              <w:rPr>
                <w:b/>
                <w:bCs/>
                <w:sz w:val="24"/>
                <w:szCs w:val="24"/>
              </w:rPr>
            </w:pPr>
            <w:r w:rsidRPr="00073574">
              <w:rPr>
                <w:b/>
                <w:bCs/>
                <w:sz w:val="24"/>
                <w:szCs w:val="24"/>
              </w:rPr>
              <w:t>TSB Director to continue the practice of translating ITU</w:t>
            </w:r>
            <w:r w:rsidR="009859E9" w:rsidRPr="00073574">
              <w:rPr>
                <w:b/>
                <w:bCs/>
                <w:sz w:val="24"/>
                <w:szCs w:val="24"/>
              </w:rPr>
              <w:t>-</w:t>
            </w:r>
            <w:r w:rsidRPr="00073574">
              <w:rPr>
                <w:b/>
                <w:bCs/>
                <w:sz w:val="24"/>
                <w:szCs w:val="24"/>
              </w:rPr>
              <w:t>T Recommendations approved under the alternative approval process (AAP), with the possibility of doubling the number of pages of such Recommendations translated, within the financial resources of the Union (i. TSB Dir 4)</w:t>
            </w:r>
          </w:p>
        </w:tc>
        <w:tc>
          <w:tcPr>
            <w:tcW w:w="1226" w:type="dxa"/>
            <w:tcBorders>
              <w:top w:val="single" w:sz="12" w:space="0" w:color="auto"/>
            </w:tcBorders>
            <w:shd w:val="clear" w:color="auto" w:fill="auto"/>
            <w:vAlign w:val="center"/>
          </w:tcPr>
          <w:p w14:paraId="23EB0852" w14:textId="77777777" w:rsidR="00F0236A" w:rsidRPr="00073574" w:rsidRDefault="00F0236A" w:rsidP="00D24C99">
            <w:pPr>
              <w:pStyle w:val="Tabletext"/>
              <w:keepNext/>
              <w:keepLines/>
              <w:jc w:val="center"/>
              <w:rPr>
                <w:b/>
                <w:bCs/>
                <w:sz w:val="24"/>
                <w:szCs w:val="24"/>
              </w:rPr>
            </w:pPr>
            <w:r w:rsidRPr="00073574">
              <w:rPr>
                <w:b/>
                <w:bCs/>
                <w:sz w:val="24"/>
                <w:szCs w:val="24"/>
              </w:rPr>
              <w:t>Ongoing</w:t>
            </w:r>
          </w:p>
        </w:tc>
        <w:tc>
          <w:tcPr>
            <w:tcW w:w="1164" w:type="dxa"/>
            <w:tcBorders>
              <w:top w:val="single" w:sz="12" w:space="0" w:color="auto"/>
            </w:tcBorders>
            <w:shd w:val="clear" w:color="auto" w:fill="auto"/>
            <w:vAlign w:val="center"/>
          </w:tcPr>
          <w:p w14:paraId="0AAAEB0A" w14:textId="77777777" w:rsidR="00F0236A" w:rsidRPr="00073574" w:rsidDel="00387E0B" w:rsidRDefault="00F0236A" w:rsidP="00D24C99">
            <w:pPr>
              <w:pStyle w:val="Tabletext"/>
              <w:keepNext/>
              <w:keepLines/>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5A07896A" w14:textId="77777777" w:rsidR="00F0236A" w:rsidRPr="00073574" w:rsidRDefault="00F0236A" w:rsidP="00D24C99">
            <w:pPr>
              <w:pStyle w:val="Tabletext"/>
              <w:keepNext/>
              <w:keepLines/>
              <w:jc w:val="center"/>
              <w:rPr>
                <w:b/>
                <w:bCs/>
                <w:sz w:val="24"/>
                <w:szCs w:val="24"/>
              </w:rPr>
            </w:pPr>
          </w:p>
        </w:tc>
      </w:tr>
      <w:tr w:rsidR="00F0236A" w:rsidRPr="00073574" w14:paraId="50A2E1AB" w14:textId="77777777" w:rsidTr="00D100F9">
        <w:trPr>
          <w:jc w:val="center"/>
        </w:trPr>
        <w:tc>
          <w:tcPr>
            <w:tcW w:w="929" w:type="dxa"/>
            <w:vMerge/>
          </w:tcPr>
          <w:p w14:paraId="33A0F58B" w14:textId="77777777" w:rsidR="00F0236A" w:rsidRPr="00073574" w:rsidRDefault="00F0236A" w:rsidP="00D24C99">
            <w:pPr>
              <w:pStyle w:val="Tabletext"/>
              <w:keepNext/>
              <w:keepLines/>
              <w:rPr>
                <w:sz w:val="24"/>
                <w:szCs w:val="24"/>
              </w:rPr>
            </w:pPr>
          </w:p>
        </w:tc>
        <w:tc>
          <w:tcPr>
            <w:tcW w:w="9014" w:type="dxa"/>
            <w:gridSpan w:val="4"/>
            <w:tcBorders>
              <w:bottom w:val="single" w:sz="12" w:space="0" w:color="auto"/>
            </w:tcBorders>
            <w:shd w:val="clear" w:color="auto" w:fill="auto"/>
          </w:tcPr>
          <w:p w14:paraId="4DF16E36" w14:textId="3C3EBA9D" w:rsidR="00342164" w:rsidRPr="00073574" w:rsidRDefault="00342164" w:rsidP="00D24C99">
            <w:pPr>
              <w:pStyle w:val="Tabletext"/>
              <w:keepNext/>
              <w:keepLines/>
              <w:rPr>
                <w:rFonts w:asciiTheme="majorBidi" w:hAnsiTheme="majorBidi" w:cstheme="majorBidi"/>
              </w:rPr>
            </w:pPr>
            <w:r w:rsidRPr="00073574">
              <w:rPr>
                <w:rFonts w:asciiTheme="majorBidi" w:hAnsiTheme="majorBidi" w:cstheme="majorBidi"/>
              </w:rPr>
              <w:t xml:space="preserve">TSB translated </w:t>
            </w:r>
            <w:r w:rsidR="0028144D" w:rsidRPr="00073574">
              <w:rPr>
                <w:rFonts w:asciiTheme="majorBidi" w:hAnsiTheme="majorBidi" w:cstheme="majorBidi"/>
              </w:rPr>
              <w:t>4</w:t>
            </w:r>
            <w:r w:rsidRPr="00073574">
              <w:rPr>
                <w:rFonts w:asciiTheme="majorBidi" w:hAnsiTheme="majorBidi" w:cstheme="majorBidi"/>
              </w:rPr>
              <w:t xml:space="preserve"> AAP Recommendations in the period </w:t>
            </w:r>
            <w:r w:rsidR="0028144D" w:rsidRPr="00073574">
              <w:rPr>
                <w:rFonts w:asciiTheme="majorBidi" w:hAnsiTheme="majorBidi" w:cstheme="majorBidi"/>
              </w:rPr>
              <w:t>September</w:t>
            </w:r>
            <w:r w:rsidRPr="00073574">
              <w:rPr>
                <w:rFonts w:asciiTheme="majorBidi" w:hAnsiTheme="majorBidi" w:cstheme="majorBidi"/>
              </w:rPr>
              <w:t xml:space="preserve"> 202</w:t>
            </w:r>
            <w:r w:rsidR="0028144D" w:rsidRPr="00073574">
              <w:rPr>
                <w:rFonts w:asciiTheme="majorBidi" w:hAnsiTheme="majorBidi" w:cstheme="majorBidi"/>
              </w:rPr>
              <w:t>1</w:t>
            </w:r>
            <w:r w:rsidRPr="00073574">
              <w:rPr>
                <w:rFonts w:asciiTheme="majorBidi" w:hAnsiTheme="majorBidi" w:cstheme="majorBidi"/>
              </w:rPr>
              <w:t xml:space="preserve"> – </w:t>
            </w:r>
            <w:r w:rsidR="0039148E" w:rsidRPr="00073574">
              <w:rPr>
                <w:rFonts w:asciiTheme="majorBidi" w:hAnsiTheme="majorBidi" w:cstheme="majorBidi"/>
              </w:rPr>
              <w:t>December</w:t>
            </w:r>
            <w:r w:rsidRPr="00073574">
              <w:rPr>
                <w:rFonts w:asciiTheme="majorBidi" w:hAnsiTheme="majorBidi" w:cstheme="majorBidi"/>
              </w:rPr>
              <w:t xml:space="preserve"> 2021, in accordance with requests previously received from the ITU-T Study Groups and linguistic groups, and within the allocated translation budget.</w:t>
            </w:r>
          </w:p>
          <w:p w14:paraId="1BA93C25" w14:textId="47E5D447" w:rsidR="004A46CD" w:rsidRPr="00073574" w:rsidRDefault="00934279" w:rsidP="00D24C99">
            <w:pPr>
              <w:pStyle w:val="Tabletext"/>
              <w:keepNext/>
              <w:keepLines/>
              <w:rPr>
                <w:rFonts w:asciiTheme="majorBidi" w:hAnsiTheme="majorBidi" w:cstheme="majorBidi"/>
              </w:rPr>
            </w:pPr>
            <w:r w:rsidRPr="00073574">
              <w:rPr>
                <w:rFonts w:asciiTheme="majorBidi" w:hAnsiTheme="majorBidi" w:cstheme="majorBidi"/>
              </w:rPr>
              <w:t>TS</w:t>
            </w:r>
            <w:r w:rsidR="004A46CD" w:rsidRPr="00073574">
              <w:rPr>
                <w:rFonts w:asciiTheme="majorBidi" w:hAnsiTheme="majorBidi" w:cstheme="majorBidi"/>
              </w:rPr>
              <w:t xml:space="preserve">B translated </w:t>
            </w:r>
            <w:r w:rsidR="00236FD9" w:rsidRPr="00073574">
              <w:rPr>
                <w:rFonts w:asciiTheme="majorBidi" w:hAnsiTheme="majorBidi" w:cstheme="majorBidi"/>
              </w:rPr>
              <w:t xml:space="preserve">13 </w:t>
            </w:r>
            <w:r w:rsidR="004352E9" w:rsidRPr="00073574">
              <w:rPr>
                <w:rFonts w:asciiTheme="majorBidi" w:hAnsiTheme="majorBidi" w:cstheme="majorBidi"/>
              </w:rPr>
              <w:t xml:space="preserve">AAP </w:t>
            </w:r>
            <w:r w:rsidR="004A46CD" w:rsidRPr="00073574">
              <w:rPr>
                <w:rFonts w:asciiTheme="majorBidi" w:hAnsiTheme="majorBidi" w:cstheme="majorBidi"/>
              </w:rPr>
              <w:t>Recommendations in the period</w:t>
            </w:r>
            <w:r w:rsidR="00326E2E" w:rsidRPr="00073574">
              <w:rPr>
                <w:rFonts w:asciiTheme="majorBidi" w:hAnsiTheme="majorBidi" w:cstheme="majorBidi"/>
              </w:rPr>
              <w:t xml:space="preserve"> </w:t>
            </w:r>
            <w:r w:rsidR="004A46CD" w:rsidRPr="00073574">
              <w:rPr>
                <w:rFonts w:asciiTheme="majorBidi" w:hAnsiTheme="majorBidi" w:cstheme="majorBidi"/>
              </w:rPr>
              <w:t>August 2020</w:t>
            </w:r>
            <w:r w:rsidR="00326E2E" w:rsidRPr="00073574">
              <w:rPr>
                <w:rFonts w:asciiTheme="majorBidi" w:hAnsiTheme="majorBidi" w:cstheme="majorBidi"/>
              </w:rPr>
              <w:t xml:space="preserve"> </w:t>
            </w:r>
            <w:r w:rsidR="00952B50" w:rsidRPr="00073574">
              <w:rPr>
                <w:rFonts w:asciiTheme="majorBidi" w:hAnsiTheme="majorBidi" w:cstheme="majorBidi"/>
              </w:rPr>
              <w:t>–</w:t>
            </w:r>
            <w:r w:rsidR="00326E2E" w:rsidRPr="00073574">
              <w:rPr>
                <w:rFonts w:asciiTheme="majorBidi" w:hAnsiTheme="majorBidi" w:cstheme="majorBidi"/>
              </w:rPr>
              <w:t xml:space="preserve"> </w:t>
            </w:r>
            <w:r w:rsidR="00952B50" w:rsidRPr="00073574">
              <w:rPr>
                <w:rFonts w:asciiTheme="majorBidi" w:hAnsiTheme="majorBidi" w:cstheme="majorBidi"/>
              </w:rPr>
              <w:t>September 2021</w:t>
            </w:r>
            <w:r w:rsidR="004A46CD" w:rsidRPr="00073574">
              <w:rPr>
                <w:rFonts w:asciiTheme="majorBidi" w:hAnsiTheme="majorBidi" w:cstheme="majorBidi"/>
              </w:rPr>
              <w:t>, in accordance with requests previously received from the ITU-T Study Groups and linguistic groups, and within the allocated translation budget.</w:t>
            </w:r>
          </w:p>
          <w:p w14:paraId="1E164BD7" w14:textId="5B104EBB" w:rsidR="00F0236A" w:rsidRPr="00073574" w:rsidRDefault="2E66FDA9" w:rsidP="00D24C99">
            <w:pPr>
              <w:pStyle w:val="Tabletext"/>
              <w:keepNext/>
              <w:keepLines/>
              <w:rPr>
                <w:rFonts w:asciiTheme="majorBidi" w:hAnsiTheme="majorBidi" w:cstheme="majorBidi"/>
              </w:rPr>
            </w:pPr>
            <w:r w:rsidRPr="00073574">
              <w:rPr>
                <w:rFonts w:asciiTheme="majorBidi" w:hAnsiTheme="majorBidi" w:cstheme="majorBidi"/>
              </w:rPr>
              <w:t xml:space="preserve">TSB translated </w:t>
            </w:r>
            <w:r w:rsidR="51A525DD" w:rsidRPr="00073574">
              <w:rPr>
                <w:rFonts w:asciiTheme="majorBidi" w:hAnsiTheme="majorBidi" w:cstheme="majorBidi"/>
              </w:rPr>
              <w:t>11</w:t>
            </w:r>
            <w:r w:rsidR="00BA6A12" w:rsidRPr="00073574">
              <w:rPr>
                <w:rFonts w:asciiTheme="majorBidi" w:hAnsiTheme="majorBidi" w:cstheme="majorBidi"/>
              </w:rPr>
              <w:t xml:space="preserve"> </w:t>
            </w:r>
            <w:r w:rsidRPr="00073574">
              <w:rPr>
                <w:rFonts w:asciiTheme="majorBidi" w:hAnsiTheme="majorBidi" w:cstheme="majorBidi"/>
              </w:rPr>
              <w:t xml:space="preserve">AAP Recommendations in the period </w:t>
            </w:r>
            <w:r w:rsidR="04BF3125" w:rsidRPr="00073574">
              <w:rPr>
                <w:rFonts w:asciiTheme="majorBidi" w:hAnsiTheme="majorBidi" w:cstheme="majorBidi"/>
              </w:rPr>
              <w:t xml:space="preserve">January </w:t>
            </w:r>
            <w:r w:rsidRPr="00073574">
              <w:rPr>
                <w:rFonts w:asciiTheme="majorBidi" w:hAnsiTheme="majorBidi" w:cstheme="majorBidi"/>
              </w:rPr>
              <w:t xml:space="preserve">– </w:t>
            </w:r>
            <w:r w:rsidR="5C4ACAB6" w:rsidRPr="00073574">
              <w:rPr>
                <w:rFonts w:asciiTheme="majorBidi" w:hAnsiTheme="majorBidi" w:cstheme="majorBidi"/>
              </w:rPr>
              <w:t>August 2020</w:t>
            </w:r>
            <w:r w:rsidRPr="00073574">
              <w:rPr>
                <w:rFonts w:asciiTheme="majorBidi" w:hAnsiTheme="majorBidi" w:cstheme="majorBidi"/>
              </w:rPr>
              <w:t>, in accordance with requests previously received from the ITU-T Study Groups and linguistic groups, and within the allocated translation budget</w:t>
            </w:r>
            <w:r w:rsidR="00CD3ADE" w:rsidRPr="00073574">
              <w:rPr>
                <w:rFonts w:asciiTheme="majorBidi" w:hAnsiTheme="majorBidi" w:cstheme="majorBidi"/>
              </w:rPr>
              <w:t>.</w:t>
            </w:r>
          </w:p>
          <w:p w14:paraId="36B446B3" w14:textId="0F609614" w:rsidR="00F0236A" w:rsidRPr="00073574" w:rsidRDefault="00F0236A" w:rsidP="00D24C99">
            <w:pPr>
              <w:pStyle w:val="Tabletext"/>
              <w:keepNext/>
              <w:keepLines/>
              <w:rPr>
                <w:rFonts w:asciiTheme="majorBidi" w:hAnsiTheme="majorBidi" w:cstheme="majorBidi"/>
              </w:rPr>
            </w:pPr>
            <w:r w:rsidRPr="00073574">
              <w:rPr>
                <w:rFonts w:asciiTheme="majorBidi" w:hAnsiTheme="majorBidi" w:cstheme="majorBidi"/>
              </w:rPr>
              <w:t xml:space="preserve">TSB translated </w:t>
            </w:r>
            <w:r w:rsidR="000E17A6" w:rsidRPr="00073574">
              <w:rPr>
                <w:rFonts w:asciiTheme="majorBidi" w:hAnsiTheme="majorBidi" w:cstheme="majorBidi"/>
              </w:rPr>
              <w:t xml:space="preserve">24 </w:t>
            </w:r>
            <w:r w:rsidRPr="00073574">
              <w:rPr>
                <w:rFonts w:asciiTheme="majorBidi" w:hAnsiTheme="majorBidi" w:cstheme="majorBidi"/>
              </w:rPr>
              <w:t xml:space="preserve">AAP Recommendations in the period </w:t>
            </w:r>
            <w:r w:rsidR="000E17A6" w:rsidRPr="00073574">
              <w:rPr>
                <w:rFonts w:asciiTheme="majorBidi" w:hAnsiTheme="majorBidi" w:cstheme="majorBidi"/>
              </w:rPr>
              <w:t xml:space="preserve">October </w:t>
            </w:r>
            <w:r w:rsidRPr="00073574">
              <w:rPr>
                <w:rFonts w:asciiTheme="majorBidi" w:hAnsiTheme="majorBidi" w:cstheme="majorBidi"/>
              </w:rPr>
              <w:t>201</w:t>
            </w:r>
            <w:r w:rsidR="000E17A6" w:rsidRPr="00073574">
              <w:rPr>
                <w:rFonts w:asciiTheme="majorBidi" w:hAnsiTheme="majorBidi" w:cstheme="majorBidi"/>
              </w:rPr>
              <w:t>8</w:t>
            </w:r>
            <w:r w:rsidRPr="00073574">
              <w:rPr>
                <w:rFonts w:asciiTheme="majorBidi" w:hAnsiTheme="majorBidi" w:cstheme="majorBidi"/>
              </w:rPr>
              <w:t xml:space="preserve"> – J</w:t>
            </w:r>
            <w:r w:rsidR="000E17A6" w:rsidRPr="00073574">
              <w:rPr>
                <w:rFonts w:asciiTheme="majorBidi" w:hAnsiTheme="majorBidi" w:cstheme="majorBidi"/>
              </w:rPr>
              <w:t>uly</w:t>
            </w:r>
            <w:r w:rsidRPr="00073574">
              <w:rPr>
                <w:rFonts w:asciiTheme="majorBidi" w:hAnsiTheme="majorBidi" w:cstheme="majorBidi"/>
              </w:rPr>
              <w:t xml:space="preserve"> 201</w:t>
            </w:r>
            <w:r w:rsidR="000E17A6" w:rsidRPr="00073574">
              <w:rPr>
                <w:rFonts w:asciiTheme="majorBidi" w:hAnsiTheme="majorBidi" w:cstheme="majorBidi"/>
              </w:rPr>
              <w:t>9</w:t>
            </w:r>
            <w:r w:rsidRPr="00073574">
              <w:rPr>
                <w:rFonts w:asciiTheme="majorBidi" w:hAnsiTheme="majorBidi" w:cstheme="majorBidi"/>
              </w:rPr>
              <w:t>, in accordance with requests previously received from the ITU-T Study Groups and linguistic groups, and within the allocated translation budget.</w:t>
            </w:r>
          </w:p>
          <w:p w14:paraId="06B7D567" w14:textId="22E0E0FC" w:rsidR="00CC2CE9" w:rsidRPr="00073574" w:rsidRDefault="00CC2CE9" w:rsidP="00D24C99">
            <w:pPr>
              <w:pStyle w:val="Tabletext"/>
              <w:keepNext/>
              <w:keepLines/>
              <w:rPr>
                <w:rFonts w:asciiTheme="majorBidi" w:hAnsiTheme="majorBidi" w:cstheme="majorBidi"/>
              </w:rPr>
            </w:pPr>
            <w:r w:rsidRPr="00073574">
              <w:rPr>
                <w:rFonts w:asciiTheme="majorBidi" w:hAnsiTheme="majorBidi" w:cstheme="majorBidi"/>
              </w:rPr>
              <w:t>TSB translated 14 AAP Recommendations between February and November 2018, in accordance with requests previously received from the ITU-T Study Groups and linguistic groups, and within the allocated translation budget.</w:t>
            </w:r>
          </w:p>
          <w:p w14:paraId="1CED24A0" w14:textId="52B72619" w:rsidR="00004A11" w:rsidRPr="00073574" w:rsidRDefault="00004A11" w:rsidP="00D24C99">
            <w:pPr>
              <w:pStyle w:val="Tabletext"/>
              <w:keepNext/>
              <w:keepLines/>
              <w:rPr>
                <w:rFonts w:asciiTheme="majorBidi" w:hAnsiTheme="majorBidi" w:cstheme="majorBidi"/>
              </w:rPr>
            </w:pPr>
            <w:r w:rsidRPr="00073574">
              <w:rPr>
                <w:rFonts w:asciiTheme="majorBidi" w:hAnsiTheme="majorBidi" w:cstheme="majorBidi"/>
              </w:rPr>
              <w:t>TSB translated 60 AAP Recommendations in the period March 2017 – January 2018, in accordance with requests previously received from the ITU-T Study Groups and linguistic groups, and within the allocated translation budget.</w:t>
            </w:r>
          </w:p>
        </w:tc>
      </w:tr>
      <w:tr w:rsidR="00F0236A" w:rsidRPr="00073574" w14:paraId="5CB8528A" w14:textId="77777777" w:rsidTr="00D100F9">
        <w:trPr>
          <w:jc w:val="center"/>
        </w:trPr>
        <w:tc>
          <w:tcPr>
            <w:tcW w:w="929" w:type="dxa"/>
            <w:vMerge w:val="restart"/>
            <w:tcBorders>
              <w:top w:val="single" w:sz="12" w:space="0" w:color="auto"/>
            </w:tcBorders>
            <w:shd w:val="clear" w:color="auto" w:fill="auto"/>
          </w:tcPr>
          <w:p w14:paraId="13B84B45" w14:textId="77777777" w:rsidR="00F0236A" w:rsidRPr="00073574" w:rsidRDefault="00F0236A" w:rsidP="00D100F9">
            <w:pPr>
              <w:pStyle w:val="Tabletext"/>
              <w:rPr>
                <w:b/>
                <w:bCs/>
                <w:sz w:val="24"/>
                <w:szCs w:val="24"/>
              </w:rPr>
            </w:pPr>
            <w:r w:rsidRPr="00073574">
              <w:rPr>
                <w:b/>
                <w:bCs/>
                <w:sz w:val="24"/>
                <w:szCs w:val="24"/>
              </w:rPr>
              <w:t>67-07</w:t>
            </w:r>
          </w:p>
        </w:tc>
        <w:tc>
          <w:tcPr>
            <w:tcW w:w="5288" w:type="dxa"/>
            <w:tcBorders>
              <w:top w:val="single" w:sz="12" w:space="0" w:color="auto"/>
            </w:tcBorders>
            <w:shd w:val="clear" w:color="auto" w:fill="auto"/>
          </w:tcPr>
          <w:p w14:paraId="202C49FE" w14:textId="77777777" w:rsidR="00F0236A" w:rsidRPr="00073574" w:rsidRDefault="00F0236A" w:rsidP="00D100F9">
            <w:pPr>
              <w:pStyle w:val="Tabletext"/>
              <w:rPr>
                <w:b/>
                <w:bCs/>
                <w:sz w:val="24"/>
                <w:szCs w:val="24"/>
              </w:rPr>
            </w:pPr>
            <w:r w:rsidRPr="00073574">
              <w:rPr>
                <w:b/>
                <w:bCs/>
                <w:sz w:val="24"/>
                <w:szCs w:val="24"/>
              </w:rPr>
              <w:t>TSB Director to monitor the quality of translation and associated expenses (i. TSB Dir 5)</w:t>
            </w:r>
          </w:p>
        </w:tc>
        <w:tc>
          <w:tcPr>
            <w:tcW w:w="1226" w:type="dxa"/>
            <w:tcBorders>
              <w:top w:val="single" w:sz="12" w:space="0" w:color="auto"/>
            </w:tcBorders>
            <w:shd w:val="clear" w:color="auto" w:fill="auto"/>
            <w:vAlign w:val="center"/>
          </w:tcPr>
          <w:p w14:paraId="5E1F6A64" w14:textId="77777777" w:rsidR="00F0236A" w:rsidRPr="00073574" w:rsidRDefault="00F0236A" w:rsidP="00D100F9">
            <w:pPr>
              <w:pStyle w:val="Tabletext"/>
              <w:jc w:val="center"/>
              <w:rPr>
                <w:b/>
                <w:bCs/>
                <w:sz w:val="24"/>
                <w:szCs w:val="24"/>
              </w:rPr>
            </w:pPr>
            <w:r w:rsidRPr="00073574">
              <w:rPr>
                <w:b/>
                <w:bCs/>
                <w:sz w:val="24"/>
                <w:szCs w:val="24"/>
              </w:rPr>
              <w:t>Ongoing</w:t>
            </w:r>
          </w:p>
        </w:tc>
        <w:tc>
          <w:tcPr>
            <w:tcW w:w="1164" w:type="dxa"/>
            <w:tcBorders>
              <w:top w:val="single" w:sz="12" w:space="0" w:color="auto"/>
            </w:tcBorders>
            <w:shd w:val="clear" w:color="auto" w:fill="auto"/>
            <w:vAlign w:val="center"/>
          </w:tcPr>
          <w:p w14:paraId="7641655A" w14:textId="77777777" w:rsidR="00F0236A" w:rsidRPr="00073574" w:rsidDel="00387E0B" w:rsidRDefault="00F0236A" w:rsidP="00D100F9">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45DA2488" w14:textId="77777777" w:rsidR="00F0236A" w:rsidRPr="00073574" w:rsidRDefault="00F0236A" w:rsidP="00D100F9">
            <w:pPr>
              <w:pStyle w:val="Tabletext"/>
              <w:jc w:val="center"/>
              <w:rPr>
                <w:b/>
                <w:bCs/>
                <w:sz w:val="24"/>
                <w:szCs w:val="24"/>
              </w:rPr>
            </w:pPr>
          </w:p>
        </w:tc>
      </w:tr>
      <w:tr w:rsidR="00F0236A" w:rsidRPr="00073574" w14:paraId="79BAC8C0" w14:textId="77777777" w:rsidTr="00D100F9">
        <w:trPr>
          <w:jc w:val="center"/>
        </w:trPr>
        <w:tc>
          <w:tcPr>
            <w:tcW w:w="929" w:type="dxa"/>
            <w:vMerge/>
          </w:tcPr>
          <w:p w14:paraId="26436FDF" w14:textId="77777777" w:rsidR="00F0236A" w:rsidRPr="00073574" w:rsidRDefault="00F0236A" w:rsidP="00D100F9">
            <w:pPr>
              <w:pStyle w:val="Tabletext"/>
              <w:rPr>
                <w:sz w:val="24"/>
                <w:szCs w:val="24"/>
              </w:rPr>
            </w:pPr>
          </w:p>
        </w:tc>
        <w:tc>
          <w:tcPr>
            <w:tcW w:w="9014" w:type="dxa"/>
            <w:gridSpan w:val="4"/>
            <w:tcBorders>
              <w:bottom w:val="single" w:sz="12" w:space="0" w:color="auto"/>
            </w:tcBorders>
            <w:shd w:val="clear" w:color="auto" w:fill="auto"/>
          </w:tcPr>
          <w:p w14:paraId="04277B88" w14:textId="2E517B41" w:rsidR="00F0236A" w:rsidRPr="00073574" w:rsidRDefault="00F0236A" w:rsidP="00D100F9">
            <w:pPr>
              <w:pStyle w:val="Tabletext"/>
              <w:rPr>
                <w:szCs w:val="22"/>
              </w:rPr>
            </w:pPr>
            <w:r w:rsidRPr="00073574">
              <w:rPr>
                <w:szCs w:val="22"/>
              </w:rPr>
              <w:t>Activities are ongoing within Decision 5 of PP-1</w:t>
            </w:r>
            <w:r w:rsidR="00D77601" w:rsidRPr="00073574">
              <w:rPr>
                <w:szCs w:val="22"/>
              </w:rPr>
              <w:t>8</w:t>
            </w:r>
            <w:r w:rsidRPr="00073574">
              <w:rPr>
                <w:szCs w:val="22"/>
              </w:rPr>
              <w:t>.</w:t>
            </w:r>
          </w:p>
        </w:tc>
      </w:tr>
      <w:tr w:rsidR="00F0236A" w:rsidRPr="00073574" w14:paraId="71877630" w14:textId="77777777" w:rsidTr="00D100F9">
        <w:trPr>
          <w:jc w:val="center"/>
        </w:trPr>
        <w:tc>
          <w:tcPr>
            <w:tcW w:w="929" w:type="dxa"/>
            <w:vMerge w:val="restart"/>
            <w:tcBorders>
              <w:top w:val="single" w:sz="12" w:space="0" w:color="auto"/>
            </w:tcBorders>
            <w:shd w:val="clear" w:color="auto" w:fill="auto"/>
          </w:tcPr>
          <w:p w14:paraId="0DB45E5F" w14:textId="77777777" w:rsidR="00F0236A" w:rsidRPr="00073574" w:rsidRDefault="00F0236A" w:rsidP="00D100F9">
            <w:pPr>
              <w:pStyle w:val="Tabletext"/>
              <w:rPr>
                <w:b/>
                <w:bCs/>
                <w:sz w:val="24"/>
                <w:szCs w:val="24"/>
              </w:rPr>
            </w:pPr>
            <w:r w:rsidRPr="00073574">
              <w:rPr>
                <w:b/>
                <w:bCs/>
                <w:sz w:val="24"/>
                <w:szCs w:val="24"/>
              </w:rPr>
              <w:t>67-08</w:t>
            </w:r>
          </w:p>
        </w:tc>
        <w:tc>
          <w:tcPr>
            <w:tcW w:w="5288" w:type="dxa"/>
            <w:tcBorders>
              <w:top w:val="single" w:sz="12" w:space="0" w:color="auto"/>
            </w:tcBorders>
            <w:shd w:val="clear" w:color="auto" w:fill="auto"/>
          </w:tcPr>
          <w:p w14:paraId="5B951649" w14:textId="77777777" w:rsidR="00F0236A" w:rsidRPr="00073574" w:rsidRDefault="00F0236A" w:rsidP="00D100F9">
            <w:pPr>
              <w:pStyle w:val="Tabletext"/>
              <w:rPr>
                <w:b/>
                <w:bCs/>
                <w:sz w:val="24"/>
                <w:szCs w:val="24"/>
              </w:rPr>
            </w:pPr>
            <w:r w:rsidRPr="00073574">
              <w:rPr>
                <w:b/>
                <w:bCs/>
                <w:sz w:val="24"/>
                <w:szCs w:val="24"/>
              </w:rPr>
              <w:t>TSB Director to bring this resolution to the attention of the Director of the Radiocommunication Bureau</w:t>
            </w:r>
          </w:p>
        </w:tc>
        <w:tc>
          <w:tcPr>
            <w:tcW w:w="1226" w:type="dxa"/>
            <w:tcBorders>
              <w:top w:val="single" w:sz="12" w:space="0" w:color="auto"/>
            </w:tcBorders>
            <w:shd w:val="clear" w:color="auto" w:fill="auto"/>
            <w:vAlign w:val="center"/>
          </w:tcPr>
          <w:p w14:paraId="0184DC12" w14:textId="627BB7F4" w:rsidR="00F0236A" w:rsidRPr="00073574" w:rsidRDefault="00124BCB" w:rsidP="00D100F9">
            <w:pPr>
              <w:pStyle w:val="Tabletext"/>
              <w:jc w:val="center"/>
              <w:rPr>
                <w:b/>
                <w:bCs/>
                <w:sz w:val="24"/>
                <w:szCs w:val="24"/>
              </w:rPr>
            </w:pPr>
            <w:r w:rsidRPr="00073574">
              <w:rPr>
                <w:b/>
                <w:bCs/>
                <w:sz w:val="24"/>
                <w:szCs w:val="24"/>
              </w:rPr>
              <w:t xml:space="preserve">Completed </w:t>
            </w:r>
            <w:r w:rsidR="00F0236A" w:rsidRPr="00073574">
              <w:rPr>
                <w:b/>
                <w:bCs/>
                <w:sz w:val="24"/>
                <w:szCs w:val="24"/>
              </w:rPr>
              <w:t>2017</w:t>
            </w:r>
          </w:p>
        </w:tc>
        <w:tc>
          <w:tcPr>
            <w:tcW w:w="1164" w:type="dxa"/>
            <w:tcBorders>
              <w:top w:val="single" w:sz="12" w:space="0" w:color="auto"/>
            </w:tcBorders>
            <w:shd w:val="clear" w:color="auto" w:fill="auto"/>
            <w:vAlign w:val="center"/>
          </w:tcPr>
          <w:p w14:paraId="60FB4114" w14:textId="0FF369D1" w:rsidR="00F0236A" w:rsidRPr="00073574" w:rsidDel="00387E0B" w:rsidRDefault="008C781F" w:rsidP="00D100F9">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21FC925B" w14:textId="77777777" w:rsidR="00F0236A" w:rsidRPr="00073574" w:rsidRDefault="00F0236A" w:rsidP="00D100F9">
            <w:pPr>
              <w:pStyle w:val="Tabletext"/>
              <w:jc w:val="center"/>
              <w:rPr>
                <w:b/>
                <w:bCs/>
                <w:sz w:val="24"/>
                <w:szCs w:val="24"/>
              </w:rPr>
            </w:pPr>
            <w:r w:rsidRPr="00073574">
              <w:rPr>
                <w:b/>
                <w:bCs/>
                <w:sz w:val="24"/>
                <w:szCs w:val="24"/>
              </w:rPr>
              <w:t>√</w:t>
            </w:r>
          </w:p>
        </w:tc>
      </w:tr>
      <w:tr w:rsidR="00F0236A" w:rsidRPr="00073574" w14:paraId="075190D3" w14:textId="77777777" w:rsidTr="003B6D5E">
        <w:trPr>
          <w:jc w:val="center"/>
        </w:trPr>
        <w:tc>
          <w:tcPr>
            <w:tcW w:w="929" w:type="dxa"/>
            <w:vMerge/>
            <w:tcBorders>
              <w:bottom w:val="single" w:sz="12" w:space="0" w:color="auto"/>
            </w:tcBorders>
            <w:vAlign w:val="center"/>
          </w:tcPr>
          <w:p w14:paraId="74CDF410" w14:textId="77777777" w:rsidR="00F0236A" w:rsidRPr="00073574" w:rsidRDefault="00F0236A" w:rsidP="00D100F9">
            <w:pPr>
              <w:pStyle w:val="Tabletext"/>
              <w:rPr>
                <w:sz w:val="24"/>
                <w:szCs w:val="24"/>
              </w:rPr>
            </w:pPr>
          </w:p>
        </w:tc>
        <w:tc>
          <w:tcPr>
            <w:tcW w:w="9014" w:type="dxa"/>
            <w:gridSpan w:val="4"/>
            <w:tcBorders>
              <w:bottom w:val="single" w:sz="12" w:space="0" w:color="auto"/>
            </w:tcBorders>
            <w:shd w:val="clear" w:color="auto" w:fill="auto"/>
          </w:tcPr>
          <w:p w14:paraId="1C1907EB" w14:textId="77777777" w:rsidR="00F0236A" w:rsidRPr="00073574" w:rsidRDefault="00F0236A" w:rsidP="00D100F9">
            <w:pPr>
              <w:pStyle w:val="Tabletext"/>
              <w:rPr>
                <w:sz w:val="24"/>
                <w:szCs w:val="24"/>
              </w:rPr>
            </w:pPr>
            <w:r w:rsidRPr="00073574">
              <w:rPr>
                <w:rFonts w:eastAsiaTheme="minorEastAsia"/>
                <w:szCs w:val="22"/>
                <w:lang w:eastAsia="ja-JP"/>
              </w:rPr>
              <w:t>BR was informed.</w:t>
            </w:r>
          </w:p>
        </w:tc>
      </w:tr>
      <w:tr w:rsidR="003B6D5E" w:rsidRPr="00073574" w14:paraId="3B7D4119" w14:textId="77777777" w:rsidTr="00C4436E">
        <w:trPr>
          <w:jc w:val="center"/>
        </w:trPr>
        <w:tc>
          <w:tcPr>
            <w:tcW w:w="929" w:type="dxa"/>
            <w:vMerge w:val="restart"/>
            <w:tcBorders>
              <w:top w:val="single" w:sz="12" w:space="0" w:color="auto"/>
            </w:tcBorders>
            <w:vAlign w:val="center"/>
          </w:tcPr>
          <w:p w14:paraId="62477B8D" w14:textId="39CCC32D" w:rsidR="003B6D5E" w:rsidRPr="00073574" w:rsidRDefault="003B6D5E" w:rsidP="00D100F9">
            <w:pPr>
              <w:pStyle w:val="Tabletext"/>
              <w:rPr>
                <w:b/>
                <w:bCs/>
                <w:sz w:val="24"/>
                <w:szCs w:val="24"/>
              </w:rPr>
            </w:pPr>
            <w:r w:rsidRPr="00073574">
              <w:rPr>
                <w:b/>
                <w:bCs/>
                <w:sz w:val="24"/>
                <w:szCs w:val="24"/>
              </w:rPr>
              <w:t>67-09</w:t>
            </w:r>
          </w:p>
        </w:tc>
        <w:tc>
          <w:tcPr>
            <w:tcW w:w="5288" w:type="dxa"/>
            <w:tcBorders>
              <w:top w:val="single" w:sz="12" w:space="0" w:color="auto"/>
            </w:tcBorders>
            <w:shd w:val="clear" w:color="auto" w:fill="auto"/>
          </w:tcPr>
          <w:p w14:paraId="224F275A" w14:textId="2E0BBDB4" w:rsidR="003B6D5E" w:rsidRPr="00073574" w:rsidRDefault="00406214" w:rsidP="00D100F9">
            <w:pPr>
              <w:pStyle w:val="Tabletext"/>
              <w:rPr>
                <w:rFonts w:eastAsiaTheme="minorEastAsia"/>
                <w:b/>
                <w:bCs/>
                <w:szCs w:val="22"/>
                <w:lang w:eastAsia="ja-JP"/>
              </w:rPr>
            </w:pPr>
            <w:r w:rsidRPr="00073574">
              <w:rPr>
                <w:rFonts w:eastAsiaTheme="minorEastAsia"/>
                <w:b/>
                <w:bCs/>
                <w:szCs w:val="22"/>
                <w:lang w:eastAsia="ja-JP"/>
              </w:rPr>
              <w:t>SCV to inform TSAG at least once per year of its activities and to report its results to the next WTSA</w:t>
            </w:r>
            <w:r w:rsidR="00BE38F8" w:rsidRPr="00073574">
              <w:rPr>
                <w:rFonts w:eastAsiaTheme="minorEastAsia"/>
                <w:b/>
                <w:bCs/>
                <w:szCs w:val="22"/>
                <w:lang w:eastAsia="ja-JP"/>
              </w:rPr>
              <w:t xml:space="preserve"> (ToR #3)</w:t>
            </w:r>
          </w:p>
        </w:tc>
        <w:tc>
          <w:tcPr>
            <w:tcW w:w="1281" w:type="dxa"/>
            <w:tcBorders>
              <w:top w:val="single" w:sz="12" w:space="0" w:color="auto"/>
            </w:tcBorders>
            <w:shd w:val="clear" w:color="auto" w:fill="auto"/>
          </w:tcPr>
          <w:p w14:paraId="51A56F40" w14:textId="5B28E7AF" w:rsidR="003B6D5E" w:rsidRPr="00073574" w:rsidRDefault="003127D9" w:rsidP="003127D9">
            <w:pPr>
              <w:pStyle w:val="Tabletext"/>
              <w:jc w:val="center"/>
              <w:rPr>
                <w:rFonts w:eastAsiaTheme="minorEastAsia"/>
                <w:b/>
                <w:bCs/>
                <w:szCs w:val="22"/>
                <w:lang w:eastAsia="ja-JP"/>
              </w:rPr>
            </w:pPr>
            <w:r w:rsidRPr="00073574">
              <w:rPr>
                <w:rFonts w:eastAsiaTheme="minorEastAsia"/>
                <w:b/>
                <w:bCs/>
                <w:szCs w:val="22"/>
                <w:lang w:eastAsia="ja-JP"/>
              </w:rPr>
              <w:t>Ongoing, TSAG, WTSA-20</w:t>
            </w:r>
          </w:p>
        </w:tc>
        <w:tc>
          <w:tcPr>
            <w:tcW w:w="1129" w:type="dxa"/>
            <w:tcBorders>
              <w:top w:val="single" w:sz="12" w:space="0" w:color="auto"/>
            </w:tcBorders>
            <w:shd w:val="clear" w:color="auto" w:fill="auto"/>
            <w:vAlign w:val="center"/>
          </w:tcPr>
          <w:p w14:paraId="52A9D5FF" w14:textId="1EFDF3C4" w:rsidR="003B6D5E" w:rsidRPr="00073574" w:rsidRDefault="004C5603" w:rsidP="004C5603">
            <w:pPr>
              <w:pStyle w:val="Tabletext"/>
              <w:jc w:val="center"/>
              <w:rPr>
                <w:rFonts w:eastAsiaTheme="minorEastAsia"/>
                <w:b/>
                <w:bCs/>
                <w:szCs w:val="22"/>
                <w:lang w:eastAsia="ja-JP"/>
              </w:rPr>
            </w:pPr>
            <w:r w:rsidRPr="00073574">
              <w:rPr>
                <w:b/>
                <w:bCs/>
                <w:sz w:val="24"/>
                <w:szCs w:val="24"/>
              </w:rPr>
              <w:t>√</w:t>
            </w:r>
          </w:p>
        </w:tc>
        <w:tc>
          <w:tcPr>
            <w:tcW w:w="1316" w:type="dxa"/>
            <w:tcBorders>
              <w:top w:val="single" w:sz="12" w:space="0" w:color="auto"/>
            </w:tcBorders>
            <w:shd w:val="clear" w:color="auto" w:fill="auto"/>
            <w:vAlign w:val="center"/>
          </w:tcPr>
          <w:p w14:paraId="6B5BCABA" w14:textId="22926435" w:rsidR="003B6D5E" w:rsidRPr="00073574" w:rsidRDefault="000D4E7C" w:rsidP="004C5603">
            <w:pPr>
              <w:pStyle w:val="Tabletext"/>
              <w:jc w:val="center"/>
              <w:rPr>
                <w:rFonts w:eastAsiaTheme="minorEastAsia"/>
                <w:b/>
                <w:bCs/>
                <w:szCs w:val="22"/>
                <w:lang w:eastAsia="ja-JP"/>
              </w:rPr>
            </w:pPr>
            <w:r w:rsidRPr="00073574">
              <w:rPr>
                <w:b/>
                <w:bCs/>
                <w:sz w:val="24"/>
                <w:szCs w:val="24"/>
              </w:rPr>
              <w:t>√</w:t>
            </w:r>
          </w:p>
        </w:tc>
      </w:tr>
      <w:tr w:rsidR="003B6D5E" w:rsidRPr="00073574" w14:paraId="68DC95E3" w14:textId="77777777" w:rsidTr="00D100F9">
        <w:trPr>
          <w:jc w:val="center"/>
        </w:trPr>
        <w:tc>
          <w:tcPr>
            <w:tcW w:w="929" w:type="dxa"/>
            <w:vMerge/>
            <w:vAlign w:val="center"/>
          </w:tcPr>
          <w:p w14:paraId="1812366D" w14:textId="77777777" w:rsidR="003B6D5E" w:rsidRPr="00073574" w:rsidRDefault="003B6D5E" w:rsidP="00D100F9">
            <w:pPr>
              <w:pStyle w:val="Tabletext"/>
              <w:rPr>
                <w:sz w:val="24"/>
                <w:szCs w:val="24"/>
              </w:rPr>
            </w:pPr>
          </w:p>
        </w:tc>
        <w:tc>
          <w:tcPr>
            <w:tcW w:w="9014" w:type="dxa"/>
            <w:gridSpan w:val="4"/>
            <w:shd w:val="clear" w:color="auto" w:fill="auto"/>
          </w:tcPr>
          <w:p w14:paraId="169C55F6" w14:textId="235379DA" w:rsidR="003B6D5E" w:rsidRPr="00073574" w:rsidRDefault="00363D6D" w:rsidP="00D100F9">
            <w:pPr>
              <w:pStyle w:val="Tabletext"/>
              <w:rPr>
                <w:rFonts w:eastAsiaTheme="minorEastAsia"/>
                <w:szCs w:val="22"/>
                <w:lang w:eastAsia="ja-JP"/>
              </w:rPr>
            </w:pPr>
            <w:r w:rsidRPr="00073574">
              <w:rPr>
                <w:rFonts w:eastAsiaTheme="minorEastAsia"/>
                <w:szCs w:val="22"/>
                <w:lang w:eastAsia="ja-JP"/>
              </w:rPr>
              <w:t xml:space="preserve">The SCV reported </w:t>
            </w:r>
            <w:r w:rsidR="008201F5" w:rsidRPr="00073574">
              <w:rPr>
                <w:rFonts w:eastAsiaTheme="minorEastAsia"/>
                <w:szCs w:val="22"/>
                <w:lang w:eastAsia="ja-JP"/>
              </w:rPr>
              <w:t xml:space="preserve">on its activities and status </w:t>
            </w:r>
            <w:r w:rsidRPr="00073574">
              <w:rPr>
                <w:rFonts w:eastAsiaTheme="minorEastAsia"/>
                <w:szCs w:val="22"/>
                <w:lang w:eastAsia="ja-JP"/>
              </w:rPr>
              <w:t xml:space="preserve">to TSAG </w:t>
            </w:r>
            <w:r w:rsidR="0037246C" w:rsidRPr="00073574">
              <w:rPr>
                <w:rFonts w:eastAsiaTheme="minorEastAsia"/>
                <w:szCs w:val="22"/>
                <w:lang w:eastAsia="ja-JP"/>
              </w:rPr>
              <w:t xml:space="preserve">in </w:t>
            </w:r>
            <w:r w:rsidR="008201F5" w:rsidRPr="00073574">
              <w:rPr>
                <w:rStyle w:val="Hyperlink"/>
                <w:rFonts w:asciiTheme="majorBidi" w:hAnsiTheme="majorBidi" w:cstheme="majorBidi"/>
              </w:rPr>
              <w:t>TSAG-TD388</w:t>
            </w:r>
            <w:r w:rsidR="008201F5" w:rsidRPr="00073574">
              <w:rPr>
                <w:rFonts w:eastAsiaTheme="minorEastAsia"/>
                <w:szCs w:val="22"/>
                <w:lang w:eastAsia="ja-JP"/>
              </w:rPr>
              <w:t xml:space="preserve">, </w:t>
            </w:r>
            <w:hyperlink r:id="rId468" w:history="1">
              <w:hyperlink r:id="rId469" w:history="1">
                <w:r w:rsidR="000915B1" w:rsidRPr="00073574">
                  <w:rPr>
                    <w:rStyle w:val="Hyperlink"/>
                    <w:lang w:eastAsia="zh-CN"/>
                  </w:rPr>
                  <w:t>TSAG-TD496</w:t>
                </w:r>
              </w:hyperlink>
            </w:hyperlink>
            <w:r w:rsidR="000915B1" w:rsidRPr="00073574">
              <w:rPr>
                <w:rFonts w:eastAsiaTheme="minorEastAsia"/>
                <w:szCs w:val="22"/>
                <w:lang w:eastAsia="ja-JP"/>
              </w:rPr>
              <w:t xml:space="preserve">, </w:t>
            </w:r>
            <w:hyperlink r:id="rId470">
              <w:r w:rsidR="0070186F" w:rsidRPr="00073574">
                <w:rPr>
                  <w:rStyle w:val="Hyperlink"/>
                </w:rPr>
                <w:t>TSAG-TD818</w:t>
              </w:r>
            </w:hyperlink>
            <w:r w:rsidR="0070186F" w:rsidRPr="00073574">
              <w:rPr>
                <w:rFonts w:eastAsiaTheme="minorEastAsia"/>
                <w:szCs w:val="22"/>
                <w:lang w:eastAsia="ja-JP"/>
              </w:rPr>
              <w:t xml:space="preserve">, </w:t>
            </w:r>
            <w:hyperlink r:id="rId471" w:history="1">
              <w:r w:rsidR="00D2365F" w:rsidRPr="00073574">
                <w:rPr>
                  <w:rStyle w:val="Hyperlink"/>
                  <w:lang w:eastAsia="zh-CN"/>
                </w:rPr>
                <w:t>TSAG-TD961</w:t>
              </w:r>
            </w:hyperlink>
            <w:r w:rsidR="00D37B07" w:rsidRPr="00073574">
              <w:rPr>
                <w:rStyle w:val="Hyperlink"/>
                <w:lang w:eastAsia="zh-CN"/>
              </w:rPr>
              <w:t xml:space="preserve"> </w:t>
            </w:r>
            <w:r w:rsidR="00D37B07" w:rsidRPr="00073574">
              <w:rPr>
                <w:rStyle w:val="Hyperlink"/>
              </w:rPr>
              <w:t>and TSAG-TD1060</w:t>
            </w:r>
            <w:r w:rsidR="00883A16" w:rsidRPr="00073574">
              <w:rPr>
                <w:rFonts w:eastAsiaTheme="minorEastAsia"/>
                <w:szCs w:val="22"/>
                <w:lang w:eastAsia="ja-JP"/>
              </w:rPr>
              <w:t>.</w:t>
            </w:r>
          </w:p>
          <w:p w14:paraId="0DBEB96F" w14:textId="5D2C5FDC" w:rsidR="0095635F" w:rsidRPr="00073574" w:rsidRDefault="0095635F" w:rsidP="00D100F9">
            <w:pPr>
              <w:pStyle w:val="Tabletext"/>
              <w:rPr>
                <w:rFonts w:eastAsiaTheme="minorEastAsia"/>
                <w:szCs w:val="22"/>
                <w:lang w:eastAsia="ja-JP"/>
              </w:rPr>
            </w:pPr>
            <w:r w:rsidRPr="00073574">
              <w:rPr>
                <w:rFonts w:eastAsiaTheme="minorEastAsia"/>
                <w:szCs w:val="22"/>
                <w:lang w:eastAsia="ja-JP"/>
              </w:rPr>
              <w:t>See WTSA-C</w:t>
            </w:r>
            <w:r w:rsidR="00F22085" w:rsidRPr="00073574">
              <w:rPr>
                <w:rFonts w:eastAsiaTheme="minorEastAsia"/>
                <w:szCs w:val="22"/>
                <w:lang w:eastAsia="ja-JP"/>
              </w:rPr>
              <w:t>30</w:t>
            </w:r>
            <w:r w:rsidRPr="00073574">
              <w:rPr>
                <w:rFonts w:eastAsiaTheme="minorEastAsia"/>
                <w:szCs w:val="22"/>
                <w:lang w:eastAsia="ja-JP"/>
              </w:rPr>
              <w:t xml:space="preserve"> “</w:t>
            </w:r>
            <w:r w:rsidR="000B305F" w:rsidRPr="00073574">
              <w:rPr>
                <w:rFonts w:eastAsiaTheme="minorEastAsia"/>
                <w:szCs w:val="22"/>
                <w:lang w:eastAsia="ja-JP"/>
              </w:rPr>
              <w:t>Report of ITU-T SCV to the World Telecommunication Standardization Assembly (WTSA-20)</w:t>
            </w:r>
            <w:r w:rsidRPr="00073574">
              <w:rPr>
                <w:rFonts w:eastAsiaTheme="minorEastAsia"/>
                <w:szCs w:val="22"/>
                <w:lang w:eastAsia="ja-JP"/>
              </w:rPr>
              <w:t>”.</w:t>
            </w:r>
          </w:p>
        </w:tc>
      </w:tr>
    </w:tbl>
    <w:p w14:paraId="0C526998" w14:textId="31915F52" w:rsidR="7277BFE4" w:rsidRPr="00073574" w:rsidRDefault="7277BFE4">
      <w:bookmarkStart w:id="327" w:name="Item67_01"/>
      <w:bookmarkStart w:id="328" w:name="Item67_02"/>
      <w:bookmarkStart w:id="329" w:name="Item67_03"/>
      <w:bookmarkStart w:id="330" w:name="Item67_04"/>
      <w:bookmarkStart w:id="331" w:name="Item67_05"/>
      <w:bookmarkStart w:id="332" w:name="Item67_06"/>
      <w:bookmarkStart w:id="333" w:name="Item67_07"/>
      <w:bookmarkStart w:id="334" w:name="Item67_08"/>
      <w:bookmarkEnd w:id="327"/>
      <w:bookmarkEnd w:id="328"/>
      <w:bookmarkEnd w:id="329"/>
      <w:bookmarkEnd w:id="330"/>
      <w:bookmarkEnd w:id="331"/>
      <w:bookmarkEnd w:id="332"/>
      <w:bookmarkEnd w:id="333"/>
      <w:bookmarkEnd w:id="334"/>
    </w:p>
    <w:p w14:paraId="5F2DA8F2" w14:textId="77777777" w:rsidR="00F0236A" w:rsidRPr="00073574" w:rsidRDefault="0053741E" w:rsidP="00F0236A">
      <w:pPr>
        <w:rPr>
          <w:sz w:val="24"/>
        </w:rPr>
      </w:pPr>
      <w:hyperlink w:anchor="Top" w:history="1">
        <w:r w:rsidR="00F0236A" w:rsidRPr="00073574">
          <w:rPr>
            <w:rStyle w:val="Hyperlink"/>
            <w:rFonts w:eastAsia="Times New Roman"/>
            <w:sz w:val="24"/>
          </w:rPr>
          <w:t>» Top</w:t>
        </w:r>
      </w:hyperlink>
    </w:p>
    <w:p w14:paraId="75B731E3" w14:textId="77777777" w:rsidR="00F0236A" w:rsidRPr="00073574" w:rsidRDefault="00F0236A" w:rsidP="00F0236A">
      <w:pPr>
        <w:rPr>
          <w:sz w:val="24"/>
        </w:rPr>
      </w:pPr>
    </w:p>
    <w:p w14:paraId="1001D9D6" w14:textId="77777777" w:rsidR="00F0236A" w:rsidRPr="00073574" w:rsidRDefault="00F0236A" w:rsidP="00F0236A">
      <w:pPr>
        <w:pStyle w:val="Heading1"/>
        <w:keepNext/>
        <w:keepLines/>
        <w:rPr>
          <w:sz w:val="24"/>
          <w:szCs w:val="24"/>
          <w:lang w:val="en-GB"/>
        </w:rPr>
      </w:pPr>
      <w:bookmarkStart w:id="335" w:name="Resolution_68"/>
      <w:bookmarkStart w:id="336" w:name="_Toc471715385"/>
      <w:bookmarkStart w:id="337" w:name="_Toc304236452"/>
      <w:bookmarkStart w:id="338" w:name="_Toc93425271"/>
      <w:bookmarkEnd w:id="335"/>
      <w:r w:rsidRPr="00073574">
        <w:rPr>
          <w:sz w:val="24"/>
          <w:szCs w:val="24"/>
          <w:lang w:val="en-GB"/>
        </w:rPr>
        <w:lastRenderedPageBreak/>
        <w:t>Resolution 68 - Evolving role of industry in the ITU Telecommunication Standardization Sector</w:t>
      </w:r>
      <w:bookmarkEnd w:id="336"/>
      <w:bookmarkEnd w:id="337"/>
      <w:bookmarkEnd w:id="338"/>
    </w:p>
    <w:p w14:paraId="320EB0B3" w14:textId="77777777" w:rsidR="00F0236A" w:rsidRPr="00073574" w:rsidRDefault="00F0236A" w:rsidP="00F0236A">
      <w:pPr>
        <w:keepNext/>
        <w:keepLines/>
        <w:rPr>
          <w:b/>
          <w:bCs/>
          <w:sz w:val="24"/>
        </w:rPr>
      </w:pPr>
      <w:r w:rsidRPr="00073574">
        <w:rPr>
          <w:b/>
          <w:bCs/>
          <w:sz w:val="24"/>
        </w:rPr>
        <w:t>Resolution 68</w:t>
      </w:r>
    </w:p>
    <w:p w14:paraId="789D8137" w14:textId="77777777" w:rsidR="00F0236A" w:rsidRPr="00073574" w:rsidRDefault="00F0236A" w:rsidP="00F0236A">
      <w:pPr>
        <w:pStyle w:val="Call"/>
        <w:rPr>
          <w:sz w:val="24"/>
          <w:szCs w:val="24"/>
          <w:lang w:val="en-GB"/>
        </w:rPr>
      </w:pPr>
      <w:r w:rsidRPr="00073574">
        <w:rPr>
          <w:sz w:val="24"/>
          <w:szCs w:val="24"/>
          <w:lang w:val="en-GB"/>
        </w:rPr>
        <w:t>resolves to instruct the Director of the Telecommunication Standardization Bureau</w:t>
      </w:r>
    </w:p>
    <w:p w14:paraId="4D73120B" w14:textId="77777777" w:rsidR="00F0236A" w:rsidRPr="00073574" w:rsidRDefault="00F0236A" w:rsidP="00F0236A">
      <w:pPr>
        <w:keepNext/>
        <w:keepLines/>
        <w:rPr>
          <w:sz w:val="24"/>
        </w:rPr>
      </w:pPr>
      <w:r w:rsidRPr="00073574">
        <w:rPr>
          <w:sz w:val="24"/>
        </w:rPr>
        <w:t>1</w:t>
      </w:r>
      <w:r w:rsidRPr="00073574">
        <w:rPr>
          <w:sz w:val="24"/>
        </w:rPr>
        <w:tab/>
        <w:t>to continue to organize meetings for industry executives, e.g. CTO group meetings, in order to assist in identifying and coordinating standardization priorities and subjects;</w:t>
      </w:r>
    </w:p>
    <w:p w14:paraId="5287FB99" w14:textId="77777777" w:rsidR="00F0236A" w:rsidRPr="00073574" w:rsidRDefault="00F0236A" w:rsidP="00F0236A">
      <w:pPr>
        <w:rPr>
          <w:sz w:val="24"/>
        </w:rPr>
      </w:pPr>
      <w:r w:rsidRPr="00073574">
        <w:rPr>
          <w:sz w:val="24"/>
        </w:rPr>
        <w:t>2</w:t>
      </w:r>
      <w:r w:rsidRPr="00073574">
        <w:rPr>
          <w:sz w:val="24"/>
        </w:rPr>
        <w:tab/>
        <w:t>to bring the needs of developing countries to those meetings by consulting them prior to the meetings and to encourage the participation of local industry representatives;</w:t>
      </w:r>
    </w:p>
    <w:p w14:paraId="45CC00FC" w14:textId="77777777" w:rsidR="00F0236A" w:rsidRPr="00073574" w:rsidRDefault="00F0236A" w:rsidP="00F0236A">
      <w:pPr>
        <w:rPr>
          <w:sz w:val="24"/>
        </w:rPr>
      </w:pPr>
      <w:r w:rsidRPr="00073574">
        <w:rPr>
          <w:sz w:val="24"/>
        </w:rPr>
        <w:t>3</w:t>
      </w:r>
      <w:r w:rsidRPr="00073574">
        <w:rPr>
          <w:sz w:val="24"/>
        </w:rPr>
        <w:tab/>
        <w:t xml:space="preserve">to encourage participation in the CTO group of a wide </w:t>
      </w:r>
      <w:r w:rsidRPr="00073574">
        <w:rPr>
          <w:sz w:val="24"/>
          <w:lang w:eastAsia="en-AU"/>
        </w:rPr>
        <w:t>representation of industry, from the ITU</w:t>
      </w:r>
      <w:r w:rsidRPr="00073574">
        <w:rPr>
          <w:sz w:val="24"/>
          <w:lang w:eastAsia="en-AU"/>
        </w:rPr>
        <w:noBreakHyphen/>
        <w:t>T Sector Members from all regions;</w:t>
      </w:r>
    </w:p>
    <w:p w14:paraId="3E4EACAC" w14:textId="77777777" w:rsidR="00F0236A" w:rsidRPr="00073574" w:rsidRDefault="00F0236A" w:rsidP="00F0236A">
      <w:pPr>
        <w:rPr>
          <w:sz w:val="24"/>
        </w:rPr>
      </w:pPr>
      <w:r w:rsidRPr="00073574">
        <w:rPr>
          <w:sz w:val="24"/>
        </w:rPr>
        <w:t>4</w:t>
      </w:r>
      <w:r w:rsidRPr="00073574">
        <w:rPr>
          <w:sz w:val="24"/>
        </w:rPr>
        <w:tab/>
        <w:t>to develop effective mechanisms to organize participation by industry representatives in those meetings (for example, having a stable composition and regular participation in the group by the CTO or alternate);</w:t>
      </w:r>
    </w:p>
    <w:p w14:paraId="6B431640" w14:textId="77777777" w:rsidR="00F0236A" w:rsidRPr="00073574" w:rsidRDefault="00F0236A" w:rsidP="00F0236A">
      <w:pPr>
        <w:rPr>
          <w:sz w:val="24"/>
        </w:rPr>
      </w:pPr>
      <w:r w:rsidRPr="00073574">
        <w:rPr>
          <w:sz w:val="24"/>
        </w:rPr>
        <w:t>5</w:t>
      </w:r>
      <w:r w:rsidRPr="00073574">
        <w:rPr>
          <w:sz w:val="24"/>
        </w:rPr>
        <w:tab/>
        <w:t>to continue to include the conclusions of the CTO group meetings in an official ITU</w:t>
      </w:r>
      <w:r w:rsidRPr="00073574">
        <w:rPr>
          <w:sz w:val="24"/>
        </w:rPr>
        <w:noBreakHyphen/>
        <w:t>T communiqué;</w:t>
      </w:r>
    </w:p>
    <w:p w14:paraId="07B9984E" w14:textId="77777777" w:rsidR="00F0236A" w:rsidRPr="00073574" w:rsidRDefault="00F0236A" w:rsidP="00F0236A">
      <w:pPr>
        <w:rPr>
          <w:sz w:val="24"/>
        </w:rPr>
      </w:pPr>
      <w:r w:rsidRPr="00073574">
        <w:rPr>
          <w:sz w:val="24"/>
        </w:rPr>
        <w:t>6</w:t>
      </w:r>
      <w:r w:rsidRPr="00073574">
        <w:rPr>
          <w:sz w:val="24"/>
        </w:rPr>
        <w:tab/>
        <w:t>to take the conclusions of the CTO group into account in ITU</w:t>
      </w:r>
      <w:r w:rsidRPr="00073574">
        <w:rPr>
          <w:sz w:val="24"/>
        </w:rPr>
        <w:noBreakHyphen/>
        <w:t>T work, especially in the strategy function of TSAG and in the ITU</w:t>
      </w:r>
      <w:r w:rsidRPr="00073574">
        <w:rPr>
          <w:sz w:val="24"/>
        </w:rPr>
        <w:noBreakHyphen/>
        <w:t>T study groups as appropriate;</w:t>
      </w:r>
    </w:p>
    <w:p w14:paraId="76148FF8" w14:textId="77777777" w:rsidR="00F0236A" w:rsidRPr="00073574" w:rsidRDefault="00F0236A" w:rsidP="00F0236A">
      <w:pPr>
        <w:rPr>
          <w:sz w:val="24"/>
        </w:rPr>
      </w:pPr>
      <w:r w:rsidRPr="00073574">
        <w:rPr>
          <w:sz w:val="24"/>
        </w:rPr>
        <w:t>7</w:t>
      </w:r>
      <w:r w:rsidRPr="00073574">
        <w:rPr>
          <w:sz w:val="24"/>
        </w:rPr>
        <w:tab/>
        <w:t>to produce a regular report to TSAG on the follow-up of the CTO conclusions;</w:t>
      </w:r>
    </w:p>
    <w:p w14:paraId="0DE420AC" w14:textId="77777777" w:rsidR="00F0236A" w:rsidRPr="00073574" w:rsidRDefault="00F0236A" w:rsidP="00F0236A">
      <w:pPr>
        <w:rPr>
          <w:sz w:val="24"/>
        </w:rPr>
      </w:pPr>
      <w:r w:rsidRPr="00073574">
        <w:rPr>
          <w:sz w:val="24"/>
        </w:rPr>
        <w:t>8</w:t>
      </w:r>
      <w:r w:rsidRPr="00073574">
        <w:rPr>
          <w:sz w:val="24"/>
        </w:rPr>
        <w:tab/>
        <w:t>to produce a report to the next WTSA assessing the outcomes of the CTO group over the period and examining the need to continue or enhance its activities,</w:t>
      </w:r>
    </w:p>
    <w:p w14:paraId="03C61877" w14:textId="77777777" w:rsidR="00F0236A" w:rsidRPr="00073574" w:rsidRDefault="00F0236A" w:rsidP="00F0236A">
      <w:pPr>
        <w:pStyle w:val="Call"/>
        <w:rPr>
          <w:sz w:val="24"/>
          <w:szCs w:val="24"/>
          <w:lang w:val="en-GB"/>
        </w:rPr>
      </w:pPr>
      <w:r w:rsidRPr="00073574">
        <w:rPr>
          <w:sz w:val="24"/>
          <w:szCs w:val="24"/>
          <w:lang w:val="en-GB"/>
        </w:rPr>
        <w:t>encourages Sector Members from developing countries</w:t>
      </w:r>
    </w:p>
    <w:p w14:paraId="61A546A0" w14:textId="77777777" w:rsidR="00F0236A" w:rsidRPr="00073574" w:rsidRDefault="00F0236A" w:rsidP="00F0236A">
      <w:pPr>
        <w:spacing w:after="240"/>
        <w:rPr>
          <w:sz w:val="24"/>
        </w:rPr>
      </w:pPr>
      <w:r w:rsidRPr="00073574">
        <w:rPr>
          <w:sz w:val="24"/>
        </w:rPr>
        <w:t>to participate at the level of their executives in the CTO meetings, and to raise proposals in regard to their priority standardization areas as well as standardization priorities and needs of developing countries.</w:t>
      </w:r>
    </w:p>
    <w:tbl>
      <w:tblPr>
        <w:tblW w:w="975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30"/>
        <w:gridCol w:w="4970"/>
        <w:gridCol w:w="39"/>
        <w:gridCol w:w="1276"/>
        <w:gridCol w:w="32"/>
        <w:gridCol w:w="1102"/>
        <w:gridCol w:w="66"/>
        <w:gridCol w:w="1336"/>
      </w:tblGrid>
      <w:tr w:rsidR="00F0236A" w:rsidRPr="00073574" w14:paraId="4EF9B61F" w14:textId="77777777" w:rsidTr="225BF6C7">
        <w:trPr>
          <w:tblHeader/>
          <w:jc w:val="center"/>
        </w:trPr>
        <w:tc>
          <w:tcPr>
            <w:tcW w:w="930" w:type="dxa"/>
            <w:tcBorders>
              <w:top w:val="single" w:sz="12" w:space="0" w:color="auto"/>
              <w:bottom w:val="single" w:sz="12" w:space="0" w:color="auto"/>
            </w:tcBorders>
            <w:shd w:val="clear" w:color="auto" w:fill="auto"/>
            <w:vAlign w:val="center"/>
          </w:tcPr>
          <w:p w14:paraId="1C934736" w14:textId="77777777" w:rsidR="00F0236A" w:rsidRPr="00073574" w:rsidRDefault="00F0236A" w:rsidP="000B56DC">
            <w:pPr>
              <w:pStyle w:val="Tablehead"/>
              <w:keepNext w:val="0"/>
              <w:rPr>
                <w:sz w:val="24"/>
                <w:szCs w:val="24"/>
              </w:rPr>
            </w:pPr>
            <w:r w:rsidRPr="00073574">
              <w:rPr>
                <w:sz w:val="24"/>
                <w:szCs w:val="24"/>
              </w:rPr>
              <w:t>Action Item</w:t>
            </w:r>
          </w:p>
        </w:tc>
        <w:tc>
          <w:tcPr>
            <w:tcW w:w="4970" w:type="dxa"/>
            <w:tcBorders>
              <w:top w:val="single" w:sz="12" w:space="0" w:color="auto"/>
              <w:bottom w:val="single" w:sz="12" w:space="0" w:color="auto"/>
            </w:tcBorders>
            <w:shd w:val="clear" w:color="auto" w:fill="auto"/>
            <w:vAlign w:val="center"/>
            <w:hideMark/>
          </w:tcPr>
          <w:p w14:paraId="591FA959" w14:textId="77777777" w:rsidR="00F0236A" w:rsidRPr="00073574" w:rsidRDefault="00F0236A" w:rsidP="00DF36E1">
            <w:pPr>
              <w:pStyle w:val="Tablehead"/>
              <w:rPr>
                <w:sz w:val="24"/>
                <w:szCs w:val="24"/>
              </w:rPr>
            </w:pPr>
            <w:r w:rsidRPr="00073574">
              <w:rPr>
                <w:sz w:val="24"/>
                <w:szCs w:val="24"/>
              </w:rPr>
              <w:t>Action</w:t>
            </w:r>
          </w:p>
        </w:tc>
        <w:tc>
          <w:tcPr>
            <w:tcW w:w="1347" w:type="dxa"/>
            <w:gridSpan w:val="3"/>
            <w:tcBorders>
              <w:top w:val="single" w:sz="12" w:space="0" w:color="auto"/>
              <w:bottom w:val="single" w:sz="12" w:space="0" w:color="auto"/>
            </w:tcBorders>
            <w:shd w:val="clear" w:color="auto" w:fill="auto"/>
            <w:vAlign w:val="center"/>
            <w:hideMark/>
          </w:tcPr>
          <w:p w14:paraId="2EB0A728" w14:textId="77777777" w:rsidR="00F0236A" w:rsidRPr="00073574" w:rsidRDefault="00F0236A" w:rsidP="00DF36E1">
            <w:pPr>
              <w:pStyle w:val="Tablehead"/>
              <w:rPr>
                <w:sz w:val="24"/>
                <w:szCs w:val="24"/>
              </w:rPr>
            </w:pPr>
            <w:r w:rsidRPr="00073574">
              <w:rPr>
                <w:sz w:val="24"/>
                <w:szCs w:val="24"/>
              </w:rPr>
              <w:t>Milestone</w:t>
            </w:r>
          </w:p>
        </w:tc>
        <w:tc>
          <w:tcPr>
            <w:tcW w:w="1168" w:type="dxa"/>
            <w:gridSpan w:val="2"/>
            <w:tcBorders>
              <w:top w:val="single" w:sz="12" w:space="0" w:color="auto"/>
              <w:bottom w:val="single" w:sz="12" w:space="0" w:color="auto"/>
            </w:tcBorders>
            <w:shd w:val="clear" w:color="auto" w:fill="auto"/>
          </w:tcPr>
          <w:p w14:paraId="4A096B9E" w14:textId="77777777" w:rsidR="00F0236A" w:rsidRPr="00073574" w:rsidRDefault="00F0236A" w:rsidP="00DF36E1">
            <w:pPr>
              <w:pStyle w:val="Tablehead"/>
              <w:rPr>
                <w:sz w:val="24"/>
                <w:szCs w:val="24"/>
              </w:rPr>
            </w:pPr>
            <w:r w:rsidRPr="00073574">
              <w:rPr>
                <w:sz w:val="24"/>
                <w:szCs w:val="24"/>
              </w:rPr>
              <w:t>Periodic goals met</w:t>
            </w:r>
          </w:p>
        </w:tc>
        <w:tc>
          <w:tcPr>
            <w:tcW w:w="1336" w:type="dxa"/>
            <w:tcBorders>
              <w:top w:val="single" w:sz="12" w:space="0" w:color="auto"/>
              <w:bottom w:val="single" w:sz="12" w:space="0" w:color="auto"/>
            </w:tcBorders>
            <w:shd w:val="clear" w:color="auto" w:fill="auto"/>
            <w:vAlign w:val="center"/>
          </w:tcPr>
          <w:p w14:paraId="66726E2E" w14:textId="77777777" w:rsidR="00F0236A" w:rsidRPr="00073574" w:rsidRDefault="00F0236A" w:rsidP="00DF36E1">
            <w:pPr>
              <w:pStyle w:val="Tablehead"/>
              <w:rPr>
                <w:sz w:val="24"/>
                <w:szCs w:val="24"/>
              </w:rPr>
            </w:pPr>
            <w:r w:rsidRPr="00073574">
              <w:rPr>
                <w:sz w:val="24"/>
                <w:szCs w:val="24"/>
              </w:rPr>
              <w:t>Completed</w:t>
            </w:r>
          </w:p>
        </w:tc>
      </w:tr>
      <w:tr w:rsidR="00F0236A" w:rsidRPr="00073574" w14:paraId="06DCFD43" w14:textId="77777777" w:rsidTr="225BF6C7">
        <w:trPr>
          <w:jc w:val="center"/>
        </w:trPr>
        <w:tc>
          <w:tcPr>
            <w:tcW w:w="930" w:type="dxa"/>
            <w:vMerge w:val="restart"/>
            <w:tcBorders>
              <w:top w:val="single" w:sz="12" w:space="0" w:color="auto"/>
            </w:tcBorders>
            <w:shd w:val="clear" w:color="auto" w:fill="auto"/>
          </w:tcPr>
          <w:p w14:paraId="5CCCB42D" w14:textId="77777777" w:rsidR="00F0236A" w:rsidRPr="00073574" w:rsidRDefault="00F0236A" w:rsidP="00DF36E1">
            <w:pPr>
              <w:pStyle w:val="Tabletext"/>
              <w:rPr>
                <w:b/>
                <w:bCs/>
                <w:sz w:val="24"/>
                <w:szCs w:val="24"/>
              </w:rPr>
            </w:pPr>
            <w:r w:rsidRPr="00073574">
              <w:rPr>
                <w:b/>
                <w:bCs/>
                <w:sz w:val="24"/>
                <w:szCs w:val="24"/>
              </w:rPr>
              <w:t>68-01</w:t>
            </w:r>
          </w:p>
        </w:tc>
        <w:tc>
          <w:tcPr>
            <w:tcW w:w="4970" w:type="dxa"/>
            <w:tcBorders>
              <w:top w:val="single" w:sz="12" w:space="0" w:color="auto"/>
              <w:bottom w:val="single" w:sz="2" w:space="0" w:color="auto"/>
            </w:tcBorders>
            <w:shd w:val="clear" w:color="auto" w:fill="auto"/>
            <w:hideMark/>
          </w:tcPr>
          <w:p w14:paraId="34291849" w14:textId="77777777" w:rsidR="00F0236A" w:rsidRPr="00073574" w:rsidRDefault="00F0236A" w:rsidP="00DF36E1">
            <w:pPr>
              <w:pStyle w:val="Tabletext"/>
              <w:rPr>
                <w:b/>
                <w:bCs/>
                <w:sz w:val="24"/>
                <w:szCs w:val="24"/>
              </w:rPr>
            </w:pPr>
            <w:r w:rsidRPr="00073574">
              <w:rPr>
                <w:b/>
                <w:bCs/>
                <w:sz w:val="24"/>
                <w:szCs w:val="24"/>
              </w:rPr>
              <w:t>TSB Director to organize CTO group meetings (resolves 1)</w:t>
            </w:r>
          </w:p>
        </w:tc>
        <w:tc>
          <w:tcPr>
            <w:tcW w:w="1347" w:type="dxa"/>
            <w:gridSpan w:val="3"/>
            <w:tcBorders>
              <w:top w:val="single" w:sz="12" w:space="0" w:color="auto"/>
              <w:bottom w:val="single" w:sz="2" w:space="0" w:color="auto"/>
            </w:tcBorders>
            <w:shd w:val="clear" w:color="auto" w:fill="auto"/>
            <w:vAlign w:val="center"/>
            <w:hideMark/>
          </w:tcPr>
          <w:p w14:paraId="27957E9D" w14:textId="77777777" w:rsidR="00F0236A" w:rsidRPr="00073574" w:rsidRDefault="00F0236A" w:rsidP="00DF36E1">
            <w:pPr>
              <w:pStyle w:val="Tabletext"/>
              <w:keepNext/>
              <w:keepLines/>
              <w:jc w:val="center"/>
              <w:rPr>
                <w:b/>
                <w:bCs/>
                <w:sz w:val="24"/>
                <w:szCs w:val="24"/>
              </w:rPr>
            </w:pPr>
            <w:r w:rsidRPr="00073574">
              <w:rPr>
                <w:b/>
                <w:bCs/>
                <w:sz w:val="24"/>
                <w:szCs w:val="24"/>
              </w:rPr>
              <w:t>Ongoing</w:t>
            </w:r>
          </w:p>
        </w:tc>
        <w:tc>
          <w:tcPr>
            <w:tcW w:w="1168" w:type="dxa"/>
            <w:gridSpan w:val="2"/>
            <w:tcBorders>
              <w:top w:val="single" w:sz="12" w:space="0" w:color="auto"/>
              <w:bottom w:val="single" w:sz="2" w:space="0" w:color="auto"/>
            </w:tcBorders>
            <w:shd w:val="clear" w:color="auto" w:fill="auto"/>
            <w:vAlign w:val="center"/>
          </w:tcPr>
          <w:p w14:paraId="2D271B90" w14:textId="77777777" w:rsidR="00F0236A" w:rsidRPr="00073574" w:rsidRDefault="00F0236A" w:rsidP="00DF36E1">
            <w:pPr>
              <w:pStyle w:val="Tabletext"/>
              <w:keepNext/>
              <w:keepLines/>
              <w:jc w:val="center"/>
              <w:rPr>
                <w:b/>
                <w:bCs/>
                <w:sz w:val="24"/>
                <w:szCs w:val="24"/>
              </w:rPr>
            </w:pPr>
            <w:r w:rsidRPr="00073574">
              <w:rPr>
                <w:b/>
                <w:bCs/>
                <w:sz w:val="24"/>
                <w:szCs w:val="24"/>
              </w:rPr>
              <w:t>√</w:t>
            </w:r>
          </w:p>
        </w:tc>
        <w:tc>
          <w:tcPr>
            <w:tcW w:w="1336" w:type="dxa"/>
            <w:tcBorders>
              <w:top w:val="single" w:sz="12" w:space="0" w:color="auto"/>
              <w:bottom w:val="single" w:sz="2" w:space="0" w:color="auto"/>
            </w:tcBorders>
            <w:shd w:val="clear" w:color="auto" w:fill="auto"/>
            <w:vAlign w:val="center"/>
          </w:tcPr>
          <w:p w14:paraId="50592493" w14:textId="77777777" w:rsidR="00F0236A" w:rsidRPr="00073574" w:rsidRDefault="00F0236A" w:rsidP="00DF36E1">
            <w:pPr>
              <w:pStyle w:val="Tabletext"/>
              <w:keepNext/>
              <w:keepLines/>
              <w:jc w:val="center"/>
              <w:rPr>
                <w:b/>
                <w:bCs/>
                <w:sz w:val="24"/>
                <w:szCs w:val="24"/>
              </w:rPr>
            </w:pPr>
          </w:p>
        </w:tc>
      </w:tr>
      <w:tr w:rsidR="00F0236A" w:rsidRPr="00073574" w14:paraId="0751EE23" w14:textId="77777777" w:rsidTr="225BF6C7">
        <w:trPr>
          <w:jc w:val="center"/>
        </w:trPr>
        <w:tc>
          <w:tcPr>
            <w:tcW w:w="930" w:type="dxa"/>
            <w:vMerge/>
          </w:tcPr>
          <w:p w14:paraId="66ECAF5B" w14:textId="77777777" w:rsidR="00F0236A" w:rsidRPr="00073574" w:rsidDel="005B0E69" w:rsidRDefault="00F0236A" w:rsidP="00DF36E1">
            <w:pPr>
              <w:pStyle w:val="Tabletext"/>
              <w:rPr>
                <w:b/>
                <w:bCs/>
                <w:sz w:val="24"/>
                <w:szCs w:val="24"/>
              </w:rPr>
            </w:pPr>
          </w:p>
        </w:tc>
        <w:tc>
          <w:tcPr>
            <w:tcW w:w="8821" w:type="dxa"/>
            <w:gridSpan w:val="7"/>
            <w:tcBorders>
              <w:top w:val="single" w:sz="2" w:space="0" w:color="auto"/>
              <w:bottom w:val="single" w:sz="2" w:space="0" w:color="auto"/>
            </w:tcBorders>
            <w:shd w:val="clear" w:color="auto" w:fill="auto"/>
          </w:tcPr>
          <w:p w14:paraId="211022DB" w14:textId="7ABC46F8" w:rsidR="00F0236A" w:rsidRPr="00073574" w:rsidRDefault="00F0236A" w:rsidP="001E63F9">
            <w:pPr>
              <w:pStyle w:val="NormalWeb"/>
              <w:spacing w:before="40" w:after="120"/>
              <w:rPr>
                <w:sz w:val="22"/>
                <w:szCs w:val="22"/>
                <w:lang w:val="en-GB"/>
              </w:rPr>
            </w:pPr>
            <w:r w:rsidRPr="00073574">
              <w:rPr>
                <w:sz w:val="22"/>
                <w:szCs w:val="22"/>
                <w:lang w:val="en-GB"/>
              </w:rPr>
              <w:t>A CTO group meeting of 24 ICT industry executives and the strategic management of the ITU Telecommunication Standardization Sector (ITU-T) took place in in Hammamet, Tunisia, 23 October</w:t>
            </w:r>
            <w:r w:rsidR="0010736E" w:rsidRPr="00073574">
              <w:rPr>
                <w:sz w:val="22"/>
                <w:szCs w:val="22"/>
                <w:lang w:val="en-GB"/>
              </w:rPr>
              <w:t xml:space="preserve"> 2016</w:t>
            </w:r>
            <w:r w:rsidRPr="00073574">
              <w:rPr>
                <w:sz w:val="22"/>
                <w:szCs w:val="22"/>
                <w:lang w:val="en-GB"/>
              </w:rPr>
              <w:t>, hosted by Tunisie Télécom. ICT industry executives have highlighted the importance of innovation capitalizing on VoLTE and other unique opportunities presented to network operators by advanced packet-based communications. Leaders agree that Gigabit-speed broadband access and data security will form key priorities to industry in coming years. These executives have also reaffirmed their request for regulation to provide a level playing field for competition between telecoms and OTT players in fields where they provide equivalent services. The meeting</w:t>
            </w:r>
            <w:r w:rsidR="003C7E25" w:rsidRPr="00073574">
              <w:rPr>
                <w:sz w:val="22"/>
                <w:szCs w:val="22"/>
                <w:lang w:val="en-GB"/>
              </w:rPr>
              <w:t>'</w:t>
            </w:r>
            <w:r w:rsidRPr="00073574">
              <w:rPr>
                <w:sz w:val="22"/>
                <w:szCs w:val="22"/>
                <w:lang w:val="en-GB"/>
              </w:rPr>
              <w:t xml:space="preserve">s full set of conclusions were issued as a </w:t>
            </w:r>
            <w:hyperlink r:id="rId472" w:history="1">
              <w:r w:rsidRPr="00073574">
                <w:rPr>
                  <w:rStyle w:val="Hyperlink"/>
                  <w:sz w:val="22"/>
                  <w:szCs w:val="22"/>
                  <w:lang w:val="en-GB"/>
                </w:rPr>
                <w:t>communiqué</w:t>
              </w:r>
            </w:hyperlink>
            <w:r w:rsidRPr="00073574">
              <w:rPr>
                <w:sz w:val="22"/>
                <w:szCs w:val="22"/>
                <w:lang w:val="en-GB"/>
              </w:rPr>
              <w:t>.</w:t>
            </w:r>
          </w:p>
          <w:p w14:paraId="0315FB83" w14:textId="77777777" w:rsidR="00F0236A" w:rsidRPr="00073574" w:rsidRDefault="00F0236A" w:rsidP="00DF36E1">
            <w:pPr>
              <w:spacing w:before="240"/>
              <w:rPr>
                <w:rFonts w:asciiTheme="majorBidi" w:hAnsiTheme="majorBidi" w:cstheme="majorBidi"/>
                <w:szCs w:val="22"/>
              </w:rPr>
            </w:pPr>
            <w:r w:rsidRPr="00073574">
              <w:rPr>
                <w:szCs w:val="22"/>
              </w:rPr>
              <w:t xml:space="preserve">Another CTO group </w:t>
            </w:r>
            <w:r w:rsidRPr="00073574">
              <w:rPr>
                <w:rFonts w:asciiTheme="majorBidi" w:hAnsiTheme="majorBidi" w:cstheme="majorBidi"/>
                <w:szCs w:val="22"/>
              </w:rPr>
              <w:t xml:space="preserve">meeting was held 13 November 2016 at the outset of ITU Telecom World 2016 in Bangkok, Thailand. The results of the ITU World Telecommunication Standardization Assembly 2016 (WTSA-16) and standards for future smart 5G systems were the key topics discussed at a meeting of 14 high-level ICT industry executives (CTOs) with the senior management of the ITU Telecommunication Standardization Sector (ITU-T) and the ITU Radiocommunication Sector (ITU-R). The meeting gave CTOs the opportunity to learn more </w:t>
            </w:r>
            <w:r w:rsidRPr="00073574">
              <w:rPr>
                <w:rFonts w:asciiTheme="majorBidi" w:hAnsiTheme="majorBidi" w:cstheme="majorBidi"/>
                <w:szCs w:val="22"/>
              </w:rPr>
              <w:lastRenderedPageBreak/>
              <w:t>about the key outcomes of WTSA-16, among which revised Resolution 68 calls on the ITU secretariat to continue organizing CTO meetings to assist in identifying and coordinating standardization priorities and subjects.</w:t>
            </w:r>
          </w:p>
          <w:p w14:paraId="7D5E7CCB" w14:textId="67C8AF20" w:rsidR="00F0236A" w:rsidRPr="00073574" w:rsidRDefault="00F0236A" w:rsidP="00DF36E1">
            <w:pPr>
              <w:pStyle w:val="Tabletext"/>
              <w:rPr>
                <w:rFonts w:asciiTheme="majorBidi" w:hAnsiTheme="majorBidi" w:cstheme="majorBidi"/>
                <w:szCs w:val="22"/>
              </w:rPr>
            </w:pPr>
            <w:r w:rsidRPr="00073574">
              <w:rPr>
                <w:rFonts w:asciiTheme="majorBidi" w:hAnsiTheme="majorBidi" w:cstheme="majorBidi"/>
                <w:szCs w:val="22"/>
              </w:rPr>
              <w:t xml:space="preserve">CTOs present in Bangkok also reviewed the results of a pre-WTSA </w:t>
            </w:r>
            <w:r w:rsidR="003C7E25" w:rsidRPr="00073574">
              <w:rPr>
                <w:rFonts w:asciiTheme="majorBidi" w:hAnsiTheme="majorBidi" w:cstheme="majorBidi"/>
                <w:szCs w:val="22"/>
              </w:rPr>
              <w:t>'</w:t>
            </w:r>
            <w:r w:rsidRPr="00073574">
              <w:rPr>
                <w:rFonts w:asciiTheme="majorBidi" w:hAnsiTheme="majorBidi" w:cstheme="majorBidi"/>
                <w:szCs w:val="22"/>
              </w:rPr>
              <w:t>CxO meeting</w:t>
            </w:r>
            <w:r w:rsidR="003C7E25" w:rsidRPr="00073574">
              <w:rPr>
                <w:rFonts w:asciiTheme="majorBidi" w:hAnsiTheme="majorBidi" w:cstheme="majorBidi"/>
                <w:szCs w:val="22"/>
              </w:rPr>
              <w:t>'</w:t>
            </w:r>
            <w:r w:rsidRPr="00073574">
              <w:rPr>
                <w:rFonts w:asciiTheme="majorBidi" w:hAnsiTheme="majorBidi" w:cstheme="majorBidi"/>
                <w:szCs w:val="22"/>
              </w:rPr>
              <w:t xml:space="preserve"> of high-level industry executives representing leading ICT companies, with the Arab and African regions especially well-represented. This meeting discussed strategies to accelerate the deployment of gigabit-speed broadband access networks and the new industry dynamics introduced by the rise of over-the-top (OTT) services.</w:t>
            </w:r>
          </w:p>
          <w:p w14:paraId="2CE67E65" w14:textId="48875F59" w:rsidR="00F0236A" w:rsidRPr="00073574" w:rsidRDefault="00F0236A" w:rsidP="00DF36E1">
            <w:pPr>
              <w:pStyle w:val="Default"/>
              <w:spacing w:before="240"/>
              <w:rPr>
                <w:rFonts w:asciiTheme="majorBidi" w:eastAsia="MS Mincho" w:hAnsiTheme="majorBidi" w:cstheme="majorBidi"/>
                <w:sz w:val="22"/>
                <w:szCs w:val="22"/>
                <w:lang w:val="en-GB" w:eastAsia="zh-CN"/>
              </w:rPr>
            </w:pPr>
            <w:r w:rsidRPr="00073574">
              <w:rPr>
                <w:rFonts w:asciiTheme="majorBidi" w:hAnsiTheme="majorBidi" w:cstheme="majorBidi"/>
                <w:sz w:val="22"/>
                <w:szCs w:val="22"/>
                <w:lang w:val="en-GB"/>
              </w:rPr>
              <w:t>Eight high-level industry executives and the strategic management of ITU</w:t>
            </w:r>
            <w:r w:rsidR="003C7E25" w:rsidRPr="00073574">
              <w:rPr>
                <w:rFonts w:asciiTheme="majorBidi" w:hAnsiTheme="majorBidi" w:cstheme="majorBidi"/>
                <w:sz w:val="22"/>
                <w:szCs w:val="22"/>
                <w:lang w:val="en-GB"/>
              </w:rPr>
              <w:t>'</w:t>
            </w:r>
            <w:r w:rsidRPr="00073574">
              <w:rPr>
                <w:rFonts w:asciiTheme="majorBidi" w:hAnsiTheme="majorBidi" w:cstheme="majorBidi"/>
                <w:sz w:val="22"/>
                <w:szCs w:val="22"/>
                <w:lang w:val="en-GB"/>
              </w:rPr>
              <w:t xml:space="preserve">s standardization arm, ITU-T, met for the first North-American CTO consultation meeting in San Jose, CA, US, 30 March 2017. The meeting issued a </w:t>
            </w:r>
            <w:hyperlink r:id="rId473" w:history="1">
              <w:r w:rsidRPr="00073574">
                <w:rPr>
                  <w:rStyle w:val="Hyperlink"/>
                  <w:rFonts w:asciiTheme="majorBidi" w:hAnsiTheme="majorBidi" w:cstheme="majorBidi"/>
                  <w:sz w:val="22"/>
                  <w:szCs w:val="22"/>
                  <w:lang w:val="en-GB"/>
                </w:rPr>
                <w:t>communiqué</w:t>
              </w:r>
            </w:hyperlink>
            <w:r w:rsidRPr="00073574">
              <w:rPr>
                <w:rFonts w:asciiTheme="majorBidi" w:hAnsiTheme="majorBidi" w:cstheme="majorBidi"/>
                <w:sz w:val="22"/>
                <w:szCs w:val="22"/>
                <w:lang w:val="en-GB"/>
              </w:rPr>
              <w:t xml:space="preserve"> outlining emerging trends in 5G innovation and associated demands on ITU-T standardization. Chief Technology Officers (CTOs) of leading ICT companies in North America have reaffirmed that fixed-mobile convergence will be fundamental to the success of 5G systems.</w:t>
            </w:r>
          </w:p>
          <w:p w14:paraId="218BC2D5" w14:textId="77777777" w:rsidR="00F0236A" w:rsidRPr="00073574" w:rsidRDefault="00F0236A" w:rsidP="00DF36E1">
            <w:pPr>
              <w:pStyle w:val="Default"/>
              <w:rPr>
                <w:rFonts w:asciiTheme="majorBidi" w:hAnsiTheme="majorBidi" w:cstheme="majorBidi"/>
                <w:sz w:val="22"/>
                <w:szCs w:val="22"/>
                <w:lang w:val="en-GB"/>
              </w:rPr>
            </w:pPr>
            <w:r w:rsidRPr="00073574">
              <w:rPr>
                <w:rFonts w:asciiTheme="majorBidi" w:hAnsiTheme="majorBidi" w:cstheme="majorBidi"/>
                <w:sz w:val="22"/>
                <w:szCs w:val="22"/>
                <w:lang w:val="en-GB"/>
              </w:rPr>
              <w:t>CTOs have also highlighted the great promise of information-centric networking to assist dynamic, performance-oriented management of ICT service quality, in addition acknowledging that high-performance 5G signal processing will demand significant innovation in chip architectures. CTOs also agree that identification, and associated protections of security and privacy, will be essential to the success of 5G use cases of the Internet of Things.</w:t>
            </w:r>
          </w:p>
          <w:p w14:paraId="09BE2C90" w14:textId="77777777" w:rsidR="00F0236A" w:rsidRPr="00073574" w:rsidRDefault="00F0236A" w:rsidP="00DF36E1">
            <w:pPr>
              <w:pStyle w:val="Default"/>
              <w:rPr>
                <w:rFonts w:asciiTheme="majorBidi" w:hAnsiTheme="majorBidi" w:cstheme="majorBidi"/>
                <w:sz w:val="22"/>
                <w:szCs w:val="22"/>
                <w:lang w:val="en-GB"/>
              </w:rPr>
            </w:pPr>
            <w:r w:rsidRPr="00073574">
              <w:rPr>
                <w:rFonts w:asciiTheme="majorBidi" w:hAnsiTheme="majorBidi" w:cstheme="majorBidi"/>
                <w:sz w:val="22"/>
                <w:szCs w:val="22"/>
                <w:lang w:val="en-GB"/>
              </w:rPr>
              <w:t>Achieving the full potential of 5G systems will demand true fixed-mobile convergence, ensuring that the wired and wireless elements of 5G networks operate in unison. CTOs emphasized that seamless 5G service operation will call for ITU-T standardization to support the emergence of a unified, access-independent framework for network management.</w:t>
            </w:r>
          </w:p>
          <w:p w14:paraId="5FC05937" w14:textId="77777777" w:rsidR="00F0236A" w:rsidRPr="00073574" w:rsidRDefault="00F0236A" w:rsidP="00DF36E1">
            <w:pPr>
              <w:pStyle w:val="Default"/>
              <w:rPr>
                <w:rFonts w:asciiTheme="majorBidi" w:hAnsiTheme="majorBidi" w:cstheme="majorBidi"/>
                <w:sz w:val="22"/>
                <w:szCs w:val="22"/>
                <w:lang w:val="en-GB"/>
              </w:rPr>
            </w:pPr>
            <w:r w:rsidRPr="00073574">
              <w:rPr>
                <w:rFonts w:asciiTheme="majorBidi" w:hAnsiTheme="majorBidi" w:cstheme="majorBidi"/>
                <w:sz w:val="22"/>
                <w:szCs w:val="22"/>
                <w:lang w:val="en-GB"/>
              </w:rPr>
              <w:t>CTOs encouraged ITU to accelerate its standardization work on information-centric networking (ICN), acknowledging the great potential of ICN to assist in optimizing content distribution. ITU-T was urged to address the scalability, mobility and security of ICN solutions as well as to monitor related open-source projects.</w:t>
            </w:r>
          </w:p>
          <w:p w14:paraId="712B8911" w14:textId="77777777" w:rsidR="00F0236A" w:rsidRPr="00073574" w:rsidRDefault="00F0236A" w:rsidP="00DF36E1">
            <w:pPr>
              <w:pStyle w:val="Default"/>
              <w:rPr>
                <w:rFonts w:asciiTheme="majorBidi" w:hAnsiTheme="majorBidi" w:cstheme="majorBidi"/>
                <w:sz w:val="22"/>
                <w:szCs w:val="22"/>
                <w:lang w:val="en-GB"/>
              </w:rPr>
            </w:pPr>
            <w:r w:rsidRPr="00073574">
              <w:rPr>
                <w:rFonts w:asciiTheme="majorBidi" w:hAnsiTheme="majorBidi" w:cstheme="majorBidi"/>
                <w:sz w:val="22"/>
                <w:szCs w:val="22"/>
                <w:lang w:val="en-GB"/>
              </w:rPr>
              <w:t>5G will have significant impacts on the semiconductor industry, pushing digital signal-processing platforms to their limits. CTOs highlighted that ITU-T standardization should provide for novel chip architectures able to meet the high-performance signal processing demands of the 5G era, while concurrently achieving greater flexibility, security and lower power consumption.</w:t>
            </w:r>
          </w:p>
          <w:p w14:paraId="2E363535" w14:textId="19DBBF67" w:rsidR="00F0236A" w:rsidRPr="00073574" w:rsidRDefault="00F0236A" w:rsidP="00DF36E1">
            <w:pPr>
              <w:pStyle w:val="Default"/>
              <w:rPr>
                <w:rFonts w:asciiTheme="majorBidi" w:hAnsiTheme="majorBidi" w:cstheme="majorBidi"/>
                <w:sz w:val="22"/>
                <w:szCs w:val="22"/>
                <w:lang w:val="en-GB"/>
              </w:rPr>
            </w:pPr>
            <w:r w:rsidRPr="00073574">
              <w:rPr>
                <w:rFonts w:asciiTheme="majorBidi" w:hAnsiTheme="majorBidi" w:cstheme="majorBidi"/>
                <w:sz w:val="22"/>
                <w:szCs w:val="22"/>
                <w:lang w:val="en-GB"/>
              </w:rPr>
              <w:t>Identity Management (IdM), and associated protections of security and privacy, will be essential to the success of 5G use cases under the banner of the Internet of Things. CTOs underlined the importance of the efficient, sustainable use of ITU</w:t>
            </w:r>
            <w:r w:rsidR="003C7E25" w:rsidRPr="00073574">
              <w:rPr>
                <w:rFonts w:asciiTheme="majorBidi" w:hAnsiTheme="majorBidi" w:cstheme="majorBidi"/>
                <w:sz w:val="22"/>
                <w:szCs w:val="22"/>
                <w:lang w:val="en-GB"/>
              </w:rPr>
              <w:t>'</w:t>
            </w:r>
            <w:r w:rsidRPr="00073574">
              <w:rPr>
                <w:rFonts w:asciiTheme="majorBidi" w:hAnsiTheme="majorBidi" w:cstheme="majorBidi"/>
                <w:sz w:val="22"/>
                <w:szCs w:val="22"/>
                <w:lang w:val="en-GB"/>
              </w:rPr>
              <w:t xml:space="preserve">s </w:t>
            </w:r>
            <w:hyperlink r:id="rId474" w:history="1">
              <w:r w:rsidRPr="00073574">
                <w:rPr>
                  <w:rStyle w:val="Hyperlink"/>
                  <w:rFonts w:asciiTheme="majorBidi" w:hAnsiTheme="majorBidi" w:cstheme="majorBidi"/>
                  <w:sz w:val="22"/>
                  <w:szCs w:val="22"/>
                  <w:lang w:val="en-GB"/>
                </w:rPr>
                <w:t>international numbering resources</w:t>
              </w:r>
            </w:hyperlink>
            <w:r w:rsidRPr="00073574">
              <w:rPr>
                <w:rFonts w:asciiTheme="majorBidi" w:hAnsiTheme="majorBidi" w:cstheme="majorBidi"/>
                <w:sz w:val="22"/>
                <w:szCs w:val="22"/>
                <w:lang w:val="en-GB"/>
              </w:rPr>
              <w:t xml:space="preserve"> allocated in support of the Internet of Things, as well as the value of related ITU standardization work on security and IdM.</w:t>
            </w:r>
          </w:p>
          <w:p w14:paraId="70A3F89C" w14:textId="77777777" w:rsidR="00F0236A" w:rsidRPr="00073574" w:rsidRDefault="00F0236A" w:rsidP="00DF36E1">
            <w:pPr>
              <w:pStyle w:val="Default"/>
              <w:rPr>
                <w:rFonts w:asciiTheme="majorBidi" w:hAnsiTheme="majorBidi" w:cstheme="majorBidi"/>
                <w:sz w:val="22"/>
                <w:szCs w:val="22"/>
                <w:lang w:val="en-GB"/>
              </w:rPr>
            </w:pPr>
            <w:r w:rsidRPr="00073574">
              <w:rPr>
                <w:rFonts w:asciiTheme="majorBidi" w:hAnsiTheme="majorBidi" w:cstheme="majorBidi"/>
                <w:sz w:val="22"/>
                <w:szCs w:val="22"/>
                <w:lang w:val="en-GB"/>
              </w:rPr>
              <w:t xml:space="preserve">CTOs were briefed on the results of the </w:t>
            </w:r>
            <w:hyperlink r:id="rId475" w:history="1">
              <w:r w:rsidRPr="00073574">
                <w:rPr>
                  <w:rStyle w:val="Hyperlink"/>
                  <w:rFonts w:asciiTheme="majorBidi" w:hAnsiTheme="majorBidi" w:cstheme="majorBidi"/>
                  <w:sz w:val="22"/>
                  <w:szCs w:val="22"/>
                  <w:lang w:val="en-GB"/>
                </w:rPr>
                <w:t>ITU World Telecommunication Standardization Assembly 2016</w:t>
              </w:r>
            </w:hyperlink>
            <w:r w:rsidRPr="00073574">
              <w:rPr>
                <w:rFonts w:asciiTheme="majorBidi" w:hAnsiTheme="majorBidi" w:cstheme="majorBidi"/>
                <w:sz w:val="22"/>
                <w:szCs w:val="22"/>
                <w:lang w:val="en-GB"/>
              </w:rPr>
              <w:t xml:space="preserve">, in particular the agreement of the new </w:t>
            </w:r>
            <w:hyperlink r:id="rId476" w:history="1">
              <w:r w:rsidRPr="00073574">
                <w:rPr>
                  <w:rStyle w:val="Hyperlink"/>
                  <w:rFonts w:asciiTheme="majorBidi" w:hAnsiTheme="majorBidi" w:cstheme="majorBidi"/>
                  <w:sz w:val="22"/>
                  <w:szCs w:val="22"/>
                  <w:lang w:val="en-GB"/>
                </w:rPr>
                <w:t>WTSA Resolution 92</w:t>
              </w:r>
            </w:hyperlink>
            <w:r w:rsidRPr="00073574">
              <w:rPr>
                <w:rFonts w:asciiTheme="majorBidi" w:hAnsiTheme="majorBidi" w:cstheme="majorBidi"/>
                <w:sz w:val="22"/>
                <w:szCs w:val="22"/>
                <w:lang w:val="en-GB"/>
              </w:rPr>
              <w:t xml:space="preserve"> calling for ITU-T standardization to expand its study of the wireline networking innovations required to achieve the ambitious performance targets of 5G systems. See </w:t>
            </w:r>
            <w:hyperlink r:id="rId477" w:history="1">
              <w:r w:rsidRPr="00073574">
                <w:rPr>
                  <w:rStyle w:val="Hyperlink"/>
                  <w:rFonts w:asciiTheme="majorBidi" w:hAnsiTheme="majorBidi" w:cstheme="majorBidi"/>
                  <w:sz w:val="22"/>
                  <w:szCs w:val="22"/>
                  <w:lang w:val="en-GB"/>
                </w:rPr>
                <w:t>full text of press release</w:t>
              </w:r>
            </w:hyperlink>
            <w:r w:rsidRPr="00073574">
              <w:rPr>
                <w:rFonts w:asciiTheme="majorBidi" w:hAnsiTheme="majorBidi" w:cstheme="majorBidi"/>
                <w:sz w:val="22"/>
                <w:szCs w:val="22"/>
                <w:lang w:val="en-GB"/>
              </w:rPr>
              <w:t>.</w:t>
            </w:r>
          </w:p>
          <w:p w14:paraId="5D856804" w14:textId="6061FDC4" w:rsidR="00F0236A" w:rsidRPr="00073574" w:rsidRDefault="00F0236A" w:rsidP="00DF36E1">
            <w:pPr>
              <w:rPr>
                <w:rFonts w:asciiTheme="majorBidi" w:hAnsiTheme="majorBidi" w:cstheme="majorBidi"/>
                <w:color w:val="000000"/>
              </w:rPr>
            </w:pPr>
            <w:r w:rsidRPr="00073574">
              <w:rPr>
                <w:rFonts w:asciiTheme="majorBidi" w:hAnsiTheme="majorBidi" w:cstheme="majorBidi"/>
              </w:rPr>
              <w:t>The 9</w:t>
            </w:r>
            <w:r w:rsidRPr="00073574">
              <w:rPr>
                <w:rFonts w:asciiTheme="majorBidi" w:hAnsiTheme="majorBidi" w:cstheme="majorBidi"/>
                <w:vertAlign w:val="superscript"/>
              </w:rPr>
              <w:t>th</w:t>
            </w:r>
            <w:r w:rsidRPr="00073574">
              <w:rPr>
                <w:rFonts w:asciiTheme="majorBidi" w:hAnsiTheme="majorBidi" w:cstheme="majorBidi"/>
              </w:rPr>
              <w:t xml:space="preserve"> Chief Technology Officer (CTO) group meeting took place 24 September 2017, Busan, Republic of Korea, see </w:t>
            </w:r>
            <w:hyperlink r:id="rId478" w:history="1">
              <w:r w:rsidRPr="00073574">
                <w:rPr>
                  <w:rStyle w:val="Hyperlink"/>
                  <w:rFonts w:asciiTheme="majorBidi" w:hAnsiTheme="majorBidi" w:cstheme="majorBidi"/>
                </w:rPr>
                <w:t>communiqué</w:t>
              </w:r>
            </w:hyperlink>
            <w:r w:rsidRPr="00073574">
              <w:rPr>
                <w:rFonts w:asciiTheme="majorBidi" w:hAnsiTheme="majorBidi" w:cstheme="majorBidi"/>
              </w:rPr>
              <w:t xml:space="preserve">. The </w:t>
            </w:r>
            <w:r w:rsidRPr="00073574">
              <w:rPr>
                <w:rFonts w:asciiTheme="majorBidi" w:hAnsiTheme="majorBidi" w:cstheme="majorBidi"/>
                <w:color w:val="000000"/>
              </w:rPr>
              <w:t>high-level ICT industry executives (CTOs) have highlighted the strategic importance of international standardization</w:t>
            </w:r>
            <w:r w:rsidR="003C7E25" w:rsidRPr="00073574">
              <w:rPr>
                <w:rFonts w:asciiTheme="majorBidi" w:hAnsiTheme="majorBidi" w:cstheme="majorBidi"/>
                <w:color w:val="000000"/>
              </w:rPr>
              <w:t>'</w:t>
            </w:r>
            <w:r w:rsidRPr="00073574">
              <w:rPr>
                <w:rFonts w:asciiTheme="majorBidi" w:hAnsiTheme="majorBidi" w:cstheme="majorBidi"/>
                <w:color w:val="000000"/>
              </w:rPr>
              <w:t>s support for the evolution of global telecommunications networks and the contribution of artificial intelligence (AI) to the reduction of operational expenditure and the improvement of the use and maintenance of networks.</w:t>
            </w:r>
          </w:p>
          <w:p w14:paraId="61F4384B" w14:textId="732834DA" w:rsidR="00F0236A" w:rsidRPr="00073574" w:rsidRDefault="00F0236A" w:rsidP="00DF36E1">
            <w:pPr>
              <w:rPr>
                <w:rFonts w:asciiTheme="majorBidi" w:hAnsiTheme="majorBidi" w:cstheme="majorBidi"/>
                <w:color w:val="000000"/>
              </w:rPr>
            </w:pPr>
            <w:r w:rsidRPr="00073574">
              <w:rPr>
                <w:rFonts w:asciiTheme="majorBidi" w:hAnsiTheme="majorBidi" w:cstheme="majorBidi"/>
              </w:rPr>
              <w:t xml:space="preserve">A CxO group meeting took place 7 December 2017, Dubai, United Arab Emirates, see </w:t>
            </w:r>
            <w:hyperlink r:id="rId479" w:history="1">
              <w:r w:rsidRPr="00073574">
                <w:rPr>
                  <w:rStyle w:val="Hyperlink"/>
                  <w:rFonts w:asciiTheme="majorBidi" w:hAnsiTheme="majorBidi" w:cstheme="majorBidi"/>
                </w:rPr>
                <w:t>communiqué</w:t>
              </w:r>
            </w:hyperlink>
            <w:r w:rsidRPr="00073574">
              <w:rPr>
                <w:rFonts w:asciiTheme="majorBidi" w:hAnsiTheme="majorBidi" w:cstheme="majorBidi"/>
              </w:rPr>
              <w:t xml:space="preserve">. </w:t>
            </w:r>
            <w:r w:rsidRPr="00073574">
              <w:rPr>
                <w:rFonts w:asciiTheme="majorBidi" w:hAnsiTheme="majorBidi" w:cstheme="majorBidi"/>
                <w:color w:val="000000"/>
              </w:rPr>
              <w:t xml:space="preserve">Attendees discussed how information and communication technologies (ICTs) will assist the response to challenges associated with globalization, changing climates and demographics and aging infrastructure, as well as enhance the quality of public services and </w:t>
            </w:r>
            <w:r w:rsidRPr="00073574">
              <w:rPr>
                <w:rFonts w:asciiTheme="majorBidi" w:hAnsiTheme="majorBidi" w:cstheme="majorBidi"/>
                <w:color w:val="000000"/>
              </w:rPr>
              <w:lastRenderedPageBreak/>
              <w:t>create business environments supportive of growth and innovation. The meeting highlighted the opportunity for network operators to enable the shift towards a smarter society by building efficient, interoperable, reliable, scalable, secure ICT platforms.</w:t>
            </w:r>
          </w:p>
          <w:p w14:paraId="58F52F25" w14:textId="0F331B02" w:rsidR="00545F4A" w:rsidRPr="00073574" w:rsidRDefault="00545F4A" w:rsidP="00CC2CE9">
            <w:pPr>
              <w:rPr>
                <w:rFonts w:asciiTheme="majorBidi" w:hAnsiTheme="majorBidi" w:cstheme="majorBidi"/>
                <w:color w:val="000000"/>
              </w:rPr>
            </w:pPr>
            <w:r w:rsidRPr="00073574">
              <w:rPr>
                <w:rFonts w:asciiTheme="majorBidi" w:hAnsiTheme="majorBidi" w:cstheme="majorBidi"/>
                <w:color w:val="000000"/>
              </w:rPr>
              <w:t>The TSB Director’s North-American CTO consultation meeting took place 9 May 2018, California, United States</w:t>
            </w:r>
            <w:r w:rsidR="007A0EC1" w:rsidRPr="00073574">
              <w:rPr>
                <w:rFonts w:asciiTheme="majorBidi" w:hAnsiTheme="majorBidi" w:cstheme="majorBidi"/>
                <w:color w:val="000000"/>
              </w:rPr>
              <w:t xml:space="preserve">; see </w:t>
            </w:r>
            <w:hyperlink r:id="rId480" w:history="1">
              <w:r w:rsidR="007A0EC1" w:rsidRPr="00073574">
                <w:rPr>
                  <w:rStyle w:val="Hyperlink"/>
                  <w:rFonts w:asciiTheme="majorBidi" w:hAnsiTheme="majorBidi" w:cstheme="majorBidi"/>
                </w:rPr>
                <w:t>communiqué</w:t>
              </w:r>
            </w:hyperlink>
            <w:r w:rsidRPr="00073574">
              <w:rPr>
                <w:rFonts w:asciiTheme="majorBidi" w:hAnsiTheme="majorBidi" w:cstheme="majorBidi"/>
                <w:color w:val="000000"/>
              </w:rPr>
              <w:t xml:space="preserve">. High-level ICT industry executives have called for ITU standardization work on security, privacy and trust to devote more attention to the implications of Artificial Intelligence (AI) and Machine Learning (ML), IMT-2020 (5G), and the rise of voice as a dominant human-machine interface. This call has come in parallel with reaffirmation of industry’s support for ITU’s leadership in evolving the transport network in support of 5G. </w:t>
            </w:r>
            <w:r w:rsidR="00C03CA5" w:rsidRPr="00073574">
              <w:rPr>
                <w:rFonts w:asciiTheme="majorBidi" w:hAnsiTheme="majorBidi" w:cstheme="majorBidi"/>
                <w:color w:val="000000"/>
              </w:rPr>
              <w:t>5G systems will incorporate advanced software-defined networking (SDN), network function virtualization (NFV) and cloud computing capabilities, significantly altering network architectures and network management-control. Network softwarization and slicing, underpinning deeply programmable networks able to be sliced into virtual networks with specialized capabilities such as low latency or high reliability, will give networks the agility required to support the specific requirements of any particular 5G application.</w:t>
            </w:r>
            <w:r w:rsidR="00B25343" w:rsidRPr="00073574">
              <w:rPr>
                <w:rFonts w:asciiTheme="majorBidi" w:hAnsiTheme="majorBidi" w:cstheme="majorBidi"/>
                <w:color w:val="000000"/>
              </w:rPr>
              <w:t xml:space="preserve"> CTOs highlighted federated network orchestration – the ability to achieve end-to-end network slicing across different operators’ networks – as an issue deserving of more attention.</w:t>
            </w:r>
          </w:p>
          <w:p w14:paraId="732C1791" w14:textId="77777777" w:rsidR="00F0236A" w:rsidRPr="00073574" w:rsidRDefault="00F6756E" w:rsidP="00CC2CE9">
            <w:pPr>
              <w:rPr>
                <w:rFonts w:asciiTheme="majorBidi" w:hAnsiTheme="majorBidi" w:cstheme="majorBidi"/>
                <w:color w:val="000000"/>
              </w:rPr>
            </w:pPr>
            <w:r w:rsidRPr="00073574">
              <w:rPr>
                <w:rFonts w:asciiTheme="majorBidi" w:hAnsiTheme="majorBidi" w:cstheme="majorBidi"/>
                <w:color w:val="000000"/>
              </w:rPr>
              <w:t xml:space="preserve">Chief Technology Officers (CTOs) met with the senior management of the ITU TSB at the tenth annual CTO Meeting in Durban, South Africa, 9 September 2018, held in conjunction with ITU Telecom World, 10-13 September 2018. CTOs reaffirmed the importance of energy, transport, information, telecommunications and cross-border water resources for sustainable development. The increasing importance of OTT services – considering their exchange of sensitive personal data and growing relevance to critical infrastructure such as energy grids and road transport infrastructure – calls for more attention to be devoted to application security. Greater application security would require standard frameworks for the objective measurement of application security and interpretation of associated results. CTOs suggested standards for application security to offer a ‘label of trust’. Recognizing the increasing importance of quantum-safe public key cryptography, CTOs offered support for ITU standards to provide for interoperable quantum-safe communications, in particular the secure distribution of symmetric encryption keys. </w:t>
            </w:r>
            <w:r w:rsidR="002A165E" w:rsidRPr="00073574">
              <w:rPr>
                <w:rFonts w:asciiTheme="majorBidi" w:hAnsiTheme="majorBidi" w:cstheme="majorBidi"/>
                <w:color w:val="000000"/>
              </w:rPr>
              <w:t>CTOs emphasized the need to remove impediments to small-cell deployment, an issue highly relevant to regulators in developing countries. CTOs called for ITU to study policy and regulatory questions relevant to accommodating 5G use cases and encouraging supporting market growth, innovation, collaboration and ICT infrastructure investment, studies that would consider the increasing importance of OTT services. CTOs encouraged ITU to host a workshop to discuss the concepts under study, including next-generation protocols. CTOs highlighted the importance of stakeholder collaboration to increase the number of smart city experiments able to transition to widespread commercialization. CTOs summarized the challenge facing standards developers as the need to provide common platforms for diverse forms of innovation, providing enablers fundamental to all applications and services. CTOs recognized the value of standards collaboration in meeting this challenge, making an example of the increasing collaboration of ITU and oneM2M.</w:t>
            </w:r>
          </w:p>
          <w:p w14:paraId="0484150C" w14:textId="31BF4FD6" w:rsidR="00474035" w:rsidRPr="00073574" w:rsidRDefault="00980B8C" w:rsidP="009C43D6">
            <w:pPr>
              <w:adjustRightInd w:val="0"/>
              <w:snapToGrid w:val="0"/>
              <w:spacing w:after="40"/>
              <w:ind w:right="62"/>
              <w:rPr>
                <w:szCs w:val="22"/>
              </w:rPr>
            </w:pPr>
            <w:r w:rsidRPr="00073574">
              <w:rPr>
                <w:szCs w:val="22"/>
              </w:rPr>
              <w:t xml:space="preserve">Chief Technology Officers (CTOs) from China, Japan and Korea </w:t>
            </w:r>
            <w:r w:rsidR="009853D8" w:rsidRPr="00073574">
              <w:rPr>
                <w:szCs w:val="22"/>
              </w:rPr>
              <w:t xml:space="preserve">(Rep. of) </w:t>
            </w:r>
            <w:r w:rsidRPr="00073574">
              <w:rPr>
                <w:szCs w:val="22"/>
              </w:rPr>
              <w:t>met with the senior management of the ITU Telecommunication Standardization Bureau at a CTO consultation meeting in Tokyo, Japan, 16 July 2019, kindly hosted by Japan’s Telecommunication Technology Committee. CTOs discussed the evolution of standardization activities in view of the open-source movement and network ‘softwarization’, the value of Artificial Intelligence (AI) to the automation of network operation and maintenance, the importance of preparations for the arrival of quantum information technologies, the necessity of investment in all-fibre networks, and the increasing relevance of innovation in support of datacentre interconnection.</w:t>
            </w:r>
            <w:r w:rsidR="001020AA" w:rsidRPr="00073574">
              <w:rPr>
                <w:szCs w:val="22"/>
              </w:rPr>
              <w:t xml:space="preserve"> CTOs highlighted the importance of the shift towards software-driven network management and orchestration, in parallel emphasizing the value of the open-source movement to the rapid, </w:t>
            </w:r>
            <w:r w:rsidR="001020AA" w:rsidRPr="00073574">
              <w:rPr>
                <w:szCs w:val="22"/>
              </w:rPr>
              <w:lastRenderedPageBreak/>
              <w:t>flexible allocation of network resources to be required in the 5G era and beyond. CTOs explored in particular the concept of ‘closed-loop’ standards, the concept of standardization and open-source projects taking a proactive approach to collaboration adopting well-aligned timelines, iterative interaction and harmonized terminology. Closed-loop standards development, said CTOs, results in working instances of standards and practical feedback to standardization projects, as well as standard-compliant code to open-source projects. CTOs discussed the value of AI to the automation of network service control. CTOs highlighted the role to be played by AI in the automation of network operation and maintenance, automation that CTOs said will continue to grow in importance as networks gain in complexity. ITU was encouraged to promote the availability of open data, an effort that CTOs said would require the development of a framework for data sharing as well as methods for the assurance and refinement of data quality. CTOs highlighted the importance of mechanisms to assess end-to-end Quality of Service (QoS) considering the increasing implementation of network slicing and AI. CTOs requested in addition that ITU develop standards promoting interoperable AI techniques with respect to networks, technologies and data. ITU members are preparing for the arrival of quantum information technologies based on the properties of quantum physics. CTOs highlighted their support for ITU’s ongoing standardization activities on security and network aspects of quantum information technologies. CTOs expressed their commitment to the expansion of the ecosystem of quantum specialists within ITU. They encouraged ITU to take a forward-looking approach to quantum information technologies so as to anticipate emerging standardization demands. CTOs also called for ITU to take up a leading role in bringing standards bodies together to ensure the effective coordination of quantum-relevant standardization activities. CTOs highlighted that 1-5 Gbit/s access speeds can support Virtual Reality, cloud gaming and smart cities. 5-10 Gbit/s access speeds, said CTOs, could bring us applications such as holographic communications and telemedicine. CTOs encouraged ITU to support industry in taking full advantage of ITU-standardized Fibre to the Home (FTTH) technologies.</w:t>
            </w:r>
            <w:r w:rsidR="0076036C" w:rsidRPr="00073574">
              <w:rPr>
                <w:szCs w:val="22"/>
              </w:rPr>
              <w:t xml:space="preserve"> CTOs stressed the importance of high-speed data exchange, network slicing and virtualization, and High-Voltage Direct Current (HVDC) power supply. Increasing the speed and capacity of connections between servers, said CTOs, will call for the evolution of cables and connectors, network slicing, and the virtualization of network nodes. CTOs highlighted the potential of HVDC power supply to increase the energy efficiency of datacentre operations. CTOs encouraged ITU to promote 400 Gbit/s connections between servers as well as the adoption of HVDC power supplies. CTOs in addition requested that ITU investigate datacentre-relevant standardization activities underway across standards bodies with a view to identifying issues to be addressed by ITU standards.</w:t>
            </w:r>
          </w:p>
          <w:p w14:paraId="6810E253" w14:textId="22170F04" w:rsidR="008F049F" w:rsidRPr="00073574" w:rsidRDefault="006D3631" w:rsidP="006D3631">
            <w:pPr>
              <w:adjustRightInd w:val="0"/>
              <w:snapToGrid w:val="0"/>
              <w:ind w:right="60"/>
              <w:rPr>
                <w:szCs w:val="22"/>
              </w:rPr>
            </w:pPr>
            <w:r w:rsidRPr="00073574">
              <w:rPr>
                <w:szCs w:val="22"/>
              </w:rPr>
              <w:t xml:space="preserve">High-level industry executives (CxOs) met with the senior management of the ITU Telecommunication Standardization Bureau on 11 December 2019 at the Telecom Review Summit in Dubai, </w:t>
            </w:r>
            <w:r w:rsidRPr="00073574">
              <w:rPr>
                <w:rFonts w:asciiTheme="majorBidi" w:hAnsiTheme="majorBidi" w:cstheme="majorBidi"/>
                <w:szCs w:val="22"/>
              </w:rPr>
              <w:t>United Arab Emirates</w:t>
            </w:r>
            <w:r w:rsidRPr="00073574">
              <w:rPr>
                <w:szCs w:val="22"/>
              </w:rPr>
              <w:t>, to exchange views on industry needs and related standardization priorities. The CxO meeting’s discussions revolved around industry preparations for IMT-2020/5G. CxOs discussed the innovation required to achieve ‘self-driving’ 5G networks; the importance of collaboration in the interests of 5G security; the benefits and practical aspects of network infrastructure sharing; the concept of ‘open’ radio access networks (RANs); and the insights gained from early 5G deployments and trials of 5G-enabled industrial IoT applications. CxOs also discussed the monitoring and assessment of AI performance in the context of autonomous driving; conformance assessment for radiocommunications supporting Intelligent Transport Systems; and the harmonization of approaches to the measurement of quality of service (QoS) perceived by users.</w:t>
            </w:r>
          </w:p>
          <w:p w14:paraId="71208317" w14:textId="224895FC" w:rsidR="008F049F" w:rsidRPr="00073574" w:rsidRDefault="008F049F" w:rsidP="008D38E7">
            <w:pPr>
              <w:rPr>
                <w:rFonts w:asciiTheme="majorBidi" w:hAnsiTheme="majorBidi" w:cstheme="majorBidi"/>
                <w:color w:val="000000"/>
                <w:szCs w:val="22"/>
              </w:rPr>
            </w:pPr>
            <w:r w:rsidRPr="00073574">
              <w:rPr>
                <w:rFonts w:eastAsia="SimSun"/>
              </w:rPr>
              <w:t xml:space="preserve">High-level industry executives (CxOs) met with </w:t>
            </w:r>
            <w:r w:rsidR="00F64B96" w:rsidRPr="00073574">
              <w:rPr>
                <w:rFonts w:eastAsia="SimSun"/>
              </w:rPr>
              <w:t>ITU-T</w:t>
            </w:r>
            <w:r w:rsidRPr="00073574">
              <w:rPr>
                <w:rFonts w:eastAsia="SimSun"/>
              </w:rPr>
              <w:t xml:space="preserve"> </w:t>
            </w:r>
            <w:r w:rsidR="00F64B96" w:rsidRPr="00073574">
              <w:rPr>
                <w:rFonts w:eastAsia="SimSun"/>
              </w:rPr>
              <w:t>senior management</w:t>
            </w:r>
            <w:r w:rsidRPr="00073574">
              <w:rPr>
                <w:rFonts w:eastAsia="SimSun"/>
              </w:rPr>
              <w:t xml:space="preserve"> on 7 December 2021 in Dubai, United Arab Emirates, and online</w:t>
            </w:r>
            <w:r w:rsidR="00F64B96" w:rsidRPr="00073574">
              <w:rPr>
                <w:rFonts w:eastAsia="SimSun"/>
              </w:rPr>
              <w:t>. The objective was to</w:t>
            </w:r>
            <w:r w:rsidR="00646256" w:rsidRPr="00073574">
              <w:rPr>
                <w:rFonts w:eastAsia="SimSun"/>
              </w:rPr>
              <w:t xml:space="preserve"> </w:t>
            </w:r>
            <w:r w:rsidR="006A3D7F" w:rsidRPr="00073574">
              <w:rPr>
                <w:rFonts w:eastAsia="SimSun"/>
              </w:rPr>
              <w:t xml:space="preserve">discuss issues of key importance to the industry to guide ITU-T standardization work. </w:t>
            </w:r>
            <w:r w:rsidRPr="00073574">
              <w:rPr>
                <w:rFonts w:asciiTheme="majorBidi" w:hAnsiTheme="majorBidi" w:cstheme="majorBidi"/>
              </w:rPr>
              <w:t xml:space="preserve">See </w:t>
            </w:r>
            <w:hyperlink r:id="rId481" w:history="1">
              <w:r w:rsidRPr="00073574">
                <w:rPr>
                  <w:rStyle w:val="Hyperlink"/>
                  <w:rFonts w:asciiTheme="majorBidi" w:hAnsiTheme="majorBidi" w:cstheme="majorBidi"/>
                </w:rPr>
                <w:t>communiqué.</w:t>
              </w:r>
            </w:hyperlink>
            <w:r w:rsidRPr="00073574">
              <w:rPr>
                <w:rFonts w:asciiTheme="majorBidi" w:hAnsiTheme="majorBidi" w:cstheme="majorBidi"/>
              </w:rPr>
              <w:t xml:space="preserve"> </w:t>
            </w:r>
            <w:r w:rsidRPr="00073574">
              <w:rPr>
                <w:rFonts w:asciiTheme="majorBidi" w:hAnsiTheme="majorBidi" w:cstheme="majorBidi"/>
                <w:color w:val="000000"/>
              </w:rPr>
              <w:t>Attendees discussed industry priorities in fields including IMT-2020/5G, open RAN, light communication, AI and ML, environmental efficiency, supply chain security, and network infrastructure sharing.</w:t>
            </w:r>
            <w:r w:rsidRPr="00073574">
              <w:rPr>
                <w:rFonts w:eastAsia="SimSun"/>
              </w:rPr>
              <w:t xml:space="preserve"> </w:t>
            </w:r>
            <w:r w:rsidRPr="00073574">
              <w:rPr>
                <w:rFonts w:asciiTheme="majorBidi" w:hAnsiTheme="majorBidi" w:cstheme="majorBidi"/>
                <w:color w:val="000000"/>
              </w:rPr>
              <w:lastRenderedPageBreak/>
              <w:t xml:space="preserve">CxOs highlighted the significant value generated by industry digitalization in terms of increased safety, productivity, and efficiency in view of the COVID-19 pandemic and industry’s ability to respond to abrupt changes in supply and demand. CxOs recognized 5G as the key driver of digital transformation and discussed </w:t>
            </w:r>
            <w:r w:rsidR="00F478A5" w:rsidRPr="00073574">
              <w:rPr>
                <w:rFonts w:asciiTheme="majorBidi" w:hAnsiTheme="majorBidi" w:cstheme="majorBidi"/>
                <w:color w:val="000000"/>
              </w:rPr>
              <w:t>5G</w:t>
            </w:r>
            <w:r w:rsidRPr="00073574">
              <w:rPr>
                <w:rFonts w:asciiTheme="majorBidi" w:hAnsiTheme="majorBidi" w:cstheme="majorBidi"/>
                <w:color w:val="000000"/>
              </w:rPr>
              <w:t xml:space="preserve"> deployment</w:t>
            </w:r>
            <w:r w:rsidR="00F478A5" w:rsidRPr="00073574">
              <w:rPr>
                <w:rFonts w:asciiTheme="majorBidi" w:hAnsiTheme="majorBidi" w:cstheme="majorBidi"/>
                <w:color w:val="000000"/>
              </w:rPr>
              <w:t xml:space="preserve"> issues</w:t>
            </w:r>
            <w:r w:rsidRPr="00073574">
              <w:rPr>
                <w:rFonts w:asciiTheme="majorBidi" w:hAnsiTheme="majorBidi" w:cstheme="majorBidi"/>
                <w:color w:val="000000"/>
              </w:rPr>
              <w:t>, including opportunities and challenges presented by network infrastructure sharing, suggesting that ITU standardization work could offer relevant guidance to industry in this regard. CxOs called for ITU’s work to support cross-sector partnerships and ICT standards for digital transformation in areas such as smart cities, health, energy, transportation, agriculture, finance, and the pursuit of a low-carbon future and the UNSDGs.</w:t>
            </w:r>
          </w:p>
        </w:tc>
      </w:tr>
      <w:tr w:rsidR="00F0236A" w:rsidRPr="00073574" w14:paraId="46A0B196" w14:textId="77777777" w:rsidTr="225BF6C7">
        <w:trPr>
          <w:jc w:val="center"/>
        </w:trPr>
        <w:tc>
          <w:tcPr>
            <w:tcW w:w="930" w:type="dxa"/>
            <w:vMerge w:val="restart"/>
            <w:tcBorders>
              <w:top w:val="single" w:sz="12" w:space="0" w:color="auto"/>
            </w:tcBorders>
            <w:shd w:val="clear" w:color="auto" w:fill="auto"/>
          </w:tcPr>
          <w:p w14:paraId="6D297407" w14:textId="77777777" w:rsidR="00F0236A" w:rsidRPr="00073574" w:rsidRDefault="00F0236A" w:rsidP="00DF36E1">
            <w:pPr>
              <w:pStyle w:val="Tabletext"/>
              <w:rPr>
                <w:b/>
                <w:bCs/>
                <w:sz w:val="24"/>
                <w:szCs w:val="24"/>
              </w:rPr>
            </w:pPr>
            <w:r w:rsidRPr="00073574">
              <w:rPr>
                <w:b/>
                <w:bCs/>
                <w:sz w:val="24"/>
                <w:szCs w:val="24"/>
              </w:rPr>
              <w:lastRenderedPageBreak/>
              <w:t>68-02</w:t>
            </w:r>
          </w:p>
        </w:tc>
        <w:tc>
          <w:tcPr>
            <w:tcW w:w="4970" w:type="dxa"/>
            <w:tcBorders>
              <w:top w:val="single" w:sz="12" w:space="0" w:color="auto"/>
            </w:tcBorders>
            <w:shd w:val="clear" w:color="auto" w:fill="auto"/>
            <w:hideMark/>
          </w:tcPr>
          <w:p w14:paraId="6A551D09" w14:textId="77777777" w:rsidR="00F0236A" w:rsidRPr="00073574" w:rsidRDefault="00F0236A" w:rsidP="00DF36E1">
            <w:pPr>
              <w:pStyle w:val="Tabletext"/>
              <w:rPr>
                <w:b/>
                <w:bCs/>
                <w:sz w:val="24"/>
                <w:szCs w:val="24"/>
              </w:rPr>
            </w:pPr>
            <w:r w:rsidRPr="00073574">
              <w:rPr>
                <w:b/>
                <w:bCs/>
                <w:sz w:val="24"/>
                <w:szCs w:val="24"/>
              </w:rPr>
              <w:t>TSB Director to develop effective mechanisms to attract industry executives and promote ITU-T membership (resolves 3, 4)</w:t>
            </w:r>
          </w:p>
        </w:tc>
        <w:tc>
          <w:tcPr>
            <w:tcW w:w="1347" w:type="dxa"/>
            <w:gridSpan w:val="3"/>
            <w:tcBorders>
              <w:top w:val="single" w:sz="12" w:space="0" w:color="auto"/>
            </w:tcBorders>
            <w:shd w:val="clear" w:color="auto" w:fill="auto"/>
            <w:vAlign w:val="center"/>
          </w:tcPr>
          <w:p w14:paraId="5E47E312"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68" w:type="dxa"/>
            <w:gridSpan w:val="2"/>
            <w:tcBorders>
              <w:top w:val="single" w:sz="12" w:space="0" w:color="auto"/>
            </w:tcBorders>
            <w:shd w:val="clear" w:color="auto" w:fill="auto"/>
            <w:vAlign w:val="center"/>
          </w:tcPr>
          <w:p w14:paraId="06DF0C99"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35F30201" w14:textId="77777777" w:rsidR="00F0236A" w:rsidRPr="00073574" w:rsidRDefault="00F0236A" w:rsidP="00DF36E1">
            <w:pPr>
              <w:pStyle w:val="Tabletext"/>
              <w:jc w:val="center"/>
              <w:rPr>
                <w:b/>
                <w:bCs/>
                <w:sz w:val="24"/>
                <w:szCs w:val="24"/>
              </w:rPr>
            </w:pPr>
          </w:p>
        </w:tc>
      </w:tr>
      <w:tr w:rsidR="00F0236A" w:rsidRPr="00073574" w14:paraId="3AB67FB8" w14:textId="77777777" w:rsidTr="00A764A0">
        <w:trPr>
          <w:jc w:val="center"/>
        </w:trPr>
        <w:tc>
          <w:tcPr>
            <w:tcW w:w="930" w:type="dxa"/>
            <w:vMerge/>
            <w:tcBorders>
              <w:bottom w:val="single" w:sz="12" w:space="0" w:color="auto"/>
            </w:tcBorders>
          </w:tcPr>
          <w:p w14:paraId="1DC99D70" w14:textId="77777777" w:rsidR="00F0236A" w:rsidRPr="00073574" w:rsidRDefault="00F0236A" w:rsidP="00DF36E1">
            <w:pPr>
              <w:pStyle w:val="Tabletext"/>
              <w:rPr>
                <w:sz w:val="24"/>
                <w:szCs w:val="24"/>
              </w:rPr>
            </w:pPr>
          </w:p>
        </w:tc>
        <w:tc>
          <w:tcPr>
            <w:tcW w:w="8821" w:type="dxa"/>
            <w:gridSpan w:val="7"/>
            <w:tcBorders>
              <w:bottom w:val="single" w:sz="12" w:space="0" w:color="auto"/>
            </w:tcBorders>
            <w:shd w:val="clear" w:color="auto" w:fill="auto"/>
          </w:tcPr>
          <w:p w14:paraId="5AA99246" w14:textId="77777777" w:rsidR="00F0236A" w:rsidRPr="00073574" w:rsidRDefault="00F0236A" w:rsidP="00DF36E1">
            <w:pPr>
              <w:pStyle w:val="Tabletext"/>
              <w:rPr>
                <w:szCs w:val="22"/>
              </w:rPr>
            </w:pPr>
            <w:r w:rsidRPr="00073574">
              <w:rPr>
                <w:szCs w:val="22"/>
              </w:rPr>
              <w:t>See 68-01.</w:t>
            </w:r>
          </w:p>
          <w:p w14:paraId="2495CC1D" w14:textId="2823F260" w:rsidR="00F0236A" w:rsidRPr="00073574" w:rsidRDefault="00F0236A" w:rsidP="539711DF">
            <w:pPr>
              <w:pStyle w:val="Tabletext"/>
            </w:pPr>
            <w:r w:rsidRPr="00073574">
              <w:t xml:space="preserve">TSB Director visited a number of </w:t>
            </w:r>
            <w:r w:rsidR="3C19E026" w:rsidRPr="00073574">
              <w:t xml:space="preserve">prominent </w:t>
            </w:r>
            <w:r w:rsidRPr="00073574">
              <w:t>North American companies</w:t>
            </w:r>
            <w:r w:rsidR="37452B0E" w:rsidRPr="00073574">
              <w:t xml:space="preserve"> and universities</w:t>
            </w:r>
            <w:r w:rsidRPr="00073574">
              <w:t xml:space="preserve">  to encourage their participation (March 2017).</w:t>
            </w:r>
          </w:p>
          <w:p w14:paraId="54C15333" w14:textId="43DCC2A5" w:rsidR="00886E72" w:rsidRPr="00073574" w:rsidRDefault="777871C5" w:rsidP="63477CC7">
            <w:pPr>
              <w:pStyle w:val="Tabletext"/>
              <w:rPr>
                <w:sz w:val="24"/>
                <w:szCs w:val="24"/>
              </w:rPr>
            </w:pPr>
            <w:r w:rsidRPr="00073574">
              <w:t xml:space="preserve">TSAG RG-StdsStrat developed message about its standardization strategy works underway which was mass e-mailed </w:t>
            </w:r>
            <w:r w:rsidR="647CD44E" w:rsidRPr="00073574">
              <w:t xml:space="preserve">in April 2019 </w:t>
            </w:r>
            <w:r w:rsidRPr="00073574">
              <w:t>to all ITU-T Sector Members.</w:t>
            </w:r>
          </w:p>
          <w:p w14:paraId="365D774C" w14:textId="061603A7" w:rsidR="00886E72" w:rsidRPr="00073574" w:rsidRDefault="4A047EF0" w:rsidP="00DF36E1">
            <w:pPr>
              <w:pStyle w:val="Tabletext"/>
            </w:pPr>
            <w:r w:rsidRPr="00073574">
              <w:rPr>
                <w:rFonts w:ascii="Times" w:eastAsia="Times" w:hAnsi="Times" w:cs="Times"/>
                <w:szCs w:val="22"/>
              </w:rPr>
              <w:t>The TSB Director organized a number of meetings with executives from industry and industry-related associations in 2020 with the aim of encouraging their active engagement in future CTO meetings, emerging Study Group topics and decision-making meetings. In addition, the TSB Director used these meetings to inform industry executives of the benefits of ITU-T membership, and highlighted the significant growth of new ITU-T Sector Members and Associates since 2017.</w:t>
            </w:r>
          </w:p>
        </w:tc>
      </w:tr>
      <w:tr w:rsidR="00C37D59" w:rsidRPr="00073574" w14:paraId="725FD7F7" w14:textId="77777777" w:rsidTr="00A764A0">
        <w:trPr>
          <w:jc w:val="center"/>
        </w:trPr>
        <w:tc>
          <w:tcPr>
            <w:tcW w:w="930" w:type="dxa"/>
            <w:vMerge w:val="restart"/>
            <w:tcBorders>
              <w:top w:val="single" w:sz="12" w:space="0" w:color="auto"/>
            </w:tcBorders>
            <w:shd w:val="clear" w:color="auto" w:fill="auto"/>
          </w:tcPr>
          <w:p w14:paraId="370E4B53" w14:textId="2CA8CA3B" w:rsidR="00C37D59" w:rsidRPr="00073574" w:rsidRDefault="00C37D59" w:rsidP="00C37D59">
            <w:pPr>
              <w:pStyle w:val="Tabletext"/>
              <w:rPr>
                <w:sz w:val="24"/>
                <w:szCs w:val="24"/>
              </w:rPr>
            </w:pPr>
            <w:r w:rsidRPr="00073574">
              <w:rPr>
                <w:b/>
                <w:bCs/>
                <w:sz w:val="24"/>
                <w:szCs w:val="24"/>
              </w:rPr>
              <w:t>68-03</w:t>
            </w:r>
          </w:p>
        </w:tc>
        <w:tc>
          <w:tcPr>
            <w:tcW w:w="5009" w:type="dxa"/>
            <w:gridSpan w:val="2"/>
            <w:tcBorders>
              <w:bottom w:val="single" w:sz="4" w:space="0" w:color="auto"/>
            </w:tcBorders>
            <w:shd w:val="clear" w:color="auto" w:fill="auto"/>
          </w:tcPr>
          <w:p w14:paraId="28E4AD51" w14:textId="75E48787" w:rsidR="00C37D59" w:rsidRPr="00073574" w:rsidRDefault="00C37D59" w:rsidP="00C37D59">
            <w:pPr>
              <w:pStyle w:val="Tabletext"/>
              <w:rPr>
                <w:szCs w:val="22"/>
              </w:rPr>
            </w:pPr>
            <w:r w:rsidRPr="00073574">
              <w:rPr>
                <w:b/>
                <w:bCs/>
                <w:sz w:val="24"/>
                <w:szCs w:val="24"/>
              </w:rPr>
              <w:t>TSB Director to bring the needs of developing countries to those CTO meetings by consulting them prior to the meetings (resolves 2)</w:t>
            </w:r>
          </w:p>
        </w:tc>
        <w:tc>
          <w:tcPr>
            <w:tcW w:w="1276" w:type="dxa"/>
            <w:tcBorders>
              <w:bottom w:val="single" w:sz="4" w:space="0" w:color="auto"/>
            </w:tcBorders>
            <w:shd w:val="clear" w:color="auto" w:fill="auto"/>
            <w:vAlign w:val="center"/>
          </w:tcPr>
          <w:p w14:paraId="67D9C8B3" w14:textId="38BBF99E" w:rsidR="00C37D59" w:rsidRPr="00073574" w:rsidRDefault="00C37D59" w:rsidP="000169D6">
            <w:pPr>
              <w:pStyle w:val="Tabletext"/>
              <w:jc w:val="center"/>
              <w:rPr>
                <w:szCs w:val="22"/>
              </w:rPr>
            </w:pPr>
            <w:r w:rsidRPr="00073574">
              <w:rPr>
                <w:b/>
                <w:bCs/>
                <w:sz w:val="24"/>
                <w:szCs w:val="24"/>
              </w:rPr>
              <w:t>Ongoing</w:t>
            </w:r>
          </w:p>
        </w:tc>
        <w:tc>
          <w:tcPr>
            <w:tcW w:w="1134" w:type="dxa"/>
            <w:gridSpan w:val="2"/>
            <w:tcBorders>
              <w:bottom w:val="single" w:sz="4" w:space="0" w:color="auto"/>
            </w:tcBorders>
            <w:shd w:val="clear" w:color="auto" w:fill="auto"/>
            <w:vAlign w:val="center"/>
          </w:tcPr>
          <w:p w14:paraId="28F577C9" w14:textId="1E63FAD1" w:rsidR="00C37D59" w:rsidRPr="00073574" w:rsidRDefault="00C37D59" w:rsidP="000169D6">
            <w:pPr>
              <w:pStyle w:val="Tabletext"/>
              <w:jc w:val="center"/>
              <w:rPr>
                <w:szCs w:val="22"/>
              </w:rPr>
            </w:pPr>
            <w:r w:rsidRPr="00073574">
              <w:rPr>
                <w:b/>
                <w:bCs/>
                <w:sz w:val="24"/>
                <w:szCs w:val="24"/>
              </w:rPr>
              <w:t>√</w:t>
            </w:r>
          </w:p>
        </w:tc>
        <w:tc>
          <w:tcPr>
            <w:tcW w:w="1402" w:type="dxa"/>
            <w:gridSpan w:val="2"/>
            <w:tcBorders>
              <w:bottom w:val="single" w:sz="4" w:space="0" w:color="auto"/>
            </w:tcBorders>
            <w:shd w:val="clear" w:color="auto" w:fill="auto"/>
            <w:vAlign w:val="center"/>
          </w:tcPr>
          <w:p w14:paraId="3A6C9368" w14:textId="198BF28C" w:rsidR="00C37D59" w:rsidRPr="00073574" w:rsidRDefault="00C37D59" w:rsidP="00564D77">
            <w:pPr>
              <w:pStyle w:val="Tabletext"/>
              <w:jc w:val="center"/>
              <w:rPr>
                <w:szCs w:val="22"/>
              </w:rPr>
            </w:pPr>
          </w:p>
        </w:tc>
      </w:tr>
      <w:tr w:rsidR="00C37D59" w:rsidRPr="00073574" w14:paraId="4BB9F800" w14:textId="77777777" w:rsidTr="00FB3C39">
        <w:trPr>
          <w:jc w:val="center"/>
        </w:trPr>
        <w:tc>
          <w:tcPr>
            <w:tcW w:w="930" w:type="dxa"/>
            <w:vMerge/>
          </w:tcPr>
          <w:p w14:paraId="3CB82885" w14:textId="77777777" w:rsidR="00C37D59" w:rsidRPr="00073574" w:rsidRDefault="00C37D59" w:rsidP="00DF36E1">
            <w:pPr>
              <w:pStyle w:val="Tabletext"/>
              <w:rPr>
                <w:sz w:val="24"/>
                <w:szCs w:val="24"/>
              </w:rPr>
            </w:pPr>
          </w:p>
        </w:tc>
        <w:tc>
          <w:tcPr>
            <w:tcW w:w="8821" w:type="dxa"/>
            <w:gridSpan w:val="7"/>
            <w:tcBorders>
              <w:top w:val="single" w:sz="4" w:space="0" w:color="auto"/>
              <w:bottom w:val="single" w:sz="12" w:space="0" w:color="auto"/>
            </w:tcBorders>
            <w:shd w:val="clear" w:color="auto" w:fill="auto"/>
          </w:tcPr>
          <w:p w14:paraId="7FF7425D" w14:textId="1876CBAE" w:rsidR="00C37D59" w:rsidRPr="00073574" w:rsidRDefault="00C37D59" w:rsidP="00DF36E1">
            <w:pPr>
              <w:pStyle w:val="Tabletext"/>
              <w:rPr>
                <w:szCs w:val="22"/>
              </w:rPr>
            </w:pPr>
            <w:r w:rsidRPr="00073574">
              <w:rPr>
                <w:szCs w:val="22"/>
              </w:rPr>
              <w:t>They were informed of FG-DFS output and its impact on increasing financial inclusion.</w:t>
            </w:r>
          </w:p>
        </w:tc>
      </w:tr>
      <w:tr w:rsidR="00F0236A" w:rsidRPr="00073574" w14:paraId="079BEDC9" w14:textId="77777777" w:rsidTr="225BF6C7">
        <w:trPr>
          <w:jc w:val="center"/>
        </w:trPr>
        <w:tc>
          <w:tcPr>
            <w:tcW w:w="930" w:type="dxa"/>
            <w:vMerge w:val="restart"/>
            <w:tcBorders>
              <w:top w:val="single" w:sz="12" w:space="0" w:color="auto"/>
            </w:tcBorders>
            <w:shd w:val="clear" w:color="auto" w:fill="auto"/>
          </w:tcPr>
          <w:p w14:paraId="398C949A" w14:textId="77777777" w:rsidR="00F0236A" w:rsidRPr="00073574" w:rsidRDefault="00F0236A" w:rsidP="00D166F1">
            <w:pPr>
              <w:pStyle w:val="Tabletext"/>
              <w:rPr>
                <w:b/>
                <w:bCs/>
                <w:sz w:val="24"/>
                <w:szCs w:val="24"/>
              </w:rPr>
            </w:pPr>
            <w:r w:rsidRPr="00073574">
              <w:rPr>
                <w:b/>
                <w:bCs/>
                <w:sz w:val="24"/>
                <w:szCs w:val="24"/>
              </w:rPr>
              <w:t>68-04</w:t>
            </w:r>
          </w:p>
        </w:tc>
        <w:tc>
          <w:tcPr>
            <w:tcW w:w="4970" w:type="dxa"/>
            <w:tcBorders>
              <w:top w:val="single" w:sz="12" w:space="0" w:color="auto"/>
            </w:tcBorders>
            <w:shd w:val="clear" w:color="auto" w:fill="auto"/>
          </w:tcPr>
          <w:p w14:paraId="612DA4BF" w14:textId="77777777" w:rsidR="00F0236A" w:rsidRPr="00073574" w:rsidRDefault="00F0236A" w:rsidP="00D166F1">
            <w:pPr>
              <w:pStyle w:val="Tabletext"/>
              <w:rPr>
                <w:b/>
                <w:bCs/>
                <w:sz w:val="24"/>
                <w:szCs w:val="24"/>
              </w:rPr>
            </w:pPr>
            <w:r w:rsidRPr="00073574">
              <w:rPr>
                <w:b/>
                <w:bCs/>
                <w:sz w:val="24"/>
                <w:szCs w:val="24"/>
              </w:rPr>
              <w:t>TSB Director to report on outcomes and follow-up of the CTO conclusions of the CTO group to TSAG and WTSA-20 (resolves 7, 8)</w:t>
            </w:r>
          </w:p>
        </w:tc>
        <w:tc>
          <w:tcPr>
            <w:tcW w:w="1347" w:type="dxa"/>
            <w:gridSpan w:val="3"/>
            <w:tcBorders>
              <w:top w:val="single" w:sz="12" w:space="0" w:color="auto"/>
            </w:tcBorders>
            <w:shd w:val="clear" w:color="auto" w:fill="auto"/>
            <w:vAlign w:val="center"/>
          </w:tcPr>
          <w:p w14:paraId="2F161432" w14:textId="77777777" w:rsidR="00F0236A" w:rsidRPr="00073574" w:rsidRDefault="00F0236A" w:rsidP="00D166F1">
            <w:pPr>
              <w:pStyle w:val="Tabletext"/>
              <w:jc w:val="center"/>
              <w:rPr>
                <w:b/>
                <w:bCs/>
                <w:sz w:val="24"/>
                <w:szCs w:val="24"/>
              </w:rPr>
            </w:pPr>
            <w:r w:rsidRPr="00073574">
              <w:rPr>
                <w:b/>
                <w:bCs/>
                <w:sz w:val="24"/>
                <w:szCs w:val="24"/>
              </w:rPr>
              <w:t>Ongoing</w:t>
            </w:r>
          </w:p>
          <w:p w14:paraId="7D118FB6" w14:textId="77777777" w:rsidR="00F0236A" w:rsidRPr="00073574" w:rsidRDefault="00F0236A" w:rsidP="00D166F1">
            <w:pPr>
              <w:pStyle w:val="Tabletext"/>
              <w:jc w:val="center"/>
              <w:rPr>
                <w:b/>
                <w:bCs/>
                <w:sz w:val="24"/>
                <w:szCs w:val="24"/>
              </w:rPr>
            </w:pPr>
            <w:r w:rsidRPr="00073574">
              <w:rPr>
                <w:b/>
                <w:bCs/>
                <w:sz w:val="24"/>
                <w:szCs w:val="24"/>
              </w:rPr>
              <w:t>Next TSAG,</w:t>
            </w:r>
          </w:p>
          <w:p w14:paraId="25C3393F" w14:textId="77777777" w:rsidR="00F0236A" w:rsidRPr="00073574" w:rsidRDefault="00F0236A" w:rsidP="00D166F1">
            <w:pPr>
              <w:pStyle w:val="Tabletext"/>
              <w:jc w:val="center"/>
              <w:rPr>
                <w:b/>
                <w:bCs/>
                <w:sz w:val="24"/>
                <w:szCs w:val="24"/>
              </w:rPr>
            </w:pPr>
            <w:r w:rsidRPr="00073574">
              <w:rPr>
                <w:b/>
                <w:bCs/>
                <w:sz w:val="24"/>
                <w:szCs w:val="24"/>
              </w:rPr>
              <w:t>WTSA-20</w:t>
            </w:r>
          </w:p>
        </w:tc>
        <w:tc>
          <w:tcPr>
            <w:tcW w:w="1168" w:type="dxa"/>
            <w:gridSpan w:val="2"/>
            <w:tcBorders>
              <w:top w:val="single" w:sz="12" w:space="0" w:color="auto"/>
            </w:tcBorders>
            <w:shd w:val="clear" w:color="auto" w:fill="auto"/>
            <w:vAlign w:val="center"/>
          </w:tcPr>
          <w:p w14:paraId="4D77F0BD" w14:textId="77777777" w:rsidR="00F0236A" w:rsidRPr="00073574" w:rsidRDefault="00F0236A" w:rsidP="00D166F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0D5B6E1C" w14:textId="16C8271B" w:rsidR="00F0236A" w:rsidRPr="00073574" w:rsidRDefault="00925642" w:rsidP="00D166F1">
            <w:pPr>
              <w:pStyle w:val="Tabletext"/>
              <w:jc w:val="center"/>
              <w:rPr>
                <w:b/>
                <w:bCs/>
                <w:sz w:val="24"/>
                <w:szCs w:val="24"/>
              </w:rPr>
            </w:pPr>
            <w:r w:rsidRPr="00073574">
              <w:rPr>
                <w:b/>
                <w:bCs/>
                <w:sz w:val="24"/>
                <w:szCs w:val="24"/>
              </w:rPr>
              <w:t>√</w:t>
            </w:r>
          </w:p>
        </w:tc>
      </w:tr>
      <w:tr w:rsidR="00F0236A" w:rsidRPr="00073574" w14:paraId="27BE0285" w14:textId="77777777" w:rsidTr="225BF6C7">
        <w:trPr>
          <w:jc w:val="center"/>
        </w:trPr>
        <w:tc>
          <w:tcPr>
            <w:tcW w:w="930" w:type="dxa"/>
            <w:vMerge/>
          </w:tcPr>
          <w:p w14:paraId="03FDE1AF" w14:textId="77777777" w:rsidR="00F0236A" w:rsidRPr="00073574" w:rsidRDefault="00F0236A" w:rsidP="00C91D91">
            <w:pPr>
              <w:pStyle w:val="Tabletext"/>
              <w:rPr>
                <w:sz w:val="24"/>
                <w:szCs w:val="24"/>
              </w:rPr>
            </w:pPr>
          </w:p>
        </w:tc>
        <w:tc>
          <w:tcPr>
            <w:tcW w:w="8821" w:type="dxa"/>
            <w:gridSpan w:val="7"/>
            <w:tcBorders>
              <w:bottom w:val="single" w:sz="12" w:space="0" w:color="auto"/>
            </w:tcBorders>
            <w:shd w:val="clear" w:color="auto" w:fill="auto"/>
          </w:tcPr>
          <w:p w14:paraId="3DC7A9C0" w14:textId="14800640" w:rsidR="00F0236A" w:rsidRPr="00073574" w:rsidRDefault="00F0236A" w:rsidP="00C91D91">
            <w:pPr>
              <w:pStyle w:val="Tabletext"/>
              <w:rPr>
                <w:szCs w:val="22"/>
              </w:rPr>
            </w:pPr>
            <w:r w:rsidRPr="00073574">
              <w:rPr>
                <w:szCs w:val="22"/>
              </w:rPr>
              <w:t>The CxO communiqués are provided to TSAG and are considered by TSAG RG-StdsStrat.</w:t>
            </w:r>
          </w:p>
          <w:p w14:paraId="46568344" w14:textId="62EA0C21" w:rsidR="00F0236A" w:rsidRPr="00073574" w:rsidRDefault="00F0236A" w:rsidP="00C91D91">
            <w:pPr>
              <w:pStyle w:val="Tabletext"/>
              <w:rPr>
                <w:szCs w:val="22"/>
              </w:rPr>
            </w:pPr>
            <w:r w:rsidRPr="00073574">
              <w:rPr>
                <w:szCs w:val="22"/>
              </w:rPr>
              <w:t>TSAG RG-Strat is considering the CTO group communiqués and is working with TSAG and the SGs on the implementation.</w:t>
            </w:r>
          </w:p>
          <w:p w14:paraId="142EE49F" w14:textId="5F96A5D9" w:rsidR="009803F1" w:rsidRPr="00073574" w:rsidRDefault="008E1EDE" w:rsidP="009000AE">
            <w:pPr>
              <w:pStyle w:val="Tabletext"/>
              <w:spacing w:before="240"/>
              <w:rPr>
                <w:szCs w:val="22"/>
              </w:rPr>
            </w:pPr>
            <w:r w:rsidRPr="00073574">
              <w:rPr>
                <w:szCs w:val="22"/>
              </w:rPr>
              <w:t>Resolution 68 (</w:t>
            </w:r>
            <w:r w:rsidR="00F73D6E" w:rsidRPr="00073574">
              <w:rPr>
                <w:szCs w:val="22"/>
              </w:rPr>
              <w:t>Rev. Hammamet, 2016</w:t>
            </w:r>
            <w:r w:rsidRPr="00073574">
              <w:rPr>
                <w:szCs w:val="22"/>
              </w:rPr>
              <w:t xml:space="preserve">) on “Evolving role of industry in the ITU Telecommunication Standardization Sector” </w:t>
            </w:r>
            <w:r w:rsidR="009803F1" w:rsidRPr="00073574">
              <w:rPr>
                <w:i/>
                <w:iCs/>
                <w:szCs w:val="22"/>
              </w:rPr>
              <w:t xml:space="preserve">resolves </w:t>
            </w:r>
            <w:r w:rsidR="00870C73" w:rsidRPr="00073574">
              <w:rPr>
                <w:i/>
                <w:iCs/>
                <w:szCs w:val="22"/>
              </w:rPr>
              <w:t>to instruct the TSB Director</w:t>
            </w:r>
            <w:r w:rsidR="009803F1" w:rsidRPr="00073574">
              <w:rPr>
                <w:szCs w:val="22"/>
              </w:rPr>
              <w:t xml:space="preserve"> to produce a report to the next WTSA assessing the outcomes of the CTO group over the period and examining the need to continue or enhance its activities:</w:t>
            </w:r>
          </w:p>
          <w:p w14:paraId="7F90C7C9" w14:textId="2E12DE12" w:rsidR="001C190F" w:rsidRPr="00073574" w:rsidRDefault="00FD2714" w:rsidP="00913EC2">
            <w:pPr>
              <w:pStyle w:val="Tabletext"/>
              <w:rPr>
                <w:szCs w:val="22"/>
              </w:rPr>
            </w:pPr>
            <w:r w:rsidRPr="00073574">
              <w:rPr>
                <w:szCs w:val="22"/>
              </w:rPr>
              <w:t xml:space="preserve">The WTSA Action Plan reports in </w:t>
            </w:r>
            <w:r w:rsidR="0049366D" w:rsidRPr="00073574">
              <w:rPr>
                <w:szCs w:val="22"/>
              </w:rPr>
              <w:t>action item 68-01</w:t>
            </w:r>
            <w:r w:rsidR="00453CDE" w:rsidRPr="00073574">
              <w:rPr>
                <w:szCs w:val="22"/>
              </w:rPr>
              <w:t xml:space="preserve"> on </w:t>
            </w:r>
            <w:r w:rsidR="00971592" w:rsidRPr="00073574">
              <w:rPr>
                <w:szCs w:val="22"/>
              </w:rPr>
              <w:t>three CxO and seven</w:t>
            </w:r>
            <w:r w:rsidR="007623EE" w:rsidRPr="00073574">
              <w:rPr>
                <w:szCs w:val="22"/>
              </w:rPr>
              <w:t xml:space="preserve"> organized</w:t>
            </w:r>
            <w:r w:rsidR="00971592" w:rsidRPr="00073574">
              <w:rPr>
                <w:szCs w:val="22"/>
              </w:rPr>
              <w:t xml:space="preserve"> CTO </w:t>
            </w:r>
            <w:r w:rsidR="00CD799C" w:rsidRPr="00073574">
              <w:rPr>
                <w:szCs w:val="22"/>
              </w:rPr>
              <w:t xml:space="preserve"> meetings</w:t>
            </w:r>
            <w:r w:rsidR="00453CDE" w:rsidRPr="00073574">
              <w:rPr>
                <w:szCs w:val="22"/>
              </w:rPr>
              <w:t>that took place since WTSA-16.</w:t>
            </w:r>
            <w:r w:rsidR="00310FA5" w:rsidRPr="00073574">
              <w:rPr>
                <w:szCs w:val="22"/>
              </w:rPr>
              <w:t xml:space="preserve"> </w:t>
            </w:r>
            <w:r w:rsidR="004D0DA8" w:rsidRPr="00073574">
              <w:rPr>
                <w:szCs w:val="22"/>
              </w:rPr>
              <w:t xml:space="preserve">CxO meetings include a broader range of C-level </w:t>
            </w:r>
            <w:r w:rsidR="00F564C0" w:rsidRPr="00073574">
              <w:rPr>
                <w:szCs w:val="22"/>
              </w:rPr>
              <w:t xml:space="preserve">participants as opposed to CTO meetings strictly reserved to Chief Technology Officers. </w:t>
            </w:r>
            <w:r w:rsidR="001C190F" w:rsidRPr="00073574">
              <w:rPr>
                <w:szCs w:val="22"/>
              </w:rPr>
              <w:t>The CxO communiqués are provided to TSAG and are considered by TSAG RG-StdsStrat, which consider</w:t>
            </w:r>
            <w:r w:rsidR="009E0DEE" w:rsidRPr="00073574">
              <w:rPr>
                <w:szCs w:val="22"/>
              </w:rPr>
              <w:t>ed</w:t>
            </w:r>
            <w:r w:rsidR="001C190F" w:rsidRPr="00073574">
              <w:rPr>
                <w:szCs w:val="22"/>
              </w:rPr>
              <w:t xml:space="preserve"> the</w:t>
            </w:r>
            <w:r w:rsidR="009E0DEE" w:rsidRPr="00073574">
              <w:rPr>
                <w:szCs w:val="22"/>
              </w:rPr>
              <w:t>m</w:t>
            </w:r>
            <w:r w:rsidR="001C190F" w:rsidRPr="00073574">
              <w:rPr>
                <w:szCs w:val="22"/>
              </w:rPr>
              <w:t xml:space="preserve"> and </w:t>
            </w:r>
            <w:r w:rsidR="009E0DEE" w:rsidRPr="00073574">
              <w:rPr>
                <w:szCs w:val="22"/>
              </w:rPr>
              <w:t>has</w:t>
            </w:r>
            <w:r w:rsidR="001C190F" w:rsidRPr="00073574">
              <w:rPr>
                <w:szCs w:val="22"/>
              </w:rPr>
              <w:t xml:space="preserve"> work</w:t>
            </w:r>
            <w:r w:rsidR="009E0DEE" w:rsidRPr="00073574">
              <w:rPr>
                <w:szCs w:val="22"/>
              </w:rPr>
              <w:t>ed</w:t>
            </w:r>
            <w:r w:rsidR="001C190F" w:rsidRPr="00073574">
              <w:rPr>
                <w:szCs w:val="22"/>
              </w:rPr>
              <w:t xml:space="preserve"> with TSAG and the SGs on the implementation.</w:t>
            </w:r>
          </w:p>
          <w:p w14:paraId="2FC806EA" w14:textId="71D4D223" w:rsidR="009803F1" w:rsidRPr="00073574" w:rsidRDefault="0056423F" w:rsidP="007B7278">
            <w:pPr>
              <w:pStyle w:val="Tabletext"/>
              <w:rPr>
                <w:szCs w:val="22"/>
              </w:rPr>
            </w:pPr>
            <w:r w:rsidRPr="00073574">
              <w:rPr>
                <w:szCs w:val="22"/>
              </w:rPr>
              <w:t>The CTO group has provided valuable inputs and strategic guidance to ITU-T standardization over the past study period. It is recommended to continue engaging with the CTO group in the next study period.</w:t>
            </w:r>
          </w:p>
        </w:tc>
      </w:tr>
      <w:tr w:rsidR="00F0236A" w:rsidRPr="00073574" w14:paraId="102BF748" w14:textId="77777777" w:rsidTr="225BF6C7">
        <w:trPr>
          <w:jc w:val="center"/>
        </w:trPr>
        <w:tc>
          <w:tcPr>
            <w:tcW w:w="930" w:type="dxa"/>
            <w:vMerge w:val="restart"/>
            <w:tcBorders>
              <w:top w:val="single" w:sz="12" w:space="0" w:color="auto"/>
            </w:tcBorders>
            <w:shd w:val="clear" w:color="auto" w:fill="auto"/>
          </w:tcPr>
          <w:p w14:paraId="3F73750B" w14:textId="77777777" w:rsidR="00F0236A" w:rsidRPr="00073574" w:rsidRDefault="00F0236A" w:rsidP="00DF36E1">
            <w:pPr>
              <w:pStyle w:val="Tabletext"/>
              <w:rPr>
                <w:b/>
                <w:bCs/>
                <w:sz w:val="24"/>
                <w:szCs w:val="24"/>
              </w:rPr>
            </w:pPr>
            <w:r w:rsidRPr="00073574">
              <w:rPr>
                <w:b/>
                <w:bCs/>
                <w:sz w:val="24"/>
                <w:szCs w:val="24"/>
              </w:rPr>
              <w:lastRenderedPageBreak/>
              <w:t>68-05</w:t>
            </w:r>
          </w:p>
        </w:tc>
        <w:tc>
          <w:tcPr>
            <w:tcW w:w="4970" w:type="dxa"/>
            <w:tcBorders>
              <w:top w:val="single" w:sz="12" w:space="0" w:color="auto"/>
            </w:tcBorders>
            <w:shd w:val="clear" w:color="auto" w:fill="auto"/>
          </w:tcPr>
          <w:p w14:paraId="4B5E00D6" w14:textId="77777777" w:rsidR="00F0236A" w:rsidRPr="00073574" w:rsidRDefault="00F0236A" w:rsidP="00DF36E1">
            <w:pPr>
              <w:pStyle w:val="Tabletext"/>
              <w:rPr>
                <w:b/>
                <w:bCs/>
                <w:sz w:val="24"/>
                <w:szCs w:val="24"/>
              </w:rPr>
            </w:pPr>
            <w:r w:rsidRPr="00073574">
              <w:rPr>
                <w:b/>
                <w:bCs/>
                <w:sz w:val="24"/>
                <w:szCs w:val="24"/>
              </w:rPr>
              <w:t>TSB Director to include the conclusions of the CTO group meetings in an official ITU-T communiqué. (resolves 5)</w:t>
            </w:r>
          </w:p>
        </w:tc>
        <w:tc>
          <w:tcPr>
            <w:tcW w:w="1347" w:type="dxa"/>
            <w:gridSpan w:val="3"/>
            <w:tcBorders>
              <w:top w:val="single" w:sz="12" w:space="0" w:color="auto"/>
            </w:tcBorders>
            <w:shd w:val="clear" w:color="auto" w:fill="auto"/>
            <w:vAlign w:val="center"/>
          </w:tcPr>
          <w:p w14:paraId="7052E369"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68" w:type="dxa"/>
            <w:gridSpan w:val="2"/>
            <w:tcBorders>
              <w:top w:val="single" w:sz="12" w:space="0" w:color="auto"/>
            </w:tcBorders>
            <w:shd w:val="clear" w:color="auto" w:fill="auto"/>
            <w:vAlign w:val="center"/>
          </w:tcPr>
          <w:p w14:paraId="36EB32E6" w14:textId="77777777" w:rsidR="00F0236A" w:rsidRPr="00073574" w:rsidDel="00E84E11"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780C6FDA" w14:textId="77777777" w:rsidR="00F0236A" w:rsidRPr="00073574" w:rsidRDefault="00F0236A" w:rsidP="00DF36E1">
            <w:pPr>
              <w:pStyle w:val="Tabletext"/>
              <w:jc w:val="center"/>
              <w:rPr>
                <w:b/>
                <w:bCs/>
                <w:sz w:val="24"/>
                <w:szCs w:val="24"/>
              </w:rPr>
            </w:pPr>
          </w:p>
        </w:tc>
      </w:tr>
      <w:tr w:rsidR="00F0236A" w:rsidRPr="00073574" w14:paraId="42892055" w14:textId="77777777" w:rsidTr="225BF6C7">
        <w:trPr>
          <w:jc w:val="center"/>
        </w:trPr>
        <w:tc>
          <w:tcPr>
            <w:tcW w:w="930" w:type="dxa"/>
            <w:vMerge/>
            <w:vAlign w:val="center"/>
          </w:tcPr>
          <w:p w14:paraId="01BA4D04" w14:textId="77777777" w:rsidR="00F0236A" w:rsidRPr="00073574" w:rsidRDefault="00F0236A" w:rsidP="00DF36E1">
            <w:pPr>
              <w:pStyle w:val="Tabletext"/>
              <w:rPr>
                <w:sz w:val="24"/>
                <w:szCs w:val="24"/>
              </w:rPr>
            </w:pPr>
          </w:p>
        </w:tc>
        <w:tc>
          <w:tcPr>
            <w:tcW w:w="8821" w:type="dxa"/>
            <w:gridSpan w:val="7"/>
            <w:shd w:val="clear" w:color="auto" w:fill="auto"/>
          </w:tcPr>
          <w:p w14:paraId="63294D58" w14:textId="77777777" w:rsidR="00F0236A" w:rsidRPr="00073574" w:rsidRDefault="00F0236A" w:rsidP="00DF36E1">
            <w:pPr>
              <w:pStyle w:val="Tabletext"/>
              <w:rPr>
                <w:sz w:val="24"/>
                <w:szCs w:val="24"/>
              </w:rPr>
            </w:pPr>
            <w:r w:rsidRPr="00073574">
              <w:rPr>
                <w:rFonts w:eastAsiaTheme="minorEastAsia"/>
                <w:szCs w:val="22"/>
                <w:lang w:eastAsia="ja-JP"/>
              </w:rPr>
              <w:t xml:space="preserve">The outcomes of the CxO group meetings are published as ITU-T </w:t>
            </w:r>
            <w:r w:rsidRPr="00073574">
              <w:rPr>
                <w:szCs w:val="22"/>
              </w:rPr>
              <w:t xml:space="preserve">communiqués on the ITU-T </w:t>
            </w:r>
            <w:hyperlink r:id="rId482" w:history="1">
              <w:r w:rsidRPr="00073574">
                <w:rPr>
                  <w:rStyle w:val="Hyperlink"/>
                  <w:szCs w:val="22"/>
                </w:rPr>
                <w:t>web-page</w:t>
              </w:r>
            </w:hyperlink>
            <w:r w:rsidRPr="00073574">
              <w:rPr>
                <w:rFonts w:eastAsiaTheme="minorEastAsia"/>
                <w:szCs w:val="22"/>
                <w:lang w:eastAsia="ja-JP"/>
              </w:rPr>
              <w:t>. See action item 68-01.</w:t>
            </w:r>
          </w:p>
        </w:tc>
      </w:tr>
    </w:tbl>
    <w:p w14:paraId="416D94F8" w14:textId="1BF0A6D6" w:rsidR="7277BFE4" w:rsidRPr="00073574" w:rsidRDefault="7277BFE4">
      <w:bookmarkStart w:id="339" w:name="Item68_01"/>
      <w:bookmarkStart w:id="340" w:name="Item68_03"/>
      <w:bookmarkStart w:id="341" w:name="Item68_04"/>
      <w:bookmarkStart w:id="342" w:name="Item68_05"/>
      <w:bookmarkEnd w:id="339"/>
      <w:bookmarkEnd w:id="340"/>
      <w:bookmarkEnd w:id="341"/>
      <w:bookmarkEnd w:id="342"/>
    </w:p>
    <w:p w14:paraId="21AA34EC" w14:textId="77777777" w:rsidR="00F0236A" w:rsidRPr="00073574" w:rsidRDefault="0053741E" w:rsidP="00F0236A">
      <w:pPr>
        <w:rPr>
          <w:sz w:val="24"/>
        </w:rPr>
      </w:pPr>
      <w:hyperlink w:anchor="Top" w:history="1">
        <w:r w:rsidR="00F0236A" w:rsidRPr="00073574">
          <w:rPr>
            <w:rStyle w:val="Hyperlink"/>
            <w:rFonts w:eastAsia="Times New Roman"/>
            <w:sz w:val="24"/>
          </w:rPr>
          <w:t>» Top</w:t>
        </w:r>
      </w:hyperlink>
    </w:p>
    <w:p w14:paraId="19BD059F" w14:textId="77777777" w:rsidR="00F0236A" w:rsidRPr="00073574" w:rsidRDefault="00F0236A" w:rsidP="00F0236A">
      <w:pPr>
        <w:rPr>
          <w:sz w:val="24"/>
        </w:rPr>
      </w:pPr>
    </w:p>
    <w:p w14:paraId="038D6DF8" w14:textId="77777777" w:rsidR="00F0236A" w:rsidRPr="00073574" w:rsidRDefault="00F0236A" w:rsidP="009C43D6">
      <w:pPr>
        <w:pStyle w:val="Heading1"/>
        <w:keepNext/>
        <w:keepLines/>
        <w:rPr>
          <w:sz w:val="24"/>
          <w:szCs w:val="24"/>
          <w:lang w:val="en-GB"/>
        </w:rPr>
      </w:pPr>
      <w:bookmarkStart w:id="343" w:name="Resolution_69"/>
      <w:bookmarkStart w:id="344" w:name="_Resolution_69_-"/>
      <w:bookmarkStart w:id="345" w:name="_Toc304236453"/>
      <w:bookmarkStart w:id="346" w:name="_Toc471715386"/>
      <w:bookmarkStart w:id="347" w:name="_Toc93425272"/>
      <w:bookmarkEnd w:id="343"/>
      <w:bookmarkEnd w:id="344"/>
      <w:r w:rsidRPr="00073574">
        <w:rPr>
          <w:sz w:val="24"/>
          <w:szCs w:val="24"/>
          <w:lang w:val="en-GB"/>
        </w:rPr>
        <w:t>Resolution 69 - Non discriminatory access and use of Internet resources</w:t>
      </w:r>
      <w:bookmarkEnd w:id="345"/>
      <w:r w:rsidRPr="00073574">
        <w:rPr>
          <w:sz w:val="24"/>
          <w:szCs w:val="24"/>
          <w:lang w:val="en-GB"/>
        </w:rPr>
        <w:t xml:space="preserve"> and telecommunications/information and communication technologies</w:t>
      </w:r>
      <w:bookmarkEnd w:id="346"/>
      <w:bookmarkEnd w:id="347"/>
    </w:p>
    <w:p w14:paraId="63C08853" w14:textId="77777777" w:rsidR="00F0236A" w:rsidRPr="00073574" w:rsidRDefault="00F0236A" w:rsidP="009C43D6">
      <w:pPr>
        <w:keepNext/>
        <w:keepLines/>
        <w:rPr>
          <w:b/>
          <w:bCs/>
          <w:sz w:val="24"/>
        </w:rPr>
      </w:pPr>
      <w:r w:rsidRPr="00073574">
        <w:rPr>
          <w:b/>
          <w:bCs/>
          <w:sz w:val="24"/>
        </w:rPr>
        <w:t>Resolution 69</w:t>
      </w:r>
    </w:p>
    <w:p w14:paraId="6C3AD20F" w14:textId="77777777" w:rsidR="00F0236A" w:rsidRPr="00073574" w:rsidRDefault="00F0236A" w:rsidP="009C43D6">
      <w:pPr>
        <w:pStyle w:val="Call"/>
        <w:rPr>
          <w:sz w:val="24"/>
          <w:szCs w:val="24"/>
          <w:lang w:val="en-GB"/>
        </w:rPr>
      </w:pPr>
      <w:r w:rsidRPr="00073574">
        <w:rPr>
          <w:sz w:val="24"/>
          <w:szCs w:val="24"/>
          <w:lang w:val="en-GB"/>
        </w:rPr>
        <w:t>resolves to invite Member States</w:t>
      </w:r>
    </w:p>
    <w:p w14:paraId="27997798" w14:textId="77777777" w:rsidR="00F0236A" w:rsidRPr="00073574" w:rsidRDefault="00F0236A" w:rsidP="009C43D6">
      <w:pPr>
        <w:keepNext/>
        <w:keepLines/>
        <w:rPr>
          <w:sz w:val="24"/>
        </w:rPr>
      </w:pPr>
      <w:r w:rsidRPr="00073574">
        <w:rPr>
          <w:sz w:val="24"/>
        </w:rPr>
        <w:t>1</w:t>
      </w:r>
      <w:r w:rsidRPr="00073574">
        <w:rPr>
          <w:sz w:val="24"/>
        </w:rPr>
        <w:tab/>
        <w:t>to refrain from taking any unilateral and/or discriminatory actions that could impede another Member State from accessing public Internet sites and using resources, within the spirit of Article 1 of the Constitution and the WSIS principles;</w:t>
      </w:r>
    </w:p>
    <w:p w14:paraId="458DDCA8" w14:textId="77777777" w:rsidR="00F0236A" w:rsidRPr="00073574" w:rsidRDefault="00F0236A" w:rsidP="00F0236A">
      <w:pPr>
        <w:rPr>
          <w:sz w:val="24"/>
        </w:rPr>
      </w:pPr>
      <w:r w:rsidRPr="00073574">
        <w:rPr>
          <w:sz w:val="24"/>
        </w:rPr>
        <w:t>2</w:t>
      </w:r>
      <w:r w:rsidRPr="00073574">
        <w:rPr>
          <w:sz w:val="24"/>
        </w:rPr>
        <w:tab/>
        <w:t xml:space="preserve">to report to the Director of the Telecommunication Standardization Bureau (TSB) on any incident of the kind referred to in </w:t>
      </w:r>
      <w:r w:rsidRPr="00073574">
        <w:rPr>
          <w:i/>
          <w:iCs/>
          <w:sz w:val="24"/>
        </w:rPr>
        <w:t>resolves</w:t>
      </w:r>
      <w:r w:rsidRPr="00073574">
        <w:rPr>
          <w:sz w:val="24"/>
        </w:rPr>
        <w:t xml:space="preserve"> 1 above,</w:t>
      </w:r>
    </w:p>
    <w:p w14:paraId="6E56FC15" w14:textId="77777777" w:rsidR="00F0236A" w:rsidRPr="00073574" w:rsidRDefault="00F0236A" w:rsidP="00F0236A">
      <w:pPr>
        <w:pStyle w:val="Call"/>
        <w:rPr>
          <w:sz w:val="24"/>
          <w:szCs w:val="24"/>
          <w:lang w:val="en-GB"/>
        </w:rPr>
      </w:pPr>
      <w:r w:rsidRPr="00073574">
        <w:rPr>
          <w:sz w:val="24"/>
          <w:szCs w:val="24"/>
          <w:lang w:val="en-GB"/>
        </w:rPr>
        <w:t>instructs the Director of the Telecommunication Standardization Bureau</w:t>
      </w:r>
    </w:p>
    <w:p w14:paraId="1A11B6C7" w14:textId="77777777" w:rsidR="00F0236A" w:rsidRPr="00073574" w:rsidRDefault="00F0236A" w:rsidP="00F0236A">
      <w:pPr>
        <w:rPr>
          <w:sz w:val="24"/>
        </w:rPr>
      </w:pPr>
      <w:r w:rsidRPr="00073574">
        <w:rPr>
          <w:sz w:val="24"/>
        </w:rPr>
        <w:t>1</w:t>
      </w:r>
      <w:r w:rsidRPr="00073574">
        <w:rPr>
          <w:sz w:val="24"/>
        </w:rPr>
        <w:tab/>
        <w:t>to integrate and analyse the information on incidents reported from Member States;</w:t>
      </w:r>
    </w:p>
    <w:p w14:paraId="349DC197" w14:textId="77777777" w:rsidR="00F0236A" w:rsidRPr="00073574" w:rsidRDefault="00F0236A" w:rsidP="00F0236A">
      <w:pPr>
        <w:rPr>
          <w:sz w:val="24"/>
        </w:rPr>
      </w:pPr>
      <w:r w:rsidRPr="00073574">
        <w:rPr>
          <w:sz w:val="24"/>
        </w:rPr>
        <w:t>2</w:t>
      </w:r>
      <w:r w:rsidRPr="00073574">
        <w:rPr>
          <w:sz w:val="24"/>
        </w:rPr>
        <w:tab/>
        <w:t>to report this information to Member States, through an appropriate mechanism;</w:t>
      </w:r>
    </w:p>
    <w:p w14:paraId="23189AC5" w14:textId="77777777" w:rsidR="00F0236A" w:rsidRPr="00073574" w:rsidRDefault="00F0236A" w:rsidP="00F0236A">
      <w:pPr>
        <w:rPr>
          <w:sz w:val="24"/>
        </w:rPr>
      </w:pPr>
      <w:r w:rsidRPr="00073574">
        <w:rPr>
          <w:sz w:val="24"/>
        </w:rPr>
        <w:t>3</w:t>
      </w:r>
      <w:r w:rsidRPr="00073574">
        <w:rPr>
          <w:sz w:val="24"/>
        </w:rPr>
        <w:tab/>
        <w:t>to report to the Telecommunication Standardization Advisory Group (TSAG) on progress on this resolution, in order for TSAG to evaluate the effectiveness of its implementation;</w:t>
      </w:r>
    </w:p>
    <w:p w14:paraId="01F6340A" w14:textId="77777777" w:rsidR="00F0236A" w:rsidRPr="00073574" w:rsidRDefault="00F0236A" w:rsidP="00F0236A">
      <w:pPr>
        <w:rPr>
          <w:sz w:val="24"/>
        </w:rPr>
      </w:pPr>
      <w:r w:rsidRPr="00073574">
        <w:rPr>
          <w:sz w:val="24"/>
        </w:rPr>
        <w:t>4</w:t>
      </w:r>
      <w:r w:rsidRPr="00073574">
        <w:rPr>
          <w:sz w:val="24"/>
        </w:rPr>
        <w:tab/>
        <w:t>to report on progress on this resolution to the next world telecommunication standardization assembly,</w:t>
      </w:r>
    </w:p>
    <w:p w14:paraId="5D370726" w14:textId="77777777" w:rsidR="00F0236A" w:rsidRPr="00073574" w:rsidRDefault="00F0236A" w:rsidP="00F0236A">
      <w:pPr>
        <w:pStyle w:val="Call"/>
        <w:rPr>
          <w:sz w:val="24"/>
          <w:szCs w:val="24"/>
          <w:lang w:val="en-GB"/>
        </w:rPr>
      </w:pPr>
      <w:r w:rsidRPr="00073574">
        <w:rPr>
          <w:sz w:val="24"/>
          <w:szCs w:val="24"/>
          <w:lang w:val="en-GB"/>
        </w:rPr>
        <w:t>instructs the Secretary-General</w:t>
      </w:r>
    </w:p>
    <w:p w14:paraId="231A1A65" w14:textId="77777777" w:rsidR="00F0236A" w:rsidRPr="00073574" w:rsidRDefault="00F0236A" w:rsidP="00F0236A">
      <w:pPr>
        <w:rPr>
          <w:sz w:val="24"/>
        </w:rPr>
      </w:pPr>
      <w:r w:rsidRPr="00073574">
        <w:rPr>
          <w:sz w:val="24"/>
        </w:rPr>
        <w:t>to report annually to the ITU Council on progress on this resolution,</w:t>
      </w:r>
    </w:p>
    <w:p w14:paraId="3B735A27" w14:textId="77777777" w:rsidR="00F0236A" w:rsidRPr="00073574" w:rsidRDefault="00F0236A" w:rsidP="00F0236A">
      <w:pPr>
        <w:pStyle w:val="Call"/>
        <w:rPr>
          <w:sz w:val="24"/>
          <w:szCs w:val="24"/>
          <w:lang w:val="en-GB"/>
        </w:rPr>
      </w:pPr>
      <w:r w:rsidRPr="00073574">
        <w:rPr>
          <w:sz w:val="24"/>
          <w:szCs w:val="24"/>
          <w:lang w:val="en-GB"/>
        </w:rPr>
        <w:t>invites the Directors of the Telecommunication Standardization Bureau, Radiocommunication Bureau and Telecommunication Development Bureau</w:t>
      </w:r>
    </w:p>
    <w:p w14:paraId="53564C41" w14:textId="77777777" w:rsidR="00F0236A" w:rsidRPr="00073574" w:rsidRDefault="00F0236A" w:rsidP="00F0236A">
      <w:pPr>
        <w:rPr>
          <w:sz w:val="24"/>
        </w:rPr>
      </w:pPr>
      <w:r w:rsidRPr="00073574">
        <w:rPr>
          <w:sz w:val="24"/>
        </w:rPr>
        <w:t>to contribute to the report on progress on this resolution,</w:t>
      </w:r>
    </w:p>
    <w:p w14:paraId="30B83B65" w14:textId="77777777" w:rsidR="00F0236A" w:rsidRPr="00073574" w:rsidRDefault="00F0236A" w:rsidP="00F0236A">
      <w:pPr>
        <w:pStyle w:val="Call"/>
        <w:rPr>
          <w:sz w:val="24"/>
          <w:szCs w:val="24"/>
          <w:lang w:val="en-GB"/>
        </w:rPr>
      </w:pPr>
      <w:r w:rsidRPr="00073574">
        <w:rPr>
          <w:sz w:val="24"/>
          <w:szCs w:val="24"/>
          <w:lang w:val="en-GB"/>
        </w:rPr>
        <w:t>invites the ITU membership</w:t>
      </w:r>
    </w:p>
    <w:p w14:paraId="26CB6D1B" w14:textId="77777777" w:rsidR="00F0236A" w:rsidRPr="00073574" w:rsidRDefault="00F0236A" w:rsidP="00F0236A">
      <w:pPr>
        <w:spacing w:after="240"/>
        <w:rPr>
          <w:i/>
          <w:iCs/>
          <w:sz w:val="24"/>
        </w:rPr>
      </w:pPr>
      <w:r w:rsidRPr="00073574">
        <w:rPr>
          <w:sz w:val="24"/>
        </w:rPr>
        <w:t>to submit contributions to the ITU</w:t>
      </w:r>
      <w:r w:rsidRPr="00073574">
        <w:rPr>
          <w:sz w:val="24"/>
        </w:rPr>
        <w:noBreakHyphen/>
        <w:t>T study groups that contribute to the prevention and avoidance of such practices.</w:t>
      </w:r>
    </w:p>
    <w:tbl>
      <w:tblPr>
        <w:tblW w:w="969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13"/>
        <w:gridCol w:w="5001"/>
        <w:gridCol w:w="1274"/>
        <w:gridCol w:w="1169"/>
        <w:gridCol w:w="1336"/>
      </w:tblGrid>
      <w:tr w:rsidR="00F0236A" w:rsidRPr="00073574" w14:paraId="136ACBC6" w14:textId="77777777" w:rsidTr="7277BFE4">
        <w:trPr>
          <w:tblHeader/>
          <w:jc w:val="center"/>
        </w:trPr>
        <w:tc>
          <w:tcPr>
            <w:tcW w:w="913" w:type="dxa"/>
            <w:tcBorders>
              <w:top w:val="single" w:sz="12" w:space="0" w:color="auto"/>
              <w:bottom w:val="single" w:sz="12" w:space="0" w:color="auto"/>
            </w:tcBorders>
            <w:shd w:val="clear" w:color="auto" w:fill="auto"/>
            <w:vAlign w:val="center"/>
          </w:tcPr>
          <w:p w14:paraId="65256F5C" w14:textId="77777777" w:rsidR="00F0236A" w:rsidRPr="00073574" w:rsidRDefault="00F0236A" w:rsidP="00645C7C">
            <w:pPr>
              <w:pStyle w:val="Tablehead"/>
              <w:keepNext w:val="0"/>
              <w:rPr>
                <w:sz w:val="24"/>
                <w:szCs w:val="24"/>
              </w:rPr>
            </w:pPr>
            <w:r w:rsidRPr="00073574">
              <w:rPr>
                <w:sz w:val="24"/>
                <w:szCs w:val="24"/>
              </w:rPr>
              <w:lastRenderedPageBreak/>
              <w:t>Action Item</w:t>
            </w:r>
          </w:p>
        </w:tc>
        <w:tc>
          <w:tcPr>
            <w:tcW w:w="5001" w:type="dxa"/>
            <w:tcBorders>
              <w:top w:val="single" w:sz="12" w:space="0" w:color="auto"/>
              <w:bottom w:val="single" w:sz="12" w:space="0" w:color="auto"/>
            </w:tcBorders>
            <w:shd w:val="clear" w:color="auto" w:fill="auto"/>
            <w:vAlign w:val="center"/>
            <w:hideMark/>
          </w:tcPr>
          <w:p w14:paraId="682E125B" w14:textId="77777777" w:rsidR="00F0236A" w:rsidRPr="00073574" w:rsidRDefault="00F0236A" w:rsidP="00DF36E1">
            <w:pPr>
              <w:pStyle w:val="Tablehead"/>
              <w:rPr>
                <w:sz w:val="24"/>
                <w:szCs w:val="24"/>
              </w:rPr>
            </w:pPr>
            <w:r w:rsidRPr="00073574">
              <w:rPr>
                <w:sz w:val="24"/>
                <w:szCs w:val="24"/>
              </w:rPr>
              <w:t>Action</w:t>
            </w:r>
          </w:p>
        </w:tc>
        <w:tc>
          <w:tcPr>
            <w:tcW w:w="1274" w:type="dxa"/>
            <w:tcBorders>
              <w:top w:val="single" w:sz="12" w:space="0" w:color="auto"/>
              <w:bottom w:val="single" w:sz="12" w:space="0" w:color="auto"/>
            </w:tcBorders>
            <w:shd w:val="clear" w:color="auto" w:fill="auto"/>
            <w:vAlign w:val="center"/>
            <w:hideMark/>
          </w:tcPr>
          <w:p w14:paraId="4A832984" w14:textId="77777777" w:rsidR="00F0236A" w:rsidRPr="00073574" w:rsidRDefault="00F0236A" w:rsidP="00DF36E1">
            <w:pPr>
              <w:pStyle w:val="Tablehead"/>
              <w:rPr>
                <w:sz w:val="24"/>
                <w:szCs w:val="24"/>
              </w:rPr>
            </w:pPr>
            <w:r w:rsidRPr="00073574">
              <w:rPr>
                <w:sz w:val="24"/>
                <w:szCs w:val="24"/>
              </w:rPr>
              <w:t>Milestone</w:t>
            </w:r>
          </w:p>
        </w:tc>
        <w:tc>
          <w:tcPr>
            <w:tcW w:w="1169" w:type="dxa"/>
            <w:tcBorders>
              <w:top w:val="single" w:sz="12" w:space="0" w:color="auto"/>
              <w:bottom w:val="single" w:sz="12" w:space="0" w:color="auto"/>
            </w:tcBorders>
            <w:shd w:val="clear" w:color="auto" w:fill="auto"/>
          </w:tcPr>
          <w:p w14:paraId="24DC7B7B" w14:textId="77777777" w:rsidR="00F0236A" w:rsidRPr="00073574" w:rsidRDefault="00F0236A" w:rsidP="00DF36E1">
            <w:pPr>
              <w:pStyle w:val="Tablehead"/>
              <w:rPr>
                <w:sz w:val="24"/>
                <w:szCs w:val="24"/>
              </w:rPr>
            </w:pPr>
            <w:r w:rsidRPr="00073574">
              <w:rPr>
                <w:sz w:val="24"/>
                <w:szCs w:val="24"/>
              </w:rPr>
              <w:t>Periodic goals met</w:t>
            </w:r>
          </w:p>
        </w:tc>
        <w:tc>
          <w:tcPr>
            <w:tcW w:w="1336" w:type="dxa"/>
            <w:tcBorders>
              <w:top w:val="single" w:sz="12" w:space="0" w:color="auto"/>
              <w:bottom w:val="single" w:sz="12" w:space="0" w:color="auto"/>
            </w:tcBorders>
            <w:shd w:val="clear" w:color="auto" w:fill="auto"/>
            <w:vAlign w:val="center"/>
          </w:tcPr>
          <w:p w14:paraId="3979DEF2" w14:textId="77777777" w:rsidR="00F0236A" w:rsidRPr="00073574" w:rsidRDefault="00F0236A" w:rsidP="00DF36E1">
            <w:pPr>
              <w:pStyle w:val="Tablehead"/>
              <w:rPr>
                <w:sz w:val="24"/>
                <w:szCs w:val="24"/>
              </w:rPr>
            </w:pPr>
            <w:r w:rsidRPr="00073574">
              <w:rPr>
                <w:sz w:val="24"/>
                <w:szCs w:val="24"/>
              </w:rPr>
              <w:t>Completed</w:t>
            </w:r>
          </w:p>
        </w:tc>
      </w:tr>
      <w:tr w:rsidR="00F0236A" w:rsidRPr="00073574" w14:paraId="7FAF430D" w14:textId="77777777" w:rsidTr="7277BFE4">
        <w:trPr>
          <w:cantSplit/>
          <w:jc w:val="center"/>
        </w:trPr>
        <w:tc>
          <w:tcPr>
            <w:tcW w:w="913" w:type="dxa"/>
            <w:vMerge w:val="restart"/>
            <w:tcBorders>
              <w:top w:val="single" w:sz="12" w:space="0" w:color="auto"/>
            </w:tcBorders>
            <w:shd w:val="clear" w:color="auto" w:fill="auto"/>
          </w:tcPr>
          <w:p w14:paraId="031826F4" w14:textId="77777777" w:rsidR="00F0236A" w:rsidRPr="00073574" w:rsidRDefault="00F0236A" w:rsidP="00DF36E1">
            <w:pPr>
              <w:pStyle w:val="Tabletext"/>
              <w:rPr>
                <w:b/>
                <w:bCs/>
                <w:sz w:val="24"/>
                <w:szCs w:val="24"/>
              </w:rPr>
            </w:pPr>
            <w:r w:rsidRPr="00073574">
              <w:rPr>
                <w:b/>
                <w:bCs/>
                <w:sz w:val="24"/>
                <w:szCs w:val="24"/>
              </w:rPr>
              <w:t>69-01</w:t>
            </w:r>
          </w:p>
        </w:tc>
        <w:tc>
          <w:tcPr>
            <w:tcW w:w="5001" w:type="dxa"/>
            <w:tcBorders>
              <w:top w:val="single" w:sz="12" w:space="0" w:color="auto"/>
              <w:bottom w:val="single" w:sz="2" w:space="0" w:color="auto"/>
            </w:tcBorders>
            <w:shd w:val="clear" w:color="auto" w:fill="auto"/>
            <w:hideMark/>
          </w:tcPr>
          <w:p w14:paraId="509AFEB6" w14:textId="77777777" w:rsidR="00F0236A" w:rsidRPr="00073574" w:rsidRDefault="00F0236A" w:rsidP="00DF36E1">
            <w:pPr>
              <w:pStyle w:val="Tabletext"/>
              <w:rPr>
                <w:b/>
                <w:bCs/>
                <w:sz w:val="24"/>
                <w:szCs w:val="24"/>
              </w:rPr>
            </w:pPr>
            <w:r w:rsidRPr="00073574">
              <w:rPr>
                <w:b/>
                <w:bCs/>
                <w:sz w:val="24"/>
                <w:szCs w:val="24"/>
              </w:rPr>
              <w:t>TSB Director to integrate and analyse incident reports from Member States; and to report this information to Member States, through an appropriate mechanism (i. TSBDir 1, 2)</w:t>
            </w:r>
          </w:p>
        </w:tc>
        <w:tc>
          <w:tcPr>
            <w:tcW w:w="1274" w:type="dxa"/>
            <w:tcBorders>
              <w:top w:val="single" w:sz="12" w:space="0" w:color="auto"/>
              <w:bottom w:val="single" w:sz="2" w:space="0" w:color="auto"/>
            </w:tcBorders>
            <w:shd w:val="clear" w:color="auto" w:fill="auto"/>
            <w:vAlign w:val="center"/>
            <w:hideMark/>
          </w:tcPr>
          <w:p w14:paraId="652A5C11"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69" w:type="dxa"/>
            <w:tcBorders>
              <w:top w:val="single" w:sz="12" w:space="0" w:color="auto"/>
              <w:bottom w:val="single" w:sz="2" w:space="0" w:color="auto"/>
            </w:tcBorders>
            <w:shd w:val="clear" w:color="auto" w:fill="auto"/>
            <w:vAlign w:val="center"/>
          </w:tcPr>
          <w:p w14:paraId="251AE1C0" w14:textId="289D41DF" w:rsidR="00F0236A" w:rsidRPr="00073574" w:rsidRDefault="00B75EAE" w:rsidP="00DF36E1">
            <w:pPr>
              <w:pStyle w:val="Tabletext"/>
              <w:jc w:val="center"/>
              <w:rPr>
                <w:b/>
                <w:bCs/>
                <w:sz w:val="24"/>
                <w:szCs w:val="24"/>
              </w:rPr>
            </w:pPr>
            <w:r w:rsidRPr="00073574">
              <w:rPr>
                <w:b/>
                <w:bCs/>
                <w:sz w:val="24"/>
                <w:szCs w:val="24"/>
              </w:rPr>
              <w:t>√</w:t>
            </w:r>
          </w:p>
        </w:tc>
        <w:tc>
          <w:tcPr>
            <w:tcW w:w="1336" w:type="dxa"/>
            <w:tcBorders>
              <w:top w:val="single" w:sz="12" w:space="0" w:color="auto"/>
              <w:bottom w:val="single" w:sz="2" w:space="0" w:color="auto"/>
            </w:tcBorders>
            <w:shd w:val="clear" w:color="auto" w:fill="auto"/>
            <w:vAlign w:val="center"/>
          </w:tcPr>
          <w:p w14:paraId="135359F8" w14:textId="77777777" w:rsidR="00F0236A" w:rsidRPr="00073574" w:rsidRDefault="00F0236A" w:rsidP="00DF36E1">
            <w:pPr>
              <w:pStyle w:val="Tabletext"/>
              <w:jc w:val="center"/>
              <w:rPr>
                <w:b/>
                <w:bCs/>
                <w:sz w:val="24"/>
                <w:szCs w:val="24"/>
              </w:rPr>
            </w:pPr>
          </w:p>
        </w:tc>
      </w:tr>
      <w:tr w:rsidR="00F0236A" w:rsidRPr="00073574" w14:paraId="100BF4CF" w14:textId="77777777" w:rsidTr="7277BFE4">
        <w:trPr>
          <w:cantSplit/>
          <w:jc w:val="center"/>
        </w:trPr>
        <w:tc>
          <w:tcPr>
            <w:tcW w:w="913" w:type="dxa"/>
            <w:vMerge/>
          </w:tcPr>
          <w:p w14:paraId="01AC4043" w14:textId="77777777" w:rsidR="00F0236A" w:rsidRPr="00073574" w:rsidRDefault="00F0236A" w:rsidP="00DF36E1">
            <w:pPr>
              <w:pStyle w:val="Tabletext"/>
              <w:rPr>
                <w:sz w:val="24"/>
                <w:szCs w:val="24"/>
              </w:rPr>
            </w:pPr>
          </w:p>
        </w:tc>
        <w:tc>
          <w:tcPr>
            <w:tcW w:w="8780" w:type="dxa"/>
            <w:gridSpan w:val="4"/>
            <w:tcBorders>
              <w:top w:val="single" w:sz="2" w:space="0" w:color="auto"/>
            </w:tcBorders>
            <w:shd w:val="clear" w:color="auto" w:fill="auto"/>
          </w:tcPr>
          <w:p w14:paraId="1B5AACB0" w14:textId="4E872666" w:rsidR="00482FAA" w:rsidRPr="00073574" w:rsidRDefault="00482FAA" w:rsidP="00DF36E1">
            <w:pPr>
              <w:pStyle w:val="Tabletext"/>
              <w:rPr>
                <w:szCs w:val="22"/>
              </w:rPr>
            </w:pPr>
            <w:r w:rsidRPr="00073574">
              <w:rPr>
                <w:szCs w:val="22"/>
              </w:rPr>
              <w:t>Resolution 69 (Rev. Hammamet, 2016) since its first adoption in WTSA-08 aims to re</w:t>
            </w:r>
            <w:r w:rsidR="006A7B68" w:rsidRPr="00073574">
              <w:rPr>
                <w:szCs w:val="22"/>
              </w:rPr>
              <w:t>f</w:t>
            </w:r>
            <w:r w:rsidRPr="00073574">
              <w:rPr>
                <w:szCs w:val="22"/>
              </w:rPr>
              <w:t>rain Member States from taking any unilateral and/or discriminatory actions that could impede another Member State from accessing public Internet sites and using resources, within the spirit of Article 1 of the Constitution and the WSIS principles.</w:t>
            </w:r>
          </w:p>
          <w:p w14:paraId="48866957" w14:textId="77777777" w:rsidR="00482FAA" w:rsidRPr="00073574" w:rsidRDefault="00482FAA" w:rsidP="00DF36E1">
            <w:pPr>
              <w:pStyle w:val="Tabletext"/>
            </w:pPr>
            <w:r w:rsidRPr="00073574">
              <w:rPr>
                <w:szCs w:val="22"/>
              </w:rPr>
              <w:t xml:space="preserve">TSB has implemented a platform and tool since 2009 by which Member States can report and submit an incident related to this Resolution and raise that incident to the attention of the TSB Director, such that the TSB Director would take appropriate and necessary action on any such reported incidents. </w:t>
            </w:r>
            <w:r w:rsidRPr="00073574">
              <w:t>All Resolution 69 related reports and any replies</w:t>
            </w:r>
            <w:r w:rsidRPr="00073574">
              <w:rPr>
                <w:rStyle w:val="Hyperlink"/>
              </w:rPr>
              <w:t xml:space="preserve"> </w:t>
            </w:r>
            <w:r w:rsidRPr="00073574">
              <w:t xml:space="preserve">for ITU TIES users’ access are maintained at: </w:t>
            </w:r>
            <w:hyperlink r:id="rId483" w:history="1">
              <w:r w:rsidRPr="00073574">
                <w:rPr>
                  <w:rStyle w:val="Hyperlink"/>
                </w:rPr>
                <w:t>https://www.itu.int/net/ITU-T/res69/secured/notifications.aspx</w:t>
              </w:r>
            </w:hyperlink>
            <w:r w:rsidRPr="00073574">
              <w:t>.</w:t>
            </w:r>
          </w:p>
          <w:p w14:paraId="1D02FE08" w14:textId="145CD5E5" w:rsidR="00E04D6D" w:rsidRPr="00073574" w:rsidRDefault="00B75EAE" w:rsidP="00DF36E1">
            <w:pPr>
              <w:pStyle w:val="Tabletext"/>
              <w:rPr>
                <w:szCs w:val="22"/>
              </w:rPr>
            </w:pPr>
            <w:r w:rsidRPr="00073574">
              <w:rPr>
                <w:szCs w:val="22"/>
              </w:rPr>
              <w:t xml:space="preserve">TSB has not received </w:t>
            </w:r>
            <w:r w:rsidR="00C31B18" w:rsidRPr="00073574">
              <w:rPr>
                <w:szCs w:val="22"/>
              </w:rPr>
              <w:t xml:space="preserve">any </w:t>
            </w:r>
            <w:r w:rsidRPr="00073574">
              <w:rPr>
                <w:szCs w:val="22"/>
              </w:rPr>
              <w:t>incident reports since 2017.</w:t>
            </w:r>
            <w:r w:rsidR="00B67A2A" w:rsidRPr="00073574">
              <w:rPr>
                <w:szCs w:val="22"/>
              </w:rPr>
              <w:t xml:space="preserve"> </w:t>
            </w:r>
          </w:p>
          <w:p w14:paraId="482A0B9A" w14:textId="12EC1B8D" w:rsidR="00F10D9C" w:rsidRPr="00073574" w:rsidDel="008C35A8" w:rsidRDefault="00F10D9C" w:rsidP="00C741BE">
            <w:pPr>
              <w:pStyle w:val="Tabletext"/>
              <w:rPr>
                <w:szCs w:val="22"/>
              </w:rPr>
            </w:pPr>
            <w:r w:rsidRPr="00073574">
              <w:t>All Res</w:t>
            </w:r>
            <w:r w:rsidR="008E55D8" w:rsidRPr="00073574">
              <w:t xml:space="preserve">olution </w:t>
            </w:r>
            <w:r w:rsidRPr="00073574">
              <w:t>69 related</w:t>
            </w:r>
            <w:r w:rsidR="008E55D8" w:rsidRPr="00073574">
              <w:t xml:space="preserve"> </w:t>
            </w:r>
            <w:r w:rsidR="00FD3C05" w:rsidRPr="00073574">
              <w:t>reports and any replies</w:t>
            </w:r>
            <w:r w:rsidR="008E55D8" w:rsidRPr="00073574">
              <w:rPr>
                <w:rStyle w:val="Hyperlink"/>
              </w:rPr>
              <w:t xml:space="preserve"> </w:t>
            </w:r>
            <w:r w:rsidRPr="00073574">
              <w:t>for ITU TIES users’ access</w:t>
            </w:r>
            <w:r w:rsidR="00FD3C05" w:rsidRPr="00073574">
              <w:t xml:space="preserve"> are maintained at: </w:t>
            </w:r>
            <w:hyperlink r:id="rId484" w:history="1">
              <w:r w:rsidR="00FD3C05" w:rsidRPr="00073574">
                <w:rPr>
                  <w:rStyle w:val="Hyperlink"/>
                </w:rPr>
                <w:t>https://www.itu.int/net/ITU-T/res69/secured/notifications.aspx</w:t>
              </w:r>
            </w:hyperlink>
            <w:r w:rsidR="008E55D8" w:rsidRPr="00073574">
              <w:t>.</w:t>
            </w:r>
          </w:p>
        </w:tc>
      </w:tr>
      <w:tr w:rsidR="00F0236A" w:rsidRPr="00073574" w14:paraId="3EA8D876" w14:textId="77777777" w:rsidTr="7277BFE4">
        <w:trPr>
          <w:cantSplit/>
          <w:jc w:val="center"/>
        </w:trPr>
        <w:tc>
          <w:tcPr>
            <w:tcW w:w="913" w:type="dxa"/>
            <w:vMerge w:val="restart"/>
            <w:tcBorders>
              <w:top w:val="single" w:sz="12" w:space="0" w:color="auto"/>
            </w:tcBorders>
            <w:shd w:val="clear" w:color="auto" w:fill="auto"/>
          </w:tcPr>
          <w:p w14:paraId="35BB55DC" w14:textId="77777777" w:rsidR="00F0236A" w:rsidRPr="00073574" w:rsidRDefault="00F0236A" w:rsidP="00DF36E1">
            <w:pPr>
              <w:pStyle w:val="Tabletext"/>
              <w:rPr>
                <w:b/>
                <w:bCs/>
                <w:sz w:val="24"/>
                <w:szCs w:val="24"/>
              </w:rPr>
            </w:pPr>
            <w:r w:rsidRPr="00073574">
              <w:rPr>
                <w:b/>
                <w:bCs/>
                <w:sz w:val="24"/>
                <w:szCs w:val="24"/>
              </w:rPr>
              <w:t>69-03</w:t>
            </w:r>
          </w:p>
        </w:tc>
        <w:tc>
          <w:tcPr>
            <w:tcW w:w="5001" w:type="dxa"/>
            <w:tcBorders>
              <w:top w:val="single" w:sz="12" w:space="0" w:color="auto"/>
            </w:tcBorders>
            <w:shd w:val="clear" w:color="auto" w:fill="auto"/>
            <w:hideMark/>
          </w:tcPr>
          <w:p w14:paraId="6ED99649" w14:textId="77777777" w:rsidR="00F0236A" w:rsidRPr="00073574" w:rsidRDefault="00F0236A" w:rsidP="00DF36E1">
            <w:pPr>
              <w:pStyle w:val="Tabletext"/>
              <w:rPr>
                <w:b/>
                <w:bCs/>
                <w:sz w:val="24"/>
                <w:szCs w:val="24"/>
              </w:rPr>
            </w:pPr>
            <w:r w:rsidRPr="00073574">
              <w:rPr>
                <w:b/>
                <w:bCs/>
                <w:sz w:val="24"/>
                <w:szCs w:val="24"/>
              </w:rPr>
              <w:t>TSB Director to submit progress report to TSAG, for TSAG to evaluate the effectiveness of its implementation. (i. TSBDir 3)</w:t>
            </w:r>
          </w:p>
        </w:tc>
        <w:tc>
          <w:tcPr>
            <w:tcW w:w="1274" w:type="dxa"/>
            <w:tcBorders>
              <w:top w:val="single" w:sz="12" w:space="0" w:color="auto"/>
            </w:tcBorders>
            <w:shd w:val="clear" w:color="auto" w:fill="auto"/>
            <w:vAlign w:val="center"/>
            <w:hideMark/>
          </w:tcPr>
          <w:p w14:paraId="2C6765A8" w14:textId="77777777" w:rsidR="00F0236A" w:rsidRPr="00073574" w:rsidRDefault="00F0236A" w:rsidP="00DF36E1">
            <w:pPr>
              <w:pStyle w:val="Tabletext"/>
              <w:jc w:val="center"/>
              <w:rPr>
                <w:b/>
                <w:bCs/>
                <w:sz w:val="24"/>
                <w:szCs w:val="24"/>
              </w:rPr>
            </w:pPr>
            <w:r w:rsidRPr="00073574">
              <w:rPr>
                <w:b/>
                <w:bCs/>
                <w:sz w:val="24"/>
                <w:szCs w:val="24"/>
              </w:rPr>
              <w:t>TSAG meetings</w:t>
            </w:r>
          </w:p>
        </w:tc>
        <w:tc>
          <w:tcPr>
            <w:tcW w:w="1169" w:type="dxa"/>
            <w:tcBorders>
              <w:top w:val="single" w:sz="12" w:space="0" w:color="auto"/>
            </w:tcBorders>
            <w:shd w:val="clear" w:color="auto" w:fill="auto"/>
            <w:vAlign w:val="center"/>
          </w:tcPr>
          <w:p w14:paraId="15B3B0AE"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298DC41A" w14:textId="77777777" w:rsidR="00F0236A" w:rsidRPr="00073574" w:rsidRDefault="00F0236A" w:rsidP="00DF36E1">
            <w:pPr>
              <w:pStyle w:val="Tabletext"/>
              <w:jc w:val="center"/>
              <w:rPr>
                <w:b/>
                <w:bCs/>
                <w:sz w:val="24"/>
                <w:szCs w:val="24"/>
              </w:rPr>
            </w:pPr>
          </w:p>
        </w:tc>
      </w:tr>
      <w:tr w:rsidR="00F0236A" w:rsidRPr="00073574" w14:paraId="61FDDB82" w14:textId="77777777" w:rsidTr="7277BFE4">
        <w:trPr>
          <w:cantSplit/>
          <w:jc w:val="center"/>
        </w:trPr>
        <w:tc>
          <w:tcPr>
            <w:tcW w:w="913" w:type="dxa"/>
            <w:vMerge/>
          </w:tcPr>
          <w:p w14:paraId="6E84F77D" w14:textId="77777777" w:rsidR="00F0236A" w:rsidRPr="00073574" w:rsidRDefault="00F0236A" w:rsidP="00DF36E1">
            <w:pPr>
              <w:pStyle w:val="Tabletext"/>
              <w:rPr>
                <w:sz w:val="24"/>
                <w:szCs w:val="24"/>
              </w:rPr>
            </w:pPr>
          </w:p>
        </w:tc>
        <w:tc>
          <w:tcPr>
            <w:tcW w:w="8780" w:type="dxa"/>
            <w:gridSpan w:val="4"/>
            <w:tcBorders>
              <w:bottom w:val="single" w:sz="12" w:space="0" w:color="auto"/>
            </w:tcBorders>
            <w:shd w:val="clear" w:color="auto" w:fill="auto"/>
          </w:tcPr>
          <w:p w14:paraId="7E176154" w14:textId="77777777" w:rsidR="00F0236A" w:rsidRPr="00073574" w:rsidRDefault="00F0236A" w:rsidP="001E63F9">
            <w:pPr>
              <w:spacing w:before="40" w:after="40"/>
              <w:rPr>
                <w:szCs w:val="22"/>
              </w:rPr>
            </w:pPr>
            <w:r w:rsidRPr="00073574">
              <w:rPr>
                <w:szCs w:val="22"/>
              </w:rPr>
              <w:t>This document.</w:t>
            </w:r>
          </w:p>
        </w:tc>
      </w:tr>
      <w:tr w:rsidR="00F0236A" w:rsidRPr="00073574" w14:paraId="610E882F" w14:textId="77777777" w:rsidTr="00645C7C">
        <w:trPr>
          <w:jc w:val="center"/>
        </w:trPr>
        <w:tc>
          <w:tcPr>
            <w:tcW w:w="913" w:type="dxa"/>
            <w:vMerge w:val="restart"/>
            <w:tcBorders>
              <w:top w:val="single" w:sz="12" w:space="0" w:color="auto"/>
            </w:tcBorders>
            <w:shd w:val="clear" w:color="auto" w:fill="auto"/>
          </w:tcPr>
          <w:p w14:paraId="62DAFE24" w14:textId="77777777" w:rsidR="00F0236A" w:rsidRPr="00073574" w:rsidRDefault="00F0236A" w:rsidP="00645C7C">
            <w:pPr>
              <w:pStyle w:val="Tabletext"/>
              <w:rPr>
                <w:b/>
                <w:bCs/>
                <w:sz w:val="24"/>
                <w:szCs w:val="24"/>
              </w:rPr>
            </w:pPr>
            <w:r w:rsidRPr="00073574">
              <w:rPr>
                <w:b/>
                <w:bCs/>
                <w:sz w:val="24"/>
                <w:szCs w:val="24"/>
              </w:rPr>
              <w:t>69-04</w:t>
            </w:r>
          </w:p>
        </w:tc>
        <w:tc>
          <w:tcPr>
            <w:tcW w:w="5001" w:type="dxa"/>
            <w:tcBorders>
              <w:top w:val="single" w:sz="12" w:space="0" w:color="auto"/>
            </w:tcBorders>
            <w:shd w:val="clear" w:color="auto" w:fill="auto"/>
            <w:hideMark/>
          </w:tcPr>
          <w:p w14:paraId="065484D9" w14:textId="77777777" w:rsidR="00F0236A" w:rsidRPr="00073574" w:rsidRDefault="00F0236A" w:rsidP="00645C7C">
            <w:pPr>
              <w:pStyle w:val="Tabletext"/>
              <w:rPr>
                <w:b/>
                <w:bCs/>
                <w:sz w:val="24"/>
                <w:szCs w:val="24"/>
              </w:rPr>
            </w:pPr>
            <w:r w:rsidRPr="00073574">
              <w:rPr>
                <w:b/>
                <w:bCs/>
                <w:sz w:val="24"/>
                <w:szCs w:val="24"/>
              </w:rPr>
              <w:t>TSB Director to report on progress on this resolution to WTSA-20 (i. TSBDir 4)</w:t>
            </w:r>
          </w:p>
        </w:tc>
        <w:tc>
          <w:tcPr>
            <w:tcW w:w="1274" w:type="dxa"/>
            <w:tcBorders>
              <w:top w:val="single" w:sz="12" w:space="0" w:color="auto"/>
            </w:tcBorders>
            <w:shd w:val="clear" w:color="auto" w:fill="auto"/>
            <w:vAlign w:val="center"/>
            <w:hideMark/>
          </w:tcPr>
          <w:p w14:paraId="73791D2B" w14:textId="77777777" w:rsidR="00F0236A" w:rsidRPr="00073574" w:rsidRDefault="00F0236A" w:rsidP="00645C7C">
            <w:pPr>
              <w:pStyle w:val="Tabletext"/>
              <w:jc w:val="center"/>
              <w:rPr>
                <w:b/>
                <w:bCs/>
                <w:sz w:val="24"/>
                <w:szCs w:val="24"/>
              </w:rPr>
            </w:pPr>
            <w:r w:rsidRPr="00073574">
              <w:rPr>
                <w:b/>
                <w:bCs/>
                <w:sz w:val="24"/>
                <w:szCs w:val="24"/>
              </w:rPr>
              <w:t>WTSA 2020</w:t>
            </w:r>
          </w:p>
        </w:tc>
        <w:tc>
          <w:tcPr>
            <w:tcW w:w="1169" w:type="dxa"/>
            <w:tcBorders>
              <w:top w:val="single" w:sz="12" w:space="0" w:color="auto"/>
            </w:tcBorders>
            <w:shd w:val="clear" w:color="auto" w:fill="auto"/>
            <w:vAlign w:val="center"/>
          </w:tcPr>
          <w:p w14:paraId="0860FE80" w14:textId="77777777" w:rsidR="00F0236A" w:rsidRPr="00073574" w:rsidRDefault="00F0236A" w:rsidP="00645C7C">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0C101BFE" w14:textId="1F26E899" w:rsidR="00F0236A" w:rsidRPr="00073574" w:rsidRDefault="0064777F" w:rsidP="00645C7C">
            <w:pPr>
              <w:pStyle w:val="Tabletext"/>
              <w:jc w:val="center"/>
              <w:rPr>
                <w:b/>
                <w:bCs/>
                <w:sz w:val="24"/>
                <w:szCs w:val="24"/>
              </w:rPr>
            </w:pPr>
            <w:r w:rsidRPr="00073574">
              <w:rPr>
                <w:b/>
                <w:bCs/>
                <w:sz w:val="24"/>
                <w:szCs w:val="24"/>
              </w:rPr>
              <w:t>√</w:t>
            </w:r>
          </w:p>
        </w:tc>
      </w:tr>
      <w:tr w:rsidR="00F0236A" w:rsidRPr="00073574" w14:paraId="4153ECC3" w14:textId="77777777" w:rsidTr="00645C7C">
        <w:trPr>
          <w:jc w:val="center"/>
        </w:trPr>
        <w:tc>
          <w:tcPr>
            <w:tcW w:w="913" w:type="dxa"/>
            <w:vMerge/>
          </w:tcPr>
          <w:p w14:paraId="058B53A9" w14:textId="77777777" w:rsidR="00F0236A" w:rsidRPr="00073574" w:rsidRDefault="00F0236A" w:rsidP="00C91D91">
            <w:pPr>
              <w:pStyle w:val="Tabletext"/>
              <w:rPr>
                <w:sz w:val="24"/>
                <w:szCs w:val="24"/>
              </w:rPr>
            </w:pPr>
          </w:p>
        </w:tc>
        <w:tc>
          <w:tcPr>
            <w:tcW w:w="8780" w:type="dxa"/>
            <w:gridSpan w:val="4"/>
            <w:tcBorders>
              <w:bottom w:val="single" w:sz="12" w:space="0" w:color="auto"/>
            </w:tcBorders>
            <w:shd w:val="clear" w:color="auto" w:fill="auto"/>
          </w:tcPr>
          <w:p w14:paraId="45F8997B" w14:textId="31D9014E" w:rsidR="00F47CD4" w:rsidRPr="00073574" w:rsidRDefault="00FC538C" w:rsidP="009000AE">
            <w:pPr>
              <w:spacing w:before="40" w:after="40"/>
              <w:rPr>
                <w:szCs w:val="22"/>
              </w:rPr>
            </w:pPr>
            <w:r w:rsidRPr="00073574">
              <w:rPr>
                <w:szCs w:val="22"/>
              </w:rPr>
              <w:t>Resolution 69 (</w:t>
            </w:r>
            <w:r w:rsidR="00D35441" w:rsidRPr="00073574">
              <w:rPr>
                <w:szCs w:val="22"/>
              </w:rPr>
              <w:t>Rev. Hammamet, 2016) aims to support Member States from taking any unilateral and/or discriminatory actions that could impede another Member State from accessing public Internet sites and using resources, within the spirit of Article 1 of the Constitution and the WSIS principles.</w:t>
            </w:r>
          </w:p>
          <w:p w14:paraId="48434897" w14:textId="7BBF208B" w:rsidR="00F47CD4" w:rsidRPr="00073574" w:rsidRDefault="00EF41CC" w:rsidP="001D6E17">
            <w:pPr>
              <w:spacing w:before="40" w:after="40"/>
              <w:rPr>
                <w:szCs w:val="22"/>
              </w:rPr>
            </w:pPr>
            <w:r w:rsidRPr="00073574">
              <w:rPr>
                <w:szCs w:val="22"/>
              </w:rPr>
              <w:t xml:space="preserve">The TSB </w:t>
            </w:r>
            <w:r w:rsidR="0094703E" w:rsidRPr="00073574">
              <w:rPr>
                <w:szCs w:val="22"/>
              </w:rPr>
              <w:t xml:space="preserve">has implemented a </w:t>
            </w:r>
            <w:r w:rsidR="00C16F0B" w:rsidRPr="00073574">
              <w:rPr>
                <w:szCs w:val="22"/>
              </w:rPr>
              <w:t xml:space="preserve">platform and </w:t>
            </w:r>
            <w:r w:rsidR="0094703E" w:rsidRPr="00073574">
              <w:rPr>
                <w:szCs w:val="22"/>
              </w:rPr>
              <w:t xml:space="preserve">tool (see AI69-01) by which Member States </w:t>
            </w:r>
            <w:r w:rsidR="00736950" w:rsidRPr="00073574">
              <w:rPr>
                <w:szCs w:val="22"/>
              </w:rPr>
              <w:t xml:space="preserve">can report and submit an incident </w:t>
            </w:r>
            <w:r w:rsidR="00B838A6" w:rsidRPr="00073574">
              <w:rPr>
                <w:szCs w:val="22"/>
              </w:rPr>
              <w:t xml:space="preserve">related to this Resolution </w:t>
            </w:r>
            <w:r w:rsidR="00666E33" w:rsidRPr="00073574">
              <w:rPr>
                <w:szCs w:val="22"/>
              </w:rPr>
              <w:t xml:space="preserve">and raise that incident </w:t>
            </w:r>
            <w:r w:rsidR="00736950" w:rsidRPr="00073574">
              <w:rPr>
                <w:szCs w:val="22"/>
              </w:rPr>
              <w:t>to the attention of the TSB Director</w:t>
            </w:r>
            <w:r w:rsidR="00F47CD4" w:rsidRPr="00073574">
              <w:rPr>
                <w:szCs w:val="22"/>
              </w:rPr>
              <w:t xml:space="preserve">, </w:t>
            </w:r>
            <w:r w:rsidR="00666E33" w:rsidRPr="00073574">
              <w:rPr>
                <w:szCs w:val="22"/>
              </w:rPr>
              <w:t>such that</w:t>
            </w:r>
            <w:r w:rsidR="00F47CD4" w:rsidRPr="00073574">
              <w:rPr>
                <w:szCs w:val="22"/>
              </w:rPr>
              <w:t xml:space="preserve"> the TSB</w:t>
            </w:r>
            <w:r w:rsidR="00EC5F37" w:rsidRPr="00073574">
              <w:rPr>
                <w:szCs w:val="22"/>
              </w:rPr>
              <w:t xml:space="preserve"> </w:t>
            </w:r>
            <w:r w:rsidR="00F47CD4" w:rsidRPr="00073574">
              <w:rPr>
                <w:szCs w:val="22"/>
              </w:rPr>
              <w:t>Dir</w:t>
            </w:r>
            <w:r w:rsidR="00EC5F37" w:rsidRPr="00073574">
              <w:rPr>
                <w:szCs w:val="22"/>
              </w:rPr>
              <w:t>ector</w:t>
            </w:r>
            <w:r w:rsidR="00F47CD4" w:rsidRPr="00073574">
              <w:rPr>
                <w:szCs w:val="22"/>
              </w:rPr>
              <w:t xml:space="preserve"> would take </w:t>
            </w:r>
            <w:r w:rsidR="00B838A6" w:rsidRPr="00073574">
              <w:rPr>
                <w:szCs w:val="22"/>
              </w:rPr>
              <w:t>appropriate and necessary action on any such reported incidents.</w:t>
            </w:r>
            <w:r w:rsidR="00BF062F" w:rsidRPr="00073574">
              <w:rPr>
                <w:szCs w:val="22"/>
              </w:rPr>
              <w:t xml:space="preserve"> </w:t>
            </w:r>
            <w:r w:rsidR="006537D3" w:rsidRPr="00073574">
              <w:rPr>
                <w:szCs w:val="22"/>
              </w:rPr>
              <w:t xml:space="preserve">The TSB Director is instructed to report any such incident to </w:t>
            </w:r>
            <w:r w:rsidR="007A6956" w:rsidRPr="00073574">
              <w:rPr>
                <w:szCs w:val="22"/>
              </w:rPr>
              <w:t xml:space="preserve">Council, </w:t>
            </w:r>
            <w:r w:rsidR="009D3D85" w:rsidRPr="00073574">
              <w:rPr>
                <w:szCs w:val="22"/>
              </w:rPr>
              <w:t xml:space="preserve">and report progress on the effectiveness of the implementation </w:t>
            </w:r>
            <w:r w:rsidR="00233C22" w:rsidRPr="00073574">
              <w:rPr>
                <w:szCs w:val="22"/>
              </w:rPr>
              <w:t>to TSAG and WTSA.</w:t>
            </w:r>
          </w:p>
          <w:p w14:paraId="4D15330A" w14:textId="3FBEFD92" w:rsidR="00233C22" w:rsidRPr="00073574" w:rsidDel="00961F75" w:rsidRDefault="006B1B1E" w:rsidP="00645C7C">
            <w:pPr>
              <w:spacing w:before="40" w:after="40"/>
              <w:rPr>
                <w:szCs w:val="22"/>
              </w:rPr>
            </w:pPr>
            <w:r w:rsidRPr="00073574">
              <w:rPr>
                <w:szCs w:val="22"/>
              </w:rPr>
              <w:t>During this study period, TSB has not received any incident reports since 2017</w:t>
            </w:r>
            <w:r w:rsidR="00C01955" w:rsidRPr="00073574">
              <w:rPr>
                <w:szCs w:val="22"/>
              </w:rPr>
              <w:t xml:space="preserve">; and there have been only very few such reported incidents </w:t>
            </w:r>
            <w:r w:rsidR="00D13A45" w:rsidRPr="00073574">
              <w:rPr>
                <w:szCs w:val="22"/>
              </w:rPr>
              <w:t xml:space="preserve">since the </w:t>
            </w:r>
            <w:r w:rsidR="00656B79" w:rsidRPr="00073574">
              <w:rPr>
                <w:szCs w:val="22"/>
              </w:rPr>
              <w:t>2008.</w:t>
            </w:r>
          </w:p>
        </w:tc>
      </w:tr>
      <w:tr w:rsidR="00F0236A" w:rsidRPr="00073574" w14:paraId="17913D44" w14:textId="77777777" w:rsidTr="7277BFE4">
        <w:trPr>
          <w:cantSplit/>
          <w:jc w:val="center"/>
        </w:trPr>
        <w:tc>
          <w:tcPr>
            <w:tcW w:w="913" w:type="dxa"/>
            <w:vMerge w:val="restart"/>
            <w:tcBorders>
              <w:top w:val="single" w:sz="12" w:space="0" w:color="auto"/>
            </w:tcBorders>
            <w:shd w:val="clear" w:color="auto" w:fill="auto"/>
          </w:tcPr>
          <w:p w14:paraId="4BAEBE6B" w14:textId="77777777" w:rsidR="00F0236A" w:rsidRPr="00073574" w:rsidRDefault="00F0236A" w:rsidP="00DF36E1">
            <w:pPr>
              <w:pStyle w:val="Tabletext"/>
              <w:keepNext/>
              <w:keepLines/>
              <w:rPr>
                <w:b/>
                <w:bCs/>
                <w:sz w:val="24"/>
                <w:szCs w:val="24"/>
              </w:rPr>
            </w:pPr>
            <w:r w:rsidRPr="00073574">
              <w:rPr>
                <w:b/>
                <w:bCs/>
                <w:sz w:val="24"/>
                <w:szCs w:val="24"/>
              </w:rPr>
              <w:t>69-05</w:t>
            </w:r>
          </w:p>
        </w:tc>
        <w:tc>
          <w:tcPr>
            <w:tcW w:w="5001" w:type="dxa"/>
            <w:tcBorders>
              <w:top w:val="single" w:sz="12" w:space="0" w:color="auto"/>
            </w:tcBorders>
            <w:shd w:val="clear" w:color="auto" w:fill="auto"/>
            <w:hideMark/>
          </w:tcPr>
          <w:p w14:paraId="09CBF6F3" w14:textId="77777777" w:rsidR="00F0236A" w:rsidRPr="00073574" w:rsidRDefault="00F0236A" w:rsidP="00DF36E1">
            <w:pPr>
              <w:pStyle w:val="Tabletext"/>
              <w:keepNext/>
              <w:keepLines/>
              <w:rPr>
                <w:b/>
                <w:bCs/>
                <w:sz w:val="24"/>
                <w:szCs w:val="24"/>
              </w:rPr>
            </w:pPr>
            <w:r w:rsidRPr="00073574">
              <w:rPr>
                <w:b/>
                <w:bCs/>
                <w:sz w:val="24"/>
                <w:szCs w:val="24"/>
              </w:rPr>
              <w:t>ITU Secretary General to report annually to Council (i. Sec-Gen)</w:t>
            </w:r>
          </w:p>
        </w:tc>
        <w:tc>
          <w:tcPr>
            <w:tcW w:w="1274" w:type="dxa"/>
            <w:tcBorders>
              <w:top w:val="single" w:sz="12" w:space="0" w:color="auto"/>
            </w:tcBorders>
            <w:shd w:val="clear" w:color="auto" w:fill="auto"/>
            <w:vAlign w:val="center"/>
            <w:hideMark/>
          </w:tcPr>
          <w:p w14:paraId="70CD8737" w14:textId="77777777" w:rsidR="00F0236A" w:rsidRPr="00073574" w:rsidRDefault="00F0236A" w:rsidP="00DF36E1">
            <w:pPr>
              <w:pStyle w:val="Tabletext"/>
              <w:jc w:val="center"/>
              <w:rPr>
                <w:b/>
                <w:bCs/>
                <w:sz w:val="24"/>
                <w:szCs w:val="24"/>
              </w:rPr>
            </w:pPr>
            <w:r w:rsidRPr="00073574">
              <w:rPr>
                <w:b/>
                <w:bCs/>
                <w:sz w:val="24"/>
                <w:szCs w:val="24"/>
              </w:rPr>
              <w:t>Council meetings</w:t>
            </w:r>
          </w:p>
        </w:tc>
        <w:tc>
          <w:tcPr>
            <w:tcW w:w="1169" w:type="dxa"/>
            <w:tcBorders>
              <w:top w:val="single" w:sz="12" w:space="0" w:color="auto"/>
            </w:tcBorders>
            <w:shd w:val="clear" w:color="auto" w:fill="auto"/>
            <w:vAlign w:val="center"/>
          </w:tcPr>
          <w:p w14:paraId="17C93900"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1D9C7DC2" w14:textId="77777777" w:rsidR="00F0236A" w:rsidRPr="00073574" w:rsidRDefault="00F0236A" w:rsidP="00DF36E1">
            <w:pPr>
              <w:pStyle w:val="Tabletext"/>
              <w:jc w:val="center"/>
              <w:rPr>
                <w:b/>
                <w:bCs/>
                <w:sz w:val="24"/>
                <w:szCs w:val="24"/>
              </w:rPr>
            </w:pPr>
          </w:p>
        </w:tc>
      </w:tr>
      <w:tr w:rsidR="00F0236A" w:rsidRPr="00073574" w14:paraId="51BD9D18" w14:textId="77777777" w:rsidTr="7277BFE4">
        <w:trPr>
          <w:cantSplit/>
          <w:jc w:val="center"/>
        </w:trPr>
        <w:tc>
          <w:tcPr>
            <w:tcW w:w="913" w:type="dxa"/>
            <w:vMerge/>
            <w:vAlign w:val="center"/>
          </w:tcPr>
          <w:p w14:paraId="39E81F9D" w14:textId="77777777" w:rsidR="00F0236A" w:rsidRPr="00073574" w:rsidRDefault="00F0236A" w:rsidP="00DF36E1">
            <w:pPr>
              <w:pStyle w:val="Tabletext"/>
              <w:rPr>
                <w:sz w:val="24"/>
                <w:szCs w:val="24"/>
              </w:rPr>
            </w:pPr>
          </w:p>
        </w:tc>
        <w:tc>
          <w:tcPr>
            <w:tcW w:w="8780" w:type="dxa"/>
            <w:gridSpan w:val="4"/>
            <w:shd w:val="clear" w:color="auto" w:fill="auto"/>
          </w:tcPr>
          <w:p w14:paraId="19118F92" w14:textId="5922FA15" w:rsidR="00F0236A" w:rsidRPr="00073574" w:rsidRDefault="00F0236A" w:rsidP="001E63F9">
            <w:pPr>
              <w:spacing w:before="40" w:after="40"/>
            </w:pPr>
            <w:r w:rsidRPr="00073574">
              <w:rPr>
                <w:szCs w:val="22"/>
              </w:rPr>
              <w:t xml:space="preserve">The TSB Director reports annually in the Council document on </w:t>
            </w:r>
            <w:r w:rsidR="003C7E25" w:rsidRPr="00073574">
              <w:rPr>
                <w:szCs w:val="22"/>
              </w:rPr>
              <w:t>"</w:t>
            </w:r>
            <w:r w:rsidRPr="00073574">
              <w:rPr>
                <w:szCs w:val="22"/>
              </w:rPr>
              <w:t>ITU Internet activities: Resolutions 101, 102 and 133</w:t>
            </w:r>
            <w:r w:rsidR="003C7E25" w:rsidRPr="00073574">
              <w:rPr>
                <w:szCs w:val="22"/>
              </w:rPr>
              <w:t>"</w:t>
            </w:r>
            <w:r w:rsidRPr="00073574">
              <w:rPr>
                <w:szCs w:val="22"/>
              </w:rPr>
              <w:t xml:space="preserve"> about updates regarding WTSA Resolution 69, if any.</w:t>
            </w:r>
          </w:p>
        </w:tc>
      </w:tr>
    </w:tbl>
    <w:p w14:paraId="1573DD70" w14:textId="3301DC79" w:rsidR="7277BFE4" w:rsidRPr="00073574" w:rsidRDefault="7277BFE4">
      <w:bookmarkStart w:id="348" w:name="Item69_01"/>
      <w:bookmarkStart w:id="349" w:name="Item69_02"/>
      <w:bookmarkEnd w:id="348"/>
      <w:bookmarkEnd w:id="349"/>
    </w:p>
    <w:p w14:paraId="72407F60" w14:textId="77777777" w:rsidR="00F0236A" w:rsidRPr="00073574" w:rsidRDefault="0053741E" w:rsidP="00F0236A">
      <w:pPr>
        <w:rPr>
          <w:sz w:val="24"/>
        </w:rPr>
      </w:pPr>
      <w:hyperlink w:anchor="Top" w:history="1">
        <w:r w:rsidR="00F0236A" w:rsidRPr="00073574">
          <w:rPr>
            <w:rStyle w:val="Hyperlink"/>
            <w:rFonts w:eastAsia="Times New Roman"/>
            <w:sz w:val="24"/>
          </w:rPr>
          <w:t>» Top</w:t>
        </w:r>
      </w:hyperlink>
    </w:p>
    <w:p w14:paraId="2F638807" w14:textId="77777777" w:rsidR="00F0236A" w:rsidRPr="00073574" w:rsidRDefault="00F0236A" w:rsidP="00F0236A">
      <w:pPr>
        <w:rPr>
          <w:sz w:val="24"/>
        </w:rPr>
      </w:pPr>
    </w:p>
    <w:p w14:paraId="18663BA7" w14:textId="77777777" w:rsidR="00F0236A" w:rsidRPr="00073574" w:rsidRDefault="00F0236A" w:rsidP="00134E92">
      <w:pPr>
        <w:pStyle w:val="Heading1"/>
        <w:keepNext/>
        <w:keepLines/>
        <w:ind w:left="357" w:hanging="357"/>
        <w:rPr>
          <w:sz w:val="24"/>
          <w:szCs w:val="24"/>
          <w:lang w:val="en-GB"/>
        </w:rPr>
      </w:pPr>
      <w:bookmarkStart w:id="350" w:name="Resolution_70"/>
      <w:bookmarkStart w:id="351" w:name="_Toc304236454"/>
      <w:bookmarkStart w:id="352" w:name="_Toc471715387"/>
      <w:bookmarkStart w:id="353" w:name="_Toc93425273"/>
      <w:bookmarkEnd w:id="350"/>
      <w:r w:rsidRPr="00073574">
        <w:rPr>
          <w:sz w:val="24"/>
          <w:szCs w:val="24"/>
          <w:lang w:val="en-GB"/>
        </w:rPr>
        <w:lastRenderedPageBreak/>
        <w:t>Resolution 70 - Telecommunication/ information and communication technology accessibility for persons with disabilities</w:t>
      </w:r>
      <w:bookmarkEnd w:id="351"/>
      <w:r w:rsidRPr="00073574">
        <w:rPr>
          <w:sz w:val="24"/>
          <w:szCs w:val="24"/>
          <w:lang w:val="en-GB"/>
        </w:rPr>
        <w:t xml:space="preserve"> and persons with specific needs</w:t>
      </w:r>
      <w:bookmarkEnd w:id="352"/>
      <w:bookmarkEnd w:id="353"/>
    </w:p>
    <w:p w14:paraId="250B379B" w14:textId="77777777" w:rsidR="00F0236A" w:rsidRPr="00073574" w:rsidRDefault="00F0236A" w:rsidP="00134E92">
      <w:pPr>
        <w:keepNext/>
        <w:keepLines/>
        <w:rPr>
          <w:b/>
          <w:bCs/>
          <w:sz w:val="24"/>
        </w:rPr>
      </w:pPr>
      <w:r w:rsidRPr="00073574">
        <w:rPr>
          <w:b/>
          <w:bCs/>
          <w:sz w:val="24"/>
        </w:rPr>
        <w:t>Resolution 70</w:t>
      </w:r>
    </w:p>
    <w:p w14:paraId="3A610927" w14:textId="77777777" w:rsidR="00F0236A" w:rsidRPr="00073574" w:rsidRDefault="00F0236A" w:rsidP="00134E92">
      <w:pPr>
        <w:pStyle w:val="Call"/>
        <w:rPr>
          <w:sz w:val="24"/>
          <w:szCs w:val="24"/>
          <w:lang w:val="en-GB"/>
        </w:rPr>
      </w:pPr>
      <w:r w:rsidRPr="00073574">
        <w:rPr>
          <w:sz w:val="24"/>
          <w:szCs w:val="24"/>
          <w:lang w:val="en-GB"/>
        </w:rPr>
        <w:t>resolves</w:t>
      </w:r>
    </w:p>
    <w:p w14:paraId="37A900D3" w14:textId="77777777" w:rsidR="00F0236A" w:rsidRPr="00073574" w:rsidRDefault="00F0236A" w:rsidP="00134E92">
      <w:pPr>
        <w:keepNext/>
        <w:keepLines/>
        <w:rPr>
          <w:sz w:val="24"/>
        </w:rPr>
      </w:pPr>
      <w:r w:rsidRPr="00073574">
        <w:rPr>
          <w:sz w:val="24"/>
        </w:rPr>
        <w:t>1</w:t>
      </w:r>
      <w:r w:rsidRPr="00073574">
        <w:rPr>
          <w:sz w:val="24"/>
        </w:rPr>
        <w:tab/>
        <w:t>that ITU</w:t>
      </w:r>
      <w:r w:rsidRPr="00073574">
        <w:rPr>
          <w:sz w:val="24"/>
        </w:rPr>
        <w:noBreakHyphen/>
        <w:t>T Study Group 16 shall continue giving high priority to work on the relevant Questions, Recommendation ITU</w:t>
      </w:r>
      <w:r w:rsidRPr="00073574">
        <w:rPr>
          <w:sz w:val="24"/>
        </w:rPr>
        <w:noBreakHyphen/>
        <w:t>T F.790, the guide for ITU</w:t>
      </w:r>
      <w:r w:rsidRPr="00073574">
        <w:rPr>
          <w:sz w:val="24"/>
        </w:rPr>
        <w:noBreakHyphen/>
        <w:t>T study groups on telecommunication accessibility guidelines for older persons and persons with disabilities, and Recommendation ITU</w:t>
      </w:r>
      <w:r w:rsidRPr="00073574">
        <w:rPr>
          <w:sz w:val="24"/>
        </w:rPr>
        <w:noBreakHyphen/>
        <w:t>T F.791 on accessibility terms and definitions;</w:t>
      </w:r>
    </w:p>
    <w:p w14:paraId="69916874" w14:textId="77777777" w:rsidR="00F0236A" w:rsidRPr="00073574" w:rsidRDefault="00F0236A" w:rsidP="00F0236A">
      <w:pPr>
        <w:rPr>
          <w:sz w:val="24"/>
        </w:rPr>
      </w:pPr>
      <w:r w:rsidRPr="00073574">
        <w:rPr>
          <w:sz w:val="24"/>
        </w:rPr>
        <w:t>2</w:t>
      </w:r>
      <w:r w:rsidRPr="00073574">
        <w:rPr>
          <w:sz w:val="24"/>
        </w:rPr>
        <w:tab/>
        <w:t>that ITU study groups should consider aspects of universal design in their work, including the drafting of non-discriminatory standards, service regulations and measures for all persons, including persons with disabilities and older persons, with cross-cutting user-protection actions;</w:t>
      </w:r>
    </w:p>
    <w:p w14:paraId="0A612720" w14:textId="1D12926C" w:rsidR="00F0236A" w:rsidRPr="00073574" w:rsidRDefault="00F0236A" w:rsidP="00F0236A">
      <w:pPr>
        <w:rPr>
          <w:sz w:val="24"/>
        </w:rPr>
      </w:pPr>
      <w:r w:rsidRPr="00073574">
        <w:rPr>
          <w:sz w:val="24"/>
        </w:rPr>
        <w:t>3</w:t>
      </w:r>
      <w:r w:rsidRPr="00073574">
        <w:rPr>
          <w:sz w:val="24"/>
        </w:rPr>
        <w:tab/>
        <w:t>that</w:t>
      </w:r>
      <w:r w:rsidR="009000AE" w:rsidRPr="00073574">
        <w:rPr>
          <w:sz w:val="24"/>
        </w:rPr>
        <w:t xml:space="preserve"> </w:t>
      </w:r>
      <w:r w:rsidRPr="00073574">
        <w:rPr>
          <w:sz w:val="24"/>
        </w:rPr>
        <w:t>all ITU-T study groups utilize the Telecommunications Accessibility Checklist, which makes it possible to incorporate the principles of universal design and accessibility;</w:t>
      </w:r>
    </w:p>
    <w:p w14:paraId="4C26A934" w14:textId="77777777" w:rsidR="00F0236A" w:rsidRPr="00073574" w:rsidRDefault="00F0236A" w:rsidP="00F0236A">
      <w:pPr>
        <w:rPr>
          <w:sz w:val="24"/>
        </w:rPr>
      </w:pPr>
      <w:r w:rsidRPr="00073574">
        <w:rPr>
          <w:sz w:val="24"/>
        </w:rPr>
        <w:t>4</w:t>
      </w:r>
      <w:r w:rsidRPr="00073574">
        <w:rPr>
          <w:sz w:val="24"/>
        </w:rPr>
        <w:tab/>
        <w:t>that an ITU workshop be held to inform about the progress in the work and the results achieved by the study groups in charge of ICT accessibility before the next world telecommunication standardization assembly,</w:t>
      </w:r>
    </w:p>
    <w:p w14:paraId="0235FAAC" w14:textId="77777777" w:rsidR="00F0236A" w:rsidRPr="00073574" w:rsidRDefault="00F0236A" w:rsidP="00F0236A">
      <w:pPr>
        <w:pStyle w:val="Call"/>
        <w:rPr>
          <w:sz w:val="24"/>
          <w:szCs w:val="24"/>
          <w:lang w:val="en-GB"/>
        </w:rPr>
      </w:pPr>
      <w:r w:rsidRPr="00073574">
        <w:rPr>
          <w:sz w:val="24"/>
          <w:szCs w:val="24"/>
          <w:lang w:val="en-GB"/>
        </w:rPr>
        <w:t>invites Member States and Sector Members</w:t>
      </w:r>
    </w:p>
    <w:p w14:paraId="6BDE5699" w14:textId="77777777" w:rsidR="00F0236A" w:rsidRPr="00073574" w:rsidRDefault="00F0236A" w:rsidP="00F0236A">
      <w:pPr>
        <w:rPr>
          <w:sz w:val="24"/>
        </w:rPr>
      </w:pPr>
      <w:r w:rsidRPr="00073574">
        <w:rPr>
          <w:sz w:val="24"/>
        </w:rPr>
        <w:t>1</w:t>
      </w:r>
      <w:r w:rsidRPr="00073574">
        <w:rPr>
          <w:sz w:val="24"/>
        </w:rPr>
        <w:tab/>
        <w:t>to consider developing, within their national legal frameworks, guidelines or other mechanisms to enhance the accessibility, compatibility and usability of telecommunication/ICT services, products and terminals;</w:t>
      </w:r>
    </w:p>
    <w:p w14:paraId="4BAD1BAD" w14:textId="4F78B125" w:rsidR="00F0236A" w:rsidRPr="00073574" w:rsidRDefault="00F0236A" w:rsidP="00F0236A">
      <w:pPr>
        <w:rPr>
          <w:sz w:val="24"/>
        </w:rPr>
      </w:pPr>
      <w:r w:rsidRPr="00073574">
        <w:rPr>
          <w:sz w:val="24"/>
        </w:rPr>
        <w:t>2</w:t>
      </w:r>
      <w:r w:rsidRPr="00073574">
        <w:rPr>
          <w:sz w:val="24"/>
        </w:rPr>
        <w:tab/>
        <w:t>to consider introducing services or programmes, including telecommunication relay services to enable persons with hearing and speech disabilities to utilize telecommunication services that are functionally equivalent to telecommunication services for persons without disabilities;</w:t>
      </w:r>
    </w:p>
    <w:p w14:paraId="4B0BA293" w14:textId="77777777" w:rsidR="00F0236A" w:rsidRPr="00073574" w:rsidRDefault="00F0236A" w:rsidP="00F0236A">
      <w:pPr>
        <w:rPr>
          <w:sz w:val="24"/>
        </w:rPr>
      </w:pPr>
      <w:r w:rsidRPr="00073574">
        <w:rPr>
          <w:sz w:val="24"/>
        </w:rPr>
        <w:t>3</w:t>
      </w:r>
      <w:r w:rsidRPr="00073574">
        <w:rPr>
          <w:sz w:val="24"/>
        </w:rPr>
        <w:tab/>
        <w:t>to participate actively in accessibility-related studies in ITU</w:t>
      </w:r>
      <w:r w:rsidRPr="00073574">
        <w:rPr>
          <w:sz w:val="24"/>
        </w:rPr>
        <w:noBreakHyphen/>
        <w:t>T, ITU</w:t>
      </w:r>
      <w:r w:rsidRPr="00073574">
        <w:rPr>
          <w:sz w:val="24"/>
        </w:rPr>
        <w:noBreakHyphen/>
        <w:t>R and ITU</w:t>
      </w:r>
      <w:r w:rsidRPr="00073574">
        <w:rPr>
          <w:sz w:val="24"/>
        </w:rPr>
        <w:noBreakHyphen/>
        <w:t>D, and to encourage and promote self</w:t>
      </w:r>
      <w:r w:rsidRPr="00073574">
        <w:rPr>
          <w:sz w:val="24"/>
        </w:rPr>
        <w:noBreakHyphen/>
        <w:t>representation by persons with disabilities in the standardization process so as to ensure their experiences, views and opinions are taken into account in all the work of study groups;</w:t>
      </w:r>
    </w:p>
    <w:p w14:paraId="1868BC5E" w14:textId="77777777" w:rsidR="00F0236A" w:rsidRPr="00073574" w:rsidRDefault="00F0236A" w:rsidP="00F0236A">
      <w:pPr>
        <w:rPr>
          <w:sz w:val="24"/>
        </w:rPr>
      </w:pPr>
      <w:r w:rsidRPr="00073574">
        <w:rPr>
          <w:sz w:val="24"/>
        </w:rPr>
        <w:t>4</w:t>
      </w:r>
      <w:r w:rsidRPr="00073574">
        <w:rPr>
          <w:sz w:val="24"/>
        </w:rPr>
        <w:tab/>
        <w:t>to consider designating focal points for the implementation and monitoring of this resolution;</w:t>
      </w:r>
    </w:p>
    <w:p w14:paraId="050F2942" w14:textId="249BFABC" w:rsidR="00F0236A" w:rsidRPr="00073574" w:rsidRDefault="00F0236A" w:rsidP="00F0236A">
      <w:pPr>
        <w:rPr>
          <w:sz w:val="24"/>
        </w:rPr>
      </w:pPr>
      <w:r w:rsidRPr="00073574">
        <w:rPr>
          <w:sz w:val="24"/>
        </w:rPr>
        <w:t>5</w:t>
      </w:r>
      <w:r w:rsidRPr="00073574">
        <w:rPr>
          <w:sz w:val="24"/>
        </w:rPr>
        <w:tab/>
        <w:t>to encourage the provision of differentiated and affordable service plans for persons with disabilities in order to increase the accessibility and usability of telecommun</w:t>
      </w:r>
      <w:r w:rsidR="005B6572" w:rsidRPr="00073574">
        <w:rPr>
          <w:sz w:val="24"/>
        </w:rPr>
        <w:t>ications/ICT for these persons;</w:t>
      </w:r>
    </w:p>
    <w:p w14:paraId="31AE8AEA" w14:textId="77777777" w:rsidR="00F0236A" w:rsidRPr="00073574" w:rsidRDefault="00F0236A" w:rsidP="00F0236A">
      <w:pPr>
        <w:rPr>
          <w:sz w:val="24"/>
        </w:rPr>
      </w:pPr>
      <w:r w:rsidRPr="00073574">
        <w:rPr>
          <w:sz w:val="24"/>
        </w:rPr>
        <w:t>6</w:t>
      </w:r>
      <w:r w:rsidRPr="00073574">
        <w:rPr>
          <w:sz w:val="24"/>
        </w:rPr>
        <w:tab/>
        <w:t>to encourage the development of applications for telecommunication products and terminals to increase the accessibility and usability of telecommunications/ICT for persons with visual, auditory, verbal and other physical and mental disabilities;</w:t>
      </w:r>
    </w:p>
    <w:p w14:paraId="101406DB" w14:textId="77777777" w:rsidR="00F0236A" w:rsidRPr="00073574" w:rsidRDefault="00F0236A" w:rsidP="00F0236A">
      <w:pPr>
        <w:rPr>
          <w:sz w:val="24"/>
        </w:rPr>
      </w:pPr>
      <w:r w:rsidRPr="00073574">
        <w:rPr>
          <w:sz w:val="24"/>
        </w:rPr>
        <w:t>7</w:t>
      </w:r>
      <w:r w:rsidRPr="00073574">
        <w:rPr>
          <w:sz w:val="24"/>
        </w:rPr>
        <w:tab/>
        <w:t>to encourage regional telecommunication organizations to contribute to the work and consider implementing the results achieved in the study groups and the workshop on this topic;</w:t>
      </w:r>
    </w:p>
    <w:p w14:paraId="6B57BCD9" w14:textId="77777777" w:rsidR="00F0236A" w:rsidRPr="00073574" w:rsidRDefault="00F0236A" w:rsidP="00F0236A">
      <w:pPr>
        <w:rPr>
          <w:sz w:val="24"/>
        </w:rPr>
      </w:pPr>
      <w:r w:rsidRPr="00073574">
        <w:rPr>
          <w:sz w:val="24"/>
        </w:rPr>
        <w:t>8</w:t>
      </w:r>
      <w:r w:rsidRPr="00073574">
        <w:rPr>
          <w:sz w:val="24"/>
        </w:rPr>
        <w:tab/>
        <w:t>to encourage industry to consider accessible features when designing telecommunication devices and services,</w:t>
      </w:r>
    </w:p>
    <w:p w14:paraId="1FF4C101" w14:textId="77777777" w:rsidR="00F0236A" w:rsidRPr="00073574" w:rsidRDefault="00F0236A" w:rsidP="00F0236A">
      <w:pPr>
        <w:pStyle w:val="Call"/>
        <w:rPr>
          <w:sz w:val="24"/>
          <w:szCs w:val="24"/>
          <w:lang w:val="en-GB"/>
        </w:rPr>
      </w:pPr>
      <w:r w:rsidRPr="00073574">
        <w:rPr>
          <w:sz w:val="24"/>
          <w:szCs w:val="24"/>
          <w:lang w:val="en-GB"/>
        </w:rPr>
        <w:lastRenderedPageBreak/>
        <w:t>instructs the Director of the Telecommunication Standardization Bureau</w:t>
      </w:r>
    </w:p>
    <w:p w14:paraId="0B9CF3B2" w14:textId="77777777" w:rsidR="00F0236A" w:rsidRPr="00073574" w:rsidRDefault="00F0236A" w:rsidP="00F0236A">
      <w:pPr>
        <w:rPr>
          <w:sz w:val="24"/>
        </w:rPr>
      </w:pPr>
      <w:r w:rsidRPr="00073574">
        <w:rPr>
          <w:sz w:val="24"/>
        </w:rPr>
        <w:t>1</w:t>
      </w:r>
      <w:r w:rsidRPr="00073574">
        <w:rPr>
          <w:sz w:val="24"/>
        </w:rPr>
        <w:tab/>
        <w:t>to report to the ITU Council on the implementation of this resolution;</w:t>
      </w:r>
    </w:p>
    <w:p w14:paraId="1F3DAD36" w14:textId="77777777" w:rsidR="00F0236A" w:rsidRPr="00073574" w:rsidRDefault="00F0236A" w:rsidP="00F0236A">
      <w:pPr>
        <w:rPr>
          <w:sz w:val="24"/>
        </w:rPr>
      </w:pPr>
      <w:r w:rsidRPr="00073574">
        <w:rPr>
          <w:sz w:val="24"/>
        </w:rPr>
        <w:t>2</w:t>
      </w:r>
      <w:r w:rsidRPr="00073574">
        <w:rPr>
          <w:sz w:val="24"/>
        </w:rPr>
        <w:tab/>
        <w:t>to contribute to the development of an ITU-wide internship programme for persons with disabilities who have expertise in the field of ICTs, so as to build capacity among persons with disabilities in the standards-making process and to raise awareness within ITU-T of the needs of persons with disabilities;</w:t>
      </w:r>
    </w:p>
    <w:p w14:paraId="1C2AB747" w14:textId="262F208F" w:rsidR="00F0236A" w:rsidRPr="00073574" w:rsidRDefault="00F0236A" w:rsidP="00F0236A">
      <w:pPr>
        <w:rPr>
          <w:sz w:val="24"/>
        </w:rPr>
      </w:pPr>
      <w:r w:rsidRPr="00073574">
        <w:rPr>
          <w:sz w:val="24"/>
        </w:rPr>
        <w:t>3</w:t>
      </w:r>
      <w:r w:rsidRPr="00073574">
        <w:rPr>
          <w:sz w:val="24"/>
        </w:rPr>
        <w:tab/>
        <w:t xml:space="preserve">that ITU-T employ the technical papers FSTP-AM </w:t>
      </w:r>
      <w:r w:rsidR="003C7E25" w:rsidRPr="00073574">
        <w:rPr>
          <w:sz w:val="24"/>
        </w:rPr>
        <w:t>"</w:t>
      </w:r>
      <w:r w:rsidRPr="00073574">
        <w:rPr>
          <w:sz w:val="24"/>
        </w:rPr>
        <w:t>Guidelines for accessible meetings</w:t>
      </w:r>
      <w:r w:rsidR="003C7E25" w:rsidRPr="00073574">
        <w:rPr>
          <w:sz w:val="24"/>
        </w:rPr>
        <w:t>"</w:t>
      </w:r>
      <w:r w:rsidRPr="00073574">
        <w:rPr>
          <w:sz w:val="24"/>
        </w:rPr>
        <w:t xml:space="preserve"> and FSTP-ACC-RemPart </w:t>
      </w:r>
      <w:r w:rsidR="003C7E25" w:rsidRPr="00073574">
        <w:rPr>
          <w:sz w:val="24"/>
        </w:rPr>
        <w:t>"</w:t>
      </w:r>
      <w:r w:rsidRPr="00073574">
        <w:rPr>
          <w:sz w:val="24"/>
        </w:rPr>
        <w:t>Guidelines for supporting remote participation for all</w:t>
      </w:r>
      <w:r w:rsidR="003C7E25" w:rsidRPr="00073574">
        <w:rPr>
          <w:sz w:val="24"/>
        </w:rPr>
        <w:t>"</w:t>
      </w:r>
      <w:r w:rsidRPr="00073574">
        <w:rPr>
          <w:sz w:val="24"/>
        </w:rPr>
        <w:t>, as appropriate, to make it possible for persons with disabilities to be able to attend ITU meetings and events,</w:t>
      </w:r>
    </w:p>
    <w:p w14:paraId="2DC5DD49" w14:textId="77777777" w:rsidR="00F0236A" w:rsidRPr="00073574" w:rsidRDefault="00F0236A" w:rsidP="00F0236A">
      <w:pPr>
        <w:pStyle w:val="Call"/>
        <w:rPr>
          <w:sz w:val="24"/>
          <w:szCs w:val="24"/>
          <w:lang w:val="en-GB"/>
        </w:rPr>
      </w:pPr>
      <w:r w:rsidRPr="00073574">
        <w:rPr>
          <w:sz w:val="24"/>
          <w:szCs w:val="24"/>
          <w:lang w:val="en-GB"/>
        </w:rPr>
        <w:t>invites the Director of the Telecommunication Standardization Bureau</w:t>
      </w:r>
    </w:p>
    <w:p w14:paraId="1AC6FFBB" w14:textId="77777777" w:rsidR="00F0236A" w:rsidRPr="00073574" w:rsidRDefault="00F0236A" w:rsidP="00F0236A">
      <w:pPr>
        <w:rPr>
          <w:sz w:val="24"/>
        </w:rPr>
      </w:pPr>
      <w:r w:rsidRPr="00073574">
        <w:rPr>
          <w:sz w:val="24"/>
        </w:rPr>
        <w:t>1</w:t>
      </w:r>
      <w:r w:rsidRPr="00073574">
        <w:rPr>
          <w:sz w:val="24"/>
        </w:rPr>
        <w:tab/>
        <w:t>to identify and document examples of best practice for accessibility in the field of telecommunications/ICT for dissemination among ITU Member States and Sector Members;</w:t>
      </w:r>
    </w:p>
    <w:p w14:paraId="5F4D63FA" w14:textId="77777777" w:rsidR="00F0236A" w:rsidRPr="00073574" w:rsidRDefault="00F0236A" w:rsidP="00F0236A">
      <w:pPr>
        <w:rPr>
          <w:sz w:val="24"/>
        </w:rPr>
      </w:pPr>
      <w:r w:rsidRPr="00073574">
        <w:rPr>
          <w:sz w:val="24"/>
        </w:rPr>
        <w:t>2</w:t>
      </w:r>
      <w:r w:rsidRPr="00073574">
        <w:rPr>
          <w:sz w:val="24"/>
        </w:rPr>
        <w:tab/>
        <w:t>to review the accessibility of ITU</w:t>
      </w:r>
      <w:r w:rsidRPr="00073574">
        <w:rPr>
          <w:sz w:val="24"/>
        </w:rPr>
        <w:noBreakHyphen/>
        <w:t>T services and facilities and consider making changes, where appropriate, pursuant to UNGA Resolution 61/106, on the Convention on the rights of persons with disabilities, and to report to the Council on these matters;</w:t>
      </w:r>
    </w:p>
    <w:p w14:paraId="37014CC1" w14:textId="77777777" w:rsidR="00F0236A" w:rsidRPr="00073574" w:rsidRDefault="00F0236A" w:rsidP="00F0236A">
      <w:pPr>
        <w:rPr>
          <w:sz w:val="24"/>
        </w:rPr>
      </w:pPr>
      <w:r w:rsidRPr="00073574">
        <w:rPr>
          <w:sz w:val="24"/>
        </w:rPr>
        <w:t>3</w:t>
      </w:r>
      <w:r w:rsidRPr="00073574">
        <w:rPr>
          <w:sz w:val="24"/>
        </w:rPr>
        <w:tab/>
        <w:t>to work collaboratively on accessibility-related activities with the Directors of the Radiocommunication Bureau (BR) and the Telecommunication Development Bureau (BDT), in particular concerning awareness and mainstreaming of telecommunication/ICT accessibility standards, reporting findings to the Council as appropriate;</w:t>
      </w:r>
    </w:p>
    <w:p w14:paraId="47EA6746" w14:textId="77777777" w:rsidR="00F0236A" w:rsidRPr="00073574" w:rsidRDefault="00F0236A" w:rsidP="00F0236A">
      <w:pPr>
        <w:rPr>
          <w:sz w:val="24"/>
        </w:rPr>
      </w:pPr>
      <w:r w:rsidRPr="00073574">
        <w:rPr>
          <w:sz w:val="24"/>
        </w:rPr>
        <w:t>4</w:t>
      </w:r>
      <w:r w:rsidRPr="00073574">
        <w:rPr>
          <w:sz w:val="24"/>
        </w:rPr>
        <w:tab/>
        <w:t>to work collaboratively on accessibility-related activities with ITU</w:t>
      </w:r>
      <w:r w:rsidRPr="00073574">
        <w:rPr>
          <w:sz w:val="24"/>
        </w:rPr>
        <w:noBreakHyphen/>
        <w:t>D, in particular developing programmes that enable developing countries to introduce services that allow persons with disabilities to utilize telecommunication services effectively;</w:t>
      </w:r>
    </w:p>
    <w:p w14:paraId="0688B622" w14:textId="77777777" w:rsidR="00F0236A" w:rsidRPr="00073574" w:rsidRDefault="00F0236A" w:rsidP="00F0236A">
      <w:pPr>
        <w:rPr>
          <w:sz w:val="24"/>
        </w:rPr>
      </w:pPr>
      <w:r w:rsidRPr="00073574">
        <w:rPr>
          <w:sz w:val="24"/>
        </w:rPr>
        <w:t>5</w:t>
      </w:r>
      <w:r w:rsidRPr="00073574">
        <w:rPr>
          <w:sz w:val="24"/>
        </w:rPr>
        <w:tab/>
        <w:t>to work collaboratively and cooperatively with other standardization organizations and entities, in particular, in the interest of ensuring that ongoing work in the field of accessibility is taken into account, in order to avoid duplication;</w:t>
      </w:r>
    </w:p>
    <w:p w14:paraId="45BFF7B0" w14:textId="77777777" w:rsidR="00F0236A" w:rsidRPr="00073574" w:rsidRDefault="00F0236A" w:rsidP="00F0236A">
      <w:pPr>
        <w:rPr>
          <w:sz w:val="24"/>
        </w:rPr>
      </w:pPr>
      <w:r w:rsidRPr="00073574">
        <w:rPr>
          <w:sz w:val="24"/>
        </w:rPr>
        <w:t>6</w:t>
      </w:r>
      <w:r w:rsidRPr="00073574">
        <w:rPr>
          <w:sz w:val="24"/>
        </w:rPr>
        <w:tab/>
        <w:t>to work collaboratively and cooperatively with disability organizations in all regions to ensure that the needs of the disabled community are taken into account in all standardization matters;</w:t>
      </w:r>
    </w:p>
    <w:p w14:paraId="708E03C2" w14:textId="77777777" w:rsidR="00F0236A" w:rsidRPr="00073574" w:rsidRDefault="00F0236A" w:rsidP="00F0236A">
      <w:pPr>
        <w:rPr>
          <w:sz w:val="24"/>
        </w:rPr>
      </w:pPr>
      <w:r w:rsidRPr="00073574">
        <w:rPr>
          <w:sz w:val="24"/>
        </w:rPr>
        <w:t>7</w:t>
      </w:r>
      <w:r w:rsidRPr="00073574">
        <w:rPr>
          <w:sz w:val="24"/>
        </w:rPr>
        <w:tab/>
        <w:t>to continue JCA-AHF, and any other accessibility coordination functions and advisory function within ITU</w:t>
      </w:r>
      <w:r w:rsidRPr="00073574">
        <w:rPr>
          <w:sz w:val="24"/>
        </w:rPr>
        <w:noBreakHyphen/>
        <w:t>T, in order to assist the Director of TSB in reporting the findings of the review of ITU</w:t>
      </w:r>
      <w:r w:rsidRPr="00073574">
        <w:rPr>
          <w:sz w:val="24"/>
        </w:rPr>
        <w:noBreakHyphen/>
        <w:t>T services and facilities;</w:t>
      </w:r>
    </w:p>
    <w:p w14:paraId="13332E1A" w14:textId="77777777" w:rsidR="00F0236A" w:rsidRPr="00073574" w:rsidRDefault="00F0236A" w:rsidP="00F0236A">
      <w:pPr>
        <w:rPr>
          <w:sz w:val="24"/>
        </w:rPr>
      </w:pPr>
      <w:r w:rsidRPr="00073574">
        <w:rPr>
          <w:sz w:val="24"/>
        </w:rPr>
        <w:t>9</w:t>
      </w:r>
      <w:r w:rsidRPr="00073574">
        <w:rPr>
          <w:sz w:val="24"/>
        </w:rPr>
        <w:tab/>
        <w:t>to consider using accessibility resources in the meetings organized by ITU-T in order to encourage the participation of persons with disabilities in the standardization process,</w:t>
      </w:r>
    </w:p>
    <w:p w14:paraId="2D7C6267" w14:textId="77777777" w:rsidR="00F0236A" w:rsidRPr="00073574" w:rsidRDefault="00F0236A" w:rsidP="00F0236A">
      <w:pPr>
        <w:pStyle w:val="Call"/>
        <w:rPr>
          <w:sz w:val="24"/>
          <w:szCs w:val="24"/>
          <w:lang w:val="en-GB"/>
        </w:rPr>
      </w:pPr>
      <w:r w:rsidRPr="00073574">
        <w:rPr>
          <w:sz w:val="24"/>
          <w:szCs w:val="24"/>
          <w:lang w:val="en-GB"/>
        </w:rPr>
        <w:t>instructs the Telecommunication Standardization Advisory Group</w:t>
      </w:r>
    </w:p>
    <w:p w14:paraId="17D7E3C9" w14:textId="56E67A2D" w:rsidR="00F0236A" w:rsidRPr="00073574" w:rsidRDefault="00F0236A" w:rsidP="00F0236A">
      <w:pPr>
        <w:rPr>
          <w:sz w:val="24"/>
        </w:rPr>
      </w:pPr>
      <w:r w:rsidRPr="00073574">
        <w:rPr>
          <w:sz w:val="24"/>
        </w:rPr>
        <w:t>1</w:t>
      </w:r>
      <w:r w:rsidRPr="00073574">
        <w:rPr>
          <w:sz w:val="24"/>
        </w:rPr>
        <w:tab/>
        <w:t xml:space="preserve">to revise the guide for ITU study groups – </w:t>
      </w:r>
      <w:r w:rsidR="003C7E25" w:rsidRPr="00073574">
        <w:rPr>
          <w:sz w:val="24"/>
        </w:rPr>
        <w:t>"</w:t>
      </w:r>
      <w:r w:rsidRPr="00073574">
        <w:rPr>
          <w:sz w:val="24"/>
        </w:rPr>
        <w:t>Considering end-user needs in developing Recommendations</w:t>
      </w:r>
      <w:r w:rsidR="003C7E25" w:rsidRPr="00073574">
        <w:rPr>
          <w:sz w:val="24"/>
        </w:rPr>
        <w:t>"</w:t>
      </w:r>
      <w:r w:rsidRPr="00073574">
        <w:rPr>
          <w:sz w:val="24"/>
        </w:rPr>
        <w:t>,</w:t>
      </w:r>
    </w:p>
    <w:p w14:paraId="504A4BBE" w14:textId="77777777" w:rsidR="00F0236A" w:rsidRPr="00073574" w:rsidRDefault="00F0236A" w:rsidP="00F0236A">
      <w:pPr>
        <w:spacing w:after="240"/>
        <w:rPr>
          <w:sz w:val="24"/>
        </w:rPr>
      </w:pPr>
      <w:r w:rsidRPr="00073574">
        <w:rPr>
          <w:sz w:val="24"/>
        </w:rPr>
        <w:t>2</w:t>
      </w:r>
      <w:r w:rsidRPr="00073574">
        <w:rPr>
          <w:sz w:val="24"/>
        </w:rPr>
        <w:tab/>
        <w:t>to request study groups to facilitate, in their respective work, the implementation of new software, services and proposals enabling all persons with disabilities, including persons with age-related disabilities, to effectively use telecommunication/ICT services, and relevant guidelines for end</w:t>
      </w:r>
      <w:r w:rsidRPr="00073574">
        <w:rPr>
          <w:sz w:val="24"/>
        </w:rPr>
        <w:noBreakHyphen/>
        <w:t>user needs, in order specifically to include the needs of persons with disabilities, and to update this guide on a regular basis, based on contributions from Member States and Sector Members as well as the ITU</w:t>
      </w:r>
      <w:r w:rsidRPr="00073574">
        <w:rPr>
          <w:sz w:val="24"/>
        </w:rPr>
        <w:noBreakHyphen/>
        <w:t>T study groups, as appropriate.</w:t>
      </w:r>
    </w:p>
    <w:tbl>
      <w:tblPr>
        <w:tblW w:w="98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00"/>
        <w:gridCol w:w="4909"/>
        <w:gridCol w:w="1556"/>
        <w:gridCol w:w="1131"/>
        <w:gridCol w:w="1336"/>
      </w:tblGrid>
      <w:tr w:rsidR="00F0236A" w:rsidRPr="00073574" w14:paraId="0AC1BE11" w14:textId="77777777" w:rsidTr="7277BFE4">
        <w:trPr>
          <w:tblHeader/>
          <w:jc w:val="center"/>
        </w:trPr>
        <w:tc>
          <w:tcPr>
            <w:tcW w:w="900" w:type="dxa"/>
            <w:tcBorders>
              <w:top w:val="single" w:sz="12" w:space="0" w:color="auto"/>
              <w:bottom w:val="single" w:sz="12" w:space="0" w:color="auto"/>
            </w:tcBorders>
            <w:shd w:val="clear" w:color="auto" w:fill="auto"/>
            <w:vAlign w:val="center"/>
          </w:tcPr>
          <w:p w14:paraId="4D489AEE" w14:textId="77777777" w:rsidR="00F0236A" w:rsidRPr="00073574" w:rsidRDefault="00F0236A" w:rsidP="005B61B0">
            <w:pPr>
              <w:pStyle w:val="Tablehead"/>
              <w:keepLines/>
              <w:rPr>
                <w:sz w:val="24"/>
                <w:szCs w:val="24"/>
              </w:rPr>
            </w:pPr>
            <w:bookmarkStart w:id="354" w:name="OLE_LINK1"/>
            <w:bookmarkStart w:id="355" w:name="OLE_LINK2"/>
            <w:r w:rsidRPr="00073574">
              <w:rPr>
                <w:sz w:val="24"/>
                <w:szCs w:val="24"/>
              </w:rPr>
              <w:lastRenderedPageBreak/>
              <w:t>Action Item</w:t>
            </w:r>
          </w:p>
        </w:tc>
        <w:tc>
          <w:tcPr>
            <w:tcW w:w="4909" w:type="dxa"/>
            <w:tcBorders>
              <w:top w:val="single" w:sz="12" w:space="0" w:color="auto"/>
              <w:bottom w:val="single" w:sz="12" w:space="0" w:color="auto"/>
            </w:tcBorders>
            <w:shd w:val="clear" w:color="auto" w:fill="auto"/>
            <w:vAlign w:val="center"/>
            <w:hideMark/>
          </w:tcPr>
          <w:p w14:paraId="756C6D4E" w14:textId="77777777" w:rsidR="00F0236A" w:rsidRPr="00073574" w:rsidRDefault="00F0236A" w:rsidP="005B61B0">
            <w:pPr>
              <w:pStyle w:val="Tablehead"/>
              <w:keepLines/>
              <w:rPr>
                <w:sz w:val="24"/>
                <w:szCs w:val="24"/>
              </w:rPr>
            </w:pPr>
            <w:r w:rsidRPr="00073574">
              <w:rPr>
                <w:sz w:val="24"/>
                <w:szCs w:val="24"/>
              </w:rPr>
              <w:t>Action</w:t>
            </w:r>
          </w:p>
        </w:tc>
        <w:tc>
          <w:tcPr>
            <w:tcW w:w="1556" w:type="dxa"/>
            <w:tcBorders>
              <w:top w:val="single" w:sz="12" w:space="0" w:color="auto"/>
              <w:bottom w:val="single" w:sz="12" w:space="0" w:color="auto"/>
            </w:tcBorders>
            <w:shd w:val="clear" w:color="auto" w:fill="auto"/>
            <w:vAlign w:val="center"/>
            <w:hideMark/>
          </w:tcPr>
          <w:p w14:paraId="5BAA492A" w14:textId="77777777" w:rsidR="00F0236A" w:rsidRPr="00073574" w:rsidRDefault="00F0236A" w:rsidP="00DF36E1">
            <w:pPr>
              <w:pStyle w:val="Tablehead"/>
              <w:rPr>
                <w:sz w:val="24"/>
                <w:szCs w:val="24"/>
              </w:rPr>
            </w:pPr>
            <w:r w:rsidRPr="00073574">
              <w:rPr>
                <w:sz w:val="24"/>
                <w:szCs w:val="24"/>
              </w:rPr>
              <w:t>Milestone</w:t>
            </w:r>
          </w:p>
        </w:tc>
        <w:tc>
          <w:tcPr>
            <w:tcW w:w="1131" w:type="dxa"/>
            <w:tcBorders>
              <w:top w:val="single" w:sz="12" w:space="0" w:color="auto"/>
              <w:bottom w:val="single" w:sz="12" w:space="0" w:color="auto"/>
            </w:tcBorders>
            <w:shd w:val="clear" w:color="auto" w:fill="auto"/>
          </w:tcPr>
          <w:p w14:paraId="2EC5A59A" w14:textId="77777777" w:rsidR="00F0236A" w:rsidRPr="00073574" w:rsidRDefault="00F0236A" w:rsidP="00DF36E1">
            <w:pPr>
              <w:pStyle w:val="Tablehead"/>
              <w:rPr>
                <w:sz w:val="24"/>
                <w:szCs w:val="24"/>
              </w:rPr>
            </w:pPr>
            <w:r w:rsidRPr="00073574">
              <w:rPr>
                <w:sz w:val="24"/>
                <w:szCs w:val="24"/>
              </w:rPr>
              <w:t>Periodic goals met</w:t>
            </w:r>
          </w:p>
        </w:tc>
        <w:tc>
          <w:tcPr>
            <w:tcW w:w="1336" w:type="dxa"/>
            <w:tcBorders>
              <w:top w:val="single" w:sz="12" w:space="0" w:color="auto"/>
              <w:bottom w:val="single" w:sz="12" w:space="0" w:color="auto"/>
            </w:tcBorders>
            <w:shd w:val="clear" w:color="auto" w:fill="auto"/>
            <w:vAlign w:val="center"/>
          </w:tcPr>
          <w:p w14:paraId="6F6EDA83" w14:textId="77777777" w:rsidR="00F0236A" w:rsidRPr="00073574" w:rsidRDefault="00F0236A" w:rsidP="00DF36E1">
            <w:pPr>
              <w:pStyle w:val="Tablehead"/>
              <w:rPr>
                <w:sz w:val="24"/>
                <w:szCs w:val="24"/>
              </w:rPr>
            </w:pPr>
            <w:r w:rsidRPr="00073574">
              <w:rPr>
                <w:sz w:val="24"/>
                <w:szCs w:val="24"/>
              </w:rPr>
              <w:t>Completed</w:t>
            </w:r>
          </w:p>
        </w:tc>
      </w:tr>
      <w:tr w:rsidR="00F0236A" w:rsidRPr="00073574" w14:paraId="4A77A713" w14:textId="77777777" w:rsidTr="7277BFE4">
        <w:trPr>
          <w:jc w:val="center"/>
        </w:trPr>
        <w:tc>
          <w:tcPr>
            <w:tcW w:w="900" w:type="dxa"/>
            <w:vMerge w:val="restart"/>
            <w:tcBorders>
              <w:top w:val="single" w:sz="12" w:space="0" w:color="auto"/>
            </w:tcBorders>
            <w:shd w:val="clear" w:color="auto" w:fill="auto"/>
          </w:tcPr>
          <w:p w14:paraId="45A549FF" w14:textId="77777777" w:rsidR="00F0236A" w:rsidRPr="00073574" w:rsidRDefault="00F0236A" w:rsidP="005B61B0">
            <w:pPr>
              <w:pStyle w:val="Tabletext"/>
              <w:keepNext/>
              <w:keepLines/>
              <w:rPr>
                <w:b/>
                <w:bCs/>
                <w:sz w:val="24"/>
                <w:szCs w:val="24"/>
              </w:rPr>
            </w:pPr>
            <w:r w:rsidRPr="00073574">
              <w:rPr>
                <w:b/>
                <w:bCs/>
                <w:sz w:val="24"/>
                <w:szCs w:val="24"/>
              </w:rPr>
              <w:t>70-01</w:t>
            </w:r>
          </w:p>
        </w:tc>
        <w:tc>
          <w:tcPr>
            <w:tcW w:w="4909" w:type="dxa"/>
            <w:tcBorders>
              <w:top w:val="single" w:sz="12" w:space="0" w:color="auto"/>
              <w:bottom w:val="single" w:sz="2" w:space="0" w:color="auto"/>
            </w:tcBorders>
            <w:shd w:val="clear" w:color="auto" w:fill="auto"/>
          </w:tcPr>
          <w:p w14:paraId="7114A1D6" w14:textId="77777777" w:rsidR="00F0236A" w:rsidRPr="00073574" w:rsidRDefault="00F0236A" w:rsidP="005B61B0">
            <w:pPr>
              <w:pStyle w:val="Tabletext"/>
              <w:keepNext/>
              <w:keepLines/>
              <w:rPr>
                <w:b/>
                <w:bCs/>
                <w:sz w:val="24"/>
                <w:szCs w:val="24"/>
              </w:rPr>
            </w:pPr>
            <w:r w:rsidRPr="00073574">
              <w:rPr>
                <w:b/>
                <w:bCs/>
                <w:sz w:val="24"/>
                <w:szCs w:val="24"/>
              </w:rPr>
              <w:t>SG16 to continue work on accessibility with high priority. (resolves 1)</w:t>
            </w:r>
          </w:p>
        </w:tc>
        <w:tc>
          <w:tcPr>
            <w:tcW w:w="1556" w:type="dxa"/>
            <w:tcBorders>
              <w:top w:val="single" w:sz="12" w:space="0" w:color="auto"/>
              <w:bottom w:val="single" w:sz="2" w:space="0" w:color="auto"/>
            </w:tcBorders>
            <w:shd w:val="clear" w:color="auto" w:fill="auto"/>
            <w:vAlign w:val="center"/>
          </w:tcPr>
          <w:p w14:paraId="3F9185A7"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31" w:type="dxa"/>
            <w:tcBorders>
              <w:top w:val="single" w:sz="12" w:space="0" w:color="auto"/>
              <w:bottom w:val="single" w:sz="2" w:space="0" w:color="auto"/>
            </w:tcBorders>
            <w:shd w:val="clear" w:color="auto" w:fill="auto"/>
            <w:vAlign w:val="center"/>
          </w:tcPr>
          <w:p w14:paraId="4CC13BB2"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bottom w:val="single" w:sz="2" w:space="0" w:color="auto"/>
            </w:tcBorders>
            <w:shd w:val="clear" w:color="auto" w:fill="auto"/>
            <w:vAlign w:val="center"/>
          </w:tcPr>
          <w:p w14:paraId="2C1C0850" w14:textId="77777777" w:rsidR="00F0236A" w:rsidRPr="00073574" w:rsidRDefault="00F0236A" w:rsidP="00DF36E1">
            <w:pPr>
              <w:pStyle w:val="Tabletext"/>
              <w:jc w:val="center"/>
              <w:rPr>
                <w:b/>
                <w:bCs/>
                <w:sz w:val="24"/>
                <w:szCs w:val="24"/>
              </w:rPr>
            </w:pPr>
          </w:p>
        </w:tc>
      </w:tr>
      <w:tr w:rsidR="00F0236A" w:rsidRPr="00073574" w14:paraId="567D72D1" w14:textId="77777777" w:rsidTr="7277BFE4">
        <w:trPr>
          <w:jc w:val="center"/>
        </w:trPr>
        <w:tc>
          <w:tcPr>
            <w:tcW w:w="900" w:type="dxa"/>
            <w:vMerge/>
          </w:tcPr>
          <w:p w14:paraId="6B515EB7" w14:textId="77777777" w:rsidR="00F0236A" w:rsidRPr="00073574" w:rsidRDefault="00F0236A" w:rsidP="00DF36E1">
            <w:pPr>
              <w:pStyle w:val="Tabletext"/>
              <w:rPr>
                <w:sz w:val="24"/>
                <w:szCs w:val="24"/>
              </w:rPr>
            </w:pPr>
          </w:p>
        </w:tc>
        <w:tc>
          <w:tcPr>
            <w:tcW w:w="8932" w:type="dxa"/>
            <w:gridSpan w:val="4"/>
            <w:tcBorders>
              <w:top w:val="single" w:sz="2" w:space="0" w:color="auto"/>
              <w:bottom w:val="single" w:sz="12" w:space="0" w:color="auto"/>
            </w:tcBorders>
            <w:shd w:val="clear" w:color="auto" w:fill="auto"/>
          </w:tcPr>
          <w:p w14:paraId="1CEF8743" w14:textId="685A0251" w:rsidR="00332610" w:rsidRPr="00073574" w:rsidRDefault="72033092" w:rsidP="4DCAE4D5">
            <w:pPr>
              <w:spacing w:before="40"/>
            </w:pPr>
            <w:r w:rsidRPr="00073574">
              <w:t xml:space="preserve">Work on human factors and accessibility advanced in SG16 </w:t>
            </w:r>
            <w:r w:rsidR="696A040B" w:rsidRPr="00073574">
              <w:t xml:space="preserve">at </w:t>
            </w:r>
            <w:hyperlink r:id="rId485">
              <w:r w:rsidRPr="00073574">
                <w:rPr>
                  <w:rStyle w:val="Hyperlink"/>
                </w:rPr>
                <w:t>Q24</w:t>
              </w:r>
            </w:hyperlink>
            <w:r w:rsidR="696A040B" w:rsidRPr="00073574">
              <w:rPr>
                <w:rStyle w:val="Hyperlink"/>
              </w:rPr>
              <w:t>/16 (</w:t>
            </w:r>
            <w:r w:rsidR="696A040B" w:rsidRPr="00073574">
              <w:t xml:space="preserve">Human factors related issues for improvement of the quality of life through international telecommunications, continuation of ITU-T Q4/2) </w:t>
            </w:r>
            <w:r w:rsidRPr="00073574">
              <w:t>and</w:t>
            </w:r>
            <w:r w:rsidR="696A040B" w:rsidRPr="00073574">
              <w:t xml:space="preserve"> at</w:t>
            </w:r>
            <w:r w:rsidRPr="00073574">
              <w:t xml:space="preserve"> </w:t>
            </w:r>
            <w:hyperlink r:id="rId486">
              <w:r w:rsidRPr="00073574">
                <w:rPr>
                  <w:rStyle w:val="Hyperlink"/>
                </w:rPr>
                <w:t>Q2</w:t>
              </w:r>
              <w:r w:rsidR="696A040B" w:rsidRPr="00073574">
                <w:rPr>
                  <w:rStyle w:val="Hyperlink"/>
                </w:rPr>
                <w:t>6/16</w:t>
              </w:r>
            </w:hyperlink>
            <w:r w:rsidR="696A040B" w:rsidRPr="00073574">
              <w:t xml:space="preserve"> (</w:t>
            </w:r>
            <w:r w:rsidR="696A040B" w:rsidRPr="00073574">
              <w:rPr>
                <w:rFonts w:cstheme="majorBidi"/>
              </w:rPr>
              <w:t>Accessibility to multimedia systems and services</w:t>
            </w:r>
            <w:r w:rsidRPr="00073574">
              <w:t xml:space="preserve">). Recently approved work includes </w:t>
            </w:r>
            <w:hyperlink r:id="rId487">
              <w:r w:rsidRPr="00073574">
                <w:rPr>
                  <w:rStyle w:val="Hyperlink"/>
                </w:rPr>
                <w:t>ITU-T F.930</w:t>
              </w:r>
            </w:hyperlink>
            <w:r w:rsidRPr="00073574">
              <w:t xml:space="preserve"> (03/2018) - Multimedia telecommunication relay services. Completed updating work includes </w:t>
            </w:r>
            <w:hyperlink r:id="rId488">
              <w:r w:rsidRPr="00073574">
                <w:rPr>
                  <w:rStyle w:val="Hyperlink"/>
                </w:rPr>
                <w:t>ITU-T F.791</w:t>
              </w:r>
            </w:hyperlink>
            <w:r w:rsidRPr="00073574">
              <w:t xml:space="preserve"> (08/2018) - Accessibility terms and definitions, </w:t>
            </w:r>
            <w:hyperlink r:id="rId489">
              <w:r w:rsidRPr="00073574">
                <w:rPr>
                  <w:rStyle w:val="Hyperlink"/>
                </w:rPr>
                <w:t>ITU-T F.921</w:t>
              </w:r>
            </w:hyperlink>
            <w:r w:rsidRPr="00073574">
              <w:t xml:space="preserve"> (08/2018) - Audio-based indoor and outdoor network navigation system for </w:t>
            </w:r>
            <w:r w:rsidR="4BE6013C" w:rsidRPr="00073574">
              <w:t>persons with vision impairment</w:t>
            </w:r>
            <w:r w:rsidR="2248B3CB" w:rsidRPr="00073574">
              <w:t xml:space="preserve">, and </w:t>
            </w:r>
            <w:hyperlink r:id="rId490">
              <w:r w:rsidR="2248B3CB" w:rsidRPr="00073574">
                <w:rPr>
                  <w:rStyle w:val="Hyperlink"/>
                </w:rPr>
                <w:t>ITU-T H.871</w:t>
              </w:r>
            </w:hyperlink>
            <w:r w:rsidR="2248B3CB" w:rsidRPr="00073574">
              <w:t xml:space="preserve"> (07/2019) - Safe listening guidelines for personal sound amplifiers</w:t>
            </w:r>
            <w:r w:rsidR="4BE6013C" w:rsidRPr="00073574">
              <w:t>.</w:t>
            </w:r>
            <w:r w:rsidR="7749DDFF" w:rsidRPr="00073574">
              <w:t xml:space="preserve"> Q26/16 has prepared and updates </w:t>
            </w:r>
            <w:r w:rsidR="007E2BF9" w:rsidRPr="00073574">
              <w:t xml:space="preserve">of </w:t>
            </w:r>
            <w:r w:rsidR="7749DDFF" w:rsidRPr="00073574">
              <w:t xml:space="preserve">various Technical Papers that provide importance guidance on accessibility, </w:t>
            </w:r>
            <w:r w:rsidR="0EAA686B" w:rsidRPr="00073574">
              <w:t xml:space="preserve">see </w:t>
            </w:r>
            <w:hyperlink r:id="rId491" w:history="1">
              <w:r w:rsidR="0EAA686B" w:rsidRPr="00073574">
                <w:rPr>
                  <w:rStyle w:val="Hyperlink"/>
                  <w:rFonts w:eastAsia="Times New Roman"/>
                  <w:szCs w:val="22"/>
                </w:rPr>
                <w:t>https://itu.int/pub/T-TUT-FSTP</w:t>
              </w:r>
            </w:hyperlink>
            <w:r w:rsidR="0EAA686B" w:rsidRPr="00073574">
              <w:rPr>
                <w:rStyle w:val="Hyperlink"/>
                <w:rFonts w:eastAsia="Times New Roman"/>
                <w:szCs w:val="22"/>
              </w:rPr>
              <w:t>.</w:t>
            </w:r>
            <w:r w:rsidR="7749DDFF" w:rsidRPr="00073574">
              <w:t xml:space="preserve"> </w:t>
            </w:r>
          </w:p>
          <w:p w14:paraId="6B41CDB4" w14:textId="1221F589" w:rsidR="00F0236A" w:rsidRPr="00073574" w:rsidRDefault="14396AE3" w:rsidP="00B45B40">
            <w:pPr>
              <w:rPr>
                <w:sz w:val="20"/>
              </w:rPr>
            </w:pPr>
            <w:r w:rsidRPr="00073574">
              <w:t xml:space="preserve">Following discussions started at the IRG-AVA, the SG16 accessibility experts have supported the idea for stronger collaboration with ISO/IEC JTC1 SC35 "User Interfaces" and held a joint information session on 12 February 2018; further, </w:t>
            </w:r>
            <w:r w:rsidR="704FDB4D" w:rsidRPr="00073574">
              <w:t xml:space="preserve">four </w:t>
            </w:r>
            <w:r w:rsidRPr="00073574">
              <w:t>of the work items</w:t>
            </w:r>
            <w:r w:rsidR="72033092" w:rsidRPr="00073574">
              <w:t xml:space="preserve"> </w:t>
            </w:r>
            <w:r w:rsidRPr="00073574">
              <w:t xml:space="preserve">are studied at Q26/16, </w:t>
            </w:r>
            <w:hyperlink r:id="rId492">
              <w:r w:rsidR="72033092" w:rsidRPr="00073574">
                <w:rPr>
                  <w:rStyle w:val="Hyperlink"/>
                </w:rPr>
                <w:t>H.ACC-GAD</w:t>
              </w:r>
            </w:hyperlink>
            <w:r w:rsidR="72033092" w:rsidRPr="00073574">
              <w:t xml:space="preserve">; </w:t>
            </w:r>
            <w:hyperlink r:id="rId493">
              <w:r w:rsidR="72033092" w:rsidRPr="00073574">
                <w:rPr>
                  <w:rStyle w:val="Hyperlink"/>
                </w:rPr>
                <w:t>H.ACC-GAP</w:t>
              </w:r>
            </w:hyperlink>
            <w:r w:rsidR="72033092" w:rsidRPr="00073574">
              <w:t xml:space="preserve">; </w:t>
            </w:r>
            <w:hyperlink r:id="rId494">
              <w:r w:rsidR="72033092" w:rsidRPr="00073574">
                <w:rPr>
                  <w:rStyle w:val="Hyperlink"/>
                </w:rPr>
                <w:t>H.ACC-GVP</w:t>
              </w:r>
            </w:hyperlink>
            <w:r w:rsidR="72033092" w:rsidRPr="00073574">
              <w:rPr>
                <w:rFonts w:eastAsia="Times New Roman"/>
                <w:color w:val="2B579A"/>
                <w:szCs w:val="22"/>
                <w:shd w:val="clear" w:color="auto" w:fill="E6E6E6"/>
              </w:rPr>
              <w:t xml:space="preserve">, </w:t>
            </w:r>
            <w:r w:rsidR="23724292" w:rsidRPr="00073574">
              <w:rPr>
                <w:rStyle w:val="Hyperlink"/>
                <w:rFonts w:eastAsia="Times New Roman"/>
                <w:color w:val="000066"/>
                <w:szCs w:val="22"/>
              </w:rPr>
              <w:t>F.ACC-AVSL,</w:t>
            </w:r>
            <w:r w:rsidR="00402801">
              <w:t xml:space="preserve"> dr</w:t>
            </w:r>
            <w:r w:rsidR="72033092" w:rsidRPr="00073574">
              <w:t>aft twin texts with ISO/IEC 20071 series on audio descriptions; audio presentation of text; visual presentation of audio information</w:t>
            </w:r>
            <w:r w:rsidR="6A55CE79" w:rsidRPr="00073574">
              <w:t>; presentation of sign language</w:t>
            </w:r>
            <w:r w:rsidR="72033092" w:rsidRPr="00073574">
              <w:t>.</w:t>
            </w:r>
            <w:r w:rsidR="0D470D57" w:rsidRPr="00073574">
              <w:t xml:space="preserve"> It has also transposed ISO/IEC 20071-11 as twin text in </w:t>
            </w:r>
            <w:r w:rsidR="007E2BF9" w:rsidRPr="00073574">
              <w:t xml:space="preserve">ITU-T </w:t>
            </w:r>
            <w:r w:rsidR="0D470D57" w:rsidRPr="00073574">
              <w:t>T.701.11 on alternative text presentation for images.</w:t>
            </w:r>
          </w:p>
        </w:tc>
      </w:tr>
      <w:tr w:rsidR="00F0236A" w:rsidRPr="00073574" w14:paraId="3631965F" w14:textId="77777777" w:rsidTr="7277BFE4">
        <w:trPr>
          <w:jc w:val="center"/>
        </w:trPr>
        <w:tc>
          <w:tcPr>
            <w:tcW w:w="900" w:type="dxa"/>
            <w:vMerge w:val="restart"/>
            <w:tcBorders>
              <w:top w:val="single" w:sz="12" w:space="0" w:color="auto"/>
            </w:tcBorders>
            <w:shd w:val="clear" w:color="auto" w:fill="auto"/>
          </w:tcPr>
          <w:p w14:paraId="25AAA2A8" w14:textId="77777777" w:rsidR="00F0236A" w:rsidRPr="00073574" w:rsidRDefault="00F0236A" w:rsidP="009C43D6">
            <w:pPr>
              <w:pStyle w:val="Tabletext"/>
              <w:rPr>
                <w:b/>
                <w:bCs/>
                <w:sz w:val="24"/>
                <w:szCs w:val="24"/>
              </w:rPr>
            </w:pPr>
            <w:r w:rsidRPr="00073574">
              <w:rPr>
                <w:b/>
                <w:bCs/>
                <w:sz w:val="24"/>
                <w:szCs w:val="24"/>
              </w:rPr>
              <w:t>70-02</w:t>
            </w:r>
          </w:p>
        </w:tc>
        <w:tc>
          <w:tcPr>
            <w:tcW w:w="4909" w:type="dxa"/>
            <w:tcBorders>
              <w:top w:val="single" w:sz="12" w:space="0" w:color="auto"/>
            </w:tcBorders>
            <w:shd w:val="clear" w:color="auto" w:fill="auto"/>
          </w:tcPr>
          <w:p w14:paraId="1E2EBBA2" w14:textId="485DC0C8" w:rsidR="00F0236A" w:rsidRPr="00073574" w:rsidRDefault="00F0236A" w:rsidP="009C43D6">
            <w:pPr>
              <w:pStyle w:val="Tabletext"/>
              <w:rPr>
                <w:b/>
                <w:bCs/>
                <w:sz w:val="24"/>
                <w:szCs w:val="24"/>
              </w:rPr>
            </w:pPr>
            <w:r w:rsidRPr="00073574">
              <w:rPr>
                <w:b/>
                <w:bCs/>
                <w:sz w:val="24"/>
                <w:szCs w:val="24"/>
              </w:rPr>
              <w:t>TSB to hold an ITU workshop on progress and achievement of ITU-T SGs on ICT accessibility before WTSA-20 (resolves 4)</w:t>
            </w:r>
          </w:p>
        </w:tc>
        <w:tc>
          <w:tcPr>
            <w:tcW w:w="1556" w:type="dxa"/>
            <w:tcBorders>
              <w:top w:val="single" w:sz="12" w:space="0" w:color="auto"/>
            </w:tcBorders>
            <w:shd w:val="clear" w:color="auto" w:fill="auto"/>
            <w:vAlign w:val="center"/>
          </w:tcPr>
          <w:p w14:paraId="01E0FCF6" w14:textId="77777777" w:rsidR="00F0236A" w:rsidRPr="00073574" w:rsidRDefault="00F0236A" w:rsidP="009C43D6">
            <w:pPr>
              <w:pStyle w:val="Tabletext"/>
              <w:jc w:val="center"/>
              <w:rPr>
                <w:b/>
                <w:bCs/>
                <w:sz w:val="24"/>
                <w:szCs w:val="24"/>
              </w:rPr>
            </w:pPr>
            <w:r w:rsidRPr="00073574">
              <w:rPr>
                <w:b/>
                <w:bCs/>
                <w:sz w:val="24"/>
                <w:szCs w:val="24"/>
              </w:rPr>
              <w:t>Before WTSA-20</w:t>
            </w:r>
          </w:p>
        </w:tc>
        <w:tc>
          <w:tcPr>
            <w:tcW w:w="1131" w:type="dxa"/>
            <w:tcBorders>
              <w:top w:val="single" w:sz="12" w:space="0" w:color="auto"/>
            </w:tcBorders>
            <w:shd w:val="clear" w:color="auto" w:fill="auto"/>
            <w:vAlign w:val="center"/>
          </w:tcPr>
          <w:p w14:paraId="2F552B4E" w14:textId="77777777" w:rsidR="00F0236A" w:rsidRPr="00073574" w:rsidRDefault="00F0236A" w:rsidP="009C43D6">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716B232E" w14:textId="77777777" w:rsidR="00F0236A" w:rsidRPr="00073574" w:rsidRDefault="00F0236A" w:rsidP="009C43D6">
            <w:pPr>
              <w:pStyle w:val="Tabletext"/>
              <w:jc w:val="center"/>
              <w:rPr>
                <w:b/>
                <w:bCs/>
                <w:sz w:val="24"/>
                <w:szCs w:val="24"/>
              </w:rPr>
            </w:pPr>
          </w:p>
        </w:tc>
      </w:tr>
      <w:tr w:rsidR="00F0236A" w:rsidRPr="00073574" w14:paraId="1B09520F" w14:textId="77777777" w:rsidTr="7277BFE4">
        <w:trPr>
          <w:jc w:val="center"/>
        </w:trPr>
        <w:tc>
          <w:tcPr>
            <w:tcW w:w="900" w:type="dxa"/>
            <w:vMerge/>
          </w:tcPr>
          <w:p w14:paraId="27627B54" w14:textId="77777777" w:rsidR="00F0236A" w:rsidRPr="00073574" w:rsidRDefault="00F0236A" w:rsidP="009C43D6">
            <w:pPr>
              <w:pStyle w:val="Tabletext"/>
              <w:rPr>
                <w:sz w:val="24"/>
                <w:szCs w:val="24"/>
              </w:rPr>
            </w:pPr>
          </w:p>
        </w:tc>
        <w:tc>
          <w:tcPr>
            <w:tcW w:w="8932" w:type="dxa"/>
            <w:gridSpan w:val="4"/>
            <w:tcBorders>
              <w:bottom w:val="single" w:sz="12" w:space="0" w:color="auto"/>
            </w:tcBorders>
            <w:shd w:val="clear" w:color="auto" w:fill="auto"/>
          </w:tcPr>
          <w:p w14:paraId="76FDA504" w14:textId="167125C9" w:rsidR="00E915DE" w:rsidRPr="00073574" w:rsidRDefault="00E915DE" w:rsidP="001E63F9">
            <w:pPr>
              <w:spacing w:before="40"/>
            </w:pPr>
            <w:r w:rsidRPr="00073574">
              <w:rPr>
                <w:rFonts w:asciiTheme="majorBidi" w:hAnsiTheme="majorBidi" w:cstheme="majorBidi"/>
              </w:rPr>
              <w:t xml:space="preserve">ITU-T organized a workshop together with G3ict on </w:t>
            </w:r>
            <w:hyperlink r:id="rId495" w:anchor="intro" w:history="1">
              <w:r w:rsidRPr="00073574">
                <w:rPr>
                  <w:rStyle w:val="Hyperlink"/>
                  <w:rFonts w:asciiTheme="majorBidi" w:hAnsiTheme="majorBidi" w:cstheme="majorBidi"/>
                </w:rPr>
                <w:t>Inclusive ICTs for Disaster and Emergency Preparedness for Persons with Disabilities and those with specific needs</w:t>
              </w:r>
            </w:hyperlink>
            <w:r w:rsidRPr="00073574">
              <w:rPr>
                <w:rFonts w:asciiTheme="majorBidi" w:hAnsiTheme="majorBidi" w:cstheme="majorBidi"/>
              </w:rPr>
              <w:t>, 12 June 2017 during WSIS Forum 2017. The workshop highlighted the urgent needs of ICT accessibility in emergency situations, to save the lives of those persons (two to four times more likely to get injured or die in case of a disaster), which can be improved by implementing ICT accessibility standards including ITU-T's.</w:t>
            </w:r>
          </w:p>
          <w:p w14:paraId="17A6BB7A" w14:textId="220D658D" w:rsidR="00332610" w:rsidRPr="00073574" w:rsidRDefault="00332610" w:rsidP="009C43D6">
            <w:r w:rsidRPr="00073574">
              <w:t>ITU-T organized a workshop on “</w:t>
            </w:r>
            <w:hyperlink r:id="rId496" w:anchor="intro" w:history="1">
              <w:r w:rsidRPr="00073574">
                <w:rPr>
                  <w:rStyle w:val="Hyperlink"/>
                </w:rPr>
                <w:t>Achieving an inclusive society by designing and implementing accessible ICTs</w:t>
              </w:r>
            </w:hyperlink>
            <w:r w:rsidRPr="00073574">
              <w:t xml:space="preserve">” 22 March at </w:t>
            </w:r>
            <w:hyperlink r:id="rId497" w:anchor="intro" w:history="1">
              <w:r w:rsidRPr="00073574">
                <w:rPr>
                  <w:rStyle w:val="Hyperlink"/>
                </w:rPr>
                <w:t>WSIS Forum 2018</w:t>
              </w:r>
            </w:hyperlink>
            <w:r w:rsidRPr="00073574">
              <w:t xml:space="preserve">. This workshop addressed and promoted ITU-T accessibility standards, including </w:t>
            </w:r>
            <w:hyperlink r:id="rId498" w:history="1">
              <w:r w:rsidRPr="00073574">
                <w:rPr>
                  <w:rStyle w:val="Hyperlink"/>
                </w:rPr>
                <w:t>ITU-T F.921</w:t>
              </w:r>
            </w:hyperlink>
            <w:r w:rsidRPr="00073574">
              <w:t xml:space="preserve">, </w:t>
            </w:r>
            <w:hyperlink r:id="rId499" w:history="1">
              <w:r w:rsidRPr="00073574">
                <w:rPr>
                  <w:rStyle w:val="Hyperlink"/>
                </w:rPr>
                <w:t>ITU-T F.930</w:t>
              </w:r>
            </w:hyperlink>
            <w:r w:rsidRPr="00073574">
              <w:t xml:space="preserve"> and </w:t>
            </w:r>
            <w:hyperlink r:id="rId500" w:history="1">
              <w:r w:rsidRPr="00073574">
                <w:rPr>
                  <w:rStyle w:val="Hyperlink"/>
                </w:rPr>
                <w:t>ITU-T H.702</w:t>
              </w:r>
            </w:hyperlink>
            <w:r w:rsidRPr="00073574">
              <w:t>. During this workshop, the first trial within ITU of remote American Sign Language (ASL) Interpretation was successfully conducted with the ASL interpreters being based in Florida USA and received at ITU headquarters. Remote SL interpretation is not expected to replace onsite SL interpreters but it can fill a gap in cases of an emergency and where it is not possible to get an onsite SL interpreter in a specific language at any given time. (For example, in the WSIS-18 event, it was not possible to hire any ASL interpreters in Europe to be available onsite.)</w:t>
            </w:r>
          </w:p>
          <w:p w14:paraId="112AAEA5" w14:textId="77777777" w:rsidR="00F0236A" w:rsidRPr="00073574" w:rsidRDefault="00332610" w:rsidP="009C43D6">
            <w:r w:rsidRPr="00073574">
              <w:t>For the ITU-EC Forum “</w:t>
            </w:r>
            <w:hyperlink r:id="rId501" w:history="1">
              <w:r w:rsidRPr="00073574">
                <w:rPr>
                  <w:rStyle w:val="Hyperlink"/>
                </w:rPr>
                <w:t>Accessible Europe: ICT for ALL</w:t>
              </w:r>
            </w:hyperlink>
            <w:r w:rsidRPr="00073574">
              <w:t>” Vienna, Austria, from 12 to 14 December 2018, ITU-T in collaboration with ITU Regional Office for Europe organizes a session focusing on telecom relay services.</w:t>
            </w:r>
          </w:p>
          <w:p w14:paraId="59B3F079" w14:textId="39B7CCE5" w:rsidR="00774051" w:rsidRPr="00073574" w:rsidRDefault="00774051" w:rsidP="009C43D6">
            <w:pPr>
              <w:rPr>
                <w:rFonts w:asciiTheme="majorBidi" w:hAnsiTheme="majorBidi" w:cstheme="majorBidi"/>
              </w:rPr>
            </w:pPr>
            <w:r w:rsidRPr="00073574">
              <w:rPr>
                <w:rFonts w:asciiTheme="majorBidi" w:hAnsiTheme="majorBidi" w:cstheme="majorBidi"/>
              </w:rPr>
              <w:t xml:space="preserve">SG16 and ITU Regional Office for Europe jointly organized a workshop on </w:t>
            </w:r>
            <w:hyperlink r:id="rId502" w:history="1">
              <w:r w:rsidRPr="00073574">
                <w:rPr>
                  <w:rStyle w:val="Hyperlink"/>
                  <w:rFonts w:asciiTheme="majorBidi" w:hAnsiTheme="majorBidi" w:cstheme="majorBidi"/>
                </w:rPr>
                <w:t>Enhancing Human Life Using e-Services</w:t>
              </w:r>
            </w:hyperlink>
            <w:r w:rsidRPr="00073574">
              <w:rPr>
                <w:rFonts w:asciiTheme="majorBidi" w:hAnsiTheme="majorBidi" w:cstheme="majorBidi"/>
              </w:rPr>
              <w:t xml:space="preserve"> on 25 March 2019 collocated with SG16 meeting, and accessibility was focused in the afternoon sessions.</w:t>
            </w:r>
          </w:p>
          <w:p w14:paraId="2C4377D3" w14:textId="44AFE421" w:rsidR="00774051" w:rsidRPr="00073574" w:rsidRDefault="00774051" w:rsidP="44050B21">
            <w:pPr>
              <w:spacing w:after="40"/>
              <w:rPr>
                <w:rFonts w:eastAsia="Times New Roman"/>
                <w:szCs w:val="22"/>
              </w:rPr>
            </w:pPr>
            <w:r w:rsidRPr="00073574">
              <w:rPr>
                <w:rFonts w:asciiTheme="majorBidi" w:hAnsiTheme="majorBidi" w:cstheme="majorBidi"/>
              </w:rPr>
              <w:t xml:space="preserve">ITU-T organized two workshop sessions at the ICT Accessibility Day of WSIS Forum 2019, 8 April 2019, on </w:t>
            </w:r>
            <w:hyperlink r:id="rId503" w:anchor="intro">
              <w:r w:rsidRPr="00073574">
                <w:rPr>
                  <w:rStyle w:val="Hyperlink"/>
                  <w:rFonts w:asciiTheme="majorBidi" w:hAnsiTheme="majorBidi" w:cstheme="majorBidi"/>
                </w:rPr>
                <w:t>Accessibility for Emerging Technologies</w:t>
              </w:r>
            </w:hyperlink>
            <w:r w:rsidRPr="00073574">
              <w:rPr>
                <w:rFonts w:asciiTheme="majorBidi" w:hAnsiTheme="majorBidi" w:cstheme="majorBidi"/>
              </w:rPr>
              <w:t xml:space="preserve">; and on </w:t>
            </w:r>
            <w:hyperlink r:id="rId504" w:anchor="intro">
              <w:r w:rsidRPr="00073574">
                <w:rPr>
                  <w:rStyle w:val="Hyperlink"/>
                  <w:rFonts w:asciiTheme="majorBidi" w:hAnsiTheme="majorBidi" w:cstheme="majorBidi"/>
                </w:rPr>
                <w:t>Telecom Relay Services</w:t>
              </w:r>
            </w:hyperlink>
            <w:r w:rsidRPr="00073574">
              <w:rPr>
                <w:rFonts w:asciiTheme="majorBidi" w:hAnsiTheme="majorBidi" w:cstheme="majorBidi"/>
              </w:rPr>
              <w:t>. International Sign (IS) interpretation was provided.</w:t>
            </w:r>
          </w:p>
          <w:p w14:paraId="553A07B2" w14:textId="4BB7A8C9" w:rsidR="00774051" w:rsidRPr="00073574" w:rsidRDefault="4BE4438F" w:rsidP="44050B21">
            <w:pPr>
              <w:spacing w:after="40"/>
              <w:rPr>
                <w:rFonts w:eastAsia="Times New Roman"/>
                <w:szCs w:val="22"/>
              </w:rPr>
            </w:pPr>
            <w:r w:rsidRPr="00073574">
              <w:rPr>
                <w:rFonts w:eastAsia="Times New Roman"/>
                <w:szCs w:val="22"/>
              </w:rPr>
              <w:t>ITU-T participated in the following ITU events:</w:t>
            </w:r>
          </w:p>
          <w:p w14:paraId="655AF081" w14:textId="2A2F229D" w:rsidR="00774051" w:rsidRPr="00073574" w:rsidRDefault="0053741E" w:rsidP="002E241A">
            <w:pPr>
              <w:pStyle w:val="ListParagraph"/>
              <w:numPr>
                <w:ilvl w:val="0"/>
                <w:numId w:val="74"/>
              </w:numPr>
              <w:spacing w:after="40"/>
              <w:rPr>
                <w:rStyle w:val="Hyperlink"/>
              </w:rPr>
            </w:pPr>
            <w:hyperlink r:id="rId505">
              <w:r w:rsidR="4BE4438F" w:rsidRPr="00073574">
                <w:rPr>
                  <w:rStyle w:val="Hyperlink"/>
                  <w:rFonts w:eastAsia="Times New Roman"/>
                </w:rPr>
                <w:t>Accessible Americas 2019</w:t>
              </w:r>
            </w:hyperlink>
            <w:r w:rsidR="4BE4438F" w:rsidRPr="00073574">
              <w:rPr>
                <w:rStyle w:val="Hyperlink"/>
              </w:rPr>
              <w:t xml:space="preserve"> (Quito, 20-22 November 2019)</w:t>
            </w:r>
          </w:p>
          <w:p w14:paraId="093D50D0" w14:textId="629732EA" w:rsidR="00774051" w:rsidRPr="00073574" w:rsidRDefault="0053741E" w:rsidP="002E241A">
            <w:pPr>
              <w:pStyle w:val="ListParagraph"/>
              <w:numPr>
                <w:ilvl w:val="0"/>
                <w:numId w:val="74"/>
              </w:numPr>
              <w:spacing w:after="40"/>
              <w:rPr>
                <w:rFonts w:eastAsia="Times New Roman"/>
                <w:color w:val="0000FF"/>
              </w:rPr>
            </w:pPr>
            <w:hyperlink r:id="rId506">
              <w:r w:rsidR="4BE4438F" w:rsidRPr="00073574">
                <w:rPr>
                  <w:rStyle w:val="Hyperlink"/>
                  <w:rFonts w:eastAsia="Times New Roman"/>
                </w:rPr>
                <w:t>Accessible Europe 2019</w:t>
              </w:r>
            </w:hyperlink>
            <w:r w:rsidR="4BE4438F" w:rsidRPr="00073574">
              <w:rPr>
                <w:rFonts w:eastAsia="Times New Roman"/>
              </w:rPr>
              <w:t xml:space="preserve"> (Malta, 4-6 December 2019)</w:t>
            </w:r>
            <w:r w:rsidR="003013C0" w:rsidRPr="00073574">
              <w:rPr>
                <w:rFonts w:eastAsia="Times New Roman"/>
              </w:rPr>
              <w:t>.</w:t>
            </w:r>
          </w:p>
          <w:p w14:paraId="24F885D3" w14:textId="4EFE73FF" w:rsidR="00774051" w:rsidRPr="00073574" w:rsidRDefault="2CB1B556" w:rsidP="00363D4C">
            <w:pPr>
              <w:spacing w:after="40" w:line="257" w:lineRule="auto"/>
              <w:rPr>
                <w:rFonts w:eastAsia="Calibri"/>
                <w:szCs w:val="22"/>
              </w:rPr>
            </w:pPr>
            <w:r w:rsidRPr="00073574">
              <w:rPr>
                <w:rFonts w:eastAsia="Calibri"/>
                <w:szCs w:val="22"/>
              </w:rPr>
              <w:t>Webinar sessions on accessibility were organized during WSIS Forum 2020:</w:t>
            </w:r>
          </w:p>
          <w:p w14:paraId="6C2296C6" w14:textId="5C6A9644" w:rsidR="00774051" w:rsidRPr="00073574" w:rsidRDefault="0053741E" w:rsidP="00431795">
            <w:pPr>
              <w:pStyle w:val="ListParagraph"/>
              <w:numPr>
                <w:ilvl w:val="0"/>
                <w:numId w:val="74"/>
              </w:numPr>
              <w:spacing w:after="60"/>
              <w:ind w:left="714" w:hanging="357"/>
              <w:contextualSpacing w:val="0"/>
              <w:rPr>
                <w:rFonts w:eastAsia="Times New Roman"/>
                <w:color w:val="0000FF"/>
              </w:rPr>
            </w:pPr>
            <w:hyperlink r:id="rId507">
              <w:r w:rsidR="2CB1B556" w:rsidRPr="00073574">
                <w:rPr>
                  <w:rStyle w:val="Hyperlink"/>
                  <w:rFonts w:eastAsia="Times New Roman"/>
                </w:rPr>
                <w:t>Make Listening Safe and create the world where nobody's hearing is put in danger due to unsafe listening</w:t>
              </w:r>
            </w:hyperlink>
            <w:r w:rsidR="2CB1B556" w:rsidRPr="00073574">
              <w:rPr>
                <w:rFonts w:eastAsia="Times New Roman"/>
              </w:rPr>
              <w:t xml:space="preserve"> by ITU-T and WHO on 13 July 2020</w:t>
            </w:r>
            <w:r w:rsidR="00363D4C" w:rsidRPr="00073574">
              <w:rPr>
                <w:rFonts w:eastAsia="Times New Roman"/>
              </w:rPr>
              <w:t>.</w:t>
            </w:r>
          </w:p>
          <w:p w14:paraId="066C0897" w14:textId="2B2D9F49" w:rsidR="00774051" w:rsidRPr="00073574" w:rsidRDefault="0053741E" w:rsidP="00431795">
            <w:pPr>
              <w:pStyle w:val="ListParagraph"/>
              <w:numPr>
                <w:ilvl w:val="0"/>
                <w:numId w:val="74"/>
              </w:numPr>
              <w:spacing w:after="60"/>
              <w:ind w:left="714" w:hanging="357"/>
              <w:contextualSpacing w:val="0"/>
              <w:rPr>
                <w:rFonts w:eastAsia="Times New Roman"/>
                <w:color w:val="3789BD"/>
              </w:rPr>
            </w:pPr>
            <w:hyperlink r:id="rId508">
              <w:r w:rsidR="2CB1B556" w:rsidRPr="00073574">
                <w:rPr>
                  <w:rStyle w:val="Hyperlink"/>
                  <w:rFonts w:eastAsia="Times New Roman"/>
                  <w:color w:val="3789BD"/>
                </w:rPr>
                <w:t>How to engage the whole audience:</w:t>
              </w:r>
              <w:r w:rsidR="00757169" w:rsidRPr="00073574">
                <w:rPr>
                  <w:rStyle w:val="Hyperlink"/>
                  <w:rFonts w:eastAsia="Times New Roman"/>
                  <w:color w:val="3789BD"/>
                </w:rPr>
                <w:t xml:space="preserve"> </w:t>
              </w:r>
              <w:r w:rsidR="2CB1B556" w:rsidRPr="00073574">
                <w:rPr>
                  <w:rStyle w:val="Hyperlink"/>
                  <w:rFonts w:eastAsia="Times New Roman"/>
                  <w:color w:val="3789BD"/>
                </w:rPr>
                <w:t>Innovation in media accessibility</w:t>
              </w:r>
            </w:hyperlink>
            <w:r w:rsidR="2CB1B556" w:rsidRPr="00073574">
              <w:rPr>
                <w:rFonts w:eastAsia="Times New Roman"/>
              </w:rPr>
              <w:t xml:space="preserve"> by IRG-AVA on 15 July 2020</w:t>
            </w:r>
            <w:r w:rsidR="00363D4C" w:rsidRPr="00073574">
              <w:rPr>
                <w:rFonts w:eastAsia="Times New Roman"/>
              </w:rPr>
              <w:t>.</w:t>
            </w:r>
          </w:p>
          <w:p w14:paraId="2348F27F" w14:textId="3D174359" w:rsidR="00774051" w:rsidRPr="00073574" w:rsidRDefault="0053741E" w:rsidP="00431795">
            <w:pPr>
              <w:pStyle w:val="ListParagraph"/>
              <w:numPr>
                <w:ilvl w:val="0"/>
                <w:numId w:val="74"/>
              </w:numPr>
              <w:spacing w:after="60"/>
              <w:ind w:left="714" w:hanging="357"/>
              <w:contextualSpacing w:val="0"/>
              <w:rPr>
                <w:rFonts w:eastAsia="Times New Roman"/>
                <w:color w:val="3789BD"/>
              </w:rPr>
            </w:pPr>
            <w:hyperlink r:id="rId509">
              <w:r w:rsidR="2CB1B556" w:rsidRPr="00073574">
                <w:rPr>
                  <w:rStyle w:val="Hyperlink"/>
                  <w:rFonts w:eastAsia="Times New Roman"/>
                  <w:color w:val="3789BD"/>
                </w:rPr>
                <w:t xml:space="preserve">ICTs and Accessibility: Leaving Nobody Behind in the age of Smart Cities and Advances in Technology </w:t>
              </w:r>
            </w:hyperlink>
            <w:r w:rsidR="2CB1B556" w:rsidRPr="00073574">
              <w:rPr>
                <w:rFonts w:eastAsia="Times New Roman"/>
              </w:rPr>
              <w:t>by JCA-AHF on 17 July 2020</w:t>
            </w:r>
            <w:r w:rsidR="00363D4C" w:rsidRPr="00073574">
              <w:rPr>
                <w:rFonts w:eastAsia="Times New Roman"/>
              </w:rPr>
              <w:t>.</w:t>
            </w:r>
          </w:p>
          <w:p w14:paraId="407F8D9D" w14:textId="065820B7" w:rsidR="00C13B40" w:rsidRPr="00073574" w:rsidRDefault="0053741E" w:rsidP="00431795">
            <w:pPr>
              <w:pStyle w:val="ListParagraph"/>
              <w:numPr>
                <w:ilvl w:val="0"/>
                <w:numId w:val="74"/>
              </w:numPr>
              <w:spacing w:after="60"/>
              <w:ind w:left="714" w:hanging="357"/>
              <w:contextualSpacing w:val="0"/>
              <w:rPr>
                <w:rFonts w:eastAsia="Times New Roman"/>
              </w:rPr>
            </w:pPr>
            <w:hyperlink r:id="rId510" w:history="1">
              <w:r w:rsidR="00C13B40" w:rsidRPr="00073574">
                <w:rPr>
                  <w:rStyle w:val="Hyperlink"/>
                  <w:rFonts w:eastAsia="Times New Roman"/>
                </w:rPr>
                <w:t>Accessible media should not need to be a Right - it should be a Given</w:t>
              </w:r>
            </w:hyperlink>
            <w:r w:rsidR="00C13B40" w:rsidRPr="00073574">
              <w:rPr>
                <w:rFonts w:eastAsia="Times New Roman"/>
                <w:color w:val="3789BD"/>
              </w:rPr>
              <w:t xml:space="preserve"> </w:t>
            </w:r>
            <w:r w:rsidR="00C13B40" w:rsidRPr="00073574">
              <w:rPr>
                <w:rFonts w:eastAsia="Times New Roman"/>
              </w:rPr>
              <w:t>by IRG-AVA on 13 April 2021.</w:t>
            </w:r>
          </w:p>
          <w:p w14:paraId="0821FD91" w14:textId="50680424" w:rsidR="00774051" w:rsidRPr="00073574" w:rsidRDefault="0053741E" w:rsidP="00431795">
            <w:pPr>
              <w:pStyle w:val="ListParagraph"/>
              <w:numPr>
                <w:ilvl w:val="0"/>
                <w:numId w:val="74"/>
              </w:numPr>
              <w:spacing w:after="60"/>
              <w:ind w:left="714" w:hanging="357"/>
              <w:contextualSpacing w:val="0"/>
              <w:rPr>
                <w:rFonts w:eastAsia="Times New Roman"/>
                <w:color w:val="3789BD"/>
              </w:rPr>
            </w:pPr>
            <w:hyperlink r:id="rId511" w:history="1">
              <w:r w:rsidR="00A43766" w:rsidRPr="00073574">
                <w:rPr>
                  <w:rStyle w:val="Hyperlink"/>
                  <w:rFonts w:eastAsia="Times New Roman"/>
                </w:rPr>
                <w:t>Accessible ICT during the Covid-19 Pandemic</w:t>
              </w:r>
            </w:hyperlink>
            <w:r w:rsidR="00A43766" w:rsidRPr="00073574">
              <w:rPr>
                <w:rFonts w:eastAsia="Times New Roman"/>
                <w:color w:val="3789BD"/>
              </w:rPr>
              <w:t xml:space="preserve"> </w:t>
            </w:r>
            <w:r w:rsidR="00A43766" w:rsidRPr="00073574">
              <w:rPr>
                <w:rFonts w:eastAsia="Times New Roman"/>
              </w:rPr>
              <w:t>by JCA-AHF on 4 May 2021.</w:t>
            </w:r>
          </w:p>
        </w:tc>
      </w:tr>
      <w:tr w:rsidR="00F0236A" w:rsidRPr="00073574" w14:paraId="104F106D" w14:textId="77777777" w:rsidTr="7277BFE4">
        <w:trPr>
          <w:cantSplit/>
          <w:jc w:val="center"/>
        </w:trPr>
        <w:tc>
          <w:tcPr>
            <w:tcW w:w="900" w:type="dxa"/>
            <w:vMerge w:val="restart"/>
            <w:tcBorders>
              <w:top w:val="single" w:sz="12" w:space="0" w:color="auto"/>
            </w:tcBorders>
            <w:shd w:val="clear" w:color="auto" w:fill="auto"/>
          </w:tcPr>
          <w:p w14:paraId="4F9DCDA2" w14:textId="77777777" w:rsidR="00F0236A" w:rsidRPr="00073574" w:rsidRDefault="00F0236A" w:rsidP="00DF36E1">
            <w:pPr>
              <w:pStyle w:val="Tabletext"/>
              <w:rPr>
                <w:b/>
                <w:bCs/>
                <w:sz w:val="24"/>
                <w:szCs w:val="24"/>
              </w:rPr>
            </w:pPr>
            <w:r w:rsidRPr="00073574">
              <w:rPr>
                <w:b/>
                <w:bCs/>
                <w:sz w:val="24"/>
                <w:szCs w:val="24"/>
              </w:rPr>
              <w:lastRenderedPageBreak/>
              <w:t>70-03</w:t>
            </w:r>
          </w:p>
        </w:tc>
        <w:tc>
          <w:tcPr>
            <w:tcW w:w="4909" w:type="dxa"/>
            <w:tcBorders>
              <w:top w:val="single" w:sz="12" w:space="0" w:color="auto"/>
            </w:tcBorders>
            <w:shd w:val="clear" w:color="auto" w:fill="auto"/>
          </w:tcPr>
          <w:p w14:paraId="73E6A4ED" w14:textId="77777777" w:rsidR="00F0236A" w:rsidRPr="00073574" w:rsidRDefault="00F0236A" w:rsidP="00DF36E1">
            <w:pPr>
              <w:pStyle w:val="Tabletext"/>
              <w:rPr>
                <w:b/>
                <w:bCs/>
                <w:sz w:val="24"/>
                <w:szCs w:val="24"/>
              </w:rPr>
            </w:pPr>
            <w:r w:rsidRPr="00073574">
              <w:rPr>
                <w:b/>
                <w:bCs/>
                <w:sz w:val="24"/>
                <w:szCs w:val="24"/>
              </w:rPr>
              <w:t>TSB Director to report to Council (i. TSBDir 1)</w:t>
            </w:r>
          </w:p>
        </w:tc>
        <w:tc>
          <w:tcPr>
            <w:tcW w:w="1556" w:type="dxa"/>
            <w:tcBorders>
              <w:top w:val="single" w:sz="12" w:space="0" w:color="auto"/>
            </w:tcBorders>
            <w:shd w:val="clear" w:color="auto" w:fill="auto"/>
            <w:vAlign w:val="center"/>
          </w:tcPr>
          <w:p w14:paraId="72521992" w14:textId="6D2DAC06" w:rsidR="00F0236A" w:rsidRPr="00073574" w:rsidRDefault="00F0236A" w:rsidP="001E7199">
            <w:pPr>
              <w:pStyle w:val="Tabletext"/>
              <w:jc w:val="center"/>
              <w:rPr>
                <w:b/>
                <w:bCs/>
                <w:sz w:val="24"/>
                <w:szCs w:val="24"/>
              </w:rPr>
            </w:pPr>
            <w:r w:rsidRPr="00073574">
              <w:rPr>
                <w:b/>
                <w:bCs/>
                <w:sz w:val="24"/>
                <w:szCs w:val="24"/>
              </w:rPr>
              <w:t>Council 20</w:t>
            </w:r>
            <w:r w:rsidR="001E7199" w:rsidRPr="00073574">
              <w:rPr>
                <w:b/>
                <w:bCs/>
                <w:sz w:val="24"/>
                <w:szCs w:val="24"/>
              </w:rPr>
              <w:t>2</w:t>
            </w:r>
            <w:r w:rsidR="00AD100B" w:rsidRPr="00073574">
              <w:rPr>
                <w:b/>
                <w:bCs/>
                <w:sz w:val="24"/>
                <w:szCs w:val="24"/>
              </w:rPr>
              <w:t>1</w:t>
            </w:r>
          </w:p>
        </w:tc>
        <w:tc>
          <w:tcPr>
            <w:tcW w:w="1131" w:type="dxa"/>
            <w:tcBorders>
              <w:top w:val="single" w:sz="12" w:space="0" w:color="auto"/>
            </w:tcBorders>
            <w:shd w:val="clear" w:color="auto" w:fill="auto"/>
            <w:vAlign w:val="center"/>
          </w:tcPr>
          <w:p w14:paraId="52ABF172" w14:textId="76E552CC" w:rsidR="00F0236A" w:rsidRPr="00073574" w:rsidRDefault="006A151A"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295A828C" w14:textId="77777777" w:rsidR="00F0236A" w:rsidRPr="00073574" w:rsidRDefault="00F0236A" w:rsidP="00DF36E1">
            <w:pPr>
              <w:pStyle w:val="Tabletext"/>
              <w:jc w:val="center"/>
              <w:rPr>
                <w:b/>
                <w:bCs/>
                <w:sz w:val="24"/>
                <w:szCs w:val="24"/>
              </w:rPr>
            </w:pPr>
          </w:p>
        </w:tc>
      </w:tr>
      <w:tr w:rsidR="00F0236A" w:rsidRPr="00073574" w14:paraId="389891C3" w14:textId="77777777" w:rsidTr="7277BFE4">
        <w:trPr>
          <w:cantSplit/>
          <w:jc w:val="center"/>
        </w:trPr>
        <w:tc>
          <w:tcPr>
            <w:tcW w:w="900" w:type="dxa"/>
            <w:vMerge/>
          </w:tcPr>
          <w:p w14:paraId="4435D7BA" w14:textId="77777777" w:rsidR="00F0236A" w:rsidRPr="00073574" w:rsidRDefault="00F0236A" w:rsidP="00DF36E1">
            <w:pPr>
              <w:pStyle w:val="Tabletext"/>
              <w:rPr>
                <w:sz w:val="24"/>
                <w:szCs w:val="24"/>
              </w:rPr>
            </w:pPr>
          </w:p>
        </w:tc>
        <w:tc>
          <w:tcPr>
            <w:tcW w:w="8932" w:type="dxa"/>
            <w:gridSpan w:val="4"/>
            <w:tcBorders>
              <w:bottom w:val="single" w:sz="12" w:space="0" w:color="auto"/>
            </w:tcBorders>
            <w:shd w:val="clear" w:color="auto" w:fill="auto"/>
          </w:tcPr>
          <w:p w14:paraId="60A1C1E6" w14:textId="66E415F0" w:rsidR="00F0236A" w:rsidRPr="00073574" w:rsidRDefault="00F0236A" w:rsidP="00460710">
            <w:pPr>
              <w:pStyle w:val="Tabletext"/>
              <w:rPr>
                <w:szCs w:val="22"/>
              </w:rPr>
            </w:pPr>
            <w:r w:rsidRPr="00073574">
              <w:rPr>
                <w:szCs w:val="22"/>
              </w:rPr>
              <w:t xml:space="preserve">See </w:t>
            </w:r>
            <w:hyperlink r:id="rId512" w:history="1">
              <w:r w:rsidR="006A151A" w:rsidRPr="00073574">
                <w:rPr>
                  <w:rStyle w:val="Hyperlink"/>
                  <w:szCs w:val="22"/>
                </w:rPr>
                <w:t>C18/5</w:t>
              </w:r>
              <w:r w:rsidR="00460710" w:rsidRPr="00073574">
                <w:rPr>
                  <w:rStyle w:val="Hyperlink"/>
                  <w:szCs w:val="22"/>
                </w:rPr>
                <w:t>4</w:t>
              </w:r>
            </w:hyperlink>
            <w:r w:rsidRPr="00073574">
              <w:rPr>
                <w:szCs w:val="22"/>
              </w:rPr>
              <w:t>.</w:t>
            </w:r>
          </w:p>
        </w:tc>
      </w:tr>
      <w:tr w:rsidR="00F0236A" w:rsidRPr="00073574" w14:paraId="51232903" w14:textId="77777777" w:rsidTr="7277BFE4">
        <w:trPr>
          <w:cantSplit/>
          <w:jc w:val="center"/>
        </w:trPr>
        <w:tc>
          <w:tcPr>
            <w:tcW w:w="900" w:type="dxa"/>
            <w:vMerge w:val="restart"/>
            <w:tcBorders>
              <w:top w:val="single" w:sz="12" w:space="0" w:color="auto"/>
            </w:tcBorders>
            <w:shd w:val="clear" w:color="auto" w:fill="auto"/>
          </w:tcPr>
          <w:p w14:paraId="501CAD52" w14:textId="77777777" w:rsidR="00F0236A" w:rsidRPr="00073574" w:rsidRDefault="00F0236A" w:rsidP="00366A6E">
            <w:pPr>
              <w:pStyle w:val="Tabletext"/>
              <w:keepNext/>
              <w:keepLines/>
              <w:rPr>
                <w:b/>
                <w:bCs/>
                <w:sz w:val="24"/>
                <w:szCs w:val="24"/>
              </w:rPr>
            </w:pPr>
            <w:r w:rsidRPr="00073574">
              <w:rPr>
                <w:b/>
                <w:bCs/>
                <w:sz w:val="24"/>
                <w:szCs w:val="24"/>
              </w:rPr>
              <w:t>70-04</w:t>
            </w:r>
          </w:p>
        </w:tc>
        <w:tc>
          <w:tcPr>
            <w:tcW w:w="4909" w:type="dxa"/>
            <w:tcBorders>
              <w:top w:val="single" w:sz="12" w:space="0" w:color="auto"/>
            </w:tcBorders>
            <w:shd w:val="clear" w:color="auto" w:fill="auto"/>
            <w:hideMark/>
          </w:tcPr>
          <w:p w14:paraId="77320791" w14:textId="77777777" w:rsidR="00F0236A" w:rsidRPr="00073574" w:rsidRDefault="00F0236A" w:rsidP="00DF36E1">
            <w:pPr>
              <w:pStyle w:val="Tabletext"/>
              <w:rPr>
                <w:b/>
                <w:bCs/>
                <w:sz w:val="24"/>
                <w:szCs w:val="24"/>
              </w:rPr>
            </w:pPr>
            <w:r w:rsidRPr="00073574">
              <w:rPr>
                <w:b/>
                <w:bCs/>
                <w:sz w:val="24"/>
                <w:szCs w:val="24"/>
              </w:rPr>
              <w:t>TSB to identify, document and disseminate best practices for telecommunication/ICT accessibility among ITU membership. (i. TSBDir 1)</w:t>
            </w:r>
          </w:p>
        </w:tc>
        <w:tc>
          <w:tcPr>
            <w:tcW w:w="1556" w:type="dxa"/>
            <w:tcBorders>
              <w:top w:val="single" w:sz="12" w:space="0" w:color="auto"/>
            </w:tcBorders>
            <w:shd w:val="clear" w:color="auto" w:fill="auto"/>
            <w:vAlign w:val="center"/>
            <w:hideMark/>
          </w:tcPr>
          <w:p w14:paraId="55592B47"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31" w:type="dxa"/>
            <w:tcBorders>
              <w:top w:val="single" w:sz="12" w:space="0" w:color="auto"/>
            </w:tcBorders>
            <w:shd w:val="clear" w:color="auto" w:fill="auto"/>
            <w:vAlign w:val="center"/>
          </w:tcPr>
          <w:p w14:paraId="58DE2852"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5DBDB059" w14:textId="77777777" w:rsidR="00F0236A" w:rsidRPr="00073574" w:rsidRDefault="00F0236A" w:rsidP="00DF36E1">
            <w:pPr>
              <w:pStyle w:val="Tabletext"/>
              <w:jc w:val="center"/>
              <w:rPr>
                <w:b/>
                <w:bCs/>
                <w:sz w:val="24"/>
                <w:szCs w:val="24"/>
              </w:rPr>
            </w:pPr>
          </w:p>
        </w:tc>
      </w:tr>
      <w:tr w:rsidR="00F0236A" w:rsidRPr="00073574" w14:paraId="49968C29" w14:textId="77777777" w:rsidTr="7277BFE4">
        <w:trPr>
          <w:cantSplit/>
          <w:jc w:val="center"/>
        </w:trPr>
        <w:tc>
          <w:tcPr>
            <w:tcW w:w="900" w:type="dxa"/>
            <w:vMerge/>
          </w:tcPr>
          <w:p w14:paraId="4CE93A65" w14:textId="77777777" w:rsidR="00F0236A" w:rsidRPr="00073574" w:rsidRDefault="00F0236A" w:rsidP="00DF36E1">
            <w:pPr>
              <w:pStyle w:val="Tabletext"/>
              <w:rPr>
                <w:sz w:val="24"/>
                <w:szCs w:val="24"/>
              </w:rPr>
            </w:pPr>
          </w:p>
        </w:tc>
        <w:tc>
          <w:tcPr>
            <w:tcW w:w="8932" w:type="dxa"/>
            <w:gridSpan w:val="4"/>
            <w:tcBorders>
              <w:bottom w:val="single" w:sz="12" w:space="0" w:color="auto"/>
            </w:tcBorders>
            <w:shd w:val="clear" w:color="auto" w:fill="auto"/>
          </w:tcPr>
          <w:p w14:paraId="2A721A85" w14:textId="77777777" w:rsidR="00F0236A" w:rsidRPr="00073574" w:rsidRDefault="00F0236A" w:rsidP="001E63F9">
            <w:pPr>
              <w:spacing w:before="40"/>
              <w:rPr>
                <w:szCs w:val="22"/>
              </w:rPr>
            </w:pPr>
            <w:r w:rsidRPr="00073574">
              <w:rPr>
                <w:szCs w:val="22"/>
              </w:rPr>
              <w:t>TSB contributes to the activity of the Union in the field of Accessibility to ICTs, working in close cooperation with the ITU focal points on accessibility.</w:t>
            </w:r>
          </w:p>
          <w:p w14:paraId="6C2DDC71" w14:textId="2FABCEE7" w:rsidR="00F0236A" w:rsidRPr="00073574" w:rsidRDefault="00F0236A" w:rsidP="44050B21">
            <w:pPr>
              <w:pStyle w:val="Tabletext"/>
              <w:spacing w:before="120"/>
              <w:rPr>
                <w:sz w:val="24"/>
                <w:szCs w:val="24"/>
              </w:rPr>
            </w:pPr>
            <w:r w:rsidRPr="00073574">
              <w:rPr>
                <w:rFonts w:eastAsiaTheme="minorEastAsia"/>
                <w:lang w:eastAsia="ja-JP"/>
              </w:rPr>
              <w:t>ITU-T SG16 progressed accessibilities studies</w:t>
            </w:r>
            <w:r w:rsidR="003C7E25" w:rsidRPr="00073574">
              <w:rPr>
                <w:rFonts w:eastAsiaTheme="minorEastAsia"/>
                <w:lang w:eastAsia="ja-JP"/>
              </w:rPr>
              <w:t xml:space="preserve">. </w:t>
            </w:r>
            <w:r w:rsidR="00332610" w:rsidRPr="00073574">
              <w:rPr>
                <w:rFonts w:eastAsiaTheme="minorEastAsia"/>
                <w:lang w:eastAsia="ja-JP"/>
              </w:rPr>
              <w:t>See 70-01 for recent work.</w:t>
            </w:r>
          </w:p>
          <w:p w14:paraId="664514A7" w14:textId="382D5648" w:rsidR="00F0236A" w:rsidRPr="00073574" w:rsidRDefault="2F29D6DF" w:rsidP="00587A0B">
            <w:pPr>
              <w:pStyle w:val="Tabletext"/>
              <w:spacing w:before="120"/>
            </w:pPr>
            <w:r w:rsidRPr="00073574">
              <w:t>The ITU-T Joint Coordination Activity on Accessibility and Human Factors (</w:t>
            </w:r>
            <w:hyperlink r:id="rId513" w:history="1">
              <w:r w:rsidRPr="00073574">
                <w:t>JCA-AHF</w:t>
              </w:r>
            </w:hyperlink>
            <w:r w:rsidRPr="00073574">
              <w:t>) disseminates accessibility informatio</w:t>
            </w:r>
            <w:r w:rsidR="232EDA0C" w:rsidRPr="00073574">
              <w:t>n to ITU membership and other organizations.</w:t>
            </w:r>
          </w:p>
          <w:p w14:paraId="76703462" w14:textId="3E53D269" w:rsidR="00F0236A" w:rsidRPr="00073574" w:rsidRDefault="232EDA0C" w:rsidP="00450BB7">
            <w:pPr>
              <w:pStyle w:val="Tabletext"/>
              <w:spacing w:before="120"/>
              <w:rPr>
                <w:szCs w:val="22"/>
              </w:rPr>
            </w:pPr>
            <w:r w:rsidRPr="00073574">
              <w:rPr>
                <w:szCs w:val="22"/>
              </w:rPr>
              <w:t xml:space="preserve">The </w:t>
            </w:r>
            <w:r w:rsidRPr="00073574">
              <w:rPr>
                <w:color w:val="000000" w:themeColor="text1"/>
                <w:szCs w:val="22"/>
              </w:rPr>
              <w:t>Intersector Rapporteur Group Audiovisual Media Accessibility</w:t>
            </w:r>
            <w:r w:rsidRPr="00073574">
              <w:rPr>
                <w:szCs w:val="22"/>
              </w:rPr>
              <w:t xml:space="preserve"> (</w:t>
            </w:r>
            <w:r w:rsidRPr="00073574">
              <w:rPr>
                <w:rStyle w:val="Hyperlink"/>
                <w:szCs w:val="22"/>
              </w:rPr>
              <w:t>IRG-AVA</w:t>
            </w:r>
            <w:r w:rsidRPr="00073574">
              <w:rPr>
                <w:szCs w:val="22"/>
              </w:rPr>
              <w:t xml:space="preserve">) discusses and shares </w:t>
            </w:r>
            <w:r w:rsidR="7A94A64E" w:rsidRPr="00073574">
              <w:rPr>
                <w:szCs w:val="22"/>
              </w:rPr>
              <w:t xml:space="preserve">information on </w:t>
            </w:r>
            <w:r w:rsidRPr="00073574">
              <w:rPr>
                <w:szCs w:val="22"/>
              </w:rPr>
              <w:t>good practices for audio</w:t>
            </w:r>
            <w:r w:rsidR="54B003C6" w:rsidRPr="00073574">
              <w:rPr>
                <w:szCs w:val="22"/>
              </w:rPr>
              <w:t>visual media accessibility among ITU membership.</w:t>
            </w:r>
          </w:p>
        </w:tc>
      </w:tr>
      <w:tr w:rsidR="00F0236A" w:rsidRPr="00073574" w14:paraId="63C6A184" w14:textId="77777777" w:rsidTr="7277BFE4">
        <w:trPr>
          <w:cantSplit/>
          <w:jc w:val="center"/>
        </w:trPr>
        <w:tc>
          <w:tcPr>
            <w:tcW w:w="900" w:type="dxa"/>
            <w:vMerge w:val="restart"/>
            <w:tcBorders>
              <w:top w:val="single" w:sz="12" w:space="0" w:color="auto"/>
            </w:tcBorders>
            <w:shd w:val="clear" w:color="auto" w:fill="auto"/>
          </w:tcPr>
          <w:p w14:paraId="2F8BE4C6" w14:textId="77777777" w:rsidR="00F0236A" w:rsidRPr="00073574" w:rsidRDefault="00F0236A" w:rsidP="00DF36E1">
            <w:pPr>
              <w:pStyle w:val="Tabletext"/>
              <w:keepNext/>
              <w:keepLines/>
              <w:rPr>
                <w:b/>
                <w:bCs/>
                <w:sz w:val="24"/>
                <w:szCs w:val="24"/>
              </w:rPr>
            </w:pPr>
            <w:r w:rsidRPr="00073574">
              <w:rPr>
                <w:b/>
                <w:bCs/>
                <w:sz w:val="24"/>
                <w:szCs w:val="24"/>
              </w:rPr>
              <w:t>70-05</w:t>
            </w:r>
          </w:p>
        </w:tc>
        <w:tc>
          <w:tcPr>
            <w:tcW w:w="4909" w:type="dxa"/>
            <w:tcBorders>
              <w:top w:val="single" w:sz="12" w:space="0" w:color="auto"/>
            </w:tcBorders>
            <w:shd w:val="clear" w:color="auto" w:fill="auto"/>
          </w:tcPr>
          <w:p w14:paraId="24D45EA4" w14:textId="77777777" w:rsidR="00F0236A" w:rsidRPr="00073574" w:rsidRDefault="00F0236A" w:rsidP="00DF36E1">
            <w:pPr>
              <w:pStyle w:val="Tabletext"/>
              <w:keepNext/>
              <w:keepLines/>
              <w:rPr>
                <w:b/>
                <w:bCs/>
                <w:sz w:val="24"/>
                <w:szCs w:val="24"/>
              </w:rPr>
            </w:pPr>
            <w:r w:rsidRPr="00073574">
              <w:rPr>
                <w:b/>
                <w:bCs/>
                <w:sz w:val="24"/>
                <w:szCs w:val="24"/>
              </w:rPr>
              <w:t>TSB Director to review and consider making changes to the accessibility of ITU-T services and facilities, pursuant to UNGA Res. 61/16, and to report to Council (i. TSBDir 2)</w:t>
            </w:r>
          </w:p>
        </w:tc>
        <w:tc>
          <w:tcPr>
            <w:tcW w:w="1556" w:type="dxa"/>
            <w:tcBorders>
              <w:top w:val="single" w:sz="12" w:space="0" w:color="auto"/>
            </w:tcBorders>
            <w:shd w:val="clear" w:color="auto" w:fill="auto"/>
            <w:vAlign w:val="center"/>
          </w:tcPr>
          <w:p w14:paraId="023F83D6" w14:textId="0C2D459D" w:rsidR="00F0236A" w:rsidRPr="00073574" w:rsidRDefault="00F0236A" w:rsidP="001E7199">
            <w:pPr>
              <w:pStyle w:val="Tabletext"/>
              <w:jc w:val="center"/>
              <w:rPr>
                <w:b/>
                <w:bCs/>
                <w:sz w:val="24"/>
                <w:szCs w:val="24"/>
              </w:rPr>
            </w:pPr>
            <w:r w:rsidRPr="00073574">
              <w:rPr>
                <w:b/>
                <w:bCs/>
                <w:sz w:val="24"/>
                <w:szCs w:val="24"/>
              </w:rPr>
              <w:t>Ongoing</w:t>
            </w:r>
            <w:r w:rsidRPr="00073574">
              <w:rPr>
                <w:b/>
                <w:bCs/>
                <w:sz w:val="24"/>
                <w:szCs w:val="24"/>
              </w:rPr>
              <w:br/>
              <w:t>Council 20</w:t>
            </w:r>
            <w:r w:rsidR="001E7199" w:rsidRPr="00073574">
              <w:rPr>
                <w:b/>
                <w:bCs/>
                <w:sz w:val="24"/>
                <w:szCs w:val="24"/>
              </w:rPr>
              <w:t>2</w:t>
            </w:r>
            <w:r w:rsidR="00AD100B" w:rsidRPr="00073574">
              <w:rPr>
                <w:b/>
                <w:bCs/>
                <w:sz w:val="24"/>
                <w:szCs w:val="24"/>
              </w:rPr>
              <w:t>1</w:t>
            </w:r>
          </w:p>
        </w:tc>
        <w:tc>
          <w:tcPr>
            <w:tcW w:w="1131" w:type="dxa"/>
            <w:tcBorders>
              <w:top w:val="single" w:sz="12" w:space="0" w:color="auto"/>
            </w:tcBorders>
            <w:shd w:val="clear" w:color="auto" w:fill="auto"/>
            <w:vAlign w:val="center"/>
          </w:tcPr>
          <w:p w14:paraId="59B15C71"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043441A2" w14:textId="77777777" w:rsidR="00F0236A" w:rsidRPr="00073574" w:rsidRDefault="00F0236A" w:rsidP="00DF36E1">
            <w:pPr>
              <w:pStyle w:val="Tabletext"/>
              <w:jc w:val="center"/>
              <w:rPr>
                <w:b/>
                <w:bCs/>
                <w:sz w:val="24"/>
                <w:szCs w:val="24"/>
              </w:rPr>
            </w:pPr>
          </w:p>
        </w:tc>
      </w:tr>
      <w:tr w:rsidR="00F0236A" w:rsidRPr="00073574" w14:paraId="764B1075" w14:textId="77777777" w:rsidTr="7277BFE4">
        <w:trPr>
          <w:cantSplit/>
          <w:jc w:val="center"/>
        </w:trPr>
        <w:tc>
          <w:tcPr>
            <w:tcW w:w="900" w:type="dxa"/>
            <w:vMerge/>
          </w:tcPr>
          <w:p w14:paraId="562F3199" w14:textId="77777777" w:rsidR="00F0236A" w:rsidRPr="00073574" w:rsidRDefault="00F0236A" w:rsidP="00DF36E1">
            <w:pPr>
              <w:pStyle w:val="Tabletext"/>
              <w:rPr>
                <w:sz w:val="24"/>
                <w:szCs w:val="24"/>
              </w:rPr>
            </w:pPr>
          </w:p>
        </w:tc>
        <w:tc>
          <w:tcPr>
            <w:tcW w:w="8932" w:type="dxa"/>
            <w:gridSpan w:val="4"/>
            <w:tcBorders>
              <w:bottom w:val="single" w:sz="12" w:space="0" w:color="auto"/>
            </w:tcBorders>
            <w:shd w:val="clear" w:color="auto" w:fill="auto"/>
          </w:tcPr>
          <w:p w14:paraId="5A0E6BD1" w14:textId="07C4AA3C" w:rsidR="00F0236A" w:rsidRPr="00073574" w:rsidRDefault="00F0236A">
            <w:pPr>
              <w:pStyle w:val="Tabletext"/>
              <w:rPr>
                <w:sz w:val="24"/>
                <w:szCs w:val="24"/>
              </w:rPr>
            </w:pPr>
            <w:r w:rsidRPr="00073574">
              <w:rPr>
                <w:rFonts w:eastAsiaTheme="minorEastAsia"/>
                <w:szCs w:val="22"/>
                <w:lang w:eastAsia="ja-JP"/>
              </w:rPr>
              <w:t>TSB continues to participate in the efforts led by the ITU General Secretariat to make ITU a more accessible organization, by providing services such as sign-language interpretation and captioning, and financial support in some cases, to engage persons with disabilities in the ITU-T standardization process.</w:t>
            </w:r>
          </w:p>
        </w:tc>
      </w:tr>
      <w:tr w:rsidR="00F0236A" w:rsidRPr="00073574" w14:paraId="11250FDE" w14:textId="77777777" w:rsidTr="7277BFE4">
        <w:trPr>
          <w:cantSplit/>
          <w:jc w:val="center"/>
        </w:trPr>
        <w:tc>
          <w:tcPr>
            <w:tcW w:w="900" w:type="dxa"/>
            <w:vMerge w:val="restart"/>
            <w:tcBorders>
              <w:top w:val="single" w:sz="12" w:space="0" w:color="auto"/>
            </w:tcBorders>
            <w:shd w:val="clear" w:color="auto" w:fill="auto"/>
          </w:tcPr>
          <w:p w14:paraId="38C3490C" w14:textId="77777777" w:rsidR="00F0236A" w:rsidRPr="00073574" w:rsidRDefault="00F0236A" w:rsidP="00DF36E1">
            <w:pPr>
              <w:pStyle w:val="Tabletext"/>
              <w:rPr>
                <w:b/>
                <w:bCs/>
                <w:sz w:val="24"/>
                <w:szCs w:val="24"/>
              </w:rPr>
            </w:pPr>
            <w:r w:rsidRPr="00073574">
              <w:rPr>
                <w:b/>
                <w:bCs/>
                <w:sz w:val="24"/>
                <w:szCs w:val="24"/>
              </w:rPr>
              <w:t>70-06</w:t>
            </w:r>
          </w:p>
        </w:tc>
        <w:tc>
          <w:tcPr>
            <w:tcW w:w="4909" w:type="dxa"/>
            <w:tcBorders>
              <w:top w:val="single" w:sz="12" w:space="0" w:color="auto"/>
            </w:tcBorders>
            <w:shd w:val="clear" w:color="auto" w:fill="auto"/>
            <w:hideMark/>
          </w:tcPr>
          <w:p w14:paraId="36D6249B" w14:textId="77777777" w:rsidR="00F0236A" w:rsidRPr="00073574" w:rsidRDefault="00F0236A" w:rsidP="00DF36E1">
            <w:pPr>
              <w:pStyle w:val="Tabletext"/>
              <w:rPr>
                <w:b/>
                <w:bCs/>
                <w:sz w:val="24"/>
                <w:szCs w:val="24"/>
              </w:rPr>
            </w:pPr>
            <w:r w:rsidRPr="00073574">
              <w:rPr>
                <w:b/>
                <w:bCs/>
                <w:sz w:val="24"/>
                <w:szCs w:val="24"/>
              </w:rPr>
              <w:t>TSB Director to work collaboratively with other Directors on accessibility activities on ITU wide awareness and mainstreaming of telecommunication/ICT Accessibility Standards, reporting findings to Council as appropriate (i. TSBDir 3)</w:t>
            </w:r>
          </w:p>
        </w:tc>
        <w:tc>
          <w:tcPr>
            <w:tcW w:w="1556" w:type="dxa"/>
            <w:tcBorders>
              <w:top w:val="single" w:sz="12" w:space="0" w:color="auto"/>
            </w:tcBorders>
            <w:shd w:val="clear" w:color="auto" w:fill="auto"/>
            <w:vAlign w:val="center"/>
            <w:hideMark/>
          </w:tcPr>
          <w:p w14:paraId="50472094" w14:textId="3FD44D03" w:rsidR="00F0236A" w:rsidRPr="00073574" w:rsidRDefault="00F0236A" w:rsidP="00DF36E1">
            <w:pPr>
              <w:pStyle w:val="Tabletext"/>
              <w:jc w:val="center"/>
              <w:rPr>
                <w:b/>
                <w:bCs/>
                <w:sz w:val="24"/>
                <w:szCs w:val="24"/>
              </w:rPr>
            </w:pPr>
            <w:r w:rsidRPr="00073574">
              <w:rPr>
                <w:b/>
                <w:bCs/>
                <w:sz w:val="24"/>
                <w:szCs w:val="24"/>
              </w:rPr>
              <w:t>Ongoing</w:t>
            </w:r>
            <w:r w:rsidR="00D747EC" w:rsidRPr="00073574">
              <w:rPr>
                <w:b/>
                <w:bCs/>
                <w:sz w:val="24"/>
                <w:szCs w:val="24"/>
              </w:rPr>
              <w:t>, Council 202</w:t>
            </w:r>
            <w:r w:rsidR="00AD100B" w:rsidRPr="00073574">
              <w:rPr>
                <w:b/>
                <w:bCs/>
                <w:sz w:val="24"/>
                <w:szCs w:val="24"/>
              </w:rPr>
              <w:t>1</w:t>
            </w:r>
          </w:p>
        </w:tc>
        <w:tc>
          <w:tcPr>
            <w:tcW w:w="1131" w:type="dxa"/>
            <w:tcBorders>
              <w:top w:val="single" w:sz="12" w:space="0" w:color="auto"/>
            </w:tcBorders>
            <w:shd w:val="clear" w:color="auto" w:fill="auto"/>
            <w:vAlign w:val="center"/>
          </w:tcPr>
          <w:p w14:paraId="53B9B88A"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16E959C1" w14:textId="77777777" w:rsidR="00F0236A" w:rsidRPr="00073574" w:rsidRDefault="00F0236A" w:rsidP="00DF36E1">
            <w:pPr>
              <w:pStyle w:val="Tabletext"/>
              <w:jc w:val="center"/>
              <w:rPr>
                <w:b/>
                <w:bCs/>
                <w:sz w:val="24"/>
                <w:szCs w:val="24"/>
              </w:rPr>
            </w:pPr>
          </w:p>
        </w:tc>
      </w:tr>
      <w:tr w:rsidR="00F0236A" w:rsidRPr="00073574" w14:paraId="70FAF949" w14:textId="77777777" w:rsidTr="00EB6830">
        <w:trPr>
          <w:jc w:val="center"/>
        </w:trPr>
        <w:tc>
          <w:tcPr>
            <w:tcW w:w="900" w:type="dxa"/>
            <w:vMerge/>
          </w:tcPr>
          <w:p w14:paraId="55DE6774" w14:textId="77777777" w:rsidR="00F0236A" w:rsidRPr="00073574" w:rsidRDefault="00F0236A" w:rsidP="00DF36E1">
            <w:pPr>
              <w:pStyle w:val="Tabletext"/>
              <w:rPr>
                <w:sz w:val="24"/>
                <w:szCs w:val="24"/>
              </w:rPr>
            </w:pPr>
          </w:p>
        </w:tc>
        <w:tc>
          <w:tcPr>
            <w:tcW w:w="8932" w:type="dxa"/>
            <w:gridSpan w:val="4"/>
            <w:tcBorders>
              <w:bottom w:val="single" w:sz="12" w:space="0" w:color="auto"/>
            </w:tcBorders>
            <w:shd w:val="clear" w:color="auto" w:fill="auto"/>
          </w:tcPr>
          <w:p w14:paraId="5033A2A2" w14:textId="13405138" w:rsidR="00F0236A" w:rsidRPr="00073574" w:rsidRDefault="00F0236A" w:rsidP="001E63F9">
            <w:pPr>
              <w:spacing w:before="40"/>
            </w:pPr>
            <w:r w:rsidRPr="00073574">
              <w:t xml:space="preserve">The </w:t>
            </w:r>
            <w:r w:rsidR="004608C8" w:rsidRPr="00073574">
              <w:t xml:space="preserve">ITU-T </w:t>
            </w:r>
            <w:r w:rsidRPr="00073574">
              <w:t>Joint Coordination Activity on Accessibility and Human Factors (</w:t>
            </w:r>
            <w:hyperlink r:id="rId514">
              <w:r w:rsidRPr="00073574">
                <w:rPr>
                  <w:rStyle w:val="Hyperlink"/>
                </w:rPr>
                <w:t>JCA-AHF</w:t>
              </w:r>
            </w:hyperlink>
            <w:r w:rsidRPr="00073574">
              <w:t>) serves as a useful coordination mechanism across ITU sectors and external SDOs and disability groups.</w:t>
            </w:r>
            <w:r w:rsidR="5517B75E" w:rsidRPr="00073574">
              <w:t xml:space="preserve"> Recent meeting was held virtually on </w:t>
            </w:r>
            <w:r w:rsidR="0015607B" w:rsidRPr="00073574">
              <w:t>2 September</w:t>
            </w:r>
            <w:r w:rsidR="5517B75E" w:rsidRPr="00073574">
              <w:t xml:space="preserve"> 202</w:t>
            </w:r>
            <w:r w:rsidR="0015607B" w:rsidRPr="00073574">
              <w:t>1</w:t>
            </w:r>
            <w:r w:rsidR="5517B75E" w:rsidRPr="00073574">
              <w:t>.</w:t>
            </w:r>
          </w:p>
          <w:p w14:paraId="5D0EC6C4" w14:textId="69B73B2A" w:rsidR="5517B75E" w:rsidRPr="00073574" w:rsidRDefault="5517B75E">
            <w:r w:rsidRPr="00073574">
              <w:rPr>
                <w:rFonts w:eastAsia="Times New Roman"/>
                <w:szCs w:val="22"/>
              </w:rPr>
              <w:lastRenderedPageBreak/>
              <w:t xml:space="preserve">The </w:t>
            </w:r>
            <w:r w:rsidRPr="00073574">
              <w:rPr>
                <w:rFonts w:eastAsia="Times New Roman"/>
                <w:color w:val="000000" w:themeColor="text1"/>
                <w:szCs w:val="22"/>
              </w:rPr>
              <w:t>Intersector Rapporteur Group Audiovisual Media Accessibility</w:t>
            </w:r>
            <w:r w:rsidRPr="00073574">
              <w:rPr>
                <w:rFonts w:eastAsia="Times New Roman"/>
                <w:szCs w:val="22"/>
              </w:rPr>
              <w:t xml:space="preserve"> (</w:t>
            </w:r>
            <w:hyperlink r:id="rId515" w:history="1">
              <w:r w:rsidRPr="00073574">
                <w:rPr>
                  <w:rStyle w:val="Hyperlink"/>
                  <w:rFonts w:eastAsia="Times New Roman"/>
                  <w:szCs w:val="22"/>
                </w:rPr>
                <w:t>IRG-AVA</w:t>
              </w:r>
            </w:hyperlink>
            <w:r w:rsidRPr="00073574">
              <w:rPr>
                <w:rFonts w:eastAsia="Times New Roman"/>
                <w:szCs w:val="22"/>
              </w:rPr>
              <w:t xml:space="preserve">) </w:t>
            </w:r>
            <w:r w:rsidR="009058B6" w:rsidRPr="00073574">
              <w:rPr>
                <w:rFonts w:eastAsia="Times New Roman"/>
                <w:szCs w:val="22"/>
              </w:rPr>
              <w:t>s</w:t>
            </w:r>
            <w:r w:rsidR="009058B6" w:rsidRPr="00073574">
              <w:rPr>
                <w:rFonts w:eastAsia="Times New Roman"/>
                <w:color w:val="000000" w:themeColor="text1"/>
                <w:szCs w:val="22"/>
              </w:rPr>
              <w:t>tudy</w:t>
            </w:r>
            <w:r w:rsidRPr="00073574">
              <w:rPr>
                <w:rFonts w:eastAsia="Times New Roman"/>
                <w:color w:val="000000" w:themeColor="text1"/>
                <w:szCs w:val="22"/>
              </w:rPr>
              <w:t xml:space="preserve"> topics related to audiovisual media accessibility, aiming at development of Recommendations, and other non-normative materials</w:t>
            </w:r>
            <w:r w:rsidRPr="00073574">
              <w:rPr>
                <w:rFonts w:ascii="Calibri" w:eastAsia="Calibri" w:hAnsi="Calibri" w:cs="Calibri"/>
                <w:szCs w:val="22"/>
              </w:rPr>
              <w:t xml:space="preserve"> as appropriate. It </w:t>
            </w:r>
            <w:r w:rsidRPr="00073574">
              <w:rPr>
                <w:rFonts w:eastAsia="Times New Roman"/>
                <w:szCs w:val="22"/>
              </w:rPr>
              <w:t xml:space="preserve">addresses matters contributing to the coordination of the standardization work of the involved ITU-T and ITU-R groups and collaborates with other SDOs and other audiovisual media organizations (e.g., forums and consortia, research institutes and academia). Recent </w:t>
            </w:r>
            <w:r w:rsidR="003F1A52">
              <w:rPr>
                <w:rFonts w:eastAsia="Times New Roman"/>
                <w:szCs w:val="22"/>
              </w:rPr>
              <w:t>21st</w:t>
            </w:r>
            <w:r w:rsidRPr="00073574">
              <w:rPr>
                <w:rFonts w:eastAsia="Times New Roman"/>
                <w:szCs w:val="22"/>
              </w:rPr>
              <w:t xml:space="preserve"> meeting was held virtually on </w:t>
            </w:r>
            <w:r w:rsidR="0032193B" w:rsidRPr="00073574">
              <w:rPr>
                <w:rFonts w:eastAsia="Times New Roman"/>
                <w:szCs w:val="22"/>
              </w:rPr>
              <w:t>16</w:t>
            </w:r>
            <w:r w:rsidRPr="00073574">
              <w:rPr>
                <w:rFonts w:eastAsia="Times New Roman"/>
                <w:szCs w:val="22"/>
              </w:rPr>
              <w:t xml:space="preserve"> </w:t>
            </w:r>
            <w:r w:rsidR="0032193B" w:rsidRPr="00073574">
              <w:rPr>
                <w:rFonts w:eastAsia="Times New Roman"/>
                <w:szCs w:val="22"/>
              </w:rPr>
              <w:t>November</w:t>
            </w:r>
            <w:r w:rsidRPr="00073574">
              <w:rPr>
                <w:rFonts w:eastAsia="Times New Roman"/>
                <w:szCs w:val="22"/>
              </w:rPr>
              <w:t xml:space="preserve"> 202</w:t>
            </w:r>
            <w:r w:rsidR="0015607B" w:rsidRPr="00073574">
              <w:rPr>
                <w:rFonts w:eastAsia="Times New Roman"/>
                <w:szCs w:val="22"/>
              </w:rPr>
              <w:t>1</w:t>
            </w:r>
            <w:r w:rsidRPr="00073574">
              <w:rPr>
                <w:rFonts w:eastAsia="Times New Roman"/>
                <w:szCs w:val="22"/>
              </w:rPr>
              <w:t>.</w:t>
            </w:r>
          </w:p>
          <w:p w14:paraId="67F3045B" w14:textId="3711BDC5" w:rsidR="00F0236A" w:rsidRPr="00073574" w:rsidRDefault="00F0236A" w:rsidP="00DF36E1">
            <w:pPr>
              <w:pStyle w:val="Tabletext"/>
            </w:pPr>
            <w:r w:rsidRPr="00073574">
              <w:t xml:space="preserve">TSB participates and contributes actively to </w:t>
            </w:r>
            <w:r w:rsidR="001F666A" w:rsidRPr="00073574">
              <w:rPr>
                <w:szCs w:val="22"/>
              </w:rPr>
              <w:t>the Inter-Sectoral Coordination Task Force (</w:t>
            </w:r>
            <w:hyperlink r:id="rId516" w:history="1">
              <w:r w:rsidR="001F666A" w:rsidRPr="00073574">
                <w:rPr>
                  <w:rStyle w:val="Hyperlink"/>
                  <w:szCs w:val="22"/>
                </w:rPr>
                <w:t>ISC-TF</w:t>
              </w:r>
            </w:hyperlink>
            <w:r w:rsidR="001F666A" w:rsidRPr="00073574">
              <w:rPr>
                <w:szCs w:val="22"/>
              </w:rPr>
              <w:t>) on the area of accessibility.</w:t>
            </w:r>
          </w:p>
        </w:tc>
      </w:tr>
      <w:tr w:rsidR="00F0236A" w:rsidRPr="00073574" w14:paraId="6DE32EBE" w14:textId="77777777" w:rsidTr="7277BFE4">
        <w:trPr>
          <w:cantSplit/>
          <w:jc w:val="center"/>
        </w:trPr>
        <w:tc>
          <w:tcPr>
            <w:tcW w:w="900" w:type="dxa"/>
            <w:vMerge w:val="restart"/>
            <w:tcBorders>
              <w:top w:val="single" w:sz="12" w:space="0" w:color="auto"/>
            </w:tcBorders>
            <w:shd w:val="clear" w:color="auto" w:fill="auto"/>
          </w:tcPr>
          <w:p w14:paraId="673A6ABD" w14:textId="77777777" w:rsidR="00F0236A" w:rsidRPr="00073574" w:rsidRDefault="00F0236A" w:rsidP="000169D6">
            <w:pPr>
              <w:pStyle w:val="Tabletext"/>
              <w:keepNext/>
              <w:keepLines/>
              <w:rPr>
                <w:b/>
                <w:bCs/>
                <w:sz w:val="24"/>
                <w:szCs w:val="24"/>
              </w:rPr>
            </w:pPr>
            <w:r w:rsidRPr="00073574">
              <w:rPr>
                <w:b/>
                <w:bCs/>
                <w:sz w:val="24"/>
                <w:szCs w:val="24"/>
              </w:rPr>
              <w:lastRenderedPageBreak/>
              <w:t>70-07</w:t>
            </w:r>
          </w:p>
        </w:tc>
        <w:tc>
          <w:tcPr>
            <w:tcW w:w="4909" w:type="dxa"/>
            <w:tcBorders>
              <w:top w:val="single" w:sz="12" w:space="0" w:color="auto"/>
            </w:tcBorders>
            <w:shd w:val="clear" w:color="auto" w:fill="auto"/>
            <w:hideMark/>
          </w:tcPr>
          <w:p w14:paraId="471DD35D" w14:textId="506C0B45" w:rsidR="00F0236A" w:rsidRPr="00073574" w:rsidRDefault="00F0236A" w:rsidP="00DF36E1">
            <w:pPr>
              <w:pStyle w:val="Tabletext"/>
              <w:rPr>
                <w:b/>
                <w:bCs/>
                <w:sz w:val="24"/>
                <w:szCs w:val="24"/>
              </w:rPr>
            </w:pPr>
            <w:r w:rsidRPr="00073574">
              <w:rPr>
                <w:b/>
                <w:bCs/>
                <w:sz w:val="24"/>
                <w:szCs w:val="24"/>
              </w:rPr>
              <w:t>TSB Director, in collaboration with BDT Director, in developing programmes to enable developing countries to introduce services to enable persons with disabilities to use ICT services effectively (i. TSBDir 4)</w:t>
            </w:r>
          </w:p>
        </w:tc>
        <w:tc>
          <w:tcPr>
            <w:tcW w:w="1556" w:type="dxa"/>
            <w:tcBorders>
              <w:top w:val="single" w:sz="12" w:space="0" w:color="auto"/>
            </w:tcBorders>
            <w:shd w:val="clear" w:color="auto" w:fill="auto"/>
            <w:vAlign w:val="center"/>
            <w:hideMark/>
          </w:tcPr>
          <w:p w14:paraId="5E42768B"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31" w:type="dxa"/>
            <w:tcBorders>
              <w:top w:val="single" w:sz="12" w:space="0" w:color="auto"/>
            </w:tcBorders>
            <w:shd w:val="clear" w:color="auto" w:fill="auto"/>
            <w:vAlign w:val="center"/>
          </w:tcPr>
          <w:p w14:paraId="36CA9195"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143FC7DD" w14:textId="77777777" w:rsidR="00F0236A" w:rsidRPr="00073574" w:rsidRDefault="00F0236A" w:rsidP="00DF36E1">
            <w:pPr>
              <w:pStyle w:val="Tabletext"/>
              <w:jc w:val="center"/>
              <w:rPr>
                <w:b/>
                <w:bCs/>
                <w:sz w:val="24"/>
                <w:szCs w:val="24"/>
              </w:rPr>
            </w:pPr>
          </w:p>
        </w:tc>
      </w:tr>
      <w:tr w:rsidR="00F0236A" w:rsidRPr="00073574" w14:paraId="5A5F13D0" w14:textId="77777777" w:rsidTr="7277BFE4">
        <w:trPr>
          <w:cantSplit/>
          <w:jc w:val="center"/>
        </w:trPr>
        <w:tc>
          <w:tcPr>
            <w:tcW w:w="900" w:type="dxa"/>
            <w:vMerge/>
          </w:tcPr>
          <w:p w14:paraId="3F851779" w14:textId="77777777" w:rsidR="00F0236A" w:rsidRPr="00073574" w:rsidRDefault="00F0236A" w:rsidP="00DF36E1">
            <w:pPr>
              <w:pStyle w:val="Tabletext"/>
              <w:rPr>
                <w:sz w:val="24"/>
                <w:szCs w:val="24"/>
              </w:rPr>
            </w:pPr>
          </w:p>
        </w:tc>
        <w:tc>
          <w:tcPr>
            <w:tcW w:w="8932" w:type="dxa"/>
            <w:gridSpan w:val="4"/>
            <w:tcBorders>
              <w:bottom w:val="single" w:sz="12" w:space="0" w:color="auto"/>
            </w:tcBorders>
            <w:shd w:val="clear" w:color="auto" w:fill="auto"/>
          </w:tcPr>
          <w:p w14:paraId="6FE25EE3" w14:textId="74128F43" w:rsidR="00F0236A" w:rsidRPr="00073574" w:rsidRDefault="00F0236A" w:rsidP="00EA491B">
            <w:pPr>
              <w:pStyle w:val="Tabletext"/>
              <w:rPr>
                <w:szCs w:val="22"/>
              </w:rPr>
            </w:pPr>
            <w:r w:rsidRPr="00073574">
              <w:rPr>
                <w:szCs w:val="22"/>
              </w:rPr>
              <w:t xml:space="preserve">The </w:t>
            </w:r>
            <w:r w:rsidR="004608C8" w:rsidRPr="00073574">
              <w:rPr>
                <w:szCs w:val="22"/>
              </w:rPr>
              <w:t xml:space="preserve">ITU-T </w:t>
            </w:r>
            <w:r w:rsidRPr="00073574">
              <w:rPr>
                <w:szCs w:val="22"/>
              </w:rPr>
              <w:t>JCA-AHF serves as a useful coordination mechanism across ITU sectors and external SDOs and disability groups</w:t>
            </w:r>
            <w:r w:rsidR="00332610" w:rsidRPr="00073574">
              <w:rPr>
                <w:szCs w:val="22"/>
              </w:rPr>
              <w:t>, with representatives of ITU-D delegates and BDT</w:t>
            </w:r>
            <w:r w:rsidRPr="00073574">
              <w:rPr>
                <w:szCs w:val="22"/>
              </w:rPr>
              <w:t>.</w:t>
            </w:r>
            <w:r w:rsidR="00EA491B" w:rsidRPr="00073574">
              <w:rPr>
                <w:szCs w:val="22"/>
              </w:rPr>
              <w:t xml:space="preserve"> TSB contributes to and participates in Accessible Americas and Accessible Europe, led by the Regional Office for the Americas and the Regional Office for Europe respectively.</w:t>
            </w:r>
          </w:p>
        </w:tc>
      </w:tr>
      <w:tr w:rsidR="00F0236A" w:rsidRPr="00073574" w14:paraId="2DB3B9A6" w14:textId="77777777" w:rsidTr="7277BFE4">
        <w:trPr>
          <w:cantSplit/>
          <w:jc w:val="center"/>
        </w:trPr>
        <w:tc>
          <w:tcPr>
            <w:tcW w:w="900" w:type="dxa"/>
            <w:vMerge w:val="restart"/>
            <w:tcBorders>
              <w:top w:val="single" w:sz="12" w:space="0" w:color="auto"/>
            </w:tcBorders>
            <w:shd w:val="clear" w:color="auto" w:fill="auto"/>
          </w:tcPr>
          <w:p w14:paraId="0C87FB64" w14:textId="77777777" w:rsidR="00F0236A" w:rsidRPr="00073574" w:rsidRDefault="00F0236A" w:rsidP="00DF36E1">
            <w:pPr>
              <w:pStyle w:val="Tabletext"/>
              <w:rPr>
                <w:b/>
                <w:bCs/>
                <w:sz w:val="24"/>
                <w:szCs w:val="24"/>
              </w:rPr>
            </w:pPr>
            <w:r w:rsidRPr="00073574">
              <w:rPr>
                <w:b/>
                <w:bCs/>
                <w:sz w:val="24"/>
                <w:szCs w:val="24"/>
              </w:rPr>
              <w:t>70-08</w:t>
            </w:r>
          </w:p>
        </w:tc>
        <w:tc>
          <w:tcPr>
            <w:tcW w:w="4909" w:type="dxa"/>
            <w:tcBorders>
              <w:top w:val="single" w:sz="12" w:space="0" w:color="auto"/>
            </w:tcBorders>
            <w:shd w:val="clear" w:color="auto" w:fill="auto"/>
          </w:tcPr>
          <w:p w14:paraId="57C3E339" w14:textId="77777777" w:rsidR="00F0236A" w:rsidRPr="00073574" w:rsidRDefault="00F0236A" w:rsidP="00DF36E1">
            <w:pPr>
              <w:pStyle w:val="Tabletext"/>
              <w:rPr>
                <w:b/>
                <w:bCs/>
                <w:sz w:val="24"/>
                <w:szCs w:val="24"/>
              </w:rPr>
            </w:pPr>
            <w:r w:rsidRPr="00073574">
              <w:rPr>
                <w:b/>
                <w:bCs/>
                <w:sz w:val="24"/>
                <w:szCs w:val="24"/>
              </w:rPr>
              <w:t>TSB to work collaboratively and cooperatively with other SDOs to avoid duplication, and with disability orgs to ensure accessibility needs are taken into account in standardization (i. TSBDir 5)</w:t>
            </w:r>
          </w:p>
        </w:tc>
        <w:tc>
          <w:tcPr>
            <w:tcW w:w="1556" w:type="dxa"/>
            <w:tcBorders>
              <w:top w:val="single" w:sz="12" w:space="0" w:color="auto"/>
            </w:tcBorders>
            <w:shd w:val="clear" w:color="auto" w:fill="auto"/>
            <w:vAlign w:val="center"/>
          </w:tcPr>
          <w:p w14:paraId="10F0EEE1"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31" w:type="dxa"/>
            <w:tcBorders>
              <w:top w:val="single" w:sz="12" w:space="0" w:color="auto"/>
            </w:tcBorders>
            <w:shd w:val="clear" w:color="auto" w:fill="auto"/>
            <w:vAlign w:val="center"/>
          </w:tcPr>
          <w:p w14:paraId="0608FA2B"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21720197" w14:textId="77777777" w:rsidR="00F0236A" w:rsidRPr="00073574" w:rsidRDefault="00F0236A" w:rsidP="00DF36E1">
            <w:pPr>
              <w:pStyle w:val="Tabletext"/>
              <w:jc w:val="center"/>
              <w:rPr>
                <w:b/>
                <w:bCs/>
                <w:sz w:val="24"/>
                <w:szCs w:val="24"/>
              </w:rPr>
            </w:pPr>
          </w:p>
        </w:tc>
      </w:tr>
      <w:tr w:rsidR="00F0236A" w:rsidRPr="00073574" w14:paraId="305FE0C5" w14:textId="77777777" w:rsidTr="00741E3C">
        <w:trPr>
          <w:jc w:val="center"/>
        </w:trPr>
        <w:tc>
          <w:tcPr>
            <w:tcW w:w="900" w:type="dxa"/>
            <w:vMerge/>
            <w:tcBorders>
              <w:right w:val="single" w:sz="4" w:space="0" w:color="auto"/>
            </w:tcBorders>
          </w:tcPr>
          <w:p w14:paraId="62E5ED32" w14:textId="77777777" w:rsidR="00F0236A" w:rsidRPr="00073574" w:rsidRDefault="00F0236A" w:rsidP="00DF36E1">
            <w:pPr>
              <w:pStyle w:val="Tabletext"/>
              <w:rPr>
                <w:sz w:val="24"/>
                <w:szCs w:val="24"/>
              </w:rPr>
            </w:pPr>
          </w:p>
        </w:tc>
        <w:tc>
          <w:tcPr>
            <w:tcW w:w="8932" w:type="dxa"/>
            <w:gridSpan w:val="4"/>
            <w:tcBorders>
              <w:top w:val="single" w:sz="12" w:space="0" w:color="auto"/>
              <w:left w:val="single" w:sz="4" w:space="0" w:color="auto"/>
              <w:bottom w:val="single" w:sz="12" w:space="0" w:color="auto"/>
              <w:right w:val="single" w:sz="12" w:space="0" w:color="auto"/>
            </w:tcBorders>
            <w:shd w:val="clear" w:color="auto" w:fill="auto"/>
          </w:tcPr>
          <w:p w14:paraId="4A8D79F1" w14:textId="77777777" w:rsidR="00F0236A" w:rsidRPr="00073574" w:rsidRDefault="00F0236A" w:rsidP="00DF36E1">
            <w:pPr>
              <w:pStyle w:val="Tabletext"/>
              <w:rPr>
                <w:szCs w:val="22"/>
              </w:rPr>
            </w:pPr>
            <w:r w:rsidRPr="00073574">
              <w:rPr>
                <w:szCs w:val="22"/>
              </w:rPr>
              <w:t xml:space="preserve">ITU-T SG16 is seeking stronger collaboration with ISO/IEC JTC1 SC35 </w:t>
            </w:r>
            <w:r w:rsidR="003C7E25" w:rsidRPr="00073574">
              <w:rPr>
                <w:szCs w:val="22"/>
              </w:rPr>
              <w:t>"</w:t>
            </w:r>
            <w:r w:rsidRPr="00073574">
              <w:rPr>
                <w:szCs w:val="22"/>
              </w:rPr>
              <w:t>User interfaces</w:t>
            </w:r>
            <w:r w:rsidR="003C7E25" w:rsidRPr="00073574">
              <w:rPr>
                <w:szCs w:val="22"/>
              </w:rPr>
              <w:t>"</w:t>
            </w:r>
            <w:r w:rsidRPr="00073574">
              <w:rPr>
                <w:szCs w:val="22"/>
              </w:rPr>
              <w:t xml:space="preserve"> for audiovisual media accessibility studies</w:t>
            </w:r>
            <w:r w:rsidR="00332610" w:rsidRPr="00073574">
              <w:rPr>
                <w:szCs w:val="22"/>
              </w:rPr>
              <w:t xml:space="preserve"> (see 70-01 above)</w:t>
            </w:r>
            <w:r w:rsidRPr="00073574">
              <w:rPr>
                <w:szCs w:val="22"/>
              </w:rPr>
              <w:t>, as well as with IEC SyC-AAL and TC100 TA16, both working on active assisted living.</w:t>
            </w:r>
          </w:p>
          <w:p w14:paraId="1E10EEBC" w14:textId="295D437B" w:rsidR="003F479E" w:rsidRPr="00073574" w:rsidRDefault="000F0096" w:rsidP="00DF36E1">
            <w:pPr>
              <w:pStyle w:val="Tabletext"/>
              <w:rPr>
                <w:szCs w:val="22"/>
              </w:rPr>
            </w:pPr>
            <w:r w:rsidRPr="00073574">
              <w:rPr>
                <w:rFonts w:eastAsiaTheme="minorEastAsia"/>
                <w:szCs w:val="22"/>
              </w:rPr>
              <w:t xml:space="preserve">The </w:t>
            </w:r>
            <w:hyperlink r:id="rId517" w:history="1">
              <w:r w:rsidRPr="00073574">
                <w:rPr>
                  <w:rStyle w:val="Hyperlink"/>
                  <w:rFonts w:eastAsiaTheme="minorEastAsia"/>
                  <w:szCs w:val="22"/>
                </w:rPr>
                <w:t>Memorandum of Understanding on electronic business</w:t>
              </w:r>
            </w:hyperlink>
            <w:r w:rsidRPr="00073574">
              <w:rPr>
                <w:rFonts w:eastAsiaTheme="minorEastAsia"/>
                <w:szCs w:val="22"/>
                <w:u w:val="single"/>
              </w:rPr>
              <w:t xml:space="preserve"> </w:t>
            </w:r>
            <w:r w:rsidRPr="00073574">
              <w:rPr>
                <w:rFonts w:eastAsiaTheme="minorEastAsia"/>
                <w:szCs w:val="22"/>
              </w:rPr>
              <w:t>(MoU) between IEC, ISO, ITU, and UN/ECE, and its Management Group (MG)</w:t>
            </w:r>
            <w:r w:rsidRPr="00073574">
              <w:rPr>
                <w:szCs w:val="22"/>
              </w:rPr>
              <w:t xml:space="preserve"> organized on 21 October 2019 an MoU/MG webinar on eAccessibility for e-business.</w:t>
            </w:r>
          </w:p>
          <w:p w14:paraId="29C9737A" w14:textId="6F148D03" w:rsidR="003F479E" w:rsidRPr="00073574" w:rsidRDefault="0039158B" w:rsidP="00DF36E1">
            <w:pPr>
              <w:pStyle w:val="Tabletext"/>
              <w:rPr>
                <w:szCs w:val="22"/>
              </w:rPr>
            </w:pPr>
            <w:r w:rsidRPr="00073574">
              <w:rPr>
                <w:szCs w:val="22"/>
              </w:rPr>
              <w:t xml:space="preserve">TSB </w:t>
            </w:r>
            <w:r w:rsidR="00F565DA" w:rsidRPr="00073574">
              <w:rPr>
                <w:szCs w:val="22"/>
              </w:rPr>
              <w:t xml:space="preserve">provided comments for coordination to EC’s </w:t>
            </w:r>
            <w:r w:rsidR="00A55496" w:rsidRPr="00073574">
              <w:rPr>
                <w:szCs w:val="22"/>
              </w:rPr>
              <w:t>draft new standardization requests on accessibility of products and services to the ESOs (ETSI, CEN and CENELEC) in September 2021.</w:t>
            </w:r>
          </w:p>
        </w:tc>
      </w:tr>
      <w:tr w:rsidR="00F0236A" w:rsidRPr="00073574" w14:paraId="47DB0BF3" w14:textId="77777777" w:rsidTr="7277BFE4">
        <w:trPr>
          <w:cantSplit/>
          <w:jc w:val="center"/>
        </w:trPr>
        <w:tc>
          <w:tcPr>
            <w:tcW w:w="900" w:type="dxa"/>
            <w:vMerge w:val="restart"/>
            <w:tcBorders>
              <w:top w:val="single" w:sz="12" w:space="0" w:color="auto"/>
            </w:tcBorders>
            <w:shd w:val="clear" w:color="auto" w:fill="auto"/>
          </w:tcPr>
          <w:p w14:paraId="693EAA0C" w14:textId="77777777" w:rsidR="00F0236A" w:rsidRPr="00073574" w:rsidRDefault="00F0236A" w:rsidP="00DF36E1">
            <w:pPr>
              <w:pStyle w:val="Tabletext"/>
              <w:rPr>
                <w:b/>
                <w:bCs/>
                <w:sz w:val="24"/>
                <w:szCs w:val="24"/>
              </w:rPr>
            </w:pPr>
            <w:r w:rsidRPr="00073574">
              <w:rPr>
                <w:b/>
                <w:bCs/>
                <w:sz w:val="24"/>
                <w:szCs w:val="24"/>
              </w:rPr>
              <w:t>70-09</w:t>
            </w:r>
          </w:p>
        </w:tc>
        <w:tc>
          <w:tcPr>
            <w:tcW w:w="4909" w:type="dxa"/>
            <w:tcBorders>
              <w:top w:val="single" w:sz="12" w:space="0" w:color="auto"/>
            </w:tcBorders>
            <w:shd w:val="clear" w:color="auto" w:fill="auto"/>
          </w:tcPr>
          <w:p w14:paraId="240E8F50" w14:textId="77777777" w:rsidR="00F0236A" w:rsidRPr="00073574" w:rsidRDefault="00F0236A" w:rsidP="00DF36E1">
            <w:pPr>
              <w:pStyle w:val="Tabletext"/>
              <w:rPr>
                <w:b/>
                <w:bCs/>
                <w:sz w:val="24"/>
                <w:szCs w:val="24"/>
              </w:rPr>
            </w:pPr>
            <w:r w:rsidRPr="00073574">
              <w:rPr>
                <w:b/>
                <w:bCs/>
                <w:sz w:val="24"/>
                <w:szCs w:val="24"/>
              </w:rPr>
              <w:t>TSB Director to contribute to the development of an ITU-wide internship programme to involve persons with disabilities and ICT expertise. (i. TSBDir 2)</w:t>
            </w:r>
          </w:p>
        </w:tc>
        <w:tc>
          <w:tcPr>
            <w:tcW w:w="1556" w:type="dxa"/>
            <w:tcBorders>
              <w:top w:val="single" w:sz="12" w:space="0" w:color="auto"/>
            </w:tcBorders>
            <w:shd w:val="clear" w:color="auto" w:fill="auto"/>
            <w:vAlign w:val="center"/>
          </w:tcPr>
          <w:p w14:paraId="5D9CBAB1"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31" w:type="dxa"/>
            <w:tcBorders>
              <w:top w:val="single" w:sz="12" w:space="0" w:color="auto"/>
            </w:tcBorders>
            <w:shd w:val="clear" w:color="auto" w:fill="auto"/>
            <w:vAlign w:val="center"/>
          </w:tcPr>
          <w:p w14:paraId="60B2EED7"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4B81A671" w14:textId="77777777" w:rsidR="00F0236A" w:rsidRPr="00073574" w:rsidRDefault="00F0236A" w:rsidP="00DF36E1">
            <w:pPr>
              <w:pStyle w:val="Tabletext"/>
              <w:jc w:val="center"/>
              <w:rPr>
                <w:b/>
                <w:bCs/>
                <w:sz w:val="24"/>
                <w:szCs w:val="24"/>
              </w:rPr>
            </w:pPr>
          </w:p>
        </w:tc>
      </w:tr>
      <w:tr w:rsidR="00F0236A" w:rsidRPr="00073574" w14:paraId="13BD1074" w14:textId="77777777" w:rsidTr="7277BFE4">
        <w:trPr>
          <w:cantSplit/>
          <w:jc w:val="center"/>
        </w:trPr>
        <w:tc>
          <w:tcPr>
            <w:tcW w:w="900" w:type="dxa"/>
            <w:vMerge/>
          </w:tcPr>
          <w:p w14:paraId="39664D62" w14:textId="77777777" w:rsidR="00F0236A" w:rsidRPr="00073574" w:rsidRDefault="00F0236A" w:rsidP="00DF36E1">
            <w:pPr>
              <w:pStyle w:val="Tabletext"/>
              <w:rPr>
                <w:sz w:val="24"/>
                <w:szCs w:val="24"/>
              </w:rPr>
            </w:pPr>
          </w:p>
        </w:tc>
        <w:tc>
          <w:tcPr>
            <w:tcW w:w="8932" w:type="dxa"/>
            <w:gridSpan w:val="4"/>
            <w:tcBorders>
              <w:bottom w:val="single" w:sz="12" w:space="0" w:color="auto"/>
            </w:tcBorders>
            <w:shd w:val="clear" w:color="auto" w:fill="auto"/>
          </w:tcPr>
          <w:p w14:paraId="24B375DB" w14:textId="30BBE036" w:rsidR="00F0236A" w:rsidRPr="00073574" w:rsidRDefault="00F0236A" w:rsidP="00DF36E1">
            <w:pPr>
              <w:pStyle w:val="Tabletext"/>
            </w:pPr>
            <w:r w:rsidRPr="00073574">
              <w:t xml:space="preserve">ITU-T SG16 had an intern </w:t>
            </w:r>
            <w:r w:rsidR="7C8B4245" w:rsidRPr="00073574">
              <w:t xml:space="preserve">in 2018 </w:t>
            </w:r>
            <w:r w:rsidRPr="00073574">
              <w:t>for studies on accessibility aspects for persons with mental issues.</w:t>
            </w:r>
          </w:p>
        </w:tc>
      </w:tr>
      <w:tr w:rsidR="00F0236A" w:rsidRPr="00073574" w14:paraId="3F67AE7D" w14:textId="77777777" w:rsidTr="7277BFE4">
        <w:trPr>
          <w:cantSplit/>
          <w:jc w:val="center"/>
        </w:trPr>
        <w:tc>
          <w:tcPr>
            <w:tcW w:w="900" w:type="dxa"/>
            <w:vMerge w:val="restart"/>
            <w:tcBorders>
              <w:top w:val="single" w:sz="12" w:space="0" w:color="auto"/>
            </w:tcBorders>
            <w:shd w:val="clear" w:color="auto" w:fill="auto"/>
          </w:tcPr>
          <w:p w14:paraId="572CE6F7" w14:textId="77777777" w:rsidR="00F0236A" w:rsidRPr="00073574" w:rsidRDefault="00F0236A" w:rsidP="0028134B">
            <w:pPr>
              <w:pStyle w:val="Tabletext"/>
              <w:keepNext/>
              <w:keepLines/>
              <w:rPr>
                <w:b/>
                <w:bCs/>
                <w:sz w:val="24"/>
                <w:szCs w:val="24"/>
              </w:rPr>
            </w:pPr>
            <w:r w:rsidRPr="00073574">
              <w:rPr>
                <w:b/>
                <w:bCs/>
                <w:sz w:val="24"/>
                <w:szCs w:val="24"/>
              </w:rPr>
              <w:t>70-10</w:t>
            </w:r>
          </w:p>
        </w:tc>
        <w:tc>
          <w:tcPr>
            <w:tcW w:w="4909" w:type="dxa"/>
            <w:tcBorders>
              <w:top w:val="single" w:sz="12" w:space="0" w:color="auto"/>
            </w:tcBorders>
            <w:shd w:val="clear" w:color="auto" w:fill="auto"/>
          </w:tcPr>
          <w:p w14:paraId="70A56DBD" w14:textId="77777777" w:rsidR="00F0236A" w:rsidRPr="00073574" w:rsidRDefault="00F0236A" w:rsidP="00DF36E1">
            <w:pPr>
              <w:pStyle w:val="Tabletext"/>
              <w:rPr>
                <w:b/>
                <w:bCs/>
                <w:sz w:val="24"/>
                <w:szCs w:val="24"/>
              </w:rPr>
            </w:pPr>
            <w:r w:rsidRPr="00073574">
              <w:rPr>
                <w:b/>
                <w:bCs/>
                <w:sz w:val="24"/>
                <w:szCs w:val="24"/>
              </w:rPr>
              <w:t>TSB Director to continue the disability coordination and advisory function within ITU-T. (i. TSBDir 1)</w:t>
            </w:r>
          </w:p>
        </w:tc>
        <w:tc>
          <w:tcPr>
            <w:tcW w:w="1556" w:type="dxa"/>
            <w:tcBorders>
              <w:top w:val="single" w:sz="12" w:space="0" w:color="auto"/>
            </w:tcBorders>
            <w:shd w:val="clear" w:color="auto" w:fill="auto"/>
            <w:vAlign w:val="center"/>
          </w:tcPr>
          <w:p w14:paraId="156FEDF7"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31" w:type="dxa"/>
            <w:tcBorders>
              <w:top w:val="single" w:sz="12" w:space="0" w:color="auto"/>
            </w:tcBorders>
            <w:shd w:val="clear" w:color="auto" w:fill="auto"/>
            <w:vAlign w:val="center"/>
          </w:tcPr>
          <w:p w14:paraId="0208CB6A"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26705B34" w14:textId="77777777" w:rsidR="00F0236A" w:rsidRPr="00073574" w:rsidRDefault="00F0236A" w:rsidP="00DF36E1">
            <w:pPr>
              <w:pStyle w:val="Tabletext"/>
              <w:jc w:val="center"/>
              <w:rPr>
                <w:b/>
                <w:bCs/>
                <w:sz w:val="24"/>
                <w:szCs w:val="24"/>
              </w:rPr>
            </w:pPr>
          </w:p>
        </w:tc>
      </w:tr>
      <w:tr w:rsidR="00F0236A" w:rsidRPr="00073574" w14:paraId="5651E47E" w14:textId="77777777" w:rsidTr="7277BFE4">
        <w:trPr>
          <w:cantSplit/>
          <w:jc w:val="center"/>
        </w:trPr>
        <w:tc>
          <w:tcPr>
            <w:tcW w:w="900" w:type="dxa"/>
            <w:vMerge/>
          </w:tcPr>
          <w:p w14:paraId="079DBEAA" w14:textId="77777777" w:rsidR="00F0236A" w:rsidRPr="00073574" w:rsidRDefault="00F0236A" w:rsidP="00DF36E1">
            <w:pPr>
              <w:pStyle w:val="Tabletext"/>
              <w:rPr>
                <w:sz w:val="24"/>
                <w:szCs w:val="24"/>
              </w:rPr>
            </w:pPr>
          </w:p>
        </w:tc>
        <w:tc>
          <w:tcPr>
            <w:tcW w:w="8932" w:type="dxa"/>
            <w:gridSpan w:val="4"/>
            <w:tcBorders>
              <w:bottom w:val="single" w:sz="12" w:space="0" w:color="auto"/>
            </w:tcBorders>
            <w:shd w:val="clear" w:color="auto" w:fill="auto"/>
          </w:tcPr>
          <w:p w14:paraId="49A83DA6" w14:textId="2E1C2D87" w:rsidR="00F0236A" w:rsidRPr="00073574" w:rsidRDefault="00F0236A" w:rsidP="00DA664B">
            <w:pPr>
              <w:pStyle w:val="Tabletext"/>
              <w:rPr>
                <w:szCs w:val="22"/>
              </w:rPr>
            </w:pPr>
            <w:r w:rsidRPr="00073574">
              <w:rPr>
                <w:szCs w:val="22"/>
              </w:rPr>
              <w:t xml:space="preserve">The </w:t>
            </w:r>
            <w:r w:rsidR="004608C8" w:rsidRPr="00073574">
              <w:rPr>
                <w:szCs w:val="22"/>
              </w:rPr>
              <w:t xml:space="preserve">ITU-T </w:t>
            </w:r>
            <w:r w:rsidRPr="00073574">
              <w:rPr>
                <w:szCs w:val="22"/>
              </w:rPr>
              <w:t>JCA-AHF serves as a useful coordination mechanism across ITU sectors and external SDOs and disability groups. The May 2017 TSAG meeting revised the ToR for JCA-AHF.</w:t>
            </w:r>
          </w:p>
        </w:tc>
      </w:tr>
      <w:tr w:rsidR="00F0236A" w:rsidRPr="00073574" w14:paraId="480EC9A4" w14:textId="77777777" w:rsidTr="7277BFE4">
        <w:trPr>
          <w:cantSplit/>
          <w:jc w:val="center"/>
        </w:trPr>
        <w:tc>
          <w:tcPr>
            <w:tcW w:w="900" w:type="dxa"/>
            <w:vMerge w:val="restart"/>
            <w:tcBorders>
              <w:top w:val="single" w:sz="12" w:space="0" w:color="auto"/>
            </w:tcBorders>
            <w:shd w:val="clear" w:color="auto" w:fill="auto"/>
          </w:tcPr>
          <w:p w14:paraId="1EB791CA" w14:textId="77777777" w:rsidR="00F0236A" w:rsidRPr="00073574" w:rsidRDefault="00F0236A" w:rsidP="000661CE">
            <w:pPr>
              <w:pStyle w:val="Tabletext"/>
              <w:keepNext/>
              <w:keepLines/>
              <w:rPr>
                <w:b/>
                <w:bCs/>
                <w:sz w:val="24"/>
                <w:szCs w:val="24"/>
              </w:rPr>
            </w:pPr>
            <w:r w:rsidRPr="00073574">
              <w:rPr>
                <w:b/>
                <w:bCs/>
                <w:sz w:val="24"/>
                <w:szCs w:val="24"/>
              </w:rPr>
              <w:lastRenderedPageBreak/>
              <w:t>70-11</w:t>
            </w:r>
          </w:p>
        </w:tc>
        <w:tc>
          <w:tcPr>
            <w:tcW w:w="4909" w:type="dxa"/>
            <w:tcBorders>
              <w:top w:val="single" w:sz="12" w:space="0" w:color="auto"/>
            </w:tcBorders>
            <w:shd w:val="clear" w:color="auto" w:fill="auto"/>
          </w:tcPr>
          <w:p w14:paraId="0360A7F6" w14:textId="77777777" w:rsidR="00F0236A" w:rsidRPr="00073574" w:rsidRDefault="00F0236A" w:rsidP="00DF36E1">
            <w:pPr>
              <w:pStyle w:val="Tabletext"/>
              <w:rPr>
                <w:b/>
                <w:bCs/>
                <w:sz w:val="24"/>
                <w:szCs w:val="24"/>
              </w:rPr>
            </w:pPr>
            <w:r w:rsidRPr="00073574">
              <w:rPr>
                <w:b/>
                <w:bCs/>
                <w:sz w:val="24"/>
                <w:szCs w:val="24"/>
              </w:rPr>
              <w:t>TSB Director to consider using accessibility resource to encourage participation of persons with disabilities (i. TSBDir 9)</w:t>
            </w:r>
          </w:p>
        </w:tc>
        <w:tc>
          <w:tcPr>
            <w:tcW w:w="1556" w:type="dxa"/>
            <w:tcBorders>
              <w:top w:val="single" w:sz="12" w:space="0" w:color="auto"/>
            </w:tcBorders>
            <w:shd w:val="clear" w:color="auto" w:fill="auto"/>
            <w:vAlign w:val="center"/>
          </w:tcPr>
          <w:p w14:paraId="2E1836F9"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31" w:type="dxa"/>
            <w:tcBorders>
              <w:top w:val="single" w:sz="12" w:space="0" w:color="auto"/>
            </w:tcBorders>
            <w:shd w:val="clear" w:color="auto" w:fill="auto"/>
            <w:vAlign w:val="center"/>
          </w:tcPr>
          <w:p w14:paraId="7201C78B"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49511E93" w14:textId="77777777" w:rsidR="00F0236A" w:rsidRPr="00073574" w:rsidRDefault="00F0236A" w:rsidP="00DF36E1">
            <w:pPr>
              <w:pStyle w:val="Tabletext"/>
              <w:jc w:val="center"/>
              <w:rPr>
                <w:b/>
                <w:bCs/>
                <w:sz w:val="24"/>
                <w:szCs w:val="24"/>
              </w:rPr>
            </w:pPr>
          </w:p>
        </w:tc>
      </w:tr>
      <w:tr w:rsidR="00F0236A" w:rsidRPr="00073574" w14:paraId="53C39660" w14:textId="77777777" w:rsidTr="7277BFE4">
        <w:trPr>
          <w:cantSplit/>
          <w:jc w:val="center"/>
        </w:trPr>
        <w:tc>
          <w:tcPr>
            <w:tcW w:w="900" w:type="dxa"/>
            <w:vMerge/>
          </w:tcPr>
          <w:p w14:paraId="7A5A630E" w14:textId="77777777" w:rsidR="00F0236A" w:rsidRPr="00073574" w:rsidRDefault="00F0236A" w:rsidP="00DF36E1">
            <w:pPr>
              <w:pStyle w:val="Tabletext"/>
              <w:rPr>
                <w:sz w:val="24"/>
                <w:szCs w:val="24"/>
              </w:rPr>
            </w:pPr>
          </w:p>
        </w:tc>
        <w:tc>
          <w:tcPr>
            <w:tcW w:w="8932" w:type="dxa"/>
            <w:gridSpan w:val="4"/>
            <w:tcBorders>
              <w:bottom w:val="single" w:sz="12" w:space="0" w:color="auto"/>
            </w:tcBorders>
            <w:shd w:val="clear" w:color="auto" w:fill="auto"/>
          </w:tcPr>
          <w:p w14:paraId="7896FF0D" w14:textId="16157A11" w:rsidR="00F0236A" w:rsidRPr="00073574" w:rsidRDefault="00F0236A" w:rsidP="4DCAE4D5">
            <w:pPr>
              <w:pStyle w:val="Tabletext"/>
            </w:pPr>
            <w:r w:rsidRPr="00073574">
              <w:t>In addition to real time captioning at selected meetings, sign language interpretation has been provided within the TSB budget for delegates that requested these accessibility accommodations. Some experts had participation facilitated by TSB to participate in discussions of accessibility and human factor studies.</w:t>
            </w:r>
            <w:r w:rsidR="4E41E09B" w:rsidRPr="00073574">
              <w:t xml:space="preserve"> Experimentation was made with remote provisioning of sign language interpretation as a response to COVID-19 pandemic. </w:t>
            </w:r>
            <w:r w:rsidR="64CE9317" w:rsidRPr="00073574">
              <w:t>R</w:t>
            </w:r>
            <w:r w:rsidR="4E41E09B" w:rsidRPr="00073574">
              <w:t>eal-tim</w:t>
            </w:r>
            <w:r w:rsidR="2335BEDD" w:rsidRPr="00073574">
              <w:t xml:space="preserve">e captioning in meetings was </w:t>
            </w:r>
            <w:r w:rsidR="45058671" w:rsidRPr="00073574">
              <w:t xml:space="preserve">provided </w:t>
            </w:r>
            <w:r w:rsidR="2335BEDD" w:rsidRPr="00073574">
              <w:t xml:space="preserve">on-demand </w:t>
            </w:r>
            <w:r w:rsidR="42AACFAF" w:rsidRPr="00073574">
              <w:t xml:space="preserve">and subject to availability of resources </w:t>
            </w:r>
            <w:r w:rsidR="2335BEDD" w:rsidRPr="00073574">
              <w:t>to various meetings.</w:t>
            </w:r>
          </w:p>
        </w:tc>
      </w:tr>
      <w:tr w:rsidR="00F0236A" w:rsidRPr="00073574" w14:paraId="2EC6BFF7" w14:textId="77777777" w:rsidTr="7277BFE4">
        <w:trPr>
          <w:cantSplit/>
          <w:jc w:val="center"/>
        </w:trPr>
        <w:tc>
          <w:tcPr>
            <w:tcW w:w="900" w:type="dxa"/>
            <w:vMerge w:val="restart"/>
            <w:tcBorders>
              <w:top w:val="single" w:sz="12" w:space="0" w:color="auto"/>
            </w:tcBorders>
            <w:shd w:val="clear" w:color="auto" w:fill="auto"/>
          </w:tcPr>
          <w:p w14:paraId="116CB612" w14:textId="77777777" w:rsidR="00F0236A" w:rsidRPr="00073574" w:rsidRDefault="00F0236A" w:rsidP="00A0596F">
            <w:pPr>
              <w:pStyle w:val="Tabletext"/>
              <w:rPr>
                <w:b/>
                <w:bCs/>
                <w:sz w:val="24"/>
                <w:szCs w:val="24"/>
              </w:rPr>
            </w:pPr>
            <w:r w:rsidRPr="00073574">
              <w:rPr>
                <w:b/>
                <w:bCs/>
                <w:sz w:val="24"/>
                <w:szCs w:val="24"/>
              </w:rPr>
              <w:t>70-12</w:t>
            </w:r>
          </w:p>
        </w:tc>
        <w:tc>
          <w:tcPr>
            <w:tcW w:w="4909" w:type="dxa"/>
            <w:tcBorders>
              <w:top w:val="single" w:sz="12" w:space="0" w:color="auto"/>
            </w:tcBorders>
            <w:shd w:val="clear" w:color="auto" w:fill="auto"/>
          </w:tcPr>
          <w:p w14:paraId="1291982C" w14:textId="2437E2F7" w:rsidR="00F0236A" w:rsidRPr="00073574" w:rsidRDefault="00F0236A" w:rsidP="00DF36E1">
            <w:pPr>
              <w:pStyle w:val="Tabletext"/>
              <w:rPr>
                <w:b/>
                <w:bCs/>
                <w:sz w:val="24"/>
                <w:szCs w:val="24"/>
              </w:rPr>
            </w:pPr>
            <w:r w:rsidRPr="00073574">
              <w:rPr>
                <w:b/>
                <w:bCs/>
                <w:sz w:val="24"/>
                <w:szCs w:val="24"/>
              </w:rPr>
              <w:t xml:space="preserve">TSAG to revise the guide for ITU study groups – </w:t>
            </w:r>
            <w:r w:rsidR="003C7E25" w:rsidRPr="00073574">
              <w:rPr>
                <w:b/>
                <w:bCs/>
                <w:sz w:val="24"/>
                <w:szCs w:val="24"/>
              </w:rPr>
              <w:t>'</w:t>
            </w:r>
            <w:r w:rsidRPr="00073574">
              <w:rPr>
                <w:b/>
                <w:bCs/>
                <w:sz w:val="24"/>
                <w:szCs w:val="24"/>
              </w:rPr>
              <w:t>considering end-user needs in developing Recommendations</w:t>
            </w:r>
            <w:r w:rsidR="003C7E25" w:rsidRPr="00073574">
              <w:rPr>
                <w:b/>
                <w:bCs/>
                <w:sz w:val="24"/>
                <w:szCs w:val="24"/>
              </w:rPr>
              <w:t>'</w:t>
            </w:r>
            <w:r w:rsidRPr="00073574">
              <w:rPr>
                <w:b/>
                <w:bCs/>
                <w:sz w:val="24"/>
                <w:szCs w:val="24"/>
              </w:rPr>
              <w:t>, and request SGs to implement this guide (i. TSAG 1, 2)</w:t>
            </w:r>
          </w:p>
        </w:tc>
        <w:tc>
          <w:tcPr>
            <w:tcW w:w="1556" w:type="dxa"/>
            <w:tcBorders>
              <w:top w:val="single" w:sz="12" w:space="0" w:color="auto"/>
            </w:tcBorders>
            <w:shd w:val="clear" w:color="auto" w:fill="auto"/>
            <w:vAlign w:val="center"/>
          </w:tcPr>
          <w:p w14:paraId="76879C55" w14:textId="026A6992" w:rsidR="00F0236A" w:rsidRPr="00073574" w:rsidRDefault="00F0236A" w:rsidP="00DF36E1">
            <w:pPr>
              <w:pStyle w:val="Tabletext"/>
              <w:jc w:val="center"/>
              <w:rPr>
                <w:b/>
                <w:bCs/>
                <w:sz w:val="24"/>
                <w:szCs w:val="24"/>
              </w:rPr>
            </w:pPr>
            <w:r w:rsidRPr="00073574">
              <w:rPr>
                <w:b/>
                <w:bCs/>
                <w:sz w:val="24"/>
                <w:szCs w:val="24"/>
              </w:rPr>
              <w:t>Ongoing</w:t>
            </w:r>
          </w:p>
        </w:tc>
        <w:tc>
          <w:tcPr>
            <w:tcW w:w="1131" w:type="dxa"/>
            <w:tcBorders>
              <w:top w:val="single" w:sz="12" w:space="0" w:color="auto"/>
            </w:tcBorders>
            <w:shd w:val="clear" w:color="auto" w:fill="auto"/>
            <w:vAlign w:val="center"/>
          </w:tcPr>
          <w:p w14:paraId="4B856C9A"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58A4365F" w14:textId="77777777" w:rsidR="00F0236A" w:rsidRPr="00073574" w:rsidRDefault="00F0236A" w:rsidP="00DF36E1">
            <w:pPr>
              <w:pStyle w:val="Tabletext"/>
              <w:jc w:val="center"/>
              <w:rPr>
                <w:b/>
                <w:bCs/>
                <w:sz w:val="24"/>
                <w:szCs w:val="24"/>
              </w:rPr>
            </w:pPr>
          </w:p>
        </w:tc>
      </w:tr>
      <w:tr w:rsidR="00F0236A" w:rsidRPr="00073574" w14:paraId="5A57A0C9" w14:textId="77777777" w:rsidTr="7277BFE4">
        <w:trPr>
          <w:cantSplit/>
          <w:jc w:val="center"/>
        </w:trPr>
        <w:tc>
          <w:tcPr>
            <w:tcW w:w="900" w:type="dxa"/>
            <w:vMerge/>
          </w:tcPr>
          <w:p w14:paraId="19BF3E53" w14:textId="77777777" w:rsidR="00F0236A" w:rsidRPr="00073574" w:rsidRDefault="00F0236A" w:rsidP="00DF36E1">
            <w:pPr>
              <w:pStyle w:val="Tabletext"/>
              <w:rPr>
                <w:sz w:val="24"/>
                <w:szCs w:val="24"/>
              </w:rPr>
            </w:pPr>
          </w:p>
        </w:tc>
        <w:tc>
          <w:tcPr>
            <w:tcW w:w="8932" w:type="dxa"/>
            <w:gridSpan w:val="4"/>
            <w:tcBorders>
              <w:bottom w:val="single" w:sz="12" w:space="0" w:color="auto"/>
            </w:tcBorders>
            <w:shd w:val="clear" w:color="auto" w:fill="auto"/>
          </w:tcPr>
          <w:p w14:paraId="58C6B697" w14:textId="77777777" w:rsidR="00F0236A" w:rsidRPr="00073574" w:rsidRDefault="00F0236A" w:rsidP="00DF36E1">
            <w:pPr>
              <w:pStyle w:val="Tabletext"/>
              <w:rPr>
                <w:szCs w:val="22"/>
              </w:rPr>
            </w:pPr>
            <w:r w:rsidRPr="00073574">
              <w:rPr>
                <w:szCs w:val="22"/>
              </w:rPr>
              <w:t xml:space="preserve">TSAG will consider updating the Revision of the Guide for ITU-T Study Groups </w:t>
            </w:r>
            <w:r w:rsidRPr="00073574">
              <w:rPr>
                <w:i/>
                <w:iCs/>
                <w:szCs w:val="22"/>
              </w:rPr>
              <w:t>Considering End-User Needs in developing Recommendations</w:t>
            </w:r>
            <w:r w:rsidRPr="00073574">
              <w:rPr>
                <w:szCs w:val="22"/>
              </w:rPr>
              <w:t xml:space="preserve">, now that ISO/IEC Guide 71/ITU-T Supplement 17 </w:t>
            </w:r>
            <w:r w:rsidRPr="00073574">
              <w:rPr>
                <w:i/>
                <w:iCs/>
                <w:szCs w:val="22"/>
              </w:rPr>
              <w:t>Guide for addressing accessibility in standard</w:t>
            </w:r>
            <w:r w:rsidRPr="00073574">
              <w:rPr>
                <w:szCs w:val="22"/>
              </w:rPr>
              <w:t xml:space="preserve"> has been adopted.</w:t>
            </w:r>
          </w:p>
        </w:tc>
      </w:tr>
      <w:tr w:rsidR="00F0236A" w:rsidRPr="00073574" w14:paraId="46F8F283" w14:textId="77777777" w:rsidTr="7277BFE4">
        <w:trPr>
          <w:cantSplit/>
          <w:jc w:val="center"/>
        </w:trPr>
        <w:tc>
          <w:tcPr>
            <w:tcW w:w="900" w:type="dxa"/>
            <w:vMerge w:val="restart"/>
            <w:tcBorders>
              <w:top w:val="single" w:sz="12" w:space="0" w:color="auto"/>
            </w:tcBorders>
            <w:shd w:val="clear" w:color="auto" w:fill="auto"/>
          </w:tcPr>
          <w:p w14:paraId="6EC0285E" w14:textId="77777777" w:rsidR="00F0236A" w:rsidRPr="00073574" w:rsidRDefault="00F0236A" w:rsidP="00DF36E1">
            <w:pPr>
              <w:pStyle w:val="Tabletext"/>
              <w:keepNext/>
              <w:keepLines/>
              <w:rPr>
                <w:b/>
                <w:bCs/>
                <w:sz w:val="24"/>
                <w:szCs w:val="24"/>
              </w:rPr>
            </w:pPr>
            <w:r w:rsidRPr="00073574">
              <w:rPr>
                <w:b/>
                <w:bCs/>
                <w:sz w:val="24"/>
                <w:szCs w:val="24"/>
              </w:rPr>
              <w:t>70-13</w:t>
            </w:r>
          </w:p>
        </w:tc>
        <w:tc>
          <w:tcPr>
            <w:tcW w:w="4909" w:type="dxa"/>
            <w:tcBorders>
              <w:top w:val="single" w:sz="12" w:space="0" w:color="auto"/>
            </w:tcBorders>
            <w:shd w:val="clear" w:color="auto" w:fill="auto"/>
          </w:tcPr>
          <w:p w14:paraId="5CD986D2" w14:textId="1E970F4F" w:rsidR="00F0236A" w:rsidRPr="00073574" w:rsidRDefault="00F0236A" w:rsidP="00DF36E1">
            <w:pPr>
              <w:pStyle w:val="Tabletext"/>
              <w:keepNext/>
              <w:keepLines/>
              <w:rPr>
                <w:b/>
                <w:bCs/>
                <w:sz w:val="24"/>
                <w:szCs w:val="24"/>
              </w:rPr>
            </w:pPr>
            <w:r w:rsidRPr="00073574">
              <w:rPr>
                <w:b/>
                <w:bCs/>
                <w:sz w:val="24"/>
                <w:szCs w:val="24"/>
              </w:rPr>
              <w:t xml:space="preserve">TSB to employ the technical papers FSTP-AM </w:t>
            </w:r>
            <w:r w:rsidR="003C7E25" w:rsidRPr="00073574">
              <w:rPr>
                <w:b/>
                <w:bCs/>
                <w:sz w:val="24"/>
                <w:szCs w:val="24"/>
              </w:rPr>
              <w:t>"</w:t>
            </w:r>
            <w:r w:rsidRPr="00073574">
              <w:rPr>
                <w:b/>
                <w:bCs/>
                <w:sz w:val="24"/>
                <w:szCs w:val="24"/>
              </w:rPr>
              <w:t>Guidelines for accessible meetings</w:t>
            </w:r>
            <w:r w:rsidR="003C7E25" w:rsidRPr="00073574">
              <w:rPr>
                <w:b/>
                <w:bCs/>
                <w:sz w:val="24"/>
                <w:szCs w:val="24"/>
              </w:rPr>
              <w:t>"</w:t>
            </w:r>
            <w:r w:rsidRPr="00073574">
              <w:rPr>
                <w:b/>
                <w:bCs/>
                <w:sz w:val="24"/>
                <w:szCs w:val="24"/>
              </w:rPr>
              <w:t xml:space="preserve"> and FSTP-ACC-RemPart </w:t>
            </w:r>
            <w:r w:rsidR="003C7E25" w:rsidRPr="00073574">
              <w:rPr>
                <w:b/>
                <w:bCs/>
                <w:sz w:val="24"/>
                <w:szCs w:val="24"/>
              </w:rPr>
              <w:t>"</w:t>
            </w:r>
            <w:r w:rsidRPr="00073574">
              <w:rPr>
                <w:b/>
                <w:bCs/>
                <w:sz w:val="24"/>
                <w:szCs w:val="24"/>
              </w:rPr>
              <w:t>Guidelines for supporting remote participation for all</w:t>
            </w:r>
            <w:r w:rsidR="003C7E25" w:rsidRPr="00073574">
              <w:rPr>
                <w:b/>
                <w:bCs/>
                <w:sz w:val="24"/>
                <w:szCs w:val="24"/>
              </w:rPr>
              <w:t>"</w:t>
            </w:r>
            <w:r w:rsidRPr="00073574">
              <w:rPr>
                <w:b/>
                <w:bCs/>
                <w:sz w:val="24"/>
                <w:szCs w:val="24"/>
              </w:rPr>
              <w:t>, as appropriate, to make it possible for persons with disabilities to be able to attend ITU meetings and events (i. TSBDir 3)</w:t>
            </w:r>
          </w:p>
        </w:tc>
        <w:tc>
          <w:tcPr>
            <w:tcW w:w="1556" w:type="dxa"/>
            <w:tcBorders>
              <w:top w:val="single" w:sz="12" w:space="0" w:color="auto"/>
            </w:tcBorders>
            <w:shd w:val="clear" w:color="auto" w:fill="auto"/>
            <w:vAlign w:val="center"/>
          </w:tcPr>
          <w:p w14:paraId="20161D0D"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31" w:type="dxa"/>
            <w:tcBorders>
              <w:top w:val="single" w:sz="12" w:space="0" w:color="auto"/>
            </w:tcBorders>
            <w:shd w:val="clear" w:color="auto" w:fill="auto"/>
            <w:vAlign w:val="center"/>
          </w:tcPr>
          <w:p w14:paraId="0B6551BE" w14:textId="77777777" w:rsidR="00F0236A" w:rsidRPr="00073574" w:rsidDel="000E6B33"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48FDAD94" w14:textId="77777777" w:rsidR="00F0236A" w:rsidRPr="00073574" w:rsidRDefault="00F0236A" w:rsidP="00DF36E1">
            <w:pPr>
              <w:pStyle w:val="Tabletext"/>
              <w:jc w:val="center"/>
              <w:rPr>
                <w:b/>
                <w:bCs/>
                <w:sz w:val="24"/>
                <w:szCs w:val="24"/>
              </w:rPr>
            </w:pPr>
          </w:p>
        </w:tc>
      </w:tr>
      <w:tr w:rsidR="00F0236A" w:rsidRPr="00073574" w14:paraId="20829717" w14:textId="77777777" w:rsidTr="7277BFE4">
        <w:trPr>
          <w:cantSplit/>
          <w:jc w:val="center"/>
        </w:trPr>
        <w:tc>
          <w:tcPr>
            <w:tcW w:w="900" w:type="dxa"/>
            <w:vMerge/>
          </w:tcPr>
          <w:p w14:paraId="577C6D12" w14:textId="77777777" w:rsidR="00F0236A" w:rsidRPr="00073574" w:rsidRDefault="00F0236A" w:rsidP="00DF36E1">
            <w:pPr>
              <w:pStyle w:val="Tabletext"/>
              <w:rPr>
                <w:sz w:val="24"/>
                <w:szCs w:val="24"/>
              </w:rPr>
            </w:pPr>
          </w:p>
        </w:tc>
        <w:tc>
          <w:tcPr>
            <w:tcW w:w="8932" w:type="dxa"/>
            <w:gridSpan w:val="4"/>
            <w:tcBorders>
              <w:bottom w:val="single" w:sz="12" w:space="0" w:color="auto"/>
            </w:tcBorders>
            <w:shd w:val="clear" w:color="auto" w:fill="auto"/>
          </w:tcPr>
          <w:p w14:paraId="5B713171" w14:textId="14C8EE21" w:rsidR="00F0236A" w:rsidRPr="00073574" w:rsidRDefault="00F0236A" w:rsidP="00DF36E1">
            <w:pPr>
              <w:pStyle w:val="Tabletext"/>
            </w:pPr>
            <w:r w:rsidRPr="00073574">
              <w:t>Accessibility of ITU-T meetings has been improving over the recent years, and more experience is gained as the existing guidelines are more deployed.</w:t>
            </w:r>
            <w:r w:rsidR="72033092" w:rsidRPr="00073574">
              <w:t xml:space="preserve"> With experiences gained, work is ongoing at SG16 to update both guidelines, </w:t>
            </w:r>
            <w:hyperlink r:id="rId518">
              <w:r w:rsidR="72033092" w:rsidRPr="00073574">
                <w:rPr>
                  <w:rStyle w:val="Hyperlink"/>
                  <w:rFonts w:eastAsia="Malgun Gothic"/>
                </w:rPr>
                <w:t>FSTP-AM</w:t>
              </w:r>
            </w:hyperlink>
            <w:r w:rsidR="72033092" w:rsidRPr="00073574">
              <w:t xml:space="preserve"> and </w:t>
            </w:r>
            <w:hyperlink r:id="rId519">
              <w:r w:rsidR="72033092" w:rsidRPr="00073574">
                <w:rPr>
                  <w:rStyle w:val="Hyperlink"/>
                  <w:rFonts w:eastAsia="Malgun Gothic"/>
                </w:rPr>
                <w:t>FSTP-ACC-RemPart</w:t>
              </w:r>
            </w:hyperlink>
            <w:r w:rsidR="72033092" w:rsidRPr="00073574">
              <w:t>.</w:t>
            </w:r>
            <w:r w:rsidR="51E0655D" w:rsidRPr="00073574">
              <w:t xml:space="preserve"> The next edition of the accessible remote meetings is planned as a Recommendation under ITU-T SG16, rather than Technical Paper.</w:t>
            </w:r>
          </w:p>
        </w:tc>
      </w:tr>
      <w:tr w:rsidR="00F0236A" w:rsidRPr="00073574" w14:paraId="331FCDDB" w14:textId="77777777" w:rsidTr="7277BFE4">
        <w:trPr>
          <w:cantSplit/>
          <w:jc w:val="center"/>
        </w:trPr>
        <w:tc>
          <w:tcPr>
            <w:tcW w:w="900" w:type="dxa"/>
            <w:vMerge w:val="restart"/>
            <w:tcBorders>
              <w:top w:val="single" w:sz="12" w:space="0" w:color="auto"/>
            </w:tcBorders>
            <w:shd w:val="clear" w:color="auto" w:fill="auto"/>
          </w:tcPr>
          <w:p w14:paraId="4CEB1B6E" w14:textId="77777777" w:rsidR="00F0236A" w:rsidRPr="00073574" w:rsidRDefault="00F0236A" w:rsidP="00DF36E1">
            <w:pPr>
              <w:pStyle w:val="Tabletext"/>
              <w:keepNext/>
              <w:keepLines/>
              <w:rPr>
                <w:b/>
                <w:bCs/>
                <w:sz w:val="24"/>
                <w:szCs w:val="24"/>
              </w:rPr>
            </w:pPr>
            <w:r w:rsidRPr="00073574">
              <w:rPr>
                <w:b/>
                <w:bCs/>
                <w:sz w:val="24"/>
                <w:szCs w:val="24"/>
              </w:rPr>
              <w:t>70-14</w:t>
            </w:r>
          </w:p>
        </w:tc>
        <w:tc>
          <w:tcPr>
            <w:tcW w:w="4909" w:type="dxa"/>
            <w:tcBorders>
              <w:top w:val="single" w:sz="12" w:space="0" w:color="auto"/>
            </w:tcBorders>
            <w:shd w:val="clear" w:color="auto" w:fill="auto"/>
          </w:tcPr>
          <w:p w14:paraId="72882F23" w14:textId="77777777" w:rsidR="00F0236A" w:rsidRPr="00073574" w:rsidRDefault="00F0236A" w:rsidP="00DF36E1">
            <w:pPr>
              <w:pStyle w:val="Tabletext"/>
              <w:keepNext/>
              <w:keepLines/>
              <w:rPr>
                <w:b/>
                <w:bCs/>
                <w:sz w:val="24"/>
                <w:szCs w:val="24"/>
              </w:rPr>
            </w:pPr>
            <w:r w:rsidRPr="00073574">
              <w:rPr>
                <w:b/>
                <w:bCs/>
                <w:sz w:val="24"/>
                <w:szCs w:val="24"/>
              </w:rPr>
              <w:t>ITU-T study groups to consider aspects of universal design in their work, including the drafting of non-discriminatory standards, service regulations and measures for all persons (resolves 2)</w:t>
            </w:r>
          </w:p>
        </w:tc>
        <w:tc>
          <w:tcPr>
            <w:tcW w:w="1556" w:type="dxa"/>
            <w:tcBorders>
              <w:top w:val="single" w:sz="12" w:space="0" w:color="auto"/>
            </w:tcBorders>
            <w:shd w:val="clear" w:color="auto" w:fill="auto"/>
            <w:vAlign w:val="center"/>
          </w:tcPr>
          <w:p w14:paraId="6D854C4C"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31" w:type="dxa"/>
            <w:tcBorders>
              <w:top w:val="single" w:sz="12" w:space="0" w:color="auto"/>
            </w:tcBorders>
            <w:shd w:val="clear" w:color="auto" w:fill="auto"/>
            <w:vAlign w:val="center"/>
          </w:tcPr>
          <w:p w14:paraId="2DCCDFBE" w14:textId="276106F3" w:rsidR="00F0236A" w:rsidRPr="00073574" w:rsidDel="000E6B33" w:rsidRDefault="00E47D63"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27B057AA" w14:textId="77777777" w:rsidR="00F0236A" w:rsidRPr="00073574" w:rsidRDefault="00F0236A" w:rsidP="00DF36E1">
            <w:pPr>
              <w:pStyle w:val="Tabletext"/>
              <w:jc w:val="center"/>
              <w:rPr>
                <w:b/>
                <w:bCs/>
                <w:sz w:val="24"/>
                <w:szCs w:val="24"/>
              </w:rPr>
            </w:pPr>
          </w:p>
        </w:tc>
      </w:tr>
      <w:tr w:rsidR="00F0236A" w:rsidRPr="00073574" w14:paraId="7B0A83FA" w14:textId="77777777" w:rsidTr="7277BFE4">
        <w:trPr>
          <w:cantSplit/>
          <w:jc w:val="center"/>
        </w:trPr>
        <w:tc>
          <w:tcPr>
            <w:tcW w:w="900" w:type="dxa"/>
            <w:vMerge/>
            <w:vAlign w:val="center"/>
          </w:tcPr>
          <w:p w14:paraId="66290DC4" w14:textId="77777777" w:rsidR="00F0236A" w:rsidRPr="00073574" w:rsidRDefault="00F0236A" w:rsidP="00DF36E1">
            <w:pPr>
              <w:pStyle w:val="Tabletext"/>
              <w:rPr>
                <w:sz w:val="24"/>
                <w:szCs w:val="24"/>
              </w:rPr>
            </w:pPr>
          </w:p>
        </w:tc>
        <w:tc>
          <w:tcPr>
            <w:tcW w:w="8932" w:type="dxa"/>
            <w:gridSpan w:val="4"/>
            <w:shd w:val="clear" w:color="auto" w:fill="auto"/>
          </w:tcPr>
          <w:p w14:paraId="05FBEA47" w14:textId="329537D5" w:rsidR="00237E5D" w:rsidRPr="00073574" w:rsidRDefault="29E6E91F" w:rsidP="00DF36E1">
            <w:pPr>
              <w:pStyle w:val="Tabletext"/>
            </w:pPr>
            <w:r w:rsidRPr="00073574">
              <w:t xml:space="preserve">ITU-T SG2 started work on draft Recommendation </w:t>
            </w:r>
            <w:r w:rsidR="4F4DB5FC" w:rsidRPr="00073574">
              <w:t>I</w:t>
            </w:r>
            <w:r w:rsidRPr="00073574">
              <w:t>TU-T E.disab “Specification of an international numbering resource for use in the provisioning of services for persons with disabilities and persons with specific needs”, and is collaborating with SG16.</w:t>
            </w:r>
          </w:p>
          <w:p w14:paraId="158CC7A6" w14:textId="51568ED1" w:rsidR="00647D2D" w:rsidRPr="00073574" w:rsidRDefault="00647D2D" w:rsidP="00DF36E1">
            <w:pPr>
              <w:pStyle w:val="Tabletext"/>
              <w:rPr>
                <w:szCs w:val="22"/>
              </w:rPr>
            </w:pPr>
            <w:r w:rsidRPr="00073574">
              <w:rPr>
                <w:szCs w:val="22"/>
              </w:rPr>
              <w:t>SG2 started new Technical Report E.TR_TRAFGR on the analysis of ITU-T F.930 for global resource assignment.</w:t>
            </w:r>
          </w:p>
          <w:p w14:paraId="500215C8" w14:textId="192E90B1" w:rsidR="00F0236A" w:rsidRPr="00073574" w:rsidRDefault="001F666A" w:rsidP="00DF36E1">
            <w:pPr>
              <w:pStyle w:val="Tabletext"/>
              <w:rPr>
                <w:szCs w:val="22"/>
              </w:rPr>
            </w:pPr>
            <w:r w:rsidRPr="00073574">
              <w:t>In</w:t>
            </w:r>
            <w:r w:rsidR="00897E82" w:rsidRPr="00073574">
              <w:rPr>
                <w:szCs w:val="22"/>
              </w:rPr>
              <w:t xml:space="preserve"> SG20</w:t>
            </w:r>
            <w:r w:rsidRPr="00073574">
              <w:t>,</w:t>
            </w:r>
            <w:r w:rsidR="00897E82" w:rsidRPr="00073574">
              <w:rPr>
                <w:szCs w:val="22"/>
              </w:rPr>
              <w:t xml:space="preserve"> Recommendation </w:t>
            </w:r>
            <w:hyperlink r:id="rId520" w:history="1">
              <w:r w:rsidRPr="00073574">
                <w:rPr>
                  <w:rStyle w:val="Hyperlink"/>
                </w:rPr>
                <w:t>ITU-T Y.4204</w:t>
              </w:r>
            </w:hyperlink>
            <w:r w:rsidRPr="00073574">
              <w:t xml:space="preserve"> (02/19) - </w:t>
            </w:r>
            <w:r w:rsidR="00897E82" w:rsidRPr="00073574">
              <w:rPr>
                <w:szCs w:val="22"/>
              </w:rPr>
              <w:t>Accessibility requirements for the Internet of things applications and services</w:t>
            </w:r>
            <w:r w:rsidRPr="00073574">
              <w:t xml:space="preserve">, and </w:t>
            </w:r>
            <w:hyperlink r:id="rId521" w:history="1">
              <w:r w:rsidRPr="00073574">
                <w:rPr>
                  <w:rStyle w:val="Hyperlink"/>
                </w:rPr>
                <w:t>ITU-T Y.4211</w:t>
              </w:r>
            </w:hyperlink>
            <w:r w:rsidRPr="00073574">
              <w:t xml:space="preserve"> (12/2020) “Accessibility requirements for smart public transportation services” were approved.</w:t>
            </w:r>
          </w:p>
        </w:tc>
      </w:tr>
    </w:tbl>
    <w:p w14:paraId="77C44DA9" w14:textId="3C3501CA" w:rsidR="7277BFE4" w:rsidRPr="00073574" w:rsidRDefault="7277BFE4">
      <w:bookmarkStart w:id="356" w:name="Item70_01"/>
      <w:bookmarkStart w:id="357" w:name="Item70_02"/>
      <w:bookmarkStart w:id="358" w:name="Item70_03"/>
      <w:bookmarkStart w:id="359" w:name="Item70_04"/>
      <w:bookmarkStart w:id="360" w:name="Item70_05"/>
      <w:bookmarkStart w:id="361" w:name="Item70_06"/>
      <w:bookmarkStart w:id="362" w:name="Item70_07"/>
      <w:bookmarkStart w:id="363" w:name="Item70_08"/>
      <w:bookmarkStart w:id="364" w:name="Item70_09"/>
      <w:bookmarkStart w:id="365" w:name="Item70_10"/>
      <w:bookmarkStart w:id="366" w:name="Item70_11"/>
      <w:bookmarkStart w:id="367" w:name="Item70_12"/>
      <w:bookmarkStart w:id="368" w:name="Item70_13"/>
      <w:bookmarkStart w:id="369" w:name="Item70_14"/>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14:paraId="5D76045B" w14:textId="77777777" w:rsidR="00F0236A" w:rsidRPr="00073574" w:rsidRDefault="0053741E" w:rsidP="00F0236A">
      <w:pPr>
        <w:rPr>
          <w:sz w:val="24"/>
        </w:rPr>
      </w:pPr>
      <w:hyperlink w:anchor="Top" w:history="1">
        <w:r w:rsidR="00F0236A" w:rsidRPr="00073574">
          <w:rPr>
            <w:rStyle w:val="Hyperlink"/>
            <w:rFonts w:eastAsia="Times New Roman"/>
            <w:sz w:val="24"/>
          </w:rPr>
          <w:t>» Top</w:t>
        </w:r>
      </w:hyperlink>
    </w:p>
    <w:p w14:paraId="1391FEB0" w14:textId="77777777" w:rsidR="00F0236A" w:rsidRPr="00073574" w:rsidRDefault="00F0236A" w:rsidP="00F0236A">
      <w:pPr>
        <w:rPr>
          <w:sz w:val="24"/>
        </w:rPr>
      </w:pPr>
      <w:bookmarkStart w:id="370" w:name="Resolution_71"/>
      <w:bookmarkStart w:id="371" w:name="Item71_01"/>
      <w:bookmarkStart w:id="372" w:name="Item71_02"/>
      <w:bookmarkStart w:id="373" w:name="Item71_03"/>
      <w:bookmarkStart w:id="374" w:name="Item71_04"/>
      <w:bookmarkStart w:id="375" w:name="Item71_05"/>
      <w:bookmarkStart w:id="376" w:name="Item71_06"/>
      <w:bookmarkEnd w:id="370"/>
      <w:bookmarkEnd w:id="371"/>
      <w:bookmarkEnd w:id="372"/>
      <w:bookmarkEnd w:id="373"/>
      <w:bookmarkEnd w:id="374"/>
      <w:bookmarkEnd w:id="375"/>
      <w:bookmarkEnd w:id="376"/>
    </w:p>
    <w:p w14:paraId="62E4616E" w14:textId="77777777" w:rsidR="00F0236A" w:rsidRPr="00073574" w:rsidRDefault="00F0236A" w:rsidP="000D0E98">
      <w:pPr>
        <w:pStyle w:val="Heading1"/>
        <w:keepNext/>
        <w:keepLines/>
        <w:rPr>
          <w:sz w:val="24"/>
          <w:szCs w:val="24"/>
          <w:lang w:val="en-GB"/>
        </w:rPr>
      </w:pPr>
      <w:bookmarkStart w:id="377" w:name="Resolution_72"/>
      <w:bookmarkStart w:id="378" w:name="_Toc304236456"/>
      <w:bookmarkStart w:id="379" w:name="_Toc471715388"/>
      <w:bookmarkStart w:id="380" w:name="_Toc93425274"/>
      <w:bookmarkEnd w:id="377"/>
      <w:r w:rsidRPr="00073574">
        <w:rPr>
          <w:sz w:val="24"/>
          <w:szCs w:val="24"/>
          <w:lang w:val="en-GB"/>
        </w:rPr>
        <w:lastRenderedPageBreak/>
        <w:t>Resolution 72 - Measurement and assessment concerns related to human exposure to electromagnetic fields</w:t>
      </w:r>
      <w:bookmarkEnd w:id="378"/>
      <w:bookmarkEnd w:id="379"/>
      <w:bookmarkEnd w:id="380"/>
    </w:p>
    <w:p w14:paraId="6E7A9B57" w14:textId="77777777" w:rsidR="00F0236A" w:rsidRPr="00073574" w:rsidRDefault="00F0236A" w:rsidP="000D0E98">
      <w:pPr>
        <w:keepNext/>
        <w:keepLines/>
        <w:rPr>
          <w:b/>
          <w:bCs/>
          <w:sz w:val="24"/>
        </w:rPr>
      </w:pPr>
      <w:r w:rsidRPr="00073574">
        <w:rPr>
          <w:b/>
          <w:bCs/>
          <w:sz w:val="24"/>
        </w:rPr>
        <w:t>Resolution 72</w:t>
      </w:r>
    </w:p>
    <w:p w14:paraId="70A64566" w14:textId="77777777" w:rsidR="00F0236A" w:rsidRPr="00073574" w:rsidRDefault="00F0236A" w:rsidP="000D0E98">
      <w:pPr>
        <w:pStyle w:val="Call"/>
        <w:rPr>
          <w:sz w:val="24"/>
          <w:szCs w:val="24"/>
          <w:lang w:val="en-GB"/>
        </w:rPr>
      </w:pPr>
      <w:r w:rsidRPr="00073574">
        <w:rPr>
          <w:sz w:val="24"/>
          <w:szCs w:val="24"/>
          <w:lang w:val="en-GB"/>
        </w:rPr>
        <w:t>resolves</w:t>
      </w:r>
    </w:p>
    <w:p w14:paraId="35C1505E" w14:textId="77777777" w:rsidR="00F0236A" w:rsidRPr="00073574" w:rsidRDefault="00F0236A" w:rsidP="000D0E98">
      <w:pPr>
        <w:keepNext/>
        <w:keepLines/>
        <w:rPr>
          <w:sz w:val="24"/>
        </w:rPr>
      </w:pPr>
      <w:r w:rsidRPr="00073574">
        <w:rPr>
          <w:sz w:val="24"/>
        </w:rPr>
        <w:t>to invite ITU</w:t>
      </w:r>
      <w:r w:rsidRPr="00073574">
        <w:rPr>
          <w:sz w:val="24"/>
        </w:rPr>
        <w:noBreakHyphen/>
        <w:t>T, in particular Study Group 5, to expand and continue its work and support in this domain, including, but not limited to:</w:t>
      </w:r>
    </w:p>
    <w:p w14:paraId="5434F8CB" w14:textId="77777777" w:rsidR="00F0236A" w:rsidRPr="00073574" w:rsidRDefault="00F0236A" w:rsidP="00F0236A">
      <w:pPr>
        <w:pStyle w:val="enumlev10"/>
        <w:rPr>
          <w:sz w:val="24"/>
          <w:szCs w:val="24"/>
        </w:rPr>
      </w:pPr>
      <w:r w:rsidRPr="00073574">
        <w:rPr>
          <w:sz w:val="24"/>
          <w:szCs w:val="24"/>
        </w:rPr>
        <w:t>i)</w:t>
      </w:r>
      <w:r w:rsidRPr="00073574">
        <w:rPr>
          <w:sz w:val="24"/>
          <w:szCs w:val="24"/>
        </w:rPr>
        <w:tab/>
        <w:t>publishing and disseminating its technical reports, as well as developing ITU-T Recommendations to address these issues;</w:t>
      </w:r>
    </w:p>
    <w:p w14:paraId="0F396B00" w14:textId="77777777" w:rsidR="00F0236A" w:rsidRPr="00073574" w:rsidRDefault="00F0236A" w:rsidP="00F0236A">
      <w:pPr>
        <w:pStyle w:val="enumlev10"/>
        <w:rPr>
          <w:sz w:val="24"/>
          <w:szCs w:val="24"/>
        </w:rPr>
      </w:pPr>
      <w:r w:rsidRPr="00073574">
        <w:rPr>
          <w:sz w:val="24"/>
          <w:szCs w:val="24"/>
        </w:rPr>
        <w:t>ii)</w:t>
      </w:r>
      <w:r w:rsidRPr="00073574">
        <w:rPr>
          <w:sz w:val="24"/>
          <w:szCs w:val="24"/>
        </w:rPr>
        <w:tab/>
        <w:t>developing, promoting and disseminating information and training resources related to this topic through the organization of training programmes, workshops, forums and seminars for regulators, operators and any interested stakeholders from developing countries;</w:t>
      </w:r>
    </w:p>
    <w:p w14:paraId="28CA9E04" w14:textId="77777777" w:rsidR="00F0236A" w:rsidRPr="00073574" w:rsidRDefault="00F0236A" w:rsidP="00F0236A">
      <w:pPr>
        <w:pStyle w:val="enumlev10"/>
        <w:rPr>
          <w:sz w:val="24"/>
          <w:szCs w:val="24"/>
        </w:rPr>
      </w:pPr>
      <w:r w:rsidRPr="00073574">
        <w:rPr>
          <w:sz w:val="24"/>
          <w:szCs w:val="24"/>
        </w:rPr>
        <w:t>iii)</w:t>
      </w:r>
      <w:r w:rsidRPr="00073574">
        <w:rPr>
          <w:sz w:val="24"/>
          <w:szCs w:val="24"/>
        </w:rPr>
        <w:tab/>
        <w:t>continuing to cooperate and collaborate with other organizations working on this topic and to leverage their work, in particular with a view to assisting the developing countries in the establishment of standards and in monitoring compliance with these standards, especially on telecommunication installations and terminals;</w:t>
      </w:r>
    </w:p>
    <w:p w14:paraId="001CD015" w14:textId="77777777" w:rsidR="00F0236A" w:rsidRPr="00073574" w:rsidRDefault="00F0236A" w:rsidP="00F0236A">
      <w:pPr>
        <w:pStyle w:val="enumlev10"/>
        <w:rPr>
          <w:sz w:val="24"/>
          <w:szCs w:val="24"/>
        </w:rPr>
      </w:pPr>
      <w:r w:rsidRPr="00073574">
        <w:rPr>
          <w:sz w:val="24"/>
          <w:szCs w:val="24"/>
        </w:rPr>
        <w:t>iv)</w:t>
      </w:r>
      <w:r w:rsidRPr="00073574">
        <w:rPr>
          <w:sz w:val="24"/>
          <w:szCs w:val="24"/>
        </w:rPr>
        <w:tab/>
        <w:t>cooperating on these issues with ITU</w:t>
      </w:r>
      <w:r w:rsidRPr="00073574">
        <w:rPr>
          <w:sz w:val="24"/>
          <w:szCs w:val="24"/>
        </w:rPr>
        <w:noBreakHyphen/>
        <w:t>R Study Groups 1 and 6, and with Study Group 2 of the ITU Telecommunication Development Sector (ITU</w:t>
      </w:r>
      <w:r w:rsidRPr="00073574">
        <w:rPr>
          <w:sz w:val="24"/>
          <w:szCs w:val="24"/>
        </w:rPr>
        <w:noBreakHyphen/>
        <w:t>D) in the framework of ITU-D Question 7/2;</w:t>
      </w:r>
    </w:p>
    <w:p w14:paraId="6C6753D3" w14:textId="77777777" w:rsidR="00F0236A" w:rsidRPr="00073574" w:rsidRDefault="00F0236A" w:rsidP="00F0236A">
      <w:pPr>
        <w:pStyle w:val="enumlev10"/>
        <w:rPr>
          <w:sz w:val="24"/>
          <w:szCs w:val="24"/>
        </w:rPr>
      </w:pPr>
      <w:r w:rsidRPr="00073574">
        <w:rPr>
          <w:sz w:val="24"/>
          <w:szCs w:val="24"/>
        </w:rPr>
        <w:t>v)</w:t>
      </w:r>
      <w:r w:rsidRPr="00073574">
        <w:rPr>
          <w:sz w:val="24"/>
          <w:szCs w:val="24"/>
        </w:rPr>
        <w:tab/>
        <w:t>strengthening coordination and cooperation with WHO in the EMF project so that any publications relating to human exposure to EMF are circulated to Member States as soon as they are issued,</w:t>
      </w:r>
    </w:p>
    <w:p w14:paraId="5307A736" w14:textId="77777777" w:rsidR="00F0236A" w:rsidRPr="00073574" w:rsidRDefault="00F0236A" w:rsidP="00F0236A">
      <w:pPr>
        <w:pStyle w:val="Call"/>
        <w:rPr>
          <w:sz w:val="24"/>
          <w:szCs w:val="24"/>
          <w:lang w:val="en-GB"/>
        </w:rPr>
      </w:pPr>
      <w:r w:rsidRPr="00073574">
        <w:rPr>
          <w:sz w:val="24"/>
          <w:szCs w:val="24"/>
          <w:lang w:val="en-GB"/>
        </w:rPr>
        <w:t>instructs the Director of the Telecommunication Standardization Bureau, in close collaboration with the Directors of the other two Bureaux</w:t>
      </w:r>
    </w:p>
    <w:p w14:paraId="67A69782" w14:textId="77777777" w:rsidR="00F0236A" w:rsidRPr="00073574" w:rsidRDefault="00F0236A" w:rsidP="00F0236A">
      <w:pPr>
        <w:pStyle w:val="enumlev10"/>
        <w:rPr>
          <w:sz w:val="24"/>
          <w:szCs w:val="24"/>
        </w:rPr>
      </w:pPr>
      <w:r w:rsidRPr="00073574">
        <w:rPr>
          <w:sz w:val="24"/>
          <w:szCs w:val="24"/>
        </w:rPr>
        <w:t>within the available financial resources</w:t>
      </w:r>
    </w:p>
    <w:p w14:paraId="7D0F4EB5" w14:textId="042AFF85" w:rsidR="00F0236A" w:rsidRPr="00073574" w:rsidRDefault="00F0236A" w:rsidP="00F0236A">
      <w:pPr>
        <w:rPr>
          <w:sz w:val="24"/>
        </w:rPr>
      </w:pPr>
      <w:r w:rsidRPr="00073574">
        <w:rPr>
          <w:sz w:val="24"/>
        </w:rPr>
        <w:t>1</w:t>
      </w:r>
      <w:r w:rsidRPr="00073574">
        <w:rPr>
          <w:sz w:val="24"/>
        </w:rPr>
        <w:tab/>
        <w:t xml:space="preserve">to support the development of reports identifying the needs of developing countries on the issue of assessing human exposure to EMF, and to submit the reports as soon as possible to ITU-T Study Group 5 for its consideration and action </w:t>
      </w:r>
      <w:r w:rsidR="00E31596" w:rsidRPr="00073574">
        <w:rPr>
          <w:sz w:val="24"/>
        </w:rPr>
        <w:t>in accordance with its mandate;</w:t>
      </w:r>
    </w:p>
    <w:p w14:paraId="4F4B78F4" w14:textId="77777777" w:rsidR="00F0236A" w:rsidRPr="00073574" w:rsidRDefault="00F0236A" w:rsidP="00F0236A">
      <w:pPr>
        <w:rPr>
          <w:sz w:val="24"/>
        </w:rPr>
      </w:pPr>
      <w:r w:rsidRPr="00073574">
        <w:rPr>
          <w:sz w:val="24"/>
        </w:rPr>
        <w:t>2</w:t>
      </w:r>
      <w:r w:rsidRPr="00073574">
        <w:rPr>
          <w:sz w:val="24"/>
        </w:rPr>
        <w:tab/>
        <w:t>to regularly update the ITU-T portal on EMF activities including, but not limited to, the ITU EMF Guide, links to websites, and flyers;</w:t>
      </w:r>
    </w:p>
    <w:p w14:paraId="1D6C0494" w14:textId="77777777" w:rsidR="00F0236A" w:rsidRPr="00073574" w:rsidRDefault="00F0236A" w:rsidP="00F0236A">
      <w:pPr>
        <w:rPr>
          <w:sz w:val="24"/>
        </w:rPr>
      </w:pPr>
      <w:r w:rsidRPr="00073574">
        <w:rPr>
          <w:sz w:val="24"/>
        </w:rPr>
        <w:t>3</w:t>
      </w:r>
      <w:r w:rsidRPr="00073574">
        <w:rPr>
          <w:sz w:val="24"/>
        </w:rPr>
        <w:tab/>
        <w:t>to hold workshops in developing countries with presentations and training on the use of equipment employed in assessing human exposure to RF energy;</w:t>
      </w:r>
    </w:p>
    <w:p w14:paraId="53F876BC" w14:textId="77777777" w:rsidR="00F0236A" w:rsidRPr="00073574" w:rsidRDefault="00F0236A" w:rsidP="00F0236A">
      <w:pPr>
        <w:rPr>
          <w:sz w:val="24"/>
        </w:rPr>
      </w:pPr>
      <w:r w:rsidRPr="00073574">
        <w:rPr>
          <w:sz w:val="24"/>
        </w:rPr>
        <w:t>4</w:t>
      </w:r>
      <w:r w:rsidRPr="00073574">
        <w:rPr>
          <w:sz w:val="24"/>
        </w:rPr>
        <w:tab/>
        <w:t>to extend support for developing countries while they establish their regional centres equipped with test benches for continuous monitoring of EMF levels, especially in selected areas where the public has concerns, and transparently provide the data to the general public by using, among other things, the modalities listed in Resolutions 44 (Rev. Hammamet, 2016) and 76 (Rev. Hammamet, 2016) of this assembly, in the context of the development of the regional test centres and of Resolution 177 (Rev. Busan, 2014) of the Plenipotentiary Conference;</w:t>
      </w:r>
    </w:p>
    <w:p w14:paraId="7DEFE362" w14:textId="77777777" w:rsidR="00F0236A" w:rsidRPr="00073574" w:rsidRDefault="00F0236A" w:rsidP="00F0236A">
      <w:pPr>
        <w:rPr>
          <w:sz w:val="24"/>
        </w:rPr>
      </w:pPr>
      <w:r w:rsidRPr="00073574">
        <w:rPr>
          <w:sz w:val="24"/>
        </w:rPr>
        <w:t>5</w:t>
      </w:r>
      <w:r w:rsidRPr="00073574">
        <w:rPr>
          <w:sz w:val="24"/>
        </w:rPr>
        <w:tab/>
        <w:t>to report to the next world telecommunication standardization assembly on measures taken to implement this resolution,</w:t>
      </w:r>
    </w:p>
    <w:p w14:paraId="76F325AD" w14:textId="77777777" w:rsidR="00F0236A" w:rsidRPr="00073574" w:rsidRDefault="00F0236A" w:rsidP="00F0236A">
      <w:pPr>
        <w:pStyle w:val="Call"/>
        <w:rPr>
          <w:sz w:val="24"/>
          <w:szCs w:val="24"/>
          <w:lang w:val="en-GB"/>
        </w:rPr>
      </w:pPr>
      <w:r w:rsidRPr="00073574">
        <w:rPr>
          <w:sz w:val="24"/>
          <w:szCs w:val="24"/>
          <w:lang w:val="en-GB"/>
        </w:rPr>
        <w:lastRenderedPageBreak/>
        <w:t>invites Member States and Sector Members</w:t>
      </w:r>
    </w:p>
    <w:p w14:paraId="68F96072" w14:textId="77777777" w:rsidR="00F0236A" w:rsidRPr="00073574" w:rsidRDefault="00F0236A" w:rsidP="00F0236A">
      <w:pPr>
        <w:rPr>
          <w:sz w:val="24"/>
        </w:rPr>
      </w:pPr>
      <w:r w:rsidRPr="00073574">
        <w:rPr>
          <w:sz w:val="24"/>
        </w:rPr>
        <w:t>1</w:t>
      </w:r>
      <w:r w:rsidRPr="00073574">
        <w:rPr>
          <w:sz w:val="24"/>
        </w:rPr>
        <w:tab/>
        <w:t>to contribute actively to the work by Study Group 5 in providing relevant and timely information, in order to assist developing countries in providing information and addressing measurement concerns related to RF exposure and EMF;</w:t>
      </w:r>
    </w:p>
    <w:p w14:paraId="41F5E655" w14:textId="77777777" w:rsidR="00F0236A" w:rsidRPr="00073574" w:rsidRDefault="00F0236A" w:rsidP="00F0236A">
      <w:pPr>
        <w:rPr>
          <w:sz w:val="24"/>
        </w:rPr>
      </w:pPr>
      <w:r w:rsidRPr="00073574">
        <w:rPr>
          <w:sz w:val="24"/>
        </w:rPr>
        <w:t>2</w:t>
      </w:r>
      <w:r w:rsidRPr="00073574">
        <w:rPr>
          <w:sz w:val="24"/>
        </w:rPr>
        <w:tab/>
        <w:t>to conduct periodic reviews to ensure that ITU-T Recommendations related to exposure to EMF are followed;</w:t>
      </w:r>
    </w:p>
    <w:p w14:paraId="11921A75" w14:textId="28B7357E" w:rsidR="00F0236A" w:rsidRPr="00073574" w:rsidRDefault="00F0236A" w:rsidP="00F0236A">
      <w:pPr>
        <w:rPr>
          <w:sz w:val="24"/>
        </w:rPr>
      </w:pPr>
      <w:r w:rsidRPr="00073574">
        <w:rPr>
          <w:sz w:val="24"/>
        </w:rPr>
        <w:t>3</w:t>
      </w:r>
      <w:r w:rsidRPr="00073574">
        <w:rPr>
          <w:sz w:val="24"/>
        </w:rPr>
        <w:tab/>
        <w:t>to cooperate and share expertise and resources between developed and developing countries in order to help government administrations, especially in developing countries, to reinforce or establish an appropriate regulatory framework for protecting people and the environme</w:t>
      </w:r>
      <w:r w:rsidR="00E31596" w:rsidRPr="00073574">
        <w:rPr>
          <w:sz w:val="24"/>
        </w:rPr>
        <w:t>nt from non-ionizing radiation;</w:t>
      </w:r>
    </w:p>
    <w:p w14:paraId="2D0DAA3C" w14:textId="77777777" w:rsidR="00F0236A" w:rsidRPr="00073574" w:rsidRDefault="00F0236A" w:rsidP="00F0236A">
      <w:pPr>
        <w:rPr>
          <w:sz w:val="24"/>
        </w:rPr>
      </w:pPr>
      <w:r w:rsidRPr="00073574">
        <w:rPr>
          <w:sz w:val="24"/>
        </w:rPr>
        <w:t>4</w:t>
      </w:r>
      <w:r w:rsidRPr="00073574">
        <w:rPr>
          <w:sz w:val="24"/>
        </w:rPr>
        <w:tab/>
        <w:t>to encourage the use of ITU-T Recommendations to build national standards for measuring and assessing EMF levels and inform the public of compliance with those standards,</w:t>
      </w:r>
    </w:p>
    <w:p w14:paraId="00488E53" w14:textId="77777777" w:rsidR="00F0236A" w:rsidRPr="00073574" w:rsidRDefault="00F0236A" w:rsidP="00F0236A">
      <w:pPr>
        <w:pStyle w:val="Call"/>
        <w:rPr>
          <w:sz w:val="24"/>
          <w:szCs w:val="24"/>
          <w:lang w:val="en-GB"/>
        </w:rPr>
      </w:pPr>
      <w:r w:rsidRPr="00073574">
        <w:rPr>
          <w:sz w:val="24"/>
          <w:szCs w:val="24"/>
          <w:lang w:val="en-GB"/>
        </w:rPr>
        <w:t>further invites Member States</w:t>
      </w:r>
    </w:p>
    <w:p w14:paraId="7A88C769" w14:textId="77777777" w:rsidR="00F0236A" w:rsidRPr="00073574" w:rsidRDefault="00F0236A" w:rsidP="00F0236A">
      <w:pPr>
        <w:spacing w:after="240"/>
        <w:ind w:left="284"/>
        <w:rPr>
          <w:i/>
          <w:iCs/>
          <w:sz w:val="24"/>
        </w:rPr>
      </w:pPr>
      <w:r w:rsidRPr="00073574">
        <w:rPr>
          <w:sz w:val="24"/>
        </w:rPr>
        <w:t>to adopt suitable measures in order to ensure compliance with relevant international recommendations to protect health against the adverse effect of EMF.</w:t>
      </w:r>
    </w:p>
    <w:tbl>
      <w:tblPr>
        <w:tblW w:w="98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13"/>
        <w:gridCol w:w="5159"/>
        <w:gridCol w:w="1258"/>
        <w:gridCol w:w="1166"/>
        <w:gridCol w:w="1336"/>
      </w:tblGrid>
      <w:tr w:rsidR="00F0236A" w:rsidRPr="00073574" w14:paraId="697CEC70" w14:textId="77777777" w:rsidTr="00AA12EE">
        <w:trPr>
          <w:cantSplit/>
          <w:jc w:val="center"/>
        </w:trPr>
        <w:tc>
          <w:tcPr>
            <w:tcW w:w="913" w:type="dxa"/>
            <w:tcBorders>
              <w:top w:val="single" w:sz="12" w:space="0" w:color="auto"/>
              <w:bottom w:val="single" w:sz="12" w:space="0" w:color="auto"/>
            </w:tcBorders>
            <w:shd w:val="clear" w:color="auto" w:fill="auto"/>
            <w:vAlign w:val="center"/>
          </w:tcPr>
          <w:p w14:paraId="6C570F5D" w14:textId="77777777" w:rsidR="00F0236A" w:rsidRPr="00073574" w:rsidRDefault="00F0236A" w:rsidP="00B45B40">
            <w:pPr>
              <w:pStyle w:val="Tablehead"/>
              <w:keepNext w:val="0"/>
              <w:rPr>
                <w:sz w:val="24"/>
                <w:szCs w:val="24"/>
              </w:rPr>
            </w:pPr>
            <w:r w:rsidRPr="00073574">
              <w:rPr>
                <w:sz w:val="24"/>
                <w:szCs w:val="24"/>
              </w:rPr>
              <w:t>Action Item</w:t>
            </w:r>
          </w:p>
        </w:tc>
        <w:tc>
          <w:tcPr>
            <w:tcW w:w="5159" w:type="dxa"/>
            <w:tcBorders>
              <w:top w:val="single" w:sz="12" w:space="0" w:color="auto"/>
              <w:bottom w:val="single" w:sz="12" w:space="0" w:color="auto"/>
            </w:tcBorders>
            <w:shd w:val="clear" w:color="auto" w:fill="auto"/>
            <w:vAlign w:val="center"/>
            <w:hideMark/>
          </w:tcPr>
          <w:p w14:paraId="62F5538D" w14:textId="77777777" w:rsidR="00F0236A" w:rsidRPr="00073574" w:rsidRDefault="00F0236A" w:rsidP="00DF36E1">
            <w:pPr>
              <w:pStyle w:val="Tablehead"/>
              <w:rPr>
                <w:sz w:val="24"/>
                <w:szCs w:val="24"/>
              </w:rPr>
            </w:pPr>
            <w:r w:rsidRPr="00073574">
              <w:rPr>
                <w:sz w:val="24"/>
                <w:szCs w:val="24"/>
              </w:rPr>
              <w:t>Action</w:t>
            </w:r>
          </w:p>
        </w:tc>
        <w:tc>
          <w:tcPr>
            <w:tcW w:w="1258" w:type="dxa"/>
            <w:tcBorders>
              <w:top w:val="single" w:sz="12" w:space="0" w:color="auto"/>
              <w:bottom w:val="single" w:sz="12" w:space="0" w:color="auto"/>
            </w:tcBorders>
            <w:shd w:val="clear" w:color="auto" w:fill="auto"/>
            <w:vAlign w:val="center"/>
            <w:hideMark/>
          </w:tcPr>
          <w:p w14:paraId="7893304C" w14:textId="77777777" w:rsidR="00F0236A" w:rsidRPr="00073574" w:rsidRDefault="00F0236A" w:rsidP="00DF36E1">
            <w:pPr>
              <w:pStyle w:val="Tablehead"/>
              <w:rPr>
                <w:sz w:val="24"/>
                <w:szCs w:val="24"/>
              </w:rPr>
            </w:pPr>
            <w:r w:rsidRPr="00073574">
              <w:rPr>
                <w:sz w:val="24"/>
                <w:szCs w:val="24"/>
              </w:rPr>
              <w:t>Milestone</w:t>
            </w:r>
          </w:p>
        </w:tc>
        <w:tc>
          <w:tcPr>
            <w:tcW w:w="1166" w:type="dxa"/>
            <w:tcBorders>
              <w:top w:val="single" w:sz="12" w:space="0" w:color="auto"/>
              <w:bottom w:val="single" w:sz="12" w:space="0" w:color="auto"/>
            </w:tcBorders>
            <w:shd w:val="clear" w:color="auto" w:fill="auto"/>
          </w:tcPr>
          <w:p w14:paraId="41B0B8EA" w14:textId="77777777" w:rsidR="00F0236A" w:rsidRPr="00073574" w:rsidRDefault="00F0236A" w:rsidP="00DF36E1">
            <w:pPr>
              <w:pStyle w:val="Tablehead"/>
              <w:rPr>
                <w:sz w:val="24"/>
                <w:szCs w:val="24"/>
              </w:rPr>
            </w:pPr>
            <w:r w:rsidRPr="00073574">
              <w:rPr>
                <w:sz w:val="24"/>
                <w:szCs w:val="24"/>
              </w:rPr>
              <w:t>Periodic goals met</w:t>
            </w:r>
          </w:p>
        </w:tc>
        <w:tc>
          <w:tcPr>
            <w:tcW w:w="1336" w:type="dxa"/>
            <w:tcBorders>
              <w:top w:val="single" w:sz="12" w:space="0" w:color="auto"/>
              <w:bottom w:val="single" w:sz="12" w:space="0" w:color="auto"/>
            </w:tcBorders>
            <w:shd w:val="clear" w:color="auto" w:fill="auto"/>
            <w:vAlign w:val="center"/>
          </w:tcPr>
          <w:p w14:paraId="33B2B2AA" w14:textId="77777777" w:rsidR="00F0236A" w:rsidRPr="00073574" w:rsidRDefault="00F0236A" w:rsidP="00DF36E1">
            <w:pPr>
              <w:pStyle w:val="Tablehead"/>
              <w:rPr>
                <w:sz w:val="24"/>
                <w:szCs w:val="24"/>
              </w:rPr>
            </w:pPr>
            <w:r w:rsidRPr="00073574">
              <w:rPr>
                <w:sz w:val="24"/>
                <w:szCs w:val="24"/>
              </w:rPr>
              <w:t>Completed</w:t>
            </w:r>
          </w:p>
        </w:tc>
      </w:tr>
      <w:tr w:rsidR="00F0236A" w:rsidRPr="00073574" w14:paraId="0847A2DC" w14:textId="77777777" w:rsidTr="00AA12EE">
        <w:trPr>
          <w:cantSplit/>
          <w:jc w:val="center"/>
        </w:trPr>
        <w:tc>
          <w:tcPr>
            <w:tcW w:w="913" w:type="dxa"/>
            <w:vMerge w:val="restart"/>
            <w:tcBorders>
              <w:top w:val="single" w:sz="12" w:space="0" w:color="auto"/>
            </w:tcBorders>
            <w:shd w:val="clear" w:color="auto" w:fill="auto"/>
          </w:tcPr>
          <w:p w14:paraId="788765DE" w14:textId="77777777" w:rsidR="00F0236A" w:rsidRPr="00073574" w:rsidRDefault="00F0236A" w:rsidP="00B76691">
            <w:pPr>
              <w:pStyle w:val="Tabletext"/>
              <w:rPr>
                <w:b/>
                <w:bCs/>
                <w:sz w:val="24"/>
                <w:szCs w:val="24"/>
              </w:rPr>
            </w:pPr>
            <w:r w:rsidRPr="00073574">
              <w:rPr>
                <w:b/>
                <w:bCs/>
                <w:sz w:val="24"/>
                <w:szCs w:val="24"/>
              </w:rPr>
              <w:t>72-01</w:t>
            </w:r>
          </w:p>
        </w:tc>
        <w:tc>
          <w:tcPr>
            <w:tcW w:w="5159" w:type="dxa"/>
            <w:tcBorders>
              <w:top w:val="single" w:sz="12" w:space="0" w:color="auto"/>
              <w:bottom w:val="single" w:sz="2" w:space="0" w:color="auto"/>
            </w:tcBorders>
            <w:shd w:val="clear" w:color="auto" w:fill="auto"/>
            <w:hideMark/>
          </w:tcPr>
          <w:p w14:paraId="7D5BE60A" w14:textId="77777777" w:rsidR="00F0236A" w:rsidRPr="00073574" w:rsidRDefault="00F0236A" w:rsidP="00DF36E1">
            <w:pPr>
              <w:pStyle w:val="Tabletext"/>
              <w:keepNext/>
              <w:keepLines/>
              <w:rPr>
                <w:b/>
                <w:bCs/>
                <w:sz w:val="24"/>
                <w:szCs w:val="24"/>
              </w:rPr>
            </w:pPr>
            <w:r w:rsidRPr="00073574">
              <w:rPr>
                <w:b/>
                <w:bCs/>
                <w:sz w:val="24"/>
                <w:szCs w:val="24"/>
              </w:rPr>
              <w:t>SG5 to develop, promote and disseminate information and training resources related to EMF through organizing training programmes, workshops, forums and seminars for regulators, operators etc and any interested stakeholders from developing countries (resolves ii)</w:t>
            </w:r>
          </w:p>
        </w:tc>
        <w:tc>
          <w:tcPr>
            <w:tcW w:w="1258" w:type="dxa"/>
            <w:tcBorders>
              <w:top w:val="single" w:sz="12" w:space="0" w:color="auto"/>
              <w:bottom w:val="single" w:sz="2" w:space="0" w:color="auto"/>
            </w:tcBorders>
            <w:shd w:val="clear" w:color="auto" w:fill="auto"/>
            <w:vAlign w:val="center"/>
          </w:tcPr>
          <w:p w14:paraId="4994F928"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66" w:type="dxa"/>
            <w:tcBorders>
              <w:top w:val="single" w:sz="12" w:space="0" w:color="auto"/>
              <w:bottom w:val="single" w:sz="2" w:space="0" w:color="auto"/>
            </w:tcBorders>
            <w:shd w:val="clear" w:color="auto" w:fill="auto"/>
            <w:vAlign w:val="center"/>
          </w:tcPr>
          <w:p w14:paraId="7327402E"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bottom w:val="single" w:sz="2" w:space="0" w:color="auto"/>
            </w:tcBorders>
            <w:shd w:val="clear" w:color="auto" w:fill="auto"/>
            <w:vAlign w:val="center"/>
          </w:tcPr>
          <w:p w14:paraId="43D61DF2" w14:textId="77777777" w:rsidR="00F0236A" w:rsidRPr="00073574" w:rsidRDefault="00F0236A" w:rsidP="00DF36E1">
            <w:pPr>
              <w:pStyle w:val="Tabletext"/>
              <w:jc w:val="center"/>
              <w:rPr>
                <w:b/>
                <w:bCs/>
                <w:sz w:val="24"/>
                <w:szCs w:val="24"/>
              </w:rPr>
            </w:pPr>
          </w:p>
        </w:tc>
      </w:tr>
      <w:tr w:rsidR="00F0236A" w:rsidRPr="00073574" w14:paraId="2EDF5A14" w14:textId="77777777" w:rsidTr="00741E3C">
        <w:trPr>
          <w:jc w:val="center"/>
        </w:trPr>
        <w:tc>
          <w:tcPr>
            <w:tcW w:w="913" w:type="dxa"/>
            <w:vMerge/>
            <w:tcBorders>
              <w:right w:val="single" w:sz="4" w:space="0" w:color="auto"/>
            </w:tcBorders>
          </w:tcPr>
          <w:p w14:paraId="3F3F9283" w14:textId="77777777" w:rsidR="00F0236A" w:rsidRPr="00073574" w:rsidRDefault="00F0236A" w:rsidP="00DF36E1">
            <w:pPr>
              <w:pStyle w:val="Tabletext"/>
              <w:rPr>
                <w:sz w:val="24"/>
                <w:szCs w:val="24"/>
              </w:rPr>
            </w:pPr>
          </w:p>
        </w:tc>
        <w:tc>
          <w:tcPr>
            <w:tcW w:w="8919" w:type="dxa"/>
            <w:gridSpan w:val="4"/>
            <w:tcBorders>
              <w:top w:val="single" w:sz="2" w:space="0" w:color="auto"/>
              <w:left w:val="single" w:sz="4" w:space="0" w:color="auto"/>
              <w:bottom w:val="single" w:sz="12" w:space="0" w:color="auto"/>
              <w:right w:val="single" w:sz="12" w:space="0" w:color="auto"/>
            </w:tcBorders>
            <w:shd w:val="clear" w:color="auto" w:fill="auto"/>
          </w:tcPr>
          <w:p w14:paraId="04E47519" w14:textId="22D6B261" w:rsidR="00F0236A" w:rsidRPr="00073574" w:rsidRDefault="00F0236A" w:rsidP="00394C2C">
            <w:pPr>
              <w:pStyle w:val="Tabletext"/>
            </w:pPr>
            <w:r w:rsidRPr="00073574">
              <w:t xml:space="preserve">The first SG5 meeting </w:t>
            </w:r>
            <w:r w:rsidR="00394C2C" w:rsidRPr="00073574">
              <w:t>took</w:t>
            </w:r>
            <w:r w:rsidRPr="00073574">
              <w:t xml:space="preserve"> place from 15 to 24 May 2017.</w:t>
            </w:r>
            <w:r w:rsidR="00394C2C" w:rsidRPr="00073574">
              <w:t xml:space="preserve"> The SG5 second meeting took plac</w:t>
            </w:r>
            <w:r w:rsidR="009D6102" w:rsidRPr="00073574">
              <w:t xml:space="preserve">e from 13 to 22 November 2017. </w:t>
            </w:r>
            <w:r w:rsidR="00394C2C" w:rsidRPr="00073574">
              <w:t>An ITU-ETSI workshop on “Towards Setting Environmental Requirements for 5G” was held on 23 November 2017. During the workshop a session on “Protections against environmental phenomena (e. g. lightnings) and electromagnetic compatibility, and human exposure to electromagnetic fields”.</w:t>
            </w:r>
            <w:r w:rsidR="00756EE0" w:rsidRPr="00073574">
              <w:t xml:space="preserve"> A Working Party 1/5 “EMC, lightning protection, EMF” meeting took place from 21-25 May 2018. The third SG5 meeting took place from 11 to 21 September 2018.</w:t>
            </w:r>
            <w:r w:rsidR="00897E82" w:rsidRPr="00073574">
              <w:t xml:space="preserve"> The fourth SG5 meeting took place from 13 to 22 May 2019 in Geneva, Switzerland.</w:t>
            </w:r>
            <w:r w:rsidR="00DF6626" w:rsidRPr="00073574">
              <w:t xml:space="preserve"> The fifth SG5 meeting took place from 16 to 20 September 2019. The sixth SG5 meeting </w:t>
            </w:r>
            <w:r w:rsidR="3104DFBA" w:rsidRPr="00073574">
              <w:t>took place virtually from 11 to 20 May 2020 and the seventh</w:t>
            </w:r>
            <w:r w:rsidR="00DF6626" w:rsidRPr="00073574">
              <w:t xml:space="preserve"> SG5 meeting will take place </w:t>
            </w:r>
            <w:r w:rsidR="2C108C62" w:rsidRPr="00073574">
              <w:t>virtually from 19 to 23 October 2020.</w:t>
            </w:r>
          </w:p>
          <w:p w14:paraId="36AECACD" w14:textId="77777777" w:rsidR="00F0236A" w:rsidRPr="00073574" w:rsidRDefault="00F0236A" w:rsidP="00DF36E1">
            <w:r w:rsidRPr="00073574">
              <w:t xml:space="preserve">An </w:t>
            </w:r>
            <w:hyperlink r:id="rId522" w:history="1">
              <w:r w:rsidRPr="00073574">
                <w:rPr>
                  <w:rStyle w:val="Hyperlink"/>
                </w:rPr>
                <w:t xml:space="preserve">ITU Workshop on </w:t>
              </w:r>
              <w:r w:rsidR="003C7E25" w:rsidRPr="00073574">
                <w:rPr>
                  <w:rStyle w:val="Hyperlink"/>
                </w:rPr>
                <w:t>"</w:t>
              </w:r>
              <w:r w:rsidRPr="00073574">
                <w:rPr>
                  <w:rStyle w:val="Hyperlink"/>
                </w:rPr>
                <w:t>5G, EMF &amp; Health</w:t>
              </w:r>
              <w:r w:rsidR="003C7E25" w:rsidRPr="00073574">
                <w:rPr>
                  <w:rStyle w:val="Hyperlink"/>
                </w:rPr>
                <w:t>"</w:t>
              </w:r>
            </w:hyperlink>
            <w:r w:rsidRPr="00073574">
              <w:t xml:space="preserve"> was held on 5 December 2017 in Warsaw, Poland. The main purpose of the workshop was to respond to ITU-T Resolution 72 (Rev. Hammamet, 2016) – </w:t>
            </w:r>
            <w:r w:rsidR="003C7E25" w:rsidRPr="00073574">
              <w:t>"</w:t>
            </w:r>
            <w:r w:rsidRPr="00073574">
              <w:t>Measurement concerns related to human exposure to electromagnetic fields</w:t>
            </w:r>
            <w:r w:rsidR="003C7E25" w:rsidRPr="00073574">
              <w:t>"</w:t>
            </w:r>
            <w:r w:rsidRPr="00073574">
              <w:t>. This workshop provided an overview of the EMF, 5G and health issues to policy makers and other stakeholders with a special focus on Poland and identified a few actions for consideration of ITU-T Study Group 5: Environment, Climate Change and Circular Economy.</w:t>
            </w:r>
          </w:p>
          <w:p w14:paraId="5D85AE62" w14:textId="70CA763D" w:rsidR="00F84C30" w:rsidRPr="00073574" w:rsidRDefault="00F84C30" w:rsidP="00B76691">
            <w:pPr>
              <w:spacing w:after="40"/>
            </w:pPr>
            <w:r w:rsidRPr="00073574">
              <w:t xml:space="preserve">A Forum and Training on “With ICT’s everywhere – How safe is EMF?” </w:t>
            </w:r>
            <w:r w:rsidR="00756EE0" w:rsidRPr="00073574">
              <w:t>was</w:t>
            </w:r>
            <w:r w:rsidRPr="00073574">
              <w:t xml:space="preserve"> held on 10 April 2018 in Zanzibar, Tanzania during the 8th Green Standards Week.</w:t>
            </w:r>
            <w:r w:rsidR="007C1129" w:rsidRPr="00073574">
              <w:t xml:space="preserve"> A </w:t>
            </w:r>
            <w:hyperlink r:id="rId523" w:history="1">
              <w:r w:rsidR="007C1129" w:rsidRPr="00073574">
                <w:rPr>
                  <w:rStyle w:val="Hyperlink"/>
                </w:rPr>
                <w:t>Forum on Human Exposure to Electromagnetic Fields (EMFs) in Africa</w:t>
              </w:r>
            </w:hyperlink>
            <w:r w:rsidR="007C1129" w:rsidRPr="00073574">
              <w:t xml:space="preserve"> </w:t>
            </w:r>
            <w:r w:rsidR="00DF6626" w:rsidRPr="00073574">
              <w:t>took place</w:t>
            </w:r>
            <w:r w:rsidR="007C1129" w:rsidRPr="00073574">
              <w:t xml:space="preserve"> on 29 August 2019 during the </w:t>
            </w:r>
            <w:hyperlink r:id="rId524" w:history="1">
              <w:r w:rsidR="007C1129" w:rsidRPr="00073574">
                <w:rPr>
                  <w:rStyle w:val="Hyperlink"/>
                </w:rPr>
                <w:t>First Digital African Week</w:t>
              </w:r>
            </w:hyperlink>
            <w:r w:rsidR="007C1129" w:rsidRPr="00073574">
              <w:t>.</w:t>
            </w:r>
          </w:p>
          <w:p w14:paraId="4B6CFAD3" w14:textId="15C9F47D" w:rsidR="005760DA" w:rsidRPr="00073574" w:rsidRDefault="005760DA" w:rsidP="00B76691">
            <w:pPr>
              <w:spacing w:after="40"/>
            </w:pPr>
            <w:r w:rsidRPr="00073574">
              <w:t xml:space="preserve">A </w:t>
            </w:r>
            <w:hyperlink r:id="rId525" w:history="1">
              <w:r w:rsidRPr="00073574">
                <w:rPr>
                  <w:rStyle w:val="Hyperlink"/>
                </w:rPr>
                <w:t>virtual Forum on Human Exposure to electromagnetic fields (EMFs) due to digital technologies</w:t>
              </w:r>
            </w:hyperlink>
            <w:r w:rsidRPr="00073574">
              <w:t xml:space="preserve"> was held on 10 May 2021. During the virtual Forum, the updated version of the EMF mobile app </w:t>
            </w:r>
            <w:r w:rsidRPr="00073574">
              <w:lastRenderedPageBreak/>
              <w:t>was launched. This version contains aspects on 5G and updates on WHO and ICNIRP Guidelines. The EMF mobile app is available in English, French, Russian, Spanish, Arabic and Chinese.</w:t>
            </w:r>
          </w:p>
        </w:tc>
      </w:tr>
      <w:tr w:rsidR="00F0236A" w:rsidRPr="00073574" w14:paraId="4879CED4" w14:textId="77777777" w:rsidTr="00AA12EE">
        <w:trPr>
          <w:cantSplit/>
          <w:jc w:val="center"/>
        </w:trPr>
        <w:tc>
          <w:tcPr>
            <w:tcW w:w="913" w:type="dxa"/>
            <w:vMerge w:val="restart"/>
            <w:tcBorders>
              <w:top w:val="single" w:sz="12" w:space="0" w:color="auto"/>
            </w:tcBorders>
            <w:shd w:val="clear" w:color="auto" w:fill="auto"/>
          </w:tcPr>
          <w:p w14:paraId="498F7A8C" w14:textId="77777777" w:rsidR="00F0236A" w:rsidRPr="00073574" w:rsidRDefault="00F0236A" w:rsidP="00DF36E1">
            <w:pPr>
              <w:pStyle w:val="Tabletext"/>
              <w:rPr>
                <w:b/>
                <w:bCs/>
                <w:sz w:val="24"/>
                <w:szCs w:val="24"/>
              </w:rPr>
            </w:pPr>
            <w:r w:rsidRPr="00073574">
              <w:rPr>
                <w:b/>
                <w:bCs/>
                <w:sz w:val="24"/>
                <w:szCs w:val="24"/>
              </w:rPr>
              <w:lastRenderedPageBreak/>
              <w:t>72-02</w:t>
            </w:r>
          </w:p>
        </w:tc>
        <w:tc>
          <w:tcPr>
            <w:tcW w:w="5159" w:type="dxa"/>
            <w:tcBorders>
              <w:top w:val="single" w:sz="12" w:space="0" w:color="auto"/>
            </w:tcBorders>
            <w:shd w:val="clear" w:color="auto" w:fill="auto"/>
            <w:hideMark/>
          </w:tcPr>
          <w:p w14:paraId="205D1910" w14:textId="77777777" w:rsidR="00F0236A" w:rsidRPr="00073574" w:rsidRDefault="00F0236A" w:rsidP="00DF36E1">
            <w:pPr>
              <w:pStyle w:val="Tabletext"/>
              <w:rPr>
                <w:b/>
                <w:bCs/>
                <w:sz w:val="24"/>
                <w:szCs w:val="24"/>
              </w:rPr>
            </w:pPr>
            <w:r w:rsidRPr="00073574">
              <w:rPr>
                <w:b/>
                <w:bCs/>
                <w:sz w:val="24"/>
                <w:szCs w:val="24"/>
              </w:rPr>
              <w:t>SG5 to coordinate with WHO in the EMF project so that fact sheets relating to human exposure to electromagnetic fields is circulated to Member States as soon as it is issued (resolves v)</w:t>
            </w:r>
          </w:p>
        </w:tc>
        <w:tc>
          <w:tcPr>
            <w:tcW w:w="1258" w:type="dxa"/>
            <w:tcBorders>
              <w:top w:val="single" w:sz="12" w:space="0" w:color="auto"/>
            </w:tcBorders>
            <w:shd w:val="clear" w:color="auto" w:fill="auto"/>
            <w:vAlign w:val="center"/>
          </w:tcPr>
          <w:p w14:paraId="2E974A3D"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66" w:type="dxa"/>
            <w:tcBorders>
              <w:top w:val="single" w:sz="12" w:space="0" w:color="auto"/>
            </w:tcBorders>
            <w:shd w:val="clear" w:color="auto" w:fill="auto"/>
            <w:vAlign w:val="center"/>
          </w:tcPr>
          <w:p w14:paraId="7D07CE50"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2F82D032" w14:textId="77777777" w:rsidR="00F0236A" w:rsidRPr="00073574" w:rsidRDefault="00F0236A" w:rsidP="00DF36E1">
            <w:pPr>
              <w:pStyle w:val="Tabletext"/>
              <w:jc w:val="center"/>
              <w:rPr>
                <w:b/>
                <w:bCs/>
                <w:sz w:val="24"/>
                <w:szCs w:val="24"/>
              </w:rPr>
            </w:pPr>
          </w:p>
        </w:tc>
      </w:tr>
      <w:tr w:rsidR="00F0236A" w:rsidRPr="00073574" w14:paraId="6E79477D" w14:textId="77777777" w:rsidTr="00AA12EE">
        <w:trPr>
          <w:cantSplit/>
          <w:jc w:val="center"/>
        </w:trPr>
        <w:tc>
          <w:tcPr>
            <w:tcW w:w="913" w:type="dxa"/>
            <w:vMerge/>
          </w:tcPr>
          <w:p w14:paraId="04006B7E" w14:textId="77777777" w:rsidR="00F0236A" w:rsidRPr="00073574" w:rsidRDefault="00F0236A" w:rsidP="00DF36E1">
            <w:pPr>
              <w:pStyle w:val="Tabletext"/>
              <w:rPr>
                <w:sz w:val="24"/>
                <w:szCs w:val="24"/>
              </w:rPr>
            </w:pPr>
          </w:p>
        </w:tc>
        <w:tc>
          <w:tcPr>
            <w:tcW w:w="8919" w:type="dxa"/>
            <w:gridSpan w:val="4"/>
            <w:tcBorders>
              <w:bottom w:val="single" w:sz="12" w:space="0" w:color="auto"/>
            </w:tcBorders>
            <w:shd w:val="clear" w:color="auto" w:fill="auto"/>
          </w:tcPr>
          <w:p w14:paraId="1F287766" w14:textId="21860330" w:rsidR="00F0236A" w:rsidRPr="00073574" w:rsidRDefault="00D53E54" w:rsidP="007C1129">
            <w:pPr>
              <w:pStyle w:val="Tabletext"/>
              <w:rPr>
                <w:szCs w:val="22"/>
              </w:rPr>
            </w:pPr>
            <w:r w:rsidRPr="00073574">
              <w:rPr>
                <w:szCs w:val="22"/>
              </w:rPr>
              <w:t>S</w:t>
            </w:r>
            <w:r w:rsidR="00F0236A" w:rsidRPr="00073574">
              <w:rPr>
                <w:szCs w:val="22"/>
              </w:rPr>
              <w:t>pecial session</w:t>
            </w:r>
            <w:r w:rsidRPr="00073574">
              <w:rPr>
                <w:szCs w:val="22"/>
              </w:rPr>
              <w:t>s</w:t>
            </w:r>
            <w:r w:rsidR="00F0236A" w:rsidRPr="00073574">
              <w:rPr>
                <w:szCs w:val="22"/>
              </w:rPr>
              <w:t xml:space="preserve"> on WHO updates on EMF issues take place </w:t>
            </w:r>
            <w:r w:rsidRPr="00073574">
              <w:rPr>
                <w:szCs w:val="22"/>
              </w:rPr>
              <w:t>for every</w:t>
            </w:r>
            <w:r w:rsidR="00F0236A" w:rsidRPr="00073574">
              <w:rPr>
                <w:szCs w:val="22"/>
              </w:rPr>
              <w:t xml:space="preserve"> SG5 meeting.</w:t>
            </w:r>
            <w:r w:rsidR="005760DA" w:rsidRPr="00073574">
              <w:rPr>
                <w:szCs w:val="22"/>
              </w:rPr>
              <w:t xml:space="preserve"> TSB regularly participates in the WHO annual meetings of the International Advisory Committee (IAC) on Non-Ionizing Radiation and Health.</w:t>
            </w:r>
          </w:p>
        </w:tc>
      </w:tr>
      <w:tr w:rsidR="00F0236A" w:rsidRPr="00073574" w14:paraId="1B54ACCC" w14:textId="77777777" w:rsidTr="00AA12EE">
        <w:trPr>
          <w:cantSplit/>
          <w:jc w:val="center"/>
        </w:trPr>
        <w:tc>
          <w:tcPr>
            <w:tcW w:w="913" w:type="dxa"/>
            <w:vMerge w:val="restart"/>
            <w:tcBorders>
              <w:top w:val="single" w:sz="12" w:space="0" w:color="auto"/>
            </w:tcBorders>
            <w:shd w:val="clear" w:color="auto" w:fill="auto"/>
          </w:tcPr>
          <w:p w14:paraId="3DB87288" w14:textId="77777777" w:rsidR="00F0236A" w:rsidRPr="00073574" w:rsidRDefault="00F0236A" w:rsidP="00DF36E1">
            <w:pPr>
              <w:pStyle w:val="Tabletext"/>
              <w:rPr>
                <w:b/>
                <w:bCs/>
                <w:sz w:val="24"/>
                <w:szCs w:val="24"/>
              </w:rPr>
            </w:pPr>
            <w:r w:rsidRPr="00073574">
              <w:rPr>
                <w:b/>
                <w:bCs/>
                <w:sz w:val="24"/>
                <w:szCs w:val="24"/>
              </w:rPr>
              <w:t>72-03</w:t>
            </w:r>
          </w:p>
        </w:tc>
        <w:tc>
          <w:tcPr>
            <w:tcW w:w="5159" w:type="dxa"/>
            <w:tcBorders>
              <w:top w:val="single" w:sz="12" w:space="0" w:color="auto"/>
            </w:tcBorders>
            <w:shd w:val="clear" w:color="auto" w:fill="auto"/>
            <w:hideMark/>
          </w:tcPr>
          <w:p w14:paraId="680EA970" w14:textId="77777777" w:rsidR="00F0236A" w:rsidRPr="00073574" w:rsidRDefault="00F0236A" w:rsidP="00DF36E1">
            <w:pPr>
              <w:pStyle w:val="Tabletext"/>
              <w:rPr>
                <w:b/>
                <w:bCs/>
                <w:sz w:val="24"/>
                <w:szCs w:val="24"/>
              </w:rPr>
            </w:pPr>
            <w:r w:rsidRPr="00073574">
              <w:rPr>
                <w:b/>
                <w:bCs/>
                <w:sz w:val="24"/>
                <w:szCs w:val="24"/>
              </w:rPr>
              <w:t>TSB Director, in collaboration with other Directors, to support the development of reports identifying needs of developing countries for consideration by ITU-T SG5 (i. TSBDir 1)</w:t>
            </w:r>
          </w:p>
        </w:tc>
        <w:tc>
          <w:tcPr>
            <w:tcW w:w="1258" w:type="dxa"/>
            <w:tcBorders>
              <w:top w:val="single" w:sz="12" w:space="0" w:color="auto"/>
            </w:tcBorders>
            <w:shd w:val="clear" w:color="auto" w:fill="auto"/>
            <w:vAlign w:val="center"/>
          </w:tcPr>
          <w:p w14:paraId="15872C52"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66" w:type="dxa"/>
            <w:tcBorders>
              <w:top w:val="single" w:sz="12" w:space="0" w:color="auto"/>
            </w:tcBorders>
            <w:shd w:val="clear" w:color="auto" w:fill="auto"/>
            <w:vAlign w:val="center"/>
          </w:tcPr>
          <w:p w14:paraId="7DBBF836" w14:textId="6D6AE675" w:rsidR="00F0236A" w:rsidRPr="00073574" w:rsidRDefault="001B5178"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2F2E3930" w14:textId="77777777" w:rsidR="00F0236A" w:rsidRPr="00073574" w:rsidRDefault="00F0236A" w:rsidP="00DF36E1">
            <w:pPr>
              <w:pStyle w:val="Tabletext"/>
              <w:jc w:val="center"/>
              <w:rPr>
                <w:b/>
                <w:bCs/>
                <w:sz w:val="24"/>
                <w:szCs w:val="24"/>
              </w:rPr>
            </w:pPr>
          </w:p>
        </w:tc>
      </w:tr>
      <w:tr w:rsidR="00F0236A" w:rsidRPr="00073574" w14:paraId="0A100045" w14:textId="77777777" w:rsidTr="00AA12EE">
        <w:trPr>
          <w:cantSplit/>
          <w:jc w:val="center"/>
        </w:trPr>
        <w:tc>
          <w:tcPr>
            <w:tcW w:w="913" w:type="dxa"/>
            <w:vMerge/>
          </w:tcPr>
          <w:p w14:paraId="1A75D718" w14:textId="77777777" w:rsidR="00F0236A" w:rsidRPr="00073574" w:rsidRDefault="00F0236A" w:rsidP="00DF36E1">
            <w:pPr>
              <w:pStyle w:val="Tabletext"/>
              <w:rPr>
                <w:sz w:val="24"/>
                <w:szCs w:val="24"/>
              </w:rPr>
            </w:pPr>
          </w:p>
        </w:tc>
        <w:tc>
          <w:tcPr>
            <w:tcW w:w="8919" w:type="dxa"/>
            <w:gridSpan w:val="4"/>
            <w:tcBorders>
              <w:bottom w:val="single" w:sz="12" w:space="0" w:color="auto"/>
            </w:tcBorders>
            <w:shd w:val="clear" w:color="auto" w:fill="auto"/>
          </w:tcPr>
          <w:p w14:paraId="35C9640C" w14:textId="796ADD42" w:rsidR="00F0236A" w:rsidRPr="00073574" w:rsidRDefault="00E6162D" w:rsidP="00DF36E1">
            <w:pPr>
              <w:pStyle w:val="Tabletext"/>
              <w:rPr>
                <w:szCs w:val="22"/>
              </w:rPr>
            </w:pPr>
            <w:r w:rsidRPr="00073574">
              <w:rPr>
                <w:szCs w:val="22"/>
              </w:rPr>
              <w:t xml:space="preserve">All Reports on ICTs, EMF, environment and climate change are available at: </w:t>
            </w:r>
            <w:hyperlink r:id="rId526" w:history="1">
              <w:r w:rsidRPr="00073574">
                <w:rPr>
                  <w:rStyle w:val="Hyperlink"/>
                  <w:szCs w:val="22"/>
                </w:rPr>
                <w:t>https://www.itu.int/en/ITU-T/climatechange/Pages/publications.aspx</w:t>
              </w:r>
            </w:hyperlink>
          </w:p>
        </w:tc>
      </w:tr>
      <w:tr w:rsidR="00F0236A" w:rsidRPr="00073574" w14:paraId="34BBB3BD" w14:textId="77777777" w:rsidTr="00D62A97">
        <w:trPr>
          <w:jc w:val="center"/>
        </w:trPr>
        <w:tc>
          <w:tcPr>
            <w:tcW w:w="913" w:type="dxa"/>
            <w:vMerge w:val="restart"/>
            <w:tcBorders>
              <w:top w:val="single" w:sz="12" w:space="0" w:color="auto"/>
              <w:left w:val="single" w:sz="12" w:space="0" w:color="auto"/>
              <w:bottom w:val="single" w:sz="12" w:space="0" w:color="auto"/>
              <w:right w:val="single" w:sz="4" w:space="0" w:color="auto"/>
            </w:tcBorders>
            <w:shd w:val="clear" w:color="auto" w:fill="auto"/>
          </w:tcPr>
          <w:p w14:paraId="22E71DBA" w14:textId="77777777" w:rsidR="00F0236A" w:rsidRPr="00073574" w:rsidRDefault="00F0236A" w:rsidP="00B45B40">
            <w:pPr>
              <w:pStyle w:val="Tabletext"/>
              <w:rPr>
                <w:b/>
                <w:bCs/>
                <w:sz w:val="24"/>
                <w:szCs w:val="24"/>
              </w:rPr>
            </w:pPr>
            <w:r w:rsidRPr="00073574">
              <w:rPr>
                <w:b/>
                <w:bCs/>
                <w:sz w:val="24"/>
                <w:szCs w:val="24"/>
              </w:rPr>
              <w:t>72-04</w:t>
            </w:r>
          </w:p>
        </w:tc>
        <w:tc>
          <w:tcPr>
            <w:tcW w:w="5159" w:type="dxa"/>
            <w:tcBorders>
              <w:top w:val="single" w:sz="12" w:space="0" w:color="auto"/>
              <w:left w:val="single" w:sz="4" w:space="0" w:color="auto"/>
              <w:bottom w:val="single" w:sz="4" w:space="0" w:color="auto"/>
              <w:right w:val="single" w:sz="4" w:space="0" w:color="auto"/>
            </w:tcBorders>
            <w:shd w:val="clear" w:color="auto" w:fill="auto"/>
          </w:tcPr>
          <w:p w14:paraId="176C2710" w14:textId="77777777" w:rsidR="00F0236A" w:rsidRPr="00073574" w:rsidRDefault="00F0236A" w:rsidP="00B45B40">
            <w:pPr>
              <w:pStyle w:val="Tabletext"/>
              <w:rPr>
                <w:b/>
                <w:bCs/>
                <w:sz w:val="24"/>
                <w:szCs w:val="24"/>
              </w:rPr>
            </w:pPr>
            <w:r w:rsidRPr="00073574">
              <w:rPr>
                <w:b/>
                <w:bCs/>
                <w:sz w:val="24"/>
                <w:szCs w:val="24"/>
              </w:rPr>
              <w:t xml:space="preserve">TSB Director, in collaboration with other Directors, to extend support for developing countries to establish regional test benches for continuous monitoring of EMF levels, and transparently provide the data to the general public (see also </w:t>
            </w:r>
            <w:hyperlink w:anchor="_Resolution_76_-" w:history="1">
              <w:r w:rsidRPr="00073574">
                <w:rPr>
                  <w:rStyle w:val="Hyperlink"/>
                  <w:b/>
                  <w:bCs/>
                  <w:sz w:val="24"/>
                  <w:szCs w:val="24"/>
                </w:rPr>
                <w:t>Resolution 76</w:t>
              </w:r>
            </w:hyperlink>
            <w:r w:rsidRPr="00073574">
              <w:rPr>
                <w:b/>
                <w:bCs/>
                <w:sz w:val="24"/>
                <w:szCs w:val="24"/>
              </w:rPr>
              <w:t>) (i. TSBDir 4)</w:t>
            </w:r>
          </w:p>
        </w:tc>
        <w:tc>
          <w:tcPr>
            <w:tcW w:w="1258" w:type="dxa"/>
            <w:tcBorders>
              <w:top w:val="single" w:sz="12" w:space="0" w:color="auto"/>
              <w:left w:val="single" w:sz="4" w:space="0" w:color="auto"/>
              <w:bottom w:val="single" w:sz="4" w:space="0" w:color="auto"/>
              <w:right w:val="single" w:sz="4" w:space="0" w:color="auto"/>
            </w:tcBorders>
            <w:shd w:val="clear" w:color="auto" w:fill="auto"/>
            <w:vAlign w:val="center"/>
          </w:tcPr>
          <w:p w14:paraId="2B235706" w14:textId="77777777" w:rsidR="00F0236A" w:rsidRPr="00073574" w:rsidRDefault="00F0236A" w:rsidP="00B45B40">
            <w:pPr>
              <w:pStyle w:val="Tabletext"/>
              <w:jc w:val="center"/>
              <w:rPr>
                <w:b/>
                <w:bCs/>
                <w:sz w:val="24"/>
                <w:szCs w:val="24"/>
              </w:rPr>
            </w:pPr>
            <w:r w:rsidRPr="00073574">
              <w:rPr>
                <w:b/>
                <w:bCs/>
                <w:sz w:val="24"/>
                <w:szCs w:val="24"/>
              </w:rPr>
              <w:t>Ongoing</w:t>
            </w:r>
          </w:p>
        </w:tc>
        <w:tc>
          <w:tcPr>
            <w:tcW w:w="1166" w:type="dxa"/>
            <w:tcBorders>
              <w:top w:val="single" w:sz="12" w:space="0" w:color="auto"/>
              <w:left w:val="single" w:sz="4" w:space="0" w:color="auto"/>
              <w:bottom w:val="single" w:sz="4" w:space="0" w:color="auto"/>
              <w:right w:val="single" w:sz="4" w:space="0" w:color="auto"/>
            </w:tcBorders>
            <w:shd w:val="clear" w:color="auto" w:fill="auto"/>
            <w:vAlign w:val="center"/>
          </w:tcPr>
          <w:p w14:paraId="05CE3C3A" w14:textId="14F1EA9B" w:rsidR="00F0236A" w:rsidRPr="00073574" w:rsidRDefault="00015660" w:rsidP="00B45B40">
            <w:pPr>
              <w:pStyle w:val="Tabletext"/>
              <w:jc w:val="center"/>
              <w:rPr>
                <w:b/>
                <w:bCs/>
                <w:sz w:val="24"/>
                <w:szCs w:val="24"/>
              </w:rPr>
            </w:pPr>
            <w:r w:rsidRPr="00073574">
              <w:rPr>
                <w:b/>
                <w:bCs/>
                <w:sz w:val="24"/>
                <w:szCs w:val="24"/>
              </w:rPr>
              <w:t>√</w:t>
            </w:r>
          </w:p>
        </w:tc>
        <w:tc>
          <w:tcPr>
            <w:tcW w:w="1336" w:type="dxa"/>
            <w:tcBorders>
              <w:top w:val="single" w:sz="12" w:space="0" w:color="auto"/>
              <w:left w:val="single" w:sz="4" w:space="0" w:color="auto"/>
              <w:bottom w:val="single" w:sz="4" w:space="0" w:color="auto"/>
              <w:right w:val="single" w:sz="12" w:space="0" w:color="auto"/>
            </w:tcBorders>
            <w:shd w:val="clear" w:color="auto" w:fill="auto"/>
            <w:vAlign w:val="center"/>
          </w:tcPr>
          <w:p w14:paraId="53E935A4" w14:textId="77777777" w:rsidR="00F0236A" w:rsidRPr="00073574" w:rsidRDefault="00F0236A" w:rsidP="00B45B40">
            <w:pPr>
              <w:pStyle w:val="Tabletext"/>
              <w:jc w:val="center"/>
              <w:rPr>
                <w:b/>
                <w:bCs/>
                <w:sz w:val="24"/>
                <w:szCs w:val="24"/>
              </w:rPr>
            </w:pPr>
          </w:p>
        </w:tc>
      </w:tr>
      <w:tr w:rsidR="00F0236A" w:rsidRPr="00073574" w14:paraId="2E767A16" w14:textId="77777777" w:rsidTr="00D62A97">
        <w:trPr>
          <w:jc w:val="center"/>
        </w:trPr>
        <w:tc>
          <w:tcPr>
            <w:tcW w:w="913" w:type="dxa"/>
            <w:vMerge/>
            <w:tcBorders>
              <w:right w:val="single" w:sz="4" w:space="0" w:color="auto"/>
            </w:tcBorders>
          </w:tcPr>
          <w:p w14:paraId="1FEB275D" w14:textId="77777777" w:rsidR="00F0236A" w:rsidRPr="00073574" w:rsidRDefault="00F0236A" w:rsidP="00741E3C">
            <w:pPr>
              <w:pStyle w:val="Tabletext"/>
              <w:rPr>
                <w:sz w:val="24"/>
                <w:szCs w:val="24"/>
              </w:rPr>
            </w:pPr>
          </w:p>
        </w:tc>
        <w:tc>
          <w:tcPr>
            <w:tcW w:w="8919" w:type="dxa"/>
            <w:gridSpan w:val="4"/>
            <w:tcBorders>
              <w:top w:val="single" w:sz="4" w:space="0" w:color="auto"/>
              <w:left w:val="single" w:sz="4" w:space="0" w:color="auto"/>
              <w:bottom w:val="single" w:sz="12" w:space="0" w:color="auto"/>
              <w:right w:val="single" w:sz="12" w:space="0" w:color="auto"/>
            </w:tcBorders>
            <w:shd w:val="clear" w:color="auto" w:fill="auto"/>
          </w:tcPr>
          <w:p w14:paraId="3695EAA2" w14:textId="54BB8E8E" w:rsidR="00015660" w:rsidRPr="00073574" w:rsidRDefault="00015660">
            <w:pPr>
              <w:pStyle w:val="ListParagraph"/>
              <w:numPr>
                <w:ilvl w:val="0"/>
                <w:numId w:val="86"/>
              </w:numPr>
              <w:ind w:left="357"/>
              <w:contextualSpacing w:val="0"/>
              <w:rPr>
                <w:rFonts w:eastAsia="Times New Roman"/>
                <w:lang w:eastAsia="en-US"/>
              </w:rPr>
            </w:pPr>
            <w:r w:rsidRPr="00073574">
              <w:rPr>
                <w:rFonts w:eastAsia="Times New Roman"/>
              </w:rPr>
              <w:t xml:space="preserve">ITU-T Study Group 5 developed a </w:t>
            </w:r>
            <w:hyperlink r:id="rId527" w:history="1">
              <w:r w:rsidRPr="00073574">
                <w:rPr>
                  <w:rStyle w:val="Hyperlink"/>
                </w:rPr>
                <w:t>Supplement on The impact of RF-EMF exposure limits stricter than the ICNIRP or IEEE guidelines on 4G and 5G mobile network deployment</w:t>
              </w:r>
            </w:hyperlink>
            <w:r w:rsidRPr="00073574">
              <w:rPr>
                <w:rFonts w:eastAsia="Times New Roman"/>
              </w:rPr>
              <w:t>, which provides an overview of some of the challenges faced by countries, regions and cities that are about to deploy 4G or 5G infrastructures. It provides information on a simulation carried out in Poland of the impact of RF-EMF limits as an example of a wider phenomenon, applicable to several other countries that have set limits stricter than those contained in the ICNIRP or IEEE guidelines. The results of the simulation indicate that, where RF-EMF limits are stricter than ICNIRP or IEEE guidelines, the network capacity buildout (both 4G and 5G) might be severely constrained and prevent growing data traffic demand and the launching of new services on existing mobile networks being addressed.</w:t>
            </w:r>
          </w:p>
          <w:p w14:paraId="3A58C80F" w14:textId="3571A830" w:rsidR="00022746" w:rsidRPr="00073574" w:rsidRDefault="00022746">
            <w:pPr>
              <w:pStyle w:val="ListParagraph"/>
              <w:numPr>
                <w:ilvl w:val="0"/>
                <w:numId w:val="86"/>
              </w:numPr>
              <w:ind w:left="357"/>
              <w:contextualSpacing w:val="0"/>
              <w:rPr>
                <w:rFonts w:eastAsia="Times New Roman"/>
                <w:lang w:eastAsia="en-US"/>
              </w:rPr>
            </w:pPr>
            <w:r w:rsidRPr="00073574">
              <w:rPr>
                <w:rFonts w:eastAsia="Times New Roman"/>
              </w:rPr>
              <w:t>The revised version of Recommendation ITU-T K.83 “</w:t>
            </w:r>
            <w:r w:rsidRPr="00073574">
              <w:t>Monitoring of electromagnetic field levels” contains and Appendix on Examples of the existing websites with EMF monitoring results".</w:t>
            </w:r>
          </w:p>
          <w:p w14:paraId="644E008B" w14:textId="0952C57E" w:rsidR="00022746" w:rsidRPr="00073574" w:rsidRDefault="00022746" w:rsidP="00745F6E">
            <w:pPr>
              <w:pStyle w:val="ListParagraph"/>
              <w:numPr>
                <w:ilvl w:val="0"/>
                <w:numId w:val="86"/>
              </w:numPr>
              <w:ind w:left="357"/>
              <w:contextualSpacing w:val="0"/>
              <w:rPr>
                <w:rFonts w:eastAsia="Times New Roman"/>
                <w:lang w:eastAsia="en-US"/>
              </w:rPr>
            </w:pPr>
            <w:r w:rsidRPr="00073574">
              <w:rPr>
                <w:rFonts w:eastAsia="Times New Roman"/>
                <w:lang w:eastAsia="en-US"/>
              </w:rPr>
              <w:t>ITU-T SG5 is working on a Technical Report on KSTR.EMF_assess “Case studies of RF-EMF assessments”. This Technical Report will present results of case studies of RF-EMF exposure levels taken in different conditions and areas.</w:t>
            </w:r>
          </w:p>
          <w:p w14:paraId="1A92A9B3" w14:textId="2B82D762" w:rsidR="00015660" w:rsidRPr="00073574" w:rsidRDefault="00015660" w:rsidP="00745F6E">
            <w:pPr>
              <w:pStyle w:val="ListParagraph"/>
              <w:ind w:left="357"/>
              <w:contextualSpacing w:val="0"/>
            </w:pPr>
            <w:r w:rsidRPr="00073574">
              <w:t>Additionally, TSB has worked with members states to organize workshops on Human Exposure to Electromagnetic fields (</w:t>
            </w:r>
            <w:hyperlink r:id="rId528" w:history="1">
              <w:r w:rsidRPr="00073574">
                <w:rPr>
                  <w:rStyle w:val="Hyperlink"/>
                </w:rPr>
                <w:t>Abuja, Nigeria, 29 August 2019</w:t>
              </w:r>
            </w:hyperlink>
            <w:r w:rsidRPr="00073574">
              <w:t xml:space="preserve">; </w:t>
            </w:r>
            <w:hyperlink r:id="rId529" w:history="1">
              <w:r w:rsidRPr="00073574">
                <w:rPr>
                  <w:rStyle w:val="Hyperlink"/>
                </w:rPr>
                <w:t>Zanzibar, Tanzania, 10 April 2018</w:t>
              </w:r>
            </w:hyperlink>
            <w:r w:rsidRPr="00073574">
              <w:t xml:space="preserve">; </w:t>
            </w:r>
            <w:hyperlink r:id="rId530" w:history="1">
              <w:r w:rsidRPr="00073574">
                <w:rPr>
                  <w:rStyle w:val="Hyperlink"/>
                </w:rPr>
                <w:t>Warsaw, Poland, 5 December 2017</w:t>
              </w:r>
            </w:hyperlink>
            <w:r w:rsidRPr="00073574">
              <w:t>).</w:t>
            </w:r>
          </w:p>
          <w:p w14:paraId="11F23E0A" w14:textId="558D89C4" w:rsidR="00015660" w:rsidRPr="00073574" w:rsidRDefault="00015660" w:rsidP="00745F6E">
            <w:pPr>
              <w:pStyle w:val="ListParagraph"/>
              <w:ind w:left="357"/>
              <w:contextualSpacing w:val="0"/>
            </w:pPr>
            <w:r w:rsidRPr="00073574">
              <w:t>TSB has participated in several conferences around the world to brief on the standardization activities on Human Exposure to Electromagnetic Fields, for example at the Conference on “5G: Opportunities and Challenges” on 8 December 2019.</w:t>
            </w:r>
          </w:p>
          <w:p w14:paraId="1B51DC20" w14:textId="01D78F85" w:rsidR="00F0236A" w:rsidRPr="00073574" w:rsidRDefault="00015660" w:rsidP="00745F6E">
            <w:pPr>
              <w:pStyle w:val="ListParagraph"/>
              <w:ind w:left="357"/>
              <w:contextualSpacing w:val="0"/>
            </w:pPr>
            <w:r w:rsidRPr="00073574">
              <w:t>TSB presented a briefing on ITU activities on EMF and 5G at the “Breakfast on 5G with Focus on EMF at the European Parliament” held on 20 June 2018.</w:t>
            </w:r>
          </w:p>
        </w:tc>
      </w:tr>
      <w:tr w:rsidR="00F0236A" w:rsidRPr="00073574" w14:paraId="7120BCAC" w14:textId="77777777" w:rsidTr="00AA12EE">
        <w:trPr>
          <w:cantSplit/>
          <w:jc w:val="center"/>
        </w:trPr>
        <w:tc>
          <w:tcPr>
            <w:tcW w:w="913" w:type="dxa"/>
            <w:vMerge w:val="restart"/>
            <w:tcBorders>
              <w:top w:val="single" w:sz="12" w:space="0" w:color="auto"/>
            </w:tcBorders>
            <w:shd w:val="clear" w:color="auto" w:fill="auto"/>
          </w:tcPr>
          <w:p w14:paraId="12367C41" w14:textId="77777777" w:rsidR="00F0236A" w:rsidRPr="00073574" w:rsidRDefault="00F0236A" w:rsidP="003B0CD8">
            <w:pPr>
              <w:pStyle w:val="Tabletext"/>
              <w:rPr>
                <w:b/>
                <w:bCs/>
                <w:sz w:val="24"/>
                <w:szCs w:val="24"/>
              </w:rPr>
            </w:pPr>
            <w:r w:rsidRPr="00073574">
              <w:rPr>
                <w:b/>
                <w:bCs/>
                <w:sz w:val="24"/>
                <w:szCs w:val="24"/>
              </w:rPr>
              <w:lastRenderedPageBreak/>
              <w:t>72-05</w:t>
            </w:r>
          </w:p>
        </w:tc>
        <w:tc>
          <w:tcPr>
            <w:tcW w:w="5159" w:type="dxa"/>
            <w:tcBorders>
              <w:top w:val="single" w:sz="12" w:space="0" w:color="auto"/>
            </w:tcBorders>
            <w:shd w:val="clear" w:color="auto" w:fill="auto"/>
          </w:tcPr>
          <w:p w14:paraId="4F49906B" w14:textId="071C2FB0" w:rsidR="00F0236A" w:rsidRPr="00073574" w:rsidRDefault="00F0236A" w:rsidP="003B0CD8">
            <w:pPr>
              <w:pStyle w:val="Tabletext"/>
              <w:rPr>
                <w:b/>
                <w:bCs/>
                <w:sz w:val="24"/>
                <w:szCs w:val="24"/>
              </w:rPr>
            </w:pPr>
            <w:r w:rsidRPr="00073574">
              <w:rPr>
                <w:b/>
                <w:bCs/>
                <w:sz w:val="24"/>
                <w:szCs w:val="24"/>
              </w:rPr>
              <w:t>SG5 to publish and disseminate its technical reports, as well as develop ITU</w:t>
            </w:r>
            <w:r w:rsidR="009859E9" w:rsidRPr="00073574">
              <w:rPr>
                <w:b/>
                <w:bCs/>
                <w:sz w:val="24"/>
                <w:szCs w:val="24"/>
              </w:rPr>
              <w:t>-</w:t>
            </w:r>
            <w:r w:rsidRPr="00073574">
              <w:rPr>
                <w:b/>
                <w:bCs/>
                <w:sz w:val="24"/>
                <w:szCs w:val="24"/>
              </w:rPr>
              <w:t>T Recommendations on EMF (resolves i)</w:t>
            </w:r>
          </w:p>
        </w:tc>
        <w:tc>
          <w:tcPr>
            <w:tcW w:w="1258" w:type="dxa"/>
            <w:tcBorders>
              <w:top w:val="single" w:sz="12" w:space="0" w:color="auto"/>
            </w:tcBorders>
            <w:shd w:val="clear" w:color="auto" w:fill="auto"/>
            <w:vAlign w:val="center"/>
          </w:tcPr>
          <w:p w14:paraId="54364BA9" w14:textId="77777777" w:rsidR="00F0236A" w:rsidRPr="00073574" w:rsidRDefault="00F0236A" w:rsidP="003B0CD8">
            <w:pPr>
              <w:pStyle w:val="Tabletext"/>
              <w:jc w:val="center"/>
              <w:rPr>
                <w:b/>
                <w:bCs/>
                <w:sz w:val="24"/>
                <w:szCs w:val="24"/>
              </w:rPr>
            </w:pPr>
            <w:r w:rsidRPr="00073574">
              <w:rPr>
                <w:b/>
                <w:bCs/>
                <w:sz w:val="24"/>
                <w:szCs w:val="24"/>
              </w:rPr>
              <w:t>Ongoing</w:t>
            </w:r>
          </w:p>
        </w:tc>
        <w:tc>
          <w:tcPr>
            <w:tcW w:w="1166" w:type="dxa"/>
            <w:tcBorders>
              <w:top w:val="single" w:sz="12" w:space="0" w:color="auto"/>
            </w:tcBorders>
            <w:shd w:val="clear" w:color="auto" w:fill="auto"/>
            <w:vAlign w:val="center"/>
          </w:tcPr>
          <w:p w14:paraId="420176B9" w14:textId="77777777" w:rsidR="00F0236A" w:rsidRPr="00073574" w:rsidRDefault="00F0236A" w:rsidP="003B0CD8">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4D34795D" w14:textId="77777777" w:rsidR="00F0236A" w:rsidRPr="00073574" w:rsidRDefault="00F0236A" w:rsidP="003B0CD8">
            <w:pPr>
              <w:pStyle w:val="Tabletext"/>
              <w:jc w:val="center"/>
              <w:rPr>
                <w:b/>
                <w:bCs/>
                <w:sz w:val="24"/>
                <w:szCs w:val="24"/>
              </w:rPr>
            </w:pPr>
          </w:p>
        </w:tc>
      </w:tr>
      <w:tr w:rsidR="00F0236A" w:rsidRPr="00073574" w14:paraId="13744103" w14:textId="77777777" w:rsidTr="00AA12EE">
        <w:trPr>
          <w:jc w:val="center"/>
        </w:trPr>
        <w:tc>
          <w:tcPr>
            <w:tcW w:w="913" w:type="dxa"/>
            <w:vMerge/>
          </w:tcPr>
          <w:p w14:paraId="0FF3152A" w14:textId="77777777" w:rsidR="00F0236A" w:rsidRPr="00073574" w:rsidRDefault="00F0236A" w:rsidP="003B0CD8">
            <w:pPr>
              <w:pStyle w:val="Tabletext"/>
              <w:rPr>
                <w:sz w:val="24"/>
                <w:szCs w:val="24"/>
              </w:rPr>
            </w:pPr>
          </w:p>
        </w:tc>
        <w:tc>
          <w:tcPr>
            <w:tcW w:w="8919" w:type="dxa"/>
            <w:gridSpan w:val="4"/>
            <w:tcBorders>
              <w:bottom w:val="single" w:sz="12" w:space="0" w:color="auto"/>
            </w:tcBorders>
            <w:shd w:val="clear" w:color="auto" w:fill="auto"/>
          </w:tcPr>
          <w:p w14:paraId="7B7F9757" w14:textId="52968E52" w:rsidR="00F0236A" w:rsidRPr="00073574" w:rsidRDefault="00F0236A" w:rsidP="003B0CD8">
            <w:pPr>
              <w:pStyle w:val="Tabletext"/>
              <w:rPr>
                <w:szCs w:val="22"/>
              </w:rPr>
            </w:pPr>
            <w:r w:rsidRPr="00073574">
              <w:rPr>
                <w:szCs w:val="22"/>
              </w:rPr>
              <w:t>SG5 approved the following Recommendations:</w:t>
            </w:r>
          </w:p>
          <w:p w14:paraId="68DDCF73" w14:textId="6DBB30C6" w:rsidR="00F0236A" w:rsidRPr="00073574" w:rsidRDefault="00F0236A" w:rsidP="002757ED">
            <w:pPr>
              <w:pStyle w:val="ListParagraph"/>
              <w:numPr>
                <w:ilvl w:val="0"/>
                <w:numId w:val="28"/>
              </w:numPr>
              <w:ind w:left="357" w:hanging="357"/>
              <w:contextualSpacing w:val="0"/>
            </w:pPr>
            <w:r w:rsidRPr="00073574">
              <w:t>ITU-T K.121</w:t>
            </w:r>
            <w:r w:rsidR="003C7E25" w:rsidRPr="00073574">
              <w:t>"</w:t>
            </w:r>
            <w:r w:rsidRPr="00073574">
              <w:t>Guidance on the Environmental Management for Compliance with Radio Frequency EMF limits for Radiocommunication Base Stations</w:t>
            </w:r>
            <w:r w:rsidR="003C7E25" w:rsidRPr="00073574">
              <w:t>"</w:t>
            </w:r>
          </w:p>
          <w:p w14:paraId="206C6FE2" w14:textId="3998E2F1" w:rsidR="00F0236A" w:rsidRPr="00073574" w:rsidRDefault="00F0236A" w:rsidP="002757ED">
            <w:pPr>
              <w:pStyle w:val="ListParagraph"/>
              <w:numPr>
                <w:ilvl w:val="0"/>
                <w:numId w:val="28"/>
              </w:numPr>
              <w:ind w:left="357" w:hanging="357"/>
              <w:contextualSpacing w:val="0"/>
            </w:pPr>
            <w:r w:rsidRPr="00073574">
              <w:t xml:space="preserve">ITU-T K.122 </w:t>
            </w:r>
            <w:r w:rsidR="003C7E25" w:rsidRPr="00073574">
              <w:t>"</w:t>
            </w:r>
            <w:r w:rsidRPr="00073574">
              <w:t>Exposure levels in the close proximity of the radiocommunication antennas</w:t>
            </w:r>
            <w:r w:rsidR="003C7E25" w:rsidRPr="00073574">
              <w:t>"</w:t>
            </w:r>
          </w:p>
          <w:p w14:paraId="7D0E9E99" w14:textId="77777777" w:rsidR="00F0236A" w:rsidRPr="00073574" w:rsidRDefault="00F0236A" w:rsidP="002757ED">
            <w:pPr>
              <w:pStyle w:val="ListParagraph"/>
              <w:numPr>
                <w:ilvl w:val="0"/>
                <w:numId w:val="28"/>
              </w:numPr>
              <w:ind w:left="357" w:hanging="357"/>
              <w:contextualSpacing w:val="0"/>
            </w:pPr>
            <w:r w:rsidRPr="00073574">
              <w:t xml:space="preserve">ITU-T K.124 </w:t>
            </w:r>
            <w:r w:rsidR="003C7E25" w:rsidRPr="00073574">
              <w:t>"</w:t>
            </w:r>
            <w:r w:rsidRPr="00073574">
              <w:t>Overview of particle radiation effects on telecommunications systems</w:t>
            </w:r>
            <w:r w:rsidR="003C7E25" w:rsidRPr="00073574">
              <w:t>"</w:t>
            </w:r>
            <w:r w:rsidRPr="00073574">
              <w:t>.</w:t>
            </w:r>
          </w:p>
          <w:p w14:paraId="23AB7705" w14:textId="77777777" w:rsidR="00D53E54" w:rsidRPr="00073574" w:rsidRDefault="77D8B553" w:rsidP="002757ED">
            <w:pPr>
              <w:pStyle w:val="ListParagraph"/>
              <w:numPr>
                <w:ilvl w:val="0"/>
                <w:numId w:val="28"/>
              </w:numPr>
              <w:ind w:left="357" w:hanging="357"/>
              <w:contextualSpacing w:val="0"/>
            </w:pPr>
            <w:r w:rsidRPr="00073574">
              <w:t>ITU-T K.91 (rev) "Guidance for assessment, evaluation and monitoring of the human exposure to radio frequency electromagnetic fields"</w:t>
            </w:r>
          </w:p>
          <w:p w14:paraId="0401C72C" w14:textId="77777777" w:rsidR="00D53E54" w:rsidRPr="00073574" w:rsidRDefault="77D8B553" w:rsidP="002757ED">
            <w:pPr>
              <w:pStyle w:val="ListParagraph"/>
              <w:numPr>
                <w:ilvl w:val="0"/>
                <w:numId w:val="28"/>
              </w:numPr>
              <w:ind w:left="357" w:hanging="357"/>
              <w:contextualSpacing w:val="0"/>
            </w:pPr>
            <w:r w:rsidRPr="00073574">
              <w:t>ITU-T K.52 (rev) "Guidance on complying with limits for human exposure to electromagnetic fields"</w:t>
            </w:r>
          </w:p>
          <w:p w14:paraId="534299FB" w14:textId="32248176" w:rsidR="00D53E54" w:rsidRPr="00073574" w:rsidRDefault="77D8B553" w:rsidP="002757ED">
            <w:pPr>
              <w:pStyle w:val="ListParagraph"/>
              <w:numPr>
                <w:ilvl w:val="0"/>
                <w:numId w:val="28"/>
              </w:numPr>
              <w:ind w:left="357" w:hanging="357"/>
              <w:contextualSpacing w:val="0"/>
            </w:pPr>
            <w:r w:rsidRPr="00073574">
              <w:t>ITU-T K.61 (rev) "Guidance on measurement and numerical prediction of electromagnetic fields for compliance with human exposure limits for teleco</w:t>
            </w:r>
            <w:r w:rsidR="2FCC88D5" w:rsidRPr="00073574">
              <w:t>m</w:t>
            </w:r>
            <w:r w:rsidRPr="00073574">
              <w:t>munication installation"</w:t>
            </w:r>
          </w:p>
          <w:p w14:paraId="3D1A1876" w14:textId="0D1AA3BA" w:rsidR="00D53E54" w:rsidRPr="00073574" w:rsidRDefault="77D8B553" w:rsidP="002757ED">
            <w:pPr>
              <w:pStyle w:val="ListParagraph"/>
              <w:numPr>
                <w:ilvl w:val="0"/>
                <w:numId w:val="28"/>
              </w:numPr>
              <w:ind w:left="357" w:hanging="357"/>
              <w:contextualSpacing w:val="0"/>
            </w:pPr>
            <w:r w:rsidRPr="00073574">
              <w:t xml:space="preserve">ITU-T K.70 (rev) "Mitigation techniques to limit human exposure to EMFs in the vicinity </w:t>
            </w:r>
            <w:r w:rsidR="2FCC88D5" w:rsidRPr="00073574">
              <w:t>of radiocommunication stations"</w:t>
            </w:r>
          </w:p>
          <w:p w14:paraId="5207DD27" w14:textId="46EF5C8D" w:rsidR="00756EE0" w:rsidRPr="00073574" w:rsidRDefault="306DFB42" w:rsidP="002757ED">
            <w:pPr>
              <w:pStyle w:val="ListParagraph"/>
              <w:numPr>
                <w:ilvl w:val="0"/>
                <w:numId w:val="28"/>
              </w:numPr>
              <w:ind w:left="357" w:hanging="357"/>
              <w:contextualSpacing w:val="0"/>
            </w:pPr>
            <w:r w:rsidRPr="00073574">
              <w:t>ITU-T K.90 (rev) “Evaluation techniques and working procedures for compliance with exposure limits of network operator personnel to power-frequency electromagnetic fields”</w:t>
            </w:r>
          </w:p>
          <w:p w14:paraId="01929241" w14:textId="5F35BA0E" w:rsidR="00756EE0" w:rsidRPr="00073574" w:rsidRDefault="77D8B553" w:rsidP="002757ED">
            <w:pPr>
              <w:pStyle w:val="ListParagraph"/>
              <w:numPr>
                <w:ilvl w:val="0"/>
                <w:numId w:val="28"/>
              </w:numPr>
              <w:ind w:left="357" w:hanging="357"/>
              <w:contextualSpacing w:val="0"/>
            </w:pPr>
            <w:r w:rsidRPr="00073574">
              <w:t>ITU-T K.100 (rev) "Measurement of radio frequency electromagnetic fields to determine compliance with human exposure limits when a base station is put into service"</w:t>
            </w:r>
          </w:p>
          <w:p w14:paraId="2B2F976F" w14:textId="49C0ED50" w:rsidR="00DF6626" w:rsidRPr="00073574" w:rsidRDefault="65C4362D" w:rsidP="002757ED">
            <w:pPr>
              <w:pStyle w:val="ListParagraph"/>
              <w:numPr>
                <w:ilvl w:val="0"/>
                <w:numId w:val="28"/>
              </w:numPr>
              <w:ind w:left="357" w:hanging="357"/>
              <w:contextualSpacing w:val="0"/>
            </w:pPr>
            <w:r w:rsidRPr="00073574">
              <w:t xml:space="preserve">ITU-T K.145 </w:t>
            </w:r>
            <w:r w:rsidR="00022746" w:rsidRPr="00073574">
              <w:t xml:space="preserve">(rev) </w:t>
            </w:r>
            <w:r w:rsidRPr="00073574">
              <w:t>“Assessment and management of compliance with RF EMF exposure limits for workers at radiocommunication sites and facilities”</w:t>
            </w:r>
          </w:p>
          <w:p w14:paraId="479764F0" w14:textId="1DEBF31E" w:rsidR="00756EE0" w:rsidRPr="00073574" w:rsidRDefault="00756EE0" w:rsidP="003B0CD8">
            <w:r w:rsidRPr="00073574">
              <w:t>Additionally, SG5 approved the following Supplements:</w:t>
            </w:r>
          </w:p>
          <w:p w14:paraId="0A3EF86D" w14:textId="49E19E3A" w:rsidR="0E45ACD2" w:rsidRPr="00073574" w:rsidRDefault="68AC794C" w:rsidP="002757ED">
            <w:pPr>
              <w:pStyle w:val="ListParagraph"/>
              <w:numPr>
                <w:ilvl w:val="0"/>
                <w:numId w:val="28"/>
              </w:numPr>
              <w:ind w:left="357" w:hanging="357"/>
              <w:contextualSpacing w:val="0"/>
            </w:pPr>
            <w:r w:rsidRPr="00073574">
              <w:t>K.Suppl.1 to ITU-T K.91 (rev) “Guide on electromagnetic fields and health"</w:t>
            </w:r>
          </w:p>
          <w:p w14:paraId="3B2D3F6C" w14:textId="6E6C4123" w:rsidR="001B0232" w:rsidRPr="00073574" w:rsidRDefault="4D20EFB0" w:rsidP="002757ED">
            <w:pPr>
              <w:pStyle w:val="ListParagraph"/>
              <w:numPr>
                <w:ilvl w:val="0"/>
                <w:numId w:val="28"/>
              </w:numPr>
              <w:ind w:left="357" w:hanging="357"/>
              <w:contextualSpacing w:val="0"/>
            </w:pPr>
            <w:r w:rsidRPr="00073574">
              <w:t>K.Suppl.4 to ITU-T K.91 (rev) “Electromagnetic field consideratio</w:t>
            </w:r>
            <w:r w:rsidR="00E31596" w:rsidRPr="00073574">
              <w:t>ns in smart sustainable cities”</w:t>
            </w:r>
          </w:p>
          <w:p w14:paraId="7E584E62" w14:textId="77777777" w:rsidR="00756EE0" w:rsidRPr="00073574" w:rsidRDefault="4D20EFB0" w:rsidP="002757ED">
            <w:pPr>
              <w:pStyle w:val="ListParagraph"/>
              <w:numPr>
                <w:ilvl w:val="0"/>
                <w:numId w:val="28"/>
              </w:numPr>
              <w:ind w:left="357" w:hanging="357"/>
              <w:contextualSpacing w:val="0"/>
            </w:pPr>
            <w:r w:rsidRPr="00073574">
              <w:t>K.Suppl.9 “5G technology and human exposure to RF EMF”</w:t>
            </w:r>
          </w:p>
          <w:p w14:paraId="16DEC33E" w14:textId="75666168" w:rsidR="001B0232" w:rsidRPr="00073574" w:rsidRDefault="4D20EFB0" w:rsidP="002757ED">
            <w:pPr>
              <w:pStyle w:val="ListParagraph"/>
              <w:numPr>
                <w:ilvl w:val="0"/>
                <w:numId w:val="28"/>
              </w:numPr>
              <w:ind w:left="357" w:hanging="357"/>
              <w:contextualSpacing w:val="0"/>
            </w:pPr>
            <w:r w:rsidRPr="00073574">
              <w:t>K.Suppl.13 “Radiofrequency electromagnetic field (RF-EMF) exposure levels from mobile and portable devices during different conditions of use”</w:t>
            </w:r>
          </w:p>
          <w:p w14:paraId="62AE9BD1" w14:textId="77777777" w:rsidR="001B0232" w:rsidRPr="00073574" w:rsidRDefault="4D20EFB0" w:rsidP="002757ED">
            <w:pPr>
              <w:pStyle w:val="ListParagraph"/>
              <w:numPr>
                <w:ilvl w:val="0"/>
                <w:numId w:val="28"/>
              </w:numPr>
              <w:ind w:left="357" w:hanging="357"/>
              <w:contextualSpacing w:val="0"/>
            </w:pPr>
            <w:r w:rsidRPr="00073574">
              <w:t>K.Suppl.14 “The impact of RF-EMF exposure limits stricter than the ICNIRP or IEEE guidelines on 4G and 5G mobile network deployment”</w:t>
            </w:r>
          </w:p>
          <w:p w14:paraId="6B5FDE10" w14:textId="77777777" w:rsidR="001B0232" w:rsidRPr="00073574" w:rsidRDefault="4D20EFB0" w:rsidP="002757ED">
            <w:pPr>
              <w:pStyle w:val="ListParagraph"/>
              <w:numPr>
                <w:ilvl w:val="0"/>
                <w:numId w:val="28"/>
              </w:numPr>
              <w:ind w:left="357" w:hanging="357"/>
              <w:contextualSpacing w:val="0"/>
            </w:pPr>
            <w:r w:rsidRPr="00073574">
              <w:t>K.Suppl.16 “Electromagnetic field (EMF) compliance assessments for 5G wireless networks”</w:t>
            </w:r>
            <w:r w:rsidR="56A69059" w:rsidRPr="00073574">
              <w:t>.</w:t>
            </w:r>
          </w:p>
          <w:p w14:paraId="24C88B36" w14:textId="7850C68D" w:rsidR="00E6162D" w:rsidRPr="00073574" w:rsidRDefault="363187DC" w:rsidP="002757ED">
            <w:pPr>
              <w:pStyle w:val="ListParagraph"/>
              <w:numPr>
                <w:ilvl w:val="0"/>
                <w:numId w:val="28"/>
              </w:numPr>
              <w:ind w:left="357" w:hanging="357"/>
              <w:contextualSpacing w:val="0"/>
            </w:pPr>
            <w:r w:rsidRPr="00073574">
              <w:t>K.Suppl.19 “Electromagnetic field (EMF) strength inside underground railway trains”</w:t>
            </w:r>
          </w:p>
          <w:p w14:paraId="3878F5A3" w14:textId="29E88627" w:rsidR="00E6162D" w:rsidRPr="00073574" w:rsidRDefault="41D65BD1" w:rsidP="002757ED">
            <w:pPr>
              <w:pStyle w:val="ListParagraph"/>
              <w:numPr>
                <w:ilvl w:val="0"/>
                <w:numId w:val="28"/>
              </w:numPr>
              <w:ind w:left="357" w:hanging="357"/>
              <w:contextualSpacing w:val="0"/>
              <w:rPr>
                <w:rFonts w:eastAsia="Times New Roman"/>
              </w:rPr>
            </w:pPr>
            <w:r w:rsidRPr="00073574">
              <w:t>K.Suppl.20 to ITU-T K.91 “Supplement on radiofrequency exposure evaluation around underground base stations”</w:t>
            </w:r>
            <w:r w:rsidR="76415EB4" w:rsidRPr="00073574">
              <w:t>.</w:t>
            </w:r>
          </w:p>
        </w:tc>
      </w:tr>
      <w:tr w:rsidR="00F0236A" w:rsidRPr="00073574" w14:paraId="63F39D2F" w14:textId="77777777" w:rsidTr="00AA12EE">
        <w:trPr>
          <w:cantSplit/>
          <w:jc w:val="center"/>
        </w:trPr>
        <w:tc>
          <w:tcPr>
            <w:tcW w:w="913" w:type="dxa"/>
            <w:vMerge w:val="restart"/>
            <w:tcBorders>
              <w:top w:val="single" w:sz="12" w:space="0" w:color="auto"/>
            </w:tcBorders>
            <w:shd w:val="clear" w:color="auto" w:fill="auto"/>
          </w:tcPr>
          <w:p w14:paraId="6DEEDEE9" w14:textId="77777777" w:rsidR="00F0236A" w:rsidRPr="00073574" w:rsidRDefault="00F0236A" w:rsidP="00DF36E1">
            <w:pPr>
              <w:pStyle w:val="Tabletext"/>
              <w:rPr>
                <w:b/>
                <w:bCs/>
                <w:sz w:val="24"/>
                <w:szCs w:val="24"/>
              </w:rPr>
            </w:pPr>
            <w:r w:rsidRPr="00073574">
              <w:rPr>
                <w:b/>
                <w:bCs/>
                <w:sz w:val="24"/>
                <w:szCs w:val="24"/>
              </w:rPr>
              <w:t>72-06</w:t>
            </w:r>
          </w:p>
        </w:tc>
        <w:tc>
          <w:tcPr>
            <w:tcW w:w="5159" w:type="dxa"/>
            <w:tcBorders>
              <w:top w:val="single" w:sz="12" w:space="0" w:color="auto"/>
            </w:tcBorders>
            <w:shd w:val="clear" w:color="auto" w:fill="auto"/>
          </w:tcPr>
          <w:p w14:paraId="7FEA9424" w14:textId="77777777" w:rsidR="00F0236A" w:rsidRPr="00073574" w:rsidRDefault="00F0236A" w:rsidP="00DF36E1">
            <w:pPr>
              <w:pStyle w:val="Tabletext"/>
              <w:rPr>
                <w:b/>
                <w:bCs/>
                <w:sz w:val="24"/>
                <w:szCs w:val="24"/>
              </w:rPr>
            </w:pPr>
            <w:r w:rsidRPr="00073574">
              <w:rPr>
                <w:b/>
                <w:bCs/>
                <w:sz w:val="24"/>
                <w:szCs w:val="24"/>
              </w:rPr>
              <w:t>SG5 to cooperate with ITU-R SGs 1, 6, and with ITU-D SG 2 in the framework of ITU-D Q7/2 (resolves iv)</w:t>
            </w:r>
          </w:p>
        </w:tc>
        <w:tc>
          <w:tcPr>
            <w:tcW w:w="1258" w:type="dxa"/>
            <w:tcBorders>
              <w:top w:val="single" w:sz="12" w:space="0" w:color="auto"/>
            </w:tcBorders>
            <w:shd w:val="clear" w:color="auto" w:fill="auto"/>
            <w:vAlign w:val="center"/>
          </w:tcPr>
          <w:p w14:paraId="654220E3"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66" w:type="dxa"/>
            <w:tcBorders>
              <w:top w:val="single" w:sz="12" w:space="0" w:color="auto"/>
            </w:tcBorders>
            <w:shd w:val="clear" w:color="auto" w:fill="auto"/>
            <w:vAlign w:val="center"/>
          </w:tcPr>
          <w:p w14:paraId="34F48F63" w14:textId="57AA6F2F" w:rsidR="00F0236A" w:rsidRPr="00073574" w:rsidDel="00B95E1F" w:rsidRDefault="00F309E4"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252DAA86" w14:textId="77777777" w:rsidR="00F0236A" w:rsidRPr="00073574" w:rsidRDefault="00F0236A" w:rsidP="00DF36E1">
            <w:pPr>
              <w:pStyle w:val="Tabletext"/>
              <w:jc w:val="center"/>
              <w:rPr>
                <w:b/>
                <w:bCs/>
                <w:sz w:val="24"/>
                <w:szCs w:val="24"/>
              </w:rPr>
            </w:pPr>
          </w:p>
        </w:tc>
      </w:tr>
      <w:tr w:rsidR="00F0236A" w:rsidRPr="00073574" w14:paraId="128DC1E3" w14:textId="77777777" w:rsidTr="00AA12EE">
        <w:trPr>
          <w:cantSplit/>
          <w:jc w:val="center"/>
        </w:trPr>
        <w:tc>
          <w:tcPr>
            <w:tcW w:w="913" w:type="dxa"/>
            <w:vMerge/>
          </w:tcPr>
          <w:p w14:paraId="13E2115B" w14:textId="77777777" w:rsidR="00F0236A" w:rsidRPr="00073574" w:rsidRDefault="00F0236A" w:rsidP="00DF36E1">
            <w:pPr>
              <w:pStyle w:val="Tabletext"/>
              <w:rPr>
                <w:sz w:val="24"/>
                <w:szCs w:val="24"/>
              </w:rPr>
            </w:pPr>
          </w:p>
        </w:tc>
        <w:tc>
          <w:tcPr>
            <w:tcW w:w="8919" w:type="dxa"/>
            <w:gridSpan w:val="4"/>
            <w:tcBorders>
              <w:bottom w:val="single" w:sz="12" w:space="0" w:color="auto"/>
            </w:tcBorders>
            <w:shd w:val="clear" w:color="auto" w:fill="auto"/>
          </w:tcPr>
          <w:p w14:paraId="62C09E82" w14:textId="4EF96196" w:rsidR="00F0236A" w:rsidRPr="00073574" w:rsidRDefault="00F309E4" w:rsidP="00DF36E1">
            <w:pPr>
              <w:pStyle w:val="Tabletext"/>
            </w:pPr>
            <w:r w:rsidRPr="00073574">
              <w:t>SG5 frequently send</w:t>
            </w:r>
            <w:r w:rsidR="6CBCB95E" w:rsidRPr="00073574">
              <w:t>s</w:t>
            </w:r>
            <w:r w:rsidRPr="00073574">
              <w:t xml:space="preserve"> liaison statements to ITU-D SG2</w:t>
            </w:r>
            <w:r w:rsidR="001B0232" w:rsidRPr="00073574">
              <w:t xml:space="preserve"> and to ITU-R SGs 1 and 6</w:t>
            </w:r>
            <w:r w:rsidR="007C1129" w:rsidRPr="00073574">
              <w:t xml:space="preserve"> on the progress achieved on EMF topics.</w:t>
            </w:r>
          </w:p>
        </w:tc>
      </w:tr>
      <w:tr w:rsidR="00F0236A" w:rsidRPr="00073574" w14:paraId="1FDD6AF7" w14:textId="77777777" w:rsidTr="00AA12EE">
        <w:trPr>
          <w:cantSplit/>
          <w:jc w:val="center"/>
        </w:trPr>
        <w:tc>
          <w:tcPr>
            <w:tcW w:w="913" w:type="dxa"/>
            <w:vMerge w:val="restart"/>
            <w:tcBorders>
              <w:top w:val="single" w:sz="12" w:space="0" w:color="auto"/>
            </w:tcBorders>
            <w:shd w:val="clear" w:color="auto" w:fill="auto"/>
          </w:tcPr>
          <w:p w14:paraId="6353E114" w14:textId="77777777" w:rsidR="00F0236A" w:rsidRPr="00073574" w:rsidRDefault="00F0236A" w:rsidP="0028134B">
            <w:pPr>
              <w:pStyle w:val="Tabletext"/>
              <w:keepNext/>
              <w:keepLines/>
              <w:rPr>
                <w:b/>
                <w:bCs/>
                <w:sz w:val="24"/>
                <w:szCs w:val="24"/>
              </w:rPr>
            </w:pPr>
            <w:r w:rsidRPr="00073574">
              <w:rPr>
                <w:b/>
                <w:bCs/>
                <w:sz w:val="24"/>
                <w:szCs w:val="24"/>
              </w:rPr>
              <w:lastRenderedPageBreak/>
              <w:t>72-07</w:t>
            </w:r>
          </w:p>
        </w:tc>
        <w:tc>
          <w:tcPr>
            <w:tcW w:w="5159" w:type="dxa"/>
            <w:tcBorders>
              <w:top w:val="single" w:sz="12" w:space="0" w:color="auto"/>
            </w:tcBorders>
            <w:shd w:val="clear" w:color="auto" w:fill="auto"/>
          </w:tcPr>
          <w:p w14:paraId="23EE9E46" w14:textId="375C7B64" w:rsidR="00F0236A" w:rsidRPr="00073574" w:rsidRDefault="00F0236A" w:rsidP="00DF36E1">
            <w:pPr>
              <w:pStyle w:val="Tabletext"/>
              <w:rPr>
                <w:b/>
                <w:bCs/>
                <w:sz w:val="24"/>
                <w:szCs w:val="24"/>
              </w:rPr>
            </w:pPr>
            <w:r w:rsidRPr="00073574">
              <w:rPr>
                <w:b/>
                <w:bCs/>
                <w:sz w:val="24"/>
                <w:szCs w:val="24"/>
              </w:rPr>
              <w:t>TSB Director to regularly update the ITU</w:t>
            </w:r>
            <w:r w:rsidR="009859E9" w:rsidRPr="00073574">
              <w:rPr>
                <w:b/>
                <w:bCs/>
                <w:sz w:val="24"/>
                <w:szCs w:val="24"/>
              </w:rPr>
              <w:t>-</w:t>
            </w:r>
            <w:r w:rsidRPr="00073574">
              <w:rPr>
                <w:b/>
                <w:bCs/>
                <w:sz w:val="24"/>
                <w:szCs w:val="24"/>
              </w:rPr>
              <w:t>T portal on EMF activities including, but not limited to, the ITU EMF Guide, links to websites, and flyers (i. TSBDir 2)</w:t>
            </w:r>
          </w:p>
        </w:tc>
        <w:tc>
          <w:tcPr>
            <w:tcW w:w="1258" w:type="dxa"/>
            <w:tcBorders>
              <w:top w:val="single" w:sz="12" w:space="0" w:color="auto"/>
            </w:tcBorders>
            <w:shd w:val="clear" w:color="auto" w:fill="auto"/>
            <w:vAlign w:val="center"/>
          </w:tcPr>
          <w:p w14:paraId="143AAD63"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66" w:type="dxa"/>
            <w:tcBorders>
              <w:top w:val="single" w:sz="12" w:space="0" w:color="auto"/>
            </w:tcBorders>
            <w:shd w:val="clear" w:color="auto" w:fill="auto"/>
            <w:vAlign w:val="center"/>
          </w:tcPr>
          <w:p w14:paraId="2A1A6D28" w14:textId="77777777" w:rsidR="00F0236A" w:rsidRPr="00073574" w:rsidDel="00B95E1F"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52DA683A" w14:textId="77777777" w:rsidR="00F0236A" w:rsidRPr="00073574" w:rsidRDefault="00F0236A" w:rsidP="00DF36E1">
            <w:pPr>
              <w:pStyle w:val="Tabletext"/>
              <w:jc w:val="center"/>
              <w:rPr>
                <w:b/>
                <w:bCs/>
                <w:sz w:val="24"/>
                <w:szCs w:val="24"/>
              </w:rPr>
            </w:pPr>
          </w:p>
        </w:tc>
      </w:tr>
      <w:tr w:rsidR="00F0236A" w:rsidRPr="00073574" w14:paraId="4301733D" w14:textId="77777777" w:rsidTr="00AA12EE">
        <w:trPr>
          <w:cantSplit/>
          <w:jc w:val="center"/>
        </w:trPr>
        <w:tc>
          <w:tcPr>
            <w:tcW w:w="913" w:type="dxa"/>
            <w:vMerge/>
          </w:tcPr>
          <w:p w14:paraId="0C5D3CCE" w14:textId="77777777" w:rsidR="00F0236A" w:rsidRPr="00073574" w:rsidRDefault="00F0236A" w:rsidP="00DF36E1">
            <w:pPr>
              <w:pStyle w:val="Tabletext"/>
              <w:rPr>
                <w:sz w:val="24"/>
                <w:szCs w:val="24"/>
              </w:rPr>
            </w:pPr>
          </w:p>
        </w:tc>
        <w:tc>
          <w:tcPr>
            <w:tcW w:w="8919" w:type="dxa"/>
            <w:gridSpan w:val="4"/>
            <w:tcBorders>
              <w:bottom w:val="single" w:sz="12" w:space="0" w:color="auto"/>
            </w:tcBorders>
            <w:shd w:val="clear" w:color="auto" w:fill="auto"/>
          </w:tcPr>
          <w:p w14:paraId="6FF271B7" w14:textId="06DAAA37" w:rsidR="00F0236A" w:rsidRPr="00073574" w:rsidRDefault="00F0236A" w:rsidP="00DF36E1">
            <w:pPr>
              <w:pStyle w:val="Tabletext"/>
              <w:rPr>
                <w:szCs w:val="22"/>
              </w:rPr>
            </w:pPr>
            <w:r w:rsidRPr="00073574">
              <w:rPr>
                <w:szCs w:val="22"/>
              </w:rPr>
              <w:t xml:space="preserve">The EMF website is kept up to date and is available at: </w:t>
            </w:r>
            <w:hyperlink r:id="rId531" w:history="1">
              <w:r w:rsidRPr="00073574">
                <w:rPr>
                  <w:rStyle w:val="Hyperlink"/>
                  <w:szCs w:val="22"/>
                </w:rPr>
                <w:t>https://www.itu.int/en/ITU-T/emf/Pages/default.aspx</w:t>
              </w:r>
            </w:hyperlink>
            <w:r w:rsidR="00022746" w:rsidRPr="00073574">
              <w:rPr>
                <w:rStyle w:val="Hyperlink"/>
                <w:szCs w:val="22"/>
              </w:rPr>
              <w:t xml:space="preserve">. </w:t>
            </w:r>
            <w:r w:rsidR="00022746" w:rsidRPr="00073574">
              <w:rPr>
                <w:szCs w:val="22"/>
              </w:rPr>
              <w:t xml:space="preserve">Additionally, the page on </w:t>
            </w:r>
            <w:r w:rsidR="003B579F" w:rsidRPr="00073574">
              <w:rPr>
                <w:szCs w:val="22"/>
              </w:rPr>
              <w:t>“</w:t>
            </w:r>
            <w:hyperlink r:id="rId532" w:history="1">
              <w:r w:rsidR="00022746" w:rsidRPr="00073574">
                <w:rPr>
                  <w:rStyle w:val="Hyperlink"/>
                  <w:szCs w:val="22"/>
                </w:rPr>
                <w:t>What is new on ITU-T Activities on EMF?</w:t>
              </w:r>
            </w:hyperlink>
            <w:r w:rsidR="003B579F" w:rsidRPr="00073574">
              <w:rPr>
                <w:szCs w:val="22"/>
              </w:rPr>
              <w:t>” is</w:t>
            </w:r>
            <w:r w:rsidR="00022746" w:rsidRPr="00073574">
              <w:rPr>
                <w:szCs w:val="22"/>
              </w:rPr>
              <w:t xml:space="preserve"> kept up to date.</w:t>
            </w:r>
          </w:p>
        </w:tc>
      </w:tr>
      <w:tr w:rsidR="00F0236A" w:rsidRPr="00073574" w14:paraId="052ECFF6" w14:textId="77777777" w:rsidTr="00AA12EE">
        <w:trPr>
          <w:cantSplit/>
          <w:jc w:val="center"/>
        </w:trPr>
        <w:tc>
          <w:tcPr>
            <w:tcW w:w="913" w:type="dxa"/>
            <w:vMerge w:val="restart"/>
            <w:tcBorders>
              <w:top w:val="single" w:sz="12" w:space="0" w:color="auto"/>
            </w:tcBorders>
            <w:shd w:val="clear" w:color="auto" w:fill="auto"/>
          </w:tcPr>
          <w:p w14:paraId="29AECB72" w14:textId="77777777" w:rsidR="00F0236A" w:rsidRPr="00073574" w:rsidRDefault="00F0236A" w:rsidP="00DF36E1">
            <w:pPr>
              <w:pStyle w:val="Tabletext"/>
              <w:keepNext/>
              <w:keepLines/>
              <w:rPr>
                <w:b/>
                <w:bCs/>
                <w:sz w:val="24"/>
                <w:szCs w:val="24"/>
              </w:rPr>
            </w:pPr>
            <w:r w:rsidRPr="00073574">
              <w:rPr>
                <w:b/>
                <w:bCs/>
                <w:sz w:val="24"/>
                <w:szCs w:val="24"/>
              </w:rPr>
              <w:t>72-08</w:t>
            </w:r>
          </w:p>
        </w:tc>
        <w:tc>
          <w:tcPr>
            <w:tcW w:w="5159" w:type="dxa"/>
            <w:tcBorders>
              <w:top w:val="single" w:sz="12" w:space="0" w:color="auto"/>
            </w:tcBorders>
            <w:shd w:val="clear" w:color="auto" w:fill="auto"/>
          </w:tcPr>
          <w:p w14:paraId="31BF978D" w14:textId="77777777" w:rsidR="00F0236A" w:rsidRPr="00073574" w:rsidRDefault="00F0236A" w:rsidP="00DF36E1">
            <w:pPr>
              <w:pStyle w:val="Tabletext"/>
              <w:keepNext/>
              <w:keepLines/>
              <w:rPr>
                <w:b/>
                <w:bCs/>
                <w:sz w:val="24"/>
                <w:szCs w:val="24"/>
              </w:rPr>
            </w:pPr>
            <w:r w:rsidRPr="00073574">
              <w:rPr>
                <w:b/>
                <w:bCs/>
                <w:sz w:val="24"/>
                <w:szCs w:val="24"/>
              </w:rPr>
              <w:t>TSB Director to report to the next world telecommunication standardization assembly on measures taken to implement this resolution (i. TSBDir 5)</w:t>
            </w:r>
          </w:p>
        </w:tc>
        <w:tc>
          <w:tcPr>
            <w:tcW w:w="1258" w:type="dxa"/>
            <w:tcBorders>
              <w:top w:val="single" w:sz="12" w:space="0" w:color="auto"/>
            </w:tcBorders>
            <w:shd w:val="clear" w:color="auto" w:fill="auto"/>
            <w:vAlign w:val="center"/>
          </w:tcPr>
          <w:p w14:paraId="1E25CC79" w14:textId="77777777" w:rsidR="00F0236A" w:rsidRPr="00073574" w:rsidRDefault="00F0236A" w:rsidP="00DF36E1">
            <w:pPr>
              <w:pStyle w:val="Tabletext"/>
              <w:jc w:val="center"/>
              <w:rPr>
                <w:b/>
                <w:bCs/>
                <w:sz w:val="24"/>
                <w:szCs w:val="24"/>
              </w:rPr>
            </w:pPr>
            <w:r w:rsidRPr="00073574">
              <w:rPr>
                <w:b/>
                <w:bCs/>
                <w:sz w:val="24"/>
                <w:szCs w:val="24"/>
              </w:rPr>
              <w:t>WTSA-20</w:t>
            </w:r>
          </w:p>
        </w:tc>
        <w:tc>
          <w:tcPr>
            <w:tcW w:w="1166" w:type="dxa"/>
            <w:tcBorders>
              <w:top w:val="single" w:sz="12" w:space="0" w:color="auto"/>
            </w:tcBorders>
            <w:shd w:val="clear" w:color="auto" w:fill="auto"/>
            <w:vAlign w:val="center"/>
          </w:tcPr>
          <w:p w14:paraId="2B22060A" w14:textId="1998A313" w:rsidR="00F0236A" w:rsidRPr="00073574" w:rsidDel="00B95E1F" w:rsidRDefault="001D4278"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534E7D6E" w14:textId="4F3C7C02" w:rsidR="00F0236A" w:rsidRPr="00073574" w:rsidRDefault="001D4278" w:rsidP="00DF36E1">
            <w:pPr>
              <w:pStyle w:val="Tabletext"/>
              <w:jc w:val="center"/>
              <w:rPr>
                <w:b/>
                <w:bCs/>
                <w:sz w:val="24"/>
                <w:szCs w:val="24"/>
              </w:rPr>
            </w:pPr>
            <w:r w:rsidRPr="00073574">
              <w:rPr>
                <w:b/>
                <w:bCs/>
                <w:sz w:val="24"/>
                <w:szCs w:val="24"/>
              </w:rPr>
              <w:t>√</w:t>
            </w:r>
          </w:p>
        </w:tc>
      </w:tr>
      <w:tr w:rsidR="00F0236A" w:rsidRPr="00073574" w14:paraId="4761DC30" w14:textId="77777777" w:rsidTr="00AA12EE">
        <w:trPr>
          <w:cantSplit/>
          <w:jc w:val="center"/>
        </w:trPr>
        <w:tc>
          <w:tcPr>
            <w:tcW w:w="913" w:type="dxa"/>
            <w:vMerge/>
            <w:vAlign w:val="center"/>
          </w:tcPr>
          <w:p w14:paraId="6FECD287" w14:textId="77777777" w:rsidR="00F0236A" w:rsidRPr="00073574" w:rsidRDefault="00F0236A" w:rsidP="00DF36E1">
            <w:pPr>
              <w:pStyle w:val="Tabletext"/>
              <w:rPr>
                <w:sz w:val="24"/>
                <w:szCs w:val="24"/>
              </w:rPr>
            </w:pPr>
          </w:p>
        </w:tc>
        <w:tc>
          <w:tcPr>
            <w:tcW w:w="8919" w:type="dxa"/>
            <w:gridSpan w:val="4"/>
            <w:shd w:val="clear" w:color="auto" w:fill="auto"/>
          </w:tcPr>
          <w:p w14:paraId="52A271E0" w14:textId="77777777" w:rsidR="00E46AFC" w:rsidRPr="00073574" w:rsidRDefault="001D4278" w:rsidP="00E46AFC">
            <w:pPr>
              <w:pStyle w:val="Tabletext"/>
              <w:rPr>
                <w:szCs w:val="22"/>
              </w:rPr>
            </w:pPr>
            <w:r w:rsidRPr="00073574">
              <w:rPr>
                <w:szCs w:val="22"/>
              </w:rPr>
              <w:t>Resolution 72 (</w:t>
            </w:r>
            <w:r w:rsidR="001B554D" w:rsidRPr="00073574">
              <w:rPr>
                <w:szCs w:val="22"/>
              </w:rPr>
              <w:t>Rev. Hammamet, 2016</w:t>
            </w:r>
            <w:r w:rsidRPr="00073574">
              <w:rPr>
                <w:szCs w:val="22"/>
              </w:rPr>
              <w:t xml:space="preserve">) on “Measurement and assessment concerns related to human exposure to electromagnetic fields” </w:t>
            </w:r>
            <w:r w:rsidR="001B554D" w:rsidRPr="00073574">
              <w:rPr>
                <w:szCs w:val="22"/>
              </w:rPr>
              <w:t>instructs TSB Director to report to the next world telecommunication standardization assembly on measures taken to implement this resolution</w:t>
            </w:r>
            <w:r w:rsidR="00B46DDA" w:rsidRPr="00073574">
              <w:rPr>
                <w:szCs w:val="22"/>
              </w:rPr>
              <w:t>.</w:t>
            </w:r>
          </w:p>
          <w:p w14:paraId="7B811685" w14:textId="6959FC02" w:rsidR="00E46AFC" w:rsidRPr="00073574" w:rsidRDefault="00E46AFC" w:rsidP="005C460F">
            <w:pPr>
              <w:pStyle w:val="Tabletext"/>
              <w:spacing w:before="120"/>
              <w:rPr>
                <w:szCs w:val="22"/>
              </w:rPr>
            </w:pPr>
            <w:r w:rsidRPr="00073574">
              <w:rPr>
                <w:szCs w:val="22"/>
              </w:rPr>
              <w:t xml:space="preserve">In the past </w:t>
            </w:r>
            <w:r w:rsidR="00945D93" w:rsidRPr="00073574">
              <w:rPr>
                <w:szCs w:val="22"/>
              </w:rPr>
              <w:t>six</w:t>
            </w:r>
            <w:r w:rsidRPr="00073574">
              <w:rPr>
                <w:szCs w:val="22"/>
              </w:rPr>
              <w:t xml:space="preserve"> years, TSB has engaged extensive standardization activities on matters concerning human exposure to electromagnetic fields (EMFs). ITU-T Study Group 5 has published, developed and revised Technical Reports, Recommendations, and informative text that provide guidance for assessing EMF levels in ICT equipment and infrastructure, complying with limits for human exposure to EMFs, implementing mitigating techniques to ensure EMFs stay within exposure limits in ICTs and more. These standards have supported the ICT sector and city leaders to manage EMF and develop a shared understanding on emerging EMF trends particularly on topics related to 5G. TSB has also updated the EMF Estimator, which is a software application that implements the methodology described in ITU-T K.70 to calculate the cumulative radio frequency exposure levels in the vicinity of transmitting antennas.</w:t>
            </w:r>
          </w:p>
          <w:p w14:paraId="47E094E8" w14:textId="01E34247" w:rsidR="00E46AFC" w:rsidRPr="00073574" w:rsidRDefault="00E46AFC" w:rsidP="005C460F">
            <w:pPr>
              <w:pStyle w:val="Tabletext"/>
              <w:spacing w:before="120"/>
              <w:rPr>
                <w:szCs w:val="22"/>
              </w:rPr>
            </w:pPr>
            <w:r w:rsidRPr="00073574">
              <w:rPr>
                <w:szCs w:val="22"/>
              </w:rPr>
              <w:t>TSB has collaborated with WHO and other field authorities to raise awareness on 5G and digital technologies and their impacts on EMF. A special session on WHO latest updates EMF issues was held in every SG5 meeting. TSB also actively participated WHO annual meetings to discuss Non-Ionizing Radiation and its impact on human health. As a result, a new version of the ITU EMF Mobile Application was developed. The EMF Mobile App now contains information on 5G with updates based on WHO and ICNIRP Guidelines. This EMF Mobile App is available in English, Arabic, Chinese, French, Russian and Spanish. TSB has also organized and participated in multiple workshops, forums, and training session to raise awareness on EMF issues, highlight the EMF aspect of digital technolog</w:t>
            </w:r>
            <w:r w:rsidR="005C460F" w:rsidRPr="00073574">
              <w:rPr>
                <w:szCs w:val="22"/>
              </w:rPr>
              <w:t>y</w:t>
            </w:r>
            <w:r w:rsidRPr="00073574">
              <w:rPr>
                <w:szCs w:val="22"/>
              </w:rPr>
              <w:t>, and demonstrate how ITU standards can be used to tackle these issues. It is important to highlight that TSB has also actively worked to take into consideration the perspective of developing countries on EMF issues. For example, TSB organized the Forum on Human Exposure to Electromagnetic Fields in Africa on 29 August 2019 during the First ITU Digital African Week.</w:t>
            </w:r>
          </w:p>
          <w:p w14:paraId="6B556DCA" w14:textId="55C7F3BE" w:rsidR="00B46DDA" w:rsidRPr="00073574" w:rsidRDefault="00E46AFC" w:rsidP="00A76865">
            <w:pPr>
              <w:pStyle w:val="Tabletext"/>
              <w:spacing w:before="120"/>
              <w:rPr>
                <w:szCs w:val="22"/>
              </w:rPr>
            </w:pPr>
            <w:r w:rsidRPr="00073574">
              <w:rPr>
                <w:szCs w:val="22"/>
              </w:rPr>
              <w:t>TSB has also liaised with ITU-D SG2 and ITU-R SGs 1 and 6 on the progress achieved on EMF topics and ensuring harmonization and consistency on among the work of these groups.</w:t>
            </w:r>
          </w:p>
        </w:tc>
      </w:tr>
    </w:tbl>
    <w:bookmarkStart w:id="381" w:name="Item72_01"/>
    <w:bookmarkStart w:id="382" w:name="Item72_02"/>
    <w:bookmarkStart w:id="383" w:name="Item72_03"/>
    <w:bookmarkStart w:id="384" w:name="Item72_04"/>
    <w:bookmarkStart w:id="385" w:name="Item72_05"/>
    <w:bookmarkStart w:id="386" w:name="Item72_06"/>
    <w:bookmarkStart w:id="387" w:name="Item72_07"/>
    <w:bookmarkStart w:id="388" w:name="Item72_08"/>
    <w:bookmarkEnd w:id="381"/>
    <w:bookmarkEnd w:id="382"/>
    <w:bookmarkEnd w:id="383"/>
    <w:bookmarkEnd w:id="384"/>
    <w:bookmarkEnd w:id="385"/>
    <w:bookmarkEnd w:id="386"/>
    <w:bookmarkEnd w:id="387"/>
    <w:bookmarkEnd w:id="388"/>
    <w:p w14:paraId="1048F661" w14:textId="77777777" w:rsidR="00F0236A" w:rsidRPr="00073574" w:rsidRDefault="00F0236A" w:rsidP="00F0236A">
      <w:pPr>
        <w:rPr>
          <w:sz w:val="24"/>
        </w:rPr>
      </w:pPr>
      <w:r w:rsidRPr="00073574">
        <w:rPr>
          <w:color w:val="2B579A"/>
          <w:shd w:val="clear" w:color="auto" w:fill="E6E6E6"/>
        </w:rPr>
        <w:fldChar w:fldCharType="begin"/>
      </w:r>
      <w:r w:rsidRPr="00073574">
        <w:rPr>
          <w:sz w:val="24"/>
        </w:rPr>
        <w:instrText xml:space="preserve"> HYPERLINK \l "Top" </w:instrText>
      </w:r>
      <w:r w:rsidRPr="00073574">
        <w:rPr>
          <w:color w:val="2B579A"/>
          <w:shd w:val="clear" w:color="auto" w:fill="E6E6E6"/>
        </w:rPr>
        <w:fldChar w:fldCharType="separate"/>
      </w:r>
      <w:r w:rsidRPr="00073574">
        <w:rPr>
          <w:rStyle w:val="Hyperlink"/>
          <w:rFonts w:eastAsia="Times New Roman"/>
          <w:sz w:val="24"/>
        </w:rPr>
        <w:t>» Top</w:t>
      </w:r>
      <w:r w:rsidRPr="00073574">
        <w:rPr>
          <w:rStyle w:val="Hyperlink"/>
          <w:rFonts w:eastAsia="Times New Roman"/>
          <w:sz w:val="24"/>
        </w:rPr>
        <w:fldChar w:fldCharType="end"/>
      </w:r>
    </w:p>
    <w:p w14:paraId="5A20B204" w14:textId="77777777" w:rsidR="00F0236A" w:rsidRPr="00073574" w:rsidRDefault="00F0236A" w:rsidP="00F0236A">
      <w:pPr>
        <w:rPr>
          <w:sz w:val="24"/>
        </w:rPr>
      </w:pPr>
    </w:p>
    <w:p w14:paraId="335A27EF" w14:textId="77777777" w:rsidR="00F0236A" w:rsidRPr="00073574" w:rsidRDefault="00F0236A" w:rsidP="003B0CD8">
      <w:pPr>
        <w:pStyle w:val="Heading1"/>
        <w:ind w:left="357" w:hanging="357"/>
        <w:rPr>
          <w:sz w:val="24"/>
          <w:szCs w:val="24"/>
          <w:lang w:val="en-GB"/>
        </w:rPr>
      </w:pPr>
      <w:bookmarkStart w:id="389" w:name="Resolution_73"/>
      <w:bookmarkStart w:id="390" w:name="_Toc304236457"/>
      <w:bookmarkStart w:id="391" w:name="_Toc471715389"/>
      <w:bookmarkStart w:id="392" w:name="_Toc93425275"/>
      <w:bookmarkEnd w:id="389"/>
      <w:r w:rsidRPr="00073574">
        <w:rPr>
          <w:sz w:val="24"/>
          <w:szCs w:val="24"/>
          <w:lang w:val="en-GB"/>
        </w:rPr>
        <w:t>Resolution 73 - Information and communications technologies, environment and climate change</w:t>
      </w:r>
      <w:bookmarkEnd w:id="390"/>
      <w:bookmarkEnd w:id="391"/>
      <w:bookmarkEnd w:id="392"/>
    </w:p>
    <w:p w14:paraId="24BAC58E" w14:textId="77777777" w:rsidR="00F0236A" w:rsidRPr="00073574" w:rsidRDefault="00F0236A" w:rsidP="003B0CD8">
      <w:pPr>
        <w:rPr>
          <w:b/>
          <w:bCs/>
          <w:sz w:val="24"/>
        </w:rPr>
      </w:pPr>
      <w:r w:rsidRPr="00073574">
        <w:rPr>
          <w:b/>
          <w:bCs/>
          <w:sz w:val="24"/>
        </w:rPr>
        <w:t>Resolution 73</w:t>
      </w:r>
    </w:p>
    <w:p w14:paraId="2C39A83C" w14:textId="77777777" w:rsidR="00F0236A" w:rsidRPr="00073574" w:rsidRDefault="00F0236A" w:rsidP="003B0CD8">
      <w:pPr>
        <w:pStyle w:val="Call"/>
        <w:keepNext w:val="0"/>
        <w:keepLines w:val="0"/>
        <w:rPr>
          <w:sz w:val="24"/>
          <w:szCs w:val="24"/>
          <w:lang w:val="en-GB"/>
        </w:rPr>
      </w:pPr>
      <w:r w:rsidRPr="00073574">
        <w:rPr>
          <w:sz w:val="24"/>
          <w:szCs w:val="24"/>
          <w:lang w:val="en-GB"/>
        </w:rPr>
        <w:t>resolves</w:t>
      </w:r>
    </w:p>
    <w:p w14:paraId="3AF7E2DC" w14:textId="3D4E120C" w:rsidR="00F0236A" w:rsidRPr="00073574" w:rsidRDefault="00F0236A" w:rsidP="003B0CD8">
      <w:pPr>
        <w:rPr>
          <w:sz w:val="24"/>
        </w:rPr>
      </w:pPr>
      <w:r w:rsidRPr="00073574">
        <w:rPr>
          <w:sz w:val="24"/>
        </w:rPr>
        <w:t>1</w:t>
      </w:r>
      <w:r w:rsidRPr="00073574">
        <w:rPr>
          <w:sz w:val="24"/>
        </w:rPr>
        <w:tab/>
        <w:t>to continue and further develop the ITU</w:t>
      </w:r>
      <w:r w:rsidRPr="00073574">
        <w:rPr>
          <w:sz w:val="24"/>
        </w:rPr>
        <w:noBreakHyphen/>
        <w:t>T work programme initially launched in December 2007 on ICTs and climate change, as a high priority, in order to contribute to the wider global efforts to moderate climate change, as part of the United Nations processes;</w:t>
      </w:r>
    </w:p>
    <w:p w14:paraId="52C6DC53" w14:textId="77777777" w:rsidR="00F0236A" w:rsidRPr="00073574" w:rsidRDefault="00F0236A" w:rsidP="00F0236A">
      <w:pPr>
        <w:rPr>
          <w:sz w:val="24"/>
        </w:rPr>
      </w:pPr>
      <w:r w:rsidRPr="00073574">
        <w:rPr>
          <w:sz w:val="24"/>
        </w:rPr>
        <w:lastRenderedPageBreak/>
        <w:t>2</w:t>
      </w:r>
      <w:r w:rsidRPr="00073574">
        <w:rPr>
          <w:sz w:val="24"/>
        </w:rPr>
        <w:tab/>
        <w:t>to take into account the progress already made in the international symposia on ICTs, environment and climate change, held in various parts of the world</w:t>
      </w:r>
      <w:r w:rsidRPr="00073574">
        <w:rPr>
          <w:rStyle w:val="FootnoteReference"/>
          <w:sz w:val="24"/>
        </w:rPr>
        <w:footnoteReference w:customMarkFollows="1" w:id="5"/>
        <w:t>2</w:t>
      </w:r>
      <w:r w:rsidRPr="00073574">
        <w:rPr>
          <w:sz w:val="24"/>
        </w:rPr>
        <w:t>, by distributing their outcomes as widely as possible;</w:t>
      </w:r>
    </w:p>
    <w:p w14:paraId="31FF4427" w14:textId="77777777" w:rsidR="00F0236A" w:rsidRPr="00073574" w:rsidRDefault="00F0236A" w:rsidP="00F0236A">
      <w:pPr>
        <w:rPr>
          <w:sz w:val="24"/>
        </w:rPr>
      </w:pPr>
      <w:r w:rsidRPr="00073574">
        <w:rPr>
          <w:sz w:val="24"/>
        </w:rPr>
        <w:t>3</w:t>
      </w:r>
      <w:r w:rsidRPr="00073574">
        <w:rPr>
          <w:sz w:val="24"/>
        </w:rPr>
        <w:tab/>
        <w:t>to continue to maintain and update the ITU-T Global Portal on ICTs, environment and climate change, extending its features by developing an electronic and interactive forum to share information and to disseminate ideas, standards and best practices on the relationships between ICTs and environmental sustainability, experiences and practices for disclosure, labelling schemes and recycling facilities;</w:t>
      </w:r>
    </w:p>
    <w:p w14:paraId="28E66A81" w14:textId="77777777" w:rsidR="00F0236A" w:rsidRPr="00073574" w:rsidRDefault="00F0236A" w:rsidP="00F0236A">
      <w:pPr>
        <w:rPr>
          <w:sz w:val="24"/>
        </w:rPr>
      </w:pPr>
      <w:r w:rsidRPr="00073574">
        <w:rPr>
          <w:sz w:val="24"/>
        </w:rPr>
        <w:t>4</w:t>
      </w:r>
      <w:r w:rsidRPr="00073574">
        <w:rPr>
          <w:sz w:val="24"/>
        </w:rPr>
        <w:tab/>
        <w:t>to promote the adoption of Recommendations for enhancing the use of ICTs to serve as a potent and cross-cutting tool to assess and reduce GHG emissions, optimize energy and water consumption, minimize e-waste and improve its management across economic and social activities;</w:t>
      </w:r>
    </w:p>
    <w:p w14:paraId="2A90A4A4" w14:textId="77777777" w:rsidR="00F0236A" w:rsidRPr="00073574" w:rsidRDefault="00F0236A" w:rsidP="00F0236A">
      <w:pPr>
        <w:rPr>
          <w:sz w:val="24"/>
        </w:rPr>
      </w:pPr>
      <w:r w:rsidRPr="00073574">
        <w:rPr>
          <w:sz w:val="24"/>
        </w:rPr>
        <w:t>5</w:t>
      </w:r>
      <w:r w:rsidRPr="00073574">
        <w:rPr>
          <w:sz w:val="24"/>
        </w:rPr>
        <w:tab/>
        <w:t>to increase awareness and promote information sharing on the role of ICTs in enhancing environmental sustainability, in particular by promoting the use of more energy-efficient</w:t>
      </w:r>
      <w:r w:rsidRPr="00073574">
        <w:rPr>
          <w:rStyle w:val="FootnoteReference"/>
          <w:sz w:val="24"/>
        </w:rPr>
        <w:footnoteReference w:customMarkFollows="1" w:id="6"/>
        <w:t>3</w:t>
      </w:r>
      <w:r w:rsidRPr="00073574">
        <w:rPr>
          <w:sz w:val="24"/>
        </w:rPr>
        <w:t xml:space="preserve"> devices and networks and more efficient working methods, as well as ICTs that can be used to replace or displace higher energy consuming technologies/uses;</w:t>
      </w:r>
    </w:p>
    <w:p w14:paraId="0A08EFE3" w14:textId="77777777" w:rsidR="00F0236A" w:rsidRPr="00073574" w:rsidRDefault="00F0236A" w:rsidP="00F0236A">
      <w:pPr>
        <w:rPr>
          <w:sz w:val="24"/>
        </w:rPr>
      </w:pPr>
      <w:r w:rsidRPr="00073574">
        <w:rPr>
          <w:sz w:val="24"/>
        </w:rPr>
        <w:t>6</w:t>
      </w:r>
      <w:r w:rsidRPr="00073574">
        <w:rPr>
          <w:sz w:val="24"/>
        </w:rPr>
        <w:tab/>
        <w:t>to work towards the reductions in emissions of GHGs arising from the use of ICTs that are necessary to meet the goals of UNFCCC;</w:t>
      </w:r>
    </w:p>
    <w:p w14:paraId="13E795CF" w14:textId="77777777" w:rsidR="00F0236A" w:rsidRPr="00073574" w:rsidRDefault="00F0236A" w:rsidP="00F0236A">
      <w:pPr>
        <w:rPr>
          <w:sz w:val="24"/>
        </w:rPr>
      </w:pPr>
      <w:r w:rsidRPr="00073574">
        <w:rPr>
          <w:sz w:val="24"/>
        </w:rPr>
        <w:t>7</w:t>
      </w:r>
      <w:r w:rsidRPr="00073574">
        <w:rPr>
          <w:sz w:val="24"/>
        </w:rPr>
        <w:tab/>
        <w:t>to work towards a reduction of the adverse environmental impact of environmentally unfriendly materials used in ICT products;</w:t>
      </w:r>
    </w:p>
    <w:p w14:paraId="366ADE79" w14:textId="77777777" w:rsidR="00F0236A" w:rsidRPr="00073574" w:rsidRDefault="00F0236A" w:rsidP="00F0236A">
      <w:pPr>
        <w:rPr>
          <w:sz w:val="24"/>
        </w:rPr>
      </w:pPr>
      <w:r w:rsidRPr="00073574">
        <w:rPr>
          <w:sz w:val="24"/>
        </w:rPr>
        <w:t>8</w:t>
      </w:r>
      <w:r w:rsidRPr="00073574">
        <w:rPr>
          <w:sz w:val="24"/>
        </w:rPr>
        <w:tab/>
        <w:t>to bridge the standardization gap by providing technical assistance to countries to develop their national green ICT action plans, and develop a reporting mechanism in order to support countries in implementing their plan;</w:t>
      </w:r>
    </w:p>
    <w:p w14:paraId="3CE58B3E" w14:textId="77777777" w:rsidR="00F0236A" w:rsidRPr="00073574" w:rsidRDefault="00F0236A" w:rsidP="00F0236A">
      <w:pPr>
        <w:rPr>
          <w:sz w:val="24"/>
        </w:rPr>
      </w:pPr>
      <w:r w:rsidRPr="00073574">
        <w:rPr>
          <w:sz w:val="24"/>
        </w:rPr>
        <w:t>9</w:t>
      </w:r>
      <w:r w:rsidRPr="00073574">
        <w:rPr>
          <w:sz w:val="24"/>
        </w:rPr>
        <w:tab/>
        <w:t>to set up e-learning programmes on Recommendations related to ICT, the environment and climate change,</w:t>
      </w:r>
    </w:p>
    <w:p w14:paraId="4D1BA7B5" w14:textId="77777777" w:rsidR="00F0236A" w:rsidRPr="00073574" w:rsidRDefault="00F0236A" w:rsidP="00F0236A">
      <w:pPr>
        <w:pStyle w:val="Call"/>
        <w:rPr>
          <w:sz w:val="24"/>
          <w:szCs w:val="24"/>
          <w:lang w:val="en-GB"/>
        </w:rPr>
      </w:pPr>
      <w:r w:rsidRPr="00073574">
        <w:rPr>
          <w:sz w:val="24"/>
          <w:szCs w:val="24"/>
          <w:lang w:val="en-GB"/>
        </w:rPr>
        <w:t>instructs the Telecommunication Standardization Advisory Group</w:t>
      </w:r>
    </w:p>
    <w:p w14:paraId="38FDB0F5" w14:textId="77777777" w:rsidR="00F0236A" w:rsidRPr="00073574" w:rsidRDefault="00F0236A" w:rsidP="00F0236A">
      <w:pPr>
        <w:rPr>
          <w:sz w:val="24"/>
        </w:rPr>
      </w:pPr>
      <w:r w:rsidRPr="00073574">
        <w:rPr>
          <w:sz w:val="24"/>
        </w:rPr>
        <w:t>1</w:t>
      </w:r>
      <w:r w:rsidRPr="00073574">
        <w:rPr>
          <w:sz w:val="24"/>
        </w:rPr>
        <w:tab/>
        <w:t>to coordinate the activities of ITU-T study groups in relation to their review of relevant standardization activities of other standards development organizations (SDOs) and facilitate collaboration between ITU and those SDOs in order to avoid duplication of, or overlap in, international standards, through in particular JCA ICT&amp;CC;</w:t>
      </w:r>
    </w:p>
    <w:p w14:paraId="777A778C" w14:textId="77777777" w:rsidR="00F0236A" w:rsidRPr="00073574" w:rsidRDefault="00F0236A" w:rsidP="00F0236A">
      <w:pPr>
        <w:rPr>
          <w:sz w:val="24"/>
        </w:rPr>
      </w:pPr>
      <w:r w:rsidRPr="00073574">
        <w:rPr>
          <w:sz w:val="24"/>
        </w:rPr>
        <w:t>2</w:t>
      </w:r>
      <w:r w:rsidRPr="00073574">
        <w:rPr>
          <w:sz w:val="24"/>
        </w:rPr>
        <w:tab/>
        <w:t>to ensure that study groups carry out a review of both the appropriate existing ITU</w:t>
      </w:r>
      <w:r w:rsidRPr="00073574">
        <w:rPr>
          <w:sz w:val="24"/>
        </w:rPr>
        <w:noBreakHyphen/>
        <w:t>T Recommendations and all future Recommendations in order to assess their implications and the application of best practices in the light of the protection of environment and climate change;</w:t>
      </w:r>
    </w:p>
    <w:p w14:paraId="3049402E" w14:textId="77777777" w:rsidR="00F0236A" w:rsidRPr="00073574" w:rsidRDefault="00F0236A" w:rsidP="00F0236A">
      <w:pPr>
        <w:rPr>
          <w:sz w:val="24"/>
        </w:rPr>
      </w:pPr>
      <w:r w:rsidRPr="00073574">
        <w:rPr>
          <w:sz w:val="24"/>
        </w:rPr>
        <w:t>3</w:t>
      </w:r>
      <w:r w:rsidRPr="00073574">
        <w:rPr>
          <w:sz w:val="24"/>
        </w:rPr>
        <w:tab/>
        <w:t xml:space="preserve">to consider further possible changes to working procedures in order to meet the objective of this resolution, including extending the use of electronic working methods to </w:t>
      </w:r>
      <w:r w:rsidRPr="00073574">
        <w:rPr>
          <w:sz w:val="24"/>
        </w:rPr>
        <w:lastRenderedPageBreak/>
        <w:t>reduce the climate-change impact, such as paperless meetings, virtual conferencing, teleworking, etc.,</w:t>
      </w:r>
    </w:p>
    <w:p w14:paraId="052FE42E" w14:textId="77777777" w:rsidR="00F0236A" w:rsidRPr="00073574" w:rsidRDefault="00F0236A" w:rsidP="00F0236A">
      <w:pPr>
        <w:pStyle w:val="Call"/>
        <w:rPr>
          <w:sz w:val="24"/>
          <w:szCs w:val="24"/>
          <w:lang w:val="en-GB"/>
        </w:rPr>
      </w:pPr>
      <w:r w:rsidRPr="00073574">
        <w:rPr>
          <w:sz w:val="24"/>
          <w:szCs w:val="24"/>
          <w:lang w:val="en-GB"/>
        </w:rPr>
        <w:t>instructs all study groups of the ITU Telecommunication Standardization Sector</w:t>
      </w:r>
    </w:p>
    <w:p w14:paraId="1951666B" w14:textId="77777777" w:rsidR="00F0236A" w:rsidRPr="00073574" w:rsidRDefault="00F0236A" w:rsidP="00F0236A">
      <w:pPr>
        <w:rPr>
          <w:sz w:val="24"/>
        </w:rPr>
      </w:pPr>
      <w:r w:rsidRPr="00073574">
        <w:rPr>
          <w:sz w:val="24"/>
        </w:rPr>
        <w:t>1</w:t>
      </w:r>
      <w:r w:rsidRPr="00073574">
        <w:rPr>
          <w:sz w:val="24"/>
        </w:rPr>
        <w:tab/>
        <w:t>to cooperate with Study Group 5 to develop appropriate Recommendations on ICTs, the environment and climate</w:t>
      </w:r>
      <w:r w:rsidRPr="00073574">
        <w:rPr>
          <w:sz w:val="24"/>
        </w:rPr>
        <w:noBreakHyphen/>
        <w:t>change issues within the mandate and competency of ITU</w:t>
      </w:r>
      <w:r w:rsidRPr="00073574">
        <w:rPr>
          <w:sz w:val="24"/>
        </w:rPr>
        <w:noBreakHyphen/>
        <w:t>T, including telecommunication networks used for monitoring and adapting to climate change, for example disaster preparedness, signalling and quality of service issues, taking into account any economic impact on all countries and in particular on developing countries;</w:t>
      </w:r>
    </w:p>
    <w:p w14:paraId="62D2E911" w14:textId="77777777" w:rsidR="00F0236A" w:rsidRPr="00073574" w:rsidRDefault="00F0236A" w:rsidP="00F0236A">
      <w:pPr>
        <w:rPr>
          <w:sz w:val="24"/>
        </w:rPr>
      </w:pPr>
      <w:r w:rsidRPr="00073574">
        <w:rPr>
          <w:sz w:val="24"/>
        </w:rPr>
        <w:t>2</w:t>
      </w:r>
      <w:r w:rsidRPr="00073574">
        <w:rPr>
          <w:sz w:val="24"/>
        </w:rPr>
        <w:tab/>
        <w:t>to identify best practices and opportunities for new applications using ICTs to foster environmental sustainability, and to identify appropriate actions;</w:t>
      </w:r>
    </w:p>
    <w:p w14:paraId="504414FB" w14:textId="77777777" w:rsidR="00F0236A" w:rsidRPr="00073574" w:rsidRDefault="00F0236A" w:rsidP="00F0236A">
      <w:pPr>
        <w:rPr>
          <w:sz w:val="24"/>
        </w:rPr>
      </w:pPr>
      <w:r w:rsidRPr="00073574">
        <w:rPr>
          <w:sz w:val="24"/>
        </w:rPr>
        <w:tab/>
        <w:t>to identify and promote best practices towards implementing environmentally-friendly policies and practices, and to share use cases and key success factors;</w:t>
      </w:r>
    </w:p>
    <w:p w14:paraId="5EE5B8EC" w14:textId="77777777" w:rsidR="00F0236A" w:rsidRPr="00073574" w:rsidRDefault="00F0236A" w:rsidP="00F0236A">
      <w:pPr>
        <w:rPr>
          <w:sz w:val="24"/>
        </w:rPr>
      </w:pPr>
      <w:r w:rsidRPr="00073574">
        <w:rPr>
          <w:sz w:val="24"/>
        </w:rPr>
        <w:t>4</w:t>
      </w:r>
      <w:r w:rsidRPr="00073574">
        <w:rPr>
          <w:sz w:val="24"/>
        </w:rPr>
        <w:tab/>
        <w:t>to identify initiatives which support consistently successful and sustainable approaches that will result in cost</w:t>
      </w:r>
      <w:r w:rsidRPr="00073574">
        <w:rPr>
          <w:sz w:val="24"/>
        </w:rPr>
        <w:noBreakHyphen/>
        <w:t>effective application;</w:t>
      </w:r>
    </w:p>
    <w:p w14:paraId="2DF42A79" w14:textId="77777777" w:rsidR="00F0236A" w:rsidRPr="00073574" w:rsidRDefault="00F0236A" w:rsidP="00F0236A">
      <w:pPr>
        <w:rPr>
          <w:sz w:val="24"/>
        </w:rPr>
      </w:pPr>
      <w:r w:rsidRPr="00073574">
        <w:rPr>
          <w:sz w:val="24"/>
        </w:rPr>
        <w:t>5</w:t>
      </w:r>
      <w:r w:rsidRPr="00073574">
        <w:rPr>
          <w:sz w:val="24"/>
        </w:rPr>
        <w:tab/>
        <w:t>to identify and promote successful new energy-efficient technologies using renewable energy or alternative energy sources that are proven to work for both urban and rural telecommunication sites;</w:t>
      </w:r>
    </w:p>
    <w:p w14:paraId="0B0E3DA6" w14:textId="77777777" w:rsidR="00F0236A" w:rsidRPr="00073574" w:rsidRDefault="00F0236A" w:rsidP="00F0236A">
      <w:pPr>
        <w:rPr>
          <w:sz w:val="24"/>
        </w:rPr>
      </w:pPr>
      <w:r w:rsidRPr="00073574">
        <w:rPr>
          <w:sz w:val="24"/>
        </w:rPr>
        <w:t>6</w:t>
      </w:r>
      <w:r w:rsidRPr="00073574">
        <w:rPr>
          <w:sz w:val="24"/>
        </w:rPr>
        <w:tab/>
        <w:t>to liaise with the relevant ITU</w:t>
      </w:r>
      <w:r w:rsidRPr="00073574">
        <w:rPr>
          <w:sz w:val="24"/>
        </w:rPr>
        <w:noBreakHyphen/>
        <w:t>R and ITU</w:t>
      </w:r>
      <w:r w:rsidRPr="00073574">
        <w:rPr>
          <w:sz w:val="24"/>
        </w:rPr>
        <w:noBreakHyphen/>
        <w:t>D study groups and promote liaison with other SDOs and forums in order to avoid duplication of work, optimize the use of resources and accelerate the availability of global standards,</w:t>
      </w:r>
    </w:p>
    <w:p w14:paraId="3C5FCD0A" w14:textId="77777777" w:rsidR="00F0236A" w:rsidRPr="00073574" w:rsidRDefault="00F0236A" w:rsidP="00F0236A">
      <w:pPr>
        <w:pStyle w:val="Call"/>
        <w:rPr>
          <w:sz w:val="24"/>
          <w:szCs w:val="24"/>
          <w:lang w:val="en-GB"/>
        </w:rPr>
      </w:pPr>
      <w:r w:rsidRPr="00073574">
        <w:rPr>
          <w:sz w:val="24"/>
          <w:szCs w:val="24"/>
          <w:lang w:val="en-GB"/>
        </w:rPr>
        <w:t>instructs the Director of the Telecommunication Standardization Bureau, in collaboration with the Directors of the other Bureaux</w:t>
      </w:r>
    </w:p>
    <w:p w14:paraId="4249DA44" w14:textId="77777777" w:rsidR="00F0236A" w:rsidRPr="00073574" w:rsidRDefault="00F0236A" w:rsidP="00F0236A">
      <w:pPr>
        <w:rPr>
          <w:sz w:val="24"/>
        </w:rPr>
      </w:pPr>
      <w:r w:rsidRPr="00073574">
        <w:rPr>
          <w:sz w:val="24"/>
        </w:rPr>
        <w:t>1</w:t>
      </w:r>
      <w:r w:rsidRPr="00073574">
        <w:rPr>
          <w:sz w:val="24"/>
        </w:rPr>
        <w:tab/>
        <w:t>to report on progress on the application of this resolution annually to the Council and to the next world telecommunication standardization assembly;</w:t>
      </w:r>
    </w:p>
    <w:p w14:paraId="2647302E" w14:textId="77777777" w:rsidR="00F0236A" w:rsidRPr="00073574" w:rsidRDefault="00F0236A" w:rsidP="00F0236A">
      <w:pPr>
        <w:rPr>
          <w:sz w:val="24"/>
        </w:rPr>
      </w:pPr>
      <w:r w:rsidRPr="00073574">
        <w:rPr>
          <w:sz w:val="24"/>
        </w:rPr>
        <w:t>2</w:t>
      </w:r>
      <w:r w:rsidRPr="00073574">
        <w:rPr>
          <w:sz w:val="24"/>
        </w:rPr>
        <w:tab/>
        <w:t>to keep up to date the calendar of events relevant to ICTs, the environment and climate change based on proposals by TSAG and in close collaboration with the other two Sectors;</w:t>
      </w:r>
    </w:p>
    <w:p w14:paraId="14102782" w14:textId="77777777" w:rsidR="00F0236A" w:rsidRPr="00073574" w:rsidRDefault="00F0236A" w:rsidP="00F0236A">
      <w:pPr>
        <w:rPr>
          <w:sz w:val="24"/>
        </w:rPr>
      </w:pPr>
      <w:r w:rsidRPr="00073574">
        <w:rPr>
          <w:sz w:val="24"/>
        </w:rPr>
        <w:t>3</w:t>
      </w:r>
      <w:r w:rsidRPr="00073574">
        <w:rPr>
          <w:sz w:val="24"/>
        </w:rPr>
        <w:tab/>
        <w:t>to launch pilot projects, aimed at bridging the standardization gap, on environmental sustainability issues, in particular in developing countries;</w:t>
      </w:r>
    </w:p>
    <w:p w14:paraId="4AC8750D" w14:textId="77777777" w:rsidR="00F0236A" w:rsidRPr="00073574" w:rsidRDefault="00F0236A" w:rsidP="00F0236A">
      <w:pPr>
        <w:rPr>
          <w:sz w:val="24"/>
        </w:rPr>
      </w:pPr>
      <w:r w:rsidRPr="00073574">
        <w:rPr>
          <w:sz w:val="24"/>
        </w:rPr>
        <w:t>4</w:t>
      </w:r>
      <w:r w:rsidRPr="00073574">
        <w:rPr>
          <w:sz w:val="24"/>
        </w:rPr>
        <w:tab/>
        <w:t xml:space="preserve">to support the development of reports on ICTs, the environment and climate change, taking into consideration relevant studies, in particular the ongoing work of Study Group 5, including issues related to, </w:t>
      </w:r>
      <w:r w:rsidRPr="00073574">
        <w:rPr>
          <w:i/>
          <w:iCs/>
          <w:sz w:val="24"/>
        </w:rPr>
        <w:t>inter alia, circular economy</w:t>
      </w:r>
      <w:r w:rsidRPr="00073574">
        <w:rPr>
          <w:sz w:val="24"/>
        </w:rPr>
        <w:t>, green data centres, smart buildings, green ICT procurement, cloud computing, energy efficiency, smart transportation, smart logistics, smart grids, water management, adaptation to climate change and disaster preparedness, and how the ICT sector contributes to annual reductions in GHG emissions, and submit the reports as soon as possible to Study Group 5 for its consideration;</w:t>
      </w:r>
    </w:p>
    <w:p w14:paraId="073F50DD" w14:textId="77777777" w:rsidR="00F0236A" w:rsidRPr="00073574" w:rsidRDefault="00F0236A" w:rsidP="00F0236A">
      <w:pPr>
        <w:rPr>
          <w:sz w:val="24"/>
        </w:rPr>
      </w:pPr>
      <w:r w:rsidRPr="00073574">
        <w:rPr>
          <w:sz w:val="24"/>
        </w:rPr>
        <w:t>5</w:t>
      </w:r>
      <w:r w:rsidRPr="00073574">
        <w:rPr>
          <w:sz w:val="24"/>
        </w:rPr>
        <w:tab/>
        <w:t>to organize forums, workshops and seminars for developing countries in order to raise awareness and identify their particular needs and challenges in regard to environment and climate-change issues;</w:t>
      </w:r>
    </w:p>
    <w:p w14:paraId="230DD94C" w14:textId="77777777" w:rsidR="00F0236A" w:rsidRPr="00073574" w:rsidRDefault="00F0236A" w:rsidP="00F0236A">
      <w:pPr>
        <w:rPr>
          <w:sz w:val="24"/>
        </w:rPr>
      </w:pPr>
      <w:r w:rsidRPr="00073574">
        <w:rPr>
          <w:sz w:val="24"/>
        </w:rPr>
        <w:t>6</w:t>
      </w:r>
      <w:r w:rsidRPr="00073574">
        <w:rPr>
          <w:sz w:val="24"/>
        </w:rPr>
        <w:tab/>
        <w:t>to develop, promote and disseminate information and training programmes on ICTs, environment and circular economy;</w:t>
      </w:r>
    </w:p>
    <w:p w14:paraId="6555F620" w14:textId="77777777" w:rsidR="00F0236A" w:rsidRPr="00073574" w:rsidRDefault="00F0236A" w:rsidP="00F0236A">
      <w:pPr>
        <w:rPr>
          <w:sz w:val="24"/>
        </w:rPr>
      </w:pPr>
      <w:r w:rsidRPr="00073574">
        <w:rPr>
          <w:sz w:val="24"/>
        </w:rPr>
        <w:t>7</w:t>
      </w:r>
      <w:r w:rsidRPr="00073574">
        <w:rPr>
          <w:sz w:val="24"/>
        </w:rPr>
        <w:tab/>
        <w:t>to report on progress of the ITU/WMO/UNESCO IOC Joint Task Force to investigate the potential of using submarine telecommunication cables for ocean and climate monitoring and disaster warning;</w:t>
      </w:r>
    </w:p>
    <w:p w14:paraId="2DD00856" w14:textId="77777777" w:rsidR="00F0236A" w:rsidRPr="00073574" w:rsidRDefault="00F0236A" w:rsidP="00F0236A">
      <w:pPr>
        <w:rPr>
          <w:sz w:val="24"/>
        </w:rPr>
      </w:pPr>
      <w:r w:rsidRPr="00073574">
        <w:rPr>
          <w:sz w:val="24"/>
        </w:rPr>
        <w:lastRenderedPageBreak/>
        <w:t>8</w:t>
      </w:r>
      <w:r w:rsidRPr="00073574">
        <w:rPr>
          <w:sz w:val="24"/>
        </w:rPr>
        <w:tab/>
        <w:t>to promote the ITU-T Global Portal on ICTs, environment and climate change and its use as an electronic forum for the exchange and dissemination of ideas, experience and best practices on ICTs, the environment and climate change;</w:t>
      </w:r>
    </w:p>
    <w:p w14:paraId="20DC9580" w14:textId="77777777" w:rsidR="00F0236A" w:rsidRPr="00073574" w:rsidRDefault="00F0236A" w:rsidP="00F0236A">
      <w:pPr>
        <w:rPr>
          <w:sz w:val="24"/>
        </w:rPr>
      </w:pPr>
      <w:r w:rsidRPr="00073574">
        <w:rPr>
          <w:sz w:val="24"/>
        </w:rPr>
        <w:t>9</w:t>
      </w:r>
      <w:r w:rsidRPr="00073574">
        <w:rPr>
          <w:sz w:val="24"/>
        </w:rPr>
        <w:tab/>
        <w:t>to report to TSAG on the progress regarding</w:t>
      </w:r>
      <w:r w:rsidRPr="00073574">
        <w:rPr>
          <w:i/>
          <w:iCs/>
          <w:sz w:val="24"/>
        </w:rPr>
        <w:t xml:space="preserve"> invites the Secretary-General </w:t>
      </w:r>
      <w:r w:rsidRPr="00073574">
        <w:rPr>
          <w:sz w:val="24"/>
        </w:rPr>
        <w:t>below,</w:t>
      </w:r>
    </w:p>
    <w:p w14:paraId="49600333" w14:textId="77777777" w:rsidR="00F0236A" w:rsidRPr="00073574" w:rsidRDefault="00F0236A" w:rsidP="00F0236A">
      <w:pPr>
        <w:pStyle w:val="Call"/>
        <w:rPr>
          <w:sz w:val="24"/>
          <w:szCs w:val="24"/>
          <w:lang w:val="en-GB"/>
        </w:rPr>
      </w:pPr>
      <w:r w:rsidRPr="00073574">
        <w:rPr>
          <w:sz w:val="24"/>
          <w:szCs w:val="24"/>
          <w:lang w:val="en-GB"/>
        </w:rPr>
        <w:t>invites the Secretary-General</w:t>
      </w:r>
    </w:p>
    <w:p w14:paraId="0367A21C" w14:textId="77777777" w:rsidR="00F0236A" w:rsidRPr="00073574" w:rsidRDefault="00F0236A" w:rsidP="00F0236A">
      <w:pPr>
        <w:rPr>
          <w:sz w:val="24"/>
        </w:rPr>
      </w:pPr>
      <w:r w:rsidRPr="00073574">
        <w:rPr>
          <w:sz w:val="24"/>
        </w:rPr>
        <w:t>to continue to cooperate and collaborate with other entities within the United Nations in formulating future international efforts to address protection of the environment and climate change, contributing to the achievement of the goals of the 2030 Agenda for Sustainable Development,</w:t>
      </w:r>
    </w:p>
    <w:p w14:paraId="39C2B2D6" w14:textId="77777777" w:rsidR="00F0236A" w:rsidRPr="00073574" w:rsidRDefault="00F0236A" w:rsidP="00F0236A">
      <w:pPr>
        <w:pStyle w:val="Call"/>
        <w:rPr>
          <w:sz w:val="24"/>
          <w:szCs w:val="24"/>
          <w:lang w:val="en-GB"/>
        </w:rPr>
      </w:pPr>
      <w:r w:rsidRPr="00073574">
        <w:rPr>
          <w:sz w:val="24"/>
          <w:szCs w:val="24"/>
          <w:lang w:val="en-GB"/>
        </w:rPr>
        <w:t>invites Member States, Sector Members and Associates</w:t>
      </w:r>
    </w:p>
    <w:p w14:paraId="7D538B16" w14:textId="77777777" w:rsidR="00F0236A" w:rsidRPr="00073574" w:rsidRDefault="00F0236A" w:rsidP="00F0236A">
      <w:pPr>
        <w:rPr>
          <w:sz w:val="24"/>
        </w:rPr>
      </w:pPr>
      <w:r w:rsidRPr="00073574">
        <w:rPr>
          <w:sz w:val="24"/>
        </w:rPr>
        <w:t>1</w:t>
      </w:r>
      <w:r w:rsidRPr="00073574">
        <w:rPr>
          <w:sz w:val="24"/>
        </w:rPr>
        <w:tab/>
        <w:t>to continue to contribute actively to Study Group 5 and other ITU-T study groups on ICTs, the environment and climate change;</w:t>
      </w:r>
    </w:p>
    <w:p w14:paraId="090BD8E9" w14:textId="77777777" w:rsidR="00F0236A" w:rsidRPr="00073574" w:rsidRDefault="00F0236A" w:rsidP="00F0236A">
      <w:pPr>
        <w:rPr>
          <w:sz w:val="24"/>
        </w:rPr>
      </w:pPr>
      <w:r w:rsidRPr="00073574">
        <w:rPr>
          <w:sz w:val="24"/>
        </w:rPr>
        <w:t>2</w:t>
      </w:r>
      <w:r w:rsidRPr="00073574">
        <w:rPr>
          <w:sz w:val="24"/>
        </w:rPr>
        <w:tab/>
        <w:t>to continue or initiate public and private programmes that include ICTs, the environment and climate change, giving due consideration to relevant ITU</w:t>
      </w:r>
      <w:r w:rsidRPr="00073574">
        <w:rPr>
          <w:sz w:val="24"/>
        </w:rPr>
        <w:noBreakHyphen/>
        <w:t>T Recommendations and relevant work;</w:t>
      </w:r>
    </w:p>
    <w:p w14:paraId="268D1752" w14:textId="77777777" w:rsidR="00F0236A" w:rsidRPr="00073574" w:rsidRDefault="00F0236A" w:rsidP="00F0236A">
      <w:pPr>
        <w:rPr>
          <w:sz w:val="24"/>
        </w:rPr>
      </w:pPr>
      <w:r w:rsidRPr="00073574">
        <w:rPr>
          <w:sz w:val="24"/>
        </w:rPr>
        <w:t>3</w:t>
      </w:r>
      <w:r w:rsidRPr="00073574">
        <w:rPr>
          <w:sz w:val="24"/>
        </w:rPr>
        <w:tab/>
        <w:t>to share</w:t>
      </w:r>
      <w:r w:rsidRPr="00073574">
        <w:rPr>
          <w:color w:val="000000"/>
          <w:sz w:val="24"/>
        </w:rPr>
        <w:t xml:space="preserve"> best practices and raise awareness of the benefits associated with the use of green ICTs</w:t>
      </w:r>
      <w:r w:rsidRPr="00073574">
        <w:rPr>
          <w:sz w:val="24"/>
        </w:rPr>
        <w:t xml:space="preserve"> in accordance with relevant ITU Recommendations;</w:t>
      </w:r>
    </w:p>
    <w:p w14:paraId="0DC472DE" w14:textId="77777777" w:rsidR="00F0236A" w:rsidRPr="00073574" w:rsidRDefault="00F0236A" w:rsidP="00F0236A">
      <w:pPr>
        <w:rPr>
          <w:sz w:val="24"/>
        </w:rPr>
      </w:pPr>
      <w:r w:rsidRPr="00073574">
        <w:rPr>
          <w:color w:val="000000"/>
          <w:sz w:val="24"/>
        </w:rPr>
        <w:t>4</w:t>
      </w:r>
      <w:r w:rsidRPr="00073574">
        <w:rPr>
          <w:color w:val="000000"/>
          <w:sz w:val="24"/>
        </w:rPr>
        <w:tab/>
      </w:r>
      <w:r w:rsidRPr="00073574">
        <w:rPr>
          <w:sz w:val="24"/>
        </w:rPr>
        <w:t>to promote the integration of ICT, climate, environmental and energy policies in order to improve environmental performance and enhance energy efficiency and resource management;</w:t>
      </w:r>
    </w:p>
    <w:p w14:paraId="44776C77" w14:textId="77777777" w:rsidR="00F0236A" w:rsidRPr="00073574" w:rsidRDefault="00F0236A" w:rsidP="00F0236A">
      <w:pPr>
        <w:rPr>
          <w:sz w:val="24"/>
        </w:rPr>
      </w:pPr>
      <w:r w:rsidRPr="00073574">
        <w:rPr>
          <w:color w:val="000000"/>
          <w:sz w:val="24"/>
        </w:rPr>
        <w:t>5</w:t>
      </w:r>
      <w:r w:rsidRPr="00073574">
        <w:rPr>
          <w:color w:val="000000"/>
          <w:sz w:val="24"/>
        </w:rPr>
        <w:tab/>
      </w:r>
      <w:r w:rsidRPr="00073574">
        <w:rPr>
          <w:sz w:val="24"/>
        </w:rPr>
        <w:t>to integrate the use of ICTs into national adaptation plans so as to make use of ICTs as an enabling tool to address the effects of climate change;</w:t>
      </w:r>
    </w:p>
    <w:p w14:paraId="3488E573" w14:textId="77777777" w:rsidR="00F0236A" w:rsidRPr="00073574" w:rsidRDefault="00F0236A" w:rsidP="00F0236A">
      <w:pPr>
        <w:spacing w:after="240"/>
        <w:rPr>
          <w:sz w:val="24"/>
        </w:rPr>
      </w:pPr>
      <w:r w:rsidRPr="00073574">
        <w:rPr>
          <w:sz w:val="24"/>
        </w:rPr>
        <w:t>6</w:t>
      </w:r>
      <w:r w:rsidRPr="00073574">
        <w:rPr>
          <w:sz w:val="24"/>
        </w:rPr>
        <w:tab/>
        <w:t>to liaise with their national counterparts responsible for environmental issues in order to support and contribute to the wider United Nations process on climate change, by providing information and developing common proposals related to the role of telecommunications/ICTs in mitigating and adapting to the effects of climate change, so that they can be taken into consideration within UNFCCC.</w:t>
      </w:r>
    </w:p>
    <w:tbl>
      <w:tblPr>
        <w:tblW w:w="98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05"/>
        <w:gridCol w:w="4774"/>
        <w:gridCol w:w="1683"/>
        <w:gridCol w:w="1134"/>
        <w:gridCol w:w="1336"/>
      </w:tblGrid>
      <w:tr w:rsidR="00F0236A" w:rsidRPr="00073574" w14:paraId="33EA2DB9" w14:textId="77777777" w:rsidTr="634A3A28">
        <w:trPr>
          <w:tblHeader/>
          <w:jc w:val="center"/>
        </w:trPr>
        <w:tc>
          <w:tcPr>
            <w:tcW w:w="905" w:type="dxa"/>
            <w:tcBorders>
              <w:top w:val="single" w:sz="12" w:space="0" w:color="auto"/>
              <w:bottom w:val="single" w:sz="12" w:space="0" w:color="auto"/>
            </w:tcBorders>
            <w:shd w:val="clear" w:color="auto" w:fill="auto"/>
            <w:vAlign w:val="center"/>
          </w:tcPr>
          <w:p w14:paraId="02D74CEA" w14:textId="77777777" w:rsidR="00F0236A" w:rsidRPr="00073574" w:rsidRDefault="00F0236A" w:rsidP="00510C99">
            <w:pPr>
              <w:pStyle w:val="Tablehead"/>
              <w:keepNext w:val="0"/>
              <w:rPr>
                <w:sz w:val="24"/>
                <w:szCs w:val="24"/>
              </w:rPr>
            </w:pPr>
            <w:r w:rsidRPr="00073574">
              <w:rPr>
                <w:sz w:val="24"/>
                <w:szCs w:val="24"/>
              </w:rPr>
              <w:t>Action Item</w:t>
            </w:r>
          </w:p>
        </w:tc>
        <w:tc>
          <w:tcPr>
            <w:tcW w:w="4774" w:type="dxa"/>
            <w:tcBorders>
              <w:top w:val="single" w:sz="12" w:space="0" w:color="auto"/>
              <w:bottom w:val="single" w:sz="12" w:space="0" w:color="auto"/>
            </w:tcBorders>
            <w:shd w:val="clear" w:color="auto" w:fill="auto"/>
            <w:vAlign w:val="center"/>
            <w:hideMark/>
          </w:tcPr>
          <w:p w14:paraId="18AE6236" w14:textId="77777777" w:rsidR="00F0236A" w:rsidRPr="00073574" w:rsidRDefault="00F0236A" w:rsidP="00DF36E1">
            <w:pPr>
              <w:pStyle w:val="Tablehead"/>
              <w:keepLines/>
              <w:rPr>
                <w:sz w:val="24"/>
                <w:szCs w:val="24"/>
              </w:rPr>
            </w:pPr>
            <w:r w:rsidRPr="00073574">
              <w:rPr>
                <w:sz w:val="24"/>
                <w:szCs w:val="24"/>
              </w:rPr>
              <w:t>Action</w:t>
            </w:r>
          </w:p>
        </w:tc>
        <w:tc>
          <w:tcPr>
            <w:tcW w:w="1683" w:type="dxa"/>
            <w:tcBorders>
              <w:top w:val="single" w:sz="12" w:space="0" w:color="auto"/>
              <w:bottom w:val="single" w:sz="12" w:space="0" w:color="auto"/>
            </w:tcBorders>
            <w:shd w:val="clear" w:color="auto" w:fill="auto"/>
            <w:vAlign w:val="center"/>
            <w:hideMark/>
          </w:tcPr>
          <w:p w14:paraId="74FA63BE" w14:textId="77777777" w:rsidR="00F0236A" w:rsidRPr="00073574" w:rsidRDefault="00F0236A" w:rsidP="00DF36E1">
            <w:pPr>
              <w:pStyle w:val="Tablehead"/>
              <w:keepLines/>
              <w:rPr>
                <w:sz w:val="24"/>
                <w:szCs w:val="24"/>
              </w:rPr>
            </w:pPr>
            <w:r w:rsidRPr="00073574">
              <w:rPr>
                <w:sz w:val="24"/>
                <w:szCs w:val="24"/>
              </w:rPr>
              <w:t>Milestone</w:t>
            </w:r>
          </w:p>
        </w:tc>
        <w:tc>
          <w:tcPr>
            <w:tcW w:w="1134" w:type="dxa"/>
            <w:tcBorders>
              <w:top w:val="single" w:sz="12" w:space="0" w:color="auto"/>
              <w:bottom w:val="single" w:sz="12" w:space="0" w:color="auto"/>
            </w:tcBorders>
            <w:shd w:val="clear" w:color="auto" w:fill="auto"/>
          </w:tcPr>
          <w:p w14:paraId="44D174B9" w14:textId="77777777" w:rsidR="00F0236A" w:rsidRPr="00073574" w:rsidRDefault="00F0236A" w:rsidP="00DF36E1">
            <w:pPr>
              <w:pStyle w:val="Tablehead"/>
              <w:keepLines/>
              <w:rPr>
                <w:sz w:val="24"/>
                <w:szCs w:val="24"/>
              </w:rPr>
            </w:pPr>
            <w:r w:rsidRPr="00073574">
              <w:rPr>
                <w:sz w:val="24"/>
                <w:szCs w:val="24"/>
              </w:rPr>
              <w:t>Periodic goals met</w:t>
            </w:r>
          </w:p>
        </w:tc>
        <w:tc>
          <w:tcPr>
            <w:tcW w:w="1336" w:type="dxa"/>
            <w:tcBorders>
              <w:top w:val="single" w:sz="12" w:space="0" w:color="auto"/>
              <w:bottom w:val="single" w:sz="12" w:space="0" w:color="auto"/>
            </w:tcBorders>
            <w:shd w:val="clear" w:color="auto" w:fill="auto"/>
            <w:vAlign w:val="center"/>
          </w:tcPr>
          <w:p w14:paraId="3277AB0F" w14:textId="77777777" w:rsidR="00F0236A" w:rsidRPr="00073574" w:rsidRDefault="00F0236A" w:rsidP="00DF36E1">
            <w:pPr>
              <w:pStyle w:val="Tablehead"/>
              <w:keepLines/>
              <w:rPr>
                <w:sz w:val="24"/>
                <w:szCs w:val="24"/>
              </w:rPr>
            </w:pPr>
            <w:r w:rsidRPr="00073574">
              <w:rPr>
                <w:sz w:val="24"/>
                <w:szCs w:val="24"/>
              </w:rPr>
              <w:t>Completed</w:t>
            </w:r>
          </w:p>
        </w:tc>
      </w:tr>
      <w:tr w:rsidR="00F0236A" w:rsidRPr="00073574" w14:paraId="7772D1B1" w14:textId="77777777" w:rsidTr="634A3A28">
        <w:trPr>
          <w:jc w:val="center"/>
        </w:trPr>
        <w:tc>
          <w:tcPr>
            <w:tcW w:w="905" w:type="dxa"/>
            <w:vMerge w:val="restart"/>
            <w:tcBorders>
              <w:top w:val="single" w:sz="12" w:space="0" w:color="auto"/>
            </w:tcBorders>
            <w:shd w:val="clear" w:color="auto" w:fill="auto"/>
          </w:tcPr>
          <w:p w14:paraId="39E8F2CA" w14:textId="77777777" w:rsidR="00F0236A" w:rsidRPr="00073574" w:rsidRDefault="00F0236A" w:rsidP="008214F0">
            <w:pPr>
              <w:pStyle w:val="Tabletext"/>
              <w:rPr>
                <w:b/>
                <w:bCs/>
                <w:sz w:val="24"/>
                <w:szCs w:val="24"/>
              </w:rPr>
            </w:pPr>
            <w:r w:rsidRPr="00073574">
              <w:rPr>
                <w:b/>
                <w:bCs/>
                <w:sz w:val="24"/>
                <w:szCs w:val="24"/>
              </w:rPr>
              <w:t>73-01</w:t>
            </w:r>
          </w:p>
        </w:tc>
        <w:tc>
          <w:tcPr>
            <w:tcW w:w="4774" w:type="dxa"/>
            <w:tcBorders>
              <w:top w:val="single" w:sz="12" w:space="0" w:color="auto"/>
              <w:bottom w:val="single" w:sz="2" w:space="0" w:color="auto"/>
            </w:tcBorders>
            <w:shd w:val="clear" w:color="auto" w:fill="auto"/>
            <w:hideMark/>
          </w:tcPr>
          <w:p w14:paraId="38B70E65" w14:textId="77777777" w:rsidR="00F0236A" w:rsidRPr="00073574" w:rsidRDefault="00F0236A" w:rsidP="008214F0">
            <w:pPr>
              <w:pStyle w:val="Tabletext"/>
              <w:rPr>
                <w:b/>
                <w:bCs/>
                <w:sz w:val="24"/>
                <w:szCs w:val="24"/>
              </w:rPr>
            </w:pPr>
            <w:bookmarkStart w:id="393" w:name="OLE_LINK5"/>
            <w:r w:rsidRPr="00073574">
              <w:rPr>
                <w:b/>
                <w:bCs/>
                <w:sz w:val="24"/>
                <w:szCs w:val="24"/>
              </w:rPr>
              <w:t>TSB Director to continue and develop the ITU-T ICT and Climate Change work programme</w:t>
            </w:r>
            <w:bookmarkEnd w:id="393"/>
            <w:r w:rsidRPr="00073574">
              <w:rPr>
                <w:b/>
                <w:bCs/>
                <w:sz w:val="24"/>
                <w:szCs w:val="24"/>
              </w:rPr>
              <w:t xml:space="preserve"> (resolves 1)</w:t>
            </w:r>
          </w:p>
        </w:tc>
        <w:tc>
          <w:tcPr>
            <w:tcW w:w="1683" w:type="dxa"/>
            <w:tcBorders>
              <w:top w:val="single" w:sz="12" w:space="0" w:color="auto"/>
              <w:bottom w:val="single" w:sz="2" w:space="0" w:color="auto"/>
            </w:tcBorders>
            <w:shd w:val="clear" w:color="auto" w:fill="auto"/>
            <w:vAlign w:val="center"/>
            <w:hideMark/>
          </w:tcPr>
          <w:p w14:paraId="61AFF874" w14:textId="77777777" w:rsidR="00F0236A" w:rsidRPr="00073574" w:rsidRDefault="00F0236A" w:rsidP="008214F0">
            <w:pPr>
              <w:pStyle w:val="Tabletext"/>
              <w:jc w:val="center"/>
              <w:rPr>
                <w:b/>
                <w:bCs/>
                <w:sz w:val="24"/>
                <w:szCs w:val="24"/>
              </w:rPr>
            </w:pPr>
            <w:r w:rsidRPr="00073574">
              <w:rPr>
                <w:b/>
                <w:bCs/>
                <w:sz w:val="24"/>
                <w:szCs w:val="24"/>
              </w:rPr>
              <w:t>Ongoing</w:t>
            </w:r>
          </w:p>
        </w:tc>
        <w:tc>
          <w:tcPr>
            <w:tcW w:w="1134" w:type="dxa"/>
            <w:tcBorders>
              <w:top w:val="single" w:sz="12" w:space="0" w:color="auto"/>
              <w:bottom w:val="single" w:sz="2" w:space="0" w:color="auto"/>
            </w:tcBorders>
            <w:shd w:val="clear" w:color="auto" w:fill="auto"/>
            <w:vAlign w:val="center"/>
          </w:tcPr>
          <w:p w14:paraId="36DB6A16" w14:textId="7513CEA5" w:rsidR="00F0236A" w:rsidRPr="00073574" w:rsidRDefault="00072AD4" w:rsidP="008214F0">
            <w:pPr>
              <w:pStyle w:val="Tabletext"/>
              <w:jc w:val="center"/>
              <w:rPr>
                <w:b/>
                <w:bCs/>
                <w:sz w:val="24"/>
                <w:szCs w:val="24"/>
              </w:rPr>
            </w:pPr>
            <w:r w:rsidRPr="00073574">
              <w:rPr>
                <w:b/>
                <w:bCs/>
                <w:sz w:val="24"/>
                <w:szCs w:val="24"/>
              </w:rPr>
              <w:t>√</w:t>
            </w:r>
          </w:p>
        </w:tc>
        <w:tc>
          <w:tcPr>
            <w:tcW w:w="1336" w:type="dxa"/>
            <w:tcBorders>
              <w:top w:val="single" w:sz="12" w:space="0" w:color="auto"/>
              <w:bottom w:val="single" w:sz="2" w:space="0" w:color="auto"/>
            </w:tcBorders>
            <w:shd w:val="clear" w:color="auto" w:fill="auto"/>
            <w:vAlign w:val="center"/>
          </w:tcPr>
          <w:p w14:paraId="1A818FB5" w14:textId="77777777" w:rsidR="00F0236A" w:rsidRPr="00073574" w:rsidRDefault="00F0236A" w:rsidP="008214F0">
            <w:pPr>
              <w:pStyle w:val="Tabletext"/>
              <w:jc w:val="center"/>
              <w:rPr>
                <w:b/>
                <w:bCs/>
                <w:sz w:val="24"/>
                <w:szCs w:val="24"/>
              </w:rPr>
            </w:pPr>
          </w:p>
        </w:tc>
      </w:tr>
      <w:tr w:rsidR="00F0236A" w:rsidRPr="00073574" w14:paraId="758901A5" w14:textId="77777777" w:rsidTr="634A3A28">
        <w:trPr>
          <w:jc w:val="center"/>
        </w:trPr>
        <w:tc>
          <w:tcPr>
            <w:tcW w:w="905" w:type="dxa"/>
            <w:vMerge/>
          </w:tcPr>
          <w:p w14:paraId="0AE36352" w14:textId="77777777" w:rsidR="00F0236A" w:rsidRPr="00073574" w:rsidRDefault="00F0236A" w:rsidP="008214F0">
            <w:pPr>
              <w:pStyle w:val="Tabletext"/>
              <w:rPr>
                <w:sz w:val="24"/>
                <w:szCs w:val="24"/>
              </w:rPr>
            </w:pPr>
          </w:p>
        </w:tc>
        <w:tc>
          <w:tcPr>
            <w:tcW w:w="8927" w:type="dxa"/>
            <w:gridSpan w:val="4"/>
            <w:tcBorders>
              <w:top w:val="single" w:sz="2" w:space="0" w:color="auto"/>
              <w:bottom w:val="single" w:sz="12" w:space="0" w:color="auto"/>
            </w:tcBorders>
            <w:shd w:val="clear" w:color="auto" w:fill="auto"/>
          </w:tcPr>
          <w:p w14:paraId="5066098B" w14:textId="6679B1EE" w:rsidR="00F0236A" w:rsidRPr="00073574" w:rsidRDefault="0171DAA2">
            <w:pPr>
              <w:pStyle w:val="Tabletext"/>
            </w:pPr>
            <w:r w:rsidRPr="00073574">
              <w:t>TSB is continuing to maintain the</w:t>
            </w:r>
            <w:r w:rsidR="14418E9A" w:rsidRPr="00073574">
              <w:t xml:space="preserve"> </w:t>
            </w:r>
            <w:hyperlink r:id="rId533" w:history="1">
              <w:r w:rsidR="14418E9A" w:rsidRPr="00073574">
                <w:rPr>
                  <w:rStyle w:val="Hyperlink"/>
                </w:rPr>
                <w:t>Global Portal on Environment and Smart Sustainable Cities</w:t>
              </w:r>
            </w:hyperlink>
            <w:r w:rsidR="10F05D21" w:rsidRPr="00073574">
              <w:t>, which reflect</w:t>
            </w:r>
            <w:r w:rsidR="1BC4A1C4" w:rsidRPr="00073574">
              <w:t>s</w:t>
            </w:r>
            <w:r w:rsidR="10F05D21" w:rsidRPr="00073574">
              <w:t xml:space="preserve"> the ITU-T  Climate Change </w:t>
            </w:r>
            <w:r w:rsidR="1B8917C3" w:rsidRPr="00073574">
              <w:t xml:space="preserve">and Smart Sustainable Cities </w:t>
            </w:r>
            <w:r w:rsidR="10F05D21" w:rsidRPr="00073574">
              <w:t>work programme</w:t>
            </w:r>
            <w:r w:rsidR="47E9304A" w:rsidRPr="00073574">
              <w:t>s</w:t>
            </w:r>
            <w:r w:rsidR="10F05D21" w:rsidRPr="00073574">
              <w:t xml:space="preserve"> and provide a wealth of information</w:t>
            </w:r>
            <w:r w:rsidR="0E25B4B0" w:rsidRPr="00073574">
              <w:t xml:space="preserve"> and resource materials, a</w:t>
            </w:r>
            <w:r w:rsidR="0F4F3F24" w:rsidRPr="00073574">
              <w:t xml:space="preserve">nd </w:t>
            </w:r>
            <w:r w:rsidR="0E25B4B0" w:rsidRPr="00073574">
              <w:t xml:space="preserve">an </w:t>
            </w:r>
            <w:r w:rsidR="0F4F3F24" w:rsidRPr="00073574">
              <w:t>overview of activities</w:t>
            </w:r>
            <w:r w:rsidR="10F05D21" w:rsidRPr="00073574">
              <w:t>.</w:t>
            </w:r>
          </w:p>
        </w:tc>
      </w:tr>
      <w:tr w:rsidR="00F0236A" w:rsidRPr="00073574" w14:paraId="3AB2E084" w14:textId="77777777" w:rsidTr="634A3A28">
        <w:trPr>
          <w:jc w:val="center"/>
        </w:trPr>
        <w:tc>
          <w:tcPr>
            <w:tcW w:w="905" w:type="dxa"/>
            <w:vMerge w:val="restart"/>
            <w:tcBorders>
              <w:top w:val="single" w:sz="12" w:space="0" w:color="auto"/>
            </w:tcBorders>
            <w:shd w:val="clear" w:color="auto" w:fill="auto"/>
          </w:tcPr>
          <w:p w14:paraId="24110337" w14:textId="77777777" w:rsidR="00F0236A" w:rsidRPr="00073574" w:rsidRDefault="00F0236A" w:rsidP="00CB0478">
            <w:pPr>
              <w:pStyle w:val="Tabletext"/>
              <w:keepNext/>
              <w:keepLines/>
              <w:rPr>
                <w:b/>
                <w:bCs/>
                <w:sz w:val="24"/>
                <w:szCs w:val="24"/>
              </w:rPr>
            </w:pPr>
            <w:r w:rsidRPr="00073574">
              <w:rPr>
                <w:b/>
                <w:bCs/>
                <w:sz w:val="24"/>
                <w:szCs w:val="24"/>
              </w:rPr>
              <w:lastRenderedPageBreak/>
              <w:t>73-02</w:t>
            </w:r>
          </w:p>
        </w:tc>
        <w:tc>
          <w:tcPr>
            <w:tcW w:w="4774" w:type="dxa"/>
            <w:tcBorders>
              <w:top w:val="single" w:sz="12" w:space="0" w:color="auto"/>
            </w:tcBorders>
            <w:shd w:val="clear" w:color="auto" w:fill="auto"/>
          </w:tcPr>
          <w:p w14:paraId="3BB51A97" w14:textId="77777777" w:rsidR="00F0236A" w:rsidRPr="00073574" w:rsidRDefault="00F0236A" w:rsidP="00CB0478">
            <w:pPr>
              <w:pStyle w:val="Tabletext"/>
              <w:keepNext/>
              <w:keepLines/>
              <w:rPr>
                <w:b/>
                <w:bCs/>
                <w:sz w:val="24"/>
                <w:szCs w:val="24"/>
              </w:rPr>
            </w:pPr>
            <w:r w:rsidRPr="00073574">
              <w:rPr>
                <w:b/>
                <w:bCs/>
                <w:sz w:val="24"/>
                <w:szCs w:val="24"/>
              </w:rPr>
              <w:t>TSB to continue maintain, update, develop and promote the ITU-T Global Portal on ICTs, environment and climate change (resolves 2, 3)</w:t>
            </w:r>
          </w:p>
        </w:tc>
        <w:tc>
          <w:tcPr>
            <w:tcW w:w="1683" w:type="dxa"/>
            <w:tcBorders>
              <w:top w:val="single" w:sz="12" w:space="0" w:color="auto"/>
            </w:tcBorders>
            <w:shd w:val="clear" w:color="auto" w:fill="auto"/>
            <w:vAlign w:val="center"/>
          </w:tcPr>
          <w:p w14:paraId="2DC9E2E1" w14:textId="77777777" w:rsidR="00F0236A" w:rsidRPr="00073574" w:rsidRDefault="00F0236A" w:rsidP="00CB0478">
            <w:pPr>
              <w:pStyle w:val="Tabletext"/>
              <w:keepNext/>
              <w:keepLines/>
              <w:jc w:val="center"/>
              <w:rPr>
                <w:b/>
                <w:bCs/>
                <w:sz w:val="24"/>
                <w:szCs w:val="24"/>
              </w:rPr>
            </w:pPr>
            <w:r w:rsidRPr="00073574">
              <w:rPr>
                <w:b/>
                <w:bCs/>
                <w:sz w:val="24"/>
                <w:szCs w:val="24"/>
              </w:rPr>
              <w:t>Ongoing</w:t>
            </w:r>
          </w:p>
        </w:tc>
        <w:tc>
          <w:tcPr>
            <w:tcW w:w="1134" w:type="dxa"/>
            <w:tcBorders>
              <w:top w:val="single" w:sz="12" w:space="0" w:color="auto"/>
            </w:tcBorders>
            <w:shd w:val="clear" w:color="auto" w:fill="auto"/>
            <w:vAlign w:val="center"/>
          </w:tcPr>
          <w:p w14:paraId="3511AB47" w14:textId="77777777" w:rsidR="00F0236A" w:rsidRPr="00073574" w:rsidRDefault="00F0236A" w:rsidP="00CB0478">
            <w:pPr>
              <w:pStyle w:val="Tabletext"/>
              <w:keepNext/>
              <w:keepLines/>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01E49EF5" w14:textId="77777777" w:rsidR="00F0236A" w:rsidRPr="00073574" w:rsidRDefault="00F0236A" w:rsidP="00CB0478">
            <w:pPr>
              <w:pStyle w:val="Tabletext"/>
              <w:keepNext/>
              <w:keepLines/>
              <w:jc w:val="center"/>
              <w:rPr>
                <w:b/>
                <w:bCs/>
                <w:sz w:val="24"/>
                <w:szCs w:val="24"/>
              </w:rPr>
            </w:pPr>
          </w:p>
        </w:tc>
      </w:tr>
      <w:tr w:rsidR="00F0236A" w:rsidRPr="00073574" w14:paraId="0D29E9D8" w14:textId="77777777" w:rsidTr="634A3A28">
        <w:trPr>
          <w:jc w:val="center"/>
        </w:trPr>
        <w:tc>
          <w:tcPr>
            <w:tcW w:w="905" w:type="dxa"/>
            <w:vMerge/>
          </w:tcPr>
          <w:p w14:paraId="7B5BF4AE" w14:textId="77777777" w:rsidR="00F0236A" w:rsidRPr="00073574" w:rsidRDefault="00F0236A" w:rsidP="00CB0478">
            <w:pPr>
              <w:pStyle w:val="Tabletext"/>
              <w:keepNext/>
              <w:keepLines/>
              <w:rPr>
                <w:sz w:val="24"/>
                <w:szCs w:val="24"/>
              </w:rPr>
            </w:pPr>
          </w:p>
        </w:tc>
        <w:tc>
          <w:tcPr>
            <w:tcW w:w="8927" w:type="dxa"/>
            <w:gridSpan w:val="4"/>
            <w:shd w:val="clear" w:color="auto" w:fill="auto"/>
          </w:tcPr>
          <w:p w14:paraId="11C6A80E" w14:textId="0E9165BB" w:rsidR="00F0236A" w:rsidRPr="00073574" w:rsidRDefault="00F0236A" w:rsidP="00CB0478">
            <w:pPr>
              <w:pStyle w:val="Tabletext"/>
              <w:keepNext/>
              <w:keepLines/>
            </w:pPr>
            <w:r w:rsidRPr="00073574">
              <w:t xml:space="preserve">The ITU-T </w:t>
            </w:r>
            <w:r w:rsidR="54F09DBE" w:rsidRPr="00073574">
              <w:rPr>
                <w:szCs w:val="22"/>
              </w:rPr>
              <w:t>Global Portal on Environment and Smart Sustainable Cities</w:t>
            </w:r>
            <w:r w:rsidRPr="00073574">
              <w:t xml:space="preserve"> is kept up to date and is available at:</w:t>
            </w:r>
            <w:r w:rsidR="7A743685" w:rsidRPr="00073574">
              <w:t xml:space="preserve"> </w:t>
            </w:r>
            <w:hyperlink r:id="rId534" w:history="1">
              <w:r w:rsidR="7A743685" w:rsidRPr="00073574">
                <w:rPr>
                  <w:rStyle w:val="Hyperlink"/>
                  <w:szCs w:val="22"/>
                </w:rPr>
                <w:t>https://www.itu.int/en/ITU-T/climatechange/resources/Pages/env-and-ssc.aspx</w:t>
              </w:r>
            </w:hyperlink>
            <w:r w:rsidRPr="00073574">
              <w:t xml:space="preserve"> </w:t>
            </w:r>
          </w:p>
        </w:tc>
      </w:tr>
      <w:tr w:rsidR="00F0236A" w:rsidRPr="00073574" w14:paraId="2B72F62D" w14:textId="77777777" w:rsidTr="634A3A28">
        <w:trPr>
          <w:jc w:val="center"/>
        </w:trPr>
        <w:tc>
          <w:tcPr>
            <w:tcW w:w="905" w:type="dxa"/>
            <w:vMerge w:val="restart"/>
            <w:tcBorders>
              <w:top w:val="single" w:sz="12" w:space="0" w:color="auto"/>
            </w:tcBorders>
            <w:shd w:val="clear" w:color="auto" w:fill="auto"/>
          </w:tcPr>
          <w:p w14:paraId="1BFCC542" w14:textId="77777777" w:rsidR="00F0236A" w:rsidRPr="00073574" w:rsidRDefault="00F0236A" w:rsidP="00CB0478">
            <w:pPr>
              <w:pStyle w:val="Tabletext"/>
              <w:keepNext/>
              <w:keepLines/>
              <w:rPr>
                <w:b/>
                <w:bCs/>
                <w:sz w:val="24"/>
                <w:szCs w:val="24"/>
              </w:rPr>
            </w:pPr>
            <w:r w:rsidRPr="00073574">
              <w:rPr>
                <w:b/>
                <w:bCs/>
                <w:sz w:val="24"/>
                <w:szCs w:val="24"/>
              </w:rPr>
              <w:t>73-03</w:t>
            </w:r>
          </w:p>
        </w:tc>
        <w:tc>
          <w:tcPr>
            <w:tcW w:w="4774" w:type="dxa"/>
            <w:tcBorders>
              <w:top w:val="single" w:sz="12" w:space="0" w:color="auto"/>
            </w:tcBorders>
            <w:shd w:val="clear" w:color="auto" w:fill="auto"/>
          </w:tcPr>
          <w:p w14:paraId="4B283AE2" w14:textId="77777777" w:rsidR="00F0236A" w:rsidRPr="00073574" w:rsidRDefault="00F0236A" w:rsidP="00CB0478">
            <w:pPr>
              <w:pStyle w:val="Tabletext"/>
              <w:keepNext/>
              <w:keepLines/>
              <w:rPr>
                <w:b/>
                <w:bCs/>
                <w:sz w:val="24"/>
                <w:szCs w:val="24"/>
              </w:rPr>
            </w:pPr>
            <w:r w:rsidRPr="00073574">
              <w:rPr>
                <w:b/>
                <w:bCs/>
                <w:sz w:val="24"/>
                <w:szCs w:val="24"/>
              </w:rPr>
              <w:t>TSB to promote the adoption of ITU-T Recs as a potent and cross-cutting tool to assess and reduce GHG emission, optimize energy and water consumption, minimize e-waste, etc., increase awareness on the role of ICTs in enhancing environmental sustainability (resolves 4)</w:t>
            </w:r>
          </w:p>
        </w:tc>
        <w:tc>
          <w:tcPr>
            <w:tcW w:w="1683" w:type="dxa"/>
            <w:tcBorders>
              <w:top w:val="single" w:sz="12" w:space="0" w:color="auto"/>
            </w:tcBorders>
            <w:shd w:val="clear" w:color="auto" w:fill="auto"/>
            <w:vAlign w:val="center"/>
          </w:tcPr>
          <w:p w14:paraId="6167DBFF" w14:textId="77777777" w:rsidR="00F0236A" w:rsidRPr="00073574" w:rsidRDefault="00F0236A" w:rsidP="00366BA3">
            <w:pPr>
              <w:pStyle w:val="Tabletext"/>
              <w:jc w:val="center"/>
              <w:rPr>
                <w:b/>
                <w:bCs/>
                <w:sz w:val="24"/>
                <w:szCs w:val="24"/>
              </w:rPr>
            </w:pPr>
            <w:r w:rsidRPr="00073574">
              <w:rPr>
                <w:b/>
                <w:bCs/>
                <w:sz w:val="24"/>
                <w:szCs w:val="24"/>
              </w:rPr>
              <w:t>Ongoing</w:t>
            </w:r>
          </w:p>
        </w:tc>
        <w:tc>
          <w:tcPr>
            <w:tcW w:w="1134" w:type="dxa"/>
            <w:tcBorders>
              <w:top w:val="single" w:sz="12" w:space="0" w:color="auto"/>
            </w:tcBorders>
            <w:shd w:val="clear" w:color="auto" w:fill="auto"/>
            <w:vAlign w:val="center"/>
          </w:tcPr>
          <w:p w14:paraId="686FB50E" w14:textId="167961C5" w:rsidR="00F0236A" w:rsidRPr="00073574" w:rsidRDefault="007B72D1" w:rsidP="00366BA3">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2081B7C0" w14:textId="77777777" w:rsidR="00F0236A" w:rsidRPr="00073574" w:rsidRDefault="00F0236A" w:rsidP="00366BA3">
            <w:pPr>
              <w:pStyle w:val="Tabletext"/>
              <w:jc w:val="center"/>
              <w:rPr>
                <w:b/>
                <w:bCs/>
                <w:sz w:val="24"/>
                <w:szCs w:val="24"/>
              </w:rPr>
            </w:pPr>
          </w:p>
        </w:tc>
      </w:tr>
      <w:tr w:rsidR="00F0236A" w:rsidRPr="00073574" w14:paraId="57C77614" w14:textId="77777777" w:rsidTr="634A3A28">
        <w:trPr>
          <w:jc w:val="center"/>
        </w:trPr>
        <w:tc>
          <w:tcPr>
            <w:tcW w:w="905" w:type="dxa"/>
            <w:vMerge/>
          </w:tcPr>
          <w:p w14:paraId="745AE360" w14:textId="77777777" w:rsidR="00F0236A" w:rsidRPr="00073574" w:rsidRDefault="00F0236A" w:rsidP="00366BA3">
            <w:pPr>
              <w:pStyle w:val="Tabletext"/>
              <w:rPr>
                <w:sz w:val="24"/>
                <w:szCs w:val="24"/>
              </w:rPr>
            </w:pPr>
          </w:p>
        </w:tc>
        <w:tc>
          <w:tcPr>
            <w:tcW w:w="8927" w:type="dxa"/>
            <w:gridSpan w:val="4"/>
            <w:tcBorders>
              <w:bottom w:val="single" w:sz="12" w:space="0" w:color="auto"/>
            </w:tcBorders>
            <w:shd w:val="clear" w:color="auto" w:fill="auto"/>
          </w:tcPr>
          <w:p w14:paraId="5B39CA92" w14:textId="565795C5" w:rsidR="00F0236A" w:rsidRPr="00073574" w:rsidRDefault="3C20586B">
            <w:pPr>
              <w:pStyle w:val="Tabletext"/>
            </w:pPr>
            <w:r w:rsidRPr="00073574">
              <w:t>The</w:t>
            </w:r>
            <w:r w:rsidR="0C36FB69" w:rsidRPr="00073574">
              <w:t xml:space="preserve"> ITU-T </w:t>
            </w:r>
            <w:hyperlink r:id="rId535" w:history="1">
              <w:r w:rsidR="0C36FB69" w:rsidRPr="00073574">
                <w:rPr>
                  <w:rStyle w:val="Hyperlink"/>
                  <w:szCs w:val="22"/>
                </w:rPr>
                <w:t>Global Portal on Environment and Smart Sustainable Cities</w:t>
              </w:r>
            </w:hyperlink>
            <w:r w:rsidRPr="00073574">
              <w:t xml:space="preserve"> provide</w:t>
            </w:r>
            <w:r w:rsidR="327824A6" w:rsidRPr="00073574">
              <w:t>s</w:t>
            </w:r>
            <w:r w:rsidRPr="00073574">
              <w:t xml:space="preserve"> and promote</w:t>
            </w:r>
            <w:r w:rsidR="05D1CE53" w:rsidRPr="00073574">
              <w:t>s</w:t>
            </w:r>
            <w:r w:rsidR="49A25F9C" w:rsidRPr="00073574">
              <w:t xml:space="preserve"> material</w:t>
            </w:r>
            <w:r w:rsidRPr="00073574">
              <w:t xml:space="preserve"> </w:t>
            </w:r>
            <w:r w:rsidR="49A25F9C" w:rsidRPr="00073574">
              <w:t>on</w:t>
            </w:r>
            <w:r w:rsidRPr="00073574">
              <w:t xml:space="preserve"> past and current activities such as:</w:t>
            </w:r>
          </w:p>
          <w:p w14:paraId="29B1B290" w14:textId="553754A5" w:rsidR="00306103" w:rsidRPr="00073574" w:rsidRDefault="00306103" w:rsidP="002757ED">
            <w:pPr>
              <w:pStyle w:val="Tabletext"/>
              <w:numPr>
                <w:ilvl w:val="0"/>
                <w:numId w:val="50"/>
              </w:numPr>
              <w:ind w:left="357" w:hanging="357"/>
            </w:pPr>
            <w:r w:rsidRPr="00073574">
              <w:t>Green ICT Standards and Supplements</w:t>
            </w:r>
            <w:r w:rsidR="009A2246" w:rsidRPr="00073574">
              <w:t>.</w:t>
            </w:r>
          </w:p>
          <w:p w14:paraId="3E00691E" w14:textId="7CB0F8EE" w:rsidR="005F1544" w:rsidRPr="00073574" w:rsidRDefault="005F1544" w:rsidP="002757ED">
            <w:pPr>
              <w:pStyle w:val="Tabletext"/>
              <w:numPr>
                <w:ilvl w:val="0"/>
                <w:numId w:val="50"/>
              </w:numPr>
              <w:ind w:left="357" w:hanging="357"/>
            </w:pPr>
            <w:r w:rsidRPr="00073574">
              <w:t>Toolkit on Environmental Sustainability for the ICT Sector</w:t>
            </w:r>
            <w:r w:rsidR="009A2246" w:rsidRPr="00073574">
              <w:t>.</w:t>
            </w:r>
          </w:p>
          <w:p w14:paraId="25B69B6C" w14:textId="4680C03A" w:rsidR="00306103" w:rsidRPr="00073574" w:rsidRDefault="34269888" w:rsidP="002757ED">
            <w:pPr>
              <w:pStyle w:val="Tabletext"/>
              <w:numPr>
                <w:ilvl w:val="0"/>
                <w:numId w:val="50"/>
              </w:numPr>
              <w:ind w:left="357" w:hanging="357"/>
            </w:pPr>
            <w:r w:rsidRPr="00073574">
              <w:t>ICTs and Climate Change Adaptation, ICTs and Climate Change Mitigation</w:t>
            </w:r>
            <w:r w:rsidR="4E4A7CC4" w:rsidRPr="00073574">
              <w:t>.</w:t>
            </w:r>
          </w:p>
          <w:p w14:paraId="5546BF5B" w14:textId="7919863F" w:rsidR="002A0EDC" w:rsidRPr="00073574" w:rsidRDefault="08149972" w:rsidP="002757ED">
            <w:pPr>
              <w:pStyle w:val="Tabletext"/>
              <w:numPr>
                <w:ilvl w:val="0"/>
                <w:numId w:val="50"/>
              </w:numPr>
              <w:ind w:left="357" w:hanging="357"/>
            </w:pPr>
            <w:r w:rsidRPr="00073574">
              <w:t xml:space="preserve">ITU-T </w:t>
            </w:r>
            <w:r w:rsidR="0D64C93E" w:rsidRPr="00073574">
              <w:t>Report</w:t>
            </w:r>
            <w:r w:rsidRPr="00073574">
              <w:t>s and publications</w:t>
            </w:r>
            <w:r w:rsidR="0D64C93E" w:rsidRPr="00073574">
              <w:t xml:space="preserve">, surveys, </w:t>
            </w:r>
            <w:r w:rsidRPr="00073574">
              <w:t xml:space="preserve">and </w:t>
            </w:r>
            <w:r w:rsidR="190DF317" w:rsidRPr="00073574">
              <w:t xml:space="preserve">other external </w:t>
            </w:r>
            <w:r w:rsidR="0D64C93E" w:rsidRPr="00073574">
              <w:t>studies on the subject matter areas</w:t>
            </w:r>
            <w:r w:rsidR="045A0D2B" w:rsidRPr="00073574">
              <w:t>.</w:t>
            </w:r>
          </w:p>
          <w:p w14:paraId="6E452C3F" w14:textId="667EC94F" w:rsidR="003D710D" w:rsidRPr="00073574" w:rsidRDefault="003D710D" w:rsidP="002757ED">
            <w:pPr>
              <w:pStyle w:val="Tabletext"/>
              <w:numPr>
                <w:ilvl w:val="0"/>
                <w:numId w:val="50"/>
              </w:numPr>
              <w:ind w:left="357" w:hanging="357"/>
            </w:pPr>
            <w:r w:rsidRPr="00073574">
              <w:t xml:space="preserve">Events such as </w:t>
            </w:r>
            <w:r w:rsidR="00B1795C" w:rsidRPr="00073574">
              <w:t>ITU Green Standards Week</w:t>
            </w:r>
            <w:r w:rsidR="007C1129" w:rsidRPr="00073574">
              <w:t xml:space="preserve"> and Symposium on ICT, Environment and Climate Change</w:t>
            </w:r>
            <w:r w:rsidR="009A2246" w:rsidRPr="00073574">
              <w:t>.</w:t>
            </w:r>
          </w:p>
          <w:p w14:paraId="26C6CF25" w14:textId="77777777" w:rsidR="00306103" w:rsidRPr="00073574" w:rsidRDefault="00306103" w:rsidP="002757ED">
            <w:pPr>
              <w:pStyle w:val="Tabletext"/>
              <w:numPr>
                <w:ilvl w:val="0"/>
                <w:numId w:val="50"/>
              </w:numPr>
              <w:ind w:left="357" w:hanging="357"/>
            </w:pPr>
            <w:r w:rsidRPr="00073574">
              <w:t>Smart Water Management.</w:t>
            </w:r>
          </w:p>
          <w:p w14:paraId="7AC6DBB5" w14:textId="77777777" w:rsidR="00306103" w:rsidRPr="00073574" w:rsidRDefault="2D1EC208" w:rsidP="002757ED">
            <w:pPr>
              <w:pStyle w:val="Tabletext"/>
              <w:numPr>
                <w:ilvl w:val="0"/>
                <w:numId w:val="50"/>
              </w:numPr>
              <w:ind w:left="357" w:hanging="357"/>
            </w:pPr>
            <w:r w:rsidRPr="00073574">
              <w:t xml:space="preserve">Greening the ICT Supply Chain, </w:t>
            </w:r>
            <w:r w:rsidR="34269888" w:rsidRPr="00073574">
              <w:t>Smart Logistics and Green ICT Procurement</w:t>
            </w:r>
            <w:r w:rsidR="6DDEC79D" w:rsidRPr="00073574">
              <w:t>.</w:t>
            </w:r>
          </w:p>
          <w:p w14:paraId="3F6DF076" w14:textId="0DA53CEB" w:rsidR="4058F4C1" w:rsidRPr="00073574" w:rsidRDefault="4058F4C1" w:rsidP="002757ED">
            <w:pPr>
              <w:pStyle w:val="Tabletext"/>
              <w:numPr>
                <w:ilvl w:val="0"/>
                <w:numId w:val="50"/>
              </w:numPr>
              <w:ind w:left="357" w:hanging="357"/>
            </w:pPr>
            <w:r w:rsidRPr="00073574">
              <w:t>ITU IoT and SC&amp;C Standards Roadmap.</w:t>
            </w:r>
          </w:p>
          <w:p w14:paraId="6360E38C" w14:textId="03A670D8" w:rsidR="4058F4C1" w:rsidRPr="00073574" w:rsidRDefault="4058F4C1" w:rsidP="002757ED">
            <w:pPr>
              <w:pStyle w:val="Tabletext"/>
              <w:numPr>
                <w:ilvl w:val="0"/>
                <w:numId w:val="50"/>
              </w:numPr>
              <w:ind w:left="357" w:hanging="357"/>
            </w:pPr>
            <w:r w:rsidRPr="00073574">
              <w:t>Frontier technologies such as AI, IoT, blockchain and smart sustainable cities.</w:t>
            </w:r>
          </w:p>
          <w:p w14:paraId="6590D5A9" w14:textId="77777777" w:rsidR="0032203E" w:rsidRPr="00073574" w:rsidRDefault="0032203E" w:rsidP="00366BA3">
            <w:pPr>
              <w:pStyle w:val="Tabletext"/>
              <w:spacing w:before="120"/>
              <w:rPr>
                <w:szCs w:val="22"/>
              </w:rPr>
            </w:pPr>
            <w:r w:rsidRPr="00073574">
              <w:rPr>
                <w:szCs w:val="22"/>
              </w:rPr>
              <w:t>In addition, TSB promotional activities occur through publication of news stories, in blogs, in interviews, and through speeches.</w:t>
            </w:r>
          </w:p>
          <w:p w14:paraId="4AB0AC49" w14:textId="77777777" w:rsidR="001E6534" w:rsidRPr="00073574" w:rsidRDefault="00E6162D" w:rsidP="00366BA3">
            <w:pPr>
              <w:pStyle w:val="Tabletext"/>
              <w:spacing w:before="120"/>
              <w:rPr>
                <w:szCs w:val="22"/>
              </w:rPr>
            </w:pPr>
            <w:r w:rsidRPr="00073574">
              <w:rPr>
                <w:szCs w:val="22"/>
              </w:rPr>
              <w:t>ITU developed the report on Turning Digital Technology Innovation into Climate Action that w</w:t>
            </w:r>
            <w:r w:rsidR="001E6534" w:rsidRPr="00073574">
              <w:rPr>
                <w:szCs w:val="22"/>
              </w:rPr>
              <w:t>as</w:t>
            </w:r>
            <w:r w:rsidRPr="00073574">
              <w:rPr>
                <w:szCs w:val="22"/>
              </w:rPr>
              <w:t xml:space="preserve"> launched during the UN Climate Summit</w:t>
            </w:r>
            <w:r w:rsidR="001E6534" w:rsidRPr="00073574">
              <w:rPr>
                <w:szCs w:val="22"/>
              </w:rPr>
              <w:t>.</w:t>
            </w:r>
          </w:p>
          <w:p w14:paraId="5DD1E192" w14:textId="721C97FC" w:rsidR="007C1129" w:rsidRPr="00073574" w:rsidRDefault="007C1129" w:rsidP="00366BA3">
            <w:pPr>
              <w:pStyle w:val="Tabletext"/>
              <w:spacing w:before="120"/>
            </w:pPr>
            <w:r w:rsidRPr="00073574">
              <w:t>ITU develop</w:t>
            </w:r>
            <w:r w:rsidR="5DCD0E5E" w:rsidRPr="00073574">
              <w:t>ed</w:t>
            </w:r>
            <w:r w:rsidRPr="00073574">
              <w:t xml:space="preserve"> </w:t>
            </w:r>
            <w:r w:rsidR="001E6534" w:rsidRPr="00073574">
              <w:t xml:space="preserve">a </w:t>
            </w:r>
            <w:r w:rsidRPr="00073574">
              <w:t>Report on “</w:t>
            </w:r>
            <w:hyperlink r:id="rId536" w:history="1">
              <w:r w:rsidRPr="00073574">
                <w:rPr>
                  <w:rStyle w:val="Hyperlink"/>
                </w:rPr>
                <w:t>Frontier Technologies to protect the environment and tackle climate change</w:t>
              </w:r>
            </w:hyperlink>
            <w:r w:rsidRPr="00073574">
              <w:t>”</w:t>
            </w:r>
            <w:r w:rsidR="005F35BA" w:rsidRPr="00073574">
              <w:t xml:space="preserve"> which </w:t>
            </w:r>
            <w:r w:rsidR="5282E7EA" w:rsidRPr="00073574">
              <w:t xml:space="preserve">was </w:t>
            </w:r>
            <w:r w:rsidR="005F35BA" w:rsidRPr="00073574">
              <w:t xml:space="preserve"> written together with 9 other UN Agencies and Programmes</w:t>
            </w:r>
            <w:r w:rsidR="2EC2D36A" w:rsidRPr="00073574">
              <w:t xml:space="preserve"> and was launched on Earth Day</w:t>
            </w:r>
            <w:r w:rsidR="005F35BA" w:rsidRPr="00073574">
              <w:t>.</w:t>
            </w:r>
          </w:p>
        </w:tc>
      </w:tr>
      <w:tr w:rsidR="00F0236A" w:rsidRPr="00073574" w14:paraId="59AA6975" w14:textId="77777777" w:rsidTr="634A3A28">
        <w:trPr>
          <w:jc w:val="center"/>
        </w:trPr>
        <w:tc>
          <w:tcPr>
            <w:tcW w:w="905" w:type="dxa"/>
            <w:vMerge w:val="restart"/>
            <w:tcBorders>
              <w:top w:val="single" w:sz="12" w:space="0" w:color="auto"/>
            </w:tcBorders>
            <w:shd w:val="clear" w:color="auto" w:fill="auto"/>
          </w:tcPr>
          <w:p w14:paraId="1A09C784" w14:textId="77777777" w:rsidR="00F0236A" w:rsidRPr="00073574" w:rsidRDefault="00F0236A" w:rsidP="0028134B">
            <w:pPr>
              <w:pStyle w:val="Tabletext"/>
              <w:keepNext/>
              <w:keepLines/>
              <w:rPr>
                <w:b/>
                <w:bCs/>
                <w:sz w:val="24"/>
                <w:szCs w:val="24"/>
              </w:rPr>
            </w:pPr>
            <w:r w:rsidRPr="00073574">
              <w:rPr>
                <w:b/>
                <w:bCs/>
                <w:sz w:val="24"/>
                <w:szCs w:val="24"/>
              </w:rPr>
              <w:t>73-04</w:t>
            </w:r>
          </w:p>
        </w:tc>
        <w:tc>
          <w:tcPr>
            <w:tcW w:w="4774" w:type="dxa"/>
            <w:tcBorders>
              <w:top w:val="single" w:sz="12" w:space="0" w:color="auto"/>
            </w:tcBorders>
            <w:shd w:val="clear" w:color="auto" w:fill="auto"/>
          </w:tcPr>
          <w:p w14:paraId="0437DC29" w14:textId="77777777" w:rsidR="00F0236A" w:rsidRPr="00073574" w:rsidRDefault="00F0236A" w:rsidP="00DF36E1">
            <w:pPr>
              <w:pStyle w:val="Tabletext"/>
              <w:rPr>
                <w:b/>
                <w:bCs/>
                <w:sz w:val="24"/>
                <w:szCs w:val="24"/>
              </w:rPr>
            </w:pPr>
            <w:r w:rsidRPr="00073574">
              <w:rPr>
                <w:b/>
                <w:bCs/>
                <w:sz w:val="24"/>
                <w:szCs w:val="24"/>
              </w:rPr>
              <w:t>TSB to provide technical assistance to develop national green ICT action plan, and develop a reporting mechanism to support countries in implementing their plans (resolves 8)</w:t>
            </w:r>
          </w:p>
        </w:tc>
        <w:tc>
          <w:tcPr>
            <w:tcW w:w="1683" w:type="dxa"/>
            <w:tcBorders>
              <w:top w:val="single" w:sz="12" w:space="0" w:color="auto"/>
            </w:tcBorders>
            <w:shd w:val="clear" w:color="auto" w:fill="auto"/>
            <w:vAlign w:val="center"/>
          </w:tcPr>
          <w:p w14:paraId="6E05D620"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34" w:type="dxa"/>
            <w:tcBorders>
              <w:top w:val="single" w:sz="12" w:space="0" w:color="auto"/>
            </w:tcBorders>
            <w:shd w:val="clear" w:color="auto" w:fill="auto"/>
            <w:vAlign w:val="center"/>
          </w:tcPr>
          <w:p w14:paraId="70F48388" w14:textId="1C61CF34" w:rsidR="00F0236A" w:rsidRPr="00073574" w:rsidRDefault="00604A62"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6F66E6A0" w14:textId="77777777" w:rsidR="00F0236A" w:rsidRPr="00073574" w:rsidRDefault="00F0236A" w:rsidP="00DF36E1">
            <w:pPr>
              <w:pStyle w:val="Tabletext"/>
              <w:jc w:val="center"/>
              <w:rPr>
                <w:b/>
                <w:bCs/>
                <w:sz w:val="24"/>
                <w:szCs w:val="24"/>
              </w:rPr>
            </w:pPr>
          </w:p>
        </w:tc>
      </w:tr>
      <w:tr w:rsidR="00F0236A" w:rsidRPr="00073574" w14:paraId="3DB4DBBE" w14:textId="77777777" w:rsidTr="634A3A28">
        <w:trPr>
          <w:jc w:val="center"/>
        </w:trPr>
        <w:tc>
          <w:tcPr>
            <w:tcW w:w="905" w:type="dxa"/>
            <w:vMerge/>
          </w:tcPr>
          <w:p w14:paraId="799C858B" w14:textId="77777777" w:rsidR="00F0236A" w:rsidRPr="00073574" w:rsidRDefault="00F0236A" w:rsidP="00DF36E1">
            <w:pPr>
              <w:pStyle w:val="Tabletext"/>
              <w:rPr>
                <w:sz w:val="24"/>
                <w:szCs w:val="24"/>
              </w:rPr>
            </w:pPr>
          </w:p>
        </w:tc>
        <w:tc>
          <w:tcPr>
            <w:tcW w:w="8927" w:type="dxa"/>
            <w:gridSpan w:val="4"/>
            <w:tcBorders>
              <w:bottom w:val="single" w:sz="12" w:space="0" w:color="auto"/>
            </w:tcBorders>
            <w:shd w:val="clear" w:color="auto" w:fill="auto"/>
          </w:tcPr>
          <w:p w14:paraId="6277C78E" w14:textId="19D6287F" w:rsidR="00604A62" w:rsidRPr="00073574" w:rsidRDefault="00604A62" w:rsidP="007F2D88">
            <w:pPr>
              <w:shd w:val="clear" w:color="auto" w:fill="FFFFFF"/>
              <w:spacing w:before="0"/>
              <w:textAlignment w:val="baseline"/>
              <w:rPr>
                <w:rFonts w:eastAsiaTheme="minorHAnsi"/>
                <w:szCs w:val="22"/>
                <w:lang w:eastAsia="en-GB"/>
              </w:rPr>
            </w:pPr>
            <w:r w:rsidRPr="00073574">
              <w:rPr>
                <w:lang w:eastAsia="en-GB"/>
              </w:rPr>
              <w:t>The events below have been organized to support the development of green ICT action plans:</w:t>
            </w:r>
          </w:p>
          <w:p w14:paraId="43CC7649" w14:textId="398AF8CB" w:rsidR="00493BD3" w:rsidRPr="00073574" w:rsidRDefault="0053741E" w:rsidP="007F2D88">
            <w:pPr>
              <w:numPr>
                <w:ilvl w:val="0"/>
                <w:numId w:val="85"/>
              </w:numPr>
              <w:shd w:val="clear" w:color="auto" w:fill="FFFFFF"/>
              <w:ind w:left="357" w:hanging="357"/>
              <w:textAlignment w:val="baseline"/>
              <w:rPr>
                <w:color w:val="444444"/>
                <w:lang w:eastAsia="en-GB"/>
              </w:rPr>
            </w:pPr>
            <w:hyperlink r:id="rId537" w:history="1">
              <w:r w:rsidR="00493BD3" w:rsidRPr="00073574">
                <w:rPr>
                  <w:rStyle w:val="Hyperlink"/>
                  <w:lang w:eastAsia="en-GB"/>
                </w:rPr>
                <w:t>Dialogues on Sustainable Digital T</w:t>
              </w:r>
              <w:r w:rsidR="00493BD3" w:rsidRPr="00073574">
                <w:rPr>
                  <w:rStyle w:val="Hyperlink"/>
                </w:rPr>
                <w:t>ransformation</w:t>
              </w:r>
            </w:hyperlink>
            <w:r w:rsidR="00493BD3" w:rsidRPr="00073574">
              <w:rPr>
                <w:color w:val="444444"/>
                <w:lang w:eastAsia="en-GB"/>
              </w:rPr>
              <w:t xml:space="preserve"> held from 28 to 30 September 2021:</w:t>
            </w:r>
          </w:p>
          <w:p w14:paraId="54131F8A" w14:textId="55EDF1D7" w:rsidR="00493BD3" w:rsidRPr="00073574" w:rsidRDefault="0053741E" w:rsidP="00493BD3">
            <w:pPr>
              <w:numPr>
                <w:ilvl w:val="1"/>
                <w:numId w:val="85"/>
              </w:numPr>
              <w:shd w:val="clear" w:color="auto" w:fill="FFFFFF"/>
              <w:textAlignment w:val="baseline"/>
              <w:rPr>
                <w:color w:val="444444"/>
                <w:lang w:eastAsia="en-GB"/>
              </w:rPr>
            </w:pPr>
            <w:hyperlink r:id="rId538" w:history="1">
              <w:r w:rsidR="00493BD3" w:rsidRPr="00073574">
                <w:rPr>
                  <w:rStyle w:val="Hyperlink"/>
                  <w:lang w:eastAsia="en-GB"/>
                </w:rPr>
                <w:t>Sustainable Digital Transformation in Africa</w:t>
              </w:r>
            </w:hyperlink>
            <w:r w:rsidR="00493BD3" w:rsidRPr="00073574">
              <w:rPr>
                <w:color w:val="444444"/>
                <w:lang w:eastAsia="en-GB"/>
              </w:rPr>
              <w:t>, 28 September 2021</w:t>
            </w:r>
          </w:p>
          <w:p w14:paraId="74BA5926" w14:textId="22EA3191" w:rsidR="00493BD3" w:rsidRPr="00073574" w:rsidRDefault="0053741E" w:rsidP="00493BD3">
            <w:pPr>
              <w:numPr>
                <w:ilvl w:val="1"/>
                <w:numId w:val="85"/>
              </w:numPr>
              <w:shd w:val="clear" w:color="auto" w:fill="FFFFFF"/>
              <w:textAlignment w:val="baseline"/>
              <w:rPr>
                <w:color w:val="444444"/>
                <w:lang w:eastAsia="en-GB"/>
              </w:rPr>
            </w:pPr>
            <w:hyperlink r:id="rId539" w:history="1">
              <w:r w:rsidR="00493BD3" w:rsidRPr="00073574">
                <w:rPr>
                  <w:rStyle w:val="Hyperlink"/>
                  <w:lang w:eastAsia="en-GB"/>
                </w:rPr>
                <w:t>Sustainable Digital Transformation in the Arab region</w:t>
              </w:r>
            </w:hyperlink>
            <w:r w:rsidR="00493BD3" w:rsidRPr="00073574">
              <w:rPr>
                <w:color w:val="444444"/>
                <w:lang w:eastAsia="en-GB"/>
              </w:rPr>
              <w:t>, 29 September 2021</w:t>
            </w:r>
          </w:p>
          <w:p w14:paraId="0628E8DB" w14:textId="2459C310" w:rsidR="00493BD3" w:rsidRPr="00073574" w:rsidRDefault="0053741E" w:rsidP="00493BD3">
            <w:pPr>
              <w:numPr>
                <w:ilvl w:val="1"/>
                <w:numId w:val="85"/>
              </w:numPr>
              <w:shd w:val="clear" w:color="auto" w:fill="FFFFFF"/>
              <w:textAlignment w:val="baseline"/>
              <w:rPr>
                <w:color w:val="444444"/>
                <w:lang w:eastAsia="en-GB"/>
              </w:rPr>
            </w:pPr>
            <w:hyperlink r:id="rId540" w:history="1">
              <w:r w:rsidR="00493BD3" w:rsidRPr="00073574">
                <w:rPr>
                  <w:rStyle w:val="Hyperlink"/>
                </w:rPr>
                <w:t>Sustainable Digital Transformation in Latin America</w:t>
              </w:r>
            </w:hyperlink>
            <w:r w:rsidR="00493BD3" w:rsidRPr="00073574">
              <w:rPr>
                <w:color w:val="444444"/>
                <w:lang w:eastAsia="en-GB"/>
              </w:rPr>
              <w:t>, 30 September 2021</w:t>
            </w:r>
          </w:p>
          <w:p w14:paraId="5CBD0A60" w14:textId="72DE9C68" w:rsidR="00493BD3" w:rsidRPr="00073574" w:rsidRDefault="00493BD3" w:rsidP="007520E0">
            <w:pPr>
              <w:shd w:val="clear" w:color="auto" w:fill="FFFFFF"/>
              <w:textAlignment w:val="baseline"/>
              <w:rPr>
                <w:lang w:eastAsia="en-GB"/>
              </w:rPr>
            </w:pPr>
            <w:r w:rsidRPr="00073574">
              <w:rPr>
                <w:lang w:eastAsia="en-GB"/>
              </w:rPr>
              <w:lastRenderedPageBreak/>
              <w:t>These Dialogues were followed by the ITU-T Study Group 5 Regional Group for Africa, the Arab Region and Latin America.</w:t>
            </w:r>
          </w:p>
          <w:p w14:paraId="4400C1AE" w14:textId="77777777" w:rsidR="00E46AFC" w:rsidRPr="00073574" w:rsidRDefault="00E46AFC" w:rsidP="00E46AFC">
            <w:pPr>
              <w:numPr>
                <w:ilvl w:val="0"/>
                <w:numId w:val="85"/>
              </w:numPr>
              <w:shd w:val="clear" w:color="auto" w:fill="FFFFFF"/>
              <w:ind w:left="357" w:hanging="357"/>
              <w:textAlignment w:val="baseline"/>
              <w:rPr>
                <w:color w:val="444444"/>
                <w:lang w:eastAsia="en-GB"/>
              </w:rPr>
            </w:pPr>
            <w:r w:rsidRPr="00073574">
              <w:rPr>
                <w:color w:val="444444"/>
                <w:lang w:eastAsia="en-GB"/>
              </w:rPr>
              <w:t>10th Green Standards Week took place on 14-16 December 2021.</w:t>
            </w:r>
          </w:p>
          <w:p w14:paraId="412B2311" w14:textId="4BBD9A12" w:rsidR="00604A62" w:rsidRPr="00073574" w:rsidRDefault="0053741E" w:rsidP="007F2D88">
            <w:pPr>
              <w:numPr>
                <w:ilvl w:val="0"/>
                <w:numId w:val="85"/>
              </w:numPr>
              <w:shd w:val="clear" w:color="auto" w:fill="FFFFFF"/>
              <w:ind w:left="357" w:hanging="357"/>
              <w:textAlignment w:val="baseline"/>
              <w:rPr>
                <w:color w:val="444444"/>
                <w:lang w:eastAsia="en-GB"/>
              </w:rPr>
            </w:pPr>
            <w:hyperlink r:id="rId541" w:tgtFrame="_blank" w:history="1">
              <w:r w:rsidR="00604A62" w:rsidRPr="00073574">
                <w:rPr>
                  <w:rStyle w:val="Hyperlink"/>
                  <w:color w:val="3789BD"/>
                  <w:bdr w:val="none" w:sz="0" w:space="0" w:color="auto" w:frame="1"/>
                  <w:shd w:val="clear" w:color="auto" w:fill="FFFFFF"/>
                </w:rPr>
                <w:t>9th Green Standards Week</w:t>
              </w:r>
            </w:hyperlink>
            <w:r w:rsidR="00604A62" w:rsidRPr="00073574">
              <w:rPr>
                <w:color w:val="000000"/>
              </w:rPr>
              <w:t xml:space="preserve"> took place on </w:t>
            </w:r>
            <w:r w:rsidR="00604A62" w:rsidRPr="00073574">
              <w:rPr>
                <w:color w:val="444444"/>
                <w:shd w:val="clear" w:color="auto" w:fill="FFFFFF"/>
              </w:rPr>
              <w:t>1-4 October 2019, Valencia, Spain</w:t>
            </w:r>
            <w:r w:rsidR="00604A62" w:rsidRPr="00073574">
              <w:rPr>
                <w:color w:val="000000"/>
              </w:rPr>
              <w:t xml:space="preserve"> and concluded with a </w:t>
            </w:r>
            <w:hyperlink r:id="rId542" w:history="1">
              <w:r w:rsidR="00604A62" w:rsidRPr="00073574">
                <w:rPr>
                  <w:rStyle w:val="Hyperlink"/>
                </w:rPr>
                <w:t>Call to Action</w:t>
              </w:r>
            </w:hyperlink>
            <w:r w:rsidR="00604A62" w:rsidRPr="00073574">
              <w:rPr>
                <w:color w:val="000000"/>
              </w:rPr>
              <w:t>.</w:t>
            </w:r>
          </w:p>
          <w:p w14:paraId="5AE08437" w14:textId="3DA72EFA" w:rsidR="00604A62" w:rsidRPr="00073574" w:rsidRDefault="0053741E" w:rsidP="007F2D88">
            <w:pPr>
              <w:numPr>
                <w:ilvl w:val="0"/>
                <w:numId w:val="85"/>
              </w:numPr>
              <w:shd w:val="clear" w:color="auto" w:fill="FFFFFF"/>
              <w:ind w:left="357" w:hanging="357"/>
              <w:textAlignment w:val="baseline"/>
              <w:rPr>
                <w:rStyle w:val="Strong"/>
                <w:rFonts w:ascii="Calibri" w:hAnsi="Calibri" w:cs="Calibri"/>
                <w:b w:val="0"/>
                <w:bCs w:val="0"/>
                <w:lang w:eastAsia="en-US"/>
              </w:rPr>
            </w:pPr>
            <w:hyperlink r:id="rId543" w:tgtFrame="_blank" w:history="1">
              <w:r w:rsidR="00604A62" w:rsidRPr="00073574">
                <w:rPr>
                  <w:rStyle w:val="Hyperlink"/>
                  <w:color w:val="3789BD"/>
                  <w:bdr w:val="none" w:sz="0" w:space="0" w:color="auto" w:frame="1"/>
                </w:rPr>
                <w:t>1st Digital African Week</w:t>
              </w:r>
            </w:hyperlink>
            <w:r w:rsidR="00604A62" w:rsidRPr="00073574">
              <w:rPr>
                <w:color w:val="444444"/>
              </w:rPr>
              <w:t xml:space="preserve"> </w:t>
            </w:r>
            <w:r w:rsidR="00604A62" w:rsidRPr="00073574">
              <w:t xml:space="preserve">took place on 27-30 August 2019, Abuja, Nigeria in conjunction </w:t>
            </w:r>
            <w:r w:rsidR="00604A62" w:rsidRPr="00073574">
              <w:rPr>
                <w:color w:val="444444"/>
              </w:rPr>
              <w:t xml:space="preserve">with </w:t>
            </w:r>
            <w:hyperlink r:id="rId544" w:history="1">
              <w:r w:rsidR="00604A62" w:rsidRPr="00073574">
                <w:rPr>
                  <w:rStyle w:val="Hyperlink"/>
                  <w:color w:val="3789BD"/>
                  <w:bdr w:val="none" w:sz="0" w:space="0" w:color="auto" w:frame="1"/>
                  <w:shd w:val="clear" w:color="auto" w:fill="FFFFFF"/>
                </w:rPr>
                <w:t>ITU-T Study Group 5 Regional Group for Africa (ITU-T SG5RG-AFR)</w:t>
              </w:r>
            </w:hyperlink>
            <w:r w:rsidR="00604A62" w:rsidRPr="00073574">
              <w:rPr>
                <w:rStyle w:val="Strong"/>
                <w:b w:val="0"/>
                <w:bCs w:val="0"/>
                <w:color w:val="444444"/>
                <w:bdr w:val="none" w:sz="0" w:space="0" w:color="auto" w:frame="1"/>
                <w:shd w:val="clear" w:color="auto" w:fill="FFFFFF"/>
              </w:rPr>
              <w:t xml:space="preserve"> </w:t>
            </w:r>
            <w:r w:rsidR="00604A62" w:rsidRPr="00073574">
              <w:rPr>
                <w:rStyle w:val="Strong"/>
                <w:b w:val="0"/>
                <w:bCs w:val="0"/>
                <w:color w:val="000000"/>
                <w:bdr w:val="none" w:sz="0" w:space="0" w:color="auto" w:frame="1"/>
                <w:shd w:val="clear" w:color="auto" w:fill="FFFFFF"/>
              </w:rPr>
              <w:t xml:space="preserve">and </w:t>
            </w:r>
            <w:hyperlink r:id="rId545" w:history="1">
              <w:r w:rsidR="00604A62" w:rsidRPr="00073574">
                <w:rPr>
                  <w:rStyle w:val="Hyperlink"/>
                  <w:color w:val="3789BD"/>
                  <w:bdr w:val="none" w:sz="0" w:space="0" w:color="auto" w:frame="1"/>
                  <w:shd w:val="clear" w:color="auto" w:fill="FFFFFF"/>
                </w:rPr>
                <w:t>ITU-T Study Group 20 Regional Group for Africa (ITU-T SG20RG-AFR)</w:t>
              </w:r>
            </w:hyperlink>
            <w:r w:rsidR="00604A62" w:rsidRPr="00073574">
              <w:rPr>
                <w:rStyle w:val="Strong"/>
                <w:b w:val="0"/>
                <w:bCs w:val="0"/>
                <w:color w:val="444444"/>
                <w:bdr w:val="none" w:sz="0" w:space="0" w:color="auto" w:frame="1"/>
                <w:shd w:val="clear" w:color="auto" w:fill="FFFFFF"/>
              </w:rPr>
              <w:t>.</w:t>
            </w:r>
          </w:p>
          <w:p w14:paraId="723D2990" w14:textId="26827ECB" w:rsidR="00604A62" w:rsidRPr="00073574" w:rsidRDefault="0053741E" w:rsidP="007F2D88">
            <w:pPr>
              <w:pStyle w:val="ListParagraph"/>
              <w:numPr>
                <w:ilvl w:val="0"/>
                <w:numId w:val="85"/>
              </w:numPr>
              <w:shd w:val="clear" w:color="auto" w:fill="FFFFFF"/>
              <w:ind w:left="357" w:hanging="357"/>
              <w:contextualSpacing w:val="0"/>
              <w:textAlignment w:val="baseline"/>
              <w:rPr>
                <w:rStyle w:val="Strong"/>
                <w:b w:val="0"/>
                <w:bCs w:val="0"/>
                <w:bdr w:val="none" w:sz="0" w:space="0" w:color="auto" w:frame="1"/>
                <w:shd w:val="clear" w:color="auto" w:fill="FFFFFF"/>
              </w:rPr>
            </w:pPr>
            <w:hyperlink r:id="rId546" w:history="1">
              <w:r w:rsidR="00604A62" w:rsidRPr="00073574">
                <w:rPr>
                  <w:rStyle w:val="Hyperlink"/>
                  <w:bdr w:val="none" w:sz="0" w:space="0" w:color="auto" w:frame="1"/>
                  <w:shd w:val="clear" w:color="auto" w:fill="FFFFFF"/>
                </w:rPr>
                <w:t>A Massive Open Online Course (MOOC) on e-waste management</w:t>
              </w:r>
            </w:hyperlink>
            <w:r w:rsidR="00604A62" w:rsidRPr="00073574">
              <w:rPr>
                <w:rStyle w:val="Strong"/>
                <w:b w:val="0"/>
                <w:bCs w:val="0"/>
                <w:color w:val="000000"/>
                <w:bdr w:val="none" w:sz="0" w:space="0" w:color="auto" w:frame="1"/>
                <w:shd w:val="clear" w:color="auto" w:fill="FFFFFF"/>
              </w:rPr>
              <w:t xml:space="preserve"> was developed to share insight into policy tools, international standards and best practices capable of stimulating the transition to sustainable e-waste management.</w:t>
            </w:r>
          </w:p>
          <w:p w14:paraId="04BC0FC0" w14:textId="7D39956B" w:rsidR="00F0236A" w:rsidRPr="00073574" w:rsidRDefault="0053741E" w:rsidP="007F2D88">
            <w:pPr>
              <w:pStyle w:val="ListParagraph"/>
              <w:numPr>
                <w:ilvl w:val="0"/>
                <w:numId w:val="85"/>
              </w:numPr>
              <w:shd w:val="clear" w:color="auto" w:fill="FFFFFF"/>
              <w:ind w:left="357" w:hanging="357"/>
              <w:contextualSpacing w:val="0"/>
              <w:textAlignment w:val="baseline"/>
            </w:pPr>
            <w:hyperlink r:id="rId547">
              <w:r w:rsidR="00604A62" w:rsidRPr="00073574">
                <w:rPr>
                  <w:rStyle w:val="Hyperlink"/>
                  <w:lang w:eastAsia="en-GB"/>
                </w:rPr>
                <w:t>ITU (TSB and BDT) together with UNIDO and other partners are working together on a Global Environmental Facility (GEF) funded project in Latin America</w:t>
              </w:r>
            </w:hyperlink>
            <w:r w:rsidR="00604A62" w:rsidRPr="00073574">
              <w:rPr>
                <w:lang w:eastAsia="en-GB"/>
              </w:rPr>
              <w:t xml:space="preserve">, which helps to strengthen regional cooperation in Latin- American countries. ITU-T </w:t>
            </w:r>
            <w:r w:rsidR="00A240F4" w:rsidRPr="00073574">
              <w:rPr>
                <w:lang w:eastAsia="en-GB"/>
              </w:rPr>
              <w:t xml:space="preserve">developed a Case Study on </w:t>
            </w:r>
            <w:hyperlink r:id="rId548" w:anchor="p=1" w:history="1">
              <w:r w:rsidR="00A240F4" w:rsidRPr="00073574">
                <w:rPr>
                  <w:rStyle w:val="Hyperlink"/>
                  <w:lang w:eastAsia="en-GB"/>
                </w:rPr>
                <w:t>Implementation of ITU-T Standards on sustainable management of waste electrical and electronic equipment: The path to a Circular Economy in Costa Rica</w:t>
              </w:r>
            </w:hyperlink>
            <w:r w:rsidR="00A240F4" w:rsidRPr="00073574">
              <w:rPr>
                <w:lang w:eastAsia="en-GB"/>
              </w:rPr>
              <w:t>. ITU-T is also working with Argentina in the developing of one case study</w:t>
            </w:r>
            <w:r w:rsidR="00604A62" w:rsidRPr="00073574">
              <w:rPr>
                <w:lang w:eastAsia="en-GB"/>
              </w:rPr>
              <w:t xml:space="preserve"> to implement ITU-T Recommendations in areas such as sustainable e-waste management or recycling of rare metals in ICT equipment, with a view to informing stakeholders, gaining new knowledge, establishing best practise guidelines, improving existing recommendations and more. </w:t>
            </w:r>
            <w:r w:rsidR="00A240F4" w:rsidRPr="00073574">
              <w:rPr>
                <w:lang w:eastAsia="en-GB"/>
              </w:rPr>
              <w:t>ITU’s Development Sector (ITU-D) is supporting the project through its development of the Regional E-waste Monitor for Latin America.</w:t>
            </w:r>
          </w:p>
        </w:tc>
      </w:tr>
      <w:tr w:rsidR="00F0236A" w:rsidRPr="00073574" w14:paraId="5EBCF7CC" w14:textId="77777777" w:rsidTr="634A3A28">
        <w:trPr>
          <w:jc w:val="center"/>
        </w:trPr>
        <w:tc>
          <w:tcPr>
            <w:tcW w:w="905" w:type="dxa"/>
            <w:vMerge w:val="restart"/>
            <w:tcBorders>
              <w:top w:val="single" w:sz="12" w:space="0" w:color="auto"/>
            </w:tcBorders>
            <w:shd w:val="clear" w:color="auto" w:fill="auto"/>
          </w:tcPr>
          <w:p w14:paraId="5E5EDB31" w14:textId="77777777" w:rsidR="00F0236A" w:rsidRPr="00073574" w:rsidRDefault="00F0236A" w:rsidP="00DF36E1">
            <w:pPr>
              <w:pStyle w:val="Tabletext"/>
              <w:keepNext/>
              <w:keepLines/>
              <w:rPr>
                <w:b/>
                <w:bCs/>
                <w:sz w:val="24"/>
                <w:szCs w:val="24"/>
              </w:rPr>
            </w:pPr>
            <w:r w:rsidRPr="00073574">
              <w:rPr>
                <w:b/>
                <w:bCs/>
                <w:sz w:val="24"/>
                <w:szCs w:val="24"/>
              </w:rPr>
              <w:lastRenderedPageBreak/>
              <w:t>73-05</w:t>
            </w:r>
          </w:p>
        </w:tc>
        <w:tc>
          <w:tcPr>
            <w:tcW w:w="4774" w:type="dxa"/>
            <w:tcBorders>
              <w:top w:val="single" w:sz="12" w:space="0" w:color="auto"/>
            </w:tcBorders>
            <w:shd w:val="clear" w:color="auto" w:fill="auto"/>
          </w:tcPr>
          <w:p w14:paraId="780BD877" w14:textId="77777777" w:rsidR="00F0236A" w:rsidRPr="00073574" w:rsidRDefault="00F0236A" w:rsidP="00DF36E1">
            <w:pPr>
              <w:pStyle w:val="Tabletext"/>
              <w:keepNext/>
              <w:keepLines/>
              <w:rPr>
                <w:b/>
                <w:bCs/>
                <w:sz w:val="24"/>
                <w:szCs w:val="24"/>
              </w:rPr>
            </w:pPr>
            <w:r w:rsidRPr="00073574">
              <w:rPr>
                <w:b/>
                <w:bCs/>
                <w:sz w:val="24"/>
                <w:szCs w:val="24"/>
              </w:rPr>
              <w:t>TSB to setup e-learning programmes on Recommendations related to ICT, environment and climate change (resolves 9)</w:t>
            </w:r>
          </w:p>
        </w:tc>
        <w:tc>
          <w:tcPr>
            <w:tcW w:w="1683" w:type="dxa"/>
            <w:tcBorders>
              <w:top w:val="single" w:sz="12" w:space="0" w:color="auto"/>
            </w:tcBorders>
            <w:shd w:val="clear" w:color="auto" w:fill="auto"/>
            <w:vAlign w:val="center"/>
          </w:tcPr>
          <w:p w14:paraId="797C3C1F"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34" w:type="dxa"/>
            <w:tcBorders>
              <w:top w:val="single" w:sz="12" w:space="0" w:color="auto"/>
            </w:tcBorders>
            <w:shd w:val="clear" w:color="auto" w:fill="auto"/>
            <w:vAlign w:val="center"/>
          </w:tcPr>
          <w:p w14:paraId="2E1B6ADF" w14:textId="57DE6918" w:rsidR="00F0236A" w:rsidRPr="00073574" w:rsidRDefault="009E18AD"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6CDFBF5B" w14:textId="77777777" w:rsidR="00F0236A" w:rsidRPr="00073574" w:rsidRDefault="00F0236A" w:rsidP="00DF36E1">
            <w:pPr>
              <w:pStyle w:val="Tabletext"/>
              <w:jc w:val="center"/>
              <w:rPr>
                <w:b/>
                <w:bCs/>
                <w:sz w:val="24"/>
                <w:szCs w:val="24"/>
              </w:rPr>
            </w:pPr>
          </w:p>
        </w:tc>
      </w:tr>
      <w:tr w:rsidR="00F0236A" w:rsidRPr="00073574" w14:paraId="0A000F8F" w14:textId="77777777" w:rsidTr="634A3A28">
        <w:trPr>
          <w:jc w:val="center"/>
        </w:trPr>
        <w:tc>
          <w:tcPr>
            <w:tcW w:w="905" w:type="dxa"/>
            <w:vMerge/>
          </w:tcPr>
          <w:p w14:paraId="127B4320" w14:textId="77777777" w:rsidR="00F0236A" w:rsidRPr="00073574" w:rsidRDefault="00F0236A" w:rsidP="00DF36E1">
            <w:pPr>
              <w:pStyle w:val="Tabletext"/>
              <w:rPr>
                <w:sz w:val="24"/>
                <w:szCs w:val="24"/>
              </w:rPr>
            </w:pPr>
          </w:p>
        </w:tc>
        <w:tc>
          <w:tcPr>
            <w:tcW w:w="8927" w:type="dxa"/>
            <w:gridSpan w:val="4"/>
            <w:shd w:val="clear" w:color="auto" w:fill="auto"/>
          </w:tcPr>
          <w:p w14:paraId="1DCAD953" w14:textId="25262415" w:rsidR="00F0236A" w:rsidRPr="00073574" w:rsidRDefault="687CFFB8">
            <w:pPr>
              <w:pStyle w:val="Tabletext"/>
            </w:pPr>
            <w:r w:rsidRPr="00073574">
              <w:t>The</w:t>
            </w:r>
            <w:r w:rsidR="3649FB5C" w:rsidRPr="00073574">
              <w:t xml:space="preserve"> </w:t>
            </w:r>
            <w:hyperlink r:id="rId549" w:history="1">
              <w:r w:rsidR="3649FB5C" w:rsidRPr="00073574">
                <w:rPr>
                  <w:rStyle w:val="Hyperlink"/>
                </w:rPr>
                <w:t>ITU-T Global Portal on Environment and Smart Sustainable Cities</w:t>
              </w:r>
            </w:hyperlink>
            <w:r w:rsidRPr="00073574">
              <w:t>, provide</w:t>
            </w:r>
            <w:r w:rsidR="1DEF4EA2" w:rsidRPr="00073574">
              <w:t>s</w:t>
            </w:r>
            <w:r w:rsidRPr="00073574">
              <w:t xml:space="preserve"> a wealth of information and resource materials for self-learning.</w:t>
            </w:r>
            <w:r w:rsidR="39980F23" w:rsidRPr="00073574">
              <w:t xml:space="preserve"> Training materials relating to ICTs and climate change are currently being developed.</w:t>
            </w:r>
          </w:p>
        </w:tc>
      </w:tr>
      <w:tr w:rsidR="00F0236A" w:rsidRPr="00073574" w14:paraId="6A2C5DF9" w14:textId="77777777" w:rsidTr="634A3A28">
        <w:trPr>
          <w:jc w:val="center"/>
        </w:trPr>
        <w:tc>
          <w:tcPr>
            <w:tcW w:w="905" w:type="dxa"/>
            <w:vMerge w:val="restart"/>
            <w:tcBorders>
              <w:top w:val="single" w:sz="12" w:space="0" w:color="auto"/>
            </w:tcBorders>
            <w:shd w:val="clear" w:color="auto" w:fill="auto"/>
          </w:tcPr>
          <w:p w14:paraId="3F61A296" w14:textId="77777777" w:rsidR="00F0236A" w:rsidRPr="00073574" w:rsidRDefault="00F0236A" w:rsidP="008214F0">
            <w:pPr>
              <w:pStyle w:val="Tabletext"/>
              <w:keepNext/>
              <w:keepLines/>
              <w:rPr>
                <w:b/>
                <w:bCs/>
                <w:sz w:val="24"/>
                <w:szCs w:val="24"/>
              </w:rPr>
            </w:pPr>
            <w:r w:rsidRPr="00073574">
              <w:rPr>
                <w:b/>
                <w:bCs/>
                <w:sz w:val="24"/>
                <w:szCs w:val="24"/>
              </w:rPr>
              <w:t>73-06</w:t>
            </w:r>
          </w:p>
        </w:tc>
        <w:tc>
          <w:tcPr>
            <w:tcW w:w="4774" w:type="dxa"/>
            <w:tcBorders>
              <w:top w:val="single" w:sz="12" w:space="0" w:color="auto"/>
            </w:tcBorders>
            <w:shd w:val="clear" w:color="auto" w:fill="auto"/>
            <w:hideMark/>
          </w:tcPr>
          <w:p w14:paraId="1FA732D4" w14:textId="77777777" w:rsidR="00F0236A" w:rsidRPr="00073574" w:rsidRDefault="00F0236A" w:rsidP="008214F0">
            <w:pPr>
              <w:pStyle w:val="Tabletext"/>
              <w:keepNext/>
              <w:keepLines/>
              <w:rPr>
                <w:b/>
                <w:bCs/>
                <w:sz w:val="24"/>
                <w:szCs w:val="24"/>
              </w:rPr>
            </w:pPr>
            <w:r w:rsidRPr="00073574">
              <w:rPr>
                <w:b/>
                <w:bCs/>
                <w:sz w:val="24"/>
                <w:szCs w:val="24"/>
              </w:rPr>
              <w:t>TSAG to coordinate ITU-T SGs through JCA on ICT and climate change, and ensure study groups carry out review of existing and future Recommendations to assess implications and application of best practices in light of environment protection and climate change (i. TSAG 1)</w:t>
            </w:r>
          </w:p>
        </w:tc>
        <w:tc>
          <w:tcPr>
            <w:tcW w:w="1683" w:type="dxa"/>
            <w:tcBorders>
              <w:top w:val="single" w:sz="12" w:space="0" w:color="auto"/>
            </w:tcBorders>
            <w:shd w:val="clear" w:color="auto" w:fill="auto"/>
            <w:vAlign w:val="center"/>
          </w:tcPr>
          <w:p w14:paraId="6C55BCCA" w14:textId="10132D1D" w:rsidR="00F0236A" w:rsidRPr="00073574" w:rsidRDefault="00F0236A" w:rsidP="008214F0">
            <w:pPr>
              <w:pStyle w:val="Tabletext"/>
              <w:keepNext/>
              <w:keepLines/>
              <w:jc w:val="center"/>
              <w:rPr>
                <w:b/>
                <w:bCs/>
                <w:sz w:val="24"/>
                <w:szCs w:val="24"/>
              </w:rPr>
            </w:pPr>
            <w:r w:rsidRPr="00073574">
              <w:rPr>
                <w:b/>
                <w:bCs/>
                <w:sz w:val="24"/>
                <w:szCs w:val="24"/>
              </w:rPr>
              <w:t>TSAG 20</w:t>
            </w:r>
            <w:r w:rsidR="008D26AD" w:rsidRPr="00073574">
              <w:rPr>
                <w:b/>
                <w:bCs/>
                <w:sz w:val="24"/>
                <w:szCs w:val="24"/>
              </w:rPr>
              <w:t>2</w:t>
            </w:r>
            <w:r w:rsidR="00AD100B" w:rsidRPr="00073574">
              <w:rPr>
                <w:b/>
                <w:bCs/>
                <w:sz w:val="24"/>
                <w:szCs w:val="24"/>
              </w:rPr>
              <w:t>1</w:t>
            </w:r>
            <w:r w:rsidRPr="00073574">
              <w:rPr>
                <w:b/>
                <w:bCs/>
                <w:sz w:val="24"/>
                <w:szCs w:val="24"/>
              </w:rPr>
              <w:t>,</w:t>
            </w:r>
          </w:p>
          <w:p w14:paraId="3038800E" w14:textId="77777777" w:rsidR="00F0236A" w:rsidRPr="00073574" w:rsidRDefault="00F0236A" w:rsidP="008214F0">
            <w:pPr>
              <w:pStyle w:val="Tabletext"/>
              <w:keepNext/>
              <w:keepLines/>
              <w:jc w:val="center"/>
              <w:rPr>
                <w:b/>
                <w:bCs/>
                <w:sz w:val="24"/>
                <w:szCs w:val="24"/>
              </w:rPr>
            </w:pPr>
            <w:r w:rsidRPr="00073574">
              <w:rPr>
                <w:b/>
                <w:bCs/>
                <w:sz w:val="24"/>
                <w:szCs w:val="24"/>
              </w:rPr>
              <w:t>Ongoing</w:t>
            </w:r>
          </w:p>
        </w:tc>
        <w:tc>
          <w:tcPr>
            <w:tcW w:w="1134" w:type="dxa"/>
            <w:tcBorders>
              <w:top w:val="single" w:sz="12" w:space="0" w:color="auto"/>
            </w:tcBorders>
            <w:shd w:val="clear" w:color="auto" w:fill="auto"/>
            <w:vAlign w:val="center"/>
          </w:tcPr>
          <w:p w14:paraId="02955781" w14:textId="77777777" w:rsidR="00F0236A" w:rsidRPr="00073574" w:rsidRDefault="00F0236A" w:rsidP="008214F0">
            <w:pPr>
              <w:pStyle w:val="Tabletext"/>
              <w:keepNext/>
              <w:keepLines/>
              <w:jc w:val="center"/>
              <w:rPr>
                <w:b/>
                <w:bCs/>
                <w:sz w:val="24"/>
                <w:szCs w:val="24"/>
              </w:rPr>
            </w:pPr>
          </w:p>
        </w:tc>
        <w:tc>
          <w:tcPr>
            <w:tcW w:w="1336" w:type="dxa"/>
            <w:tcBorders>
              <w:top w:val="single" w:sz="12" w:space="0" w:color="auto"/>
            </w:tcBorders>
            <w:shd w:val="clear" w:color="auto" w:fill="auto"/>
            <w:vAlign w:val="center"/>
          </w:tcPr>
          <w:p w14:paraId="364AAF1B" w14:textId="34BBC2FE" w:rsidR="00F0236A" w:rsidRPr="00073574" w:rsidRDefault="00AA12EE" w:rsidP="008214F0">
            <w:pPr>
              <w:pStyle w:val="Tabletext"/>
              <w:keepNext/>
              <w:keepLines/>
              <w:jc w:val="center"/>
              <w:rPr>
                <w:b/>
                <w:bCs/>
                <w:sz w:val="24"/>
                <w:szCs w:val="24"/>
              </w:rPr>
            </w:pPr>
            <w:r w:rsidRPr="00073574">
              <w:rPr>
                <w:b/>
                <w:bCs/>
                <w:sz w:val="24"/>
                <w:szCs w:val="24"/>
              </w:rPr>
              <w:t>√</w:t>
            </w:r>
          </w:p>
        </w:tc>
      </w:tr>
      <w:tr w:rsidR="00F0236A" w:rsidRPr="00073574" w14:paraId="0870BB18" w14:textId="77777777" w:rsidTr="634A3A28">
        <w:trPr>
          <w:jc w:val="center"/>
        </w:trPr>
        <w:tc>
          <w:tcPr>
            <w:tcW w:w="905" w:type="dxa"/>
            <w:vMerge/>
          </w:tcPr>
          <w:p w14:paraId="431E0F05" w14:textId="77777777" w:rsidR="00F0236A" w:rsidRPr="00073574" w:rsidRDefault="00F0236A" w:rsidP="008214F0">
            <w:pPr>
              <w:pStyle w:val="Tabletext"/>
              <w:keepNext/>
              <w:keepLines/>
              <w:rPr>
                <w:sz w:val="24"/>
                <w:szCs w:val="24"/>
              </w:rPr>
            </w:pPr>
          </w:p>
        </w:tc>
        <w:tc>
          <w:tcPr>
            <w:tcW w:w="8927" w:type="dxa"/>
            <w:gridSpan w:val="4"/>
            <w:tcBorders>
              <w:bottom w:val="single" w:sz="12" w:space="0" w:color="auto"/>
            </w:tcBorders>
            <w:shd w:val="clear" w:color="auto" w:fill="auto"/>
          </w:tcPr>
          <w:p w14:paraId="73330C6E" w14:textId="4633A10C" w:rsidR="00F0236A" w:rsidRPr="00073574" w:rsidRDefault="6411BDF5" w:rsidP="008214F0">
            <w:pPr>
              <w:pStyle w:val="Tabletext"/>
              <w:keepNext/>
              <w:keepLines/>
            </w:pPr>
            <w:r w:rsidRPr="00073574">
              <w:t>The JCA on ICT and climate change concluded its activities in 2015.</w:t>
            </w:r>
          </w:p>
        </w:tc>
      </w:tr>
      <w:tr w:rsidR="00F0236A" w:rsidRPr="00073574" w14:paraId="643C68C9" w14:textId="77777777" w:rsidTr="634A3A28">
        <w:trPr>
          <w:jc w:val="center"/>
        </w:trPr>
        <w:tc>
          <w:tcPr>
            <w:tcW w:w="905" w:type="dxa"/>
            <w:vMerge w:val="restart"/>
            <w:tcBorders>
              <w:top w:val="single" w:sz="12" w:space="0" w:color="auto"/>
            </w:tcBorders>
            <w:shd w:val="clear" w:color="auto" w:fill="auto"/>
          </w:tcPr>
          <w:p w14:paraId="67C6472E" w14:textId="77777777" w:rsidR="00F0236A" w:rsidRPr="00073574" w:rsidRDefault="00F0236A" w:rsidP="00DF36E1">
            <w:pPr>
              <w:pStyle w:val="Tabletext"/>
              <w:rPr>
                <w:b/>
                <w:bCs/>
                <w:sz w:val="24"/>
                <w:szCs w:val="24"/>
              </w:rPr>
            </w:pPr>
            <w:r w:rsidRPr="00073574">
              <w:rPr>
                <w:b/>
                <w:bCs/>
                <w:sz w:val="24"/>
                <w:szCs w:val="24"/>
              </w:rPr>
              <w:t>73-07</w:t>
            </w:r>
          </w:p>
        </w:tc>
        <w:tc>
          <w:tcPr>
            <w:tcW w:w="4774" w:type="dxa"/>
            <w:tcBorders>
              <w:top w:val="single" w:sz="12" w:space="0" w:color="auto"/>
            </w:tcBorders>
            <w:shd w:val="clear" w:color="auto" w:fill="auto"/>
            <w:hideMark/>
          </w:tcPr>
          <w:p w14:paraId="3CA5AA25" w14:textId="77777777" w:rsidR="00F0236A" w:rsidRPr="00073574" w:rsidRDefault="00F0236A" w:rsidP="00DF36E1">
            <w:pPr>
              <w:pStyle w:val="Tabletext"/>
              <w:rPr>
                <w:b/>
                <w:bCs/>
                <w:sz w:val="24"/>
                <w:szCs w:val="24"/>
              </w:rPr>
            </w:pPr>
            <w:r w:rsidRPr="00073574">
              <w:rPr>
                <w:b/>
                <w:bCs/>
                <w:sz w:val="24"/>
                <w:szCs w:val="24"/>
              </w:rPr>
              <w:t>TSAG to consider revision of working methods to reduce climate change impact (i. TSAG 3)</w:t>
            </w:r>
          </w:p>
        </w:tc>
        <w:tc>
          <w:tcPr>
            <w:tcW w:w="1683" w:type="dxa"/>
            <w:tcBorders>
              <w:top w:val="single" w:sz="12" w:space="0" w:color="auto"/>
            </w:tcBorders>
            <w:shd w:val="clear" w:color="auto" w:fill="auto"/>
            <w:vAlign w:val="center"/>
          </w:tcPr>
          <w:p w14:paraId="3A7D1FA3" w14:textId="4AB66144" w:rsidR="00F0236A" w:rsidRPr="00073574" w:rsidRDefault="00F0236A" w:rsidP="00DF36E1">
            <w:pPr>
              <w:pStyle w:val="Tabletext"/>
              <w:jc w:val="center"/>
              <w:rPr>
                <w:b/>
                <w:bCs/>
                <w:sz w:val="24"/>
                <w:szCs w:val="24"/>
              </w:rPr>
            </w:pPr>
            <w:r w:rsidRPr="00073574">
              <w:rPr>
                <w:b/>
                <w:bCs/>
                <w:sz w:val="24"/>
                <w:szCs w:val="24"/>
              </w:rPr>
              <w:t>TSAG 20</w:t>
            </w:r>
            <w:r w:rsidR="00FC75C7" w:rsidRPr="00073574">
              <w:rPr>
                <w:b/>
                <w:bCs/>
                <w:sz w:val="24"/>
                <w:szCs w:val="24"/>
              </w:rPr>
              <w:t>2</w:t>
            </w:r>
            <w:r w:rsidR="00AD100B" w:rsidRPr="00073574">
              <w:rPr>
                <w:b/>
                <w:bCs/>
                <w:sz w:val="24"/>
                <w:szCs w:val="24"/>
              </w:rPr>
              <w:t>1</w:t>
            </w:r>
            <w:r w:rsidRPr="00073574">
              <w:rPr>
                <w:b/>
                <w:bCs/>
                <w:sz w:val="24"/>
                <w:szCs w:val="24"/>
              </w:rPr>
              <w:t>,</w:t>
            </w:r>
          </w:p>
          <w:p w14:paraId="6D339404"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34" w:type="dxa"/>
            <w:tcBorders>
              <w:top w:val="single" w:sz="12" w:space="0" w:color="auto"/>
            </w:tcBorders>
            <w:shd w:val="clear" w:color="auto" w:fill="auto"/>
            <w:vAlign w:val="center"/>
          </w:tcPr>
          <w:p w14:paraId="6EC25B8E" w14:textId="6C8E3418" w:rsidR="00F0236A" w:rsidRPr="00073574" w:rsidRDefault="00426E55"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313F4B66" w14:textId="77777777" w:rsidR="00F0236A" w:rsidRPr="00073574" w:rsidRDefault="00F0236A" w:rsidP="00DF36E1">
            <w:pPr>
              <w:pStyle w:val="Tabletext"/>
              <w:jc w:val="center"/>
              <w:rPr>
                <w:b/>
                <w:bCs/>
                <w:sz w:val="24"/>
                <w:szCs w:val="24"/>
              </w:rPr>
            </w:pPr>
          </w:p>
        </w:tc>
      </w:tr>
      <w:tr w:rsidR="00F0236A" w:rsidRPr="00073574" w14:paraId="1301DFCE" w14:textId="77777777" w:rsidTr="634A3A28">
        <w:trPr>
          <w:jc w:val="center"/>
        </w:trPr>
        <w:tc>
          <w:tcPr>
            <w:tcW w:w="905" w:type="dxa"/>
            <w:vMerge/>
          </w:tcPr>
          <w:p w14:paraId="7C8CD3F6" w14:textId="77777777" w:rsidR="00F0236A" w:rsidRPr="00073574" w:rsidRDefault="00F0236A" w:rsidP="00DF36E1">
            <w:pPr>
              <w:pStyle w:val="Tabletext"/>
              <w:rPr>
                <w:sz w:val="24"/>
                <w:szCs w:val="24"/>
              </w:rPr>
            </w:pPr>
          </w:p>
        </w:tc>
        <w:tc>
          <w:tcPr>
            <w:tcW w:w="8927" w:type="dxa"/>
            <w:gridSpan w:val="4"/>
            <w:tcBorders>
              <w:bottom w:val="single" w:sz="12" w:space="0" w:color="auto"/>
            </w:tcBorders>
            <w:shd w:val="clear" w:color="auto" w:fill="auto"/>
          </w:tcPr>
          <w:p w14:paraId="5774B9EF" w14:textId="77777777" w:rsidR="00F0236A" w:rsidRPr="00073574" w:rsidRDefault="00E77513" w:rsidP="00DF36E1">
            <w:pPr>
              <w:pStyle w:val="Tabletext"/>
              <w:rPr>
                <w:szCs w:val="22"/>
              </w:rPr>
            </w:pPr>
            <w:r w:rsidRPr="00073574">
              <w:rPr>
                <w:szCs w:val="22"/>
              </w:rPr>
              <w:t>The practice of carrying out virtual ITU-T meeting has a direct impact in travelling and has helped to reduce the impact to climate change.</w:t>
            </w:r>
          </w:p>
          <w:p w14:paraId="41AC889E" w14:textId="38901D5E" w:rsidR="00E77513" w:rsidRPr="00073574" w:rsidRDefault="00E77513" w:rsidP="00DF36E1">
            <w:pPr>
              <w:pStyle w:val="Tabletext"/>
              <w:rPr>
                <w:szCs w:val="22"/>
              </w:rPr>
            </w:pPr>
            <w:r w:rsidRPr="00073574">
              <w:rPr>
                <w:szCs w:val="22"/>
              </w:rPr>
              <w:t>ITU-T SG5 is currently working on draft Recommendation ITU-T L.Virtual</w:t>
            </w:r>
            <w:r w:rsidR="00641580" w:rsidRPr="00073574">
              <w:rPr>
                <w:szCs w:val="22"/>
              </w:rPr>
              <w:t>Meetings “Methodology for estimating GHG emissions in the frame of virtual meetings and events”. This Recommendation will provide a methodology for estimating the GHG emissions related to virtual meetings and events, considering both their footprint and the emissions avoided in comparison with a physical event</w:t>
            </w:r>
            <w:r w:rsidR="004447C3" w:rsidRPr="00073574">
              <w:rPr>
                <w:szCs w:val="22"/>
              </w:rPr>
              <w:t>.</w:t>
            </w:r>
          </w:p>
        </w:tc>
      </w:tr>
      <w:tr w:rsidR="00F0236A" w:rsidRPr="00073574" w14:paraId="75635562" w14:textId="77777777" w:rsidTr="634A3A28">
        <w:trPr>
          <w:jc w:val="center"/>
        </w:trPr>
        <w:tc>
          <w:tcPr>
            <w:tcW w:w="905" w:type="dxa"/>
            <w:vMerge w:val="restart"/>
            <w:tcBorders>
              <w:top w:val="single" w:sz="12" w:space="0" w:color="auto"/>
            </w:tcBorders>
            <w:shd w:val="clear" w:color="auto" w:fill="auto"/>
          </w:tcPr>
          <w:p w14:paraId="49F3A379" w14:textId="77777777" w:rsidR="00F0236A" w:rsidRPr="00073574" w:rsidRDefault="00F0236A" w:rsidP="00366A6E">
            <w:pPr>
              <w:pStyle w:val="Tabletext"/>
              <w:rPr>
                <w:b/>
                <w:bCs/>
                <w:sz w:val="24"/>
                <w:szCs w:val="24"/>
              </w:rPr>
            </w:pPr>
            <w:r w:rsidRPr="00073574">
              <w:rPr>
                <w:b/>
                <w:bCs/>
                <w:sz w:val="24"/>
                <w:szCs w:val="24"/>
              </w:rPr>
              <w:lastRenderedPageBreak/>
              <w:t>73-08</w:t>
            </w:r>
          </w:p>
        </w:tc>
        <w:tc>
          <w:tcPr>
            <w:tcW w:w="4774" w:type="dxa"/>
            <w:tcBorders>
              <w:top w:val="single" w:sz="12" w:space="0" w:color="auto"/>
            </w:tcBorders>
            <w:shd w:val="clear" w:color="auto" w:fill="auto"/>
          </w:tcPr>
          <w:p w14:paraId="22D3374B" w14:textId="77777777" w:rsidR="00F0236A" w:rsidRPr="00073574" w:rsidRDefault="00F0236A" w:rsidP="00366A6E">
            <w:pPr>
              <w:pStyle w:val="Tabletext"/>
              <w:rPr>
                <w:b/>
                <w:bCs/>
                <w:sz w:val="24"/>
                <w:szCs w:val="24"/>
              </w:rPr>
            </w:pPr>
            <w:r w:rsidRPr="00073574">
              <w:rPr>
                <w:b/>
                <w:bCs/>
                <w:sz w:val="24"/>
                <w:szCs w:val="24"/>
              </w:rPr>
              <w:t>Study Groups, especially SG5, to develop Recommendations on ICTs, environment and climate change (i. SGs 1)</w:t>
            </w:r>
          </w:p>
        </w:tc>
        <w:tc>
          <w:tcPr>
            <w:tcW w:w="1683" w:type="dxa"/>
            <w:tcBorders>
              <w:top w:val="single" w:sz="12" w:space="0" w:color="auto"/>
            </w:tcBorders>
            <w:shd w:val="clear" w:color="auto" w:fill="auto"/>
            <w:vAlign w:val="center"/>
          </w:tcPr>
          <w:p w14:paraId="1BFD0606" w14:textId="77777777" w:rsidR="00F0236A" w:rsidRPr="00073574" w:rsidRDefault="00F0236A" w:rsidP="00366A6E">
            <w:pPr>
              <w:pStyle w:val="Tabletext"/>
              <w:jc w:val="center"/>
              <w:rPr>
                <w:b/>
                <w:bCs/>
                <w:sz w:val="24"/>
                <w:szCs w:val="24"/>
              </w:rPr>
            </w:pPr>
            <w:r w:rsidRPr="00073574">
              <w:rPr>
                <w:b/>
                <w:bCs/>
                <w:sz w:val="24"/>
                <w:szCs w:val="24"/>
              </w:rPr>
              <w:t>Ongoing</w:t>
            </w:r>
          </w:p>
        </w:tc>
        <w:tc>
          <w:tcPr>
            <w:tcW w:w="1134" w:type="dxa"/>
            <w:tcBorders>
              <w:top w:val="single" w:sz="12" w:space="0" w:color="auto"/>
            </w:tcBorders>
            <w:shd w:val="clear" w:color="auto" w:fill="auto"/>
            <w:vAlign w:val="center"/>
          </w:tcPr>
          <w:p w14:paraId="54DCDC7C" w14:textId="77777777" w:rsidR="00F0236A" w:rsidRPr="00073574" w:rsidRDefault="00F0236A" w:rsidP="00366A6E">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380365C0" w14:textId="77777777" w:rsidR="00F0236A" w:rsidRPr="00073574" w:rsidRDefault="00F0236A" w:rsidP="00366A6E">
            <w:pPr>
              <w:pStyle w:val="Tabletext"/>
              <w:jc w:val="center"/>
              <w:rPr>
                <w:b/>
                <w:bCs/>
                <w:sz w:val="24"/>
                <w:szCs w:val="24"/>
              </w:rPr>
            </w:pPr>
          </w:p>
        </w:tc>
      </w:tr>
      <w:tr w:rsidR="00F0236A" w:rsidRPr="00073574" w14:paraId="58FA836C" w14:textId="77777777" w:rsidTr="634A3A28">
        <w:trPr>
          <w:jc w:val="center"/>
        </w:trPr>
        <w:tc>
          <w:tcPr>
            <w:tcW w:w="905" w:type="dxa"/>
            <w:vMerge/>
          </w:tcPr>
          <w:p w14:paraId="7ECF7A3F" w14:textId="77777777" w:rsidR="00F0236A" w:rsidRPr="00073574" w:rsidRDefault="00F0236A" w:rsidP="00821720">
            <w:pPr>
              <w:pStyle w:val="Tabletext"/>
              <w:rPr>
                <w:sz w:val="24"/>
                <w:szCs w:val="24"/>
              </w:rPr>
            </w:pPr>
          </w:p>
        </w:tc>
        <w:tc>
          <w:tcPr>
            <w:tcW w:w="8927" w:type="dxa"/>
            <w:gridSpan w:val="4"/>
            <w:shd w:val="clear" w:color="auto" w:fill="auto"/>
          </w:tcPr>
          <w:p w14:paraId="7891C795" w14:textId="4D2D3760" w:rsidR="00F0236A" w:rsidRPr="00073574" w:rsidRDefault="00F0236A" w:rsidP="00821720">
            <w:pPr>
              <w:pStyle w:val="Tabletext"/>
              <w:rPr>
                <w:szCs w:val="22"/>
              </w:rPr>
            </w:pPr>
            <w:r w:rsidRPr="00073574">
              <w:rPr>
                <w:szCs w:val="22"/>
              </w:rPr>
              <w:t>SG5 approved the following Recommendations:</w:t>
            </w:r>
          </w:p>
          <w:p w14:paraId="7A57960B" w14:textId="32955AB8" w:rsidR="005F35BA" w:rsidRPr="00073574" w:rsidRDefault="381C8E96" w:rsidP="007C73BB">
            <w:pPr>
              <w:pStyle w:val="ListParagraph"/>
              <w:numPr>
                <w:ilvl w:val="0"/>
                <w:numId w:val="28"/>
              </w:numPr>
              <w:ind w:left="357" w:hanging="357"/>
              <w:contextualSpacing w:val="0"/>
            </w:pPr>
            <w:r w:rsidRPr="00073574">
              <w:t>Recommendation ITU-T L.1000 “Universal power adapter and charger solution for mobile terminals and other hand-held ICT devices”</w:t>
            </w:r>
            <w:r w:rsidR="3044D6EE" w:rsidRPr="00073574">
              <w:t>;</w:t>
            </w:r>
          </w:p>
          <w:p w14:paraId="4F0BEEC0" w14:textId="26C60895" w:rsidR="005F35BA" w:rsidRPr="00073574" w:rsidRDefault="381C8E96" w:rsidP="007C73BB">
            <w:pPr>
              <w:pStyle w:val="ListParagraph"/>
              <w:numPr>
                <w:ilvl w:val="0"/>
                <w:numId w:val="28"/>
              </w:numPr>
              <w:ind w:left="357" w:hanging="357"/>
              <w:contextualSpacing w:val="0"/>
            </w:pPr>
            <w:r w:rsidRPr="00073574">
              <w:t>Recommendation ITU-T L.1015 “Criteria for evaluation of the environmental impact of mobile phones”</w:t>
            </w:r>
            <w:r w:rsidR="3044D6EE" w:rsidRPr="00073574">
              <w:t>;</w:t>
            </w:r>
          </w:p>
          <w:p w14:paraId="780D50CA" w14:textId="1643F766" w:rsidR="00F309E4" w:rsidRPr="00073574" w:rsidRDefault="2DD91032" w:rsidP="007C73BB">
            <w:pPr>
              <w:pStyle w:val="ListParagraph"/>
              <w:numPr>
                <w:ilvl w:val="0"/>
                <w:numId w:val="28"/>
              </w:numPr>
              <w:ind w:left="357" w:hanging="357"/>
              <w:contextualSpacing w:val="0"/>
              <w:rPr>
                <w:rFonts w:eastAsia="Times New Roman"/>
              </w:rPr>
            </w:pPr>
            <w:r w:rsidRPr="00073574">
              <w:t>Recommendation ITU-T L.1020 "Circular Economy: Guide for Operators and Suppliers on approaches to migrate towards circular ICT goods and networks"</w:t>
            </w:r>
            <w:r w:rsidR="3044D6EE" w:rsidRPr="00073574">
              <w:t>;</w:t>
            </w:r>
          </w:p>
          <w:p w14:paraId="2FD56FD5" w14:textId="51BE3C3A" w:rsidR="00F309E4" w:rsidRPr="00073574" w:rsidRDefault="59C378D3" w:rsidP="007C73BB">
            <w:pPr>
              <w:pStyle w:val="ListParagraph"/>
              <w:numPr>
                <w:ilvl w:val="0"/>
                <w:numId w:val="28"/>
              </w:numPr>
              <w:ind w:left="357" w:hanging="357"/>
              <w:contextualSpacing w:val="0"/>
            </w:pPr>
            <w:r w:rsidRPr="00073574">
              <w:t>Recommendation ITU-T L.1021 "Extended producer responsibility - Guidelines for sustainable e-waste management"</w:t>
            </w:r>
            <w:r w:rsidR="3044D6EE" w:rsidRPr="00073574">
              <w:t>;</w:t>
            </w:r>
          </w:p>
          <w:p w14:paraId="5F14B2F8" w14:textId="11512135" w:rsidR="00F309E4" w:rsidRPr="00073574" w:rsidRDefault="59C378D3" w:rsidP="007C73BB">
            <w:pPr>
              <w:pStyle w:val="ListParagraph"/>
              <w:numPr>
                <w:ilvl w:val="0"/>
                <w:numId w:val="28"/>
              </w:numPr>
              <w:ind w:left="357" w:hanging="357"/>
              <w:contextualSpacing w:val="0"/>
              <w:rPr>
                <w:rFonts w:eastAsia="Times New Roman"/>
              </w:rPr>
            </w:pPr>
            <w:r w:rsidRPr="00073574">
              <w:t>Recommendation ITU-T L.1022 “Circular economy: Definitions and concepts for material efficiency for information and communication technology</w:t>
            </w:r>
            <w:r w:rsidR="3044D6EE" w:rsidRPr="00073574">
              <w:t>;</w:t>
            </w:r>
          </w:p>
          <w:p w14:paraId="423253FB" w14:textId="0A1964B3" w:rsidR="00F309E4" w:rsidRPr="00073574" w:rsidRDefault="59C378D3" w:rsidP="007C73BB">
            <w:pPr>
              <w:pStyle w:val="ListParagraph"/>
              <w:numPr>
                <w:ilvl w:val="0"/>
                <w:numId w:val="28"/>
              </w:numPr>
              <w:contextualSpacing w:val="0"/>
              <w:rPr>
                <w:rFonts w:eastAsia="Times New Roman"/>
              </w:rPr>
            </w:pPr>
            <w:r w:rsidRPr="00073574">
              <w:t>Recommendation ITU-T L.1023 “Assessment method for circular scoring"</w:t>
            </w:r>
            <w:r w:rsidR="3044D6EE" w:rsidRPr="00073574">
              <w:t>;</w:t>
            </w:r>
          </w:p>
          <w:p w14:paraId="0F7F88BC" w14:textId="1A5F1BF2" w:rsidR="00493BD3" w:rsidRPr="00073574" w:rsidRDefault="00493BD3" w:rsidP="007C73BB">
            <w:pPr>
              <w:pStyle w:val="ListParagraph"/>
              <w:numPr>
                <w:ilvl w:val="0"/>
                <w:numId w:val="28"/>
              </w:numPr>
              <w:contextualSpacing w:val="0"/>
              <w:rPr>
                <w:rFonts w:eastAsia="Times New Roman"/>
              </w:rPr>
            </w:pPr>
            <w:r w:rsidRPr="00073574">
              <w:t>Recommendation ITU-T L.1024 “</w:t>
            </w:r>
            <w:r w:rsidRPr="00073574">
              <w:tab/>
              <w:t>Effect for global ICT of the potential of selling services instead of equipment on the waste creation and environmental impacts”;</w:t>
            </w:r>
          </w:p>
          <w:p w14:paraId="6E7C5D0C" w14:textId="1D69C79E" w:rsidR="00DA6A26" w:rsidRPr="00073574" w:rsidRDefault="11734C59" w:rsidP="007C73BB">
            <w:pPr>
              <w:pStyle w:val="ListParagraph"/>
              <w:numPr>
                <w:ilvl w:val="0"/>
                <w:numId w:val="28"/>
              </w:numPr>
              <w:ind w:left="357" w:hanging="357"/>
              <w:contextualSpacing w:val="0"/>
            </w:pPr>
            <w:r w:rsidRPr="00073574">
              <w:t>Recommendation ITU-T L.1030 “E-waste management framework for countries”</w:t>
            </w:r>
            <w:r w:rsidR="3044D6EE" w:rsidRPr="00073574">
              <w:t>;</w:t>
            </w:r>
          </w:p>
          <w:p w14:paraId="68024563" w14:textId="7B0A6568" w:rsidR="00DA6A26" w:rsidRPr="00073574" w:rsidRDefault="11734C59" w:rsidP="007C73BB">
            <w:pPr>
              <w:pStyle w:val="ListParagraph"/>
              <w:numPr>
                <w:ilvl w:val="0"/>
                <w:numId w:val="28"/>
              </w:numPr>
              <w:ind w:left="357" w:hanging="357"/>
              <w:contextualSpacing w:val="0"/>
            </w:pPr>
            <w:r w:rsidRPr="00073574">
              <w:t xml:space="preserve">Recommendation ITU-T L.1031 “Guideline </w:t>
            </w:r>
            <w:r w:rsidR="00493BD3" w:rsidRPr="00073574">
              <w:t xml:space="preserve">for achieving the e-waste targets of the </w:t>
            </w:r>
            <w:r w:rsidRPr="00073574">
              <w:t xml:space="preserve">Connect </w:t>
            </w:r>
            <w:r w:rsidR="00493BD3" w:rsidRPr="00073574">
              <w:t xml:space="preserve">2030 </w:t>
            </w:r>
            <w:r w:rsidRPr="00073574">
              <w:t>Agenda”</w:t>
            </w:r>
            <w:r w:rsidR="3B677929" w:rsidRPr="00073574">
              <w:t>;</w:t>
            </w:r>
          </w:p>
          <w:p w14:paraId="75E12D67" w14:textId="77777777" w:rsidR="00A240F4" w:rsidRPr="00073574" w:rsidRDefault="00A240F4" w:rsidP="00A240F4">
            <w:pPr>
              <w:pStyle w:val="ListParagraph"/>
              <w:numPr>
                <w:ilvl w:val="0"/>
                <w:numId w:val="28"/>
              </w:numPr>
              <w:ind w:left="357" w:hanging="357"/>
              <w:contextualSpacing w:val="0"/>
            </w:pPr>
            <w:r w:rsidRPr="00073574">
              <w:t>Recommendation ITU-T L.1032 “Guidelines and certification schemes for e-waste recyclers”</w:t>
            </w:r>
          </w:p>
          <w:p w14:paraId="5A97D0F0" w14:textId="77777777" w:rsidR="00A240F4" w:rsidRPr="00073574" w:rsidRDefault="00A240F4" w:rsidP="00A240F4">
            <w:pPr>
              <w:pStyle w:val="ListParagraph"/>
              <w:numPr>
                <w:ilvl w:val="0"/>
                <w:numId w:val="28"/>
              </w:numPr>
              <w:ind w:left="357" w:hanging="357"/>
              <w:contextualSpacing w:val="0"/>
            </w:pPr>
            <w:r w:rsidRPr="00073574">
              <w:t>Recommendation ITU-T L.1033 “Guidance for institutions of higher learning to contribute in the effective life cycle management of e-equipment and e-waste”</w:t>
            </w:r>
          </w:p>
          <w:p w14:paraId="547D95B8" w14:textId="2D5C7049" w:rsidR="00493BD3" w:rsidRPr="00073574" w:rsidRDefault="00493BD3" w:rsidP="007C73BB">
            <w:pPr>
              <w:pStyle w:val="ListParagraph"/>
              <w:numPr>
                <w:ilvl w:val="0"/>
                <w:numId w:val="28"/>
              </w:numPr>
              <w:ind w:left="357" w:hanging="357"/>
              <w:contextualSpacing w:val="0"/>
            </w:pPr>
            <w:r w:rsidRPr="00073574">
              <w:t>Recommendation ITU-T L.</w:t>
            </w:r>
            <w:r w:rsidR="009574E6" w:rsidRPr="00073574">
              <w:t>1060 “General principles for the green supply chain management of ICT manufacturing industry”</w:t>
            </w:r>
          </w:p>
          <w:p w14:paraId="4CDD59D9" w14:textId="58E13FA4" w:rsidR="00DA6A26" w:rsidRPr="00073574" w:rsidRDefault="11734C59" w:rsidP="007C73BB">
            <w:pPr>
              <w:pStyle w:val="ListParagraph"/>
              <w:numPr>
                <w:ilvl w:val="0"/>
                <w:numId w:val="28"/>
              </w:numPr>
              <w:ind w:left="357" w:hanging="357"/>
              <w:contextualSpacing w:val="0"/>
            </w:pPr>
            <w:r w:rsidRPr="00073574">
              <w:t>Recommendation ITU-T L.1205 "Interfacing of renewable energy or distributed power sources to up to 400 VDC power feeding systems"</w:t>
            </w:r>
            <w:r w:rsidR="3B677929" w:rsidRPr="00073574">
              <w:t>;</w:t>
            </w:r>
          </w:p>
          <w:p w14:paraId="521AC17E" w14:textId="17A6C674" w:rsidR="00F309E4" w:rsidRPr="00073574" w:rsidRDefault="2DD91032" w:rsidP="007C73BB">
            <w:pPr>
              <w:pStyle w:val="ListParagraph"/>
              <w:numPr>
                <w:ilvl w:val="0"/>
                <w:numId w:val="28"/>
              </w:numPr>
              <w:ind w:left="357" w:hanging="357"/>
              <w:contextualSpacing w:val="0"/>
            </w:pPr>
            <w:r w:rsidRPr="00073574">
              <w:t>Recommendation ITU-T L.1206 "Impact on ICT equipment architecture of multiple AC, -48VDC or up to 400 VDC power inputs";</w:t>
            </w:r>
          </w:p>
          <w:p w14:paraId="741807F6" w14:textId="0B1B4E52" w:rsidR="00151F6C" w:rsidRPr="00073574" w:rsidRDefault="65AD4F1E" w:rsidP="007C73BB">
            <w:pPr>
              <w:pStyle w:val="ListParagraph"/>
              <w:numPr>
                <w:ilvl w:val="0"/>
                <w:numId w:val="28"/>
              </w:numPr>
              <w:ind w:left="357" w:hanging="357"/>
              <w:contextualSpacing w:val="0"/>
            </w:pPr>
            <w:r w:rsidRPr="00073574">
              <w:t>Recommendation ITU-T L.1207 “Progressive migration of a telecommunication/information and communication technology site to 400 VDC sources and distribution”</w:t>
            </w:r>
            <w:r w:rsidR="3044D6EE" w:rsidRPr="00073574">
              <w:t>;</w:t>
            </w:r>
          </w:p>
          <w:p w14:paraId="7EBEF42B" w14:textId="655189D3" w:rsidR="00C06D9B" w:rsidRPr="00073574" w:rsidRDefault="665CDBD7" w:rsidP="007C73BB">
            <w:pPr>
              <w:pStyle w:val="ListParagraph"/>
              <w:numPr>
                <w:ilvl w:val="0"/>
                <w:numId w:val="28"/>
              </w:numPr>
              <w:ind w:left="357" w:hanging="357"/>
              <w:contextualSpacing w:val="0"/>
            </w:pPr>
            <w:r w:rsidRPr="00073574">
              <w:t>Recommendation ITU-T L.1210 “Sustainable power-feeding solutions for 5G networks”</w:t>
            </w:r>
            <w:r w:rsidR="34EBD971" w:rsidRPr="00073574">
              <w:t>;</w:t>
            </w:r>
          </w:p>
          <w:p w14:paraId="2F8BD374" w14:textId="527F752C" w:rsidR="00F309E4" w:rsidRPr="00073574" w:rsidRDefault="2DD91032" w:rsidP="007C73BB">
            <w:pPr>
              <w:pStyle w:val="ListParagraph"/>
              <w:numPr>
                <w:ilvl w:val="0"/>
                <w:numId w:val="28"/>
              </w:numPr>
              <w:ind w:left="357" w:hanging="357"/>
              <w:contextualSpacing w:val="0"/>
            </w:pPr>
            <w:r w:rsidRPr="00073574">
              <w:t>Recommendation ITU-T L.1220 "Innovative energy storage technology for stationary use - Part 1: Overview of energy storage";</w:t>
            </w:r>
          </w:p>
          <w:p w14:paraId="1F0922DF" w14:textId="33125FFE" w:rsidR="00151F6C" w:rsidRPr="00073574" w:rsidRDefault="65AD4F1E" w:rsidP="007C73BB">
            <w:pPr>
              <w:pStyle w:val="ListParagraph"/>
              <w:numPr>
                <w:ilvl w:val="0"/>
                <w:numId w:val="28"/>
              </w:numPr>
              <w:ind w:left="357" w:hanging="357"/>
              <w:contextualSpacing w:val="0"/>
            </w:pPr>
            <w:r w:rsidRPr="00073574">
              <w:t>Recommendation</w:t>
            </w:r>
            <w:r w:rsidR="11734C59" w:rsidRPr="00073574">
              <w:t xml:space="preserve"> ITU-T L.1221 “Innovative energy storage technology for stationary use - Part 2: Battery”;</w:t>
            </w:r>
          </w:p>
          <w:p w14:paraId="2C94E211" w14:textId="0643B0B8" w:rsidR="00DA6A26" w:rsidRPr="00073574" w:rsidRDefault="11734C59" w:rsidP="007C73BB">
            <w:pPr>
              <w:pStyle w:val="ListParagraph"/>
              <w:numPr>
                <w:ilvl w:val="0"/>
                <w:numId w:val="28"/>
              </w:numPr>
              <w:ind w:left="357" w:hanging="357"/>
              <w:contextualSpacing w:val="0"/>
            </w:pPr>
            <w:r w:rsidRPr="00073574">
              <w:t>Recommendation ITU-T L.1222 “Innovative energy storage technology for stationary use - Part 3: Supercapacitor technology”;</w:t>
            </w:r>
          </w:p>
          <w:p w14:paraId="6DDF2E99" w14:textId="1812F1BA" w:rsidR="005F35BA" w:rsidRPr="00073574" w:rsidRDefault="381C8E96" w:rsidP="007C73BB">
            <w:pPr>
              <w:pStyle w:val="ListParagraph"/>
              <w:numPr>
                <w:ilvl w:val="0"/>
                <w:numId w:val="28"/>
              </w:numPr>
              <w:ind w:left="357" w:hanging="357"/>
              <w:contextualSpacing w:val="0"/>
            </w:pPr>
            <w:r w:rsidRPr="00073574">
              <w:t>Recommendation ITU-T L.1303 “Functional requirements and framework of green data centre energy-saving management system”</w:t>
            </w:r>
            <w:r w:rsidR="3044D6EE" w:rsidRPr="00073574">
              <w:t>;</w:t>
            </w:r>
          </w:p>
          <w:p w14:paraId="2423AE17" w14:textId="2366AE3A" w:rsidR="00493BD3" w:rsidRPr="00073574" w:rsidRDefault="00493BD3" w:rsidP="007C73BB">
            <w:pPr>
              <w:pStyle w:val="ListParagraph"/>
              <w:numPr>
                <w:ilvl w:val="0"/>
                <w:numId w:val="28"/>
              </w:numPr>
              <w:ind w:left="357" w:hanging="357"/>
              <w:contextualSpacing w:val="0"/>
            </w:pPr>
            <w:r w:rsidRPr="00073574">
              <w:lastRenderedPageBreak/>
              <w:t>Recommendation ITU-T L.1304 “Procurement Criteria for Sustainable Data Centres”;</w:t>
            </w:r>
          </w:p>
          <w:p w14:paraId="1BDD7E98" w14:textId="092D86B4" w:rsidR="78772737" w:rsidRPr="00073574" w:rsidRDefault="5E9EC111" w:rsidP="007C73BB">
            <w:pPr>
              <w:pStyle w:val="ListParagraph"/>
              <w:numPr>
                <w:ilvl w:val="0"/>
                <w:numId w:val="28"/>
              </w:numPr>
              <w:ind w:left="357" w:hanging="357"/>
              <w:contextualSpacing w:val="0"/>
              <w:rPr>
                <w:rFonts w:eastAsia="Times New Roman"/>
              </w:rPr>
            </w:pPr>
            <w:r w:rsidRPr="00073574">
              <w:t>Recommendation ITU-T L.1305 “Data centre infrastructure management system based on big data and artificial intelligence technology"</w:t>
            </w:r>
            <w:r w:rsidR="3044D6EE" w:rsidRPr="00073574">
              <w:t>;</w:t>
            </w:r>
          </w:p>
          <w:p w14:paraId="22EF8558" w14:textId="77777777" w:rsidR="00F309E4" w:rsidRPr="00073574" w:rsidRDefault="2DD91032" w:rsidP="007C73BB">
            <w:pPr>
              <w:pStyle w:val="ListParagraph"/>
              <w:numPr>
                <w:ilvl w:val="0"/>
                <w:numId w:val="28"/>
              </w:numPr>
              <w:ind w:left="357" w:hanging="357"/>
              <w:contextualSpacing w:val="0"/>
            </w:pPr>
            <w:r w:rsidRPr="00073574">
              <w:t>Recommendation ITU-T L.1315 "Standardization terms and trends in energy efficiency";</w:t>
            </w:r>
          </w:p>
          <w:p w14:paraId="042C2583" w14:textId="78500743" w:rsidR="00A240F4" w:rsidRPr="00073574" w:rsidRDefault="00A240F4" w:rsidP="00A240F4">
            <w:pPr>
              <w:pStyle w:val="ListParagraph"/>
              <w:numPr>
                <w:ilvl w:val="0"/>
                <w:numId w:val="28"/>
              </w:numPr>
              <w:ind w:left="357" w:hanging="357"/>
              <w:contextualSpacing w:val="0"/>
            </w:pPr>
            <w:r w:rsidRPr="00073574">
              <w:t>Recommendation ITU-T L.1317 “Guidelines on energy efficient blockchain systems”</w:t>
            </w:r>
            <w:r w:rsidR="002001B6" w:rsidRPr="00073574">
              <w:t>;</w:t>
            </w:r>
          </w:p>
          <w:p w14:paraId="59DB50FE" w14:textId="2FDEB7AF" w:rsidR="00F309E4" w:rsidRPr="00073574" w:rsidRDefault="2DD91032" w:rsidP="007C73BB">
            <w:pPr>
              <w:pStyle w:val="ListParagraph"/>
              <w:numPr>
                <w:ilvl w:val="0"/>
                <w:numId w:val="28"/>
              </w:numPr>
              <w:ind w:left="357" w:hanging="357"/>
              <w:contextualSpacing w:val="0"/>
            </w:pPr>
            <w:r w:rsidRPr="00073574">
              <w:t>Recommendation ITU-T L.1310 "Energy efficiency metrics and measurement methods for telecommunication equipment";</w:t>
            </w:r>
          </w:p>
          <w:p w14:paraId="7921C324" w14:textId="48FB0B6D" w:rsidR="002A6A90" w:rsidRPr="00073574" w:rsidRDefault="34EBD971" w:rsidP="007C73BB">
            <w:pPr>
              <w:pStyle w:val="ListParagraph"/>
              <w:numPr>
                <w:ilvl w:val="0"/>
                <w:numId w:val="28"/>
              </w:numPr>
              <w:ind w:left="357" w:hanging="357"/>
              <w:contextualSpacing w:val="0"/>
            </w:pPr>
            <w:r w:rsidRPr="00073574">
              <w:t>Recommendation ITU-T L.1305 "Data centre infrastructure management system based on big data and artificial intelligence technology";</w:t>
            </w:r>
          </w:p>
          <w:p w14:paraId="61F23F85" w14:textId="4D4149E8" w:rsidR="002A6A90" w:rsidRPr="00073574" w:rsidRDefault="34EBD971" w:rsidP="007C73BB">
            <w:pPr>
              <w:pStyle w:val="ListParagraph"/>
              <w:numPr>
                <w:ilvl w:val="0"/>
                <w:numId w:val="28"/>
              </w:numPr>
              <w:ind w:left="357" w:hanging="357"/>
              <w:contextualSpacing w:val="0"/>
            </w:pPr>
            <w:r w:rsidRPr="00073574">
              <w:t>Recommendation ITU-T L.1316 “Energy efficiency framework”;</w:t>
            </w:r>
          </w:p>
          <w:p w14:paraId="06493314" w14:textId="229CF95B" w:rsidR="00DA6A26" w:rsidRPr="00073574" w:rsidRDefault="11734C59" w:rsidP="007C73BB">
            <w:pPr>
              <w:pStyle w:val="ListParagraph"/>
              <w:numPr>
                <w:ilvl w:val="0"/>
                <w:numId w:val="28"/>
              </w:numPr>
              <w:ind w:left="357" w:hanging="357"/>
              <w:contextualSpacing w:val="0"/>
            </w:pPr>
            <w:r w:rsidRPr="00073574">
              <w:t>Recommendation ITU-T L.1325 "Green ICT solutions for telecom network facilities"</w:t>
            </w:r>
            <w:r w:rsidR="3B677929" w:rsidRPr="00073574">
              <w:t>;</w:t>
            </w:r>
          </w:p>
          <w:p w14:paraId="2DB34571" w14:textId="3F33C3A9" w:rsidR="00F309E4" w:rsidRPr="00073574" w:rsidRDefault="2DD91032" w:rsidP="007C73BB">
            <w:pPr>
              <w:pStyle w:val="ListParagraph"/>
              <w:numPr>
                <w:ilvl w:val="0"/>
                <w:numId w:val="28"/>
              </w:numPr>
              <w:ind w:left="357" w:hanging="357"/>
              <w:contextualSpacing w:val="0"/>
            </w:pPr>
            <w:r w:rsidRPr="00073574">
              <w:t>Recommendation ITU-T L.1332 "Total network infrastructure Energy efficiency metrics";</w:t>
            </w:r>
          </w:p>
          <w:p w14:paraId="7725D316" w14:textId="4B1D7B78" w:rsidR="00DA6A26" w:rsidRPr="00073574" w:rsidRDefault="11734C59" w:rsidP="007C73BB">
            <w:pPr>
              <w:pStyle w:val="ListParagraph"/>
              <w:numPr>
                <w:ilvl w:val="0"/>
                <w:numId w:val="28"/>
              </w:numPr>
              <w:ind w:left="357" w:hanging="357"/>
              <w:contextualSpacing w:val="0"/>
            </w:pPr>
            <w:r w:rsidRPr="00073574">
              <w:t>Recommendation ITU-T L.1351 “Base station site energy parameter measurement methodology”;</w:t>
            </w:r>
          </w:p>
          <w:p w14:paraId="45167AFE" w14:textId="48AF5E88" w:rsidR="00DA6A26" w:rsidRPr="00073574" w:rsidRDefault="11734C59" w:rsidP="007C73BB">
            <w:pPr>
              <w:pStyle w:val="ListParagraph"/>
              <w:numPr>
                <w:ilvl w:val="0"/>
                <w:numId w:val="28"/>
              </w:numPr>
              <w:ind w:left="357" w:hanging="357"/>
              <w:contextualSpacing w:val="0"/>
            </w:pPr>
            <w:r w:rsidRPr="00073574">
              <w:t>Recommendation ITU-T L.1360 "Energy control of SDN architecture"</w:t>
            </w:r>
            <w:r w:rsidR="3B677929" w:rsidRPr="00073574">
              <w:t>;</w:t>
            </w:r>
          </w:p>
          <w:p w14:paraId="4A785C98" w14:textId="3DBD4B19" w:rsidR="00DA6A26" w:rsidRPr="00073574" w:rsidRDefault="11734C59" w:rsidP="007C73BB">
            <w:pPr>
              <w:pStyle w:val="ListParagraph"/>
              <w:numPr>
                <w:ilvl w:val="0"/>
                <w:numId w:val="28"/>
              </w:numPr>
              <w:ind w:left="357" w:hanging="357"/>
              <w:contextualSpacing w:val="0"/>
            </w:pPr>
            <w:r w:rsidRPr="00073574">
              <w:t>Recommendation ITU-T L.1361 “Measurement method for energy efficiency on Network Function Virtualization”;</w:t>
            </w:r>
          </w:p>
          <w:p w14:paraId="0D355526" w14:textId="747DF4EC" w:rsidR="33F7E108" w:rsidRPr="00073574" w:rsidRDefault="02E738EB" w:rsidP="007C73BB">
            <w:pPr>
              <w:pStyle w:val="ListParagraph"/>
              <w:numPr>
                <w:ilvl w:val="0"/>
                <w:numId w:val="28"/>
              </w:numPr>
              <w:ind w:left="357" w:hanging="357"/>
              <w:contextualSpacing w:val="0"/>
              <w:rPr>
                <w:rFonts w:eastAsia="Times New Roman"/>
              </w:rPr>
            </w:pPr>
            <w:r w:rsidRPr="00073574">
              <w:t>Recommendation ITU-T L.1362 “Interface for power management in network function virtualization environments – Green abstraction Layer version 2"</w:t>
            </w:r>
            <w:r w:rsidR="3044D6EE" w:rsidRPr="00073574">
              <w:t>;</w:t>
            </w:r>
          </w:p>
          <w:p w14:paraId="2AFE9B19" w14:textId="0F716C7F" w:rsidR="00DA6A26" w:rsidRPr="00073574" w:rsidRDefault="11734C59" w:rsidP="007C73BB">
            <w:pPr>
              <w:pStyle w:val="ListParagraph"/>
              <w:numPr>
                <w:ilvl w:val="0"/>
                <w:numId w:val="28"/>
              </w:numPr>
              <w:ind w:left="357" w:hanging="357"/>
              <w:contextualSpacing w:val="0"/>
            </w:pPr>
            <w:r w:rsidRPr="00073574">
              <w:t>Recommendation ITU-T L.1370 “Sustainable and intelligent building services”</w:t>
            </w:r>
            <w:r w:rsidR="3B677929" w:rsidRPr="00073574">
              <w:t>;</w:t>
            </w:r>
          </w:p>
          <w:p w14:paraId="4D5EDFEF" w14:textId="1F2A0AA1" w:rsidR="56189E4D" w:rsidRPr="00073574" w:rsidRDefault="2993B40C" w:rsidP="007C73BB">
            <w:pPr>
              <w:pStyle w:val="ListParagraph"/>
              <w:numPr>
                <w:ilvl w:val="0"/>
                <w:numId w:val="28"/>
              </w:numPr>
              <w:ind w:left="357" w:hanging="357"/>
              <w:contextualSpacing w:val="0"/>
              <w:rPr>
                <w:rFonts w:eastAsia="Times New Roman"/>
              </w:rPr>
            </w:pPr>
            <w:r w:rsidRPr="00073574">
              <w:t>Recommendation ITU-T L.1371 “A methodology for assessing and scoring the sustainability performance of office buildings"</w:t>
            </w:r>
            <w:r w:rsidR="3044D6EE" w:rsidRPr="00073574">
              <w:t>;</w:t>
            </w:r>
          </w:p>
          <w:p w14:paraId="1CAD5EA4" w14:textId="54534FF7" w:rsidR="002A6A90" w:rsidRPr="00073574" w:rsidRDefault="34EBD971" w:rsidP="007C73BB">
            <w:pPr>
              <w:pStyle w:val="ListParagraph"/>
              <w:numPr>
                <w:ilvl w:val="0"/>
                <w:numId w:val="28"/>
              </w:numPr>
              <w:ind w:left="357" w:hanging="357"/>
              <w:contextualSpacing w:val="0"/>
            </w:pPr>
            <w:r w:rsidRPr="00073574">
              <w:t>Recommendat</w:t>
            </w:r>
            <w:r w:rsidR="002001B6" w:rsidRPr="00073574">
              <w:t>i</w:t>
            </w:r>
            <w:r w:rsidRPr="00073574">
              <w:t>on ITU-T L.1380 "Smart energy solution for telecom sites";</w:t>
            </w:r>
          </w:p>
          <w:p w14:paraId="290E527B" w14:textId="2AE696EF" w:rsidR="72586AF2" w:rsidRPr="00073574" w:rsidRDefault="0FE2E9FE" w:rsidP="007C73BB">
            <w:pPr>
              <w:pStyle w:val="ListParagraph"/>
              <w:numPr>
                <w:ilvl w:val="0"/>
                <w:numId w:val="28"/>
              </w:numPr>
              <w:ind w:left="357" w:hanging="357"/>
              <w:contextualSpacing w:val="0"/>
            </w:pPr>
            <w:r w:rsidRPr="00073574">
              <w:t>Recommendation ITU-T L.1381 “</w:t>
            </w:r>
            <w:r w:rsidR="20A58867" w:rsidRPr="00073574">
              <w:t>Smart energy solution for data centre</w:t>
            </w:r>
            <w:r w:rsidRPr="00073574">
              <w:t>"</w:t>
            </w:r>
            <w:r w:rsidR="3044D6EE" w:rsidRPr="00073574">
              <w:t>;</w:t>
            </w:r>
          </w:p>
          <w:p w14:paraId="7BC7A5AD" w14:textId="3656BE85" w:rsidR="7877EDB6" w:rsidRPr="00073574" w:rsidRDefault="56DD2E4D" w:rsidP="007C73BB">
            <w:pPr>
              <w:pStyle w:val="ListParagraph"/>
              <w:numPr>
                <w:ilvl w:val="0"/>
                <w:numId w:val="28"/>
              </w:numPr>
              <w:ind w:left="357" w:hanging="357"/>
              <w:contextualSpacing w:val="0"/>
            </w:pPr>
            <w:r w:rsidRPr="00073574">
              <w:t>Recommendation ITU-T L.1382 “Smart energy solution for telecommunication rooms"</w:t>
            </w:r>
            <w:r w:rsidR="3044D6EE" w:rsidRPr="00073574">
              <w:t>;</w:t>
            </w:r>
          </w:p>
          <w:p w14:paraId="38D7BAC0" w14:textId="66FDBD3E" w:rsidR="009574E6" w:rsidRPr="00073574" w:rsidRDefault="009574E6" w:rsidP="007C73BB">
            <w:pPr>
              <w:pStyle w:val="ListParagraph"/>
              <w:numPr>
                <w:ilvl w:val="0"/>
                <w:numId w:val="28"/>
              </w:numPr>
              <w:ind w:left="357" w:hanging="357"/>
              <w:contextualSpacing w:val="0"/>
            </w:pPr>
            <w:r w:rsidRPr="00073574">
              <w:t>Recommendation ITU-T L.1383 “Smart energy solutions for cities and home applications”</w:t>
            </w:r>
          </w:p>
          <w:p w14:paraId="3831D9D7" w14:textId="51CCE37A" w:rsidR="00DA6A26" w:rsidRPr="00073574" w:rsidRDefault="11734C59" w:rsidP="007C73BB">
            <w:pPr>
              <w:pStyle w:val="ListParagraph"/>
              <w:numPr>
                <w:ilvl w:val="0"/>
                <w:numId w:val="28"/>
              </w:numPr>
              <w:ind w:left="357" w:hanging="357"/>
              <w:contextualSpacing w:val="0"/>
            </w:pPr>
            <w:r w:rsidRPr="00073574">
              <w:t>Recommendation ITU-T L.1440 "Methodology for environmental impact assessment of information and communication technologies at city level"</w:t>
            </w:r>
            <w:r w:rsidR="3B677929" w:rsidRPr="00073574">
              <w:t>;</w:t>
            </w:r>
          </w:p>
          <w:p w14:paraId="66BDF4A1" w14:textId="6C3FD3E0" w:rsidR="001756CC" w:rsidRPr="00073574" w:rsidRDefault="3B677929" w:rsidP="007C73BB">
            <w:pPr>
              <w:pStyle w:val="ListParagraph"/>
              <w:numPr>
                <w:ilvl w:val="0"/>
                <w:numId w:val="28"/>
              </w:numPr>
              <w:ind w:left="357" w:hanging="357"/>
              <w:contextualSpacing w:val="0"/>
            </w:pPr>
            <w:r w:rsidRPr="00073574">
              <w:t>Recommendation ITU-T L.1450 “Methodologies for the assessment of the environmental impact of the information and communication technology sector”;</w:t>
            </w:r>
          </w:p>
          <w:p w14:paraId="7FB50680" w14:textId="77777777" w:rsidR="002A6A90" w:rsidRPr="00073574" w:rsidRDefault="34EBD971" w:rsidP="007C73BB">
            <w:pPr>
              <w:pStyle w:val="ListParagraph"/>
              <w:numPr>
                <w:ilvl w:val="0"/>
                <w:numId w:val="28"/>
              </w:numPr>
              <w:ind w:left="357" w:hanging="357"/>
              <w:contextualSpacing w:val="0"/>
            </w:pPr>
            <w:r w:rsidRPr="00073574">
              <w:t>Recommendation ITU-T L.1451 "Methodology for assessing the aggregated positive sector-level impacts of ICT in other sectors";</w:t>
            </w:r>
          </w:p>
          <w:p w14:paraId="67B035CE" w14:textId="58B41C47" w:rsidR="001756CC" w:rsidRPr="00073574" w:rsidRDefault="3B677929" w:rsidP="007C73BB">
            <w:pPr>
              <w:pStyle w:val="ListParagraph"/>
              <w:numPr>
                <w:ilvl w:val="0"/>
                <w:numId w:val="28"/>
              </w:numPr>
              <w:ind w:left="357" w:hanging="357"/>
              <w:contextualSpacing w:val="0"/>
            </w:pPr>
            <w:r w:rsidRPr="00073574">
              <w:t>Recommendation ITU-T L.1460 “Connect 2020 greenhouse gases emissions - Guidelines”;</w:t>
            </w:r>
          </w:p>
          <w:p w14:paraId="6072E58D" w14:textId="5FE35392" w:rsidR="002A6A90" w:rsidRPr="00073574" w:rsidRDefault="34EBD971" w:rsidP="007C73BB">
            <w:pPr>
              <w:pStyle w:val="ListParagraph"/>
              <w:numPr>
                <w:ilvl w:val="0"/>
                <w:numId w:val="28"/>
              </w:numPr>
              <w:ind w:left="357" w:hanging="357"/>
              <w:contextualSpacing w:val="0"/>
            </w:pPr>
            <w:r w:rsidRPr="00073574">
              <w:t>Recommendation ITU-T L.1470 "GHG emissions trajectories for the ICT sector compatible with the UNFCCC Paris Agreement";</w:t>
            </w:r>
          </w:p>
          <w:p w14:paraId="2F09FBCE" w14:textId="347CE47F" w:rsidR="009574E6" w:rsidRPr="00073574" w:rsidRDefault="009574E6" w:rsidP="007C73BB">
            <w:pPr>
              <w:pStyle w:val="ListParagraph"/>
              <w:numPr>
                <w:ilvl w:val="0"/>
                <w:numId w:val="28"/>
              </w:numPr>
              <w:ind w:left="357" w:hanging="357"/>
              <w:contextualSpacing w:val="0"/>
            </w:pPr>
            <w:r w:rsidRPr="00073574">
              <w:t>Recommendation ITU-T L.1471 “Guidance and criteria for ICT organisations on setting Net Zero targets and strategies”;</w:t>
            </w:r>
          </w:p>
          <w:p w14:paraId="0BA29359" w14:textId="18967E2B" w:rsidR="00F0236A" w:rsidRPr="00073574" w:rsidRDefault="00F0236A" w:rsidP="007C73BB">
            <w:pPr>
              <w:pStyle w:val="ListParagraph"/>
              <w:numPr>
                <w:ilvl w:val="0"/>
                <w:numId w:val="28"/>
              </w:numPr>
              <w:ind w:left="357" w:hanging="357"/>
              <w:contextualSpacing w:val="0"/>
            </w:pPr>
            <w:r w:rsidRPr="00073574">
              <w:lastRenderedPageBreak/>
              <w:t xml:space="preserve">Recommendation ITU-T L.1504 </w:t>
            </w:r>
            <w:r w:rsidR="003C7E25" w:rsidRPr="00073574">
              <w:t>"</w:t>
            </w:r>
            <w:r w:rsidRPr="00073574">
              <w:t>ICT and adaptation of agriculture to the effects of climate change</w:t>
            </w:r>
            <w:r w:rsidR="003C7E25" w:rsidRPr="00073574">
              <w:t>"</w:t>
            </w:r>
            <w:r w:rsidR="3B677929" w:rsidRPr="00073574">
              <w:t>;</w:t>
            </w:r>
          </w:p>
          <w:p w14:paraId="7D285BF2" w14:textId="658A1DD5" w:rsidR="00F309E4" w:rsidRPr="00073574" w:rsidRDefault="2DD91032" w:rsidP="007C73BB">
            <w:pPr>
              <w:pStyle w:val="ListParagraph"/>
              <w:numPr>
                <w:ilvl w:val="0"/>
                <w:numId w:val="28"/>
              </w:numPr>
              <w:ind w:left="357" w:hanging="357"/>
              <w:contextualSpacing w:val="0"/>
            </w:pPr>
            <w:r w:rsidRPr="00073574">
              <w:t>Recommendation ITU-T L.1505 "Use of ICT in the adaptation of the Fisheries Sector to the Effects of Climate Change"</w:t>
            </w:r>
            <w:r w:rsidR="23D5E9EA" w:rsidRPr="00073574">
              <w:t>;</w:t>
            </w:r>
          </w:p>
          <w:p w14:paraId="54968607" w14:textId="7EA76BBC" w:rsidR="00F309E4" w:rsidRPr="00073574" w:rsidRDefault="2DD91032" w:rsidP="007C73BB">
            <w:pPr>
              <w:pStyle w:val="ListParagraph"/>
              <w:numPr>
                <w:ilvl w:val="0"/>
                <w:numId w:val="28"/>
              </w:numPr>
              <w:ind w:left="357" w:hanging="357"/>
              <w:contextualSpacing w:val="0"/>
            </w:pPr>
            <w:r w:rsidRPr="00073574">
              <w:t>Recommendation ITU-T L.1506 "Framework of climate change risk assessment for telecommunication and electrical facilities"</w:t>
            </w:r>
            <w:r w:rsidR="23D5E9EA" w:rsidRPr="00073574">
              <w:t>;</w:t>
            </w:r>
          </w:p>
          <w:p w14:paraId="2F0D0288" w14:textId="77DD190F" w:rsidR="005F35BA" w:rsidRPr="00073574" w:rsidRDefault="381C8E96" w:rsidP="007C73BB">
            <w:pPr>
              <w:pStyle w:val="ListParagraph"/>
              <w:numPr>
                <w:ilvl w:val="0"/>
                <w:numId w:val="28"/>
              </w:numPr>
              <w:ind w:left="357" w:hanging="357"/>
              <w:contextualSpacing w:val="0"/>
            </w:pPr>
            <w:r w:rsidRPr="00073574">
              <w:t>Recommendation ITU-T L.1507 “Use of ICT sites to support environmental sensing”</w:t>
            </w:r>
            <w:r w:rsidR="23D5E9EA" w:rsidRPr="00073574">
              <w:t>.</w:t>
            </w:r>
          </w:p>
          <w:p w14:paraId="13F5BCD2" w14:textId="09C855E7" w:rsidR="00F0236A" w:rsidRPr="00073574" w:rsidRDefault="00F0236A">
            <w:pPr>
              <w:pStyle w:val="Tabletext"/>
              <w:spacing w:before="120"/>
              <w:rPr>
                <w:szCs w:val="22"/>
              </w:rPr>
            </w:pPr>
            <w:r w:rsidRPr="00073574">
              <w:rPr>
                <w:szCs w:val="22"/>
              </w:rPr>
              <w:t>SG5 is working on Setting Environmental Requirements for 5G and is developing a series of technical reports</w:t>
            </w:r>
            <w:r w:rsidR="0069289A" w:rsidRPr="00073574">
              <w:rPr>
                <w:szCs w:val="22"/>
              </w:rPr>
              <w:t xml:space="preserve">, supplements, </w:t>
            </w:r>
            <w:r w:rsidRPr="00073574">
              <w:rPr>
                <w:szCs w:val="22"/>
              </w:rPr>
              <w:t>and international standards that will study environmental aspects of 5G such as: electromagnetic compatibility (EMC); electromagnetic fields (EMF); energy feeding and efficiency; and resistibility. SG5 is currently working on:</w:t>
            </w:r>
          </w:p>
          <w:p w14:paraId="4FC3C3DF" w14:textId="781747C3" w:rsidR="00E424AC" w:rsidRPr="00073574" w:rsidRDefault="1C87F4DE" w:rsidP="007C73BB">
            <w:pPr>
              <w:pStyle w:val="ListParagraph"/>
              <w:numPr>
                <w:ilvl w:val="0"/>
                <w:numId w:val="28"/>
              </w:numPr>
              <w:ind w:left="357" w:hanging="357"/>
              <w:contextualSpacing w:val="0"/>
              <w:rPr>
                <w:rFonts w:eastAsia="Times New Roman"/>
              </w:rPr>
            </w:pPr>
            <w:r w:rsidRPr="00073574">
              <w:t>K.5G-lightning - Practical guide for lightning protection, earthing and bonding, and safety consideration of 5G radio base station</w:t>
            </w:r>
            <w:r w:rsidR="23D5E9EA" w:rsidRPr="00073574">
              <w:t>;</w:t>
            </w:r>
          </w:p>
          <w:p w14:paraId="075F88BB" w14:textId="6C891970" w:rsidR="001756CC" w:rsidRPr="00073574" w:rsidRDefault="3B677929" w:rsidP="007C73BB">
            <w:pPr>
              <w:pStyle w:val="ListParagraph"/>
              <w:numPr>
                <w:ilvl w:val="0"/>
                <w:numId w:val="28"/>
              </w:numPr>
              <w:ind w:left="357" w:hanging="357"/>
              <w:contextualSpacing w:val="0"/>
            </w:pPr>
            <w:r w:rsidRPr="00073574">
              <w:t>L.ENV-KPI-5G-ARCH – Environmental KPIs/metrics for 5G architectures</w:t>
            </w:r>
            <w:r w:rsidR="036D8D6E" w:rsidRPr="00073574">
              <w:t>.</w:t>
            </w:r>
          </w:p>
          <w:p w14:paraId="62A1CCCE" w14:textId="652E1C42" w:rsidR="00423AAB" w:rsidRPr="00073574" w:rsidRDefault="00423AAB" w:rsidP="007C73BB">
            <w:pPr>
              <w:pStyle w:val="ListParagraph"/>
              <w:numPr>
                <w:ilvl w:val="0"/>
                <w:numId w:val="28"/>
              </w:numPr>
              <w:ind w:left="357" w:hanging="357"/>
              <w:contextualSpacing w:val="0"/>
            </w:pPr>
            <w:r w:rsidRPr="00073574">
              <w:t xml:space="preserve">L.1331 - Assessment of mobile network energy efficiency. The revised version will include aspects of 5G. </w:t>
            </w:r>
          </w:p>
          <w:p w14:paraId="34FEED6A" w14:textId="3DF06F29" w:rsidR="00423AAB" w:rsidRPr="00073574" w:rsidRDefault="00423AAB" w:rsidP="007C73BB">
            <w:pPr>
              <w:pStyle w:val="ListParagraph"/>
              <w:numPr>
                <w:ilvl w:val="0"/>
                <w:numId w:val="28"/>
              </w:numPr>
              <w:ind w:left="357" w:hanging="357"/>
              <w:contextualSpacing w:val="0"/>
            </w:pPr>
            <w:r w:rsidRPr="00073574">
              <w:t>L.BBU - Requirements and use cases of liquid cooling solutions and high energy efficiency solutions for 5G BBU in C-RAN mode</w:t>
            </w:r>
          </w:p>
          <w:p w14:paraId="4469CFB0" w14:textId="6FAD4C96" w:rsidR="00F0236A" w:rsidRPr="00073574" w:rsidRDefault="00F0236A">
            <w:pPr>
              <w:pStyle w:val="NormalWeb"/>
              <w:spacing w:before="120" w:after="0"/>
              <w:rPr>
                <w:rFonts w:asciiTheme="majorBidi" w:hAnsiTheme="majorBidi" w:cstheme="majorBidi"/>
                <w:sz w:val="22"/>
                <w:szCs w:val="22"/>
                <w:lang w:val="en-GB"/>
              </w:rPr>
            </w:pPr>
            <w:r w:rsidRPr="00073574">
              <w:rPr>
                <w:rFonts w:asciiTheme="majorBidi" w:hAnsiTheme="majorBidi" w:cstheme="majorBidi"/>
                <w:sz w:val="22"/>
                <w:szCs w:val="22"/>
                <w:lang w:val="en-GB"/>
              </w:rPr>
              <w:t>These four dimensions of 5G environmental sustainability will remain the focus of ITU-T Study Group 5</w:t>
            </w:r>
            <w:r w:rsidR="003C7E25" w:rsidRPr="00073574">
              <w:rPr>
                <w:rFonts w:asciiTheme="majorBidi" w:hAnsiTheme="majorBidi" w:cstheme="majorBidi"/>
                <w:sz w:val="22"/>
                <w:szCs w:val="22"/>
                <w:lang w:val="en-GB"/>
              </w:rPr>
              <w:t>'</w:t>
            </w:r>
            <w:r w:rsidRPr="00073574">
              <w:rPr>
                <w:rFonts w:asciiTheme="majorBidi" w:hAnsiTheme="majorBidi" w:cstheme="majorBidi"/>
                <w:sz w:val="22"/>
                <w:szCs w:val="22"/>
                <w:lang w:val="en-GB"/>
              </w:rPr>
              <w:t xml:space="preserve">s new standardization project on </w:t>
            </w:r>
            <w:r w:rsidR="003C7E25" w:rsidRPr="00073574">
              <w:rPr>
                <w:rFonts w:asciiTheme="majorBidi" w:hAnsiTheme="majorBidi" w:cstheme="majorBidi"/>
                <w:sz w:val="22"/>
                <w:szCs w:val="22"/>
                <w:lang w:val="en-GB"/>
              </w:rPr>
              <w:t>'</w:t>
            </w:r>
            <w:r w:rsidRPr="00073574">
              <w:rPr>
                <w:rFonts w:asciiTheme="majorBidi" w:hAnsiTheme="majorBidi" w:cstheme="majorBidi"/>
                <w:sz w:val="22"/>
                <w:szCs w:val="22"/>
                <w:lang w:val="en-GB"/>
              </w:rPr>
              <w:t>5G environmental requirements</w:t>
            </w:r>
            <w:r w:rsidR="003C7E25" w:rsidRPr="00073574">
              <w:rPr>
                <w:rFonts w:asciiTheme="majorBidi" w:hAnsiTheme="majorBidi" w:cstheme="majorBidi"/>
                <w:sz w:val="22"/>
                <w:szCs w:val="22"/>
                <w:lang w:val="en-GB"/>
              </w:rPr>
              <w:t>'</w:t>
            </w:r>
            <w:r w:rsidRPr="00073574">
              <w:rPr>
                <w:rFonts w:asciiTheme="majorBidi" w:hAnsiTheme="majorBidi" w:cstheme="majorBidi"/>
                <w:sz w:val="22"/>
                <w:szCs w:val="22"/>
                <w:lang w:val="en-GB"/>
              </w:rPr>
              <w:t xml:space="preserve"> </w:t>
            </w:r>
            <w:r w:rsidR="0069289A" w:rsidRPr="00073574">
              <w:rPr>
                <w:rFonts w:asciiTheme="majorBidi" w:hAnsiTheme="majorBidi" w:cstheme="majorBidi"/>
                <w:sz w:val="22"/>
                <w:szCs w:val="22"/>
                <w:lang w:val="en-GB"/>
              </w:rPr>
              <w:t>for the Study Period 2017- 2020</w:t>
            </w:r>
            <w:r w:rsidR="00364439" w:rsidRPr="00073574">
              <w:rPr>
                <w:rFonts w:asciiTheme="majorBidi" w:hAnsiTheme="majorBidi" w:cstheme="majorBidi"/>
                <w:sz w:val="22"/>
                <w:szCs w:val="22"/>
                <w:lang w:val="en-GB"/>
              </w:rPr>
              <w:t>.</w:t>
            </w:r>
          </w:p>
          <w:p w14:paraId="08CA615B" w14:textId="3B509F03" w:rsidR="00423AAB" w:rsidRPr="00073574" w:rsidRDefault="002A6A90" w:rsidP="1EE68BAF">
            <w:pPr>
              <w:pStyle w:val="NormalWeb"/>
              <w:spacing w:before="120" w:after="0"/>
              <w:rPr>
                <w:sz w:val="22"/>
                <w:szCs w:val="22"/>
                <w:lang w:val="en-GB"/>
              </w:rPr>
            </w:pPr>
            <w:r w:rsidRPr="00073574">
              <w:rPr>
                <w:rFonts w:asciiTheme="majorBidi" w:hAnsiTheme="majorBidi" w:cstheme="majorBidi"/>
                <w:sz w:val="22"/>
                <w:szCs w:val="22"/>
                <w:lang w:val="en-GB"/>
              </w:rPr>
              <w:t xml:space="preserve">ITU-T SG5 within Q9/5 “Climate change and assessment of information and communication technology (ICT) in the framework of the Sustainable Development Goals (SDGs)” developed </w:t>
            </w:r>
            <w:r w:rsidRPr="00073574">
              <w:rPr>
                <w:rFonts w:asciiTheme="majorBidi" w:hAnsiTheme="majorBidi" w:cstheme="majorBidi"/>
                <w:sz w:val="22"/>
                <w:szCs w:val="22"/>
                <w:bdr w:val="none" w:sz="0" w:space="0" w:color="auto" w:frame="1"/>
                <w:shd w:val="clear" w:color="auto" w:fill="FFFFFF"/>
                <w:lang w:val="en-GB"/>
              </w:rPr>
              <w:t xml:space="preserve">Recommendation ITU-T L.1470 “GHG emissions trajectories for the ICT sector compatible with the UNFCCC Paris Agreement”. The development of this Recommendation was in collaboration with the Science Based Targets initiative (SBTi), the </w:t>
            </w:r>
            <w:r w:rsidRPr="00073574">
              <w:rPr>
                <w:sz w:val="22"/>
                <w:szCs w:val="22"/>
                <w:lang w:val="en-GB"/>
              </w:rPr>
              <w:t>Global eSustainability Initiative (GeSi), the International Energy Agency (IEA) and GSMA.</w:t>
            </w:r>
            <w:r w:rsidR="6E8076C3" w:rsidRPr="00073574">
              <w:rPr>
                <w:sz w:val="22"/>
                <w:szCs w:val="22"/>
                <w:lang w:val="en-GB"/>
              </w:rPr>
              <w:t xml:space="preserve"> Additionally, SG5 developed Supplement 3</w:t>
            </w:r>
            <w:r w:rsidR="00A240F4" w:rsidRPr="00073574">
              <w:rPr>
                <w:sz w:val="22"/>
                <w:szCs w:val="22"/>
                <w:lang w:val="en-GB"/>
              </w:rPr>
              <w:t>7</w:t>
            </w:r>
            <w:r w:rsidR="6E8076C3" w:rsidRPr="00073574">
              <w:rPr>
                <w:sz w:val="22"/>
                <w:szCs w:val="22"/>
                <w:lang w:val="en-GB"/>
              </w:rPr>
              <w:t xml:space="preserve"> </w:t>
            </w:r>
            <w:r w:rsidR="00A240F4" w:rsidRPr="00073574">
              <w:rPr>
                <w:sz w:val="22"/>
                <w:szCs w:val="22"/>
                <w:lang w:val="en-GB"/>
              </w:rPr>
              <w:t>and Supplement 38</w:t>
            </w:r>
            <w:r w:rsidR="6E8076C3" w:rsidRPr="00073574">
              <w:rPr>
                <w:sz w:val="22"/>
                <w:szCs w:val="22"/>
                <w:lang w:val="en-GB"/>
              </w:rPr>
              <w:t xml:space="preserve"> on “Guidance to operators of mobile networks</w:t>
            </w:r>
            <w:r w:rsidR="18235898" w:rsidRPr="00073574">
              <w:rPr>
                <w:sz w:val="22"/>
                <w:szCs w:val="22"/>
                <w:lang w:val="en-GB"/>
              </w:rPr>
              <w:t>,</w:t>
            </w:r>
            <w:r w:rsidR="00237614" w:rsidRPr="00073574">
              <w:rPr>
                <w:sz w:val="22"/>
                <w:szCs w:val="22"/>
                <w:lang w:val="en-GB"/>
              </w:rPr>
              <w:t xml:space="preserve"> </w:t>
            </w:r>
            <w:r w:rsidR="18235898" w:rsidRPr="00073574">
              <w:rPr>
                <w:sz w:val="22"/>
                <w:szCs w:val="22"/>
                <w:lang w:val="en-GB"/>
              </w:rPr>
              <w:t>fixed</w:t>
            </w:r>
            <w:r w:rsidR="18235898" w:rsidRPr="00073574">
              <w:rPr>
                <w:sz w:val="22"/>
                <w:szCs w:val="22"/>
                <w:lang w:val="en-GB"/>
              </w:rPr>
              <w:noBreakHyphen/>
              <w:t xml:space="preserve"> networks and data centres </w:t>
            </w:r>
            <w:r w:rsidR="00A240F4" w:rsidRPr="00073574">
              <w:rPr>
                <w:sz w:val="22"/>
                <w:szCs w:val="22"/>
                <w:lang w:val="en-GB"/>
              </w:rPr>
              <w:t xml:space="preserve">and manufacturers </w:t>
            </w:r>
            <w:r w:rsidR="18235898" w:rsidRPr="00073574">
              <w:rPr>
                <w:sz w:val="22"/>
                <w:szCs w:val="22"/>
                <w:lang w:val="en-GB"/>
              </w:rPr>
              <w:t>on setting 1.5</w:t>
            </w:r>
            <w:r w:rsidR="43ADA832" w:rsidRPr="00073574">
              <w:rPr>
                <w:sz w:val="22"/>
                <w:szCs w:val="22"/>
                <w:lang w:val="en-GB"/>
              </w:rPr>
              <w:t>°C aligned targets compliant with Recommendation ITU-T L.1470</w:t>
            </w:r>
            <w:r w:rsidR="006B32EC" w:rsidRPr="00073574">
              <w:rPr>
                <w:sz w:val="22"/>
                <w:szCs w:val="22"/>
                <w:lang w:val="en-GB"/>
              </w:rPr>
              <w:t>.</w:t>
            </w:r>
          </w:p>
          <w:p w14:paraId="435EBF71" w14:textId="60466CD7" w:rsidR="005461EB" w:rsidRPr="00073574" w:rsidRDefault="005461EB" w:rsidP="1EE68BAF">
            <w:pPr>
              <w:pStyle w:val="NormalWeb"/>
              <w:spacing w:before="120" w:after="0"/>
              <w:rPr>
                <w:rFonts w:asciiTheme="majorBidi" w:hAnsiTheme="majorBidi" w:cstheme="majorBidi"/>
                <w:sz w:val="22"/>
                <w:szCs w:val="22"/>
                <w:lang w:val="en-GB"/>
              </w:rPr>
            </w:pPr>
            <w:r w:rsidRPr="00073574">
              <w:rPr>
                <w:rFonts w:asciiTheme="majorBidi" w:hAnsiTheme="majorBidi" w:cstheme="majorBidi"/>
                <w:sz w:val="22"/>
                <w:szCs w:val="22"/>
                <w:lang w:val="en-GB"/>
              </w:rPr>
              <w:t>At its meeting in May 2019, ITU-T SG5 created the</w:t>
            </w:r>
            <w:hyperlink r:id="rId550">
              <w:r w:rsidRPr="00073574">
                <w:rPr>
                  <w:rStyle w:val="Hyperlink"/>
                  <w:rFonts w:asciiTheme="majorBidi" w:hAnsiTheme="majorBidi" w:cstheme="majorBidi"/>
                  <w:sz w:val="22"/>
                  <w:szCs w:val="22"/>
                  <w:lang w:val="en-GB"/>
                </w:rPr>
                <w:t xml:space="preserve"> Focus Group on "Environmental Efficiency for Artificial Intelligence and other Emerging Technologies" (FG-AI4EE)</w:t>
              </w:r>
              <w:r w:rsidR="009F0010" w:rsidRPr="00073574">
                <w:rPr>
                  <w:rStyle w:val="Hyperlink"/>
                  <w:rFonts w:asciiTheme="majorBidi" w:hAnsiTheme="majorBidi" w:cstheme="majorBidi"/>
                  <w:sz w:val="22"/>
                  <w:szCs w:val="22"/>
                  <w:lang w:val="en-GB"/>
                </w:rPr>
                <w:t>.</w:t>
              </w:r>
            </w:hyperlink>
            <w:r w:rsidR="009F0010" w:rsidRPr="00073574">
              <w:rPr>
                <w:rFonts w:asciiTheme="majorBidi" w:hAnsiTheme="majorBidi" w:cstheme="majorBidi"/>
                <w:sz w:val="22"/>
                <w:szCs w:val="22"/>
                <w:lang w:val="en-GB"/>
              </w:rPr>
              <w:t xml:space="preserve"> The FG-AI4EE </w:t>
            </w:r>
            <w:r w:rsidR="6EFDE336" w:rsidRPr="00073574">
              <w:rPr>
                <w:rFonts w:asciiTheme="majorBidi" w:hAnsiTheme="majorBidi" w:cstheme="majorBidi"/>
                <w:sz w:val="22"/>
                <w:szCs w:val="22"/>
                <w:lang w:val="en-GB"/>
              </w:rPr>
              <w:t>is</w:t>
            </w:r>
            <w:r w:rsidR="009F0010" w:rsidRPr="00073574">
              <w:rPr>
                <w:rFonts w:asciiTheme="majorBidi" w:hAnsiTheme="majorBidi" w:cstheme="majorBidi"/>
                <w:sz w:val="22"/>
                <w:szCs w:val="22"/>
                <w:lang w:val="en-GB"/>
              </w:rPr>
              <w:t xml:space="preserve"> identify</w:t>
            </w:r>
            <w:r w:rsidR="2768B164" w:rsidRPr="00073574">
              <w:rPr>
                <w:rFonts w:asciiTheme="majorBidi" w:hAnsiTheme="majorBidi" w:cstheme="majorBidi"/>
                <w:sz w:val="22"/>
                <w:szCs w:val="22"/>
                <w:lang w:val="en-GB"/>
              </w:rPr>
              <w:t>ing</w:t>
            </w:r>
            <w:r w:rsidR="009F0010" w:rsidRPr="00073574">
              <w:rPr>
                <w:rFonts w:asciiTheme="majorBidi" w:hAnsiTheme="majorBidi" w:cstheme="majorBidi"/>
                <w:sz w:val="22"/>
                <w:szCs w:val="22"/>
                <w:lang w:val="en-GB"/>
              </w:rPr>
              <w:t xml:space="preserve"> the standardization gaps related to the environmental performance of AI and other emerging technologies including automation, augmented reality, virtual reality, extended reality, smart manufacturing, industry 5.0, cloud/edge computing, nanotechnology, 5G, among others. The focus group will develop technical reports and technical specifications to address the environmental efficiency, as well as water and energy consumption of emerging technologies.</w:t>
            </w:r>
          </w:p>
          <w:p w14:paraId="5118BF15" w14:textId="10E6C21F" w:rsidR="00C875E9" w:rsidRPr="00073574" w:rsidRDefault="00C875E9" w:rsidP="00C875E9">
            <w:pPr>
              <w:pStyle w:val="NormalWeb"/>
              <w:spacing w:before="120" w:after="120"/>
              <w:rPr>
                <w:rFonts w:asciiTheme="majorBidi" w:hAnsiTheme="majorBidi" w:cstheme="majorBidi"/>
                <w:sz w:val="22"/>
                <w:szCs w:val="22"/>
                <w:lang w:val="en-GB"/>
              </w:rPr>
            </w:pPr>
            <w:r w:rsidRPr="00073574">
              <w:rPr>
                <w:rFonts w:asciiTheme="majorBidi" w:hAnsiTheme="majorBidi" w:cstheme="majorBidi"/>
                <w:sz w:val="22"/>
                <w:szCs w:val="22"/>
                <w:lang w:val="en-GB"/>
              </w:rPr>
              <w:t xml:space="preserve">The First meeting of the FG-AI4EE took place on 12 December 2019 in Vienna, Austria. It was preceded by a Forum on Environmental Efficiency for Artificial Intelligence and other Emerging Technologies. The work of the FG-AI4EE </w:t>
            </w:r>
            <w:r w:rsidR="00482E8A" w:rsidRPr="00073574">
              <w:rPr>
                <w:rFonts w:asciiTheme="majorBidi" w:hAnsiTheme="majorBidi" w:cstheme="majorBidi"/>
                <w:sz w:val="22"/>
                <w:szCs w:val="22"/>
                <w:lang w:val="en-GB"/>
              </w:rPr>
              <w:t>is</w:t>
            </w:r>
            <w:r w:rsidRPr="00073574">
              <w:rPr>
                <w:rFonts w:asciiTheme="majorBidi" w:hAnsiTheme="majorBidi" w:cstheme="majorBidi"/>
                <w:sz w:val="22"/>
                <w:szCs w:val="22"/>
                <w:lang w:val="en-GB"/>
              </w:rPr>
              <w:t xml:space="preserve"> carried out</w:t>
            </w:r>
            <w:r w:rsidR="00800744" w:rsidRPr="00073574">
              <w:rPr>
                <w:rFonts w:asciiTheme="majorBidi" w:hAnsiTheme="majorBidi" w:cstheme="majorBidi"/>
                <w:sz w:val="22"/>
                <w:szCs w:val="22"/>
                <w:lang w:val="en-GB"/>
              </w:rPr>
              <w:t xml:space="preserve"> in three Working Groups:</w:t>
            </w:r>
          </w:p>
          <w:p w14:paraId="3D676803" w14:textId="77777777" w:rsidR="00C875E9" w:rsidRPr="00073574" w:rsidRDefault="00C875E9" w:rsidP="007C73BB">
            <w:pPr>
              <w:pStyle w:val="NormalWeb"/>
              <w:numPr>
                <w:ilvl w:val="0"/>
                <w:numId w:val="18"/>
              </w:numPr>
              <w:spacing w:before="120" w:after="0"/>
              <w:ind w:left="924" w:hanging="357"/>
              <w:rPr>
                <w:rFonts w:asciiTheme="majorBidi" w:hAnsiTheme="majorBidi" w:cstheme="majorBidi"/>
                <w:sz w:val="22"/>
                <w:szCs w:val="22"/>
                <w:lang w:val="en-GB"/>
              </w:rPr>
            </w:pPr>
            <w:r w:rsidRPr="00073574">
              <w:rPr>
                <w:rFonts w:asciiTheme="majorBidi" w:hAnsiTheme="majorBidi" w:cstheme="majorBidi"/>
                <w:sz w:val="22"/>
                <w:szCs w:val="22"/>
                <w:lang w:val="en-GB"/>
              </w:rPr>
              <w:t>WG1 - Requirements of AI and other Emerging Technologies to Ensure Environmental Efficiency.</w:t>
            </w:r>
          </w:p>
          <w:p w14:paraId="430E1DB2" w14:textId="77777777" w:rsidR="00C875E9" w:rsidRPr="00073574" w:rsidRDefault="00C875E9" w:rsidP="007C73BB">
            <w:pPr>
              <w:pStyle w:val="NormalWeb"/>
              <w:numPr>
                <w:ilvl w:val="0"/>
                <w:numId w:val="18"/>
              </w:numPr>
              <w:spacing w:before="120" w:after="0"/>
              <w:ind w:left="924" w:hanging="357"/>
              <w:rPr>
                <w:rFonts w:asciiTheme="majorBidi" w:hAnsiTheme="majorBidi" w:cstheme="majorBidi"/>
                <w:sz w:val="22"/>
                <w:szCs w:val="22"/>
                <w:lang w:val="en-GB"/>
              </w:rPr>
            </w:pPr>
            <w:r w:rsidRPr="00073574">
              <w:rPr>
                <w:rFonts w:asciiTheme="majorBidi" w:hAnsiTheme="majorBidi" w:cstheme="majorBidi"/>
                <w:sz w:val="22"/>
                <w:szCs w:val="22"/>
                <w:lang w:val="en-GB"/>
              </w:rPr>
              <w:t>WG2 - Assessment and Measurement of the Environmental Efficiency of AI and Emerging Technologies.</w:t>
            </w:r>
          </w:p>
          <w:p w14:paraId="43A76CA0" w14:textId="121645A1" w:rsidR="00423AAB" w:rsidRPr="00073574" w:rsidRDefault="00C875E9" w:rsidP="007C73BB">
            <w:pPr>
              <w:pStyle w:val="NormalWeb"/>
              <w:numPr>
                <w:ilvl w:val="0"/>
                <w:numId w:val="18"/>
              </w:numPr>
              <w:spacing w:before="120" w:after="0"/>
              <w:ind w:left="924" w:hanging="357"/>
              <w:rPr>
                <w:rFonts w:asciiTheme="majorBidi" w:hAnsiTheme="majorBidi" w:cstheme="majorBidi"/>
                <w:sz w:val="22"/>
                <w:szCs w:val="22"/>
                <w:lang w:val="en-GB"/>
              </w:rPr>
            </w:pPr>
            <w:r w:rsidRPr="00073574">
              <w:rPr>
                <w:rFonts w:asciiTheme="majorBidi" w:hAnsiTheme="majorBidi" w:cstheme="majorBidi"/>
                <w:sz w:val="22"/>
                <w:szCs w:val="22"/>
                <w:lang w:val="en-GB"/>
              </w:rPr>
              <w:lastRenderedPageBreak/>
              <w:t>WG3 - Implementation Guidelines of AI and Emerging Technologies for Environmental Efficiency.</w:t>
            </w:r>
          </w:p>
          <w:p w14:paraId="7B79E8E5" w14:textId="3EE06AA0" w:rsidR="00423AAB" w:rsidRPr="00073574" w:rsidRDefault="00423AAB" w:rsidP="00BB30F9">
            <w:pPr>
              <w:pStyle w:val="NormalWeb"/>
              <w:spacing w:before="240" w:after="120"/>
              <w:rPr>
                <w:rFonts w:asciiTheme="majorBidi" w:hAnsiTheme="majorBidi" w:cstheme="majorBidi"/>
                <w:sz w:val="22"/>
                <w:szCs w:val="22"/>
                <w:lang w:val="en-GB"/>
              </w:rPr>
            </w:pPr>
            <w:r w:rsidRPr="00073574">
              <w:rPr>
                <w:rFonts w:asciiTheme="majorBidi" w:hAnsiTheme="majorBidi" w:cstheme="majorBidi"/>
                <w:sz w:val="22"/>
                <w:szCs w:val="22"/>
                <w:lang w:val="en-GB"/>
              </w:rPr>
              <w:t xml:space="preserve">The second and third meeting of the FG-AI4EE were held on 10 December 2020 and 8 April 2021, </w:t>
            </w:r>
            <w:r w:rsidR="005104AA" w:rsidRPr="00073574">
              <w:rPr>
                <w:rFonts w:asciiTheme="majorBidi" w:hAnsiTheme="majorBidi" w:cstheme="majorBidi"/>
                <w:sz w:val="22"/>
                <w:szCs w:val="22"/>
                <w:lang w:val="en-GB"/>
              </w:rPr>
              <w:t>respectively</w:t>
            </w:r>
            <w:r w:rsidRPr="00073574">
              <w:rPr>
                <w:rFonts w:asciiTheme="majorBidi" w:hAnsiTheme="majorBidi" w:cstheme="majorBidi"/>
                <w:sz w:val="22"/>
                <w:szCs w:val="22"/>
                <w:lang w:val="en-GB"/>
              </w:rPr>
              <w:t xml:space="preserve">. The fourth meeting of the FG-AI4EE </w:t>
            </w:r>
            <w:r w:rsidR="00A240F4" w:rsidRPr="00073574">
              <w:rPr>
                <w:rFonts w:asciiTheme="majorBidi" w:hAnsiTheme="majorBidi" w:cstheme="majorBidi"/>
                <w:sz w:val="22"/>
                <w:szCs w:val="22"/>
                <w:lang w:val="en-GB"/>
              </w:rPr>
              <w:t>took</w:t>
            </w:r>
            <w:r w:rsidRPr="00073574">
              <w:rPr>
                <w:rFonts w:asciiTheme="majorBidi" w:hAnsiTheme="majorBidi" w:cstheme="majorBidi"/>
                <w:sz w:val="22"/>
                <w:szCs w:val="22"/>
                <w:lang w:val="en-GB"/>
              </w:rPr>
              <w:t xml:space="preserve"> place on 21 October 2021.</w:t>
            </w:r>
          </w:p>
          <w:p w14:paraId="3560ADDB" w14:textId="243FF633" w:rsidR="00265B8F" w:rsidRPr="00073574" w:rsidRDefault="00265B8F" w:rsidP="00265B8F">
            <w:pPr>
              <w:pStyle w:val="NormalWeb"/>
              <w:spacing w:before="120" w:after="120"/>
              <w:rPr>
                <w:rFonts w:asciiTheme="majorBidi" w:hAnsiTheme="majorBidi" w:cstheme="majorBidi"/>
                <w:sz w:val="22"/>
                <w:szCs w:val="22"/>
                <w:lang w:val="en-GB"/>
              </w:rPr>
            </w:pPr>
            <w:r w:rsidRPr="00073574">
              <w:rPr>
                <w:rFonts w:asciiTheme="majorBidi" w:hAnsiTheme="majorBidi" w:cstheme="majorBidi"/>
                <w:sz w:val="22"/>
                <w:szCs w:val="22"/>
                <w:lang w:val="en-GB"/>
              </w:rPr>
              <w:t>SG2 started work on draft Recommendation ITU-T M.resm-AI "Requirements for energy saving management of 5G RAN system with AI".</w:t>
            </w:r>
          </w:p>
        </w:tc>
      </w:tr>
      <w:tr w:rsidR="00F0236A" w:rsidRPr="00073574" w14:paraId="38CD1433" w14:textId="77777777" w:rsidTr="634A3A28">
        <w:trPr>
          <w:jc w:val="center"/>
        </w:trPr>
        <w:tc>
          <w:tcPr>
            <w:tcW w:w="905" w:type="dxa"/>
            <w:vMerge w:val="restart"/>
            <w:tcBorders>
              <w:top w:val="single" w:sz="12" w:space="0" w:color="auto"/>
            </w:tcBorders>
            <w:shd w:val="clear" w:color="auto" w:fill="auto"/>
          </w:tcPr>
          <w:p w14:paraId="1D90B069" w14:textId="77777777" w:rsidR="00F0236A" w:rsidRPr="00073574" w:rsidRDefault="00F0236A" w:rsidP="000169D6">
            <w:pPr>
              <w:pStyle w:val="Tabletext"/>
              <w:keepNext/>
              <w:keepLines/>
              <w:rPr>
                <w:b/>
                <w:bCs/>
                <w:sz w:val="24"/>
                <w:szCs w:val="24"/>
              </w:rPr>
            </w:pPr>
            <w:r w:rsidRPr="00073574">
              <w:rPr>
                <w:b/>
                <w:bCs/>
                <w:sz w:val="24"/>
                <w:szCs w:val="24"/>
              </w:rPr>
              <w:lastRenderedPageBreak/>
              <w:t>73-09</w:t>
            </w:r>
          </w:p>
        </w:tc>
        <w:tc>
          <w:tcPr>
            <w:tcW w:w="4774" w:type="dxa"/>
            <w:tcBorders>
              <w:top w:val="single" w:sz="12" w:space="0" w:color="auto"/>
            </w:tcBorders>
            <w:shd w:val="clear" w:color="auto" w:fill="auto"/>
          </w:tcPr>
          <w:p w14:paraId="52CC6E61" w14:textId="77777777" w:rsidR="00F0236A" w:rsidRPr="00073574" w:rsidRDefault="00F0236A" w:rsidP="00DF36E1">
            <w:pPr>
              <w:pStyle w:val="Tabletext"/>
              <w:rPr>
                <w:b/>
                <w:bCs/>
                <w:sz w:val="24"/>
                <w:szCs w:val="24"/>
              </w:rPr>
            </w:pPr>
            <w:r w:rsidRPr="00073574">
              <w:rPr>
                <w:b/>
                <w:bCs/>
                <w:sz w:val="24"/>
                <w:szCs w:val="24"/>
              </w:rPr>
              <w:t>TSB Director, in collaboration with other Directors, to keep update the calendar of events relevant to ICTs, environment and climate change (i. TSBDir 2)</w:t>
            </w:r>
          </w:p>
        </w:tc>
        <w:tc>
          <w:tcPr>
            <w:tcW w:w="1683" w:type="dxa"/>
            <w:tcBorders>
              <w:top w:val="single" w:sz="12" w:space="0" w:color="auto"/>
            </w:tcBorders>
            <w:shd w:val="clear" w:color="auto" w:fill="auto"/>
            <w:vAlign w:val="center"/>
          </w:tcPr>
          <w:p w14:paraId="07B36EF6"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34" w:type="dxa"/>
            <w:tcBorders>
              <w:top w:val="single" w:sz="12" w:space="0" w:color="auto"/>
            </w:tcBorders>
            <w:shd w:val="clear" w:color="auto" w:fill="auto"/>
            <w:vAlign w:val="center"/>
          </w:tcPr>
          <w:p w14:paraId="09B4802E" w14:textId="2E914DF0" w:rsidR="00F0236A" w:rsidRPr="00073574" w:rsidRDefault="00AF1256"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6CA609A6" w14:textId="77777777" w:rsidR="00F0236A" w:rsidRPr="00073574" w:rsidRDefault="00F0236A" w:rsidP="00DF36E1">
            <w:pPr>
              <w:pStyle w:val="Tabletext"/>
              <w:jc w:val="center"/>
              <w:rPr>
                <w:b/>
                <w:bCs/>
                <w:sz w:val="24"/>
                <w:szCs w:val="24"/>
              </w:rPr>
            </w:pPr>
          </w:p>
        </w:tc>
      </w:tr>
      <w:tr w:rsidR="00F0236A" w:rsidRPr="00073574" w14:paraId="3FC6284D" w14:textId="77777777" w:rsidTr="634A3A28">
        <w:trPr>
          <w:jc w:val="center"/>
        </w:trPr>
        <w:tc>
          <w:tcPr>
            <w:tcW w:w="905" w:type="dxa"/>
            <w:vMerge/>
          </w:tcPr>
          <w:p w14:paraId="2E8CBBC6" w14:textId="77777777" w:rsidR="00F0236A" w:rsidRPr="00073574" w:rsidRDefault="00F0236A" w:rsidP="00DF36E1">
            <w:pPr>
              <w:pStyle w:val="Tabletext"/>
              <w:rPr>
                <w:sz w:val="24"/>
                <w:szCs w:val="24"/>
              </w:rPr>
            </w:pPr>
          </w:p>
        </w:tc>
        <w:tc>
          <w:tcPr>
            <w:tcW w:w="8927" w:type="dxa"/>
            <w:gridSpan w:val="4"/>
            <w:shd w:val="clear" w:color="auto" w:fill="auto"/>
          </w:tcPr>
          <w:p w14:paraId="680C6D33" w14:textId="5CC0E5ED" w:rsidR="00F0236A" w:rsidRPr="00073574" w:rsidRDefault="4B97A8FD">
            <w:pPr>
              <w:pStyle w:val="Tabletext"/>
            </w:pPr>
            <w:r w:rsidRPr="00073574">
              <w:t>The calendar of events relevant to ICTs, environment and climate change is kept up to date and is available at:</w:t>
            </w:r>
            <w:r w:rsidR="71CE4D1C" w:rsidRPr="00073574">
              <w:t xml:space="preserve"> </w:t>
            </w:r>
            <w:hyperlink r:id="rId551" w:history="1">
              <w:r w:rsidR="00B03DD6" w:rsidRPr="00073574">
                <w:rPr>
                  <w:rStyle w:val="Hyperlink"/>
                  <w:szCs w:val="22"/>
                </w:rPr>
                <w:t>https://www.itu.int/en/ITU-T/climatechange/resources/Pages/env-and-ssc.aspx</w:t>
              </w:r>
            </w:hyperlink>
          </w:p>
        </w:tc>
      </w:tr>
      <w:tr w:rsidR="00F0236A" w:rsidRPr="00073574" w14:paraId="0D523335" w14:textId="77777777" w:rsidTr="634A3A28">
        <w:trPr>
          <w:jc w:val="center"/>
        </w:trPr>
        <w:tc>
          <w:tcPr>
            <w:tcW w:w="905" w:type="dxa"/>
            <w:vMerge w:val="restart"/>
            <w:tcBorders>
              <w:top w:val="single" w:sz="12" w:space="0" w:color="auto"/>
            </w:tcBorders>
            <w:shd w:val="clear" w:color="auto" w:fill="auto"/>
          </w:tcPr>
          <w:p w14:paraId="3004E598" w14:textId="77777777" w:rsidR="00F0236A" w:rsidRPr="00073574" w:rsidRDefault="00F0236A" w:rsidP="00CA23C6">
            <w:pPr>
              <w:pStyle w:val="Tabletext"/>
              <w:keepNext/>
              <w:keepLines/>
              <w:rPr>
                <w:b/>
                <w:bCs/>
                <w:sz w:val="24"/>
                <w:szCs w:val="24"/>
              </w:rPr>
            </w:pPr>
            <w:r w:rsidRPr="00073574">
              <w:rPr>
                <w:b/>
                <w:bCs/>
                <w:sz w:val="24"/>
                <w:szCs w:val="24"/>
              </w:rPr>
              <w:t>73-11</w:t>
            </w:r>
          </w:p>
        </w:tc>
        <w:tc>
          <w:tcPr>
            <w:tcW w:w="4774" w:type="dxa"/>
            <w:tcBorders>
              <w:top w:val="single" w:sz="12" w:space="0" w:color="auto"/>
            </w:tcBorders>
            <w:shd w:val="clear" w:color="auto" w:fill="auto"/>
          </w:tcPr>
          <w:p w14:paraId="46E8C6F8" w14:textId="77777777" w:rsidR="00F0236A" w:rsidRPr="00073574" w:rsidRDefault="00F0236A" w:rsidP="00CA23C6">
            <w:pPr>
              <w:pStyle w:val="Tabletext"/>
              <w:keepNext/>
              <w:keepLines/>
              <w:rPr>
                <w:b/>
                <w:bCs/>
                <w:sz w:val="24"/>
                <w:szCs w:val="24"/>
              </w:rPr>
            </w:pPr>
            <w:r w:rsidRPr="00073574">
              <w:rPr>
                <w:b/>
                <w:bCs/>
                <w:sz w:val="24"/>
                <w:szCs w:val="24"/>
              </w:rPr>
              <w:t>TSB Director, in collaboration with other Directors, to support development of reports on ICTs, environment and climate change, particularly relevant to ongoing work of SG5, and submit the reports as soon as possible to Study Group 5 for its consideration (i. TSBDir 4)</w:t>
            </w:r>
          </w:p>
        </w:tc>
        <w:tc>
          <w:tcPr>
            <w:tcW w:w="1683" w:type="dxa"/>
            <w:tcBorders>
              <w:top w:val="single" w:sz="12" w:space="0" w:color="auto"/>
            </w:tcBorders>
            <w:shd w:val="clear" w:color="auto" w:fill="auto"/>
            <w:vAlign w:val="center"/>
          </w:tcPr>
          <w:p w14:paraId="6B25EE42" w14:textId="77777777" w:rsidR="00F0236A" w:rsidRPr="00073574" w:rsidRDefault="00F0236A" w:rsidP="00CA23C6">
            <w:pPr>
              <w:pStyle w:val="Tabletext"/>
              <w:keepNext/>
              <w:keepLines/>
              <w:jc w:val="center"/>
              <w:rPr>
                <w:b/>
                <w:bCs/>
                <w:sz w:val="24"/>
                <w:szCs w:val="24"/>
              </w:rPr>
            </w:pPr>
            <w:r w:rsidRPr="00073574">
              <w:rPr>
                <w:b/>
                <w:bCs/>
                <w:sz w:val="24"/>
                <w:szCs w:val="24"/>
              </w:rPr>
              <w:t>Ongoing</w:t>
            </w:r>
          </w:p>
        </w:tc>
        <w:tc>
          <w:tcPr>
            <w:tcW w:w="1134" w:type="dxa"/>
            <w:tcBorders>
              <w:top w:val="single" w:sz="12" w:space="0" w:color="auto"/>
            </w:tcBorders>
            <w:shd w:val="clear" w:color="auto" w:fill="auto"/>
            <w:vAlign w:val="center"/>
          </w:tcPr>
          <w:p w14:paraId="293255D6" w14:textId="77777777" w:rsidR="00F0236A" w:rsidRPr="00073574" w:rsidRDefault="00F0236A" w:rsidP="00CA23C6">
            <w:pPr>
              <w:pStyle w:val="Tabletext"/>
              <w:keepNext/>
              <w:keepLines/>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0B13AFF6" w14:textId="77777777" w:rsidR="00F0236A" w:rsidRPr="00073574" w:rsidRDefault="00F0236A" w:rsidP="00CA23C6">
            <w:pPr>
              <w:pStyle w:val="Tabletext"/>
              <w:keepNext/>
              <w:keepLines/>
              <w:jc w:val="center"/>
              <w:rPr>
                <w:b/>
                <w:bCs/>
                <w:sz w:val="24"/>
                <w:szCs w:val="24"/>
              </w:rPr>
            </w:pPr>
          </w:p>
        </w:tc>
      </w:tr>
      <w:tr w:rsidR="00F0236A" w:rsidRPr="00073574" w14:paraId="13ECE864" w14:textId="77777777" w:rsidTr="634A3A28">
        <w:trPr>
          <w:jc w:val="center"/>
        </w:trPr>
        <w:tc>
          <w:tcPr>
            <w:tcW w:w="905" w:type="dxa"/>
            <w:vMerge/>
          </w:tcPr>
          <w:p w14:paraId="25832CA1" w14:textId="77777777" w:rsidR="00F0236A" w:rsidRPr="00073574" w:rsidRDefault="00F0236A" w:rsidP="00CA23C6">
            <w:pPr>
              <w:pStyle w:val="Tabletext"/>
              <w:keepNext/>
              <w:keepLines/>
              <w:rPr>
                <w:sz w:val="24"/>
                <w:szCs w:val="24"/>
              </w:rPr>
            </w:pPr>
          </w:p>
        </w:tc>
        <w:tc>
          <w:tcPr>
            <w:tcW w:w="8927" w:type="dxa"/>
            <w:gridSpan w:val="4"/>
            <w:shd w:val="clear" w:color="auto" w:fill="auto"/>
          </w:tcPr>
          <w:p w14:paraId="7C6285B2" w14:textId="521A9EB1" w:rsidR="00E6162D" w:rsidRPr="00073574" w:rsidRDefault="00E6162D" w:rsidP="00CA23C6">
            <w:pPr>
              <w:pStyle w:val="Tabletext"/>
              <w:keepNext/>
              <w:keepLines/>
              <w:rPr>
                <w:szCs w:val="22"/>
              </w:rPr>
            </w:pPr>
            <w:r w:rsidRPr="00073574">
              <w:rPr>
                <w:szCs w:val="22"/>
              </w:rPr>
              <w:t xml:space="preserve">ITU-T SG5 together with ITU-D, ITU-R and the General Secretariat developed a </w:t>
            </w:r>
            <w:hyperlink r:id="rId552" w:history="1">
              <w:r w:rsidRPr="00073574">
                <w:rPr>
                  <w:rStyle w:val="Hyperlink"/>
                  <w:szCs w:val="22"/>
                </w:rPr>
                <w:t>Report on Turning Digital Technology Innovation into Climate Action.</w:t>
              </w:r>
            </w:hyperlink>
          </w:p>
          <w:p w14:paraId="3453F50E" w14:textId="2B4475A8" w:rsidR="00F0236A" w:rsidRPr="00073574" w:rsidRDefault="00F0236A" w:rsidP="00CA23C6">
            <w:pPr>
              <w:pStyle w:val="Tabletext"/>
              <w:keepNext/>
              <w:keepLines/>
              <w:rPr>
                <w:szCs w:val="22"/>
              </w:rPr>
            </w:pPr>
            <w:r w:rsidRPr="00073574">
              <w:rPr>
                <w:szCs w:val="22"/>
              </w:rPr>
              <w:t xml:space="preserve">All Reports on ICTs, environment and climate change are available at: </w:t>
            </w:r>
            <w:hyperlink r:id="rId553" w:history="1">
              <w:r w:rsidRPr="00073574">
                <w:rPr>
                  <w:rStyle w:val="Hyperlink"/>
                  <w:szCs w:val="22"/>
                </w:rPr>
                <w:t>https://www.itu.int/en/ITU-T/climatechange/Pages/publications.aspx</w:t>
              </w:r>
            </w:hyperlink>
          </w:p>
        </w:tc>
      </w:tr>
      <w:tr w:rsidR="00F0236A" w:rsidRPr="00073574" w14:paraId="6E3DCF09" w14:textId="77777777" w:rsidTr="634A3A28">
        <w:trPr>
          <w:jc w:val="center"/>
        </w:trPr>
        <w:tc>
          <w:tcPr>
            <w:tcW w:w="905" w:type="dxa"/>
            <w:vMerge w:val="restart"/>
            <w:tcBorders>
              <w:top w:val="single" w:sz="12" w:space="0" w:color="auto"/>
            </w:tcBorders>
            <w:shd w:val="clear" w:color="auto" w:fill="auto"/>
          </w:tcPr>
          <w:p w14:paraId="029BF0B1" w14:textId="77777777" w:rsidR="00F0236A" w:rsidRPr="00073574" w:rsidRDefault="00F0236A" w:rsidP="0028134B">
            <w:pPr>
              <w:pStyle w:val="Tabletext"/>
              <w:keepNext/>
              <w:keepLines/>
              <w:rPr>
                <w:b/>
                <w:bCs/>
                <w:sz w:val="24"/>
                <w:szCs w:val="24"/>
              </w:rPr>
            </w:pPr>
            <w:r w:rsidRPr="00073574">
              <w:rPr>
                <w:b/>
                <w:bCs/>
                <w:sz w:val="24"/>
                <w:szCs w:val="24"/>
              </w:rPr>
              <w:t>73-12</w:t>
            </w:r>
          </w:p>
        </w:tc>
        <w:tc>
          <w:tcPr>
            <w:tcW w:w="4774" w:type="dxa"/>
            <w:tcBorders>
              <w:top w:val="single" w:sz="12" w:space="0" w:color="auto"/>
            </w:tcBorders>
            <w:shd w:val="clear" w:color="auto" w:fill="auto"/>
          </w:tcPr>
          <w:p w14:paraId="336D57CB" w14:textId="77777777" w:rsidR="00F0236A" w:rsidRPr="00073574" w:rsidRDefault="00F0236A" w:rsidP="00DF36E1">
            <w:pPr>
              <w:pStyle w:val="Tabletext"/>
              <w:rPr>
                <w:b/>
                <w:bCs/>
                <w:sz w:val="24"/>
                <w:szCs w:val="24"/>
              </w:rPr>
            </w:pPr>
            <w:r w:rsidRPr="00073574">
              <w:rPr>
                <w:b/>
                <w:bCs/>
                <w:sz w:val="24"/>
                <w:szCs w:val="24"/>
              </w:rPr>
              <w:t>TSB Director, in collaboration with other Directors, to organize forums, workshops and seminars for developing countries to raise awareness and identify needs. (i. TSBDir 5)</w:t>
            </w:r>
          </w:p>
        </w:tc>
        <w:tc>
          <w:tcPr>
            <w:tcW w:w="1683" w:type="dxa"/>
            <w:tcBorders>
              <w:top w:val="single" w:sz="12" w:space="0" w:color="auto"/>
            </w:tcBorders>
            <w:shd w:val="clear" w:color="auto" w:fill="auto"/>
            <w:vAlign w:val="center"/>
          </w:tcPr>
          <w:p w14:paraId="04CDE802"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34" w:type="dxa"/>
            <w:tcBorders>
              <w:top w:val="single" w:sz="12" w:space="0" w:color="auto"/>
            </w:tcBorders>
            <w:shd w:val="clear" w:color="auto" w:fill="auto"/>
            <w:vAlign w:val="center"/>
          </w:tcPr>
          <w:p w14:paraId="6A4A565D"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40E00C1F" w14:textId="77777777" w:rsidR="00F0236A" w:rsidRPr="00073574" w:rsidRDefault="00F0236A" w:rsidP="00DF36E1">
            <w:pPr>
              <w:pStyle w:val="Tabletext"/>
              <w:jc w:val="center"/>
              <w:rPr>
                <w:b/>
                <w:bCs/>
                <w:sz w:val="24"/>
                <w:szCs w:val="24"/>
              </w:rPr>
            </w:pPr>
          </w:p>
        </w:tc>
      </w:tr>
      <w:tr w:rsidR="00F0236A" w:rsidRPr="00073574" w14:paraId="5CF88C49" w14:textId="77777777" w:rsidTr="634A3A28">
        <w:trPr>
          <w:jc w:val="center"/>
        </w:trPr>
        <w:tc>
          <w:tcPr>
            <w:tcW w:w="905" w:type="dxa"/>
            <w:vMerge/>
          </w:tcPr>
          <w:p w14:paraId="543C7AF0" w14:textId="77777777" w:rsidR="00F0236A" w:rsidRPr="00073574" w:rsidRDefault="00F0236A" w:rsidP="00DF36E1">
            <w:pPr>
              <w:pStyle w:val="Tabletext"/>
              <w:rPr>
                <w:sz w:val="24"/>
                <w:szCs w:val="24"/>
              </w:rPr>
            </w:pPr>
          </w:p>
        </w:tc>
        <w:tc>
          <w:tcPr>
            <w:tcW w:w="8927" w:type="dxa"/>
            <w:gridSpan w:val="4"/>
            <w:tcBorders>
              <w:bottom w:val="single" w:sz="12" w:space="0" w:color="auto"/>
            </w:tcBorders>
            <w:shd w:val="clear" w:color="auto" w:fill="auto"/>
          </w:tcPr>
          <w:p w14:paraId="2F452DF8" w14:textId="701CD6B1" w:rsidR="00F0236A" w:rsidRPr="00073574" w:rsidRDefault="00F0236A" w:rsidP="00DF36E1">
            <w:pPr>
              <w:pStyle w:val="Tabletext"/>
              <w:rPr>
                <w:szCs w:val="22"/>
              </w:rPr>
            </w:pPr>
            <w:r w:rsidRPr="00073574">
              <w:rPr>
                <w:szCs w:val="22"/>
              </w:rPr>
              <w:t xml:space="preserve">The 7th ITU Green Standards Week was held from 3 to 5 April 2017 in Manizales, Colombia. It was dedicated to the theme </w:t>
            </w:r>
            <w:r w:rsidR="003C7E25" w:rsidRPr="00073574">
              <w:rPr>
                <w:szCs w:val="22"/>
              </w:rPr>
              <w:t>"</w:t>
            </w:r>
            <w:r w:rsidRPr="00073574">
              <w:rPr>
                <w:szCs w:val="22"/>
              </w:rPr>
              <w:t>Circular Economy and Smart Sustainable Cities</w:t>
            </w:r>
            <w:r w:rsidR="003C7E25" w:rsidRPr="00073574">
              <w:rPr>
                <w:szCs w:val="22"/>
              </w:rPr>
              <w:t>"</w:t>
            </w:r>
            <w:r w:rsidRPr="00073574">
              <w:rPr>
                <w:szCs w:val="22"/>
              </w:rPr>
              <w:t xml:space="preserve">. A Forum on </w:t>
            </w:r>
            <w:r w:rsidR="003C7E25" w:rsidRPr="00073574">
              <w:rPr>
                <w:szCs w:val="22"/>
              </w:rPr>
              <w:t>"</w:t>
            </w:r>
            <w:r w:rsidRPr="00073574">
              <w:rPr>
                <w:szCs w:val="22"/>
              </w:rPr>
              <w:t>Environment, climate change and circular economy</w:t>
            </w:r>
            <w:r w:rsidR="003C7E25" w:rsidRPr="00073574">
              <w:rPr>
                <w:szCs w:val="22"/>
              </w:rPr>
              <w:t>"</w:t>
            </w:r>
            <w:r w:rsidRPr="00073574">
              <w:rPr>
                <w:szCs w:val="22"/>
              </w:rPr>
              <w:t xml:space="preserve"> was held on 4 and 5 April 2017.</w:t>
            </w:r>
          </w:p>
          <w:p w14:paraId="0C014256" w14:textId="01D3DBDF" w:rsidR="00F0236A" w:rsidRPr="00073574" w:rsidRDefault="00F0236A" w:rsidP="00DF36E1">
            <w:pPr>
              <w:pStyle w:val="Tabletext"/>
              <w:spacing w:before="120"/>
              <w:rPr>
                <w:rFonts w:asciiTheme="majorBidi" w:hAnsiTheme="majorBidi" w:cstheme="majorBidi"/>
                <w:szCs w:val="22"/>
              </w:rPr>
            </w:pPr>
            <w:r w:rsidRPr="00073574">
              <w:rPr>
                <w:rFonts w:asciiTheme="majorBidi" w:hAnsiTheme="majorBidi" w:cstheme="majorBidi"/>
                <w:szCs w:val="22"/>
              </w:rPr>
              <w:t>The</w:t>
            </w:r>
            <w:r w:rsidRPr="00073574">
              <w:rPr>
                <w:rFonts w:asciiTheme="majorBidi" w:hAnsiTheme="majorBidi" w:cstheme="majorBidi"/>
                <w:color w:val="444444"/>
                <w:szCs w:val="22"/>
              </w:rPr>
              <w:t xml:space="preserve"> </w:t>
            </w:r>
            <w:hyperlink r:id="rId554" w:history="1">
              <w:r w:rsidRPr="00073574">
                <w:rPr>
                  <w:rStyle w:val="Hyperlink"/>
                  <w:rFonts w:asciiTheme="majorBidi" w:hAnsiTheme="majorBidi" w:cstheme="majorBidi"/>
                  <w:szCs w:val="22"/>
                </w:rPr>
                <w:t>7</w:t>
              </w:r>
              <w:r w:rsidRPr="00073574">
                <w:t>th</w:t>
              </w:r>
              <w:r w:rsidRPr="00073574">
                <w:rPr>
                  <w:rStyle w:val="Hyperlink"/>
                  <w:rFonts w:asciiTheme="majorBidi" w:hAnsiTheme="majorBidi" w:cstheme="majorBidi"/>
                  <w:szCs w:val="22"/>
                </w:rPr>
                <w:t xml:space="preserve"> ITU Green Standards Week (GSW-17)</w:t>
              </w:r>
            </w:hyperlink>
            <w:r w:rsidRPr="00073574">
              <w:rPr>
                <w:rFonts w:asciiTheme="majorBidi" w:hAnsiTheme="majorBidi" w:cstheme="majorBidi"/>
                <w:color w:val="444444"/>
                <w:szCs w:val="22"/>
              </w:rPr>
              <w:t xml:space="preserve"> </w:t>
            </w:r>
            <w:r w:rsidRPr="00073574">
              <w:rPr>
                <w:rFonts w:asciiTheme="majorBidi" w:hAnsiTheme="majorBidi" w:cstheme="majorBidi"/>
                <w:szCs w:val="22"/>
              </w:rPr>
              <w:t>has concluded with the adoption of the</w:t>
            </w:r>
            <w:r w:rsidRPr="00073574">
              <w:rPr>
                <w:rFonts w:asciiTheme="majorBidi" w:hAnsiTheme="majorBidi" w:cstheme="majorBidi"/>
                <w:color w:val="444444"/>
                <w:szCs w:val="22"/>
              </w:rPr>
              <w:t xml:space="preserve"> </w:t>
            </w:r>
            <w:hyperlink r:id="rId555" w:history="1">
              <w:r w:rsidRPr="00073574">
                <w:rPr>
                  <w:rStyle w:val="Hyperlink"/>
                  <w:rFonts w:asciiTheme="majorBidi" w:hAnsiTheme="majorBidi" w:cstheme="majorBidi"/>
                  <w:szCs w:val="22"/>
                </w:rPr>
                <w:t>Manizales Manifesto</w:t>
              </w:r>
            </w:hyperlink>
            <w:r w:rsidRPr="00073574">
              <w:rPr>
                <w:rFonts w:asciiTheme="majorBidi" w:hAnsiTheme="majorBidi" w:cstheme="majorBidi"/>
                <w:color w:val="444444"/>
                <w:szCs w:val="22"/>
              </w:rPr>
              <w:t xml:space="preserve">, </w:t>
            </w:r>
            <w:r w:rsidRPr="00073574">
              <w:rPr>
                <w:rFonts w:asciiTheme="majorBidi" w:hAnsiTheme="majorBidi" w:cstheme="majorBidi"/>
                <w:szCs w:val="22"/>
              </w:rPr>
              <w:t>expressing the shared commitment of the event</w:t>
            </w:r>
            <w:r w:rsidR="003C7E25" w:rsidRPr="00073574">
              <w:rPr>
                <w:rFonts w:asciiTheme="majorBidi" w:hAnsiTheme="majorBidi" w:cstheme="majorBidi"/>
                <w:szCs w:val="22"/>
              </w:rPr>
              <w:t>'</w:t>
            </w:r>
            <w:r w:rsidRPr="00073574">
              <w:rPr>
                <w:rFonts w:asciiTheme="majorBidi" w:hAnsiTheme="majorBidi" w:cstheme="majorBidi"/>
                <w:szCs w:val="22"/>
              </w:rPr>
              <w:t xml:space="preserve">s over 850 participants to the development of resource-efficient </w:t>
            </w:r>
            <w:r w:rsidR="003C7E25" w:rsidRPr="00073574">
              <w:rPr>
                <w:rFonts w:asciiTheme="majorBidi" w:hAnsiTheme="majorBidi" w:cstheme="majorBidi"/>
                <w:szCs w:val="22"/>
              </w:rPr>
              <w:t>"</w:t>
            </w:r>
            <w:r w:rsidRPr="00073574">
              <w:rPr>
                <w:rFonts w:asciiTheme="majorBidi" w:hAnsiTheme="majorBidi" w:cstheme="majorBidi"/>
                <w:szCs w:val="22"/>
              </w:rPr>
              <w:t>Circular Economies</w:t>
            </w:r>
            <w:r w:rsidR="003C7E25" w:rsidRPr="00073574">
              <w:rPr>
                <w:rFonts w:asciiTheme="majorBidi" w:hAnsiTheme="majorBidi" w:cstheme="majorBidi"/>
                <w:szCs w:val="22"/>
              </w:rPr>
              <w:t>"</w:t>
            </w:r>
            <w:r w:rsidRPr="00073574">
              <w:rPr>
                <w:rFonts w:asciiTheme="majorBidi" w:hAnsiTheme="majorBidi" w:cstheme="majorBidi"/>
                <w:szCs w:val="22"/>
              </w:rPr>
              <w:t xml:space="preserve"> and Smart Sustainable Cities.</w:t>
            </w:r>
          </w:p>
          <w:p w14:paraId="275A9C69" w14:textId="3EBF32DA" w:rsidR="00F0236A" w:rsidRPr="00073574" w:rsidRDefault="00F0236A" w:rsidP="00DF36E1">
            <w:pPr>
              <w:pStyle w:val="NormalWeb"/>
              <w:spacing w:before="120" w:after="0"/>
              <w:rPr>
                <w:rFonts w:asciiTheme="majorBidi" w:hAnsiTheme="majorBidi" w:cstheme="majorBidi"/>
                <w:sz w:val="22"/>
                <w:szCs w:val="22"/>
                <w:lang w:val="en-GB"/>
              </w:rPr>
            </w:pPr>
            <w:r w:rsidRPr="00073574">
              <w:rPr>
                <w:rFonts w:asciiTheme="majorBidi" w:hAnsiTheme="majorBidi" w:cstheme="majorBidi"/>
                <w:sz w:val="22"/>
                <w:szCs w:val="22"/>
                <w:lang w:val="en-GB"/>
              </w:rPr>
              <w:t>GSW-17 was held in Manizales, Colombia, 3-5 April 2017, hosted by the Municipality of Manizales and Colombia</w:t>
            </w:r>
            <w:r w:rsidR="003C7E25" w:rsidRPr="00073574">
              <w:rPr>
                <w:rFonts w:asciiTheme="majorBidi" w:hAnsiTheme="majorBidi" w:cstheme="majorBidi"/>
                <w:sz w:val="22"/>
                <w:szCs w:val="22"/>
                <w:lang w:val="en-GB"/>
              </w:rPr>
              <w:t>'</w:t>
            </w:r>
            <w:r w:rsidRPr="00073574">
              <w:rPr>
                <w:rFonts w:asciiTheme="majorBidi" w:hAnsiTheme="majorBidi" w:cstheme="majorBidi"/>
                <w:sz w:val="22"/>
                <w:szCs w:val="22"/>
                <w:lang w:val="en-GB"/>
              </w:rPr>
              <w:t>s Ministry of Information and Communication Technologies. The event explored contemporary challenges to city governance and the well-being of city inhabitants, examining the role to be played by information and communication technologies (ICTs) in the pursuit of the United Nations</w:t>
            </w:r>
            <w:r w:rsidR="003C7E25" w:rsidRPr="00073574">
              <w:rPr>
                <w:rFonts w:asciiTheme="majorBidi" w:hAnsiTheme="majorBidi" w:cstheme="majorBidi"/>
                <w:sz w:val="22"/>
                <w:szCs w:val="22"/>
                <w:lang w:val="en-GB"/>
              </w:rPr>
              <w:t>'</w:t>
            </w:r>
            <w:r w:rsidRPr="00073574">
              <w:rPr>
                <w:rFonts w:asciiTheme="majorBidi" w:hAnsiTheme="majorBidi" w:cstheme="majorBidi"/>
                <w:color w:val="444444"/>
                <w:sz w:val="22"/>
                <w:szCs w:val="22"/>
                <w:lang w:val="en-GB"/>
              </w:rPr>
              <w:t xml:space="preserve"> </w:t>
            </w:r>
            <w:hyperlink r:id="rId556" w:history="1">
              <w:r w:rsidRPr="00073574">
                <w:rPr>
                  <w:rStyle w:val="Hyperlink"/>
                  <w:rFonts w:asciiTheme="majorBidi" w:hAnsiTheme="majorBidi" w:cstheme="majorBidi"/>
                  <w:sz w:val="22"/>
                  <w:szCs w:val="22"/>
                  <w:lang w:val="en-GB"/>
                </w:rPr>
                <w:t>New Urban Agenda</w:t>
              </w:r>
            </w:hyperlink>
            <w:r w:rsidRPr="00073574">
              <w:rPr>
                <w:rFonts w:asciiTheme="majorBidi" w:hAnsiTheme="majorBidi" w:cstheme="majorBidi"/>
                <w:color w:val="444444"/>
                <w:sz w:val="22"/>
                <w:szCs w:val="22"/>
                <w:lang w:val="en-GB"/>
              </w:rPr>
              <w:t xml:space="preserve"> </w:t>
            </w:r>
            <w:r w:rsidRPr="00073574">
              <w:rPr>
                <w:rFonts w:asciiTheme="majorBidi" w:hAnsiTheme="majorBidi" w:cstheme="majorBidi"/>
                <w:sz w:val="22"/>
                <w:szCs w:val="22"/>
                <w:lang w:val="en-GB"/>
              </w:rPr>
              <w:t>and</w:t>
            </w:r>
            <w:r w:rsidRPr="00073574">
              <w:rPr>
                <w:rFonts w:asciiTheme="majorBidi" w:hAnsiTheme="majorBidi" w:cstheme="majorBidi"/>
                <w:color w:val="444444"/>
                <w:sz w:val="22"/>
                <w:szCs w:val="22"/>
                <w:lang w:val="en-GB"/>
              </w:rPr>
              <w:t xml:space="preserve"> </w:t>
            </w:r>
            <w:hyperlink r:id="rId557" w:history="1">
              <w:r w:rsidRPr="00073574">
                <w:rPr>
                  <w:rStyle w:val="Hyperlink"/>
                  <w:rFonts w:asciiTheme="majorBidi" w:hAnsiTheme="majorBidi" w:cstheme="majorBidi"/>
                  <w:sz w:val="22"/>
                  <w:szCs w:val="22"/>
                  <w:lang w:val="en-GB"/>
                </w:rPr>
                <w:t>Sustainable Development Goals</w:t>
              </w:r>
            </w:hyperlink>
            <w:r w:rsidRPr="00073574">
              <w:rPr>
                <w:rFonts w:asciiTheme="majorBidi" w:hAnsiTheme="majorBidi" w:cstheme="majorBidi"/>
                <w:color w:val="444444"/>
                <w:sz w:val="22"/>
                <w:szCs w:val="22"/>
                <w:lang w:val="en-GB"/>
              </w:rPr>
              <w:t>.</w:t>
            </w:r>
          </w:p>
          <w:p w14:paraId="5E4D5108" w14:textId="77B21134" w:rsidR="00F0236A" w:rsidRPr="00073574" w:rsidRDefault="00F0236A" w:rsidP="00DF36E1">
            <w:pPr>
              <w:pStyle w:val="NormalWeb"/>
              <w:spacing w:before="120" w:after="0"/>
              <w:rPr>
                <w:rFonts w:asciiTheme="majorBidi" w:hAnsiTheme="majorBidi" w:cstheme="majorBidi"/>
                <w:sz w:val="22"/>
                <w:szCs w:val="22"/>
                <w:lang w:val="en-GB"/>
              </w:rPr>
            </w:pPr>
            <w:r w:rsidRPr="00073574">
              <w:rPr>
                <w:rFonts w:asciiTheme="majorBidi" w:hAnsiTheme="majorBidi" w:cstheme="majorBidi"/>
                <w:sz w:val="22"/>
                <w:szCs w:val="22"/>
                <w:lang w:val="en-GB"/>
              </w:rPr>
              <w:t>The energy efficiency of 5G systems and electromagnetic compatibility (EMC) requirements to ensure interference-free 5G operation have been identified as high-priority fields of standardization to be addressed by ITU</w:t>
            </w:r>
            <w:r w:rsidR="003C7E25" w:rsidRPr="00073574">
              <w:rPr>
                <w:rFonts w:asciiTheme="majorBidi" w:hAnsiTheme="majorBidi" w:cstheme="majorBidi"/>
                <w:sz w:val="22"/>
                <w:szCs w:val="22"/>
                <w:lang w:val="en-GB"/>
              </w:rPr>
              <w:t>'</w:t>
            </w:r>
            <w:r w:rsidRPr="00073574">
              <w:rPr>
                <w:rFonts w:asciiTheme="majorBidi" w:hAnsiTheme="majorBidi" w:cstheme="majorBidi"/>
                <w:sz w:val="22"/>
                <w:szCs w:val="22"/>
                <w:lang w:val="en-GB"/>
              </w:rPr>
              <w:t xml:space="preserve">s expert group for </w:t>
            </w:r>
            <w:r w:rsidR="003C7E25" w:rsidRPr="00073574">
              <w:rPr>
                <w:rFonts w:asciiTheme="majorBidi" w:hAnsiTheme="majorBidi" w:cstheme="majorBidi"/>
                <w:sz w:val="22"/>
                <w:szCs w:val="22"/>
                <w:lang w:val="en-GB"/>
              </w:rPr>
              <w:t>'</w:t>
            </w:r>
            <w:r w:rsidRPr="00073574">
              <w:rPr>
                <w:rFonts w:asciiTheme="majorBidi" w:hAnsiTheme="majorBidi" w:cstheme="majorBidi"/>
                <w:sz w:val="22"/>
                <w:szCs w:val="22"/>
                <w:lang w:val="en-GB"/>
              </w:rPr>
              <w:t>environment and circular economy</w:t>
            </w:r>
            <w:r w:rsidR="003C7E25" w:rsidRPr="00073574">
              <w:rPr>
                <w:rFonts w:asciiTheme="majorBidi" w:hAnsiTheme="majorBidi" w:cstheme="majorBidi"/>
                <w:sz w:val="22"/>
                <w:szCs w:val="22"/>
                <w:lang w:val="en-GB"/>
              </w:rPr>
              <w:t>'</w:t>
            </w:r>
            <w:r w:rsidRPr="00073574">
              <w:rPr>
                <w:rFonts w:asciiTheme="majorBidi" w:hAnsiTheme="majorBidi" w:cstheme="majorBidi"/>
                <w:sz w:val="22"/>
                <w:szCs w:val="22"/>
                <w:lang w:val="en-GB"/>
              </w:rPr>
              <w:t xml:space="preserve">, </w:t>
            </w:r>
            <w:hyperlink r:id="rId558" w:history="1">
              <w:r w:rsidRPr="00073574">
                <w:rPr>
                  <w:rStyle w:val="Hyperlink"/>
                  <w:rFonts w:asciiTheme="majorBidi" w:hAnsiTheme="majorBidi" w:cstheme="majorBidi"/>
                  <w:sz w:val="22"/>
                  <w:szCs w:val="22"/>
                  <w:lang w:val="en-GB"/>
                </w:rPr>
                <w:t>ITU-T Study Group 5</w:t>
              </w:r>
            </w:hyperlink>
            <w:r w:rsidRPr="00073574">
              <w:rPr>
                <w:rFonts w:asciiTheme="majorBidi" w:hAnsiTheme="majorBidi" w:cstheme="majorBidi"/>
                <w:sz w:val="22"/>
                <w:szCs w:val="22"/>
                <w:lang w:val="en-GB"/>
              </w:rPr>
              <w:t xml:space="preserve">. This was one of the key conclusions of a </w:t>
            </w:r>
            <w:hyperlink r:id="rId559" w:history="1">
              <w:r w:rsidRPr="00073574">
                <w:rPr>
                  <w:rStyle w:val="Hyperlink"/>
                  <w:rFonts w:asciiTheme="majorBidi" w:hAnsiTheme="majorBidi" w:cstheme="majorBidi"/>
                  <w:sz w:val="22"/>
                  <w:szCs w:val="22"/>
                  <w:lang w:val="en-GB"/>
                </w:rPr>
                <w:t>workshop on the environmental requirements of 5G systems</w:t>
              </w:r>
            </w:hyperlink>
            <w:r w:rsidRPr="00073574">
              <w:rPr>
                <w:rFonts w:asciiTheme="majorBidi" w:hAnsiTheme="majorBidi" w:cstheme="majorBidi"/>
                <w:sz w:val="22"/>
                <w:szCs w:val="22"/>
                <w:lang w:val="en-GB"/>
              </w:rPr>
              <w:t xml:space="preserve"> co-organized by ITU and ETSI in Sophia Antipolis, 23 November</w:t>
            </w:r>
            <w:r w:rsidR="00944668" w:rsidRPr="00073574">
              <w:rPr>
                <w:rFonts w:asciiTheme="majorBidi" w:hAnsiTheme="majorBidi" w:cstheme="majorBidi"/>
                <w:sz w:val="22"/>
                <w:szCs w:val="22"/>
                <w:lang w:val="en-GB"/>
              </w:rPr>
              <w:t xml:space="preserve"> 2017</w:t>
            </w:r>
            <w:r w:rsidRPr="00073574">
              <w:rPr>
                <w:rFonts w:asciiTheme="majorBidi" w:hAnsiTheme="majorBidi" w:cstheme="majorBidi"/>
                <w:sz w:val="22"/>
                <w:szCs w:val="22"/>
                <w:lang w:val="en-GB"/>
              </w:rPr>
              <w:t>, in conjunction with a meeting of ITU-T Study Group 5, 13-22 November</w:t>
            </w:r>
            <w:r w:rsidR="00944668" w:rsidRPr="00073574">
              <w:rPr>
                <w:rFonts w:asciiTheme="majorBidi" w:hAnsiTheme="majorBidi" w:cstheme="majorBidi"/>
                <w:sz w:val="22"/>
                <w:szCs w:val="22"/>
                <w:lang w:val="en-GB"/>
              </w:rPr>
              <w:t xml:space="preserve"> 2017</w:t>
            </w:r>
            <w:r w:rsidRPr="00073574">
              <w:rPr>
                <w:rFonts w:asciiTheme="majorBidi" w:hAnsiTheme="majorBidi" w:cstheme="majorBidi"/>
                <w:sz w:val="22"/>
                <w:szCs w:val="22"/>
                <w:lang w:val="en-GB"/>
              </w:rPr>
              <w:t>.</w:t>
            </w:r>
          </w:p>
          <w:p w14:paraId="054AE37E" w14:textId="721CCD50" w:rsidR="00944668" w:rsidRPr="00073574" w:rsidRDefault="00944668" w:rsidP="00944668">
            <w:pPr>
              <w:pStyle w:val="NormalWeb"/>
              <w:spacing w:before="120" w:after="0"/>
              <w:rPr>
                <w:rFonts w:asciiTheme="majorBidi" w:hAnsiTheme="majorBidi" w:cstheme="majorBidi"/>
                <w:sz w:val="22"/>
                <w:szCs w:val="22"/>
                <w:lang w:val="en-GB"/>
              </w:rPr>
            </w:pPr>
            <w:r w:rsidRPr="00073574">
              <w:rPr>
                <w:rFonts w:asciiTheme="majorBidi" w:hAnsiTheme="majorBidi" w:cstheme="majorBidi"/>
                <w:sz w:val="22"/>
                <w:szCs w:val="22"/>
                <w:lang w:val="en-GB"/>
              </w:rPr>
              <w:lastRenderedPageBreak/>
              <w:t xml:space="preserve">The </w:t>
            </w:r>
            <w:hyperlink r:id="rId560" w:history="1">
              <w:r w:rsidRPr="00073574">
                <w:rPr>
                  <w:rStyle w:val="Hyperlink"/>
                  <w:rFonts w:asciiTheme="majorBidi" w:hAnsiTheme="majorBidi" w:cstheme="majorBidi"/>
                  <w:sz w:val="22"/>
                  <w:szCs w:val="22"/>
                  <w:lang w:val="en-GB"/>
                </w:rPr>
                <w:t>8th ITU Green Standards Week</w:t>
              </w:r>
            </w:hyperlink>
            <w:r w:rsidRPr="00073574">
              <w:rPr>
                <w:rFonts w:asciiTheme="majorBidi" w:hAnsiTheme="majorBidi" w:cstheme="majorBidi"/>
                <w:sz w:val="22"/>
                <w:szCs w:val="22"/>
                <w:lang w:val="en-GB"/>
              </w:rPr>
              <w:t xml:space="preserve"> was held from 9 to 12 April 2018, in Zanzibar, Tanzania. It was dedicated to the theme “Linking Circular Economy and Industry 4.0”. It was co-organized together with UN Habitat, United Nations University (UNU), United Nations Industrial Development Organization (UNIDO), Basel Convention and UN Environment. It was kindly hosted by the Universal Communications Service Access Fund (UCSAF) and Tanzania Communications Regulatory Authority (TCRA). The GSW was organized in cooperation with ITU-D and ITU-R.</w:t>
            </w:r>
          </w:p>
          <w:p w14:paraId="5F905C78" w14:textId="0600B7C2" w:rsidR="00944668" w:rsidRPr="00073574" w:rsidRDefault="00944668" w:rsidP="00944668">
            <w:pPr>
              <w:pStyle w:val="NormalWeb"/>
              <w:spacing w:before="120" w:after="0"/>
              <w:rPr>
                <w:rFonts w:asciiTheme="majorBidi" w:hAnsiTheme="majorBidi" w:cstheme="majorBidi"/>
                <w:sz w:val="22"/>
                <w:szCs w:val="22"/>
                <w:lang w:val="en-GB"/>
              </w:rPr>
            </w:pPr>
            <w:r w:rsidRPr="00073574">
              <w:rPr>
                <w:rFonts w:asciiTheme="majorBidi" w:hAnsiTheme="majorBidi" w:cstheme="majorBidi"/>
                <w:sz w:val="22"/>
                <w:szCs w:val="22"/>
                <w:lang w:val="en-GB"/>
              </w:rPr>
              <w:t xml:space="preserve">The </w:t>
            </w:r>
            <w:hyperlink r:id="rId561" w:history="1">
              <w:r w:rsidRPr="00073574">
                <w:rPr>
                  <w:rStyle w:val="Hyperlink"/>
                  <w:rFonts w:asciiTheme="majorBidi" w:hAnsiTheme="majorBidi" w:cstheme="majorBidi"/>
                  <w:sz w:val="22"/>
                  <w:szCs w:val="22"/>
                  <w:lang w:val="en-GB"/>
                </w:rPr>
                <w:t>12th ITU Symposium on ICT, Environment and Climate Change</w:t>
              </w:r>
            </w:hyperlink>
            <w:r w:rsidRPr="00073574">
              <w:rPr>
                <w:rFonts w:asciiTheme="majorBidi" w:hAnsiTheme="majorBidi" w:cstheme="majorBidi"/>
                <w:sz w:val="22"/>
                <w:szCs w:val="22"/>
                <w:lang w:val="en-GB"/>
              </w:rPr>
              <w:t xml:space="preserve"> was held on 9 April 2018 in Zanzibar, Tanzania.</w:t>
            </w:r>
          </w:p>
          <w:p w14:paraId="7B88535E" w14:textId="4161CAD1" w:rsidR="00944668" w:rsidRPr="00073574" w:rsidRDefault="00944668" w:rsidP="00DF36E1">
            <w:pPr>
              <w:pStyle w:val="NormalWeb"/>
              <w:spacing w:before="120" w:after="0"/>
              <w:rPr>
                <w:rFonts w:asciiTheme="majorBidi" w:hAnsiTheme="majorBidi" w:cstheme="majorBidi"/>
                <w:sz w:val="22"/>
                <w:szCs w:val="22"/>
                <w:lang w:val="en-GB"/>
              </w:rPr>
            </w:pPr>
            <w:r w:rsidRPr="00073574">
              <w:rPr>
                <w:rFonts w:asciiTheme="majorBidi" w:hAnsiTheme="majorBidi" w:cstheme="majorBidi"/>
                <w:sz w:val="22"/>
                <w:szCs w:val="22"/>
                <w:lang w:val="en-GB"/>
              </w:rPr>
              <w:t>A workshop on “The role of International Standards and of the Basel Convention in tackling e-waste and achieving a Circular Economy” was held on 23 March 2018 in Geneva, Switzerland.</w:t>
            </w:r>
          </w:p>
          <w:p w14:paraId="4E99CBD0" w14:textId="426751C5" w:rsidR="005E167E" w:rsidRPr="00073574" w:rsidRDefault="005461EB" w:rsidP="00E61A74">
            <w:pPr>
              <w:pStyle w:val="NormalWeb"/>
              <w:spacing w:before="120" w:after="0"/>
              <w:rPr>
                <w:sz w:val="22"/>
                <w:szCs w:val="22"/>
                <w:lang w:val="en-GB"/>
              </w:rPr>
            </w:pPr>
            <w:r w:rsidRPr="00073574">
              <w:rPr>
                <w:sz w:val="22"/>
                <w:szCs w:val="22"/>
                <w:lang w:val="en-GB"/>
              </w:rPr>
              <w:t xml:space="preserve">A </w:t>
            </w:r>
            <w:hyperlink r:id="rId562" w:history="1">
              <w:r w:rsidRPr="00073574">
                <w:rPr>
                  <w:rStyle w:val="Hyperlink"/>
                  <w:rFonts w:eastAsiaTheme="majorEastAsia"/>
                  <w:color w:val="3789BD"/>
                  <w:sz w:val="22"/>
                  <w:szCs w:val="22"/>
                  <w:bdr w:val="none" w:sz="0" w:space="0" w:color="auto" w:frame="1"/>
                  <w:shd w:val="clear" w:color="auto" w:fill="FFFFFF"/>
                  <w:lang w:val="en-GB"/>
                </w:rPr>
                <w:t>Thematic Workshop on Connecting the Circular model of E-waste Management to the Sustainable Development Goals</w:t>
              </w:r>
            </w:hyperlink>
            <w:r w:rsidRPr="00073574">
              <w:rPr>
                <w:sz w:val="22"/>
                <w:szCs w:val="22"/>
                <w:lang w:val="en-GB"/>
              </w:rPr>
              <w:t xml:space="preserve"> took place on 11 April 2019 in Geneva, Switzerland.</w:t>
            </w:r>
          </w:p>
          <w:p w14:paraId="255543B7" w14:textId="10B8BDA6" w:rsidR="00E61A74" w:rsidRPr="00073574" w:rsidRDefault="005461EB" w:rsidP="00E61A74">
            <w:pPr>
              <w:pStyle w:val="NormalWeb"/>
              <w:spacing w:before="120" w:after="0"/>
              <w:rPr>
                <w:sz w:val="22"/>
                <w:szCs w:val="22"/>
                <w:lang w:val="en-GB"/>
              </w:rPr>
            </w:pPr>
            <w:r w:rsidRPr="00073574">
              <w:rPr>
                <w:sz w:val="22"/>
                <w:szCs w:val="22"/>
                <w:lang w:val="en-GB"/>
              </w:rPr>
              <w:t>The</w:t>
            </w:r>
            <w:r w:rsidRPr="00073574">
              <w:rPr>
                <w:b/>
                <w:sz w:val="22"/>
                <w:szCs w:val="22"/>
                <w:lang w:val="en-GB"/>
              </w:rPr>
              <w:t xml:space="preserve"> </w:t>
            </w:r>
            <w:hyperlink r:id="rId563" w:history="1">
              <w:r w:rsidR="00E61A74" w:rsidRPr="00073574">
                <w:rPr>
                  <w:rStyle w:val="Strong"/>
                  <w:b w:val="0"/>
                  <w:sz w:val="22"/>
                  <w:szCs w:val="22"/>
                  <w:lang w:val="en-GB"/>
                </w:rPr>
                <w:t>13th ITU Symposium on ICT, Environment and Climate Change</w:t>
              </w:r>
            </w:hyperlink>
            <w:r w:rsidR="00E61A74" w:rsidRPr="00073574">
              <w:rPr>
                <w:sz w:val="22"/>
                <w:szCs w:val="22"/>
                <w:lang w:val="en-GB"/>
              </w:rPr>
              <w:t>, Geneva, Switzerland</w:t>
            </w:r>
            <w:r w:rsidRPr="00073574">
              <w:rPr>
                <w:sz w:val="22"/>
                <w:szCs w:val="22"/>
                <w:lang w:val="en-GB"/>
              </w:rPr>
              <w:t xml:space="preserve"> took place on</w:t>
            </w:r>
            <w:r w:rsidR="00E61A74" w:rsidRPr="00073574">
              <w:rPr>
                <w:sz w:val="22"/>
                <w:szCs w:val="22"/>
                <w:lang w:val="en-GB"/>
              </w:rPr>
              <w:t xml:space="preserve"> 13 May 2019</w:t>
            </w:r>
            <w:r w:rsidRPr="00073574">
              <w:rPr>
                <w:sz w:val="22"/>
                <w:szCs w:val="22"/>
                <w:lang w:val="en-GB"/>
              </w:rPr>
              <w:t xml:space="preserve"> in Geneva, Switzerland</w:t>
            </w:r>
            <w:r w:rsidR="00E61A74" w:rsidRPr="00073574">
              <w:rPr>
                <w:sz w:val="22"/>
                <w:szCs w:val="22"/>
                <w:lang w:val="en-GB"/>
              </w:rPr>
              <w:t>.</w:t>
            </w:r>
            <w:r w:rsidR="00E424AC" w:rsidRPr="00073574">
              <w:rPr>
                <w:sz w:val="22"/>
                <w:szCs w:val="22"/>
                <w:lang w:val="en-GB"/>
              </w:rPr>
              <w:t xml:space="preserve"> The Symposium was organized with </w:t>
            </w:r>
            <w:r w:rsidR="00330167" w:rsidRPr="00073574">
              <w:rPr>
                <w:sz w:val="22"/>
                <w:szCs w:val="22"/>
                <w:lang w:val="en-GB"/>
              </w:rPr>
              <w:t>eight</w:t>
            </w:r>
            <w:r w:rsidR="00E424AC" w:rsidRPr="00073574">
              <w:rPr>
                <w:sz w:val="22"/>
                <w:szCs w:val="22"/>
                <w:lang w:val="en-GB"/>
              </w:rPr>
              <w:t xml:space="preserve"> UN Agencies and Programmes. It concluded with a Call for Action (available in </w:t>
            </w:r>
            <w:r w:rsidR="00E424AC" w:rsidRPr="00073574">
              <w:rPr>
                <w:color w:val="444444"/>
                <w:sz w:val="22"/>
                <w:szCs w:val="22"/>
                <w:shd w:val="clear" w:color="auto" w:fill="FFFFFF"/>
                <w:lang w:val="en-GB"/>
              </w:rPr>
              <w:t>[</w:t>
            </w:r>
            <w:hyperlink r:id="rId564" w:history="1">
              <w:r w:rsidR="00E424AC" w:rsidRPr="00073574">
                <w:rPr>
                  <w:rStyle w:val="Hyperlink"/>
                  <w:rFonts w:eastAsiaTheme="majorEastAsia"/>
                  <w:color w:val="3789BD"/>
                  <w:sz w:val="22"/>
                  <w:szCs w:val="22"/>
                  <w:bdr w:val="none" w:sz="0" w:space="0" w:color="auto" w:frame="1"/>
                  <w:shd w:val="clear" w:color="auto" w:fill="FFFFFF"/>
                  <w:lang w:val="en-GB"/>
                </w:rPr>
                <w:t>ENG</w:t>
              </w:r>
            </w:hyperlink>
            <w:r w:rsidR="00E424AC" w:rsidRPr="00073574">
              <w:rPr>
                <w:color w:val="444444"/>
                <w:sz w:val="22"/>
                <w:szCs w:val="22"/>
                <w:shd w:val="clear" w:color="auto" w:fill="FFFFFF"/>
                <w:lang w:val="en-GB"/>
              </w:rPr>
              <w:t>][</w:t>
            </w:r>
            <w:hyperlink r:id="rId565" w:history="1">
              <w:r w:rsidR="00E424AC" w:rsidRPr="00073574">
                <w:rPr>
                  <w:rStyle w:val="Hyperlink"/>
                  <w:rFonts w:eastAsiaTheme="majorEastAsia"/>
                  <w:color w:val="3789BD"/>
                  <w:sz w:val="22"/>
                  <w:szCs w:val="22"/>
                  <w:bdr w:val="none" w:sz="0" w:space="0" w:color="auto" w:frame="1"/>
                  <w:shd w:val="clear" w:color="auto" w:fill="FFFFFF"/>
                  <w:lang w:val="en-GB"/>
                </w:rPr>
                <w:t>AR</w:t>
              </w:r>
            </w:hyperlink>
            <w:r w:rsidR="00E424AC" w:rsidRPr="00073574">
              <w:rPr>
                <w:color w:val="444444"/>
                <w:sz w:val="22"/>
                <w:szCs w:val="22"/>
                <w:shd w:val="clear" w:color="auto" w:fill="FFFFFF"/>
                <w:lang w:val="en-GB"/>
              </w:rPr>
              <w:t>][</w:t>
            </w:r>
            <w:hyperlink r:id="rId566" w:history="1">
              <w:r w:rsidR="00E424AC" w:rsidRPr="00073574">
                <w:rPr>
                  <w:rStyle w:val="Hyperlink"/>
                  <w:rFonts w:eastAsiaTheme="majorEastAsia"/>
                  <w:color w:val="3789BD"/>
                  <w:sz w:val="22"/>
                  <w:szCs w:val="22"/>
                  <w:bdr w:val="none" w:sz="0" w:space="0" w:color="auto" w:frame="1"/>
                  <w:shd w:val="clear" w:color="auto" w:fill="FFFFFF"/>
                  <w:lang w:val="en-GB"/>
                </w:rPr>
                <w:t>FR</w:t>
              </w:r>
            </w:hyperlink>
            <w:r w:rsidR="00E424AC" w:rsidRPr="00073574">
              <w:rPr>
                <w:color w:val="444444"/>
                <w:sz w:val="22"/>
                <w:szCs w:val="22"/>
                <w:shd w:val="clear" w:color="auto" w:fill="FFFFFF"/>
                <w:lang w:val="en-GB"/>
              </w:rPr>
              <w:t>][</w:t>
            </w:r>
            <w:hyperlink r:id="rId567" w:history="1">
              <w:r w:rsidR="00E424AC" w:rsidRPr="00073574">
                <w:rPr>
                  <w:rStyle w:val="Hyperlink"/>
                  <w:rFonts w:eastAsiaTheme="majorEastAsia"/>
                  <w:color w:val="3789BD"/>
                  <w:sz w:val="22"/>
                  <w:szCs w:val="22"/>
                  <w:bdr w:val="none" w:sz="0" w:space="0" w:color="auto" w:frame="1"/>
                  <w:shd w:val="clear" w:color="auto" w:fill="FFFFFF"/>
                  <w:lang w:val="en-GB"/>
                </w:rPr>
                <w:t>CH</w:t>
              </w:r>
            </w:hyperlink>
            <w:r w:rsidR="00E424AC" w:rsidRPr="00073574">
              <w:rPr>
                <w:color w:val="444444"/>
                <w:sz w:val="22"/>
                <w:szCs w:val="22"/>
                <w:shd w:val="clear" w:color="auto" w:fill="FFFFFF"/>
                <w:lang w:val="en-GB"/>
              </w:rPr>
              <w:t>][</w:t>
            </w:r>
            <w:hyperlink r:id="rId568" w:history="1">
              <w:r w:rsidR="00E424AC" w:rsidRPr="00073574">
                <w:rPr>
                  <w:rStyle w:val="Hyperlink"/>
                  <w:rFonts w:eastAsiaTheme="majorEastAsia"/>
                  <w:color w:val="3789BD"/>
                  <w:sz w:val="22"/>
                  <w:szCs w:val="22"/>
                  <w:bdr w:val="none" w:sz="0" w:space="0" w:color="auto" w:frame="1"/>
                  <w:shd w:val="clear" w:color="auto" w:fill="FFFFFF"/>
                  <w:lang w:val="en-GB"/>
                </w:rPr>
                <w:t>RU</w:t>
              </w:r>
            </w:hyperlink>
            <w:r w:rsidR="00E424AC" w:rsidRPr="00073574">
              <w:rPr>
                <w:color w:val="444444"/>
                <w:sz w:val="22"/>
                <w:szCs w:val="22"/>
                <w:shd w:val="clear" w:color="auto" w:fill="FFFFFF"/>
                <w:lang w:val="en-GB"/>
              </w:rPr>
              <w:t>][</w:t>
            </w:r>
            <w:hyperlink r:id="rId569" w:history="1">
              <w:r w:rsidR="00E424AC" w:rsidRPr="00073574">
                <w:rPr>
                  <w:rStyle w:val="Hyperlink"/>
                  <w:rFonts w:eastAsiaTheme="majorEastAsia"/>
                  <w:color w:val="3789BD"/>
                  <w:sz w:val="22"/>
                  <w:szCs w:val="22"/>
                  <w:bdr w:val="none" w:sz="0" w:space="0" w:color="auto" w:frame="1"/>
                  <w:shd w:val="clear" w:color="auto" w:fill="FFFFFF"/>
                  <w:lang w:val="en-GB"/>
                </w:rPr>
                <w:t>SPA</w:t>
              </w:r>
            </w:hyperlink>
            <w:r w:rsidR="00E424AC" w:rsidRPr="00073574">
              <w:rPr>
                <w:sz w:val="22"/>
                <w:szCs w:val="22"/>
                <w:lang w:val="en-GB"/>
              </w:rPr>
              <w:t>]), which acknowledges the transformative potential of frontier technologies and the associated risks, while highlighting a course of actions that would build a shared vision on the use of these technologies.</w:t>
            </w:r>
          </w:p>
          <w:p w14:paraId="78055643" w14:textId="67394E4A" w:rsidR="005461EB" w:rsidRPr="00073574" w:rsidRDefault="005461EB" w:rsidP="00E61A74">
            <w:pPr>
              <w:pStyle w:val="NormalWeb"/>
              <w:spacing w:before="120" w:after="0"/>
              <w:rPr>
                <w:rStyle w:val="ms-rteforecolor-2"/>
                <w:sz w:val="22"/>
                <w:szCs w:val="22"/>
                <w:bdr w:val="none" w:sz="0" w:space="0" w:color="auto" w:frame="1"/>
                <w:shd w:val="clear" w:color="auto" w:fill="FFFFFF"/>
                <w:lang w:val="en-GB"/>
              </w:rPr>
            </w:pPr>
            <w:r w:rsidRPr="00073574">
              <w:rPr>
                <w:sz w:val="22"/>
                <w:szCs w:val="22"/>
                <w:lang w:val="en-GB"/>
              </w:rPr>
              <w:t xml:space="preserve">An </w:t>
            </w:r>
            <w:hyperlink r:id="rId570" w:history="1">
              <w:r w:rsidRPr="00073574">
                <w:rPr>
                  <w:rStyle w:val="Hyperlink"/>
                  <w:rFonts w:eastAsiaTheme="majorEastAsia"/>
                  <w:color w:val="3789BD"/>
                  <w:sz w:val="22"/>
                  <w:szCs w:val="22"/>
                  <w:bdr w:val="none" w:sz="0" w:space="0" w:color="auto" w:frame="1"/>
                  <w:shd w:val="clear" w:color="auto" w:fill="FFFFFF"/>
                  <w:lang w:val="en-GB"/>
                </w:rPr>
                <w:t>STI Forum Side Event: Frontier Technologies to Protect the Environment and Tackle Climate Change</w:t>
              </w:r>
            </w:hyperlink>
            <w:r w:rsidRPr="00073574">
              <w:rPr>
                <w:sz w:val="22"/>
                <w:szCs w:val="22"/>
                <w:lang w:val="en-GB"/>
              </w:rPr>
              <w:t xml:space="preserve"> took place on 14 May 2019 in Geneva, Switzerland.</w:t>
            </w:r>
          </w:p>
          <w:p w14:paraId="22060696" w14:textId="151646DA" w:rsidR="00E424AC" w:rsidRPr="00073574" w:rsidRDefault="005461EB" w:rsidP="00E61A74">
            <w:pPr>
              <w:pStyle w:val="NormalWeb"/>
              <w:spacing w:before="120" w:after="0"/>
              <w:rPr>
                <w:rStyle w:val="ms-rteforecolor-2"/>
                <w:sz w:val="22"/>
                <w:szCs w:val="22"/>
                <w:bdr w:val="none" w:sz="0" w:space="0" w:color="auto" w:frame="1"/>
                <w:shd w:val="clear" w:color="auto" w:fill="FFFFFF"/>
                <w:lang w:val="en-GB"/>
              </w:rPr>
            </w:pPr>
            <w:r w:rsidRPr="00073574">
              <w:rPr>
                <w:rStyle w:val="ms-rteforecolor-2"/>
                <w:sz w:val="22"/>
                <w:szCs w:val="22"/>
                <w:bdr w:val="none" w:sz="0" w:space="0" w:color="auto" w:frame="1"/>
                <w:shd w:val="clear" w:color="auto" w:fill="FFFFFF"/>
                <w:lang w:val="en-GB"/>
              </w:rPr>
              <w:t xml:space="preserve">A </w:t>
            </w:r>
            <w:hyperlink r:id="rId571" w:history="1">
              <w:r w:rsidR="00E424AC" w:rsidRPr="00073574">
                <w:rPr>
                  <w:rStyle w:val="Hyperlink"/>
                  <w:sz w:val="22"/>
                  <w:szCs w:val="22"/>
                  <w:bdr w:val="none" w:sz="0" w:space="0" w:color="auto" w:frame="1"/>
                  <w:shd w:val="clear" w:color="auto" w:fill="FFFFFF"/>
                  <w:lang w:val="en-GB"/>
                </w:rPr>
                <w:t>Smart Environment Panel on GHG emissions trajectories for the ICT sector</w:t>
              </w:r>
            </w:hyperlink>
            <w:r w:rsidR="00E424AC" w:rsidRPr="00073574">
              <w:rPr>
                <w:rStyle w:val="ms-rteforecolor-2"/>
                <w:color w:val="FF0000"/>
                <w:sz w:val="22"/>
                <w:szCs w:val="22"/>
                <w:bdr w:val="none" w:sz="0" w:space="0" w:color="auto" w:frame="1"/>
                <w:shd w:val="clear" w:color="auto" w:fill="FFFFFF"/>
                <w:lang w:val="en-GB"/>
              </w:rPr>
              <w:t xml:space="preserve"> </w:t>
            </w:r>
            <w:r w:rsidRPr="00073574">
              <w:rPr>
                <w:rStyle w:val="ms-rteforecolor-2"/>
                <w:sz w:val="22"/>
                <w:szCs w:val="22"/>
                <w:bdr w:val="none" w:sz="0" w:space="0" w:color="auto" w:frame="1"/>
                <w:shd w:val="clear" w:color="auto" w:fill="FFFFFF"/>
                <w:lang w:val="en-GB"/>
              </w:rPr>
              <w:t xml:space="preserve">was </w:t>
            </w:r>
            <w:r w:rsidR="00E424AC" w:rsidRPr="00073574">
              <w:rPr>
                <w:rStyle w:val="ms-rteforecolor-2"/>
                <w:sz w:val="22"/>
                <w:szCs w:val="22"/>
                <w:bdr w:val="none" w:sz="0" w:space="0" w:color="auto" w:frame="1"/>
                <w:shd w:val="clear" w:color="auto" w:fill="FFFFFF"/>
                <w:lang w:val="en-GB"/>
              </w:rPr>
              <w:t>held on 15 May 2019.</w:t>
            </w:r>
          </w:p>
          <w:p w14:paraId="3317E3CD" w14:textId="1630E5F6" w:rsidR="005461EB" w:rsidRPr="00073574" w:rsidRDefault="005461EB" w:rsidP="005461EB">
            <w:pPr>
              <w:pStyle w:val="NormalWeb"/>
              <w:spacing w:before="120" w:after="0"/>
              <w:rPr>
                <w:sz w:val="22"/>
                <w:szCs w:val="22"/>
                <w:lang w:val="en-GB"/>
              </w:rPr>
            </w:pPr>
            <w:r w:rsidRPr="00073574">
              <w:rPr>
                <w:sz w:val="22"/>
                <w:szCs w:val="22"/>
                <w:lang w:val="en-GB"/>
              </w:rPr>
              <w:t xml:space="preserve">A </w:t>
            </w:r>
            <w:hyperlink r:id="rId572" w:tgtFrame="_blank" w:history="1">
              <w:r w:rsidRPr="00073574">
                <w:rPr>
                  <w:rStyle w:val="Hyperlink"/>
                  <w:rFonts w:eastAsiaTheme="majorEastAsia"/>
                  <w:color w:val="3789BD"/>
                  <w:sz w:val="22"/>
                  <w:szCs w:val="22"/>
                  <w:shd w:val="clear" w:color="auto" w:fill="FFFFFF"/>
                  <w:lang w:val="en-GB"/>
                </w:rPr>
                <w:t>HLPF Side Event: "Harnessing Frontier Technologies for Accelerating Climate Actions and the SDGs"</w:t>
              </w:r>
            </w:hyperlink>
            <w:r w:rsidRPr="00073574">
              <w:rPr>
                <w:sz w:val="22"/>
                <w:szCs w:val="22"/>
                <w:lang w:val="en-GB"/>
              </w:rPr>
              <w:t xml:space="preserve"> took place on 9 July 2019 in New York.</w:t>
            </w:r>
          </w:p>
          <w:p w14:paraId="0F1AC7AA" w14:textId="451D8CC8" w:rsidR="00E424AC" w:rsidRPr="00073574" w:rsidRDefault="00E424AC" w:rsidP="00E61A74">
            <w:pPr>
              <w:pStyle w:val="NormalWeb"/>
              <w:spacing w:before="120" w:after="0"/>
              <w:rPr>
                <w:sz w:val="22"/>
                <w:szCs w:val="22"/>
                <w:lang w:val="en-GB"/>
              </w:rPr>
            </w:pPr>
            <w:r w:rsidRPr="00073574">
              <w:rPr>
                <w:sz w:val="22"/>
                <w:szCs w:val="22"/>
                <w:lang w:val="en-GB"/>
              </w:rPr>
              <w:t>The</w:t>
            </w:r>
            <w:r w:rsidR="007E08F2" w:rsidRPr="00073574">
              <w:rPr>
                <w:sz w:val="22"/>
                <w:szCs w:val="22"/>
                <w:lang w:val="en-GB"/>
              </w:rPr>
              <w:t xml:space="preserve"> </w:t>
            </w:r>
            <w:hyperlink r:id="rId573" w:history="1">
              <w:r w:rsidRPr="00073574">
                <w:rPr>
                  <w:rStyle w:val="Hyperlink"/>
                  <w:sz w:val="22"/>
                  <w:szCs w:val="22"/>
                  <w:lang w:val="en-GB"/>
                </w:rPr>
                <w:t>1st Digital African Week</w:t>
              </w:r>
            </w:hyperlink>
            <w:r w:rsidRPr="00073574">
              <w:rPr>
                <w:sz w:val="22"/>
                <w:szCs w:val="22"/>
                <w:lang w:val="en-GB"/>
              </w:rPr>
              <w:t xml:space="preserve"> </w:t>
            </w:r>
            <w:r w:rsidR="001E6534" w:rsidRPr="00073574">
              <w:rPr>
                <w:sz w:val="22"/>
                <w:szCs w:val="22"/>
                <w:lang w:val="en-GB"/>
              </w:rPr>
              <w:t>was</w:t>
            </w:r>
            <w:r w:rsidRPr="00073574">
              <w:rPr>
                <w:sz w:val="22"/>
                <w:szCs w:val="22"/>
                <w:lang w:val="en-GB"/>
              </w:rPr>
              <w:t xml:space="preserve"> held from 27 to 30 August 2019 and ha</w:t>
            </w:r>
            <w:r w:rsidR="001E6534" w:rsidRPr="00073574">
              <w:rPr>
                <w:sz w:val="22"/>
                <w:szCs w:val="22"/>
                <w:lang w:val="en-GB"/>
              </w:rPr>
              <w:t>d</w:t>
            </w:r>
            <w:r w:rsidRPr="00073574">
              <w:rPr>
                <w:sz w:val="22"/>
                <w:szCs w:val="22"/>
                <w:lang w:val="en-GB"/>
              </w:rPr>
              <w:t xml:space="preserve"> the following structure:</w:t>
            </w:r>
          </w:p>
          <w:p w14:paraId="7150F4AB" w14:textId="77777777" w:rsidR="007E08F2" w:rsidRPr="00073574" w:rsidRDefault="007E08F2" w:rsidP="007355EF">
            <w:pPr>
              <w:pStyle w:val="NormalWeb"/>
              <w:numPr>
                <w:ilvl w:val="0"/>
                <w:numId w:val="18"/>
              </w:numPr>
              <w:spacing w:after="120"/>
              <w:contextualSpacing/>
              <w:rPr>
                <w:sz w:val="22"/>
                <w:szCs w:val="22"/>
                <w:lang w:val="en-GB"/>
              </w:rPr>
            </w:pPr>
            <w:r w:rsidRPr="00073574">
              <w:rPr>
                <w:sz w:val="22"/>
                <w:szCs w:val="22"/>
                <w:lang w:val="en-GB"/>
              </w:rPr>
              <w:t>Bridging the Standardization Gap Training on "How to draft international standards", 27 August 2019 (morning only)</w:t>
            </w:r>
          </w:p>
          <w:p w14:paraId="19F65368" w14:textId="77777777" w:rsidR="007E08F2" w:rsidRPr="00073574" w:rsidRDefault="007E08F2" w:rsidP="007355EF">
            <w:pPr>
              <w:pStyle w:val="NormalWeb"/>
              <w:numPr>
                <w:ilvl w:val="0"/>
                <w:numId w:val="18"/>
              </w:numPr>
              <w:spacing w:after="120"/>
              <w:contextualSpacing/>
              <w:rPr>
                <w:sz w:val="22"/>
                <w:szCs w:val="22"/>
                <w:lang w:val="en-GB"/>
              </w:rPr>
            </w:pPr>
            <w:r w:rsidRPr="00073574">
              <w:rPr>
                <w:sz w:val="22"/>
                <w:szCs w:val="22"/>
                <w:lang w:val="en-GB"/>
              </w:rPr>
              <w:t>ITU-T Study Group 20 Regional Group for Africa (ITU-T SG20RG-AFR) meeting, 27-29 August 2019</w:t>
            </w:r>
          </w:p>
          <w:p w14:paraId="6C16E1A6" w14:textId="77777777" w:rsidR="007E08F2" w:rsidRPr="00073574" w:rsidRDefault="007E08F2" w:rsidP="007355EF">
            <w:pPr>
              <w:pStyle w:val="NormalWeb"/>
              <w:numPr>
                <w:ilvl w:val="0"/>
                <w:numId w:val="18"/>
              </w:numPr>
              <w:spacing w:after="120"/>
              <w:contextualSpacing/>
              <w:rPr>
                <w:sz w:val="22"/>
                <w:szCs w:val="22"/>
                <w:lang w:val="en-GB"/>
              </w:rPr>
            </w:pPr>
            <w:r w:rsidRPr="00073574">
              <w:rPr>
                <w:sz w:val="22"/>
                <w:szCs w:val="22"/>
                <w:lang w:val="en-GB"/>
              </w:rPr>
              <w:t>Training on "Smart Sustainable Cities, Products and Services", 27 August 2019 (afternoon only)</w:t>
            </w:r>
          </w:p>
          <w:p w14:paraId="468582FF" w14:textId="1E4B49F0" w:rsidR="007E08F2" w:rsidRPr="00073574" w:rsidRDefault="007E08F2" w:rsidP="007355EF">
            <w:pPr>
              <w:pStyle w:val="NormalWeb"/>
              <w:numPr>
                <w:ilvl w:val="0"/>
                <w:numId w:val="18"/>
              </w:numPr>
              <w:spacing w:after="120"/>
              <w:contextualSpacing/>
              <w:rPr>
                <w:sz w:val="22"/>
                <w:szCs w:val="22"/>
                <w:lang w:val="en-GB"/>
              </w:rPr>
            </w:pPr>
            <w:r w:rsidRPr="00073574">
              <w:rPr>
                <w:sz w:val="22"/>
                <w:szCs w:val="22"/>
                <w:lang w:val="en-GB"/>
              </w:rPr>
              <w:t>ITU Forum on "Smart Sustainable Africa", 28 August 2019</w:t>
            </w:r>
          </w:p>
          <w:p w14:paraId="602B6442" w14:textId="77777777" w:rsidR="007E08F2" w:rsidRPr="00073574" w:rsidRDefault="007E08F2" w:rsidP="007355EF">
            <w:pPr>
              <w:pStyle w:val="NormalWeb"/>
              <w:numPr>
                <w:ilvl w:val="0"/>
                <w:numId w:val="18"/>
              </w:numPr>
              <w:spacing w:after="120"/>
              <w:contextualSpacing/>
              <w:rPr>
                <w:sz w:val="22"/>
                <w:szCs w:val="22"/>
                <w:lang w:val="en-GB"/>
              </w:rPr>
            </w:pPr>
            <w:r w:rsidRPr="00073574">
              <w:rPr>
                <w:sz w:val="22"/>
                <w:szCs w:val="22"/>
                <w:lang w:val="en-GB"/>
              </w:rPr>
              <w:t>ITU-T Study Group 5 Regional Group for Africa (ITU-T SG5RG-AFR) meeting, 29-30 August 2019</w:t>
            </w:r>
          </w:p>
          <w:p w14:paraId="2C4CEE72" w14:textId="687FE552" w:rsidR="007E08F2" w:rsidRPr="00073574" w:rsidRDefault="007E08F2" w:rsidP="007355EF">
            <w:pPr>
              <w:pStyle w:val="NormalWeb"/>
              <w:numPr>
                <w:ilvl w:val="0"/>
                <w:numId w:val="18"/>
              </w:numPr>
              <w:spacing w:after="120"/>
              <w:contextualSpacing/>
              <w:rPr>
                <w:sz w:val="22"/>
                <w:szCs w:val="22"/>
                <w:lang w:val="en-GB"/>
              </w:rPr>
            </w:pPr>
            <w:r w:rsidRPr="00073574">
              <w:rPr>
                <w:sz w:val="22"/>
                <w:szCs w:val="22"/>
                <w:lang w:val="en-GB"/>
              </w:rPr>
              <w:t>Forum on "Human Exposure to Electromagnetic Fields (EMFs) in Africa", 2</w:t>
            </w:r>
            <w:r w:rsidR="00E31596" w:rsidRPr="00073574">
              <w:rPr>
                <w:sz w:val="22"/>
                <w:szCs w:val="22"/>
                <w:lang w:val="en-GB"/>
              </w:rPr>
              <w:t>9 August 2019 (afternoon only),</w:t>
            </w:r>
          </w:p>
          <w:p w14:paraId="79A8A094" w14:textId="41A0A007" w:rsidR="007E08F2" w:rsidRPr="00073574" w:rsidRDefault="007E08F2" w:rsidP="007355EF">
            <w:pPr>
              <w:pStyle w:val="NormalWeb"/>
              <w:numPr>
                <w:ilvl w:val="0"/>
                <w:numId w:val="18"/>
              </w:numPr>
              <w:spacing w:after="120"/>
              <w:contextualSpacing/>
              <w:rPr>
                <w:sz w:val="22"/>
                <w:szCs w:val="22"/>
                <w:lang w:val="en-GB"/>
              </w:rPr>
            </w:pPr>
            <w:r w:rsidRPr="00073574">
              <w:rPr>
                <w:sz w:val="22"/>
                <w:szCs w:val="22"/>
                <w:lang w:val="en-GB"/>
              </w:rPr>
              <w:t>ITU Training on "E-waste Management and Circular Economy", 30 August 2019 (morning only).</w:t>
            </w:r>
          </w:p>
          <w:p w14:paraId="289E728D" w14:textId="260EB33E" w:rsidR="007E08F2" w:rsidRPr="00073574" w:rsidRDefault="007E08F2" w:rsidP="002F1359">
            <w:pPr>
              <w:pStyle w:val="NormalWeb"/>
              <w:spacing w:before="240" w:after="120"/>
              <w:rPr>
                <w:sz w:val="22"/>
                <w:szCs w:val="22"/>
                <w:lang w:val="en-GB"/>
              </w:rPr>
            </w:pPr>
            <w:r w:rsidRPr="00073574">
              <w:rPr>
                <w:sz w:val="22"/>
                <w:szCs w:val="22"/>
                <w:lang w:val="en-GB"/>
              </w:rPr>
              <w:t xml:space="preserve">The 9th Green Standards Week </w:t>
            </w:r>
            <w:r w:rsidR="001E6534" w:rsidRPr="00073574">
              <w:rPr>
                <w:sz w:val="22"/>
                <w:szCs w:val="22"/>
                <w:lang w:val="en-GB"/>
              </w:rPr>
              <w:t>took</w:t>
            </w:r>
            <w:r w:rsidRPr="00073574">
              <w:rPr>
                <w:sz w:val="22"/>
                <w:szCs w:val="22"/>
                <w:lang w:val="en-GB"/>
              </w:rPr>
              <w:t xml:space="preserve"> place from 1 to 4 October 2019 in</w:t>
            </w:r>
            <w:r w:rsidR="002658E3" w:rsidRPr="00073574">
              <w:rPr>
                <w:sz w:val="22"/>
                <w:szCs w:val="22"/>
                <w:lang w:val="en-GB"/>
              </w:rPr>
              <w:t xml:space="preserve"> Valencia, Spain. The GSW </w:t>
            </w:r>
            <w:r w:rsidR="001E6534" w:rsidRPr="00073574">
              <w:rPr>
                <w:sz w:val="22"/>
                <w:szCs w:val="22"/>
                <w:lang w:val="en-GB"/>
              </w:rPr>
              <w:t>wa</w:t>
            </w:r>
            <w:r w:rsidR="002658E3" w:rsidRPr="00073574">
              <w:rPr>
                <w:sz w:val="22"/>
                <w:szCs w:val="22"/>
                <w:lang w:val="en-GB"/>
              </w:rPr>
              <w:t xml:space="preserve">s dedicated to theme “Connecting cities with the sustainable development goals” and </w:t>
            </w:r>
            <w:r w:rsidR="001E6534" w:rsidRPr="00073574">
              <w:rPr>
                <w:sz w:val="22"/>
                <w:szCs w:val="22"/>
                <w:lang w:val="en-GB"/>
              </w:rPr>
              <w:t>was</w:t>
            </w:r>
            <w:r w:rsidR="002658E3" w:rsidRPr="00073574">
              <w:rPr>
                <w:sz w:val="22"/>
                <w:szCs w:val="22"/>
                <w:lang w:val="en-GB"/>
              </w:rPr>
              <w:t xml:space="preserve"> organized with more than 20 partners. The GSW’s structure </w:t>
            </w:r>
            <w:r w:rsidR="001E6534" w:rsidRPr="00073574">
              <w:rPr>
                <w:sz w:val="22"/>
                <w:szCs w:val="22"/>
                <w:lang w:val="en-GB"/>
              </w:rPr>
              <w:t xml:space="preserve">was </w:t>
            </w:r>
            <w:r w:rsidR="002658E3" w:rsidRPr="00073574">
              <w:rPr>
                <w:sz w:val="22"/>
                <w:szCs w:val="22"/>
                <w:lang w:val="en-GB"/>
              </w:rPr>
              <w:t>the following:</w:t>
            </w:r>
          </w:p>
          <w:p w14:paraId="73422C05" w14:textId="649737BD" w:rsidR="002658E3" w:rsidRPr="00073574" w:rsidRDefault="002658E3" w:rsidP="007355EF">
            <w:pPr>
              <w:numPr>
                <w:ilvl w:val="0"/>
                <w:numId w:val="18"/>
              </w:numPr>
              <w:shd w:val="clear" w:color="auto" w:fill="FFFFFF"/>
              <w:spacing w:before="0"/>
              <w:textAlignment w:val="baseline"/>
              <w:rPr>
                <w:rFonts w:eastAsia="Times New Roman"/>
                <w:lang w:eastAsia="en-GB"/>
              </w:rPr>
            </w:pPr>
            <w:r w:rsidRPr="00073574">
              <w:rPr>
                <w:rStyle w:val="Strong"/>
                <w:bdr w:val="none" w:sz="0" w:space="0" w:color="auto" w:frame="1"/>
              </w:rPr>
              <w:t>Day 1 -</w:t>
            </w:r>
            <w:r w:rsidR="000D0E98" w:rsidRPr="00073574">
              <w:rPr>
                <w:rStyle w:val="Strong"/>
                <w:bdr w:val="none" w:sz="0" w:space="0" w:color="auto" w:frame="1"/>
              </w:rPr>
              <w:t xml:space="preserve"> </w:t>
            </w:r>
            <w:r w:rsidRPr="00073574">
              <w:rPr>
                <w:rStyle w:val="Strong"/>
                <w:bdr w:val="none" w:sz="0" w:space="0" w:color="auto" w:frame="1"/>
              </w:rPr>
              <w:t>Tuesday, 1 October 2019</w:t>
            </w:r>
          </w:p>
          <w:p w14:paraId="4C9FA3AB" w14:textId="77777777" w:rsidR="002658E3" w:rsidRPr="00073574" w:rsidRDefault="0053741E" w:rsidP="007355EF">
            <w:pPr>
              <w:pStyle w:val="ListParagraph"/>
              <w:numPr>
                <w:ilvl w:val="0"/>
                <w:numId w:val="18"/>
              </w:numPr>
              <w:shd w:val="clear" w:color="auto" w:fill="FFFFFF"/>
              <w:spacing w:before="0"/>
              <w:textAlignment w:val="baseline"/>
              <w:rPr>
                <w:color w:val="444444"/>
              </w:rPr>
            </w:pPr>
            <w:hyperlink r:id="rId574" w:history="1">
              <w:r w:rsidR="002658E3" w:rsidRPr="00073574">
                <w:rPr>
                  <w:rStyle w:val="Hyperlink"/>
                  <w:color w:val="3789BD"/>
                  <w:bdr w:val="none" w:sz="0" w:space="0" w:color="auto" w:frame="1"/>
                </w:rPr>
                <w:t>Leadership Panel on "Connecting Smart Sustainable Cities with the Sustainable Development Goals"</w:t>
              </w:r>
            </w:hyperlink>
          </w:p>
          <w:p w14:paraId="2356A7AC" w14:textId="77777777" w:rsidR="002658E3" w:rsidRPr="00073574" w:rsidRDefault="0053741E" w:rsidP="007355EF">
            <w:pPr>
              <w:pStyle w:val="ListParagraph"/>
              <w:numPr>
                <w:ilvl w:val="0"/>
                <w:numId w:val="18"/>
              </w:numPr>
              <w:shd w:val="clear" w:color="auto" w:fill="FFFFFF"/>
              <w:spacing w:before="0"/>
              <w:textAlignment w:val="baseline"/>
              <w:rPr>
                <w:color w:val="444444"/>
              </w:rPr>
            </w:pPr>
            <w:hyperlink r:id="rId575" w:history="1">
              <w:r w:rsidR="002658E3" w:rsidRPr="00073574">
                <w:rPr>
                  <w:rStyle w:val="Hyperlink"/>
                  <w:color w:val="3789BD"/>
                  <w:bdr w:val="none" w:sz="0" w:space="0" w:color="auto" w:frame="1"/>
                </w:rPr>
                <w:t>U4SSC Award Ceremony &amp; Photo Session</w:t>
              </w:r>
            </w:hyperlink>
          </w:p>
          <w:p w14:paraId="4E6B2F13" w14:textId="77777777" w:rsidR="002658E3" w:rsidRPr="00073574" w:rsidRDefault="0053741E" w:rsidP="007355EF">
            <w:pPr>
              <w:pStyle w:val="ListParagraph"/>
              <w:numPr>
                <w:ilvl w:val="0"/>
                <w:numId w:val="18"/>
              </w:numPr>
              <w:shd w:val="clear" w:color="auto" w:fill="FFFFFF"/>
              <w:spacing w:before="0"/>
              <w:textAlignment w:val="baseline"/>
              <w:rPr>
                <w:color w:val="444444"/>
              </w:rPr>
            </w:pPr>
            <w:hyperlink r:id="rId576" w:history="1">
              <w:r w:rsidR="002658E3" w:rsidRPr="00073574">
                <w:rPr>
                  <w:rStyle w:val="Hyperlink"/>
                  <w:color w:val="3789BD"/>
                  <w:bdr w:val="none" w:sz="0" w:space="0" w:color="auto" w:frame="1"/>
                </w:rPr>
                <w:t>Forum on "Frontier Technologies to Tackle Climate Change and Achieve a Circular Economy"</w:t>
              </w:r>
            </w:hyperlink>
          </w:p>
          <w:p w14:paraId="00F9D196" w14:textId="25822F2F" w:rsidR="002658E3" w:rsidRPr="00073574" w:rsidRDefault="002658E3" w:rsidP="007355EF">
            <w:pPr>
              <w:numPr>
                <w:ilvl w:val="0"/>
                <w:numId w:val="18"/>
              </w:numPr>
              <w:shd w:val="clear" w:color="auto" w:fill="FFFFFF"/>
              <w:spacing w:before="0"/>
              <w:textAlignment w:val="baseline"/>
            </w:pPr>
            <w:r w:rsidRPr="00073574">
              <w:rPr>
                <w:rStyle w:val="Strong"/>
                <w:bdr w:val="none" w:sz="0" w:space="0" w:color="auto" w:frame="1"/>
              </w:rPr>
              <w:t>Day 2 - Wednesday, 2 October 2019</w:t>
            </w:r>
          </w:p>
          <w:p w14:paraId="0AEA0744" w14:textId="77777777" w:rsidR="002658E3" w:rsidRPr="00073574" w:rsidRDefault="0053741E" w:rsidP="007355EF">
            <w:pPr>
              <w:pStyle w:val="ListParagraph"/>
              <w:numPr>
                <w:ilvl w:val="0"/>
                <w:numId w:val="18"/>
              </w:numPr>
              <w:shd w:val="clear" w:color="auto" w:fill="FFFFFF"/>
              <w:spacing w:before="0"/>
              <w:textAlignment w:val="baseline"/>
              <w:rPr>
                <w:color w:val="444444"/>
              </w:rPr>
            </w:pPr>
            <w:hyperlink r:id="rId577" w:history="1">
              <w:r w:rsidR="002658E3" w:rsidRPr="00073574">
                <w:rPr>
                  <w:rStyle w:val="Hyperlink"/>
                  <w:color w:val="3789BD"/>
                  <w:bdr w:val="none" w:sz="0" w:space="0" w:color="auto" w:frame="1"/>
                </w:rPr>
                <w:t>Forum on "Smart Governance in Cities"</w:t>
              </w:r>
            </w:hyperlink>
          </w:p>
          <w:p w14:paraId="4F256FC7" w14:textId="77777777" w:rsidR="002658E3" w:rsidRPr="00073574" w:rsidRDefault="0053741E" w:rsidP="007355EF">
            <w:pPr>
              <w:pStyle w:val="ListParagraph"/>
              <w:numPr>
                <w:ilvl w:val="0"/>
                <w:numId w:val="18"/>
              </w:numPr>
              <w:shd w:val="clear" w:color="auto" w:fill="FFFFFF"/>
              <w:spacing w:before="0"/>
              <w:textAlignment w:val="baseline"/>
              <w:rPr>
                <w:color w:val="444444"/>
              </w:rPr>
            </w:pPr>
            <w:hyperlink r:id="rId578" w:history="1">
              <w:r w:rsidR="002658E3" w:rsidRPr="00073574">
                <w:rPr>
                  <w:rStyle w:val="Hyperlink"/>
                  <w:color w:val="3789BD"/>
                  <w:bdr w:val="none" w:sz="0" w:space="0" w:color="auto" w:frame="1"/>
                </w:rPr>
                <w:t>Valencia: Smart City</w:t>
              </w:r>
            </w:hyperlink>
          </w:p>
          <w:p w14:paraId="6A3E13D9" w14:textId="77777777" w:rsidR="002658E3" w:rsidRPr="00073574" w:rsidRDefault="002658E3" w:rsidP="007355EF">
            <w:pPr>
              <w:keepNext/>
              <w:keepLines/>
              <w:numPr>
                <w:ilvl w:val="0"/>
                <w:numId w:val="18"/>
              </w:numPr>
              <w:shd w:val="clear" w:color="auto" w:fill="FFFFFF"/>
              <w:spacing w:before="0"/>
              <w:textAlignment w:val="baseline"/>
            </w:pPr>
            <w:r w:rsidRPr="00073574">
              <w:rPr>
                <w:rStyle w:val="Strong"/>
                <w:bdr w:val="none" w:sz="0" w:space="0" w:color="auto" w:frame="1"/>
              </w:rPr>
              <w:t>Day 3 - Thursday, 3 October 2019</w:t>
            </w:r>
          </w:p>
          <w:p w14:paraId="6A8C593A" w14:textId="77777777" w:rsidR="002658E3" w:rsidRPr="00073574" w:rsidRDefault="0053741E" w:rsidP="007355EF">
            <w:pPr>
              <w:pStyle w:val="ListParagraph"/>
              <w:keepNext/>
              <w:keepLines/>
              <w:numPr>
                <w:ilvl w:val="0"/>
                <w:numId w:val="18"/>
              </w:numPr>
              <w:shd w:val="clear" w:color="auto" w:fill="FFFFFF"/>
              <w:spacing w:before="0"/>
              <w:textAlignment w:val="baseline"/>
              <w:rPr>
                <w:color w:val="444444"/>
              </w:rPr>
            </w:pPr>
            <w:hyperlink r:id="rId579" w:history="1">
              <w:r w:rsidR="002658E3" w:rsidRPr="00073574">
                <w:rPr>
                  <w:rStyle w:val="Hyperlink"/>
                  <w:color w:val="3789BD"/>
                  <w:bdr w:val="none" w:sz="0" w:space="0" w:color="auto" w:frame="1"/>
                </w:rPr>
                <w:t>4</w:t>
              </w:r>
              <w:r w:rsidR="002658E3" w:rsidRPr="00073574">
                <w:rPr>
                  <w:rStyle w:val="Hyperlink"/>
                  <w:color w:val="3789BD"/>
                  <w:bdr w:val="none" w:sz="0" w:space="0" w:color="auto" w:frame="1"/>
                  <w:vertAlign w:val="superscript"/>
                </w:rPr>
                <w:t>th</w:t>
              </w:r>
              <w:r w:rsidR="002658E3" w:rsidRPr="00073574">
                <w:rPr>
                  <w:rStyle w:val="Hyperlink"/>
                  <w:color w:val="3789BD"/>
                  <w:bdr w:val="none" w:sz="0" w:space="0" w:color="auto" w:frame="1"/>
                </w:rPr>
                <w:t> meeting of the United for Smart Sustainable Cities Initiative (U4SSC)</w:t>
              </w:r>
            </w:hyperlink>
          </w:p>
          <w:p w14:paraId="2547E767" w14:textId="6AC07D5C" w:rsidR="002658E3" w:rsidRPr="00073574" w:rsidRDefault="002658E3" w:rsidP="007355EF">
            <w:pPr>
              <w:pStyle w:val="ListParagraph"/>
              <w:numPr>
                <w:ilvl w:val="0"/>
                <w:numId w:val="18"/>
              </w:numPr>
              <w:shd w:val="clear" w:color="auto" w:fill="FFFFFF"/>
              <w:spacing w:before="0"/>
              <w:textAlignment w:val="baseline"/>
              <w:rPr>
                <w:color w:val="444444"/>
              </w:rPr>
            </w:pPr>
            <w:r w:rsidRPr="00073574">
              <w:rPr>
                <w:color w:val="444444"/>
              </w:rPr>
              <w:t>Meeting of the Spanish Expert Committee on Smart Sustainable Cities -</w:t>
            </w:r>
            <w:r w:rsidR="009475B0" w:rsidRPr="00073574">
              <w:rPr>
                <w:color w:val="444444"/>
              </w:rPr>
              <w:t xml:space="preserve"> </w:t>
            </w:r>
            <w:r w:rsidRPr="00073574">
              <w:rPr>
                <w:rStyle w:val="Emphasis"/>
                <w:color w:val="444444"/>
                <w:bdr w:val="none" w:sz="0" w:space="0" w:color="auto" w:frame="1"/>
              </w:rPr>
              <w:t>by invitation only</w:t>
            </w:r>
          </w:p>
          <w:p w14:paraId="52853262" w14:textId="5E3A50EF" w:rsidR="002658E3" w:rsidRPr="00073574" w:rsidRDefault="002658E3" w:rsidP="007355EF">
            <w:pPr>
              <w:numPr>
                <w:ilvl w:val="0"/>
                <w:numId w:val="18"/>
              </w:numPr>
              <w:shd w:val="clear" w:color="auto" w:fill="FFFFFF"/>
              <w:spacing w:before="0"/>
              <w:textAlignment w:val="baseline"/>
            </w:pPr>
            <w:r w:rsidRPr="00073574">
              <w:rPr>
                <w:rStyle w:val="Strong"/>
                <w:bdr w:val="none" w:sz="0" w:space="0" w:color="auto" w:frame="1"/>
              </w:rPr>
              <w:t>Day 4 - Friday, 4</w:t>
            </w:r>
            <w:r w:rsidR="009475B0" w:rsidRPr="00073574">
              <w:rPr>
                <w:rStyle w:val="Strong"/>
                <w:bdr w:val="none" w:sz="0" w:space="0" w:color="auto" w:frame="1"/>
              </w:rPr>
              <w:t xml:space="preserve"> </w:t>
            </w:r>
            <w:r w:rsidRPr="00073574">
              <w:rPr>
                <w:rStyle w:val="Strong"/>
                <w:bdr w:val="none" w:sz="0" w:space="0" w:color="auto" w:frame="1"/>
              </w:rPr>
              <w:t>October 2019</w:t>
            </w:r>
          </w:p>
          <w:p w14:paraId="5B985997" w14:textId="77777777" w:rsidR="001E6534" w:rsidRPr="00073574" w:rsidRDefault="0053741E" w:rsidP="007355EF">
            <w:pPr>
              <w:pStyle w:val="ListParagraph"/>
              <w:numPr>
                <w:ilvl w:val="0"/>
                <w:numId w:val="18"/>
              </w:numPr>
              <w:shd w:val="clear" w:color="auto" w:fill="FFFFFF"/>
              <w:spacing w:before="0" w:after="40"/>
              <w:contextualSpacing w:val="0"/>
              <w:textAlignment w:val="baseline"/>
              <w:rPr>
                <w:color w:val="444444"/>
              </w:rPr>
            </w:pPr>
            <w:hyperlink r:id="rId580" w:history="1">
              <w:r w:rsidR="002658E3" w:rsidRPr="00073574">
                <w:rPr>
                  <w:rStyle w:val="Hyperlink"/>
                  <w:color w:val="3789BD"/>
                  <w:bdr w:val="none" w:sz="0" w:space="0" w:color="auto" w:frame="1"/>
                </w:rPr>
                <w:t>Training on Building Smarter and More Sustainable Cities</w:t>
              </w:r>
            </w:hyperlink>
            <w:r w:rsidR="009475B0" w:rsidRPr="00073574">
              <w:rPr>
                <w:color w:val="444444"/>
              </w:rPr>
              <w:t>.</w:t>
            </w:r>
          </w:p>
          <w:p w14:paraId="0D150091" w14:textId="45316C24" w:rsidR="001E6534" w:rsidRPr="00073574" w:rsidRDefault="2FE54580" w:rsidP="00657757">
            <w:pPr>
              <w:shd w:val="clear" w:color="auto" w:fill="FFFFFF" w:themeFill="background1"/>
              <w:spacing w:before="240" w:after="40"/>
              <w:textAlignment w:val="baseline"/>
              <w:rPr>
                <w:color w:val="444444"/>
              </w:rPr>
            </w:pPr>
            <w:r w:rsidRPr="00073574">
              <w:t xml:space="preserve">The 9th GSW concluded with a Call to Action urging city stakeholders to accelerate the transition to Smart Sustainable Cities using ICTs and new frontier technologies. The Call to Action is available in </w:t>
            </w:r>
            <w:hyperlink r:id="rId581">
              <w:r w:rsidRPr="00073574">
                <w:rPr>
                  <w:rStyle w:val="Hyperlink"/>
                </w:rPr>
                <w:t>English</w:t>
              </w:r>
            </w:hyperlink>
            <w:r w:rsidRPr="00073574">
              <w:rPr>
                <w:color w:val="444444"/>
              </w:rPr>
              <w:t xml:space="preserve">, </w:t>
            </w:r>
            <w:hyperlink r:id="rId582">
              <w:r w:rsidRPr="00073574">
                <w:rPr>
                  <w:rStyle w:val="Hyperlink"/>
                </w:rPr>
                <w:t>Spanish</w:t>
              </w:r>
            </w:hyperlink>
            <w:r w:rsidRPr="00073574">
              <w:rPr>
                <w:color w:val="444444"/>
              </w:rPr>
              <w:t xml:space="preserve">, </w:t>
            </w:r>
            <w:hyperlink r:id="rId583">
              <w:r w:rsidRPr="00073574">
                <w:rPr>
                  <w:rStyle w:val="Hyperlink"/>
                </w:rPr>
                <w:t>Russian</w:t>
              </w:r>
            </w:hyperlink>
            <w:r w:rsidRPr="00073574">
              <w:rPr>
                <w:color w:val="444444"/>
              </w:rPr>
              <w:t xml:space="preserve">, </w:t>
            </w:r>
            <w:hyperlink r:id="rId584">
              <w:r w:rsidRPr="00073574">
                <w:rPr>
                  <w:rStyle w:val="Hyperlink"/>
                </w:rPr>
                <w:t>Arabic</w:t>
              </w:r>
            </w:hyperlink>
            <w:r w:rsidRPr="00073574">
              <w:rPr>
                <w:color w:val="444444"/>
              </w:rPr>
              <w:t xml:space="preserve">, </w:t>
            </w:r>
            <w:hyperlink r:id="rId585">
              <w:r w:rsidRPr="00073574">
                <w:rPr>
                  <w:rStyle w:val="Hyperlink"/>
                </w:rPr>
                <w:t>French</w:t>
              </w:r>
            </w:hyperlink>
            <w:r w:rsidRPr="00073574">
              <w:rPr>
                <w:color w:val="444444"/>
              </w:rPr>
              <w:t xml:space="preserve"> and </w:t>
            </w:r>
            <w:hyperlink r:id="rId586">
              <w:r w:rsidRPr="00073574">
                <w:rPr>
                  <w:rStyle w:val="Hyperlink"/>
                </w:rPr>
                <w:t>Chinese</w:t>
              </w:r>
            </w:hyperlink>
            <w:r w:rsidRPr="00073574">
              <w:rPr>
                <w:color w:val="444444"/>
              </w:rPr>
              <w:t>.</w:t>
            </w:r>
          </w:p>
          <w:p w14:paraId="4A63E396" w14:textId="77777777" w:rsidR="00B4777B" w:rsidRPr="00073574" w:rsidRDefault="00B4777B" w:rsidP="00657757">
            <w:pPr>
              <w:shd w:val="clear" w:color="auto" w:fill="FFFFFF" w:themeFill="background1"/>
              <w:spacing w:after="40"/>
              <w:textAlignment w:val="baseline"/>
            </w:pPr>
            <w:r w:rsidRPr="00073574">
              <w:rPr>
                <w:color w:val="444444"/>
              </w:rPr>
              <w:t xml:space="preserve">A </w:t>
            </w:r>
            <w:hyperlink r:id="rId587" w:history="1">
              <w:r w:rsidRPr="00073574">
                <w:rPr>
                  <w:rStyle w:val="Hyperlink"/>
                </w:rPr>
                <w:t>Webinar on Using international standards to tackle the e-waste challenge</w:t>
              </w:r>
            </w:hyperlink>
            <w:r w:rsidRPr="00073574">
              <w:rPr>
                <w:color w:val="444444"/>
              </w:rPr>
              <w:t xml:space="preserve"> </w:t>
            </w:r>
            <w:r w:rsidRPr="00073574">
              <w:t>was held on 1 and 2 April 2020.</w:t>
            </w:r>
          </w:p>
          <w:p w14:paraId="0FC17CF6" w14:textId="0CE39BA6" w:rsidR="00B4777B" w:rsidRPr="00073574" w:rsidRDefault="00B4777B" w:rsidP="539711DF">
            <w:pPr>
              <w:shd w:val="clear" w:color="auto" w:fill="FFFFFF" w:themeFill="background1"/>
              <w:spacing w:before="0" w:after="40"/>
              <w:textAlignment w:val="baseline"/>
            </w:pPr>
            <w:r w:rsidRPr="00073574">
              <w:t xml:space="preserve">A Webinar on Explore a circular vision for the ICT sector was held on 14 and 16 April 2020. </w:t>
            </w:r>
          </w:p>
          <w:p w14:paraId="12D6DE36" w14:textId="0ABDC8E0" w:rsidR="00B4777B" w:rsidRPr="00073574" w:rsidRDefault="00B4777B" w:rsidP="539711DF">
            <w:pPr>
              <w:shd w:val="clear" w:color="auto" w:fill="FFFFFF" w:themeFill="background1"/>
              <w:spacing w:before="0" w:after="40"/>
              <w:textAlignment w:val="baseline"/>
            </w:pPr>
            <w:r w:rsidRPr="00073574">
              <w:t>A</w:t>
            </w:r>
            <w:r w:rsidRPr="00073574">
              <w:rPr>
                <w:color w:val="444444"/>
              </w:rPr>
              <w:t xml:space="preserve"> </w:t>
            </w:r>
            <w:hyperlink r:id="rId588" w:history="1">
              <w:r w:rsidRPr="00073574">
                <w:rPr>
                  <w:rStyle w:val="Hyperlink"/>
                </w:rPr>
                <w:t>session on "Using international standards to build smart sustainable cities and tackle climate change, e-waste and nature loss"</w:t>
              </w:r>
            </w:hyperlink>
            <w:r w:rsidRPr="00073574">
              <w:rPr>
                <w:color w:val="444444"/>
              </w:rPr>
              <w:t xml:space="preserve"> </w:t>
            </w:r>
            <w:r w:rsidRPr="00073574">
              <w:t>was held on 15 October 2020.</w:t>
            </w:r>
          </w:p>
          <w:p w14:paraId="22C83350" w14:textId="2CA15199" w:rsidR="00B4777B" w:rsidRPr="00073574" w:rsidRDefault="00B4777B" w:rsidP="539711DF">
            <w:pPr>
              <w:shd w:val="clear" w:color="auto" w:fill="FFFFFF" w:themeFill="background1"/>
              <w:spacing w:before="0" w:after="40"/>
              <w:textAlignment w:val="baseline"/>
            </w:pPr>
            <w:r w:rsidRPr="00073574">
              <w:t>A side event on International Standards and Sustainable Green &amp; Innovative Power Solutions to bring Broadband Internet Connectivity to Rural and Remote Areas was held on 22 June 2021.</w:t>
            </w:r>
          </w:p>
          <w:p w14:paraId="43C43445" w14:textId="6B1C4784" w:rsidR="00B4777B" w:rsidRPr="00073574" w:rsidRDefault="00B4777B" w:rsidP="539711DF">
            <w:pPr>
              <w:shd w:val="clear" w:color="auto" w:fill="FFFFFF" w:themeFill="background1"/>
              <w:spacing w:before="0" w:after="40"/>
              <w:textAlignment w:val="baseline"/>
            </w:pPr>
            <w:r w:rsidRPr="00073574">
              <w:t>A</w:t>
            </w:r>
            <w:r w:rsidRPr="00073574">
              <w:rPr>
                <w:color w:val="444444"/>
              </w:rPr>
              <w:t xml:space="preserve"> </w:t>
            </w:r>
            <w:hyperlink r:id="rId589" w:history="1">
              <w:r w:rsidRPr="00073574">
                <w:rPr>
                  <w:rStyle w:val="Hyperlink"/>
                </w:rPr>
                <w:t>VEF side event on Unlocking the potential of digital technologies for a sustainable energy transition</w:t>
              </w:r>
            </w:hyperlink>
            <w:r w:rsidRPr="00073574">
              <w:rPr>
                <w:color w:val="444444"/>
              </w:rPr>
              <w:t xml:space="preserve"> </w:t>
            </w:r>
            <w:r w:rsidRPr="00073574">
              <w:t xml:space="preserve">was held on </w:t>
            </w:r>
            <w:r w:rsidR="007355EF" w:rsidRPr="00073574">
              <w:t>6 July 2021.</w:t>
            </w:r>
          </w:p>
          <w:p w14:paraId="36F07748" w14:textId="2DCFF1A6" w:rsidR="007355EF" w:rsidRPr="00073574" w:rsidRDefault="007355EF" w:rsidP="539711DF">
            <w:pPr>
              <w:shd w:val="clear" w:color="auto" w:fill="FFFFFF" w:themeFill="background1"/>
              <w:spacing w:before="0" w:after="40"/>
              <w:textAlignment w:val="baseline"/>
            </w:pPr>
            <w:r w:rsidRPr="00073574">
              <w:t>A</w:t>
            </w:r>
            <w:r w:rsidRPr="00073574">
              <w:rPr>
                <w:color w:val="444444"/>
              </w:rPr>
              <w:t xml:space="preserve"> </w:t>
            </w:r>
            <w:hyperlink r:id="rId590" w:history="1">
              <w:r w:rsidRPr="00073574">
                <w:rPr>
                  <w:rStyle w:val="Hyperlink"/>
                </w:rPr>
                <w:t>Session on the Emerging Technology Week 2021: Towards a sustainable digital transformation and a net-zero emission with emerging technology</w:t>
              </w:r>
            </w:hyperlink>
            <w:r w:rsidRPr="00073574">
              <w:rPr>
                <w:color w:val="444444"/>
              </w:rPr>
              <w:t xml:space="preserve"> </w:t>
            </w:r>
            <w:r w:rsidRPr="00073574">
              <w:t>was held on 8 July 2021.</w:t>
            </w:r>
          </w:p>
          <w:p w14:paraId="3107322F" w14:textId="0A84A6CC" w:rsidR="007355EF" w:rsidRPr="00073574" w:rsidRDefault="007355EF" w:rsidP="539711DF">
            <w:pPr>
              <w:shd w:val="clear" w:color="auto" w:fill="FFFFFF" w:themeFill="background1"/>
              <w:spacing w:before="0" w:after="40"/>
              <w:textAlignment w:val="baseline"/>
            </w:pPr>
            <w:r w:rsidRPr="00073574">
              <w:t>A series of Sustainable Digital Transformation Dialogues were held from 28 to 30 September 2021:</w:t>
            </w:r>
          </w:p>
          <w:p w14:paraId="64A97F89" w14:textId="77777777" w:rsidR="007355EF" w:rsidRPr="00073574" w:rsidRDefault="0053741E" w:rsidP="00D25AEC">
            <w:pPr>
              <w:numPr>
                <w:ilvl w:val="0"/>
                <w:numId w:val="18"/>
              </w:numPr>
              <w:shd w:val="clear" w:color="auto" w:fill="FFFFFF"/>
              <w:textAlignment w:val="baseline"/>
              <w:rPr>
                <w:lang w:eastAsia="en-GB"/>
              </w:rPr>
            </w:pPr>
            <w:hyperlink r:id="rId591" w:history="1">
              <w:r w:rsidR="007355EF" w:rsidRPr="00073574">
                <w:rPr>
                  <w:rStyle w:val="Hyperlink"/>
                  <w:lang w:eastAsia="en-GB"/>
                </w:rPr>
                <w:t>Sustainable Digital Transformation in Africa</w:t>
              </w:r>
            </w:hyperlink>
            <w:r w:rsidR="007355EF" w:rsidRPr="00073574">
              <w:rPr>
                <w:lang w:eastAsia="en-GB"/>
              </w:rPr>
              <w:t>, 28 September 2021</w:t>
            </w:r>
          </w:p>
          <w:p w14:paraId="558E9252" w14:textId="77777777" w:rsidR="007355EF" w:rsidRPr="00073574" w:rsidRDefault="0053741E" w:rsidP="00D25AEC">
            <w:pPr>
              <w:numPr>
                <w:ilvl w:val="0"/>
                <w:numId w:val="18"/>
              </w:numPr>
              <w:shd w:val="clear" w:color="auto" w:fill="FFFFFF"/>
              <w:textAlignment w:val="baseline"/>
              <w:rPr>
                <w:lang w:eastAsia="en-GB"/>
              </w:rPr>
            </w:pPr>
            <w:hyperlink r:id="rId592" w:history="1">
              <w:r w:rsidR="007355EF" w:rsidRPr="00073574">
                <w:rPr>
                  <w:rStyle w:val="Hyperlink"/>
                  <w:lang w:eastAsia="en-GB"/>
                </w:rPr>
                <w:t>Sustainable Digital Transformation in the Arab region</w:t>
              </w:r>
            </w:hyperlink>
            <w:r w:rsidR="007355EF" w:rsidRPr="00073574">
              <w:rPr>
                <w:color w:val="444444"/>
                <w:lang w:eastAsia="en-GB"/>
              </w:rPr>
              <w:t xml:space="preserve">, </w:t>
            </w:r>
            <w:r w:rsidR="007355EF" w:rsidRPr="00073574">
              <w:rPr>
                <w:lang w:eastAsia="en-GB"/>
              </w:rPr>
              <w:t>29 September 2021</w:t>
            </w:r>
          </w:p>
          <w:p w14:paraId="723C3676" w14:textId="77777777" w:rsidR="00B4777B" w:rsidRPr="00073574" w:rsidRDefault="0053741E" w:rsidP="00D25AEC">
            <w:pPr>
              <w:numPr>
                <w:ilvl w:val="0"/>
                <w:numId w:val="18"/>
              </w:numPr>
              <w:shd w:val="clear" w:color="auto" w:fill="FFFFFF"/>
              <w:textAlignment w:val="baseline"/>
              <w:rPr>
                <w:lang w:eastAsia="en-GB"/>
              </w:rPr>
            </w:pPr>
            <w:hyperlink r:id="rId593" w:history="1">
              <w:r w:rsidR="007355EF" w:rsidRPr="00073574">
                <w:rPr>
                  <w:rStyle w:val="Hyperlink"/>
                  <w:lang w:eastAsia="en-GB"/>
                </w:rPr>
                <w:t>Sustainable Digital Transformation in Latin America</w:t>
              </w:r>
            </w:hyperlink>
            <w:r w:rsidR="007355EF" w:rsidRPr="00073574">
              <w:rPr>
                <w:color w:val="444444"/>
                <w:lang w:eastAsia="en-GB"/>
              </w:rPr>
              <w:t xml:space="preserve">, </w:t>
            </w:r>
            <w:r w:rsidR="007355EF" w:rsidRPr="00073574">
              <w:rPr>
                <w:lang w:eastAsia="en-GB"/>
              </w:rPr>
              <w:t>30 September 2021</w:t>
            </w:r>
            <w:r w:rsidR="00D25AEC" w:rsidRPr="00073574">
              <w:rPr>
                <w:lang w:eastAsia="en-GB"/>
              </w:rPr>
              <w:t>.</w:t>
            </w:r>
          </w:p>
          <w:p w14:paraId="28473F09" w14:textId="77777777" w:rsidR="00A240F4" w:rsidRPr="00073574" w:rsidRDefault="00A240F4" w:rsidP="00A240F4">
            <w:pPr>
              <w:shd w:val="clear" w:color="auto" w:fill="FFFFFF"/>
              <w:textAlignment w:val="baseline"/>
              <w:rPr>
                <w:lang w:eastAsia="en-GB"/>
              </w:rPr>
            </w:pPr>
            <w:r w:rsidRPr="00073574">
              <w:rPr>
                <w:lang w:eastAsia="en-GB"/>
              </w:rPr>
              <w:t>The 10</w:t>
            </w:r>
            <w:r w:rsidRPr="00073574">
              <w:rPr>
                <w:vertAlign w:val="superscript"/>
                <w:lang w:eastAsia="en-GB"/>
              </w:rPr>
              <w:t>th</w:t>
            </w:r>
            <w:r w:rsidRPr="00073574">
              <w:rPr>
                <w:lang w:eastAsia="en-GB"/>
              </w:rPr>
              <w:t xml:space="preserve"> Green Standards Week took place from 14 to 16 December 2021. The structure of the 10th GSW was the following:</w:t>
            </w:r>
          </w:p>
          <w:p w14:paraId="5049FCB5" w14:textId="1A503CEF" w:rsidR="00A240F4" w:rsidRPr="00073574" w:rsidRDefault="00A240F4" w:rsidP="00950B72">
            <w:pPr>
              <w:numPr>
                <w:ilvl w:val="0"/>
                <w:numId w:val="132"/>
              </w:numPr>
              <w:shd w:val="clear" w:color="auto" w:fill="FFFFFF"/>
              <w:spacing w:before="0"/>
              <w:textAlignment w:val="baseline"/>
              <w:rPr>
                <w:rFonts w:eastAsia="Times New Roman"/>
                <w:color w:val="444444"/>
                <w:szCs w:val="22"/>
                <w:lang w:eastAsia="en-GB"/>
              </w:rPr>
            </w:pPr>
            <w:r w:rsidRPr="00EC0D7C">
              <w:rPr>
                <w:rStyle w:val="Strong"/>
                <w:szCs w:val="22"/>
                <w:bdr w:val="none" w:sz="0" w:space="0" w:color="auto" w:frame="1"/>
              </w:rPr>
              <w:t>Day 1: </w:t>
            </w:r>
            <w:hyperlink r:id="rId594" w:history="1">
              <w:r w:rsidRPr="00073574">
                <w:rPr>
                  <w:rStyle w:val="Strong"/>
                  <w:color w:val="3789BD"/>
                  <w:szCs w:val="22"/>
                  <w:bdr w:val="none" w:sz="0" w:space="0" w:color="auto" w:frame="1"/>
                </w:rPr>
                <w:t>14 December 2021:</w:t>
              </w:r>
              <w:r w:rsidR="00283F76" w:rsidRPr="00073574">
                <w:rPr>
                  <w:rStyle w:val="Hyperlink"/>
                  <w:szCs w:val="22"/>
                </w:rPr>
                <w:t xml:space="preserve"> </w:t>
              </w:r>
              <w:r w:rsidRPr="00073574">
                <w:rPr>
                  <w:rStyle w:val="Hyperlink"/>
                  <w:color w:val="3789BD"/>
                  <w:szCs w:val="22"/>
                  <w:bdr w:val="none" w:sz="0" w:space="0" w:color="auto" w:frame="1"/>
                </w:rPr>
                <w:t>High-level dialogue on sustainable e-waste management and the circular economy in Latin America</w:t>
              </w:r>
            </w:hyperlink>
          </w:p>
          <w:p w14:paraId="41708DAF" w14:textId="5978C1AF" w:rsidR="00A240F4" w:rsidRPr="00073574" w:rsidRDefault="00A240F4" w:rsidP="00950B72">
            <w:pPr>
              <w:numPr>
                <w:ilvl w:val="0"/>
                <w:numId w:val="132"/>
              </w:numPr>
              <w:shd w:val="clear" w:color="auto" w:fill="FFFFFF"/>
              <w:spacing w:before="0"/>
              <w:textAlignment w:val="baseline"/>
              <w:rPr>
                <w:color w:val="444444"/>
                <w:szCs w:val="22"/>
              </w:rPr>
            </w:pPr>
            <w:r w:rsidRPr="00EC0D7C">
              <w:rPr>
                <w:rStyle w:val="Strong"/>
                <w:szCs w:val="22"/>
                <w:bdr w:val="none" w:sz="0" w:space="0" w:color="auto" w:frame="1"/>
              </w:rPr>
              <w:t>Day 2: </w:t>
            </w:r>
            <w:hyperlink r:id="rId595" w:history="1">
              <w:r w:rsidRPr="00073574">
                <w:rPr>
                  <w:rStyle w:val="Strong"/>
                  <w:color w:val="3789BD"/>
                  <w:szCs w:val="22"/>
                  <w:bdr w:val="none" w:sz="0" w:space="0" w:color="auto" w:frame="1"/>
                </w:rPr>
                <w:t>15 December 2021:</w:t>
              </w:r>
              <w:r w:rsidR="00283F76" w:rsidRPr="00073574">
                <w:rPr>
                  <w:rStyle w:val="Strong"/>
                  <w:color w:val="3789BD"/>
                  <w:szCs w:val="22"/>
                  <w:bdr w:val="none" w:sz="0" w:space="0" w:color="auto" w:frame="1"/>
                </w:rPr>
                <w:t xml:space="preserve"> </w:t>
              </w:r>
              <w:r w:rsidRPr="00073574">
                <w:rPr>
                  <w:rStyle w:val="Hyperlink"/>
                  <w:color w:val="3789BD"/>
                  <w:szCs w:val="22"/>
                  <w:bdr w:val="none" w:sz="0" w:space="0" w:color="auto" w:frame="1"/>
                </w:rPr>
                <w:t>Sustainable e-waste management in Costa Rica</w:t>
              </w:r>
            </w:hyperlink>
          </w:p>
          <w:p w14:paraId="5A2F2057" w14:textId="591CF816" w:rsidR="00B4777B" w:rsidRPr="00073574" w:rsidRDefault="00A240F4" w:rsidP="00950B72">
            <w:pPr>
              <w:numPr>
                <w:ilvl w:val="0"/>
                <w:numId w:val="132"/>
              </w:numPr>
              <w:shd w:val="clear" w:color="auto" w:fill="FFFFFF"/>
              <w:spacing w:before="0"/>
              <w:textAlignment w:val="baseline"/>
              <w:rPr>
                <w:color w:val="444444"/>
                <w:lang w:eastAsia="en-GB"/>
              </w:rPr>
            </w:pPr>
            <w:r w:rsidRPr="00EC0D7C">
              <w:rPr>
                <w:rStyle w:val="Strong"/>
                <w:szCs w:val="22"/>
                <w:bdr w:val="none" w:sz="0" w:space="0" w:color="auto" w:frame="1"/>
              </w:rPr>
              <w:t>Day 3: </w:t>
            </w:r>
            <w:hyperlink r:id="rId596" w:history="1">
              <w:r w:rsidRPr="00073574">
                <w:rPr>
                  <w:rStyle w:val="Strong"/>
                  <w:color w:val="3789BD"/>
                  <w:szCs w:val="22"/>
                  <w:bdr w:val="none" w:sz="0" w:space="0" w:color="auto" w:frame="1"/>
                </w:rPr>
                <w:t>16 December 2021:</w:t>
              </w:r>
              <w:r w:rsidR="00283F76" w:rsidRPr="00073574">
                <w:rPr>
                  <w:rStyle w:val="Strong"/>
                  <w:color w:val="3789BD"/>
                  <w:szCs w:val="22"/>
                  <w:bdr w:val="none" w:sz="0" w:space="0" w:color="auto" w:frame="1"/>
                </w:rPr>
                <w:t xml:space="preserve"> </w:t>
              </w:r>
              <w:r w:rsidRPr="00073574">
                <w:rPr>
                  <w:rStyle w:val="Hyperlink"/>
                  <w:color w:val="3789BD"/>
                  <w:szCs w:val="22"/>
                  <w:bdr w:val="none" w:sz="0" w:space="0" w:color="auto" w:frame="1"/>
                </w:rPr>
                <w:t>Beyond COP26 – Accelerating Net-Zero Through a Sustainable Digital Transformation</w:t>
              </w:r>
            </w:hyperlink>
          </w:p>
        </w:tc>
      </w:tr>
      <w:tr w:rsidR="00F0236A" w:rsidRPr="00073574" w14:paraId="4927F163" w14:textId="77777777" w:rsidTr="634A3A28">
        <w:trPr>
          <w:jc w:val="center"/>
        </w:trPr>
        <w:tc>
          <w:tcPr>
            <w:tcW w:w="905" w:type="dxa"/>
            <w:vMerge w:val="restart"/>
            <w:tcBorders>
              <w:top w:val="single" w:sz="12" w:space="0" w:color="auto"/>
            </w:tcBorders>
            <w:shd w:val="clear" w:color="auto" w:fill="auto"/>
          </w:tcPr>
          <w:p w14:paraId="462AAED3" w14:textId="77777777" w:rsidR="00F0236A" w:rsidRPr="00073574" w:rsidRDefault="00F0236A" w:rsidP="0028134B">
            <w:pPr>
              <w:pStyle w:val="Tabletext"/>
              <w:rPr>
                <w:b/>
                <w:bCs/>
                <w:sz w:val="24"/>
                <w:szCs w:val="24"/>
              </w:rPr>
            </w:pPr>
            <w:r w:rsidRPr="00073574">
              <w:rPr>
                <w:b/>
                <w:bCs/>
                <w:sz w:val="24"/>
                <w:szCs w:val="24"/>
              </w:rPr>
              <w:lastRenderedPageBreak/>
              <w:t>73-13</w:t>
            </w:r>
          </w:p>
        </w:tc>
        <w:tc>
          <w:tcPr>
            <w:tcW w:w="4774" w:type="dxa"/>
            <w:tcBorders>
              <w:top w:val="single" w:sz="12" w:space="0" w:color="auto"/>
            </w:tcBorders>
            <w:shd w:val="clear" w:color="auto" w:fill="auto"/>
          </w:tcPr>
          <w:p w14:paraId="6E81BA7A" w14:textId="77777777" w:rsidR="00F0236A" w:rsidRPr="00073574" w:rsidRDefault="00F0236A" w:rsidP="00CC7014">
            <w:pPr>
              <w:pStyle w:val="Tabletext"/>
              <w:keepNext/>
              <w:keepLines/>
              <w:rPr>
                <w:b/>
                <w:bCs/>
                <w:sz w:val="24"/>
                <w:szCs w:val="24"/>
              </w:rPr>
            </w:pPr>
            <w:r w:rsidRPr="00073574">
              <w:rPr>
                <w:b/>
                <w:bCs/>
                <w:sz w:val="24"/>
                <w:szCs w:val="24"/>
              </w:rPr>
              <w:t>TSB Director to report (to TSAG) progress of ITU/WMO/UNESCO IOC Joint Task Force to investigate the potential of using submarine telecom cables for ocean and climate monitoring and disaster warning (i. TSBDir 7)</w:t>
            </w:r>
          </w:p>
        </w:tc>
        <w:tc>
          <w:tcPr>
            <w:tcW w:w="1683" w:type="dxa"/>
            <w:tcBorders>
              <w:top w:val="single" w:sz="12" w:space="0" w:color="auto"/>
            </w:tcBorders>
            <w:shd w:val="clear" w:color="auto" w:fill="auto"/>
            <w:vAlign w:val="center"/>
          </w:tcPr>
          <w:p w14:paraId="01DBD4C2" w14:textId="7FB1CDA4" w:rsidR="00F0236A" w:rsidRPr="00073574" w:rsidRDefault="00F0236A" w:rsidP="00DF36E1">
            <w:pPr>
              <w:pStyle w:val="Tabletext"/>
              <w:jc w:val="center"/>
              <w:rPr>
                <w:b/>
                <w:bCs/>
                <w:sz w:val="24"/>
                <w:szCs w:val="24"/>
              </w:rPr>
            </w:pPr>
            <w:r w:rsidRPr="00073574">
              <w:rPr>
                <w:b/>
                <w:bCs/>
                <w:sz w:val="24"/>
                <w:szCs w:val="24"/>
              </w:rPr>
              <w:t>TSAG 20</w:t>
            </w:r>
            <w:r w:rsidR="00FC75C7" w:rsidRPr="00073574">
              <w:rPr>
                <w:b/>
                <w:bCs/>
                <w:sz w:val="24"/>
                <w:szCs w:val="24"/>
              </w:rPr>
              <w:t>2</w:t>
            </w:r>
            <w:r w:rsidR="00AD100B" w:rsidRPr="00073574">
              <w:rPr>
                <w:b/>
                <w:bCs/>
                <w:sz w:val="24"/>
                <w:szCs w:val="24"/>
              </w:rPr>
              <w:t>1</w:t>
            </w:r>
            <w:r w:rsidRPr="00073574">
              <w:rPr>
                <w:b/>
                <w:bCs/>
                <w:sz w:val="24"/>
                <w:szCs w:val="24"/>
              </w:rPr>
              <w:t>,</w:t>
            </w:r>
          </w:p>
          <w:p w14:paraId="697DC275"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34" w:type="dxa"/>
            <w:tcBorders>
              <w:top w:val="single" w:sz="12" w:space="0" w:color="auto"/>
            </w:tcBorders>
            <w:shd w:val="clear" w:color="auto" w:fill="auto"/>
            <w:vAlign w:val="center"/>
          </w:tcPr>
          <w:p w14:paraId="1899F440"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653BFB63" w14:textId="77777777" w:rsidR="00F0236A" w:rsidRPr="00073574" w:rsidRDefault="00F0236A" w:rsidP="00DF36E1">
            <w:pPr>
              <w:pStyle w:val="Tabletext"/>
              <w:jc w:val="center"/>
              <w:rPr>
                <w:b/>
                <w:bCs/>
                <w:sz w:val="24"/>
                <w:szCs w:val="24"/>
              </w:rPr>
            </w:pPr>
          </w:p>
        </w:tc>
      </w:tr>
      <w:tr w:rsidR="00F0236A" w:rsidRPr="00073574" w14:paraId="3FF95283" w14:textId="77777777" w:rsidTr="634A3A28">
        <w:trPr>
          <w:jc w:val="center"/>
        </w:trPr>
        <w:tc>
          <w:tcPr>
            <w:tcW w:w="905" w:type="dxa"/>
            <w:vMerge/>
          </w:tcPr>
          <w:p w14:paraId="1C643670" w14:textId="77777777" w:rsidR="00F0236A" w:rsidRPr="00073574" w:rsidRDefault="00F0236A" w:rsidP="00DF36E1">
            <w:pPr>
              <w:pStyle w:val="Tabletext"/>
              <w:rPr>
                <w:sz w:val="24"/>
                <w:szCs w:val="24"/>
              </w:rPr>
            </w:pPr>
          </w:p>
        </w:tc>
        <w:tc>
          <w:tcPr>
            <w:tcW w:w="8927" w:type="dxa"/>
            <w:gridSpan w:val="4"/>
            <w:shd w:val="clear" w:color="auto" w:fill="auto"/>
          </w:tcPr>
          <w:p w14:paraId="4B892780" w14:textId="38D72F9F" w:rsidR="00F0236A" w:rsidRPr="00073574" w:rsidRDefault="00F0236A">
            <w:pPr>
              <w:pStyle w:val="Tabletext"/>
            </w:pPr>
            <w:r w:rsidRPr="00073574">
              <w:t>See also the TSB Director</w:t>
            </w:r>
            <w:r w:rsidR="003C7E25" w:rsidRPr="00073574">
              <w:t>'</w:t>
            </w:r>
            <w:r w:rsidRPr="00073574">
              <w:t>s Reports to TSAG.</w:t>
            </w:r>
          </w:p>
          <w:p w14:paraId="67BD37E8" w14:textId="6603077F" w:rsidR="00F0236A" w:rsidRPr="00073574" w:rsidRDefault="00F0236A" w:rsidP="00707369">
            <w:pPr>
              <w:pStyle w:val="Tabletext"/>
              <w:rPr>
                <w:rFonts w:asciiTheme="majorBidi" w:hAnsiTheme="majorBidi" w:cstheme="majorBidi"/>
              </w:rPr>
            </w:pPr>
            <w:r w:rsidRPr="00073574">
              <w:rPr>
                <w:rFonts w:asciiTheme="majorBidi" w:hAnsiTheme="majorBidi" w:cstheme="majorBidi"/>
              </w:rPr>
              <w:lastRenderedPageBreak/>
              <w:t xml:space="preserve">The </w:t>
            </w:r>
            <w:hyperlink r:id="rId597" w:history="1">
              <w:r w:rsidRPr="00073574">
                <w:rPr>
                  <w:rStyle w:val="Hyperlink"/>
                  <w:rFonts w:asciiTheme="majorBidi" w:hAnsiTheme="majorBidi" w:cstheme="majorBidi"/>
                </w:rPr>
                <w:t>ITU/WMO/UNESCO-IOC Joint Task Force on SMART</w:t>
              </w:r>
              <w:r w:rsidRPr="00073574">
                <w:rPr>
                  <w:rStyle w:val="FootnoteReference"/>
                  <w:rFonts w:asciiTheme="majorBidi" w:hAnsiTheme="majorBidi" w:cstheme="majorBidi"/>
                  <w:color w:val="0000FF"/>
                  <w:sz w:val="22"/>
                  <w:u w:val="single"/>
                </w:rPr>
                <w:footnoteReference w:id="7"/>
              </w:r>
              <w:r w:rsidRPr="00073574">
                <w:rPr>
                  <w:rStyle w:val="Hyperlink"/>
                  <w:rFonts w:asciiTheme="majorBidi" w:hAnsiTheme="majorBidi" w:cstheme="majorBidi"/>
                </w:rPr>
                <w:t xml:space="preserve"> Cable Systems</w:t>
              </w:r>
            </w:hyperlink>
            <w:r w:rsidRPr="00073574">
              <w:rPr>
                <w:rFonts w:asciiTheme="majorBidi" w:hAnsiTheme="majorBidi" w:cstheme="majorBidi"/>
              </w:rPr>
              <w:t xml:space="preserve"> is leading an ambitious new project to equip submarine communications cables with climate and hazard-monitoring sensors to create a global observation network capable of providing earthquake and tsunami warnings as well as data on ocean climate change and circulation. These new </w:t>
            </w:r>
            <w:r w:rsidR="003C7E25" w:rsidRPr="00073574">
              <w:rPr>
                <w:rFonts w:asciiTheme="majorBidi" w:hAnsiTheme="majorBidi" w:cstheme="majorBidi"/>
              </w:rPr>
              <w:t>''</w:t>
            </w:r>
            <w:r w:rsidRPr="00073574">
              <w:rPr>
                <w:rFonts w:asciiTheme="majorBidi" w:hAnsiTheme="majorBidi" w:cstheme="majorBidi"/>
              </w:rPr>
              <w:t>SMART (green) cables</w:t>
            </w:r>
            <w:r w:rsidR="003C7E25" w:rsidRPr="00073574">
              <w:rPr>
                <w:rFonts w:asciiTheme="majorBidi" w:hAnsiTheme="majorBidi" w:cstheme="majorBidi"/>
              </w:rPr>
              <w:t>'</w:t>
            </w:r>
            <w:r w:rsidRPr="00073574">
              <w:rPr>
                <w:rFonts w:asciiTheme="majorBidi" w:hAnsiTheme="majorBidi" w:cstheme="majorBidi"/>
              </w:rPr>
              <w:t xml:space="preserve"> would collect data of great value to the scientific community, as well industries such as fisheries and energy. </w:t>
            </w:r>
            <w:r w:rsidRPr="00073574">
              <w:rPr>
                <w:rFonts w:asciiTheme="majorBidi" w:eastAsiaTheme="majorBidi" w:hAnsiTheme="majorBidi" w:cstheme="majorBidi"/>
              </w:rPr>
              <w:t xml:space="preserve">The JTF is developing a pilot project (a so-called </w:t>
            </w:r>
            <w:r w:rsidR="003C7E25" w:rsidRPr="00073574">
              <w:rPr>
                <w:rFonts w:asciiTheme="majorBidi" w:eastAsiaTheme="majorBidi" w:hAnsiTheme="majorBidi" w:cstheme="majorBidi"/>
              </w:rPr>
              <w:t>'</w:t>
            </w:r>
            <w:r w:rsidRPr="00073574">
              <w:rPr>
                <w:rFonts w:asciiTheme="majorBidi" w:eastAsiaTheme="majorBidi" w:hAnsiTheme="majorBidi" w:cstheme="majorBidi"/>
              </w:rPr>
              <w:t>wet demonstrator</w:t>
            </w:r>
            <w:r w:rsidR="003C7E25" w:rsidRPr="00073574">
              <w:rPr>
                <w:rFonts w:asciiTheme="majorBidi" w:eastAsiaTheme="majorBidi" w:hAnsiTheme="majorBidi" w:cstheme="majorBidi"/>
              </w:rPr>
              <w:t>'</w:t>
            </w:r>
            <w:r w:rsidRPr="00073574">
              <w:rPr>
                <w:rFonts w:asciiTheme="majorBidi" w:eastAsiaTheme="majorBidi" w:hAnsiTheme="majorBidi" w:cstheme="majorBidi"/>
              </w:rPr>
              <w:t>) with the active participation of cable suppliers, owners and researchers from existing ocean observatories.</w:t>
            </w:r>
            <w:r w:rsidRPr="00073574">
              <w:rPr>
                <w:rFonts w:asciiTheme="majorBidi" w:hAnsiTheme="majorBidi" w:cstheme="majorBidi"/>
              </w:rPr>
              <w:t xml:space="preserve"> Experts have deemed the project to be technically feasible with the JTF members now working to solve business, legal and economic challenges. In order to identify qualified candidates to provide materials and services needed to realize the Wet Demonstrator project, an RFI (request for information) was sent to various organizations at the end of 2016. Several positive responses were received</w:t>
            </w:r>
            <w:r w:rsidR="000A1D4A">
              <w:rPr>
                <w:rFonts w:asciiTheme="majorBidi" w:hAnsiTheme="majorBidi" w:cstheme="majorBidi"/>
              </w:rPr>
              <w:t>,</w:t>
            </w:r>
            <w:r w:rsidRPr="00073574">
              <w:rPr>
                <w:rFonts w:asciiTheme="majorBidi" w:hAnsiTheme="majorBidi" w:cstheme="majorBidi"/>
              </w:rPr>
              <w:t xml:space="preserve"> and they are now under study. ITU standardization continues to tackle disaster relief, network resilience and recovery, recognizing that the 21st century is playing host to an increasing prevalence of extreme weather events.</w:t>
            </w:r>
          </w:p>
          <w:p w14:paraId="16F197B5" w14:textId="7C698DA9" w:rsidR="002213A3" w:rsidRPr="00073574" w:rsidRDefault="002213A3" w:rsidP="00707369">
            <w:pPr>
              <w:pStyle w:val="Tabletext"/>
              <w:rPr>
                <w:rFonts w:asciiTheme="majorBidi" w:hAnsiTheme="majorBidi" w:cstheme="majorBidi"/>
              </w:rPr>
            </w:pPr>
            <w:r w:rsidRPr="00073574">
              <w:rPr>
                <w:rFonts w:asciiTheme="majorBidi" w:hAnsiTheme="majorBidi" w:cstheme="majorBidi"/>
              </w:rPr>
              <w:t xml:space="preserve">On 2 August 2019, the joint task force published a detailed peer-reviewed article in the journal “Frontiers in Marine Science”: “SMART Cables for Observing the Global Ocean: Science and Implementation”. TSB introduced the activities of this JTF at a BDT workshop (Session on frontier ICTs for climate action, </w:t>
            </w:r>
            <w:hyperlink r:id="rId598" w:history="1">
              <w:r w:rsidR="00E16527" w:rsidRPr="008E31FA">
                <w:rPr>
                  <w:rStyle w:val="Hyperlink"/>
                  <w:rFonts w:asciiTheme="majorBidi" w:hAnsiTheme="majorBidi" w:cstheme="majorBidi"/>
                </w:rPr>
                <w:t>https://www.itu.int/en/ITU-D/Study-Groups/2018-2021/Pages/meetings/session-Q6-2-oct19.aspx</w:t>
              </w:r>
            </w:hyperlink>
            <w:r w:rsidRPr="00073574">
              <w:rPr>
                <w:rFonts w:asciiTheme="majorBidi" w:hAnsiTheme="majorBidi" w:cstheme="majorBidi"/>
              </w:rPr>
              <w:t xml:space="preserve">) (Geneva, 15 October 2019) and at an OECD Workshop on Digital Technologies in the Ocean Economy: Exploring the Future (Brussels, 20-21 November 2019). Currently, </w:t>
            </w:r>
            <w:r w:rsidR="00CA1119" w:rsidRPr="00073574">
              <w:rPr>
                <w:rFonts w:asciiTheme="majorBidi" w:hAnsiTheme="majorBidi" w:cstheme="majorBidi"/>
              </w:rPr>
              <w:t>various projects are ongoing toward the deployment of SMART submari</w:t>
            </w:r>
            <w:r w:rsidR="006E53DC" w:rsidRPr="00073574">
              <w:rPr>
                <w:rFonts w:asciiTheme="majorBidi" w:hAnsiTheme="majorBidi" w:cstheme="majorBidi"/>
              </w:rPr>
              <w:t>n</w:t>
            </w:r>
            <w:r w:rsidR="00CA1119" w:rsidRPr="00073574">
              <w:rPr>
                <w:rFonts w:asciiTheme="majorBidi" w:hAnsiTheme="majorBidi" w:cstheme="majorBidi"/>
              </w:rPr>
              <w:t>e cables.</w:t>
            </w:r>
          </w:p>
          <w:p w14:paraId="778BB2A3" w14:textId="3A41AD25" w:rsidR="00CA1119" w:rsidRPr="00073574" w:rsidRDefault="00F13C92" w:rsidP="00707369">
            <w:pPr>
              <w:pStyle w:val="Tabletext"/>
              <w:rPr>
                <w:rFonts w:asciiTheme="majorBidi" w:hAnsiTheme="majorBidi" w:cstheme="majorBidi"/>
              </w:rPr>
            </w:pPr>
            <w:r w:rsidRPr="00073574">
              <w:rPr>
                <w:rFonts w:asciiTheme="majorBidi" w:hAnsiTheme="majorBidi" w:cstheme="majorBidi"/>
              </w:rPr>
              <w:t xml:space="preserve">ITU-T SG15, Q8/15 adopted </w:t>
            </w:r>
            <w:r w:rsidR="00AC5FCD" w:rsidRPr="00073574">
              <w:rPr>
                <w:rFonts w:asciiTheme="majorBidi" w:hAnsiTheme="majorBidi" w:cstheme="majorBidi"/>
              </w:rPr>
              <w:t xml:space="preserve">work items on SMART cables and dedicated </w:t>
            </w:r>
            <w:r w:rsidR="00BB489E" w:rsidRPr="00073574">
              <w:rPr>
                <w:rFonts w:asciiTheme="majorBidi" w:hAnsiTheme="majorBidi" w:cstheme="majorBidi"/>
              </w:rPr>
              <w:t xml:space="preserve">submarine cables for </w:t>
            </w:r>
            <w:r w:rsidR="00444DE1" w:rsidRPr="00073574">
              <w:rPr>
                <w:rFonts w:asciiTheme="majorBidi" w:hAnsiTheme="majorBidi" w:cstheme="majorBidi"/>
              </w:rPr>
              <w:t>measurement.</w:t>
            </w:r>
          </w:p>
          <w:p w14:paraId="3C946328" w14:textId="058968DB" w:rsidR="0006395A" w:rsidRPr="00073574" w:rsidRDefault="00B8342C" w:rsidP="00707369">
            <w:pPr>
              <w:pStyle w:val="Tabletext"/>
              <w:rPr>
                <w:rFonts w:asciiTheme="majorBidi" w:hAnsiTheme="majorBidi" w:cstheme="majorBidi"/>
                <w:highlight w:val="yellow"/>
              </w:rPr>
            </w:pPr>
            <w:r w:rsidRPr="00073574">
              <w:rPr>
                <w:rFonts w:asciiTheme="majorBidi" w:hAnsiTheme="majorBidi" w:cstheme="majorBidi"/>
              </w:rPr>
              <w:t xml:space="preserve">In October 2021, </w:t>
            </w:r>
            <w:r w:rsidR="00072F9A" w:rsidRPr="00073574">
              <w:rPr>
                <w:rFonts w:asciiTheme="majorBidi" w:hAnsiTheme="majorBidi" w:cstheme="majorBidi"/>
              </w:rPr>
              <w:t>“</w:t>
            </w:r>
            <w:r w:rsidR="0006395A" w:rsidRPr="00073574">
              <w:rPr>
                <w:rFonts w:asciiTheme="majorBidi" w:hAnsiTheme="majorBidi" w:cstheme="majorBidi"/>
              </w:rPr>
              <w:t xml:space="preserve">SMART </w:t>
            </w:r>
            <w:r w:rsidR="00072F9A" w:rsidRPr="00073574">
              <w:rPr>
                <w:rFonts w:asciiTheme="majorBidi" w:hAnsiTheme="majorBidi" w:cstheme="majorBidi"/>
              </w:rPr>
              <w:t>submarine cables” was endorsed</w:t>
            </w:r>
            <w:r w:rsidR="00F6683D" w:rsidRPr="00073574">
              <w:rPr>
                <w:rFonts w:asciiTheme="majorBidi" w:hAnsiTheme="majorBidi" w:cstheme="majorBidi"/>
              </w:rPr>
              <w:t xml:space="preserve"> as a project </w:t>
            </w:r>
            <w:r w:rsidRPr="00073574">
              <w:rPr>
                <w:rFonts w:asciiTheme="majorBidi" w:hAnsiTheme="majorBidi" w:cstheme="majorBidi"/>
              </w:rPr>
              <w:t>forming part of the UN Decade of Ocean Science for Sustainable Development 2021-2030.</w:t>
            </w:r>
          </w:p>
          <w:p w14:paraId="6116BA63" w14:textId="77777777" w:rsidR="00F0236A" w:rsidRPr="00073574" w:rsidRDefault="00F0236A" w:rsidP="00707369">
            <w:pPr>
              <w:pStyle w:val="Tabletext"/>
              <w:rPr>
                <w:rFonts w:asciiTheme="majorBidi" w:hAnsiTheme="majorBidi" w:cstheme="majorBidi"/>
              </w:rPr>
            </w:pPr>
            <w:r w:rsidRPr="00073574">
              <w:rPr>
                <w:rFonts w:asciiTheme="majorBidi" w:hAnsiTheme="majorBidi" w:cstheme="majorBidi"/>
              </w:rPr>
              <w:t xml:space="preserve">Information on this Task Force including publications and workshop information is available at its web page at </w:t>
            </w:r>
            <w:hyperlink r:id="rId599" w:history="1">
              <w:r w:rsidRPr="00073574">
                <w:rPr>
                  <w:rStyle w:val="Hyperlink"/>
                  <w:rFonts w:asciiTheme="majorBidi" w:hAnsiTheme="majorBidi" w:cstheme="majorBidi"/>
                </w:rPr>
                <w:t>http://www.itu.int/en/ITU-T/climatechange/task-force-sc/Pages/default.aspx</w:t>
              </w:r>
            </w:hyperlink>
            <w:r w:rsidRPr="00073574">
              <w:rPr>
                <w:rFonts w:asciiTheme="majorBidi" w:hAnsiTheme="majorBidi" w:cstheme="majorBidi"/>
              </w:rPr>
              <w:t>.</w:t>
            </w:r>
          </w:p>
        </w:tc>
      </w:tr>
      <w:tr w:rsidR="00F0236A" w:rsidRPr="00073574" w14:paraId="7FBB37CE" w14:textId="77777777" w:rsidTr="634A3A28">
        <w:trPr>
          <w:jc w:val="center"/>
        </w:trPr>
        <w:tc>
          <w:tcPr>
            <w:tcW w:w="905" w:type="dxa"/>
            <w:vMerge w:val="restart"/>
            <w:tcBorders>
              <w:top w:val="single" w:sz="12" w:space="0" w:color="auto"/>
            </w:tcBorders>
            <w:shd w:val="clear" w:color="auto" w:fill="auto"/>
          </w:tcPr>
          <w:p w14:paraId="5ADF50AB" w14:textId="77777777" w:rsidR="00F0236A" w:rsidRPr="00073574" w:rsidRDefault="00F0236A" w:rsidP="005B5893">
            <w:pPr>
              <w:pStyle w:val="Tabletext"/>
              <w:keepNext/>
              <w:keepLines/>
              <w:rPr>
                <w:b/>
                <w:bCs/>
                <w:sz w:val="24"/>
                <w:szCs w:val="24"/>
              </w:rPr>
            </w:pPr>
            <w:r w:rsidRPr="00073574">
              <w:rPr>
                <w:b/>
                <w:bCs/>
                <w:sz w:val="24"/>
                <w:szCs w:val="24"/>
              </w:rPr>
              <w:lastRenderedPageBreak/>
              <w:t>73-14</w:t>
            </w:r>
          </w:p>
        </w:tc>
        <w:tc>
          <w:tcPr>
            <w:tcW w:w="4774" w:type="dxa"/>
            <w:tcBorders>
              <w:top w:val="single" w:sz="12" w:space="0" w:color="auto"/>
            </w:tcBorders>
            <w:shd w:val="clear" w:color="auto" w:fill="auto"/>
          </w:tcPr>
          <w:p w14:paraId="44268B3C" w14:textId="77777777" w:rsidR="00F0236A" w:rsidRPr="00073574" w:rsidRDefault="00F0236A" w:rsidP="005B5893">
            <w:pPr>
              <w:pStyle w:val="Tabletext"/>
              <w:keepNext/>
              <w:keepLines/>
              <w:rPr>
                <w:b/>
                <w:bCs/>
                <w:sz w:val="24"/>
                <w:szCs w:val="24"/>
              </w:rPr>
            </w:pPr>
            <w:r w:rsidRPr="00073574">
              <w:rPr>
                <w:b/>
                <w:bCs/>
                <w:sz w:val="24"/>
                <w:szCs w:val="24"/>
              </w:rPr>
              <w:t>ITU Secretary-General to continue cooperation and collaboration with other United Nations entities contributing to the achievement of the goals of the 2030 Agenda for Sustainable Development (i. SecGen)</w:t>
            </w:r>
          </w:p>
        </w:tc>
        <w:tc>
          <w:tcPr>
            <w:tcW w:w="1683" w:type="dxa"/>
            <w:tcBorders>
              <w:top w:val="single" w:sz="12" w:space="0" w:color="auto"/>
            </w:tcBorders>
            <w:shd w:val="clear" w:color="auto" w:fill="auto"/>
            <w:vAlign w:val="center"/>
          </w:tcPr>
          <w:p w14:paraId="15B851D8" w14:textId="77777777" w:rsidR="00F0236A" w:rsidRPr="00073574" w:rsidRDefault="00F0236A" w:rsidP="005B5893">
            <w:pPr>
              <w:pStyle w:val="Tabletext"/>
              <w:keepNext/>
              <w:keepLines/>
              <w:jc w:val="center"/>
              <w:rPr>
                <w:b/>
                <w:bCs/>
                <w:sz w:val="24"/>
                <w:szCs w:val="24"/>
              </w:rPr>
            </w:pPr>
            <w:r w:rsidRPr="00073574">
              <w:rPr>
                <w:b/>
                <w:bCs/>
                <w:sz w:val="24"/>
                <w:szCs w:val="24"/>
              </w:rPr>
              <w:t>Ongoing</w:t>
            </w:r>
          </w:p>
        </w:tc>
        <w:tc>
          <w:tcPr>
            <w:tcW w:w="1134" w:type="dxa"/>
            <w:tcBorders>
              <w:top w:val="single" w:sz="12" w:space="0" w:color="auto"/>
            </w:tcBorders>
            <w:shd w:val="clear" w:color="auto" w:fill="auto"/>
            <w:vAlign w:val="center"/>
          </w:tcPr>
          <w:p w14:paraId="5B28852A" w14:textId="1984F046" w:rsidR="00F0236A" w:rsidRPr="00073574" w:rsidRDefault="00CF3580" w:rsidP="005B5893">
            <w:pPr>
              <w:pStyle w:val="Tabletext"/>
              <w:keepNext/>
              <w:keepLines/>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3C8970DA" w14:textId="77777777" w:rsidR="00F0236A" w:rsidRPr="00073574" w:rsidRDefault="00F0236A" w:rsidP="005B5893">
            <w:pPr>
              <w:pStyle w:val="Tabletext"/>
              <w:keepNext/>
              <w:keepLines/>
              <w:jc w:val="center"/>
              <w:rPr>
                <w:b/>
                <w:bCs/>
                <w:sz w:val="24"/>
                <w:szCs w:val="24"/>
              </w:rPr>
            </w:pPr>
          </w:p>
        </w:tc>
      </w:tr>
      <w:tr w:rsidR="00F0236A" w:rsidRPr="00073574" w14:paraId="32B9C426" w14:textId="77777777" w:rsidTr="634A3A28">
        <w:trPr>
          <w:jc w:val="center"/>
        </w:trPr>
        <w:tc>
          <w:tcPr>
            <w:tcW w:w="905" w:type="dxa"/>
            <w:vMerge/>
          </w:tcPr>
          <w:p w14:paraId="4C58C728" w14:textId="77777777" w:rsidR="00F0236A" w:rsidRPr="00073574" w:rsidRDefault="00F0236A" w:rsidP="005B5893">
            <w:pPr>
              <w:pStyle w:val="Tabletext"/>
              <w:keepNext/>
              <w:keepLines/>
              <w:rPr>
                <w:sz w:val="24"/>
                <w:szCs w:val="24"/>
              </w:rPr>
            </w:pPr>
          </w:p>
        </w:tc>
        <w:tc>
          <w:tcPr>
            <w:tcW w:w="8927" w:type="dxa"/>
            <w:gridSpan w:val="4"/>
            <w:tcBorders>
              <w:bottom w:val="single" w:sz="12" w:space="0" w:color="auto"/>
            </w:tcBorders>
            <w:shd w:val="clear" w:color="auto" w:fill="auto"/>
          </w:tcPr>
          <w:p w14:paraId="04DD23F9" w14:textId="2BB50D06" w:rsidR="00F0236A" w:rsidRPr="00073574" w:rsidRDefault="00CF3580" w:rsidP="005B5893">
            <w:pPr>
              <w:pStyle w:val="Tabletext"/>
              <w:keepNext/>
              <w:keepLines/>
              <w:rPr>
                <w:szCs w:val="22"/>
              </w:rPr>
            </w:pPr>
            <w:r w:rsidRPr="00073574">
              <w:rPr>
                <w:szCs w:val="22"/>
              </w:rPr>
              <w:t>The ITU Secretary-General is cooperating with UNFCCC, UNEP and WMO in the context of climate change and SDGs.</w:t>
            </w:r>
          </w:p>
        </w:tc>
      </w:tr>
      <w:tr w:rsidR="00F0236A" w:rsidRPr="00073574" w14:paraId="3CFBCC96" w14:textId="77777777" w:rsidTr="634A3A28">
        <w:trPr>
          <w:jc w:val="center"/>
        </w:trPr>
        <w:tc>
          <w:tcPr>
            <w:tcW w:w="905" w:type="dxa"/>
            <w:vMerge w:val="restart"/>
            <w:tcBorders>
              <w:top w:val="single" w:sz="12" w:space="0" w:color="auto"/>
            </w:tcBorders>
            <w:shd w:val="clear" w:color="auto" w:fill="auto"/>
          </w:tcPr>
          <w:p w14:paraId="1BA6C497" w14:textId="77777777" w:rsidR="00F0236A" w:rsidRPr="00073574" w:rsidRDefault="00F0236A" w:rsidP="00821720">
            <w:pPr>
              <w:pStyle w:val="Tabletext"/>
              <w:keepNext/>
              <w:keepLines/>
              <w:rPr>
                <w:b/>
                <w:bCs/>
                <w:sz w:val="24"/>
                <w:szCs w:val="24"/>
              </w:rPr>
            </w:pPr>
            <w:r w:rsidRPr="00073574">
              <w:rPr>
                <w:b/>
                <w:bCs/>
                <w:sz w:val="24"/>
                <w:szCs w:val="24"/>
              </w:rPr>
              <w:t>73-15</w:t>
            </w:r>
          </w:p>
        </w:tc>
        <w:tc>
          <w:tcPr>
            <w:tcW w:w="4774" w:type="dxa"/>
            <w:tcBorders>
              <w:top w:val="single" w:sz="12" w:space="0" w:color="auto"/>
            </w:tcBorders>
            <w:shd w:val="clear" w:color="auto" w:fill="auto"/>
          </w:tcPr>
          <w:p w14:paraId="67D0A613" w14:textId="77777777" w:rsidR="00F0236A" w:rsidRPr="00073574" w:rsidRDefault="00F0236A" w:rsidP="00DF36E1">
            <w:pPr>
              <w:pStyle w:val="Tabletext"/>
              <w:rPr>
                <w:b/>
                <w:bCs/>
                <w:sz w:val="24"/>
                <w:szCs w:val="24"/>
              </w:rPr>
            </w:pPr>
            <w:r w:rsidRPr="00073574">
              <w:rPr>
                <w:b/>
                <w:bCs/>
                <w:sz w:val="24"/>
                <w:szCs w:val="24"/>
              </w:rPr>
              <w:t xml:space="preserve">TSB Director to report to TSAG on progress on cooperation with other UN entities, see </w:t>
            </w:r>
            <w:hyperlink w:anchor="Item73_10" w:history="1">
              <w:r w:rsidRPr="00073574">
                <w:rPr>
                  <w:rStyle w:val="Hyperlink"/>
                  <w:b/>
                  <w:bCs/>
                  <w:sz w:val="24"/>
                  <w:szCs w:val="24"/>
                </w:rPr>
                <w:t>73-14</w:t>
              </w:r>
            </w:hyperlink>
            <w:r w:rsidRPr="00073574">
              <w:rPr>
                <w:rStyle w:val="Hyperlink"/>
                <w:b/>
                <w:bCs/>
                <w:sz w:val="24"/>
                <w:szCs w:val="24"/>
              </w:rPr>
              <w:t xml:space="preserve"> (i. TSBDir 9)</w:t>
            </w:r>
          </w:p>
        </w:tc>
        <w:tc>
          <w:tcPr>
            <w:tcW w:w="1683" w:type="dxa"/>
            <w:tcBorders>
              <w:top w:val="single" w:sz="12" w:space="0" w:color="auto"/>
            </w:tcBorders>
            <w:shd w:val="clear" w:color="auto" w:fill="auto"/>
            <w:vAlign w:val="center"/>
          </w:tcPr>
          <w:p w14:paraId="4A802335" w14:textId="77777777" w:rsidR="00F0236A" w:rsidRPr="00073574" w:rsidRDefault="00F0236A" w:rsidP="00DF36E1">
            <w:pPr>
              <w:pStyle w:val="Tabletext"/>
              <w:jc w:val="center"/>
              <w:rPr>
                <w:b/>
                <w:bCs/>
                <w:sz w:val="24"/>
                <w:szCs w:val="24"/>
              </w:rPr>
            </w:pPr>
            <w:r w:rsidRPr="00073574">
              <w:rPr>
                <w:b/>
                <w:bCs/>
                <w:sz w:val="24"/>
                <w:szCs w:val="24"/>
              </w:rPr>
              <w:t>TSAG meetings</w:t>
            </w:r>
          </w:p>
        </w:tc>
        <w:tc>
          <w:tcPr>
            <w:tcW w:w="1134" w:type="dxa"/>
            <w:tcBorders>
              <w:top w:val="single" w:sz="12" w:space="0" w:color="auto"/>
            </w:tcBorders>
            <w:shd w:val="clear" w:color="auto" w:fill="auto"/>
            <w:vAlign w:val="center"/>
          </w:tcPr>
          <w:p w14:paraId="30D38F35"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3F29ADC2" w14:textId="77777777" w:rsidR="00F0236A" w:rsidRPr="00073574" w:rsidRDefault="00F0236A" w:rsidP="00DF36E1">
            <w:pPr>
              <w:pStyle w:val="Tabletext"/>
              <w:jc w:val="center"/>
              <w:rPr>
                <w:b/>
                <w:bCs/>
                <w:sz w:val="24"/>
                <w:szCs w:val="24"/>
              </w:rPr>
            </w:pPr>
          </w:p>
        </w:tc>
      </w:tr>
      <w:tr w:rsidR="00F0236A" w:rsidRPr="00073574" w14:paraId="66ECC1D9" w14:textId="77777777" w:rsidTr="634A3A28">
        <w:trPr>
          <w:jc w:val="center"/>
        </w:trPr>
        <w:tc>
          <w:tcPr>
            <w:tcW w:w="905" w:type="dxa"/>
            <w:vMerge/>
          </w:tcPr>
          <w:p w14:paraId="22E4598E" w14:textId="77777777" w:rsidR="00F0236A" w:rsidRPr="00073574" w:rsidRDefault="00F0236A" w:rsidP="00DF36E1">
            <w:pPr>
              <w:pStyle w:val="Tabletext"/>
              <w:rPr>
                <w:sz w:val="24"/>
                <w:szCs w:val="24"/>
              </w:rPr>
            </w:pPr>
          </w:p>
        </w:tc>
        <w:tc>
          <w:tcPr>
            <w:tcW w:w="8927" w:type="dxa"/>
            <w:gridSpan w:val="4"/>
            <w:tcBorders>
              <w:bottom w:val="single" w:sz="12" w:space="0" w:color="auto"/>
            </w:tcBorders>
            <w:shd w:val="clear" w:color="auto" w:fill="auto"/>
          </w:tcPr>
          <w:p w14:paraId="2D4C65DE" w14:textId="47291F94" w:rsidR="00F0236A" w:rsidRPr="00073574" w:rsidRDefault="00F0236A" w:rsidP="00DF36E1">
            <w:pPr>
              <w:pStyle w:val="Tabletext"/>
              <w:rPr>
                <w:szCs w:val="22"/>
              </w:rPr>
            </w:pPr>
            <w:r w:rsidRPr="00073574">
              <w:rPr>
                <w:szCs w:val="22"/>
              </w:rPr>
              <w:t>See TSB Director</w:t>
            </w:r>
            <w:r w:rsidR="003C7E25" w:rsidRPr="00073574">
              <w:rPr>
                <w:szCs w:val="22"/>
              </w:rPr>
              <w:t>'</w:t>
            </w:r>
            <w:r w:rsidRPr="00073574">
              <w:rPr>
                <w:szCs w:val="22"/>
              </w:rPr>
              <w:t>s reports to TSAG.</w:t>
            </w:r>
          </w:p>
        </w:tc>
      </w:tr>
      <w:tr w:rsidR="00F0236A" w:rsidRPr="00073574" w14:paraId="08B93F58" w14:textId="77777777" w:rsidTr="634A3A28">
        <w:trPr>
          <w:jc w:val="center"/>
        </w:trPr>
        <w:tc>
          <w:tcPr>
            <w:tcW w:w="905" w:type="dxa"/>
            <w:vMerge w:val="restart"/>
            <w:tcBorders>
              <w:top w:val="single" w:sz="12" w:space="0" w:color="auto"/>
            </w:tcBorders>
            <w:shd w:val="clear" w:color="auto" w:fill="auto"/>
          </w:tcPr>
          <w:p w14:paraId="23D5979F" w14:textId="77777777" w:rsidR="00F0236A" w:rsidRPr="00073574" w:rsidRDefault="00F0236A" w:rsidP="00CA23C6">
            <w:pPr>
              <w:pStyle w:val="Tabletext"/>
              <w:keepNext/>
              <w:keepLines/>
              <w:rPr>
                <w:b/>
                <w:bCs/>
                <w:sz w:val="24"/>
                <w:szCs w:val="24"/>
              </w:rPr>
            </w:pPr>
            <w:r w:rsidRPr="00073574">
              <w:rPr>
                <w:b/>
                <w:bCs/>
                <w:sz w:val="24"/>
                <w:szCs w:val="24"/>
              </w:rPr>
              <w:lastRenderedPageBreak/>
              <w:t>73-16</w:t>
            </w:r>
          </w:p>
        </w:tc>
        <w:tc>
          <w:tcPr>
            <w:tcW w:w="4774" w:type="dxa"/>
            <w:tcBorders>
              <w:top w:val="single" w:sz="12" w:space="0" w:color="auto"/>
            </w:tcBorders>
            <w:shd w:val="clear" w:color="auto" w:fill="auto"/>
          </w:tcPr>
          <w:p w14:paraId="542676EB" w14:textId="77777777" w:rsidR="00F0236A" w:rsidRPr="00073574" w:rsidRDefault="00F0236A" w:rsidP="00CA23C6">
            <w:pPr>
              <w:pStyle w:val="Tabletext"/>
              <w:keepNext/>
              <w:keepLines/>
              <w:rPr>
                <w:b/>
                <w:bCs/>
                <w:sz w:val="24"/>
                <w:szCs w:val="24"/>
              </w:rPr>
            </w:pPr>
            <w:r w:rsidRPr="00073574">
              <w:rPr>
                <w:b/>
                <w:bCs/>
                <w:sz w:val="24"/>
                <w:szCs w:val="24"/>
              </w:rPr>
              <w:t>TSB to work towards the reductions in emissions of GHGs arising from the use of ICTs, and to work towards a reduction of the adverse environmental impact of environmentally unfriendly materials used in ICT products (resolves 6 ,7)</w:t>
            </w:r>
          </w:p>
        </w:tc>
        <w:tc>
          <w:tcPr>
            <w:tcW w:w="1683" w:type="dxa"/>
            <w:tcBorders>
              <w:top w:val="single" w:sz="12" w:space="0" w:color="auto"/>
            </w:tcBorders>
            <w:shd w:val="clear" w:color="auto" w:fill="auto"/>
            <w:vAlign w:val="center"/>
          </w:tcPr>
          <w:p w14:paraId="62ACEC23" w14:textId="77777777" w:rsidR="00F0236A" w:rsidRPr="00073574" w:rsidRDefault="00F0236A" w:rsidP="00BD1FB9">
            <w:pPr>
              <w:pStyle w:val="Tabletext"/>
              <w:jc w:val="center"/>
              <w:rPr>
                <w:b/>
                <w:bCs/>
                <w:sz w:val="24"/>
                <w:szCs w:val="24"/>
              </w:rPr>
            </w:pPr>
            <w:r w:rsidRPr="00073574">
              <w:rPr>
                <w:b/>
                <w:bCs/>
                <w:sz w:val="24"/>
                <w:szCs w:val="24"/>
              </w:rPr>
              <w:t>Ongoing</w:t>
            </w:r>
          </w:p>
        </w:tc>
        <w:tc>
          <w:tcPr>
            <w:tcW w:w="1134" w:type="dxa"/>
            <w:tcBorders>
              <w:top w:val="single" w:sz="12" w:space="0" w:color="auto"/>
            </w:tcBorders>
            <w:shd w:val="clear" w:color="auto" w:fill="auto"/>
            <w:vAlign w:val="center"/>
          </w:tcPr>
          <w:p w14:paraId="1EEBE198" w14:textId="77777777" w:rsidR="00F0236A" w:rsidRPr="00073574" w:rsidDel="000F2D69" w:rsidRDefault="00F0236A" w:rsidP="00BD1FB9">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5A3A46C1" w14:textId="77777777" w:rsidR="00F0236A" w:rsidRPr="00073574" w:rsidRDefault="00F0236A" w:rsidP="00BD1FB9">
            <w:pPr>
              <w:pStyle w:val="Tabletext"/>
              <w:jc w:val="center"/>
              <w:rPr>
                <w:b/>
                <w:bCs/>
                <w:sz w:val="24"/>
                <w:szCs w:val="24"/>
              </w:rPr>
            </w:pPr>
          </w:p>
        </w:tc>
      </w:tr>
      <w:tr w:rsidR="00F0236A" w:rsidRPr="00073574" w14:paraId="38631215" w14:textId="77777777" w:rsidTr="634A3A28">
        <w:trPr>
          <w:jc w:val="center"/>
        </w:trPr>
        <w:tc>
          <w:tcPr>
            <w:tcW w:w="905" w:type="dxa"/>
            <w:vMerge/>
          </w:tcPr>
          <w:p w14:paraId="45BFD5A8" w14:textId="77777777" w:rsidR="00F0236A" w:rsidRPr="00073574" w:rsidRDefault="00F0236A" w:rsidP="00BD1FB9">
            <w:pPr>
              <w:pStyle w:val="Tabletext"/>
              <w:rPr>
                <w:sz w:val="24"/>
                <w:szCs w:val="24"/>
              </w:rPr>
            </w:pPr>
          </w:p>
        </w:tc>
        <w:tc>
          <w:tcPr>
            <w:tcW w:w="8927" w:type="dxa"/>
            <w:gridSpan w:val="4"/>
            <w:tcBorders>
              <w:bottom w:val="single" w:sz="12" w:space="0" w:color="auto"/>
            </w:tcBorders>
            <w:shd w:val="clear" w:color="auto" w:fill="auto"/>
          </w:tcPr>
          <w:p w14:paraId="6B745AD5" w14:textId="48B92C7D" w:rsidR="00F0236A" w:rsidRPr="00073574" w:rsidRDefault="00F0236A" w:rsidP="00BD1FB9">
            <w:pPr>
              <w:pStyle w:val="Tabletext"/>
              <w:rPr>
                <w:szCs w:val="22"/>
              </w:rPr>
            </w:pPr>
            <w:r w:rsidRPr="00073574">
              <w:rPr>
                <w:szCs w:val="22"/>
              </w:rPr>
              <w:t xml:space="preserve">SG5 </w:t>
            </w:r>
            <w:r w:rsidR="00944668" w:rsidRPr="00073574">
              <w:rPr>
                <w:szCs w:val="22"/>
              </w:rPr>
              <w:t>approved</w:t>
            </w:r>
            <w:r w:rsidR="00A6014D" w:rsidRPr="00073574">
              <w:rPr>
                <w:szCs w:val="22"/>
              </w:rPr>
              <w:t xml:space="preserve"> the following Recommendations:</w:t>
            </w:r>
          </w:p>
          <w:p w14:paraId="69CD7E2F" w14:textId="5C83945A" w:rsidR="00F0236A" w:rsidRPr="00073574" w:rsidRDefault="00F0236A" w:rsidP="00BD1FB9">
            <w:pPr>
              <w:pStyle w:val="Tabletext"/>
              <w:rPr>
                <w:szCs w:val="22"/>
              </w:rPr>
            </w:pPr>
            <w:r w:rsidRPr="00073574">
              <w:rPr>
                <w:szCs w:val="22"/>
              </w:rPr>
              <w:t xml:space="preserve">Under Q7/5 - </w:t>
            </w:r>
            <w:r w:rsidR="000C51FA" w:rsidRPr="00073574">
              <w:rPr>
                <w:szCs w:val="22"/>
              </w:rPr>
              <w:t>Circular economy including e-waste:</w:t>
            </w:r>
          </w:p>
          <w:p w14:paraId="7A10B13B" w14:textId="1EA456A4" w:rsidR="002658E3" w:rsidRPr="00073574" w:rsidRDefault="28CF253A" w:rsidP="00657757">
            <w:pPr>
              <w:pStyle w:val="ListParagraph"/>
              <w:numPr>
                <w:ilvl w:val="0"/>
                <w:numId w:val="28"/>
              </w:numPr>
              <w:ind w:left="357" w:hanging="357"/>
              <w:contextualSpacing w:val="0"/>
            </w:pPr>
            <w:r w:rsidRPr="00073574">
              <w:t>ITU-T L.1015 “Criteria for evaluation of the environmental impact of mobile phones”</w:t>
            </w:r>
            <w:r w:rsidR="22B2E059" w:rsidRPr="00073574">
              <w:t>;</w:t>
            </w:r>
          </w:p>
          <w:p w14:paraId="1F8C2870" w14:textId="4B2B2F2D" w:rsidR="34FEEFB8" w:rsidRPr="00073574" w:rsidRDefault="10762DE1" w:rsidP="00657757">
            <w:pPr>
              <w:pStyle w:val="ListParagraph"/>
              <w:numPr>
                <w:ilvl w:val="0"/>
                <w:numId w:val="28"/>
              </w:numPr>
              <w:ind w:left="357" w:hanging="357"/>
              <w:contextualSpacing w:val="0"/>
            </w:pPr>
            <w:r w:rsidRPr="00073574">
              <w:t>ITU-T L.1023 “Assessment method for Circular Scoring"</w:t>
            </w:r>
            <w:r w:rsidR="49804B80" w:rsidRPr="00073574">
              <w:t>;</w:t>
            </w:r>
          </w:p>
          <w:p w14:paraId="52BDAFFB" w14:textId="2EF43885" w:rsidR="007355EF" w:rsidRPr="00073574" w:rsidRDefault="007355EF" w:rsidP="00657757">
            <w:pPr>
              <w:pStyle w:val="ListParagraph"/>
              <w:numPr>
                <w:ilvl w:val="0"/>
                <w:numId w:val="28"/>
              </w:numPr>
              <w:ind w:left="357" w:hanging="357"/>
              <w:contextualSpacing w:val="0"/>
            </w:pPr>
            <w:r w:rsidRPr="00073574">
              <w:t>ITU-T L.1024 “Effect for global ICT of the potential of selling services instead of equipment on the waste creation and environmental impacts”</w:t>
            </w:r>
          </w:p>
          <w:p w14:paraId="79BC66C9" w14:textId="0CB7FDCC" w:rsidR="006C05C8" w:rsidRPr="00073574" w:rsidRDefault="0EF1496C" w:rsidP="00657757">
            <w:pPr>
              <w:pStyle w:val="ListParagraph"/>
              <w:numPr>
                <w:ilvl w:val="0"/>
                <w:numId w:val="28"/>
              </w:numPr>
              <w:ind w:left="357" w:hanging="357"/>
              <w:contextualSpacing w:val="0"/>
            </w:pPr>
            <w:r w:rsidRPr="00073574">
              <w:t>ITU-T L.1031 “Guideline on implementing the e-waste reduction target of the Connect 2020 Agenda”</w:t>
            </w:r>
            <w:r w:rsidR="22B2E059" w:rsidRPr="00073574">
              <w:t>;</w:t>
            </w:r>
          </w:p>
          <w:p w14:paraId="577868BB" w14:textId="2F4A759C" w:rsidR="00F0236A" w:rsidRPr="00073574" w:rsidRDefault="00F0236A" w:rsidP="00657757">
            <w:pPr>
              <w:pStyle w:val="ListParagraph"/>
              <w:numPr>
                <w:ilvl w:val="0"/>
                <w:numId w:val="28"/>
              </w:numPr>
              <w:ind w:left="357" w:hanging="357"/>
              <w:contextualSpacing w:val="0"/>
            </w:pPr>
            <w:r w:rsidRPr="00073574">
              <w:t xml:space="preserve">Under Q9/5 - </w:t>
            </w:r>
            <w:r w:rsidR="0EF1496C" w:rsidRPr="00073574">
              <w:t>Climate change and assessment of information and communication technology (ICT) in the framework of the Sustainable Development Goals (SDGs)</w:t>
            </w:r>
            <w:r w:rsidR="22B2E059" w:rsidRPr="00073574">
              <w:t>;</w:t>
            </w:r>
          </w:p>
          <w:p w14:paraId="12A847D6" w14:textId="75334E0A" w:rsidR="000C51FA" w:rsidRPr="00073574" w:rsidRDefault="0EF1496C" w:rsidP="00657757">
            <w:pPr>
              <w:pStyle w:val="ListParagraph"/>
              <w:numPr>
                <w:ilvl w:val="0"/>
                <w:numId w:val="28"/>
              </w:numPr>
              <w:ind w:left="357" w:hanging="357"/>
              <w:contextualSpacing w:val="0"/>
            </w:pPr>
            <w:r w:rsidRPr="00073574">
              <w:t>ITU-T L.1460 “Connect 2020 greenhouse gases emissions”</w:t>
            </w:r>
            <w:r w:rsidR="22B2E059" w:rsidRPr="00073574">
              <w:t>;</w:t>
            </w:r>
          </w:p>
          <w:p w14:paraId="39E7E1B3" w14:textId="196993BC" w:rsidR="00F0236A" w:rsidRPr="00073574" w:rsidRDefault="0EF1496C" w:rsidP="00657757">
            <w:pPr>
              <w:pStyle w:val="ListParagraph"/>
              <w:numPr>
                <w:ilvl w:val="0"/>
                <w:numId w:val="28"/>
              </w:numPr>
              <w:ind w:left="357" w:hanging="357"/>
              <w:contextualSpacing w:val="0"/>
            </w:pPr>
            <w:r w:rsidRPr="00073574">
              <w:t>ITU-T L.1450 “Methodologies for the assessment of the environmental impact of the information and communication technology sector”</w:t>
            </w:r>
            <w:r w:rsidR="22B2E059" w:rsidRPr="00073574">
              <w:t>.</w:t>
            </w:r>
          </w:p>
          <w:p w14:paraId="02555AEF" w14:textId="5F8D7450" w:rsidR="00B16F46" w:rsidRPr="00073574" w:rsidRDefault="60F4CD03" w:rsidP="00657757">
            <w:pPr>
              <w:pStyle w:val="ListParagraph"/>
              <w:numPr>
                <w:ilvl w:val="0"/>
                <w:numId w:val="28"/>
              </w:numPr>
              <w:ind w:left="357" w:hanging="357"/>
              <w:contextualSpacing w:val="0"/>
            </w:pPr>
            <w:r w:rsidRPr="00073574">
              <w:t>ITU-T L.1451 “Methodology for assessing the aggregated positive sector-level impacts of ICT in other sectors”</w:t>
            </w:r>
          </w:p>
          <w:p w14:paraId="50B40C6F" w14:textId="038CA6A0" w:rsidR="00B16F46" w:rsidRPr="00073574" w:rsidRDefault="60F4CD03" w:rsidP="00657757">
            <w:pPr>
              <w:pStyle w:val="ListParagraph"/>
              <w:numPr>
                <w:ilvl w:val="0"/>
                <w:numId w:val="28"/>
              </w:numPr>
              <w:ind w:left="357" w:hanging="357"/>
              <w:contextualSpacing w:val="0"/>
            </w:pPr>
            <w:r w:rsidRPr="00073574">
              <w:t>ITU-T L.1470 “GHG emissions trajectories for the ICT sector compatible with the UNFCCC Paris Agreement”</w:t>
            </w:r>
          </w:p>
          <w:p w14:paraId="45E0EA4B" w14:textId="74B395FA" w:rsidR="007355EF" w:rsidRPr="00073574" w:rsidRDefault="007355EF" w:rsidP="00657757">
            <w:pPr>
              <w:pStyle w:val="ListParagraph"/>
              <w:numPr>
                <w:ilvl w:val="0"/>
                <w:numId w:val="28"/>
              </w:numPr>
              <w:ind w:left="357" w:hanging="357"/>
              <w:contextualSpacing w:val="0"/>
            </w:pPr>
            <w:r w:rsidRPr="00073574">
              <w:t>ITU-T L.1471 “Guidance and criteria for information and communication technology organisations on setting Net Zero targets and strategies”</w:t>
            </w:r>
          </w:p>
          <w:p w14:paraId="045B018E" w14:textId="77777777" w:rsidR="00A240F4" w:rsidRPr="00073574" w:rsidRDefault="00A240F4" w:rsidP="00A240F4">
            <w:pPr>
              <w:pStyle w:val="Tabletext"/>
              <w:spacing w:before="240"/>
              <w:rPr>
                <w:szCs w:val="22"/>
              </w:rPr>
            </w:pPr>
            <w:r w:rsidRPr="00073574">
              <w:rPr>
                <w:szCs w:val="22"/>
              </w:rPr>
              <w:t>SG5 consented the following Recommendations:</w:t>
            </w:r>
          </w:p>
          <w:p w14:paraId="32575717" w14:textId="77777777" w:rsidR="00A240F4" w:rsidRPr="00073574" w:rsidRDefault="00A240F4" w:rsidP="00A240F4">
            <w:pPr>
              <w:pStyle w:val="ListParagraph"/>
              <w:numPr>
                <w:ilvl w:val="0"/>
                <w:numId w:val="28"/>
              </w:numPr>
              <w:contextualSpacing w:val="0"/>
            </w:pPr>
            <w:r w:rsidRPr="00073574">
              <w:t>Draft ITU-T L.1016 (ex. L.TWS) “Method for Evaluation of the Environmental and Safety Performance of True Wireless Stereo Headphones”;</w:t>
            </w:r>
          </w:p>
          <w:p w14:paraId="5BB4D12A" w14:textId="77777777" w:rsidR="00A240F4" w:rsidRPr="00073574" w:rsidRDefault="00A240F4" w:rsidP="00A240F4">
            <w:pPr>
              <w:pStyle w:val="ListParagraph"/>
              <w:numPr>
                <w:ilvl w:val="0"/>
                <w:numId w:val="28"/>
              </w:numPr>
              <w:contextualSpacing w:val="0"/>
            </w:pPr>
            <w:r w:rsidRPr="00073574">
              <w:t>Draft ITU-T L.1035 (ex. L.SM_Batteries) “Sustainable management of batteries resulting from ICT equipment”;</w:t>
            </w:r>
          </w:p>
          <w:p w14:paraId="42C920DC" w14:textId="77777777" w:rsidR="00A240F4" w:rsidRPr="00073574" w:rsidRDefault="00A240F4" w:rsidP="00A240F4">
            <w:pPr>
              <w:pStyle w:val="ListParagraph"/>
              <w:numPr>
                <w:ilvl w:val="0"/>
                <w:numId w:val="28"/>
              </w:numPr>
              <w:contextualSpacing w:val="0"/>
            </w:pPr>
            <w:r w:rsidRPr="00073574">
              <w:t>Draft ITU-T L.1036 (ex. L.ewaste-base_station) “Scheduled waste management for base station (inclusive of e</w:t>
            </w:r>
            <w:r w:rsidRPr="00073574">
              <w:rPr>
                <w:szCs w:val="22"/>
              </w:rPr>
              <w:noBreakHyphen/>
            </w:r>
            <w:r w:rsidRPr="00073574">
              <w:t>waste)</w:t>
            </w:r>
            <w:r w:rsidRPr="00073574">
              <w:rPr>
                <w:szCs w:val="22"/>
              </w:rPr>
              <w:t>”</w:t>
            </w:r>
          </w:p>
          <w:p w14:paraId="13838DDA" w14:textId="77777777" w:rsidR="00944668" w:rsidRPr="00073574" w:rsidRDefault="000C51FA" w:rsidP="00A6014D">
            <w:pPr>
              <w:pStyle w:val="Tabletext"/>
              <w:spacing w:before="240"/>
              <w:rPr>
                <w:szCs w:val="22"/>
              </w:rPr>
            </w:pPr>
            <w:r w:rsidRPr="00073574">
              <w:rPr>
                <w:szCs w:val="22"/>
              </w:rPr>
              <w:t>SG5 is currently working on the following work items:</w:t>
            </w:r>
          </w:p>
          <w:p w14:paraId="30AA0427" w14:textId="77777777" w:rsidR="00A240F4" w:rsidRPr="00073574" w:rsidRDefault="00A240F4" w:rsidP="00A240F4">
            <w:pPr>
              <w:pStyle w:val="ListParagraph"/>
              <w:numPr>
                <w:ilvl w:val="0"/>
                <w:numId w:val="28"/>
              </w:numPr>
              <w:contextualSpacing w:val="0"/>
            </w:pPr>
            <w:r w:rsidRPr="00073574">
              <w:t>ITU-T L.NCIe “Carbon data intensity for network energy performance monitoring”;</w:t>
            </w:r>
          </w:p>
          <w:p w14:paraId="056E2B8E" w14:textId="77777777" w:rsidR="00A240F4" w:rsidRPr="00073574" w:rsidRDefault="00A240F4" w:rsidP="00A240F4">
            <w:pPr>
              <w:pStyle w:val="ListParagraph"/>
              <w:numPr>
                <w:ilvl w:val="0"/>
                <w:numId w:val="28"/>
              </w:numPr>
              <w:contextualSpacing w:val="0"/>
            </w:pPr>
            <w:r w:rsidRPr="00073574">
              <w:t>ITU-T L.SCCA “Supply-chain based carbon accounting information guidelines for ICT manufacturing industries”;</w:t>
            </w:r>
          </w:p>
          <w:p w14:paraId="6E89A2D3" w14:textId="77777777" w:rsidR="00A240F4" w:rsidRPr="00073574" w:rsidRDefault="00A240F4" w:rsidP="00A240F4">
            <w:pPr>
              <w:pStyle w:val="ListParagraph"/>
              <w:numPr>
                <w:ilvl w:val="0"/>
                <w:numId w:val="28"/>
              </w:numPr>
              <w:contextualSpacing w:val="0"/>
            </w:pPr>
            <w:r w:rsidRPr="00073574">
              <w:t>ITU-T L.GPSIM “Good practices for the sanitization of the information media in end-of-life ICT devices”;</w:t>
            </w:r>
          </w:p>
          <w:p w14:paraId="31387A5B" w14:textId="6A9516E4" w:rsidR="00A240F4" w:rsidRPr="00073574" w:rsidRDefault="00A240F4" w:rsidP="00A240F4">
            <w:pPr>
              <w:pStyle w:val="ListParagraph"/>
              <w:numPr>
                <w:ilvl w:val="0"/>
                <w:numId w:val="28"/>
              </w:numPr>
              <w:contextualSpacing w:val="0"/>
            </w:pPr>
            <w:r w:rsidRPr="00073574">
              <w:t>ITU-T L.ICT_PROCURE “</w:t>
            </w:r>
            <w:r w:rsidRPr="00073574">
              <w:rPr>
                <w:color w:val="000000"/>
                <w:szCs w:val="22"/>
                <w:lang w:eastAsia="zh-CN"/>
              </w:rPr>
              <w:t xml:space="preserve"> Public procurement of ICTs to mitigate the adverse effects of e</w:t>
            </w:r>
            <w:r w:rsidRPr="00073574">
              <w:rPr>
                <w:color w:val="000000"/>
                <w:szCs w:val="22"/>
                <w:lang w:eastAsia="zh-CN"/>
              </w:rPr>
              <w:noBreakHyphen/>
              <w:t>waste”;</w:t>
            </w:r>
          </w:p>
          <w:p w14:paraId="5EBAB8B8" w14:textId="77777777" w:rsidR="00A240F4" w:rsidRPr="00073574" w:rsidRDefault="00A240F4" w:rsidP="00A240F4">
            <w:pPr>
              <w:pStyle w:val="ListParagraph"/>
              <w:numPr>
                <w:ilvl w:val="0"/>
                <w:numId w:val="28"/>
              </w:numPr>
              <w:contextualSpacing w:val="0"/>
            </w:pPr>
            <w:r w:rsidRPr="00073574">
              <w:rPr>
                <w:color w:val="000000"/>
                <w:szCs w:val="22"/>
              </w:rPr>
              <w:lastRenderedPageBreak/>
              <w:t>ITU-T L.Database “</w:t>
            </w:r>
            <w:r w:rsidRPr="00073574">
              <w:rPr>
                <w:szCs w:val="22"/>
                <w:lang w:eastAsia="zh-CN"/>
              </w:rPr>
              <w:t>Guidance for the creation of an ITU database on GHG emissions of the global ICT sector</w:t>
            </w:r>
            <w:r w:rsidRPr="00073574">
              <w:rPr>
                <w:color w:val="000000"/>
                <w:szCs w:val="22"/>
              </w:rPr>
              <w:t>”;</w:t>
            </w:r>
          </w:p>
          <w:p w14:paraId="3C4D4582" w14:textId="77777777" w:rsidR="00A240F4" w:rsidRPr="00073574" w:rsidRDefault="00A240F4" w:rsidP="00A240F4">
            <w:pPr>
              <w:pStyle w:val="ListParagraph"/>
              <w:numPr>
                <w:ilvl w:val="0"/>
                <w:numId w:val="28"/>
              </w:numPr>
              <w:contextualSpacing w:val="0"/>
            </w:pPr>
            <w:r w:rsidRPr="00073574">
              <w:rPr>
                <w:color w:val="000000"/>
                <w:szCs w:val="22"/>
              </w:rPr>
              <w:t>ITU-T L.Biodiversity_footprint “Methodology for the assessment of the footprint of an ICT organization on biodiversity”;</w:t>
            </w:r>
          </w:p>
          <w:p w14:paraId="7B705DD2" w14:textId="77777777" w:rsidR="00A240F4" w:rsidRPr="00073574" w:rsidRDefault="00A240F4" w:rsidP="00A240F4">
            <w:pPr>
              <w:pStyle w:val="ListParagraph"/>
              <w:numPr>
                <w:ilvl w:val="0"/>
                <w:numId w:val="28"/>
              </w:numPr>
              <w:contextualSpacing w:val="0"/>
            </w:pPr>
            <w:r w:rsidRPr="00073574">
              <w:t>ITU-T L.Biodiversity_opportunities “</w:t>
            </w:r>
            <w:r w:rsidRPr="00073574">
              <w:rPr>
                <w:szCs w:val="22"/>
              </w:rPr>
              <w:t>Development of guidance on how to assess the second order effects of ICT solutions on biodiversity, including positive effects</w:t>
            </w:r>
            <w:r w:rsidRPr="00073574">
              <w:t>”;</w:t>
            </w:r>
          </w:p>
          <w:p w14:paraId="20CC3A13" w14:textId="749C0AE8" w:rsidR="00A240F4" w:rsidRPr="00073574" w:rsidRDefault="00A240F4" w:rsidP="00A240F4">
            <w:pPr>
              <w:pStyle w:val="ListParagraph"/>
              <w:numPr>
                <w:ilvl w:val="0"/>
                <w:numId w:val="28"/>
              </w:numPr>
              <w:contextualSpacing w:val="0"/>
            </w:pPr>
            <w:r w:rsidRPr="00073574">
              <w:t xml:space="preserve">ITU-T </w:t>
            </w:r>
            <w:r w:rsidRPr="00073574">
              <w:rPr>
                <w:szCs w:val="22"/>
              </w:rPr>
              <w:t xml:space="preserve">L.GHGintensities </w:t>
            </w:r>
            <w:r w:rsidRPr="00073574">
              <w:t>“</w:t>
            </w:r>
            <w:r w:rsidRPr="00073574">
              <w:rPr>
                <w:szCs w:val="22"/>
                <w:lang w:eastAsia="zh-CN"/>
              </w:rPr>
              <w:t>GHG emissions intensity indicators for telecom network operators</w:t>
            </w:r>
            <w:r w:rsidRPr="00073574">
              <w:t>”;</w:t>
            </w:r>
          </w:p>
          <w:p w14:paraId="55DCBD3F" w14:textId="215B5D92" w:rsidR="00A240F4" w:rsidRPr="00073574" w:rsidRDefault="00A240F4" w:rsidP="00A240F4">
            <w:pPr>
              <w:pStyle w:val="ListParagraph"/>
              <w:numPr>
                <w:ilvl w:val="0"/>
                <w:numId w:val="28"/>
              </w:numPr>
              <w:contextualSpacing w:val="0"/>
            </w:pPr>
            <w:r w:rsidRPr="00073574">
              <w:rPr>
                <w:szCs w:val="22"/>
              </w:rPr>
              <w:t>A series of “Methodologies for accounting Greenhouse Gas Emissions of Base Station sites, Data Centres and Telecommunication rooms and Industrial Parks”;</w:t>
            </w:r>
          </w:p>
          <w:p w14:paraId="10550BA2" w14:textId="77777777" w:rsidR="00A240F4" w:rsidRPr="00073574" w:rsidRDefault="00A240F4" w:rsidP="00A240F4">
            <w:pPr>
              <w:pStyle w:val="ListParagraph"/>
              <w:numPr>
                <w:ilvl w:val="0"/>
                <w:numId w:val="28"/>
              </w:numPr>
              <w:contextualSpacing w:val="0"/>
            </w:pPr>
            <w:r w:rsidRPr="00073574">
              <w:t xml:space="preserve">A series of </w:t>
            </w:r>
            <w:r w:rsidRPr="00073574">
              <w:rPr>
                <w:szCs w:val="22"/>
                <w:lang w:eastAsia="zh-CN"/>
              </w:rPr>
              <w:t>Measurement methodologies and Best Practices for decarbonization of Industrial Park, Base station sites, and Data Centre and Telecommunication room, and smart cities in support of Net Zero</w:t>
            </w:r>
          </w:p>
          <w:p w14:paraId="4D3CFF61" w14:textId="25061D38" w:rsidR="000C51FA" w:rsidRPr="00073574" w:rsidRDefault="0EF1496C" w:rsidP="00657757">
            <w:pPr>
              <w:pStyle w:val="ListParagraph"/>
              <w:numPr>
                <w:ilvl w:val="0"/>
                <w:numId w:val="28"/>
              </w:numPr>
              <w:contextualSpacing w:val="0"/>
            </w:pPr>
            <w:r w:rsidRPr="00073574">
              <w:t>ITU-T L.AUVE “Effects of ICT enabled autonomy on vehicles longevity and waste creation”;</w:t>
            </w:r>
          </w:p>
          <w:p w14:paraId="4E1955DD" w14:textId="53A06026" w:rsidR="000C51FA" w:rsidRPr="00073574" w:rsidRDefault="0EF1496C" w:rsidP="00657757">
            <w:pPr>
              <w:pStyle w:val="ListParagraph"/>
              <w:numPr>
                <w:ilvl w:val="0"/>
                <w:numId w:val="28"/>
              </w:numPr>
              <w:contextualSpacing w:val="0"/>
            </w:pPr>
            <w:r w:rsidRPr="00073574">
              <w:t>ITU-T L.CE_Industry 4.0 “Circular Economy and Industr</w:t>
            </w:r>
            <w:r w:rsidR="22B2E059" w:rsidRPr="00073574">
              <w:t>y 4.0”</w:t>
            </w:r>
            <w:r w:rsidRPr="00073574">
              <w:t>;</w:t>
            </w:r>
          </w:p>
          <w:p w14:paraId="0CCDADEC" w14:textId="30D46252" w:rsidR="000C51FA" w:rsidRPr="00073574" w:rsidRDefault="0EF1496C" w:rsidP="00657757">
            <w:pPr>
              <w:pStyle w:val="ListParagraph"/>
              <w:numPr>
                <w:ilvl w:val="0"/>
                <w:numId w:val="28"/>
              </w:numPr>
              <w:contextualSpacing w:val="0"/>
            </w:pPr>
            <w:r w:rsidRPr="00073574">
              <w:t>ITU-T L.Counterfeit “Adequate Assessment and Sensitisation on Counterfeit ICT Products and their Environmental Impact”</w:t>
            </w:r>
            <w:r w:rsidR="476C3873" w:rsidRPr="00073574">
              <w:t>;</w:t>
            </w:r>
          </w:p>
          <w:p w14:paraId="648900E3" w14:textId="65FDF254" w:rsidR="000C51FA" w:rsidRPr="00073574" w:rsidRDefault="0EF1496C" w:rsidP="00657757">
            <w:pPr>
              <w:pStyle w:val="ListParagraph"/>
              <w:numPr>
                <w:ilvl w:val="0"/>
                <w:numId w:val="28"/>
              </w:numPr>
              <w:contextualSpacing w:val="0"/>
            </w:pPr>
            <w:r w:rsidRPr="00073574">
              <w:t>ITU-T L.ICT_CE “ICT response to circular economy”</w:t>
            </w:r>
            <w:r w:rsidR="476C3873" w:rsidRPr="00073574">
              <w:t>;</w:t>
            </w:r>
          </w:p>
          <w:p w14:paraId="19E39F05" w14:textId="67E7C3E9" w:rsidR="24F3D7AD" w:rsidRPr="00073574" w:rsidRDefault="68437C0C" w:rsidP="00657757">
            <w:pPr>
              <w:pStyle w:val="ListParagraph"/>
              <w:numPr>
                <w:ilvl w:val="0"/>
                <w:numId w:val="28"/>
              </w:numPr>
              <w:contextualSpacing w:val="0"/>
              <w:rPr>
                <w:rFonts w:eastAsia="Times New Roman"/>
              </w:rPr>
            </w:pPr>
            <w:r w:rsidRPr="00073574">
              <w:t>ITU-T L.E-waste-collection “Guidelines on the collection, pre-treatment, dismantling, valorization and final disposal of WEEE”</w:t>
            </w:r>
            <w:r w:rsidR="49804B80" w:rsidRPr="00073574">
              <w:t>;</w:t>
            </w:r>
          </w:p>
          <w:p w14:paraId="2589E369" w14:textId="3CDB2A75" w:rsidR="007355EF" w:rsidRPr="00073574" w:rsidRDefault="007355EF" w:rsidP="00657757">
            <w:pPr>
              <w:pStyle w:val="ListParagraph"/>
              <w:numPr>
                <w:ilvl w:val="0"/>
                <w:numId w:val="28"/>
              </w:numPr>
              <w:contextualSpacing w:val="0"/>
            </w:pPr>
            <w:r w:rsidRPr="00073574">
              <w:t>ITU-T L.GDSPP “Requirements for a global digital sustainable product passport to achieve a circular economy”</w:t>
            </w:r>
          </w:p>
          <w:p w14:paraId="1A2255F6" w14:textId="44C7B8F0" w:rsidR="702F0931" w:rsidRPr="00073574" w:rsidRDefault="3FD9D6F2" w:rsidP="00657757">
            <w:pPr>
              <w:pStyle w:val="ListParagraph"/>
              <w:numPr>
                <w:ilvl w:val="0"/>
                <w:numId w:val="28"/>
              </w:numPr>
              <w:contextualSpacing w:val="0"/>
              <w:rPr>
                <w:rFonts w:eastAsia="Times New Roman"/>
              </w:rPr>
            </w:pPr>
            <w:r w:rsidRPr="00073574">
              <w:t>ITU-T L.Mat_frame “Assessment of material efficiency of ICT network goods (circular economy). Part 1: General for server and data storage equipment"</w:t>
            </w:r>
            <w:r w:rsidR="49804B80" w:rsidRPr="00073574">
              <w:t>;</w:t>
            </w:r>
          </w:p>
          <w:p w14:paraId="43CF1BB8" w14:textId="3D0E95D8" w:rsidR="702F0931" w:rsidRPr="00073574" w:rsidRDefault="3FD9D6F2" w:rsidP="00657757">
            <w:pPr>
              <w:pStyle w:val="ListParagraph"/>
              <w:numPr>
                <w:ilvl w:val="0"/>
                <w:numId w:val="28"/>
              </w:numPr>
              <w:contextualSpacing w:val="0"/>
              <w:rPr>
                <w:rFonts w:eastAsia="Times New Roman"/>
              </w:rPr>
            </w:pPr>
            <w:r w:rsidRPr="00073574">
              <w:t>ITU-T L.ME_DD “Assessment of material efficiency of ICT network infrastructure goods (circular economy). Part 2: server and data storage product secure data deletion functionality"</w:t>
            </w:r>
            <w:r w:rsidR="49804B80" w:rsidRPr="00073574">
              <w:t>;</w:t>
            </w:r>
          </w:p>
          <w:p w14:paraId="56AE7876" w14:textId="6054842D" w:rsidR="702F0931" w:rsidRPr="00073574" w:rsidRDefault="3FD9D6F2" w:rsidP="00657757">
            <w:pPr>
              <w:pStyle w:val="ListParagraph"/>
              <w:numPr>
                <w:ilvl w:val="0"/>
                <w:numId w:val="28"/>
              </w:numPr>
              <w:contextualSpacing w:val="0"/>
              <w:rPr>
                <w:rFonts w:eastAsia="Times New Roman"/>
              </w:rPr>
            </w:pPr>
            <w:r w:rsidRPr="00073574">
              <w:t>ITU-T L.ME_AF “Assessment of material efficiency of ICT network infrastructure goods (circular economy). Part 3: Server and data storage product availability of firmware and of security updates to firmware"</w:t>
            </w:r>
            <w:r w:rsidR="49804B80" w:rsidRPr="00073574">
              <w:t>;</w:t>
            </w:r>
          </w:p>
          <w:p w14:paraId="63978C1A" w14:textId="53F8CCE7" w:rsidR="702F0931" w:rsidRPr="00073574" w:rsidRDefault="3FD9D6F2" w:rsidP="00657757">
            <w:pPr>
              <w:pStyle w:val="ListParagraph"/>
              <w:numPr>
                <w:ilvl w:val="0"/>
                <w:numId w:val="28"/>
              </w:numPr>
              <w:contextualSpacing w:val="0"/>
              <w:rPr>
                <w:rFonts w:eastAsia="Times New Roman"/>
              </w:rPr>
            </w:pPr>
            <w:r w:rsidRPr="00073574">
              <w:t>ITU-T L.ME_RM “Assessment of material efficiency of ICT network infrastructure goods (circular economy). Part 4: Server and data storage product critical raw materials"</w:t>
            </w:r>
            <w:r w:rsidR="49804B80" w:rsidRPr="00073574">
              <w:t>;</w:t>
            </w:r>
          </w:p>
          <w:p w14:paraId="0D58278A" w14:textId="11F08A5D" w:rsidR="702F0931" w:rsidRPr="00073574" w:rsidRDefault="3FD9D6F2" w:rsidP="00657757">
            <w:pPr>
              <w:pStyle w:val="ListParagraph"/>
              <w:numPr>
                <w:ilvl w:val="0"/>
                <w:numId w:val="28"/>
              </w:numPr>
              <w:contextualSpacing w:val="0"/>
              <w:rPr>
                <w:rFonts w:eastAsia="Times New Roman"/>
              </w:rPr>
            </w:pPr>
            <w:r w:rsidRPr="00073574">
              <w:t>ITU-T L.ME_DIS “Assessment of material efficiency of ICT network infrastructure goods (circular economy). Part 5: Server and data storage product disassembly and disassembly instruction"</w:t>
            </w:r>
            <w:r w:rsidR="49804B80" w:rsidRPr="00073574">
              <w:t>;</w:t>
            </w:r>
          </w:p>
          <w:p w14:paraId="41F11385" w14:textId="37C5BE23" w:rsidR="007355EF" w:rsidRPr="00073574" w:rsidRDefault="007355EF" w:rsidP="00657757">
            <w:pPr>
              <w:pStyle w:val="ListParagraph"/>
              <w:numPr>
                <w:ilvl w:val="0"/>
                <w:numId w:val="28"/>
              </w:numPr>
              <w:contextualSpacing w:val="0"/>
            </w:pPr>
            <w:r w:rsidRPr="00073574">
              <w:t>ITU-T L.Suppl.resource_sav</w:t>
            </w:r>
            <w:r w:rsidR="0000330B" w:rsidRPr="00073574">
              <w:t xml:space="preserve"> “Examples of resource saving by using ICT technologies”</w:t>
            </w:r>
          </w:p>
          <w:p w14:paraId="182FB1B2" w14:textId="78252518" w:rsidR="0070713E" w:rsidRPr="00073574" w:rsidRDefault="476C3873" w:rsidP="00657757">
            <w:pPr>
              <w:pStyle w:val="ListParagraph"/>
              <w:numPr>
                <w:ilvl w:val="0"/>
                <w:numId w:val="28"/>
              </w:numPr>
              <w:contextualSpacing w:val="0"/>
            </w:pPr>
            <w:r w:rsidRPr="00073574">
              <w:t>ITU-T L.TCFD “Application of the activities of the Task Force on Climate-related Financial Disclosures in the ICT sector”;</w:t>
            </w:r>
          </w:p>
          <w:p w14:paraId="440D080C" w14:textId="4CA8FC31" w:rsidR="0000330B" w:rsidRPr="00073574" w:rsidRDefault="0000330B" w:rsidP="00657757">
            <w:pPr>
              <w:pStyle w:val="ListParagraph"/>
              <w:numPr>
                <w:ilvl w:val="0"/>
                <w:numId w:val="28"/>
              </w:numPr>
              <w:contextualSpacing w:val="0"/>
            </w:pPr>
            <w:r w:rsidRPr="00073574">
              <w:t>ITU-T L.VirtualMeetings “Methodology for estimating GHG emissions in the frame of virtual meetings and events”</w:t>
            </w:r>
            <w:r w:rsidR="002F1359" w:rsidRPr="00073574">
              <w:t>;</w:t>
            </w:r>
          </w:p>
          <w:p w14:paraId="6B58EE2F" w14:textId="60ED5870" w:rsidR="0070713E" w:rsidRPr="00073574" w:rsidRDefault="5ACF6A1C" w:rsidP="00657757">
            <w:pPr>
              <w:pStyle w:val="ListParagraph"/>
              <w:numPr>
                <w:ilvl w:val="0"/>
                <w:numId w:val="28"/>
              </w:numPr>
              <w:ind w:left="357" w:hanging="357"/>
              <w:contextualSpacing w:val="0"/>
              <w:rPr>
                <w:rFonts w:eastAsia="Times New Roman"/>
              </w:rPr>
            </w:pPr>
            <w:r w:rsidRPr="00073574">
              <w:t>ITU-T L.Suppl.Decarbonization “Decarbonisation strategies to implement Recommendation ITU-T L.1470 trajectories"</w:t>
            </w:r>
            <w:r w:rsidR="49804B80" w:rsidRPr="00073574">
              <w:t>;</w:t>
            </w:r>
          </w:p>
          <w:p w14:paraId="443D59B1" w14:textId="3DB3C31E" w:rsidR="0070713E" w:rsidRPr="00073574" w:rsidRDefault="5ACF6A1C" w:rsidP="00657757">
            <w:pPr>
              <w:pStyle w:val="ListParagraph"/>
              <w:numPr>
                <w:ilvl w:val="0"/>
                <w:numId w:val="28"/>
              </w:numPr>
              <w:ind w:left="357" w:hanging="357"/>
              <w:contextualSpacing w:val="0"/>
              <w:rPr>
                <w:rFonts w:eastAsia="Times New Roman"/>
              </w:rPr>
            </w:pPr>
            <w:r w:rsidRPr="00073574">
              <w:lastRenderedPageBreak/>
              <w:t>ITU-T L.Enablement “</w:t>
            </w:r>
            <w:r w:rsidR="0000330B" w:rsidRPr="00073574">
              <w:t xml:space="preserve">Assessment of </w:t>
            </w:r>
            <w:r w:rsidRPr="00073574">
              <w:t xml:space="preserve">GHG emissions reductions enabled by </w:t>
            </w:r>
            <w:r w:rsidR="0000330B" w:rsidRPr="00073574">
              <w:t>ICT services in support of the Net Zero transition</w:t>
            </w:r>
            <w:r w:rsidRPr="00073574">
              <w:t>"</w:t>
            </w:r>
            <w:r w:rsidR="49804B80" w:rsidRPr="00073574">
              <w:t>;</w:t>
            </w:r>
          </w:p>
          <w:p w14:paraId="23761970" w14:textId="34511D75" w:rsidR="0070713E" w:rsidRPr="00073574" w:rsidRDefault="0000330B" w:rsidP="00657757">
            <w:pPr>
              <w:pStyle w:val="ListParagraph"/>
              <w:numPr>
                <w:ilvl w:val="0"/>
                <w:numId w:val="28"/>
              </w:numPr>
              <w:ind w:left="357" w:hanging="357"/>
              <w:contextualSpacing w:val="0"/>
              <w:rPr>
                <w:rFonts w:eastAsia="Times New Roman"/>
              </w:rPr>
            </w:pPr>
            <w:r w:rsidRPr="00073574">
              <w:t xml:space="preserve">ITU-T L.NZ solutions “Best practices to achieve Net Zero with information and communication technologies”, </w:t>
            </w:r>
            <w:r w:rsidR="476C3873" w:rsidRPr="00073574">
              <w:t>among others</w:t>
            </w:r>
            <w:r w:rsidR="002F1359" w:rsidRPr="00073574">
              <w:t>;</w:t>
            </w:r>
          </w:p>
          <w:p w14:paraId="4156C226" w14:textId="60E7B25B" w:rsidR="0070713E" w:rsidRPr="00073574" w:rsidRDefault="00A240F4" w:rsidP="00657757">
            <w:pPr>
              <w:pStyle w:val="ListParagraph"/>
              <w:numPr>
                <w:ilvl w:val="0"/>
                <w:numId w:val="28"/>
              </w:numPr>
              <w:ind w:left="357" w:hanging="357"/>
              <w:contextualSpacing w:val="0"/>
              <w:rPr>
                <w:rFonts w:eastAsia="Times New Roman"/>
              </w:rPr>
            </w:pPr>
            <w:r w:rsidRPr="00073574">
              <w:t xml:space="preserve">ITU-T </w:t>
            </w:r>
            <w:r w:rsidRPr="00073574">
              <w:rPr>
                <w:szCs w:val="22"/>
              </w:rPr>
              <w:t>L.FrameworkBIMSssc “</w:t>
            </w:r>
            <w:r w:rsidRPr="00073574">
              <w:rPr>
                <w:bCs/>
                <w:szCs w:val="22"/>
              </w:rPr>
              <w:t>Framework of Building Infrastructure Management System for Sustainable City”</w:t>
            </w:r>
            <w:r w:rsidRPr="00073574">
              <w:rPr>
                <w:szCs w:val="22"/>
              </w:rPr>
              <w:t xml:space="preserve">, </w:t>
            </w:r>
            <w:r w:rsidRPr="00073574">
              <w:t>among others</w:t>
            </w:r>
            <w:r w:rsidR="002F1359" w:rsidRPr="00073574">
              <w:t>.</w:t>
            </w:r>
          </w:p>
        </w:tc>
      </w:tr>
      <w:tr w:rsidR="00F0236A" w:rsidRPr="00073574" w14:paraId="5C423EFF" w14:textId="77777777" w:rsidTr="634A3A28">
        <w:trPr>
          <w:jc w:val="center"/>
        </w:trPr>
        <w:tc>
          <w:tcPr>
            <w:tcW w:w="905" w:type="dxa"/>
            <w:vMerge w:val="restart"/>
            <w:tcBorders>
              <w:top w:val="single" w:sz="12" w:space="0" w:color="auto"/>
            </w:tcBorders>
            <w:shd w:val="clear" w:color="auto" w:fill="auto"/>
          </w:tcPr>
          <w:p w14:paraId="4BB98725" w14:textId="77777777" w:rsidR="00F0236A" w:rsidRPr="00073574" w:rsidRDefault="00F0236A" w:rsidP="00DF36E1">
            <w:pPr>
              <w:pStyle w:val="Tabletext"/>
              <w:rPr>
                <w:b/>
                <w:bCs/>
                <w:sz w:val="24"/>
                <w:szCs w:val="24"/>
              </w:rPr>
            </w:pPr>
            <w:r w:rsidRPr="00073574">
              <w:rPr>
                <w:b/>
                <w:bCs/>
                <w:sz w:val="24"/>
                <w:szCs w:val="24"/>
              </w:rPr>
              <w:lastRenderedPageBreak/>
              <w:t>73-17</w:t>
            </w:r>
          </w:p>
        </w:tc>
        <w:tc>
          <w:tcPr>
            <w:tcW w:w="4774" w:type="dxa"/>
            <w:tcBorders>
              <w:top w:val="single" w:sz="12" w:space="0" w:color="auto"/>
            </w:tcBorders>
            <w:shd w:val="clear" w:color="auto" w:fill="auto"/>
          </w:tcPr>
          <w:p w14:paraId="27827647" w14:textId="18D8A2C1" w:rsidR="00F0236A" w:rsidRPr="00073574" w:rsidRDefault="00F0236A" w:rsidP="00295032">
            <w:pPr>
              <w:pStyle w:val="Tabletext"/>
              <w:keepNext/>
              <w:keepLines/>
              <w:rPr>
                <w:b/>
                <w:bCs/>
                <w:sz w:val="24"/>
                <w:szCs w:val="24"/>
              </w:rPr>
            </w:pPr>
            <w:r w:rsidRPr="00073574">
              <w:rPr>
                <w:b/>
                <w:bCs/>
                <w:sz w:val="24"/>
                <w:szCs w:val="24"/>
              </w:rPr>
              <w:t>TSAG to ensure that study groups carry out a review of both the appropriate existing ITU</w:t>
            </w:r>
            <w:r w:rsidR="009859E9" w:rsidRPr="00073574">
              <w:rPr>
                <w:b/>
                <w:bCs/>
                <w:sz w:val="24"/>
                <w:szCs w:val="24"/>
              </w:rPr>
              <w:t>-</w:t>
            </w:r>
            <w:r w:rsidRPr="00073574">
              <w:rPr>
                <w:b/>
                <w:bCs/>
                <w:sz w:val="24"/>
                <w:szCs w:val="24"/>
              </w:rPr>
              <w:t xml:space="preserve">T Recommendations and all future Recommendations in order to </w:t>
            </w:r>
            <w:bookmarkStart w:id="394" w:name="_Hlk84970733"/>
            <w:r w:rsidRPr="00073574">
              <w:rPr>
                <w:b/>
                <w:bCs/>
                <w:sz w:val="24"/>
                <w:szCs w:val="24"/>
              </w:rPr>
              <w:t xml:space="preserve">assess their implications and the application of best practices in the light of the protection of environment and climate change </w:t>
            </w:r>
            <w:bookmarkEnd w:id="394"/>
            <w:r w:rsidRPr="00073574">
              <w:rPr>
                <w:b/>
                <w:bCs/>
                <w:sz w:val="24"/>
                <w:szCs w:val="24"/>
              </w:rPr>
              <w:t>(i. TSAG 2)</w:t>
            </w:r>
          </w:p>
        </w:tc>
        <w:tc>
          <w:tcPr>
            <w:tcW w:w="1683" w:type="dxa"/>
            <w:tcBorders>
              <w:top w:val="single" w:sz="12" w:space="0" w:color="auto"/>
            </w:tcBorders>
            <w:shd w:val="clear" w:color="auto" w:fill="auto"/>
            <w:vAlign w:val="center"/>
          </w:tcPr>
          <w:p w14:paraId="5300417B"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34" w:type="dxa"/>
            <w:tcBorders>
              <w:top w:val="single" w:sz="12" w:space="0" w:color="auto"/>
            </w:tcBorders>
            <w:shd w:val="clear" w:color="auto" w:fill="auto"/>
            <w:vAlign w:val="center"/>
          </w:tcPr>
          <w:p w14:paraId="4BDCF4A8" w14:textId="73209EEF" w:rsidR="00F0236A" w:rsidRPr="00073574" w:rsidDel="000F2D69" w:rsidRDefault="009E5B5F"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76A2BD3A" w14:textId="77777777" w:rsidR="00F0236A" w:rsidRPr="00073574" w:rsidRDefault="00F0236A" w:rsidP="00DF36E1">
            <w:pPr>
              <w:pStyle w:val="Tabletext"/>
              <w:jc w:val="center"/>
              <w:rPr>
                <w:b/>
                <w:bCs/>
                <w:sz w:val="24"/>
                <w:szCs w:val="24"/>
              </w:rPr>
            </w:pPr>
          </w:p>
        </w:tc>
      </w:tr>
      <w:tr w:rsidR="00F0236A" w:rsidRPr="00073574" w14:paraId="67760F33" w14:textId="77777777" w:rsidTr="634A3A28">
        <w:trPr>
          <w:jc w:val="center"/>
        </w:trPr>
        <w:tc>
          <w:tcPr>
            <w:tcW w:w="905" w:type="dxa"/>
            <w:vMerge/>
          </w:tcPr>
          <w:p w14:paraId="7477B040" w14:textId="77777777" w:rsidR="00F0236A" w:rsidRPr="00073574" w:rsidRDefault="00F0236A" w:rsidP="00DF36E1">
            <w:pPr>
              <w:pStyle w:val="Tabletext"/>
              <w:rPr>
                <w:sz w:val="24"/>
                <w:szCs w:val="24"/>
              </w:rPr>
            </w:pPr>
          </w:p>
        </w:tc>
        <w:tc>
          <w:tcPr>
            <w:tcW w:w="8927" w:type="dxa"/>
            <w:gridSpan w:val="4"/>
            <w:tcBorders>
              <w:bottom w:val="single" w:sz="12" w:space="0" w:color="auto"/>
            </w:tcBorders>
            <w:shd w:val="clear" w:color="auto" w:fill="auto"/>
          </w:tcPr>
          <w:p w14:paraId="2EB16B81" w14:textId="26E3D6E4" w:rsidR="00F0236A" w:rsidRPr="00073574" w:rsidRDefault="00641580" w:rsidP="00DF36E1">
            <w:pPr>
              <w:pStyle w:val="Tabletext"/>
              <w:rPr>
                <w:szCs w:val="22"/>
              </w:rPr>
            </w:pPr>
            <w:r w:rsidRPr="00073574">
              <w:rPr>
                <w:szCs w:val="22"/>
              </w:rPr>
              <w:t xml:space="preserve">ITU-T SG5 regularly </w:t>
            </w:r>
            <w:r w:rsidR="009E0191" w:rsidRPr="00073574">
              <w:rPr>
                <w:szCs w:val="22"/>
              </w:rPr>
              <w:t>check</w:t>
            </w:r>
            <w:r w:rsidR="00D062CF" w:rsidRPr="00073574">
              <w:rPr>
                <w:szCs w:val="22"/>
              </w:rPr>
              <w:t>s</w:t>
            </w:r>
            <w:r w:rsidRPr="00073574">
              <w:rPr>
                <w:szCs w:val="22"/>
              </w:rPr>
              <w:t xml:space="preserve"> that its Recommendations are updated with the latest information in order to assess their implications and the application of best practices in the light of the protection of environment and climate change.</w:t>
            </w:r>
          </w:p>
        </w:tc>
      </w:tr>
      <w:tr w:rsidR="00F0236A" w:rsidRPr="00073574" w14:paraId="5D9FA1E9" w14:textId="77777777" w:rsidTr="634A3A28">
        <w:trPr>
          <w:jc w:val="center"/>
        </w:trPr>
        <w:tc>
          <w:tcPr>
            <w:tcW w:w="905" w:type="dxa"/>
            <w:vMerge w:val="restart"/>
            <w:tcBorders>
              <w:top w:val="single" w:sz="12" w:space="0" w:color="auto"/>
            </w:tcBorders>
            <w:shd w:val="clear" w:color="auto" w:fill="auto"/>
          </w:tcPr>
          <w:p w14:paraId="3732017A" w14:textId="77777777" w:rsidR="00F0236A" w:rsidRPr="00073574" w:rsidRDefault="00F0236A" w:rsidP="0028134B">
            <w:pPr>
              <w:pStyle w:val="Tabletext"/>
              <w:keepNext/>
              <w:keepLines/>
              <w:rPr>
                <w:b/>
                <w:bCs/>
                <w:sz w:val="24"/>
                <w:szCs w:val="24"/>
              </w:rPr>
            </w:pPr>
            <w:r w:rsidRPr="00073574">
              <w:rPr>
                <w:b/>
                <w:bCs/>
                <w:sz w:val="24"/>
                <w:szCs w:val="24"/>
              </w:rPr>
              <w:t>73-18</w:t>
            </w:r>
          </w:p>
        </w:tc>
        <w:tc>
          <w:tcPr>
            <w:tcW w:w="4774" w:type="dxa"/>
            <w:tcBorders>
              <w:top w:val="single" w:sz="12" w:space="0" w:color="auto"/>
            </w:tcBorders>
            <w:shd w:val="clear" w:color="auto" w:fill="auto"/>
          </w:tcPr>
          <w:p w14:paraId="146F7905" w14:textId="77777777" w:rsidR="00F0236A" w:rsidRPr="00073574" w:rsidRDefault="00F0236A" w:rsidP="00DF36E1">
            <w:pPr>
              <w:pStyle w:val="Tabletext"/>
              <w:rPr>
                <w:b/>
                <w:bCs/>
                <w:sz w:val="24"/>
                <w:szCs w:val="24"/>
              </w:rPr>
            </w:pPr>
            <w:r w:rsidRPr="00073574">
              <w:rPr>
                <w:b/>
                <w:bCs/>
                <w:sz w:val="24"/>
                <w:szCs w:val="24"/>
              </w:rPr>
              <w:t>Study groups to identify and promote best practices, initiatives and opportunities for new applications using ICTs to foster environmental sustainability, and to identify appropriate actions (i. SGs 2, 3, 4, 5)</w:t>
            </w:r>
          </w:p>
        </w:tc>
        <w:tc>
          <w:tcPr>
            <w:tcW w:w="1683" w:type="dxa"/>
            <w:tcBorders>
              <w:top w:val="single" w:sz="12" w:space="0" w:color="auto"/>
            </w:tcBorders>
            <w:shd w:val="clear" w:color="auto" w:fill="auto"/>
            <w:vAlign w:val="center"/>
          </w:tcPr>
          <w:p w14:paraId="1382642D"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34" w:type="dxa"/>
            <w:tcBorders>
              <w:top w:val="single" w:sz="12" w:space="0" w:color="auto"/>
            </w:tcBorders>
            <w:shd w:val="clear" w:color="auto" w:fill="auto"/>
            <w:vAlign w:val="center"/>
          </w:tcPr>
          <w:p w14:paraId="0C49BE09" w14:textId="77777777" w:rsidR="00F0236A" w:rsidRPr="00073574" w:rsidDel="000F2D69"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040C0EC7" w14:textId="77777777" w:rsidR="00F0236A" w:rsidRPr="00073574" w:rsidRDefault="00F0236A" w:rsidP="00DF36E1">
            <w:pPr>
              <w:pStyle w:val="Tabletext"/>
              <w:jc w:val="center"/>
              <w:rPr>
                <w:b/>
                <w:bCs/>
                <w:sz w:val="24"/>
                <w:szCs w:val="24"/>
              </w:rPr>
            </w:pPr>
          </w:p>
        </w:tc>
      </w:tr>
      <w:tr w:rsidR="00F0236A" w:rsidRPr="00073574" w14:paraId="39F3B9CA" w14:textId="77777777" w:rsidTr="634A3A28">
        <w:trPr>
          <w:jc w:val="center"/>
        </w:trPr>
        <w:tc>
          <w:tcPr>
            <w:tcW w:w="905" w:type="dxa"/>
            <w:vMerge/>
          </w:tcPr>
          <w:p w14:paraId="50135BA2" w14:textId="77777777" w:rsidR="00F0236A" w:rsidRPr="00073574" w:rsidRDefault="00F0236A" w:rsidP="00DF36E1">
            <w:pPr>
              <w:pStyle w:val="Tabletext"/>
              <w:rPr>
                <w:sz w:val="24"/>
                <w:szCs w:val="24"/>
              </w:rPr>
            </w:pPr>
          </w:p>
        </w:tc>
        <w:tc>
          <w:tcPr>
            <w:tcW w:w="8927" w:type="dxa"/>
            <w:gridSpan w:val="4"/>
            <w:tcBorders>
              <w:bottom w:val="single" w:sz="12" w:space="0" w:color="auto"/>
            </w:tcBorders>
            <w:shd w:val="clear" w:color="auto" w:fill="auto"/>
          </w:tcPr>
          <w:p w14:paraId="3720D1D9" w14:textId="19D70477" w:rsidR="00592A87" w:rsidRPr="00073574" w:rsidRDefault="00592A87" w:rsidP="002E241A">
            <w:pPr>
              <w:pStyle w:val="ListParagraph"/>
              <w:numPr>
                <w:ilvl w:val="0"/>
                <w:numId w:val="38"/>
              </w:numPr>
              <w:spacing w:before="40"/>
              <w:ind w:left="357" w:hanging="357"/>
            </w:pPr>
            <w:r w:rsidRPr="00073574">
              <w:t>SG2: Liaised with SG5 on energy management issues</w:t>
            </w:r>
            <w:r w:rsidR="007F0989" w:rsidRPr="00073574">
              <w:t>, including updates on Recommendation ITU-T M.3381 (ex. M.resm-AI), "Requirements for energy saving management of 5G RAN system with AI", which was Consented in November 2021</w:t>
            </w:r>
            <w:r w:rsidRPr="00073574">
              <w:t>.</w:t>
            </w:r>
          </w:p>
          <w:p w14:paraId="39B24799" w14:textId="0C66BBE0" w:rsidR="00DE75DF" w:rsidRPr="00073574" w:rsidRDefault="00DE75DF" w:rsidP="002E241A">
            <w:pPr>
              <w:pStyle w:val="ListParagraph"/>
              <w:numPr>
                <w:ilvl w:val="0"/>
                <w:numId w:val="38"/>
              </w:numPr>
              <w:ind w:left="357" w:hanging="357"/>
              <w:contextualSpacing w:val="0"/>
            </w:pPr>
            <w:r w:rsidRPr="00073574">
              <w:t>SG11 developed Recommendation ITU-T Q.5022 “Energy efficient D2D communication protocol for IMT 2020 network”</w:t>
            </w:r>
            <w:r w:rsidR="00AD7F0C" w:rsidRPr="00073574">
              <w:t>.</w:t>
            </w:r>
          </w:p>
          <w:p w14:paraId="0E61CB18" w14:textId="1942FB60" w:rsidR="005C2147" w:rsidRPr="00073574" w:rsidRDefault="005C2147" w:rsidP="002E241A">
            <w:pPr>
              <w:pStyle w:val="ListParagraph"/>
              <w:numPr>
                <w:ilvl w:val="0"/>
                <w:numId w:val="38"/>
              </w:numPr>
              <w:ind w:left="357" w:hanging="357"/>
              <w:contextualSpacing w:val="0"/>
            </w:pPr>
            <w:r w:rsidRPr="00073574">
              <w:t>SG12 revised Recommendation ITU-T P.1301 on Subjective quality evaluation of audio and audiovisual multiparty telemeetings, thereby contributing to higher quality telemeetings, reducing the need for travel.</w:t>
            </w:r>
          </w:p>
          <w:p w14:paraId="35CD851D" w14:textId="3DA40CF7" w:rsidR="00F0236A" w:rsidRPr="00073574" w:rsidRDefault="00F0236A" w:rsidP="002E241A">
            <w:pPr>
              <w:pStyle w:val="ListParagraph"/>
              <w:numPr>
                <w:ilvl w:val="0"/>
                <w:numId w:val="38"/>
              </w:numPr>
              <w:ind w:left="357" w:hanging="357"/>
              <w:contextualSpacing w:val="0"/>
            </w:pPr>
            <w:r w:rsidRPr="00073574">
              <w:t>SG13: A while ago took a decision to complement its Recommendations with the clause on environmental considerations</w:t>
            </w:r>
            <w:r w:rsidR="00B13E38" w:rsidRPr="00073574">
              <w:t>, if applicable</w:t>
            </w:r>
            <w:r w:rsidRPr="00073574">
              <w:t xml:space="preserve">. </w:t>
            </w:r>
            <w:r w:rsidR="00B13E38" w:rsidRPr="00073574">
              <w:t>It h</w:t>
            </w:r>
            <w:r w:rsidRPr="00073574">
              <w:t xml:space="preserve">as energy-saving Recommendations approved (Y.3021, Y.3022) and </w:t>
            </w:r>
            <w:r w:rsidR="00812482" w:rsidRPr="00073574">
              <w:t>Y.2072 “Framework for an energy-sharing and trading platform” (05/2018). S</w:t>
            </w:r>
            <w:r w:rsidR="00696024" w:rsidRPr="00073574">
              <w:t>G</w:t>
            </w:r>
            <w:r w:rsidR="00812482" w:rsidRPr="00073574">
              <w:t>13 ha</w:t>
            </w:r>
            <w:r w:rsidR="00B13E38" w:rsidRPr="00073574">
              <w:t>d</w:t>
            </w:r>
            <w:r w:rsidR="00812482" w:rsidRPr="00073574">
              <w:t xml:space="preserve"> some </w:t>
            </w:r>
            <w:r w:rsidR="00696024" w:rsidRPr="00073574">
              <w:t>interactions</w:t>
            </w:r>
            <w:r w:rsidR="00812482" w:rsidRPr="00073574">
              <w:t xml:space="preserve"> with SG5 on energy </w:t>
            </w:r>
            <w:r w:rsidR="00696024" w:rsidRPr="00073574">
              <w:t>efficiency</w:t>
            </w:r>
            <w:r w:rsidR="00812482" w:rsidRPr="00073574">
              <w:t xml:space="preserve"> as applied to IMT-2020 </w:t>
            </w:r>
            <w:r w:rsidR="00696024" w:rsidRPr="00073574">
              <w:t>networks</w:t>
            </w:r>
            <w:r w:rsidR="00187B18" w:rsidRPr="00073574">
              <w:t>.</w:t>
            </w:r>
            <w:r w:rsidR="00BE34B8" w:rsidRPr="00073574">
              <w:t xml:space="preserve"> In 2021 ha</w:t>
            </w:r>
            <w:r w:rsidR="00B13E38" w:rsidRPr="00073574">
              <w:t>d</w:t>
            </w:r>
            <w:r w:rsidR="00BE34B8" w:rsidRPr="00073574">
              <w:t xml:space="preserve"> three </w:t>
            </w:r>
            <w:r w:rsidR="00D3106C" w:rsidRPr="00073574">
              <w:t xml:space="preserve">ongoing </w:t>
            </w:r>
            <w:r w:rsidR="00BE34B8" w:rsidRPr="00073574">
              <w:t>work items on energy efficiency management</w:t>
            </w:r>
            <w:r w:rsidR="00D3106C" w:rsidRPr="00073574">
              <w:t xml:space="preserve"> (Y.</w:t>
            </w:r>
            <w:r w:rsidR="00B13E38" w:rsidRPr="00073574">
              <w:t>dv-ess,</w:t>
            </w:r>
            <w:r w:rsidR="00B13E38" w:rsidRPr="00073574">
              <w:rPr>
                <w:sz w:val="24"/>
                <w:szCs w:val="20"/>
                <w:lang w:eastAsia="ko-KR"/>
              </w:rPr>
              <w:t xml:space="preserve"> </w:t>
            </w:r>
            <w:r w:rsidR="00B13E38" w:rsidRPr="00073574">
              <w:t>Y.energy-brokerage</w:t>
            </w:r>
            <w:r w:rsidR="00566C08" w:rsidRPr="00073574">
              <w:t xml:space="preserve"> and Y.IMT2020-REEM).</w:t>
            </w:r>
          </w:p>
          <w:p w14:paraId="75D0DAAD" w14:textId="6AF25531" w:rsidR="00503C3B" w:rsidRPr="00073574" w:rsidRDefault="00503C3B" w:rsidP="002E241A">
            <w:pPr>
              <w:pStyle w:val="ListParagraph"/>
              <w:numPr>
                <w:ilvl w:val="0"/>
                <w:numId w:val="38"/>
              </w:numPr>
              <w:ind w:left="357" w:hanging="357"/>
              <w:contextualSpacing w:val="0"/>
            </w:pPr>
            <w:r w:rsidRPr="00073574">
              <w:t>SG15 includes power saving mode in Recommendations as appropriate.</w:t>
            </w:r>
          </w:p>
          <w:p w14:paraId="0A4B4E91" w14:textId="77777777" w:rsidR="00503C3B" w:rsidRPr="00073574" w:rsidRDefault="00503C3B" w:rsidP="002E241A">
            <w:pPr>
              <w:pStyle w:val="ListParagraph"/>
              <w:numPr>
                <w:ilvl w:val="0"/>
                <w:numId w:val="38"/>
              </w:numPr>
              <w:ind w:left="357" w:hanging="357"/>
              <w:contextualSpacing w:val="0"/>
            </w:pPr>
            <w:r w:rsidRPr="00073574">
              <w:t>SG16 approved Recommendation ITU-T F.747.9 on requirements and architecture for energy management services.</w:t>
            </w:r>
          </w:p>
          <w:p w14:paraId="09CDDF14" w14:textId="5C42252A" w:rsidR="0070713E" w:rsidRPr="00073574" w:rsidRDefault="0070713E" w:rsidP="002E241A">
            <w:pPr>
              <w:pStyle w:val="ListParagraph"/>
              <w:numPr>
                <w:ilvl w:val="0"/>
                <w:numId w:val="38"/>
              </w:numPr>
              <w:spacing w:after="40"/>
              <w:ind w:left="357" w:hanging="357"/>
              <w:contextualSpacing w:val="0"/>
            </w:pPr>
            <w:r w:rsidRPr="00073574">
              <w:t xml:space="preserve">SG20 </w:t>
            </w:r>
            <w:r w:rsidR="00263238" w:rsidRPr="00073574">
              <w:t>approved</w:t>
            </w:r>
            <w:r w:rsidRPr="00073574">
              <w:t xml:space="preserve"> Recommendation</w:t>
            </w:r>
            <w:r w:rsidR="00D3620B" w:rsidRPr="00073574">
              <w:t>s</w:t>
            </w:r>
            <w:r w:rsidRPr="00073574">
              <w:t xml:space="preserve"> ITU-T Y.</w:t>
            </w:r>
            <w:r w:rsidR="00263238" w:rsidRPr="00073574">
              <w:t>4207</w:t>
            </w:r>
            <w:r w:rsidRPr="00073574">
              <w:t xml:space="preserve"> “Requirements and capability framework of smart environmental monitoring”</w:t>
            </w:r>
            <w:r w:rsidR="00D3620B" w:rsidRPr="00073574">
              <w:t xml:space="preserve"> and ITU-T Y.4466 “Framework of smart greenhouse service”</w:t>
            </w:r>
            <w:r w:rsidR="00263238" w:rsidRPr="00073574">
              <w:t>. SG20 is currently working on</w:t>
            </w:r>
            <w:r w:rsidR="00D3620B" w:rsidRPr="00073574">
              <w:t xml:space="preserve"> </w:t>
            </w:r>
            <w:r w:rsidR="00263238" w:rsidRPr="00073574">
              <w:t>draft Recommendations</w:t>
            </w:r>
            <w:r w:rsidRPr="00073574">
              <w:t xml:space="preserve"> ITU-T Y.IoT-SLF “Framework and capabilities for smart livestock farming based on Internet of things”</w:t>
            </w:r>
            <w:r w:rsidR="45F7C4D9" w:rsidRPr="00073574">
              <w:t xml:space="preserve">, </w:t>
            </w:r>
            <w:r w:rsidR="4AB028F1" w:rsidRPr="00073574">
              <w:t>draft Recommendation ITU-T Y.water-SFP “Framework of monitoring of water system for smart fire protect</w:t>
            </w:r>
            <w:r w:rsidR="05DA6E7C" w:rsidRPr="00073574">
              <w:t>ion</w:t>
            </w:r>
            <w:r w:rsidR="4AB028F1" w:rsidRPr="00073574">
              <w:t>"</w:t>
            </w:r>
            <w:r w:rsidR="3A13C9D5" w:rsidRPr="00073574">
              <w:t xml:space="preserve">, draft Recommendation ITU-T Y.smart-oceans “Overview of smart oceans </w:t>
            </w:r>
            <w:r w:rsidR="3A13C9D5" w:rsidRPr="00073574">
              <w:lastRenderedPageBreak/>
              <w:t>and seas and requirements for their ICT</w:t>
            </w:r>
            <w:r w:rsidR="2A178584" w:rsidRPr="00073574">
              <w:t xml:space="preserve"> implementations</w:t>
            </w:r>
            <w:r w:rsidR="3A13C9D5" w:rsidRPr="00073574">
              <w:t>"</w:t>
            </w:r>
            <w:r w:rsidR="3043E93B" w:rsidRPr="00073574">
              <w:t xml:space="preserve"> and </w:t>
            </w:r>
            <w:r w:rsidR="45F7C4D9" w:rsidRPr="00073574">
              <w:t>draft Supplement ITU-T Y.Sup.SmartAgri-usecases “Use cases of IoT based smart agricul</w:t>
            </w:r>
            <w:r w:rsidR="519A8D62" w:rsidRPr="00073574">
              <w:t>ture</w:t>
            </w:r>
            <w:r w:rsidR="45F7C4D9" w:rsidRPr="00073574">
              <w:t>"</w:t>
            </w:r>
            <w:r w:rsidR="00D3620B" w:rsidRPr="00073574">
              <w:t>.</w:t>
            </w:r>
          </w:p>
        </w:tc>
      </w:tr>
      <w:tr w:rsidR="00F0236A" w:rsidRPr="00073574" w14:paraId="2260B025" w14:textId="77777777" w:rsidTr="634A3A28">
        <w:trPr>
          <w:jc w:val="center"/>
        </w:trPr>
        <w:tc>
          <w:tcPr>
            <w:tcW w:w="905" w:type="dxa"/>
            <w:vMerge w:val="restart"/>
            <w:tcBorders>
              <w:top w:val="single" w:sz="12" w:space="0" w:color="auto"/>
            </w:tcBorders>
            <w:shd w:val="clear" w:color="auto" w:fill="auto"/>
          </w:tcPr>
          <w:p w14:paraId="562B44B6" w14:textId="77777777" w:rsidR="00F0236A" w:rsidRPr="00073574" w:rsidRDefault="00F0236A" w:rsidP="00850E0E">
            <w:pPr>
              <w:pStyle w:val="Tabletext"/>
              <w:rPr>
                <w:b/>
                <w:bCs/>
                <w:sz w:val="24"/>
                <w:szCs w:val="24"/>
              </w:rPr>
            </w:pPr>
            <w:r w:rsidRPr="00073574">
              <w:rPr>
                <w:b/>
                <w:bCs/>
                <w:sz w:val="24"/>
                <w:szCs w:val="24"/>
              </w:rPr>
              <w:lastRenderedPageBreak/>
              <w:t>73-19</w:t>
            </w:r>
          </w:p>
        </w:tc>
        <w:tc>
          <w:tcPr>
            <w:tcW w:w="4774" w:type="dxa"/>
            <w:tcBorders>
              <w:top w:val="single" w:sz="12" w:space="0" w:color="auto"/>
            </w:tcBorders>
            <w:shd w:val="clear" w:color="auto" w:fill="auto"/>
          </w:tcPr>
          <w:p w14:paraId="54F7DB26" w14:textId="554045AC" w:rsidR="00F0236A" w:rsidRPr="00073574" w:rsidRDefault="00F0236A" w:rsidP="00295032">
            <w:pPr>
              <w:pStyle w:val="Tabletext"/>
              <w:keepNext/>
              <w:keepLines/>
              <w:rPr>
                <w:b/>
                <w:bCs/>
                <w:sz w:val="24"/>
                <w:szCs w:val="24"/>
              </w:rPr>
            </w:pPr>
            <w:r w:rsidRPr="00073574">
              <w:rPr>
                <w:b/>
                <w:bCs/>
                <w:sz w:val="24"/>
                <w:szCs w:val="24"/>
              </w:rPr>
              <w:t>Study groups to liaise with the relevant ITU</w:t>
            </w:r>
            <w:r w:rsidR="009859E9" w:rsidRPr="00073574">
              <w:rPr>
                <w:b/>
                <w:bCs/>
                <w:sz w:val="24"/>
                <w:szCs w:val="24"/>
              </w:rPr>
              <w:t>-</w:t>
            </w:r>
            <w:r w:rsidRPr="00073574">
              <w:rPr>
                <w:b/>
                <w:bCs/>
                <w:sz w:val="24"/>
                <w:szCs w:val="24"/>
              </w:rPr>
              <w:t>R and ITU</w:t>
            </w:r>
            <w:r w:rsidR="009859E9" w:rsidRPr="00073574">
              <w:rPr>
                <w:b/>
                <w:bCs/>
                <w:sz w:val="24"/>
                <w:szCs w:val="24"/>
              </w:rPr>
              <w:t>-</w:t>
            </w:r>
            <w:r w:rsidRPr="00073574">
              <w:rPr>
                <w:b/>
                <w:bCs/>
                <w:sz w:val="24"/>
                <w:szCs w:val="24"/>
              </w:rPr>
              <w:t>D study groups and promote liaison with other SDOs and forums in order to avoid duplication of work, optimize the use of resources and accelerate the availability of global standards (i. SGs 6)</w:t>
            </w:r>
          </w:p>
        </w:tc>
        <w:tc>
          <w:tcPr>
            <w:tcW w:w="1683" w:type="dxa"/>
            <w:tcBorders>
              <w:top w:val="single" w:sz="12" w:space="0" w:color="auto"/>
            </w:tcBorders>
            <w:shd w:val="clear" w:color="auto" w:fill="auto"/>
            <w:vAlign w:val="center"/>
          </w:tcPr>
          <w:p w14:paraId="439F2343" w14:textId="77777777" w:rsidR="00F0236A" w:rsidRPr="00073574" w:rsidRDefault="00F0236A" w:rsidP="00850E0E">
            <w:pPr>
              <w:pStyle w:val="Tabletext"/>
              <w:jc w:val="center"/>
              <w:rPr>
                <w:b/>
                <w:bCs/>
                <w:sz w:val="24"/>
                <w:szCs w:val="24"/>
              </w:rPr>
            </w:pPr>
            <w:r w:rsidRPr="00073574">
              <w:rPr>
                <w:b/>
                <w:bCs/>
                <w:sz w:val="24"/>
                <w:szCs w:val="24"/>
              </w:rPr>
              <w:t>Ongoing</w:t>
            </w:r>
          </w:p>
        </w:tc>
        <w:tc>
          <w:tcPr>
            <w:tcW w:w="1134" w:type="dxa"/>
            <w:tcBorders>
              <w:top w:val="single" w:sz="12" w:space="0" w:color="auto"/>
            </w:tcBorders>
            <w:shd w:val="clear" w:color="auto" w:fill="auto"/>
            <w:vAlign w:val="center"/>
          </w:tcPr>
          <w:p w14:paraId="4B188EBE" w14:textId="6953588B" w:rsidR="00F0236A" w:rsidRPr="00073574" w:rsidDel="000F2D69" w:rsidRDefault="00634C8A" w:rsidP="00850E0E">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0828DADB" w14:textId="77777777" w:rsidR="00F0236A" w:rsidRPr="00073574" w:rsidRDefault="00F0236A" w:rsidP="00850E0E">
            <w:pPr>
              <w:pStyle w:val="Tabletext"/>
              <w:jc w:val="center"/>
              <w:rPr>
                <w:b/>
                <w:bCs/>
                <w:sz w:val="24"/>
                <w:szCs w:val="24"/>
              </w:rPr>
            </w:pPr>
          </w:p>
        </w:tc>
      </w:tr>
      <w:tr w:rsidR="00F0236A" w:rsidRPr="00073574" w14:paraId="2A0E0433" w14:textId="77777777" w:rsidTr="634A3A28">
        <w:trPr>
          <w:jc w:val="center"/>
        </w:trPr>
        <w:tc>
          <w:tcPr>
            <w:tcW w:w="905" w:type="dxa"/>
            <w:vMerge/>
          </w:tcPr>
          <w:p w14:paraId="725231D6" w14:textId="77777777" w:rsidR="00F0236A" w:rsidRPr="00073574" w:rsidRDefault="00F0236A" w:rsidP="00850E0E">
            <w:pPr>
              <w:pStyle w:val="Tabletext"/>
              <w:rPr>
                <w:sz w:val="24"/>
                <w:szCs w:val="24"/>
              </w:rPr>
            </w:pPr>
          </w:p>
        </w:tc>
        <w:tc>
          <w:tcPr>
            <w:tcW w:w="8927" w:type="dxa"/>
            <w:gridSpan w:val="4"/>
            <w:tcBorders>
              <w:bottom w:val="single" w:sz="12" w:space="0" w:color="auto"/>
            </w:tcBorders>
            <w:shd w:val="clear" w:color="auto" w:fill="auto"/>
          </w:tcPr>
          <w:p w14:paraId="418DD8BA" w14:textId="24F3B075" w:rsidR="000B2389" w:rsidRPr="00073574" w:rsidRDefault="000B2389" w:rsidP="002E241A">
            <w:pPr>
              <w:pStyle w:val="ListParagraph"/>
              <w:numPr>
                <w:ilvl w:val="0"/>
                <w:numId w:val="38"/>
              </w:numPr>
              <w:spacing w:before="40"/>
              <w:ind w:left="357" w:hanging="357"/>
              <w:contextualSpacing w:val="0"/>
            </w:pPr>
            <w:r w:rsidRPr="00073574">
              <w:t xml:space="preserve">SG3 </w:t>
            </w:r>
            <w:r w:rsidR="00295032" w:rsidRPr="00073574">
              <w:t>liaised</w:t>
            </w:r>
            <w:r w:rsidRPr="00073574">
              <w:t xml:space="preserve"> with ITU-D </w:t>
            </w:r>
            <w:r w:rsidR="005A6713" w:rsidRPr="00073574">
              <w:t xml:space="preserve">on OTTs </w:t>
            </w:r>
            <w:r w:rsidR="0039011F" w:rsidRPr="00073574">
              <w:t xml:space="preserve">and ITU-R on </w:t>
            </w:r>
            <w:r w:rsidR="00EC16AB" w:rsidRPr="00073574">
              <w:t xml:space="preserve">ITU-T </w:t>
            </w:r>
            <w:r w:rsidR="008E07E3" w:rsidRPr="00073574">
              <w:t xml:space="preserve">D.264. </w:t>
            </w:r>
          </w:p>
          <w:p w14:paraId="7084A87A" w14:textId="692813D6" w:rsidR="00263238" w:rsidRPr="00073574" w:rsidRDefault="00263238" w:rsidP="00AD7F0C">
            <w:pPr>
              <w:pStyle w:val="ListParagraph"/>
              <w:numPr>
                <w:ilvl w:val="0"/>
                <w:numId w:val="38"/>
              </w:numPr>
              <w:ind w:left="357" w:hanging="357"/>
              <w:contextualSpacing w:val="0"/>
            </w:pPr>
            <w:r w:rsidRPr="00073574">
              <w:t>SG5 liaises with relevant organizations as necessary.</w:t>
            </w:r>
          </w:p>
          <w:p w14:paraId="3EBF1314" w14:textId="26F1E8F3" w:rsidR="00F362A7" w:rsidRPr="00073574" w:rsidRDefault="00F362A7" w:rsidP="002E241A">
            <w:pPr>
              <w:pStyle w:val="ListParagraph"/>
              <w:numPr>
                <w:ilvl w:val="0"/>
                <w:numId w:val="38"/>
              </w:numPr>
              <w:ind w:left="357" w:hanging="357"/>
              <w:contextualSpacing w:val="0"/>
            </w:pPr>
            <w:r w:rsidRPr="00073574">
              <w:t>SG9 liaises with relevant organizations as necessary.</w:t>
            </w:r>
          </w:p>
          <w:p w14:paraId="1AB45804" w14:textId="293CF003" w:rsidR="006B2AA5" w:rsidRPr="00073574" w:rsidRDefault="00D7281A" w:rsidP="002E241A">
            <w:pPr>
              <w:pStyle w:val="ListParagraph"/>
              <w:numPr>
                <w:ilvl w:val="0"/>
                <w:numId w:val="38"/>
              </w:numPr>
              <w:ind w:left="357" w:hanging="357"/>
              <w:contextualSpacing w:val="0"/>
            </w:pPr>
            <w:r w:rsidRPr="00073574">
              <w:t>SG11 liaises with relevant organizations as necessary.</w:t>
            </w:r>
          </w:p>
          <w:p w14:paraId="0314DD84" w14:textId="485C5EF9" w:rsidR="0073593D" w:rsidRPr="00073574" w:rsidRDefault="0073593D" w:rsidP="002E241A">
            <w:pPr>
              <w:pStyle w:val="ListParagraph"/>
              <w:numPr>
                <w:ilvl w:val="0"/>
                <w:numId w:val="38"/>
              </w:numPr>
              <w:ind w:left="357" w:hanging="357"/>
              <w:contextualSpacing w:val="0"/>
            </w:pPr>
            <w:r w:rsidRPr="00073574">
              <w:t>SG12 liaises with relevant organizations as necessary.</w:t>
            </w:r>
          </w:p>
          <w:p w14:paraId="6473F9AA" w14:textId="1C31B802" w:rsidR="00200432" w:rsidRPr="00073574" w:rsidRDefault="00200432" w:rsidP="002E241A">
            <w:pPr>
              <w:pStyle w:val="ListParagraph"/>
              <w:numPr>
                <w:ilvl w:val="0"/>
                <w:numId w:val="38"/>
              </w:numPr>
              <w:ind w:left="357" w:hanging="357"/>
              <w:contextualSpacing w:val="0"/>
            </w:pPr>
            <w:r w:rsidRPr="00073574">
              <w:t xml:space="preserve">SG13 </w:t>
            </w:r>
            <w:r w:rsidR="00A91710" w:rsidRPr="00073574">
              <w:t xml:space="preserve">liaises with relevant organizations as necessary. In addition, it </w:t>
            </w:r>
            <w:r w:rsidRPr="00073574">
              <w:t>lia</w:t>
            </w:r>
            <w:r w:rsidR="0082409C" w:rsidRPr="00073574">
              <w:t>i</w:t>
            </w:r>
            <w:r w:rsidRPr="00073574">
              <w:t>se</w:t>
            </w:r>
            <w:r w:rsidR="00706D55" w:rsidRPr="00073574">
              <w:t>s</w:t>
            </w:r>
            <w:r w:rsidRPr="00073574">
              <w:t xml:space="preserve"> with ITU-R WP5D regularly. In March 2019 per request from ITU</w:t>
            </w:r>
            <w:r w:rsidR="00640439" w:rsidRPr="00073574">
              <w:t>-R WP5D is revised the ToR for its</w:t>
            </w:r>
            <w:r w:rsidRPr="00073574">
              <w:t xml:space="preserve"> FG NET2030.</w:t>
            </w:r>
          </w:p>
          <w:p w14:paraId="7B24CC7A" w14:textId="7B4850A7" w:rsidR="00F0236A" w:rsidRPr="00073574" w:rsidRDefault="000310D7" w:rsidP="002E241A">
            <w:pPr>
              <w:pStyle w:val="ListParagraph"/>
              <w:numPr>
                <w:ilvl w:val="0"/>
                <w:numId w:val="38"/>
              </w:numPr>
              <w:ind w:left="357" w:hanging="357"/>
              <w:contextualSpacing w:val="0"/>
            </w:pPr>
            <w:r w:rsidRPr="00073574">
              <w:t>SG15 liaises with relevant organizations as necessary.</w:t>
            </w:r>
          </w:p>
          <w:p w14:paraId="204B19DF" w14:textId="2D2C28C8" w:rsidR="00250B51" w:rsidRPr="00073574" w:rsidRDefault="00250B51" w:rsidP="002E241A">
            <w:pPr>
              <w:pStyle w:val="ListParagraph"/>
              <w:numPr>
                <w:ilvl w:val="0"/>
                <w:numId w:val="38"/>
              </w:numPr>
              <w:ind w:left="357" w:hanging="357"/>
              <w:contextualSpacing w:val="0"/>
            </w:pPr>
            <w:r w:rsidRPr="00073574">
              <w:t>SG16 liaises with relevant organizations as necessary.</w:t>
            </w:r>
          </w:p>
          <w:p w14:paraId="564EDA00" w14:textId="5325C6EB" w:rsidR="00263238" w:rsidRPr="00073574" w:rsidRDefault="00263238" w:rsidP="002E241A">
            <w:pPr>
              <w:pStyle w:val="ListParagraph"/>
              <w:numPr>
                <w:ilvl w:val="0"/>
                <w:numId w:val="38"/>
              </w:numPr>
              <w:spacing w:after="40"/>
              <w:ind w:left="357" w:hanging="357"/>
              <w:contextualSpacing w:val="0"/>
            </w:pPr>
            <w:r w:rsidRPr="00073574">
              <w:t>SG20 liaises with relevant organizations as necessary.</w:t>
            </w:r>
          </w:p>
        </w:tc>
      </w:tr>
      <w:tr w:rsidR="00F0236A" w:rsidRPr="00073574" w14:paraId="1BA07042" w14:textId="77777777" w:rsidTr="634A3A28">
        <w:trPr>
          <w:jc w:val="center"/>
        </w:trPr>
        <w:tc>
          <w:tcPr>
            <w:tcW w:w="905" w:type="dxa"/>
            <w:vMerge w:val="restart"/>
            <w:tcBorders>
              <w:top w:val="single" w:sz="12" w:space="0" w:color="auto"/>
            </w:tcBorders>
            <w:shd w:val="clear" w:color="auto" w:fill="auto"/>
          </w:tcPr>
          <w:p w14:paraId="76C3D5F7" w14:textId="77777777" w:rsidR="00F0236A" w:rsidRPr="00073574" w:rsidRDefault="00F0236A" w:rsidP="00E54A2A">
            <w:pPr>
              <w:pStyle w:val="Tabletext"/>
              <w:keepNext/>
              <w:keepLines/>
              <w:rPr>
                <w:b/>
                <w:bCs/>
                <w:sz w:val="24"/>
                <w:szCs w:val="24"/>
              </w:rPr>
            </w:pPr>
            <w:r w:rsidRPr="00073574">
              <w:rPr>
                <w:b/>
                <w:bCs/>
                <w:sz w:val="24"/>
                <w:szCs w:val="24"/>
              </w:rPr>
              <w:t>73-20</w:t>
            </w:r>
          </w:p>
        </w:tc>
        <w:tc>
          <w:tcPr>
            <w:tcW w:w="4774" w:type="dxa"/>
            <w:tcBorders>
              <w:top w:val="single" w:sz="12" w:space="0" w:color="auto"/>
            </w:tcBorders>
            <w:shd w:val="clear" w:color="auto" w:fill="auto"/>
          </w:tcPr>
          <w:p w14:paraId="51F462D6" w14:textId="77777777" w:rsidR="00F0236A" w:rsidRPr="00073574" w:rsidRDefault="00F0236A" w:rsidP="00DF36E1">
            <w:pPr>
              <w:pStyle w:val="Tabletext"/>
              <w:rPr>
                <w:b/>
                <w:bCs/>
                <w:sz w:val="24"/>
                <w:szCs w:val="24"/>
              </w:rPr>
            </w:pPr>
            <w:r w:rsidRPr="00073574">
              <w:rPr>
                <w:b/>
                <w:bCs/>
                <w:sz w:val="24"/>
                <w:szCs w:val="24"/>
              </w:rPr>
              <w:t>TSB Director to report on progress on the application of this resolution annually to the ITU Council and to the next world telecommunication standardization assembly (i. TSBDir 1)</w:t>
            </w:r>
          </w:p>
        </w:tc>
        <w:tc>
          <w:tcPr>
            <w:tcW w:w="1683" w:type="dxa"/>
            <w:tcBorders>
              <w:top w:val="single" w:sz="12" w:space="0" w:color="auto"/>
            </w:tcBorders>
            <w:shd w:val="clear" w:color="auto" w:fill="auto"/>
            <w:vAlign w:val="center"/>
          </w:tcPr>
          <w:p w14:paraId="27807A32" w14:textId="58E201A4" w:rsidR="00F0236A" w:rsidRPr="00073574" w:rsidRDefault="00F0236A" w:rsidP="00DF36E1">
            <w:pPr>
              <w:pStyle w:val="Tabletext"/>
              <w:jc w:val="center"/>
              <w:rPr>
                <w:b/>
                <w:bCs/>
                <w:sz w:val="24"/>
                <w:szCs w:val="24"/>
              </w:rPr>
            </w:pPr>
            <w:r w:rsidRPr="00073574">
              <w:rPr>
                <w:b/>
                <w:bCs/>
                <w:sz w:val="24"/>
                <w:szCs w:val="24"/>
              </w:rPr>
              <w:t>Council 20</w:t>
            </w:r>
            <w:r w:rsidR="00CE6783" w:rsidRPr="00073574">
              <w:rPr>
                <w:b/>
                <w:bCs/>
                <w:sz w:val="24"/>
                <w:szCs w:val="24"/>
              </w:rPr>
              <w:t>2</w:t>
            </w:r>
            <w:r w:rsidR="00AD100B" w:rsidRPr="00073574">
              <w:rPr>
                <w:b/>
                <w:bCs/>
                <w:sz w:val="24"/>
                <w:szCs w:val="24"/>
              </w:rPr>
              <w:t>1</w:t>
            </w:r>
          </w:p>
          <w:p w14:paraId="06DC8A76" w14:textId="77777777" w:rsidR="00F0236A" w:rsidRPr="00073574" w:rsidRDefault="00F0236A" w:rsidP="00DF36E1">
            <w:pPr>
              <w:pStyle w:val="Tabletext"/>
              <w:jc w:val="center"/>
              <w:rPr>
                <w:b/>
                <w:bCs/>
                <w:sz w:val="24"/>
                <w:szCs w:val="24"/>
              </w:rPr>
            </w:pPr>
            <w:r w:rsidRPr="00073574">
              <w:rPr>
                <w:b/>
                <w:bCs/>
                <w:sz w:val="24"/>
                <w:szCs w:val="24"/>
              </w:rPr>
              <w:t>WTSA-20</w:t>
            </w:r>
          </w:p>
        </w:tc>
        <w:tc>
          <w:tcPr>
            <w:tcW w:w="1134" w:type="dxa"/>
            <w:tcBorders>
              <w:top w:val="single" w:sz="12" w:space="0" w:color="auto"/>
            </w:tcBorders>
            <w:shd w:val="clear" w:color="auto" w:fill="auto"/>
            <w:vAlign w:val="center"/>
          </w:tcPr>
          <w:p w14:paraId="55B8907B" w14:textId="2BDB6097" w:rsidR="00F0236A" w:rsidRPr="00073574" w:rsidDel="000F2D69" w:rsidRDefault="00CB726E"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248BA0B1" w14:textId="0FFDA25C" w:rsidR="00F0236A" w:rsidRPr="00073574" w:rsidRDefault="00017AC9" w:rsidP="00DF36E1">
            <w:pPr>
              <w:pStyle w:val="Tabletext"/>
              <w:jc w:val="center"/>
              <w:rPr>
                <w:b/>
                <w:bCs/>
                <w:sz w:val="24"/>
                <w:szCs w:val="24"/>
              </w:rPr>
            </w:pPr>
            <w:r w:rsidRPr="00073574">
              <w:rPr>
                <w:b/>
                <w:bCs/>
                <w:sz w:val="24"/>
                <w:szCs w:val="24"/>
              </w:rPr>
              <w:t>√</w:t>
            </w:r>
          </w:p>
        </w:tc>
      </w:tr>
      <w:tr w:rsidR="00F0236A" w:rsidRPr="00073574" w14:paraId="56E57164" w14:textId="77777777" w:rsidTr="634A3A28">
        <w:trPr>
          <w:jc w:val="center"/>
        </w:trPr>
        <w:tc>
          <w:tcPr>
            <w:tcW w:w="905" w:type="dxa"/>
            <w:vMerge/>
          </w:tcPr>
          <w:p w14:paraId="74FF522A" w14:textId="77777777" w:rsidR="00F0236A" w:rsidRPr="00073574" w:rsidRDefault="00F0236A" w:rsidP="00DF36E1">
            <w:pPr>
              <w:pStyle w:val="Tabletext"/>
              <w:rPr>
                <w:sz w:val="24"/>
                <w:szCs w:val="24"/>
              </w:rPr>
            </w:pPr>
          </w:p>
        </w:tc>
        <w:tc>
          <w:tcPr>
            <w:tcW w:w="8927" w:type="dxa"/>
            <w:gridSpan w:val="4"/>
            <w:tcBorders>
              <w:bottom w:val="single" w:sz="12" w:space="0" w:color="auto"/>
            </w:tcBorders>
            <w:shd w:val="clear" w:color="auto" w:fill="auto"/>
          </w:tcPr>
          <w:p w14:paraId="297EE070" w14:textId="77777777" w:rsidR="00F0236A" w:rsidRPr="00073574" w:rsidRDefault="00CB726E" w:rsidP="000F1B91">
            <w:pPr>
              <w:pStyle w:val="Tabletext"/>
              <w:rPr>
                <w:szCs w:val="22"/>
              </w:rPr>
            </w:pPr>
            <w:r w:rsidRPr="00073574">
              <w:rPr>
                <w:szCs w:val="22"/>
              </w:rPr>
              <w:t xml:space="preserve">The TSB Director in </w:t>
            </w:r>
            <w:hyperlink r:id="rId600" w:history="1">
              <w:r w:rsidRPr="00073574">
                <w:rPr>
                  <w:rStyle w:val="Hyperlink"/>
                  <w:szCs w:val="22"/>
                </w:rPr>
                <w:t>C18/35</w:t>
              </w:r>
            </w:hyperlink>
            <w:r w:rsidRPr="00073574">
              <w:rPr>
                <w:szCs w:val="22"/>
              </w:rPr>
              <w:t xml:space="preserve"> briefly reports on </w:t>
            </w:r>
            <w:r w:rsidR="000F1B91" w:rsidRPr="00073574">
              <w:rPr>
                <w:szCs w:val="22"/>
              </w:rPr>
              <w:t xml:space="preserve">climate change </w:t>
            </w:r>
            <w:r w:rsidRPr="00073574">
              <w:rPr>
                <w:szCs w:val="22"/>
              </w:rPr>
              <w:t>matters</w:t>
            </w:r>
            <w:r w:rsidR="00E0182E" w:rsidRPr="00073574">
              <w:rPr>
                <w:szCs w:val="22"/>
              </w:rPr>
              <w:t>, and plans to submit a report to WTSA-20.</w:t>
            </w:r>
          </w:p>
          <w:p w14:paraId="61070B88" w14:textId="645D3B0F" w:rsidR="00A240F4" w:rsidRPr="00073574" w:rsidRDefault="00A240F4" w:rsidP="004F3FDA">
            <w:pPr>
              <w:pStyle w:val="Tabletext"/>
              <w:spacing w:before="120" w:after="0"/>
              <w:rPr>
                <w:szCs w:val="22"/>
              </w:rPr>
            </w:pPr>
            <w:r w:rsidRPr="00073574">
              <w:rPr>
                <w:szCs w:val="22"/>
              </w:rPr>
              <w:t>Resolution 73 (Rev. Hammamet, 2016) on “Information and communications technologies, environment and climate change” instructs the TSB Director to report on progress on the application of this resolution to next WTSA.</w:t>
            </w:r>
          </w:p>
          <w:p w14:paraId="7C91290C" w14:textId="7D165C44" w:rsidR="00A240F4" w:rsidRPr="00073574" w:rsidRDefault="00A240F4" w:rsidP="004F3FDA">
            <w:pPr>
              <w:pStyle w:val="Tabletext"/>
              <w:spacing w:before="120" w:after="0"/>
              <w:rPr>
                <w:szCs w:val="22"/>
              </w:rPr>
            </w:pPr>
            <w:r w:rsidRPr="00073574">
              <w:rPr>
                <w:szCs w:val="22"/>
              </w:rPr>
              <w:t>In the past 6 years, TSB has carried out extensive standardization, awareness raising, and knowledge sharing activities as well as collaboration on ICT and climate change in line with Resolution 73. ITU-T Study Group 5 has developed standards that provide authentic guidance for measuring and improving the energy efficiency of ICT equipment and infrastructure, reducing their environmental impacts, particularly with regards to e-waste and GHG emission, implementing the environmental targets of the ITU Connect 2030 Agenda, and adopting a circular approach to ICT.</w:t>
            </w:r>
          </w:p>
          <w:p w14:paraId="2EBE7907" w14:textId="0B80B225" w:rsidR="00A240F4" w:rsidRPr="00073574" w:rsidRDefault="00A240F4" w:rsidP="004F3FDA">
            <w:pPr>
              <w:pStyle w:val="Tabletext"/>
              <w:spacing w:before="120" w:after="0"/>
              <w:rPr>
                <w:szCs w:val="22"/>
              </w:rPr>
            </w:pPr>
            <w:r w:rsidRPr="00073574">
              <w:rPr>
                <w:szCs w:val="22"/>
              </w:rPr>
              <w:t xml:space="preserve">To highlight one of ITU’s green standards, Recommendation ITU-T L.1470 is providing guidance for members of the ICT sector to set the emission-reduction trajectories needed to cut the ICT sector’s emissions by 45% in line with the climate targets set in the Paris Agreement. These recommended emission-reduction targets are the first targets specific to the ICT industry to be approved by the Science Based Target Initiative. This standard provides the ICT sector with the tool it needed to set a clear pathway to reach net zero emissions. Overall, the green standards developed by ITU-T SG5 have contributed significantly to accelerating climate actions in the ICT </w:t>
            </w:r>
            <w:r w:rsidRPr="00073574">
              <w:rPr>
                <w:szCs w:val="22"/>
              </w:rPr>
              <w:lastRenderedPageBreak/>
              <w:t>sector and achieving a sustainable digital transformation. The group is also regularly revising the information contained in the standards to assess their implications and reflect on emerging needs.</w:t>
            </w:r>
          </w:p>
          <w:p w14:paraId="182E3BC9" w14:textId="77777777" w:rsidR="00A240F4" w:rsidRPr="00073574" w:rsidRDefault="00A240F4" w:rsidP="004F3FDA">
            <w:pPr>
              <w:pStyle w:val="Tabletext"/>
              <w:spacing w:before="120" w:after="0"/>
            </w:pPr>
            <w:r w:rsidRPr="00073574">
              <w:t>Recognizing the climate change impacts brought on by various working methods, such as virtual meetings, ITU-T SG5 is already working on a draft Recommendation that will provide a methodology for estimating the GHG emissions related to virtual meetings and events, considering both their footprint and the emissions avoided in comparison with a physical event.</w:t>
            </w:r>
          </w:p>
          <w:p w14:paraId="7ADD3277" w14:textId="58FBA5F9" w:rsidR="00A240F4" w:rsidRPr="00073574" w:rsidRDefault="00A240F4" w:rsidP="004F3FDA">
            <w:pPr>
              <w:pStyle w:val="Tabletext"/>
              <w:spacing w:before="120" w:after="0"/>
            </w:pPr>
            <w:r w:rsidRPr="00073574">
              <w:t>To further focus on identifying the standardization requirements for achieving environmental efficiency in digital technologies, the Focus Group on Artificial Intelligence and other Emerging Technologies (FG-AI4EE) was created in 2019. The focus group is working to develop technical reports and technical specifications that aim to address the environmental efficiency, as well as water and energy consumption aspect of emerging technologies through an inclusive and participatory process.</w:t>
            </w:r>
          </w:p>
          <w:p w14:paraId="1B62C436" w14:textId="56BE3184" w:rsidR="00A240F4" w:rsidRPr="00073574" w:rsidRDefault="00A240F4" w:rsidP="004F3FDA">
            <w:pPr>
              <w:pStyle w:val="Tabletext"/>
              <w:spacing w:before="120" w:after="0"/>
              <w:rPr>
                <w:szCs w:val="22"/>
              </w:rPr>
            </w:pPr>
            <w:r w:rsidRPr="00073574">
              <w:rPr>
                <w:szCs w:val="22"/>
              </w:rPr>
              <w:t xml:space="preserve">Significant progress was also made in the </w:t>
            </w:r>
            <w:hyperlink r:id="rId601" w:history="1">
              <w:r w:rsidRPr="00073574">
                <w:rPr>
                  <w:rStyle w:val="Hyperlink"/>
                  <w:szCs w:val="22"/>
                </w:rPr>
                <w:t>ITU/WMO/UNESCO-IOC Joint Task Force on SMART</w:t>
              </w:r>
              <w:r w:rsidRPr="00073574">
                <w:rPr>
                  <w:rStyle w:val="Hyperlink"/>
                  <w:szCs w:val="22"/>
                  <w:vertAlign w:val="superscript"/>
                </w:rPr>
                <w:footnoteReference w:id="8"/>
              </w:r>
              <w:r w:rsidRPr="00073574">
                <w:rPr>
                  <w:rStyle w:val="Hyperlink"/>
                  <w:szCs w:val="22"/>
                </w:rPr>
                <w:t xml:space="preserve"> Cable Systems</w:t>
              </w:r>
            </w:hyperlink>
            <w:r w:rsidRPr="00073574">
              <w:rPr>
                <w:szCs w:val="22"/>
              </w:rPr>
              <w:t xml:space="preserve">, which aims to </w:t>
            </w:r>
            <w:r w:rsidRPr="00073574">
              <w:rPr>
                <w:rFonts w:asciiTheme="majorBidi" w:hAnsiTheme="majorBidi" w:cstheme="majorBidi"/>
              </w:rPr>
              <w:t xml:space="preserve">equip submarine communications cables with climate and hazard-monitoring sensors to create a global observation network. The group has published </w:t>
            </w:r>
            <w:r w:rsidR="00986CD6" w:rsidRPr="00073574">
              <w:rPr>
                <w:rFonts w:asciiTheme="majorBidi" w:hAnsiTheme="majorBidi" w:cstheme="majorBidi"/>
              </w:rPr>
              <w:t>a detailed peer-reviewed article</w:t>
            </w:r>
            <w:r w:rsidR="00EF7920" w:rsidRPr="00073574">
              <w:rPr>
                <w:rFonts w:asciiTheme="majorBidi" w:hAnsiTheme="majorBidi" w:cstheme="majorBidi"/>
              </w:rPr>
              <w:t xml:space="preserve"> and gave </w:t>
            </w:r>
            <w:r w:rsidR="001635AC" w:rsidRPr="00073574">
              <w:rPr>
                <w:rFonts w:asciiTheme="majorBidi" w:hAnsiTheme="majorBidi" w:cstheme="majorBidi"/>
              </w:rPr>
              <w:t>presentations</w:t>
            </w:r>
            <w:r w:rsidRPr="00073574">
              <w:rPr>
                <w:rFonts w:asciiTheme="majorBidi" w:hAnsiTheme="majorBidi" w:cstheme="majorBidi"/>
              </w:rPr>
              <w:t xml:space="preserve"> in </w:t>
            </w:r>
            <w:r w:rsidR="00415B47" w:rsidRPr="00073574">
              <w:rPr>
                <w:rFonts w:asciiTheme="majorBidi" w:hAnsiTheme="majorBidi" w:cstheme="majorBidi"/>
              </w:rPr>
              <w:t xml:space="preserve">two </w:t>
            </w:r>
            <w:r w:rsidR="001635AC" w:rsidRPr="00073574">
              <w:rPr>
                <w:rFonts w:asciiTheme="majorBidi" w:hAnsiTheme="majorBidi" w:cstheme="majorBidi"/>
              </w:rPr>
              <w:t>workshops</w:t>
            </w:r>
            <w:r w:rsidRPr="00073574">
              <w:rPr>
                <w:rFonts w:asciiTheme="majorBidi" w:hAnsiTheme="majorBidi" w:cstheme="majorBidi"/>
              </w:rPr>
              <w:t xml:space="preserve"> in 2019. In October 2021, the “SMART submarine cables” project was endorsed as a project forming part of the UN Decade of Ocean Science for Sustainable Development 2021-2030.</w:t>
            </w:r>
          </w:p>
          <w:p w14:paraId="30282012" w14:textId="3B8241AC" w:rsidR="00A240F4" w:rsidRPr="00073574" w:rsidRDefault="00A240F4" w:rsidP="004F3FDA">
            <w:pPr>
              <w:pStyle w:val="Tabletext"/>
              <w:spacing w:before="120" w:after="0"/>
              <w:rPr>
                <w:szCs w:val="22"/>
              </w:rPr>
            </w:pPr>
            <w:r w:rsidRPr="00073574">
              <w:rPr>
                <w:szCs w:val="22"/>
              </w:rPr>
              <w:t xml:space="preserve">TSB has provided technical assistance to support countries to implement national green ICT action plan and develop mechanisms to use ICT more sustainably and combat climate change through different activities. For example, TSB has organized the </w:t>
            </w:r>
            <w:hyperlink r:id="rId602" w:history="1">
              <w:r w:rsidRPr="00073574">
                <w:rPr>
                  <w:rStyle w:val="Hyperlink"/>
                  <w:szCs w:val="22"/>
                </w:rPr>
                <w:t>Dialogues on Sustainable Digital Transformation</w:t>
              </w:r>
            </w:hyperlink>
            <w:r w:rsidRPr="00073574">
              <w:rPr>
                <w:szCs w:val="22"/>
              </w:rPr>
              <w:t xml:space="preserve"> which aimed to support developing regions to identify common solutions for achieving a sustainable digital transformation. TSB also participated in developing the </w:t>
            </w:r>
            <w:hyperlink r:id="rId603" w:history="1">
              <w:r w:rsidRPr="00073574">
                <w:rPr>
                  <w:rStyle w:val="Hyperlink"/>
                  <w:szCs w:val="22"/>
                </w:rPr>
                <w:t>Massive Open Online Course (MOOC) on e-waste management</w:t>
              </w:r>
            </w:hyperlink>
            <w:r w:rsidRPr="00073574">
              <w:rPr>
                <w:b/>
                <w:szCs w:val="22"/>
              </w:rPr>
              <w:t xml:space="preserve">, </w:t>
            </w:r>
            <w:r w:rsidRPr="00073574">
              <w:rPr>
                <w:bCs/>
                <w:szCs w:val="22"/>
              </w:rPr>
              <w:t>which is a-learning programmes that contains insigh</w:t>
            </w:r>
            <w:r w:rsidRPr="00073574">
              <w:rPr>
                <w:szCs w:val="22"/>
              </w:rPr>
              <w:t xml:space="preserve">t into policy tools, international standards and best practices capable of stimulating the transition to sustainable e-waste management. TSB is also working together with BDT and UNIDO on a project funded by the Global Environmental Facility (GEF) to strengthen regional cooperation in Latin American countries. In this project, ITU-T developed one case study on the implementation of Recommendation ITU-T L.1031 “Guideline for achieving the e-waste targets of the Connect 2030 Agenda” and Recommendation ITU-T L.1032 “Guidelines and certification schemes for e-waste recyclers” in Costa Rica. ITU-T is also developing </w:t>
            </w:r>
            <w:r w:rsidRPr="00073574">
              <w:rPr>
                <w:lang w:eastAsia="en-GB"/>
              </w:rPr>
              <w:t>a case study on Argentina in implementing ITU-T e-waste standards in a view to informing stakeholders, gaining new knowledge, establishing best practise guidelines, improving existing recommendations and more.</w:t>
            </w:r>
          </w:p>
          <w:p w14:paraId="0D3A3BF5" w14:textId="69CBDFF7" w:rsidR="00A240F4" w:rsidRPr="00073574" w:rsidRDefault="00A240F4" w:rsidP="004F3FDA">
            <w:pPr>
              <w:pStyle w:val="Tabletext"/>
              <w:spacing w:before="120" w:after="0"/>
              <w:rPr>
                <w:rFonts w:asciiTheme="majorBidi" w:hAnsiTheme="majorBidi" w:cstheme="majorBidi"/>
                <w:szCs w:val="22"/>
              </w:rPr>
            </w:pPr>
            <w:r w:rsidRPr="00073574">
              <w:rPr>
                <w:szCs w:val="22"/>
              </w:rPr>
              <w:t xml:space="preserve">TSB has also organized forums, workshops and seminars that paid attention to the need of developing countries. TSB organized a series of events that took place in developing regions in order to take into consideration their needs and raise awareness on key issues. Among these events are the </w:t>
            </w:r>
            <w:hyperlink r:id="rId604" w:tgtFrame="_blank" w:history="1">
              <w:r w:rsidRPr="00073574">
                <w:rPr>
                  <w:rStyle w:val="Hyperlink"/>
                  <w:szCs w:val="22"/>
                </w:rPr>
                <w:t>1st Digital African Week</w:t>
              </w:r>
            </w:hyperlink>
            <w:r w:rsidRPr="00073574">
              <w:rPr>
                <w:szCs w:val="22"/>
              </w:rPr>
              <w:t xml:space="preserve"> which took place in Abuja, Nigeria, in 2019, the </w:t>
            </w:r>
            <w:hyperlink r:id="rId605" w:history="1">
              <w:r w:rsidRPr="00073574">
                <w:rPr>
                  <w:rStyle w:val="Hyperlink"/>
                  <w:szCs w:val="22"/>
                </w:rPr>
                <w:t>7th ITU Green Standards Week (GSW-17)</w:t>
              </w:r>
            </w:hyperlink>
            <w:r w:rsidRPr="00073574">
              <w:rPr>
                <w:szCs w:val="22"/>
              </w:rPr>
              <w:t xml:space="preserve"> which took place in Manizales, Colombia in 2017, the </w:t>
            </w:r>
            <w:hyperlink r:id="rId606" w:history="1">
              <w:r w:rsidRPr="00073574">
                <w:rPr>
                  <w:rStyle w:val="Hyperlink"/>
                  <w:szCs w:val="22"/>
                </w:rPr>
                <w:t>8</w:t>
              </w:r>
              <w:r w:rsidR="00477C4C" w:rsidRPr="00073574">
                <w:rPr>
                  <w:rStyle w:val="Hyperlink"/>
                  <w:szCs w:val="22"/>
                </w:rPr>
                <w:t>t</w:t>
              </w:r>
              <w:r w:rsidR="00477C4C" w:rsidRPr="00073574">
                <w:rPr>
                  <w:rStyle w:val="Hyperlink"/>
                </w:rPr>
                <w:t>h</w:t>
              </w:r>
              <w:r w:rsidRPr="00073574">
                <w:rPr>
                  <w:rStyle w:val="Hyperlink"/>
                  <w:szCs w:val="22"/>
                </w:rPr>
                <w:t xml:space="preserve"> ITU Green Standards Week</w:t>
              </w:r>
            </w:hyperlink>
            <w:r w:rsidRPr="00073574">
              <w:rPr>
                <w:szCs w:val="22"/>
              </w:rPr>
              <w:t xml:space="preserve"> which took place </w:t>
            </w:r>
            <w:r w:rsidRPr="00073574">
              <w:rPr>
                <w:rFonts w:asciiTheme="majorBidi" w:hAnsiTheme="majorBidi" w:cstheme="majorBidi"/>
                <w:szCs w:val="22"/>
              </w:rPr>
              <w:t xml:space="preserve">in Zanzibar, Tanzania in 2018, and the </w:t>
            </w:r>
            <w:hyperlink r:id="rId607" w:history="1">
              <w:r w:rsidRPr="00073574">
                <w:rPr>
                  <w:rStyle w:val="Hyperlink"/>
                  <w:rFonts w:asciiTheme="majorBidi" w:hAnsiTheme="majorBidi" w:cstheme="majorBidi"/>
                  <w:szCs w:val="22"/>
                </w:rPr>
                <w:t>12th ITU Symposium on ICT, Environment and Climate Change</w:t>
              </w:r>
            </w:hyperlink>
            <w:r w:rsidRPr="00073574">
              <w:rPr>
                <w:rFonts w:asciiTheme="majorBidi" w:hAnsiTheme="majorBidi" w:cstheme="majorBidi"/>
                <w:szCs w:val="22"/>
              </w:rPr>
              <w:t xml:space="preserve"> which took place also in Zanzibar, Tanzania in 2018. In 2021, the 10</w:t>
            </w:r>
            <w:r w:rsidR="00477C4C" w:rsidRPr="00073574">
              <w:rPr>
                <w:rFonts w:asciiTheme="majorBidi" w:hAnsiTheme="majorBidi" w:cstheme="majorBidi"/>
                <w:szCs w:val="22"/>
              </w:rPr>
              <w:t xml:space="preserve">th </w:t>
            </w:r>
            <w:r w:rsidRPr="00073574">
              <w:rPr>
                <w:rFonts w:asciiTheme="majorBidi" w:hAnsiTheme="majorBidi" w:cstheme="majorBidi"/>
                <w:szCs w:val="22"/>
              </w:rPr>
              <w:t xml:space="preserve">Green Standards Week was dedicated to Driving Sustainable Digital Transformation through e-waste management and circular economy with special focus in </w:t>
            </w:r>
            <w:r w:rsidR="00477C4C" w:rsidRPr="00073574">
              <w:rPr>
                <w:rFonts w:asciiTheme="majorBidi" w:hAnsiTheme="majorBidi" w:cstheme="majorBidi"/>
                <w:szCs w:val="22"/>
              </w:rPr>
              <w:t>Latin America</w:t>
            </w:r>
            <w:r w:rsidRPr="00073574">
              <w:rPr>
                <w:rFonts w:asciiTheme="majorBidi" w:hAnsiTheme="majorBidi" w:cstheme="majorBidi"/>
                <w:szCs w:val="22"/>
              </w:rPr>
              <w:t>. Each of one of these events contained workshops and seminars on a given environment and ICT topic. In addition, TSB has also organized forums that aimed to raise awareness on the environmental impacts of digital technologies and the importance of achieving a sustainable digital transformation.</w:t>
            </w:r>
          </w:p>
          <w:p w14:paraId="02000C53" w14:textId="28E293C6" w:rsidR="001C076C" w:rsidRPr="00073574" w:rsidRDefault="00A240F4" w:rsidP="004F3FDA">
            <w:r w:rsidRPr="00073574">
              <w:rPr>
                <w:szCs w:val="22"/>
              </w:rPr>
              <w:lastRenderedPageBreak/>
              <w:t xml:space="preserve">TSB has promoted the adoption of ITU-T Recommendation through the ITU </w:t>
            </w:r>
            <w:hyperlink r:id="rId608" w:history="1">
              <w:r w:rsidRPr="00073574">
                <w:rPr>
                  <w:rStyle w:val="Hyperlink"/>
                  <w:szCs w:val="22"/>
                </w:rPr>
                <w:t>Global Portal on Environment and Smart Sustainable Cities</w:t>
              </w:r>
            </w:hyperlink>
            <w:r w:rsidRPr="00073574">
              <w:rPr>
                <w:rStyle w:val="Hyperlink"/>
                <w:szCs w:val="22"/>
              </w:rPr>
              <w:t>,</w:t>
            </w:r>
            <w:r w:rsidRPr="00073574">
              <w:rPr>
                <w:rStyle w:val="Hyperlink"/>
                <w:szCs w:val="22"/>
                <w:u w:val="none"/>
              </w:rPr>
              <w:t xml:space="preserve"> </w:t>
            </w:r>
            <w:r w:rsidRPr="00073574">
              <w:rPr>
                <w:rStyle w:val="Hyperlink"/>
                <w:color w:val="000000" w:themeColor="text1"/>
                <w:szCs w:val="22"/>
                <w:u w:val="none"/>
              </w:rPr>
              <w:t xml:space="preserve">which contains a wealth of information on the latest ITU publications and publications developed by other creditable entities on environment and smart </w:t>
            </w:r>
            <w:r w:rsidRPr="00073574">
              <w:rPr>
                <w:rStyle w:val="Hyperlink"/>
                <w:color w:val="000000" w:themeColor="text1"/>
                <w:szCs w:val="22"/>
              </w:rPr>
              <w:t>sustainable</w:t>
            </w:r>
            <w:r w:rsidRPr="00073574">
              <w:rPr>
                <w:rStyle w:val="Hyperlink"/>
                <w:color w:val="000000" w:themeColor="text1"/>
                <w:szCs w:val="22"/>
                <w:u w:val="none"/>
              </w:rPr>
              <w:t xml:space="preserve"> city topics. Most noticeably, ITU has developed the report on “</w:t>
            </w:r>
            <w:r w:rsidRPr="00073574">
              <w:rPr>
                <w:rStyle w:val="Hyperlink"/>
                <w:i/>
                <w:iCs/>
                <w:color w:val="000000" w:themeColor="text1"/>
                <w:szCs w:val="22"/>
                <w:u w:val="none"/>
              </w:rPr>
              <w:t>Turning Digital Technology Innovation into Climate Action”</w:t>
            </w:r>
            <w:r w:rsidRPr="00073574">
              <w:rPr>
                <w:rStyle w:val="Hyperlink"/>
                <w:color w:val="000000" w:themeColor="text1"/>
                <w:szCs w:val="22"/>
                <w:u w:val="none"/>
              </w:rPr>
              <w:t>, which was launched during the UN Climate Summit, and “</w:t>
            </w:r>
            <w:r w:rsidRPr="00073574">
              <w:rPr>
                <w:rStyle w:val="Hyperlink"/>
                <w:i/>
                <w:iCs/>
                <w:color w:val="000000" w:themeColor="text1"/>
                <w:szCs w:val="22"/>
                <w:u w:val="none"/>
              </w:rPr>
              <w:t>Frontier Technologies to protect the environment and tackle climate change</w:t>
            </w:r>
            <w:r w:rsidRPr="00073574">
              <w:rPr>
                <w:rStyle w:val="Hyperlink"/>
                <w:color w:val="000000" w:themeColor="text1"/>
                <w:szCs w:val="22"/>
                <w:u w:val="none"/>
              </w:rPr>
              <w:t>” which was written together with 9 other UN Agencies and Programmes and was launched on Earth Day.</w:t>
            </w:r>
            <w:r w:rsidR="004F3FDA" w:rsidRPr="00073574">
              <w:rPr>
                <w:rStyle w:val="Hyperlink"/>
                <w:color w:val="000000" w:themeColor="text1"/>
                <w:szCs w:val="22"/>
                <w:u w:val="none"/>
              </w:rPr>
              <w:t xml:space="preserve"> </w:t>
            </w:r>
            <w:r w:rsidRPr="00073574">
              <w:t>Additionally, ITU participated in the Technical Working Group on Innovation, Technology and Data as part of the preparations for the High-level Dialogue on Energy which was held in September 2021. The technical working group produced a Theme Report on Innovation, Technology and Data. The report contains a case study on the Implementation of Recommendation ITU-T L.1381 'Smart energy solutions for data centres' in China.</w:t>
            </w:r>
          </w:p>
        </w:tc>
      </w:tr>
      <w:tr w:rsidR="00F0236A" w:rsidRPr="00073574" w14:paraId="540FF7E7" w14:textId="77777777" w:rsidTr="634A3A28">
        <w:trPr>
          <w:jc w:val="center"/>
        </w:trPr>
        <w:tc>
          <w:tcPr>
            <w:tcW w:w="905" w:type="dxa"/>
            <w:vMerge w:val="restart"/>
            <w:tcBorders>
              <w:top w:val="single" w:sz="12" w:space="0" w:color="auto"/>
            </w:tcBorders>
            <w:shd w:val="clear" w:color="auto" w:fill="auto"/>
          </w:tcPr>
          <w:p w14:paraId="3B3BEDBC" w14:textId="77777777" w:rsidR="00F0236A" w:rsidRPr="00073574" w:rsidRDefault="00F0236A" w:rsidP="00DF36E1">
            <w:pPr>
              <w:pStyle w:val="Tabletext"/>
              <w:keepNext/>
              <w:keepLines/>
              <w:rPr>
                <w:b/>
                <w:bCs/>
                <w:sz w:val="24"/>
                <w:szCs w:val="24"/>
              </w:rPr>
            </w:pPr>
            <w:r w:rsidRPr="00073574">
              <w:rPr>
                <w:b/>
                <w:bCs/>
                <w:sz w:val="24"/>
                <w:szCs w:val="24"/>
              </w:rPr>
              <w:lastRenderedPageBreak/>
              <w:t>73-21</w:t>
            </w:r>
          </w:p>
        </w:tc>
        <w:tc>
          <w:tcPr>
            <w:tcW w:w="4774" w:type="dxa"/>
            <w:tcBorders>
              <w:top w:val="single" w:sz="12" w:space="0" w:color="auto"/>
            </w:tcBorders>
            <w:shd w:val="clear" w:color="auto" w:fill="auto"/>
          </w:tcPr>
          <w:p w14:paraId="051C1F11" w14:textId="77777777" w:rsidR="00F0236A" w:rsidRPr="00073574" w:rsidRDefault="00F0236A" w:rsidP="00DF36E1">
            <w:pPr>
              <w:pStyle w:val="Tabletext"/>
              <w:keepNext/>
              <w:keepLines/>
              <w:rPr>
                <w:b/>
                <w:bCs/>
                <w:sz w:val="24"/>
                <w:szCs w:val="24"/>
              </w:rPr>
            </w:pPr>
            <w:r w:rsidRPr="00073574">
              <w:rPr>
                <w:b/>
                <w:bCs/>
                <w:sz w:val="24"/>
                <w:szCs w:val="24"/>
              </w:rPr>
              <w:t>TSB Director to develop, promote and disseminate information and training programmes on ICTs, environment and circular economy (i. TSBDir 6)</w:t>
            </w:r>
          </w:p>
        </w:tc>
        <w:tc>
          <w:tcPr>
            <w:tcW w:w="1683" w:type="dxa"/>
            <w:tcBorders>
              <w:top w:val="single" w:sz="12" w:space="0" w:color="auto"/>
            </w:tcBorders>
            <w:shd w:val="clear" w:color="auto" w:fill="auto"/>
            <w:vAlign w:val="center"/>
          </w:tcPr>
          <w:p w14:paraId="22E07385"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34" w:type="dxa"/>
            <w:tcBorders>
              <w:top w:val="single" w:sz="12" w:space="0" w:color="auto"/>
            </w:tcBorders>
            <w:shd w:val="clear" w:color="auto" w:fill="auto"/>
            <w:vAlign w:val="center"/>
          </w:tcPr>
          <w:p w14:paraId="17BC6C77" w14:textId="718A4CA7" w:rsidR="00F0236A" w:rsidRPr="00073574" w:rsidDel="000F2D69" w:rsidRDefault="001A378C"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3299DF15" w14:textId="77777777" w:rsidR="00F0236A" w:rsidRPr="00073574" w:rsidRDefault="00F0236A" w:rsidP="00DF36E1">
            <w:pPr>
              <w:pStyle w:val="Tabletext"/>
              <w:jc w:val="center"/>
              <w:rPr>
                <w:b/>
                <w:bCs/>
                <w:sz w:val="24"/>
                <w:szCs w:val="24"/>
              </w:rPr>
            </w:pPr>
          </w:p>
        </w:tc>
      </w:tr>
      <w:tr w:rsidR="00F0236A" w:rsidRPr="00073574" w14:paraId="544ADB5A" w14:textId="77777777" w:rsidTr="634A3A28">
        <w:trPr>
          <w:jc w:val="center"/>
        </w:trPr>
        <w:tc>
          <w:tcPr>
            <w:tcW w:w="905" w:type="dxa"/>
            <w:vMerge/>
            <w:vAlign w:val="center"/>
          </w:tcPr>
          <w:p w14:paraId="03A63981" w14:textId="77777777" w:rsidR="00F0236A" w:rsidRPr="00073574" w:rsidRDefault="00F0236A" w:rsidP="00DF36E1">
            <w:pPr>
              <w:pStyle w:val="Tabletext"/>
              <w:rPr>
                <w:sz w:val="24"/>
                <w:szCs w:val="24"/>
              </w:rPr>
            </w:pPr>
          </w:p>
        </w:tc>
        <w:tc>
          <w:tcPr>
            <w:tcW w:w="8927" w:type="dxa"/>
            <w:gridSpan w:val="4"/>
            <w:shd w:val="clear" w:color="auto" w:fill="auto"/>
          </w:tcPr>
          <w:p w14:paraId="1AF8C283" w14:textId="68166A76" w:rsidR="00F0236A" w:rsidRPr="00073574" w:rsidRDefault="71317672" w:rsidP="00B05960">
            <w:pPr>
              <w:pStyle w:val="Tabletext"/>
            </w:pPr>
            <w:r w:rsidRPr="00073574">
              <w:t>The</w:t>
            </w:r>
            <w:r w:rsidR="21158E35" w:rsidRPr="00073574">
              <w:t xml:space="preserve"> </w:t>
            </w:r>
            <w:hyperlink r:id="rId609" w:history="1">
              <w:r w:rsidR="21158E35" w:rsidRPr="00073574">
                <w:rPr>
                  <w:rStyle w:val="Hyperlink"/>
                </w:rPr>
                <w:t>ITU-T Global Portal on Environment and Smart Sustainable Cities</w:t>
              </w:r>
            </w:hyperlink>
            <w:r w:rsidRPr="00073574">
              <w:t>, provide</w:t>
            </w:r>
            <w:r w:rsidR="3B9B8553" w:rsidRPr="00073574">
              <w:t>s</w:t>
            </w:r>
            <w:r w:rsidRPr="00073574">
              <w:t xml:space="preserve"> a wealth of information and resource materials for self-learning. Training materials relating to ICTs</w:t>
            </w:r>
            <w:r w:rsidR="31F937EE" w:rsidRPr="00073574">
              <w:t>, smart</w:t>
            </w:r>
            <w:r w:rsidR="5E14A6AD" w:rsidRPr="00073574">
              <w:t xml:space="preserve"> sustainable</w:t>
            </w:r>
            <w:r w:rsidR="31F937EE" w:rsidRPr="00073574">
              <w:t xml:space="preserve"> cities</w:t>
            </w:r>
            <w:r w:rsidRPr="00073574">
              <w:t xml:space="preserve"> and climate </w:t>
            </w:r>
            <w:r w:rsidR="5FF29758" w:rsidRPr="00073574">
              <w:t xml:space="preserve">actions </w:t>
            </w:r>
            <w:r w:rsidRPr="00073574">
              <w:t>are currently being developed; see also 73-05.</w:t>
            </w:r>
          </w:p>
        </w:tc>
      </w:tr>
    </w:tbl>
    <w:bookmarkStart w:id="395" w:name="Item73_01"/>
    <w:bookmarkStart w:id="396" w:name="Item73_02"/>
    <w:bookmarkStart w:id="397" w:name="Item73_03"/>
    <w:bookmarkStart w:id="398" w:name="Item73_04"/>
    <w:bookmarkStart w:id="399" w:name="Item73_05"/>
    <w:bookmarkStart w:id="400" w:name="Item73_06"/>
    <w:bookmarkStart w:id="401" w:name="Item73_07"/>
    <w:bookmarkStart w:id="402" w:name="Item73_08"/>
    <w:bookmarkStart w:id="403" w:name="Item73_09"/>
    <w:bookmarkStart w:id="404" w:name="Item73_10"/>
    <w:bookmarkStart w:id="405" w:name="Item73_11"/>
    <w:bookmarkStart w:id="406" w:name="Item73_12"/>
    <w:bookmarkStart w:id="407" w:name="Item73_13"/>
    <w:bookmarkStart w:id="408" w:name="Item73_14"/>
    <w:bookmarkStart w:id="409" w:name="Item73_15"/>
    <w:bookmarkStart w:id="410" w:name="Item73_16"/>
    <w:bookmarkStart w:id="411" w:name="Item73_17"/>
    <w:bookmarkStart w:id="412" w:name="Item73_18"/>
    <w:bookmarkStart w:id="413" w:name="Item73_19"/>
    <w:bookmarkStart w:id="414" w:name="Item73_20"/>
    <w:bookmarkStart w:id="415" w:name="Item73_21"/>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14:paraId="56CDFBA3" w14:textId="77777777" w:rsidR="00F0236A" w:rsidRPr="00073574" w:rsidRDefault="00F0236A" w:rsidP="00F0236A">
      <w:pPr>
        <w:rPr>
          <w:sz w:val="24"/>
        </w:rPr>
      </w:pPr>
      <w:r w:rsidRPr="00073574">
        <w:rPr>
          <w:color w:val="2B579A"/>
          <w:shd w:val="clear" w:color="auto" w:fill="E6E6E6"/>
        </w:rPr>
        <w:fldChar w:fldCharType="begin"/>
      </w:r>
      <w:r w:rsidRPr="00073574">
        <w:rPr>
          <w:sz w:val="24"/>
        </w:rPr>
        <w:instrText xml:space="preserve"> HYPERLINK \l "Top" </w:instrText>
      </w:r>
      <w:r w:rsidRPr="00073574">
        <w:rPr>
          <w:color w:val="2B579A"/>
          <w:shd w:val="clear" w:color="auto" w:fill="E6E6E6"/>
        </w:rPr>
        <w:fldChar w:fldCharType="separate"/>
      </w:r>
      <w:r w:rsidRPr="00073574">
        <w:rPr>
          <w:rStyle w:val="Hyperlink"/>
          <w:rFonts w:eastAsia="Times New Roman"/>
          <w:sz w:val="24"/>
        </w:rPr>
        <w:t>» Top</w:t>
      </w:r>
      <w:r w:rsidRPr="00073574">
        <w:rPr>
          <w:rStyle w:val="Hyperlink"/>
          <w:rFonts w:eastAsia="Times New Roman"/>
          <w:sz w:val="24"/>
        </w:rPr>
        <w:fldChar w:fldCharType="end"/>
      </w:r>
    </w:p>
    <w:p w14:paraId="373B844B" w14:textId="77777777" w:rsidR="00F0236A" w:rsidRPr="00073574" w:rsidRDefault="00F0236A" w:rsidP="00F0236A">
      <w:pPr>
        <w:rPr>
          <w:sz w:val="24"/>
        </w:rPr>
      </w:pPr>
    </w:p>
    <w:p w14:paraId="014EF031" w14:textId="77777777" w:rsidR="00F0236A" w:rsidRPr="00073574" w:rsidRDefault="00F0236A" w:rsidP="00F0236A">
      <w:pPr>
        <w:pStyle w:val="Heading1"/>
        <w:keepNext/>
        <w:keepLines/>
        <w:rPr>
          <w:sz w:val="24"/>
          <w:szCs w:val="24"/>
          <w:lang w:val="en-GB"/>
        </w:rPr>
      </w:pPr>
      <w:bookmarkStart w:id="416" w:name="Resolution_74"/>
      <w:bookmarkStart w:id="417" w:name="_Toc304236458"/>
      <w:bookmarkStart w:id="418" w:name="_Toc471715390"/>
      <w:bookmarkStart w:id="419" w:name="_Toc93425276"/>
      <w:bookmarkEnd w:id="416"/>
      <w:r w:rsidRPr="00073574">
        <w:rPr>
          <w:sz w:val="24"/>
          <w:szCs w:val="24"/>
          <w:lang w:val="en-GB"/>
        </w:rPr>
        <w:t>Resolution 74 - Admission of Sector Members</w:t>
      </w:r>
      <w:r w:rsidRPr="00073574">
        <w:rPr>
          <w:i/>
          <w:iCs/>
          <w:sz w:val="24"/>
          <w:szCs w:val="24"/>
          <w:lang w:val="en-GB"/>
        </w:rPr>
        <w:t>*</w:t>
      </w:r>
      <w:r w:rsidRPr="00073574">
        <w:rPr>
          <w:sz w:val="24"/>
          <w:szCs w:val="24"/>
          <w:lang w:val="en-GB"/>
        </w:rPr>
        <w:t xml:space="preserve"> from developing countries in the work of the ITU Telecommunication Standardization Sector</w:t>
      </w:r>
      <w:bookmarkEnd w:id="417"/>
      <w:bookmarkEnd w:id="418"/>
      <w:bookmarkEnd w:id="419"/>
    </w:p>
    <w:p w14:paraId="4C612B17" w14:textId="77777777" w:rsidR="00F0236A" w:rsidRPr="00073574" w:rsidRDefault="00F0236A" w:rsidP="00F0236A">
      <w:pPr>
        <w:keepNext/>
        <w:keepLines/>
        <w:rPr>
          <w:b/>
          <w:bCs/>
          <w:sz w:val="24"/>
        </w:rPr>
      </w:pPr>
      <w:r w:rsidRPr="00073574">
        <w:rPr>
          <w:b/>
          <w:bCs/>
          <w:sz w:val="24"/>
        </w:rPr>
        <w:t>Resolution 74</w:t>
      </w:r>
    </w:p>
    <w:p w14:paraId="46BF0066" w14:textId="77777777" w:rsidR="00F0236A" w:rsidRPr="00073574" w:rsidRDefault="00F0236A" w:rsidP="00F0236A">
      <w:pPr>
        <w:pStyle w:val="Call"/>
        <w:rPr>
          <w:sz w:val="24"/>
          <w:szCs w:val="24"/>
          <w:lang w:val="en-GB"/>
        </w:rPr>
      </w:pPr>
      <w:r w:rsidRPr="00073574">
        <w:rPr>
          <w:sz w:val="24"/>
          <w:szCs w:val="24"/>
          <w:lang w:val="en-GB"/>
        </w:rPr>
        <w:t>resolves</w:t>
      </w:r>
    </w:p>
    <w:p w14:paraId="287F35B4" w14:textId="77777777" w:rsidR="00F0236A" w:rsidRPr="00073574" w:rsidRDefault="00F0236A" w:rsidP="00F0236A">
      <w:pPr>
        <w:rPr>
          <w:sz w:val="24"/>
        </w:rPr>
      </w:pPr>
      <w:r w:rsidRPr="00073574">
        <w:rPr>
          <w:sz w:val="24"/>
        </w:rPr>
        <w:t>to encourage the adoption of the necessary measures to enable new members from developing countries to join ITU</w:t>
      </w:r>
      <w:r w:rsidRPr="00073574">
        <w:rPr>
          <w:sz w:val="24"/>
        </w:rPr>
        <w:noBreakHyphen/>
        <w:t>T and to be entitled to take part in the work of the ITU</w:t>
      </w:r>
      <w:r w:rsidRPr="00073574">
        <w:rPr>
          <w:sz w:val="24"/>
        </w:rPr>
        <w:noBreakHyphen/>
        <w:t>T study groups and other groups within ITU</w:t>
      </w:r>
      <w:r w:rsidRPr="00073574">
        <w:rPr>
          <w:sz w:val="24"/>
        </w:rPr>
        <w:noBreakHyphen/>
        <w:t>T, taking into consideration levels of financial contributions equal to those applied for developing countries for admission to the study groups in the ITU Telecommunication Development Sector (ITU</w:t>
      </w:r>
      <w:r w:rsidRPr="00073574">
        <w:rPr>
          <w:sz w:val="24"/>
        </w:rPr>
        <w:noBreakHyphen/>
        <w:t>D).</w:t>
      </w:r>
    </w:p>
    <w:p w14:paraId="333BFC67" w14:textId="77777777" w:rsidR="00F0236A" w:rsidRPr="00073574" w:rsidRDefault="00F0236A" w:rsidP="00F0236A">
      <w:pPr>
        <w:spacing w:after="240"/>
        <w:rPr>
          <w:i/>
          <w:iCs/>
          <w:sz w:val="24"/>
        </w:rPr>
      </w:pPr>
      <w:r w:rsidRPr="00073574">
        <w:rPr>
          <w:i/>
          <w:iCs/>
          <w:sz w:val="24"/>
        </w:rPr>
        <w:t xml:space="preserve">* </w:t>
      </w:r>
      <w:r w:rsidRPr="00073574">
        <w:rPr>
          <w:sz w:val="24"/>
        </w:rPr>
        <w:t>Such Sector Members from developing countries shall not be affiliated in any way to any Sector Member of a developed country, and shall be limited to those Sector Members of developing countries (including the least developed countries, small island developing states, landlocked developing countries and countries with economies in transition) having an income per capita according to the United Nations Development Programme not exceeding a threshold to be determined.</w:t>
      </w:r>
    </w:p>
    <w:tbl>
      <w:tblPr>
        <w:tblW w:w="969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12"/>
        <w:gridCol w:w="5061"/>
        <w:gridCol w:w="1216"/>
        <w:gridCol w:w="1167"/>
        <w:gridCol w:w="1336"/>
      </w:tblGrid>
      <w:tr w:rsidR="00F0236A" w:rsidRPr="00073574" w14:paraId="200140E4" w14:textId="77777777" w:rsidTr="1EE68BAF">
        <w:trPr>
          <w:jc w:val="center"/>
        </w:trPr>
        <w:tc>
          <w:tcPr>
            <w:tcW w:w="912" w:type="dxa"/>
            <w:tcBorders>
              <w:top w:val="single" w:sz="12" w:space="0" w:color="auto"/>
              <w:bottom w:val="single" w:sz="12" w:space="0" w:color="auto"/>
            </w:tcBorders>
            <w:shd w:val="clear" w:color="auto" w:fill="auto"/>
            <w:vAlign w:val="center"/>
          </w:tcPr>
          <w:p w14:paraId="1F4ED63C" w14:textId="77777777" w:rsidR="00F0236A" w:rsidRPr="00073574" w:rsidRDefault="00F0236A" w:rsidP="00850E0E">
            <w:pPr>
              <w:pStyle w:val="Tablehead"/>
              <w:keepLines/>
              <w:rPr>
                <w:sz w:val="24"/>
                <w:szCs w:val="24"/>
              </w:rPr>
            </w:pPr>
            <w:r w:rsidRPr="00073574">
              <w:rPr>
                <w:sz w:val="24"/>
                <w:szCs w:val="24"/>
              </w:rPr>
              <w:lastRenderedPageBreak/>
              <w:t>Action Item</w:t>
            </w:r>
          </w:p>
        </w:tc>
        <w:tc>
          <w:tcPr>
            <w:tcW w:w="5061" w:type="dxa"/>
            <w:tcBorders>
              <w:top w:val="single" w:sz="12" w:space="0" w:color="auto"/>
              <w:bottom w:val="single" w:sz="12" w:space="0" w:color="auto"/>
            </w:tcBorders>
            <w:shd w:val="clear" w:color="auto" w:fill="auto"/>
            <w:vAlign w:val="center"/>
            <w:hideMark/>
          </w:tcPr>
          <w:p w14:paraId="2E7D74F8" w14:textId="77777777" w:rsidR="00F0236A" w:rsidRPr="00073574" w:rsidRDefault="00F0236A" w:rsidP="00850E0E">
            <w:pPr>
              <w:pStyle w:val="Tablehead"/>
              <w:keepLines/>
              <w:rPr>
                <w:sz w:val="24"/>
                <w:szCs w:val="24"/>
              </w:rPr>
            </w:pPr>
            <w:r w:rsidRPr="00073574">
              <w:rPr>
                <w:sz w:val="24"/>
                <w:szCs w:val="24"/>
              </w:rPr>
              <w:t>Action</w:t>
            </w:r>
          </w:p>
        </w:tc>
        <w:tc>
          <w:tcPr>
            <w:tcW w:w="1216" w:type="dxa"/>
            <w:tcBorders>
              <w:top w:val="single" w:sz="12" w:space="0" w:color="auto"/>
              <w:bottom w:val="single" w:sz="12" w:space="0" w:color="auto"/>
            </w:tcBorders>
            <w:shd w:val="clear" w:color="auto" w:fill="auto"/>
            <w:vAlign w:val="center"/>
            <w:hideMark/>
          </w:tcPr>
          <w:p w14:paraId="1DFD1846" w14:textId="77777777" w:rsidR="00F0236A" w:rsidRPr="00073574" w:rsidRDefault="00F0236A" w:rsidP="00850E0E">
            <w:pPr>
              <w:pStyle w:val="Tablehead"/>
              <w:keepLines/>
              <w:rPr>
                <w:sz w:val="24"/>
                <w:szCs w:val="24"/>
              </w:rPr>
            </w:pPr>
            <w:r w:rsidRPr="00073574">
              <w:rPr>
                <w:sz w:val="24"/>
                <w:szCs w:val="24"/>
              </w:rPr>
              <w:t>Milestone</w:t>
            </w:r>
          </w:p>
        </w:tc>
        <w:tc>
          <w:tcPr>
            <w:tcW w:w="1167" w:type="dxa"/>
            <w:tcBorders>
              <w:top w:val="single" w:sz="12" w:space="0" w:color="auto"/>
              <w:bottom w:val="single" w:sz="12" w:space="0" w:color="auto"/>
            </w:tcBorders>
            <w:shd w:val="clear" w:color="auto" w:fill="auto"/>
          </w:tcPr>
          <w:p w14:paraId="11990887" w14:textId="77777777" w:rsidR="00F0236A" w:rsidRPr="00073574" w:rsidRDefault="00F0236A" w:rsidP="00850E0E">
            <w:pPr>
              <w:pStyle w:val="Tablehead"/>
              <w:keepLines/>
              <w:rPr>
                <w:sz w:val="24"/>
                <w:szCs w:val="24"/>
              </w:rPr>
            </w:pPr>
            <w:r w:rsidRPr="00073574">
              <w:rPr>
                <w:sz w:val="24"/>
                <w:szCs w:val="24"/>
              </w:rPr>
              <w:t>Periodic goals met</w:t>
            </w:r>
          </w:p>
        </w:tc>
        <w:tc>
          <w:tcPr>
            <w:tcW w:w="1336" w:type="dxa"/>
            <w:tcBorders>
              <w:top w:val="single" w:sz="12" w:space="0" w:color="auto"/>
              <w:bottom w:val="single" w:sz="12" w:space="0" w:color="auto"/>
            </w:tcBorders>
            <w:shd w:val="clear" w:color="auto" w:fill="auto"/>
            <w:vAlign w:val="center"/>
          </w:tcPr>
          <w:p w14:paraId="36E8E761" w14:textId="77777777" w:rsidR="00F0236A" w:rsidRPr="00073574" w:rsidRDefault="00F0236A" w:rsidP="00850E0E">
            <w:pPr>
              <w:pStyle w:val="Tablehead"/>
              <w:keepLines/>
              <w:rPr>
                <w:sz w:val="24"/>
                <w:szCs w:val="24"/>
              </w:rPr>
            </w:pPr>
            <w:r w:rsidRPr="00073574">
              <w:rPr>
                <w:sz w:val="24"/>
                <w:szCs w:val="24"/>
              </w:rPr>
              <w:t>Completed</w:t>
            </w:r>
          </w:p>
        </w:tc>
      </w:tr>
      <w:tr w:rsidR="00F0236A" w:rsidRPr="00073574" w14:paraId="40D028AE" w14:textId="77777777" w:rsidTr="1EE68BAF">
        <w:trPr>
          <w:cantSplit/>
          <w:tblHeader/>
          <w:jc w:val="center"/>
        </w:trPr>
        <w:tc>
          <w:tcPr>
            <w:tcW w:w="912" w:type="dxa"/>
            <w:vMerge w:val="restart"/>
            <w:tcBorders>
              <w:top w:val="single" w:sz="12" w:space="0" w:color="auto"/>
            </w:tcBorders>
            <w:shd w:val="clear" w:color="auto" w:fill="auto"/>
          </w:tcPr>
          <w:p w14:paraId="6B233DB2" w14:textId="77777777" w:rsidR="00F0236A" w:rsidRPr="00073574" w:rsidRDefault="00F0236A" w:rsidP="00850E0E">
            <w:pPr>
              <w:pStyle w:val="Tablehead"/>
              <w:keepLines/>
              <w:rPr>
                <w:sz w:val="24"/>
                <w:szCs w:val="24"/>
              </w:rPr>
            </w:pPr>
            <w:r w:rsidRPr="00073574">
              <w:rPr>
                <w:sz w:val="24"/>
                <w:szCs w:val="24"/>
              </w:rPr>
              <w:t>74-02</w:t>
            </w:r>
          </w:p>
        </w:tc>
        <w:tc>
          <w:tcPr>
            <w:tcW w:w="5061" w:type="dxa"/>
            <w:tcBorders>
              <w:top w:val="single" w:sz="12" w:space="0" w:color="auto"/>
              <w:bottom w:val="single" w:sz="2" w:space="0" w:color="auto"/>
            </w:tcBorders>
            <w:shd w:val="clear" w:color="auto" w:fill="auto"/>
            <w:vAlign w:val="center"/>
          </w:tcPr>
          <w:p w14:paraId="4202D1D2" w14:textId="77777777" w:rsidR="00F0236A" w:rsidRPr="00073574" w:rsidRDefault="00F0236A" w:rsidP="00850E0E">
            <w:pPr>
              <w:pStyle w:val="Tablehead"/>
              <w:keepLines/>
              <w:jc w:val="left"/>
              <w:rPr>
                <w:sz w:val="24"/>
                <w:szCs w:val="24"/>
              </w:rPr>
            </w:pPr>
            <w:r w:rsidRPr="00073574">
              <w:rPr>
                <w:sz w:val="24"/>
                <w:szCs w:val="24"/>
              </w:rPr>
              <w:t>TSB Director encourage the adoption of the necessary measures to enable new members from developing countries to join ITU</w:t>
            </w:r>
            <w:r w:rsidRPr="00073574">
              <w:rPr>
                <w:sz w:val="24"/>
                <w:szCs w:val="24"/>
              </w:rPr>
              <w:noBreakHyphen/>
              <w:t>T and to be entitled to take part in the work of the ITU</w:t>
            </w:r>
            <w:r w:rsidRPr="00073574">
              <w:rPr>
                <w:sz w:val="24"/>
                <w:szCs w:val="24"/>
              </w:rPr>
              <w:noBreakHyphen/>
              <w:t>T study groups and other groups within ITU</w:t>
            </w:r>
            <w:r w:rsidRPr="00073574">
              <w:rPr>
                <w:sz w:val="24"/>
                <w:szCs w:val="24"/>
              </w:rPr>
              <w:noBreakHyphen/>
              <w:t>T, taking into consideration levels of financial contributions equal to those applied for developing countries for admission to the study groups in the ITU Telecommunication Development Sector (ITU</w:t>
            </w:r>
            <w:r w:rsidRPr="00073574">
              <w:rPr>
                <w:sz w:val="24"/>
                <w:szCs w:val="24"/>
              </w:rPr>
              <w:noBreakHyphen/>
              <w:t>D).</w:t>
            </w:r>
          </w:p>
        </w:tc>
        <w:tc>
          <w:tcPr>
            <w:tcW w:w="1216" w:type="dxa"/>
            <w:tcBorders>
              <w:top w:val="single" w:sz="12" w:space="0" w:color="auto"/>
              <w:bottom w:val="single" w:sz="2" w:space="0" w:color="auto"/>
            </w:tcBorders>
            <w:shd w:val="clear" w:color="auto" w:fill="auto"/>
            <w:vAlign w:val="center"/>
          </w:tcPr>
          <w:p w14:paraId="01383E62" w14:textId="15E70E44" w:rsidR="00F0236A" w:rsidRPr="00073574" w:rsidRDefault="00133704" w:rsidP="00850E0E">
            <w:pPr>
              <w:pStyle w:val="Tablehead"/>
              <w:keepLines/>
              <w:rPr>
                <w:sz w:val="24"/>
                <w:szCs w:val="24"/>
              </w:rPr>
            </w:pPr>
            <w:r w:rsidRPr="00073574">
              <w:rPr>
                <w:sz w:val="24"/>
                <w:szCs w:val="24"/>
              </w:rPr>
              <w:t>O</w:t>
            </w:r>
            <w:r w:rsidR="00F0236A" w:rsidRPr="00073574">
              <w:rPr>
                <w:sz w:val="24"/>
                <w:szCs w:val="24"/>
              </w:rPr>
              <w:t>ngoing</w:t>
            </w:r>
          </w:p>
        </w:tc>
        <w:tc>
          <w:tcPr>
            <w:tcW w:w="1167" w:type="dxa"/>
            <w:tcBorders>
              <w:top w:val="single" w:sz="12" w:space="0" w:color="auto"/>
              <w:bottom w:val="single" w:sz="2" w:space="0" w:color="auto"/>
            </w:tcBorders>
            <w:shd w:val="clear" w:color="auto" w:fill="auto"/>
            <w:vAlign w:val="center"/>
          </w:tcPr>
          <w:p w14:paraId="65BDE7F4" w14:textId="77777777" w:rsidR="00F0236A" w:rsidRPr="00073574" w:rsidRDefault="00F0236A" w:rsidP="00850E0E">
            <w:pPr>
              <w:pStyle w:val="Tablehead"/>
              <w:keepLines/>
              <w:rPr>
                <w:sz w:val="24"/>
                <w:szCs w:val="24"/>
              </w:rPr>
            </w:pPr>
            <w:r w:rsidRPr="00073574">
              <w:rPr>
                <w:sz w:val="24"/>
                <w:szCs w:val="24"/>
              </w:rPr>
              <w:t>√</w:t>
            </w:r>
          </w:p>
        </w:tc>
        <w:tc>
          <w:tcPr>
            <w:tcW w:w="1336" w:type="dxa"/>
            <w:tcBorders>
              <w:top w:val="single" w:sz="12" w:space="0" w:color="auto"/>
              <w:bottom w:val="single" w:sz="2" w:space="0" w:color="auto"/>
            </w:tcBorders>
            <w:shd w:val="clear" w:color="auto" w:fill="auto"/>
            <w:vAlign w:val="center"/>
          </w:tcPr>
          <w:p w14:paraId="417857E1" w14:textId="77777777" w:rsidR="00F0236A" w:rsidRPr="00073574" w:rsidRDefault="00F0236A" w:rsidP="00850E0E">
            <w:pPr>
              <w:pStyle w:val="Tablehead"/>
              <w:keepLines/>
              <w:rPr>
                <w:sz w:val="24"/>
                <w:szCs w:val="24"/>
              </w:rPr>
            </w:pPr>
          </w:p>
        </w:tc>
      </w:tr>
      <w:tr w:rsidR="00F0236A" w:rsidRPr="00073574" w14:paraId="3F8D6FF2" w14:textId="77777777" w:rsidTr="1EE68BAF">
        <w:trPr>
          <w:cantSplit/>
          <w:tblHeader/>
          <w:jc w:val="center"/>
        </w:trPr>
        <w:tc>
          <w:tcPr>
            <w:tcW w:w="912" w:type="dxa"/>
            <w:vMerge/>
            <w:vAlign w:val="center"/>
          </w:tcPr>
          <w:p w14:paraId="0CB5822A" w14:textId="77777777" w:rsidR="00F0236A" w:rsidRPr="00073574" w:rsidRDefault="00F0236A" w:rsidP="00091191">
            <w:pPr>
              <w:pStyle w:val="Tablehead"/>
              <w:keepNext w:val="0"/>
              <w:rPr>
                <w:sz w:val="24"/>
                <w:szCs w:val="24"/>
              </w:rPr>
            </w:pPr>
          </w:p>
        </w:tc>
        <w:tc>
          <w:tcPr>
            <w:tcW w:w="8780" w:type="dxa"/>
            <w:gridSpan w:val="4"/>
            <w:tcBorders>
              <w:top w:val="single" w:sz="2" w:space="0" w:color="auto"/>
              <w:bottom w:val="single" w:sz="12" w:space="0" w:color="auto"/>
            </w:tcBorders>
            <w:shd w:val="clear" w:color="auto" w:fill="auto"/>
            <w:vAlign w:val="center"/>
          </w:tcPr>
          <w:p w14:paraId="2A4F4EC4" w14:textId="3EFF26E1" w:rsidR="00F0236A" w:rsidRPr="00073574" w:rsidRDefault="7AD866B8" w:rsidP="00850E0E">
            <w:pPr>
              <w:spacing w:before="40" w:after="40"/>
              <w:rPr>
                <w:lang w:eastAsia="en-US"/>
              </w:rPr>
            </w:pPr>
            <w:r w:rsidRPr="00073574">
              <w:rPr>
                <w:lang w:eastAsia="en-US"/>
              </w:rPr>
              <w:t xml:space="preserve">As of 31 August 2020, </w:t>
            </w:r>
            <w:r w:rsidR="575123A3" w:rsidRPr="00073574">
              <w:rPr>
                <w:lang w:eastAsia="en-US"/>
              </w:rPr>
              <w:t>nine ITU-T Sector Members have taken advantage of the reduced fee (</w:t>
            </w:r>
            <w:r w:rsidR="6824DC42" w:rsidRPr="00073574">
              <w:rPr>
                <w:lang w:eastAsia="en-US"/>
              </w:rPr>
              <w:t xml:space="preserve">Unit 1/16) established by PP-10 for new ITU-T Sector Members </w:t>
            </w:r>
            <w:r w:rsidR="79B6BADB" w:rsidRPr="00073574">
              <w:rPr>
                <w:lang w:eastAsia="en-US"/>
              </w:rPr>
              <w:t>from developing countries.</w:t>
            </w:r>
          </w:p>
        </w:tc>
      </w:tr>
    </w:tbl>
    <w:bookmarkStart w:id="420" w:name="Item74_01"/>
    <w:bookmarkStart w:id="421" w:name="Resolution_75"/>
    <w:bookmarkStart w:id="422" w:name="_Toc304236459"/>
    <w:bookmarkEnd w:id="420"/>
    <w:bookmarkEnd w:id="421"/>
    <w:p w14:paraId="300C8057" w14:textId="77777777" w:rsidR="00F0236A" w:rsidRPr="00073574" w:rsidRDefault="00F0236A" w:rsidP="00F0236A">
      <w:pPr>
        <w:rPr>
          <w:sz w:val="24"/>
        </w:rPr>
      </w:pPr>
      <w:r w:rsidRPr="00073574">
        <w:rPr>
          <w:color w:val="2B579A"/>
          <w:shd w:val="clear" w:color="auto" w:fill="E6E6E6"/>
        </w:rPr>
        <w:fldChar w:fldCharType="begin"/>
      </w:r>
      <w:r w:rsidRPr="00073574">
        <w:rPr>
          <w:sz w:val="24"/>
        </w:rPr>
        <w:instrText xml:space="preserve"> HYPERLINK \l "Top" </w:instrText>
      </w:r>
      <w:r w:rsidRPr="00073574">
        <w:rPr>
          <w:color w:val="2B579A"/>
          <w:shd w:val="clear" w:color="auto" w:fill="E6E6E6"/>
        </w:rPr>
        <w:fldChar w:fldCharType="separate"/>
      </w:r>
      <w:r w:rsidRPr="00073574">
        <w:rPr>
          <w:rStyle w:val="Hyperlink"/>
          <w:rFonts w:eastAsia="Times New Roman"/>
          <w:sz w:val="24"/>
        </w:rPr>
        <w:t>» Top</w:t>
      </w:r>
      <w:r w:rsidRPr="00073574">
        <w:rPr>
          <w:rStyle w:val="Hyperlink"/>
          <w:rFonts w:eastAsia="Times New Roman"/>
          <w:sz w:val="24"/>
        </w:rPr>
        <w:fldChar w:fldCharType="end"/>
      </w:r>
    </w:p>
    <w:p w14:paraId="6AA452E2" w14:textId="77777777" w:rsidR="00F0236A" w:rsidRPr="00073574" w:rsidRDefault="00F0236A" w:rsidP="00F0236A">
      <w:pPr>
        <w:rPr>
          <w:sz w:val="24"/>
        </w:rPr>
      </w:pPr>
    </w:p>
    <w:p w14:paraId="70C05A8E" w14:textId="77777777" w:rsidR="002E73DB" w:rsidRPr="00073574" w:rsidRDefault="002E73DB" w:rsidP="002E73DB">
      <w:pPr>
        <w:pStyle w:val="Heading1"/>
        <w:rPr>
          <w:sz w:val="24"/>
          <w:szCs w:val="24"/>
          <w:lang w:val="en-GB"/>
        </w:rPr>
      </w:pPr>
      <w:bookmarkStart w:id="423" w:name="Item75_02"/>
      <w:bookmarkStart w:id="424" w:name="Item75_01"/>
      <w:bookmarkStart w:id="425" w:name="Item75_03"/>
      <w:bookmarkStart w:id="426" w:name="Item75_04"/>
      <w:bookmarkStart w:id="427" w:name="Resolution_76"/>
      <w:bookmarkStart w:id="428" w:name="_Resolution_76_-"/>
      <w:bookmarkStart w:id="429" w:name="_Toc304236460"/>
      <w:bookmarkStart w:id="430" w:name="_Toc471715392"/>
      <w:bookmarkStart w:id="431" w:name="_Toc93425277"/>
      <w:bookmarkEnd w:id="422"/>
      <w:bookmarkEnd w:id="423"/>
      <w:bookmarkEnd w:id="424"/>
      <w:bookmarkEnd w:id="425"/>
      <w:bookmarkEnd w:id="426"/>
      <w:bookmarkEnd w:id="427"/>
      <w:bookmarkEnd w:id="428"/>
      <w:r w:rsidRPr="00073574">
        <w:rPr>
          <w:sz w:val="24"/>
          <w:szCs w:val="24"/>
          <w:lang w:val="en-GB"/>
        </w:rPr>
        <w:t>Resolution 75 - The ITU Telecommunication Standardization Sector's contribution in implementing the outcomes of the World Summit on the Information Society, taking into account the 2030 Agenda for Sustainable Development</w:t>
      </w:r>
      <w:bookmarkEnd w:id="431"/>
    </w:p>
    <w:p w14:paraId="1E5EEFC0" w14:textId="77777777" w:rsidR="002E73DB" w:rsidRPr="00073574" w:rsidRDefault="002E73DB" w:rsidP="002E73DB">
      <w:pPr>
        <w:rPr>
          <w:b/>
          <w:bCs/>
          <w:sz w:val="24"/>
        </w:rPr>
      </w:pPr>
      <w:r w:rsidRPr="00073574">
        <w:rPr>
          <w:b/>
          <w:bCs/>
          <w:sz w:val="24"/>
        </w:rPr>
        <w:t>Resolution 75</w:t>
      </w:r>
    </w:p>
    <w:p w14:paraId="3B205D76" w14:textId="77777777" w:rsidR="002E73DB" w:rsidRPr="00073574" w:rsidRDefault="002E73DB" w:rsidP="002E73DB">
      <w:pPr>
        <w:pStyle w:val="Call"/>
        <w:rPr>
          <w:sz w:val="24"/>
          <w:szCs w:val="24"/>
          <w:lang w:val="en-GB"/>
        </w:rPr>
      </w:pPr>
      <w:r w:rsidRPr="00073574">
        <w:rPr>
          <w:sz w:val="24"/>
          <w:szCs w:val="24"/>
          <w:lang w:val="en-GB"/>
        </w:rPr>
        <w:t>resolves</w:t>
      </w:r>
    </w:p>
    <w:p w14:paraId="63AE40FF" w14:textId="77777777" w:rsidR="002E73DB" w:rsidRPr="00073574" w:rsidRDefault="002E73DB" w:rsidP="002E73DB">
      <w:pPr>
        <w:rPr>
          <w:sz w:val="24"/>
        </w:rPr>
      </w:pPr>
      <w:r w:rsidRPr="00073574">
        <w:rPr>
          <w:sz w:val="24"/>
        </w:rPr>
        <w:t>1</w:t>
      </w:r>
      <w:r w:rsidRPr="00073574">
        <w:rPr>
          <w:sz w:val="24"/>
        </w:rPr>
        <w:tab/>
        <w:t>to continue ITU</w:t>
      </w:r>
      <w:r w:rsidRPr="00073574">
        <w:rPr>
          <w:sz w:val="24"/>
        </w:rPr>
        <w:noBreakHyphen/>
        <w:t>T's work on the implementation of WSIS outcomes and the WSIS Vision beyond 2015 and follow-up activities within its mandate;</w:t>
      </w:r>
    </w:p>
    <w:p w14:paraId="2F005B44" w14:textId="77777777" w:rsidR="002E73DB" w:rsidRPr="00073574" w:rsidRDefault="002E73DB" w:rsidP="002E73DB">
      <w:pPr>
        <w:rPr>
          <w:sz w:val="24"/>
        </w:rPr>
      </w:pPr>
      <w:r w:rsidRPr="00073574">
        <w:rPr>
          <w:sz w:val="24"/>
        </w:rPr>
        <w:t>2</w:t>
      </w:r>
      <w:r w:rsidRPr="00073574">
        <w:rPr>
          <w:sz w:val="24"/>
        </w:rPr>
        <w:tab/>
        <w:t>that ITU</w:t>
      </w:r>
      <w:r w:rsidRPr="00073574">
        <w:rPr>
          <w:sz w:val="24"/>
        </w:rPr>
        <w:noBreakHyphen/>
        <w:t>T should contribute to achievement of the objectives of the 2030 Agenda for Sustainable Development, through and in harmony with the WSIS framework;</w:t>
      </w:r>
    </w:p>
    <w:p w14:paraId="3BBA175F" w14:textId="77777777" w:rsidR="002E73DB" w:rsidRPr="00073574" w:rsidRDefault="002E73DB" w:rsidP="002E73DB">
      <w:pPr>
        <w:rPr>
          <w:sz w:val="24"/>
        </w:rPr>
      </w:pPr>
      <w:r w:rsidRPr="00073574">
        <w:rPr>
          <w:sz w:val="24"/>
        </w:rPr>
        <w:t>3</w:t>
      </w:r>
      <w:r w:rsidRPr="00073574">
        <w:rPr>
          <w:sz w:val="24"/>
        </w:rPr>
        <w:tab/>
        <w:t>that ITU</w:t>
      </w:r>
      <w:r w:rsidRPr="00073574">
        <w:rPr>
          <w:sz w:val="24"/>
        </w:rPr>
        <w:noBreakHyphen/>
        <w:t xml:space="preserve">T should carry out the activities under </w:t>
      </w:r>
      <w:r w:rsidRPr="00073574">
        <w:rPr>
          <w:i/>
          <w:iCs/>
          <w:sz w:val="24"/>
        </w:rPr>
        <w:t>resolves</w:t>
      </w:r>
      <w:r w:rsidRPr="00073574">
        <w:rPr>
          <w:sz w:val="24"/>
        </w:rPr>
        <w:t> 1 and 2 above in cooperation with other relevant stakeholders, as appropriate;</w:t>
      </w:r>
    </w:p>
    <w:p w14:paraId="6D1F5EEA" w14:textId="77777777" w:rsidR="002E73DB" w:rsidRPr="00073574" w:rsidRDefault="002E73DB" w:rsidP="002E73DB">
      <w:pPr>
        <w:rPr>
          <w:sz w:val="24"/>
        </w:rPr>
      </w:pPr>
      <w:r w:rsidRPr="00073574">
        <w:rPr>
          <w:sz w:val="24"/>
        </w:rPr>
        <w:t>3</w:t>
      </w:r>
      <w:r w:rsidRPr="00073574">
        <w:rPr>
          <w:sz w:val="24"/>
        </w:rPr>
        <w:tab/>
        <w:t>that the relevant ITU-T study groups should consider in their studies the output of WG</w:t>
      </w:r>
      <w:r w:rsidRPr="00073574">
        <w:rPr>
          <w:sz w:val="24"/>
        </w:rPr>
        <w:noBreakHyphen/>
        <w:t>WSIS and CWG</w:t>
      </w:r>
      <w:r w:rsidRPr="00073574">
        <w:rPr>
          <w:sz w:val="24"/>
        </w:rPr>
        <w:noBreakHyphen/>
        <w:t>Internet,</w:t>
      </w:r>
    </w:p>
    <w:p w14:paraId="67893B2E" w14:textId="77777777" w:rsidR="002E73DB" w:rsidRPr="00073574" w:rsidRDefault="002E73DB" w:rsidP="002E73DB">
      <w:pPr>
        <w:pStyle w:val="Call"/>
        <w:rPr>
          <w:sz w:val="24"/>
          <w:szCs w:val="24"/>
          <w:lang w:val="en-GB"/>
        </w:rPr>
      </w:pPr>
      <w:r w:rsidRPr="00073574">
        <w:rPr>
          <w:sz w:val="24"/>
          <w:szCs w:val="24"/>
          <w:lang w:val="en-GB"/>
        </w:rPr>
        <w:t>instructs the Director of the Telecommunication Standardization Bureau</w:t>
      </w:r>
    </w:p>
    <w:p w14:paraId="16B03D70" w14:textId="77777777" w:rsidR="002E73DB" w:rsidRPr="00073574" w:rsidRDefault="002E73DB" w:rsidP="002E73DB">
      <w:pPr>
        <w:rPr>
          <w:sz w:val="24"/>
        </w:rPr>
      </w:pPr>
      <w:r w:rsidRPr="00073574">
        <w:rPr>
          <w:sz w:val="24"/>
        </w:rPr>
        <w:t>1</w:t>
      </w:r>
      <w:r w:rsidRPr="00073574">
        <w:rPr>
          <w:sz w:val="24"/>
        </w:rPr>
        <w:tab/>
        <w:t>to provide WG-WSIS with a comprehensive summary of ITU-T activities on implementation of the WSIS outcomes,</w:t>
      </w:r>
      <w:r w:rsidRPr="00073574">
        <w:rPr>
          <w:rFonts w:asciiTheme="majorBidi" w:hAnsiTheme="majorBidi" w:cstheme="majorBidi"/>
          <w:sz w:val="24"/>
        </w:rPr>
        <w:t xml:space="preserve"> taking into account the </w:t>
      </w:r>
      <w:r w:rsidRPr="00073574">
        <w:rPr>
          <w:rFonts w:asciiTheme="majorBidi" w:hAnsiTheme="majorBidi" w:cstheme="majorBidi"/>
          <w:color w:val="000000"/>
          <w:sz w:val="24"/>
        </w:rPr>
        <w:t>2030 Agenda for Sustainable Development</w:t>
      </w:r>
      <w:r w:rsidRPr="00073574">
        <w:rPr>
          <w:sz w:val="24"/>
        </w:rPr>
        <w:t>;</w:t>
      </w:r>
    </w:p>
    <w:p w14:paraId="0231B07B" w14:textId="77777777" w:rsidR="002E73DB" w:rsidRPr="00073574" w:rsidRDefault="002E73DB" w:rsidP="002E73DB">
      <w:pPr>
        <w:rPr>
          <w:sz w:val="24"/>
        </w:rPr>
      </w:pPr>
      <w:r w:rsidRPr="00073574">
        <w:rPr>
          <w:sz w:val="24"/>
        </w:rPr>
        <w:t>2</w:t>
      </w:r>
      <w:r w:rsidRPr="00073574">
        <w:rPr>
          <w:sz w:val="24"/>
        </w:rPr>
        <w:tab/>
        <w:t xml:space="preserve">to ensure that concrete objectives and deadlines for activities </w:t>
      </w:r>
      <w:r w:rsidRPr="00073574">
        <w:rPr>
          <w:rFonts w:asciiTheme="majorBidi" w:hAnsiTheme="majorBidi" w:cstheme="majorBidi"/>
          <w:sz w:val="24"/>
        </w:rPr>
        <w:t xml:space="preserve">in connection with </w:t>
      </w:r>
      <w:r w:rsidRPr="00073574">
        <w:rPr>
          <w:sz w:val="24"/>
        </w:rPr>
        <w:t xml:space="preserve">WSIS </w:t>
      </w:r>
      <w:r w:rsidRPr="00073574">
        <w:rPr>
          <w:rFonts w:asciiTheme="majorBidi" w:hAnsiTheme="majorBidi" w:cstheme="majorBidi"/>
          <w:sz w:val="24"/>
        </w:rPr>
        <w:t xml:space="preserve">outcomes, taking into account the </w:t>
      </w:r>
      <w:r w:rsidRPr="00073574">
        <w:rPr>
          <w:rFonts w:asciiTheme="majorBidi" w:hAnsiTheme="majorBidi" w:cstheme="majorBidi"/>
          <w:color w:val="000000"/>
          <w:sz w:val="24"/>
        </w:rPr>
        <w:t>2030 Agenda for Sustainable Development,</w:t>
      </w:r>
      <w:r w:rsidRPr="00073574">
        <w:rPr>
          <w:sz w:val="24"/>
        </w:rPr>
        <w:t xml:space="preserve"> are developed and reflected in the operational plans of ITU-T in accordance with Resolution 140 (Rev. Busan, 2014) </w:t>
      </w:r>
      <w:r w:rsidRPr="00073574">
        <w:rPr>
          <w:rFonts w:asciiTheme="majorBidi" w:hAnsiTheme="majorBidi" w:cstheme="majorBidi"/>
          <w:sz w:val="24"/>
        </w:rPr>
        <w:t>and Council 2016 Resolution 1332</w:t>
      </w:r>
      <w:r w:rsidRPr="00073574">
        <w:rPr>
          <w:sz w:val="24"/>
        </w:rPr>
        <w:t>;</w:t>
      </w:r>
    </w:p>
    <w:p w14:paraId="474C1A67" w14:textId="77777777" w:rsidR="002E73DB" w:rsidRPr="00073574" w:rsidRDefault="002E73DB" w:rsidP="002E73DB">
      <w:pPr>
        <w:rPr>
          <w:sz w:val="24"/>
        </w:rPr>
      </w:pPr>
      <w:r w:rsidRPr="00073574">
        <w:rPr>
          <w:sz w:val="24"/>
        </w:rPr>
        <w:t>3</w:t>
      </w:r>
      <w:r w:rsidRPr="00073574">
        <w:rPr>
          <w:sz w:val="24"/>
        </w:rPr>
        <w:tab/>
        <w:t>in implementing the WSIS outcomes, taking into account the 2030 Agenda for Sustainable Development, within the mandate of ITU</w:t>
      </w:r>
      <w:r w:rsidRPr="00073574">
        <w:rPr>
          <w:sz w:val="24"/>
        </w:rPr>
        <w:noBreakHyphen/>
        <w:t>T, to pay special attention to the needs of the developing countries;</w:t>
      </w:r>
    </w:p>
    <w:p w14:paraId="4D9DB258" w14:textId="77777777" w:rsidR="002E73DB" w:rsidRPr="00073574" w:rsidRDefault="002E73DB" w:rsidP="002E73DB">
      <w:pPr>
        <w:rPr>
          <w:sz w:val="24"/>
        </w:rPr>
      </w:pPr>
      <w:r w:rsidRPr="00073574">
        <w:rPr>
          <w:sz w:val="24"/>
        </w:rPr>
        <w:t>4</w:t>
      </w:r>
      <w:r w:rsidRPr="00073574">
        <w:rPr>
          <w:sz w:val="24"/>
        </w:rPr>
        <w:tab/>
        <w:t>to provide information on emerging trends based on ITU-T activities;</w:t>
      </w:r>
    </w:p>
    <w:p w14:paraId="35CFAB0B" w14:textId="77777777" w:rsidR="002E73DB" w:rsidRPr="00073574" w:rsidRDefault="002E73DB" w:rsidP="002E73DB">
      <w:pPr>
        <w:rPr>
          <w:sz w:val="24"/>
        </w:rPr>
      </w:pPr>
      <w:r w:rsidRPr="00073574">
        <w:rPr>
          <w:sz w:val="24"/>
        </w:rPr>
        <w:lastRenderedPageBreak/>
        <w:t>5</w:t>
      </w:r>
      <w:r w:rsidRPr="00073574">
        <w:rPr>
          <w:sz w:val="24"/>
        </w:rPr>
        <w:tab/>
        <w:t>to take appropriate action to facilitate the activities for implementation of this resolution;</w:t>
      </w:r>
    </w:p>
    <w:p w14:paraId="7AE18D00" w14:textId="77777777" w:rsidR="002E73DB" w:rsidRPr="00073574" w:rsidRDefault="002E73DB" w:rsidP="002E73DB">
      <w:pPr>
        <w:rPr>
          <w:sz w:val="24"/>
        </w:rPr>
      </w:pPr>
      <w:r w:rsidRPr="00073574">
        <w:rPr>
          <w:sz w:val="24"/>
        </w:rPr>
        <w:t>6</w:t>
      </w:r>
      <w:r w:rsidRPr="00073574">
        <w:rPr>
          <w:sz w:val="24"/>
        </w:rPr>
        <w:tab/>
        <w:t>to submit contributions to the relevant annual reports of the ITU Secretary-General on these activities,</w:t>
      </w:r>
    </w:p>
    <w:p w14:paraId="39EB2832" w14:textId="77777777" w:rsidR="002E73DB" w:rsidRPr="00073574" w:rsidRDefault="002E73DB" w:rsidP="002E73DB">
      <w:pPr>
        <w:pStyle w:val="Call"/>
        <w:rPr>
          <w:sz w:val="24"/>
          <w:szCs w:val="24"/>
          <w:lang w:val="en-GB"/>
        </w:rPr>
      </w:pPr>
      <w:r w:rsidRPr="00073574">
        <w:rPr>
          <w:sz w:val="24"/>
          <w:szCs w:val="24"/>
          <w:lang w:val="en-GB"/>
        </w:rPr>
        <w:t>invites Member States, Sector Members, Associates and academia</w:t>
      </w:r>
    </w:p>
    <w:p w14:paraId="0D71CEEC" w14:textId="77777777" w:rsidR="002E73DB" w:rsidRPr="00073574" w:rsidRDefault="002E73DB" w:rsidP="002E73DB">
      <w:pPr>
        <w:rPr>
          <w:sz w:val="24"/>
        </w:rPr>
      </w:pPr>
      <w:r w:rsidRPr="00073574">
        <w:rPr>
          <w:sz w:val="24"/>
        </w:rPr>
        <w:t>1</w:t>
      </w:r>
      <w:r w:rsidRPr="00073574">
        <w:rPr>
          <w:sz w:val="24"/>
        </w:rPr>
        <w:tab/>
        <w:t>to submit contributions to relevant ITU</w:t>
      </w:r>
      <w:r w:rsidRPr="00073574">
        <w:rPr>
          <w:sz w:val="24"/>
        </w:rPr>
        <w:noBreakHyphen/>
        <w:t>T study groups and to the Telecommunication Standardization Advisory Group, where appropriate, and contribute to WG-WSIS on implementing WSIS outcomes, taking into account the 2030 Agenda for Sustainable Development within the ITU mandate;</w:t>
      </w:r>
    </w:p>
    <w:p w14:paraId="621BF585" w14:textId="77777777" w:rsidR="002E73DB" w:rsidRPr="00073574" w:rsidRDefault="002E73DB" w:rsidP="002E73DB">
      <w:pPr>
        <w:rPr>
          <w:sz w:val="24"/>
        </w:rPr>
      </w:pPr>
      <w:r w:rsidRPr="00073574">
        <w:rPr>
          <w:sz w:val="24"/>
        </w:rPr>
        <w:t>2</w:t>
      </w:r>
      <w:r w:rsidRPr="00073574">
        <w:rPr>
          <w:sz w:val="24"/>
        </w:rPr>
        <w:tab/>
        <w:t>to support and collaborate with the Director of TSB in implementing relevant WSIS outcomes, taking into account the 2030 Agenda for Sustainable Development, in ITU</w:t>
      </w:r>
      <w:r w:rsidRPr="00073574">
        <w:rPr>
          <w:sz w:val="24"/>
        </w:rPr>
        <w:noBreakHyphen/>
        <w:t>T,</w:t>
      </w:r>
    </w:p>
    <w:p w14:paraId="65A6DB96" w14:textId="77777777" w:rsidR="002E73DB" w:rsidRPr="00073574" w:rsidRDefault="002E73DB" w:rsidP="002E73DB">
      <w:pPr>
        <w:rPr>
          <w:sz w:val="24"/>
        </w:rPr>
      </w:pPr>
      <w:r w:rsidRPr="00073574">
        <w:rPr>
          <w:sz w:val="24"/>
        </w:rPr>
        <w:t>3</w:t>
      </w:r>
      <w:r w:rsidRPr="00073574">
        <w:rPr>
          <w:sz w:val="24"/>
        </w:rPr>
        <w:tab/>
        <w:t>to submit contributions to WG-WSIS,</w:t>
      </w:r>
    </w:p>
    <w:p w14:paraId="4D42F563" w14:textId="77777777" w:rsidR="002E73DB" w:rsidRPr="00073574" w:rsidRDefault="002E73DB" w:rsidP="002E73DB">
      <w:pPr>
        <w:pStyle w:val="Call"/>
        <w:rPr>
          <w:sz w:val="24"/>
          <w:szCs w:val="24"/>
          <w:lang w:val="en-GB"/>
        </w:rPr>
      </w:pPr>
      <w:r w:rsidRPr="00073574">
        <w:rPr>
          <w:sz w:val="24"/>
          <w:szCs w:val="24"/>
          <w:lang w:val="en-GB"/>
        </w:rPr>
        <w:t>invites Member States</w:t>
      </w:r>
    </w:p>
    <w:p w14:paraId="1CCCC663" w14:textId="77777777" w:rsidR="002E73DB" w:rsidRPr="00073574" w:rsidRDefault="002E73DB" w:rsidP="002E73DB">
      <w:pPr>
        <w:rPr>
          <w:sz w:val="24"/>
        </w:rPr>
      </w:pPr>
      <w:r w:rsidRPr="00073574">
        <w:rPr>
          <w:sz w:val="24"/>
        </w:rPr>
        <w:t>to submit contributions to the CWG-Internet,</w:t>
      </w:r>
    </w:p>
    <w:p w14:paraId="76E37B42" w14:textId="77777777" w:rsidR="002E73DB" w:rsidRPr="00073574" w:rsidRDefault="002E73DB" w:rsidP="002E73DB">
      <w:pPr>
        <w:pStyle w:val="Call"/>
        <w:rPr>
          <w:sz w:val="24"/>
          <w:szCs w:val="24"/>
          <w:lang w:val="en-GB"/>
        </w:rPr>
      </w:pPr>
      <w:r w:rsidRPr="00073574">
        <w:rPr>
          <w:sz w:val="24"/>
          <w:szCs w:val="24"/>
          <w:lang w:val="en-GB"/>
        </w:rPr>
        <w:t>invites all stakeholders</w:t>
      </w:r>
    </w:p>
    <w:p w14:paraId="0FFC9521" w14:textId="77777777" w:rsidR="002E73DB" w:rsidRPr="00073574" w:rsidRDefault="002E73DB" w:rsidP="002E73DB">
      <w:pPr>
        <w:rPr>
          <w:sz w:val="24"/>
        </w:rPr>
      </w:pPr>
      <w:r w:rsidRPr="00073574">
        <w:rPr>
          <w:sz w:val="24"/>
        </w:rPr>
        <w:t>1</w:t>
      </w:r>
      <w:r w:rsidRPr="00073574">
        <w:rPr>
          <w:sz w:val="24"/>
        </w:rPr>
        <w:tab/>
        <w:t>to participate actively in ITU WSIS implementation activities, including in ITU-T, to support achieving the 2030 Agenda for Sustainable Development, as appropriate;</w:t>
      </w:r>
    </w:p>
    <w:p w14:paraId="67F1DA18" w14:textId="77777777" w:rsidR="002E73DB" w:rsidRPr="00073574" w:rsidRDefault="002E73DB" w:rsidP="002E73DB">
      <w:pPr>
        <w:spacing w:after="240"/>
        <w:rPr>
          <w:sz w:val="24"/>
        </w:rPr>
      </w:pPr>
      <w:r w:rsidRPr="00073574">
        <w:rPr>
          <w:sz w:val="24"/>
        </w:rPr>
        <w:t>2</w:t>
      </w:r>
      <w:r w:rsidRPr="00073574">
        <w:rPr>
          <w:sz w:val="24"/>
        </w:rPr>
        <w:tab/>
        <w:t>to participate actively in the online and physical open consultations of CWG-Internet.</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19"/>
        <w:gridCol w:w="4253"/>
        <w:gridCol w:w="1596"/>
        <w:gridCol w:w="1537"/>
        <w:gridCol w:w="1261"/>
      </w:tblGrid>
      <w:tr w:rsidR="00D80E40" w:rsidRPr="00073574" w14:paraId="2ABFC256" w14:textId="77777777" w:rsidTr="00E65463">
        <w:trPr>
          <w:tblHeader/>
          <w:jc w:val="center"/>
        </w:trPr>
        <w:tc>
          <w:tcPr>
            <w:tcW w:w="1119" w:type="dxa"/>
            <w:tcBorders>
              <w:top w:val="single" w:sz="12" w:space="0" w:color="auto"/>
              <w:bottom w:val="single" w:sz="12" w:space="0" w:color="auto"/>
            </w:tcBorders>
            <w:shd w:val="clear" w:color="auto" w:fill="auto"/>
            <w:vAlign w:val="center"/>
          </w:tcPr>
          <w:p w14:paraId="4448B305" w14:textId="77777777" w:rsidR="002E73DB" w:rsidRPr="00073574" w:rsidRDefault="002E73DB" w:rsidP="00AB6DA6">
            <w:pPr>
              <w:pStyle w:val="Tablehead"/>
              <w:keepNext w:val="0"/>
              <w:rPr>
                <w:sz w:val="24"/>
                <w:szCs w:val="24"/>
              </w:rPr>
            </w:pPr>
            <w:r w:rsidRPr="00073574">
              <w:rPr>
                <w:sz w:val="24"/>
                <w:szCs w:val="24"/>
              </w:rPr>
              <w:t>Action Item</w:t>
            </w:r>
          </w:p>
        </w:tc>
        <w:tc>
          <w:tcPr>
            <w:tcW w:w="4253" w:type="dxa"/>
            <w:tcBorders>
              <w:top w:val="single" w:sz="12" w:space="0" w:color="auto"/>
              <w:bottom w:val="single" w:sz="12" w:space="0" w:color="auto"/>
            </w:tcBorders>
            <w:shd w:val="clear" w:color="auto" w:fill="auto"/>
            <w:vAlign w:val="center"/>
            <w:hideMark/>
          </w:tcPr>
          <w:p w14:paraId="34089AAA" w14:textId="77777777" w:rsidR="002E73DB" w:rsidRPr="00073574" w:rsidRDefault="002E73DB" w:rsidP="00AB6DA6">
            <w:pPr>
              <w:pStyle w:val="Tablehead"/>
              <w:rPr>
                <w:sz w:val="24"/>
                <w:szCs w:val="24"/>
              </w:rPr>
            </w:pPr>
            <w:r w:rsidRPr="00073574">
              <w:rPr>
                <w:sz w:val="24"/>
                <w:szCs w:val="24"/>
              </w:rPr>
              <w:t>Action</w:t>
            </w:r>
          </w:p>
        </w:tc>
        <w:tc>
          <w:tcPr>
            <w:tcW w:w="1596" w:type="dxa"/>
            <w:tcBorders>
              <w:top w:val="single" w:sz="12" w:space="0" w:color="auto"/>
              <w:bottom w:val="single" w:sz="12" w:space="0" w:color="auto"/>
            </w:tcBorders>
            <w:shd w:val="clear" w:color="auto" w:fill="auto"/>
            <w:vAlign w:val="center"/>
            <w:hideMark/>
          </w:tcPr>
          <w:p w14:paraId="4922290D" w14:textId="77777777" w:rsidR="002E73DB" w:rsidRPr="00073574" w:rsidRDefault="002E73DB" w:rsidP="00AB6DA6">
            <w:pPr>
              <w:pStyle w:val="Tablehead"/>
              <w:rPr>
                <w:sz w:val="24"/>
                <w:szCs w:val="24"/>
              </w:rPr>
            </w:pPr>
            <w:r w:rsidRPr="00073574">
              <w:rPr>
                <w:sz w:val="24"/>
                <w:szCs w:val="24"/>
              </w:rPr>
              <w:t>Milestone</w:t>
            </w:r>
          </w:p>
        </w:tc>
        <w:tc>
          <w:tcPr>
            <w:tcW w:w="1537" w:type="dxa"/>
            <w:tcBorders>
              <w:top w:val="single" w:sz="12" w:space="0" w:color="auto"/>
              <w:bottom w:val="single" w:sz="12" w:space="0" w:color="auto"/>
            </w:tcBorders>
            <w:shd w:val="clear" w:color="auto" w:fill="auto"/>
          </w:tcPr>
          <w:p w14:paraId="3E8DA187" w14:textId="77777777" w:rsidR="002E73DB" w:rsidRPr="00073574" w:rsidRDefault="002E73DB" w:rsidP="00AB6DA6">
            <w:pPr>
              <w:pStyle w:val="Tablehead"/>
              <w:rPr>
                <w:sz w:val="24"/>
                <w:szCs w:val="24"/>
              </w:rPr>
            </w:pPr>
            <w:r w:rsidRPr="00073574">
              <w:rPr>
                <w:sz w:val="24"/>
                <w:szCs w:val="24"/>
              </w:rPr>
              <w:t>Periodic goals met</w:t>
            </w:r>
          </w:p>
        </w:tc>
        <w:tc>
          <w:tcPr>
            <w:tcW w:w="1261" w:type="dxa"/>
            <w:tcBorders>
              <w:top w:val="single" w:sz="12" w:space="0" w:color="auto"/>
              <w:bottom w:val="single" w:sz="12" w:space="0" w:color="auto"/>
            </w:tcBorders>
            <w:shd w:val="clear" w:color="auto" w:fill="auto"/>
            <w:vAlign w:val="center"/>
          </w:tcPr>
          <w:p w14:paraId="5A7A8EA9" w14:textId="77777777" w:rsidR="002E73DB" w:rsidRPr="00073574" w:rsidRDefault="002E73DB" w:rsidP="00AB6DA6">
            <w:pPr>
              <w:pStyle w:val="Tablehead"/>
              <w:rPr>
                <w:sz w:val="24"/>
                <w:szCs w:val="24"/>
              </w:rPr>
            </w:pPr>
            <w:r w:rsidRPr="00073574">
              <w:rPr>
                <w:sz w:val="24"/>
                <w:szCs w:val="24"/>
              </w:rPr>
              <w:t>Completed</w:t>
            </w:r>
          </w:p>
        </w:tc>
      </w:tr>
      <w:tr w:rsidR="00D80E40" w:rsidRPr="00073574" w14:paraId="2060D741" w14:textId="77777777" w:rsidTr="00E65463">
        <w:trPr>
          <w:jc w:val="center"/>
        </w:trPr>
        <w:tc>
          <w:tcPr>
            <w:tcW w:w="1119" w:type="dxa"/>
            <w:vMerge w:val="restart"/>
            <w:tcBorders>
              <w:top w:val="single" w:sz="12" w:space="0" w:color="auto"/>
            </w:tcBorders>
            <w:shd w:val="clear" w:color="auto" w:fill="auto"/>
          </w:tcPr>
          <w:p w14:paraId="198F2806" w14:textId="77777777" w:rsidR="002E73DB" w:rsidRPr="00073574" w:rsidRDefault="002E73DB" w:rsidP="00AB6DA6">
            <w:pPr>
              <w:pStyle w:val="Tabletext"/>
              <w:rPr>
                <w:b/>
                <w:bCs/>
                <w:sz w:val="24"/>
                <w:szCs w:val="24"/>
              </w:rPr>
            </w:pPr>
            <w:r w:rsidRPr="00073574">
              <w:rPr>
                <w:b/>
                <w:bCs/>
                <w:sz w:val="24"/>
                <w:szCs w:val="24"/>
              </w:rPr>
              <w:t>75-01</w:t>
            </w:r>
          </w:p>
        </w:tc>
        <w:tc>
          <w:tcPr>
            <w:tcW w:w="4253" w:type="dxa"/>
            <w:tcBorders>
              <w:top w:val="single" w:sz="12" w:space="0" w:color="auto"/>
              <w:bottom w:val="single" w:sz="2" w:space="0" w:color="auto"/>
            </w:tcBorders>
            <w:shd w:val="clear" w:color="auto" w:fill="auto"/>
            <w:hideMark/>
          </w:tcPr>
          <w:p w14:paraId="23FF2C4C" w14:textId="77777777" w:rsidR="002E73DB" w:rsidRPr="00073574" w:rsidRDefault="002E73DB" w:rsidP="00AB6DA6">
            <w:pPr>
              <w:pStyle w:val="Tabletext"/>
              <w:keepNext/>
              <w:keepLines/>
              <w:rPr>
                <w:b/>
                <w:bCs/>
                <w:sz w:val="24"/>
                <w:szCs w:val="24"/>
              </w:rPr>
            </w:pPr>
            <w:r w:rsidRPr="00073574">
              <w:rPr>
                <w:b/>
                <w:bCs/>
                <w:sz w:val="24"/>
                <w:szCs w:val="24"/>
              </w:rPr>
              <w:t>Study Groups carry out activities to implement WSIS outcome and consider in their studies the output of WG-WSIS and CWG-Internet (resolves 4)</w:t>
            </w:r>
          </w:p>
        </w:tc>
        <w:tc>
          <w:tcPr>
            <w:tcW w:w="1596" w:type="dxa"/>
            <w:tcBorders>
              <w:top w:val="single" w:sz="12" w:space="0" w:color="auto"/>
              <w:bottom w:val="single" w:sz="2" w:space="0" w:color="auto"/>
            </w:tcBorders>
            <w:shd w:val="clear" w:color="auto" w:fill="auto"/>
            <w:vAlign w:val="center"/>
            <w:hideMark/>
          </w:tcPr>
          <w:p w14:paraId="0F532958" w14:textId="77777777" w:rsidR="002E73DB" w:rsidRPr="00073574" w:rsidRDefault="002E73DB" w:rsidP="00AB6DA6">
            <w:pPr>
              <w:pStyle w:val="Tabletext"/>
              <w:jc w:val="center"/>
              <w:rPr>
                <w:b/>
                <w:bCs/>
                <w:sz w:val="24"/>
                <w:szCs w:val="24"/>
              </w:rPr>
            </w:pPr>
            <w:r w:rsidRPr="00073574">
              <w:rPr>
                <w:b/>
                <w:bCs/>
                <w:sz w:val="24"/>
                <w:szCs w:val="24"/>
              </w:rPr>
              <w:t>Ongoing</w:t>
            </w:r>
          </w:p>
        </w:tc>
        <w:tc>
          <w:tcPr>
            <w:tcW w:w="1537" w:type="dxa"/>
            <w:tcBorders>
              <w:top w:val="single" w:sz="12" w:space="0" w:color="auto"/>
              <w:bottom w:val="single" w:sz="2" w:space="0" w:color="auto"/>
            </w:tcBorders>
            <w:shd w:val="clear" w:color="auto" w:fill="auto"/>
            <w:vAlign w:val="center"/>
          </w:tcPr>
          <w:p w14:paraId="0465BE42" w14:textId="77777777" w:rsidR="002E73DB" w:rsidRPr="00073574" w:rsidRDefault="002E73DB" w:rsidP="00AB6DA6">
            <w:pPr>
              <w:pStyle w:val="Tabletext"/>
              <w:jc w:val="center"/>
              <w:rPr>
                <w:b/>
                <w:bCs/>
                <w:sz w:val="24"/>
                <w:szCs w:val="24"/>
              </w:rPr>
            </w:pPr>
            <w:r w:rsidRPr="00073574">
              <w:rPr>
                <w:b/>
                <w:bCs/>
                <w:sz w:val="24"/>
                <w:szCs w:val="24"/>
              </w:rPr>
              <w:t>√</w:t>
            </w:r>
          </w:p>
        </w:tc>
        <w:tc>
          <w:tcPr>
            <w:tcW w:w="1261" w:type="dxa"/>
            <w:tcBorders>
              <w:top w:val="single" w:sz="12" w:space="0" w:color="auto"/>
              <w:bottom w:val="single" w:sz="2" w:space="0" w:color="auto"/>
            </w:tcBorders>
            <w:shd w:val="clear" w:color="auto" w:fill="auto"/>
            <w:vAlign w:val="center"/>
          </w:tcPr>
          <w:p w14:paraId="4E40A0AC" w14:textId="77777777" w:rsidR="002E73DB" w:rsidRPr="00073574" w:rsidRDefault="002E73DB" w:rsidP="00AB6DA6">
            <w:pPr>
              <w:pStyle w:val="Tabletext"/>
              <w:jc w:val="center"/>
              <w:rPr>
                <w:b/>
                <w:bCs/>
                <w:sz w:val="24"/>
                <w:szCs w:val="24"/>
              </w:rPr>
            </w:pPr>
          </w:p>
        </w:tc>
      </w:tr>
      <w:tr w:rsidR="00D80E40" w:rsidRPr="00073574" w14:paraId="20FE79B7" w14:textId="77777777" w:rsidTr="00E65463">
        <w:trPr>
          <w:jc w:val="center"/>
        </w:trPr>
        <w:tc>
          <w:tcPr>
            <w:tcW w:w="1119" w:type="dxa"/>
            <w:vMerge/>
          </w:tcPr>
          <w:p w14:paraId="3E2E9A40" w14:textId="77777777" w:rsidR="002E73DB" w:rsidRPr="00073574" w:rsidRDefault="002E73DB" w:rsidP="00AB6DA6">
            <w:pPr>
              <w:pStyle w:val="Tabletext"/>
              <w:rPr>
                <w:sz w:val="24"/>
                <w:szCs w:val="24"/>
              </w:rPr>
            </w:pPr>
          </w:p>
        </w:tc>
        <w:tc>
          <w:tcPr>
            <w:tcW w:w="8647" w:type="dxa"/>
            <w:gridSpan w:val="4"/>
            <w:tcBorders>
              <w:top w:val="single" w:sz="2" w:space="0" w:color="auto"/>
              <w:bottom w:val="single" w:sz="12" w:space="0" w:color="auto"/>
            </w:tcBorders>
            <w:shd w:val="clear" w:color="auto" w:fill="auto"/>
          </w:tcPr>
          <w:p w14:paraId="1CE06796" w14:textId="77777777" w:rsidR="002E73DB" w:rsidRPr="00073574" w:rsidRDefault="002E73DB" w:rsidP="00AB6DA6">
            <w:pPr>
              <w:snapToGrid w:val="0"/>
              <w:spacing w:after="120"/>
              <w:ind w:right="-34"/>
              <w:rPr>
                <w:rFonts w:cstheme="minorHAnsi"/>
                <w:color w:val="000000"/>
                <w:szCs w:val="22"/>
              </w:rPr>
            </w:pPr>
            <w:r w:rsidRPr="00073574">
              <w:rPr>
                <w:szCs w:val="22"/>
              </w:rPr>
              <w:t xml:space="preserve">ITU-T's work contributes to the implementation of these ITU mandates. </w:t>
            </w:r>
            <w:r w:rsidRPr="00073574">
              <w:rPr>
                <w:rFonts w:cstheme="minorHAnsi"/>
                <w:color w:val="000000"/>
                <w:szCs w:val="22"/>
              </w:rPr>
              <w:t>ITU-T Study Groups continue their developments and activities in line with the relevant WSIS Action Lines and SDGs and are following the roadmap for ITU’s activities to help achieve the 2030 Agenda for Sustainable Development.</w:t>
            </w:r>
          </w:p>
          <w:p w14:paraId="67F2B344" w14:textId="77777777" w:rsidR="002E73DB" w:rsidRPr="00073574" w:rsidRDefault="002E73DB" w:rsidP="00AB6DA6">
            <w:pPr>
              <w:snapToGrid w:val="0"/>
              <w:spacing w:after="120"/>
              <w:ind w:right="-34"/>
              <w:rPr>
                <w:rFonts w:cstheme="minorHAnsi"/>
                <w:color w:val="000000"/>
                <w:szCs w:val="22"/>
              </w:rPr>
            </w:pPr>
            <w:r w:rsidRPr="00073574">
              <w:rPr>
                <w:rFonts w:cstheme="minorHAnsi"/>
                <w:color w:val="000000"/>
                <w:szCs w:val="22"/>
              </w:rPr>
              <w:t>For the entire set of ITU-T study group Questions that came into force in January 2021, ITU-T study groups provided assignments of the Questions to the WSIS Action Lines, and to the UN Sustainable Development Goals.</w:t>
            </w:r>
          </w:p>
          <w:p w14:paraId="64D4265F" w14:textId="77777777" w:rsidR="002E73DB" w:rsidRPr="00073574" w:rsidRDefault="002E73DB" w:rsidP="00AB6DA6">
            <w:pPr>
              <w:snapToGrid w:val="0"/>
              <w:spacing w:after="120"/>
              <w:ind w:right="-34"/>
              <w:rPr>
                <w:rFonts w:cstheme="minorHAnsi"/>
                <w:color w:val="000000"/>
                <w:szCs w:val="22"/>
              </w:rPr>
            </w:pPr>
            <w:r w:rsidRPr="00073574">
              <w:rPr>
                <w:rFonts w:cstheme="minorHAnsi"/>
                <w:color w:val="000000"/>
                <w:szCs w:val="22"/>
              </w:rPr>
              <w:t xml:space="preserve">WSIS Action Lines C2 </w:t>
            </w:r>
            <w:r w:rsidRPr="00073574">
              <w:rPr>
                <w:szCs w:val="22"/>
              </w:rPr>
              <w:t>(I&amp;C infrastructure)</w:t>
            </w:r>
            <w:r w:rsidRPr="00073574">
              <w:rPr>
                <w:rFonts w:cstheme="minorHAnsi"/>
                <w:color w:val="000000"/>
                <w:szCs w:val="22"/>
              </w:rPr>
              <w:t xml:space="preserve">, C5 </w:t>
            </w:r>
            <w:r w:rsidRPr="00073574">
              <w:rPr>
                <w:szCs w:val="22"/>
              </w:rPr>
              <w:t>(ICT confidence and security)</w:t>
            </w:r>
            <w:r w:rsidRPr="00073574">
              <w:rPr>
                <w:rFonts w:cstheme="minorHAnsi"/>
                <w:color w:val="000000"/>
                <w:szCs w:val="22"/>
              </w:rPr>
              <w:t xml:space="preserve">, and C6 </w:t>
            </w:r>
            <w:r w:rsidRPr="00073574">
              <w:rPr>
                <w:szCs w:val="22"/>
              </w:rPr>
              <w:t xml:space="preserve">(e-environment) </w:t>
            </w:r>
            <w:r w:rsidRPr="00073574">
              <w:rPr>
                <w:rFonts w:cstheme="minorHAnsi"/>
                <w:color w:val="000000"/>
                <w:szCs w:val="22"/>
              </w:rPr>
              <w:t xml:space="preserve">are the main WSIS Actions Lines for ITU-T study groups, addressing subjects such as ICTs, security and cybersecurity for building confidence and security in the use of ICTs, conformance and interoperability, accessibility, ICT infrastructure, and enabling environment, while some study group activities and results exist also for other WSIS Action Lines, among them C4 (e-learning and capacity building), C7 (e-health, environmental aspects, ICT applications) and C9 (media). Detailed results are contained in the annual reports of the “ITU Contribution to the Implementation of WSIS Outcomes, taking into account the 2030 Agenda for Sustainable Development”, </w:t>
            </w:r>
            <w:r w:rsidRPr="00073574">
              <w:rPr>
                <w:szCs w:val="22"/>
              </w:rPr>
              <w:t xml:space="preserve">at </w:t>
            </w:r>
            <w:hyperlink r:id="rId610" w:history="1">
              <w:r w:rsidRPr="00073574">
                <w:rPr>
                  <w:rStyle w:val="Hyperlink"/>
                  <w:szCs w:val="22"/>
                </w:rPr>
                <w:t>https://www.itu.int/en/itu-wsis/Pages/Contribution.aspx</w:t>
              </w:r>
            </w:hyperlink>
            <w:r w:rsidRPr="00073574">
              <w:rPr>
                <w:rStyle w:val="Hyperlink"/>
                <w:color w:val="auto"/>
                <w:szCs w:val="22"/>
              </w:rPr>
              <w:t>.</w:t>
            </w:r>
          </w:p>
          <w:p w14:paraId="39D0EF37" w14:textId="77777777" w:rsidR="002E73DB" w:rsidRPr="00073574" w:rsidRDefault="002E73DB" w:rsidP="00AB6DA6">
            <w:pPr>
              <w:spacing w:before="40"/>
              <w:rPr>
                <w:szCs w:val="22"/>
              </w:rPr>
            </w:pPr>
            <w:r w:rsidRPr="00073574">
              <w:rPr>
                <w:szCs w:val="22"/>
              </w:rPr>
              <w:t>See also 75-02 below.</w:t>
            </w:r>
          </w:p>
          <w:p w14:paraId="1F75EF9E" w14:textId="77777777" w:rsidR="002E73DB" w:rsidRPr="00073574" w:rsidRDefault="002E73DB" w:rsidP="00AB6DA6">
            <w:pPr>
              <w:pStyle w:val="ListParagraph"/>
              <w:numPr>
                <w:ilvl w:val="0"/>
                <w:numId w:val="38"/>
              </w:numPr>
              <w:ind w:left="357" w:hanging="357"/>
              <w:contextualSpacing w:val="0"/>
            </w:pPr>
            <w:r w:rsidRPr="00073574">
              <w:lastRenderedPageBreak/>
              <w:t>SG5 works on topics related to E-waste and Circular Economy. A Thematic Workshop on “Connecting the Circular model of E-waste Management to the SDGs” was organized on 11 April 2019.</w:t>
            </w:r>
          </w:p>
          <w:p w14:paraId="0A7643B0" w14:textId="77777777" w:rsidR="002E73DB" w:rsidRPr="00073574" w:rsidRDefault="002E73DB" w:rsidP="00AB6DA6">
            <w:pPr>
              <w:pStyle w:val="ListParagraph"/>
              <w:numPr>
                <w:ilvl w:val="0"/>
                <w:numId w:val="38"/>
              </w:numPr>
              <w:ind w:left="357" w:hanging="357"/>
              <w:contextualSpacing w:val="0"/>
            </w:pPr>
            <w:r w:rsidRPr="00073574">
              <w:t>SG11 approved Recommendation ITU-T Q.3960 "Framework of Internet related performance measurements" (July 2016). In October 2019, SG11 agreed a new Supplement 71 to ITU-T Q-series Recommendations “Testing methodologies of Internet related performance measurements including e2e bit rate within the fixed and mobile operator's networks”. Following WSIS Forum 2021 session 406 “Combating counterfeit telecommunication/ICT devices and software”, SG11 advanced relevant ongoing work items.</w:t>
            </w:r>
          </w:p>
          <w:p w14:paraId="760F6EC2" w14:textId="77777777" w:rsidR="002E73DB" w:rsidRPr="00073574" w:rsidRDefault="002E73DB" w:rsidP="00AB6DA6">
            <w:pPr>
              <w:pStyle w:val="ListParagraph"/>
              <w:numPr>
                <w:ilvl w:val="0"/>
                <w:numId w:val="38"/>
              </w:numPr>
              <w:ind w:left="357" w:hanging="357"/>
              <w:contextualSpacing w:val="0"/>
            </w:pPr>
            <w:r w:rsidRPr="00073574">
              <w:t>Following the WSIS session "Governance of the Services Quality in the Internet – Customers, Technologies and Institutions" (June 2016), ITU-T SG12, the lead study group on QoS approved Recommendation ITU-T Y.1545.1 “Framework for monitoring the quality of service of IP network services” and revised of Recommendation ITU-T Y.1540 “Internet protocol data communication service - IP packet transfer and availability performance parameters”. Also see action items related to WTSA-16 Resolution 95.</w:t>
            </w:r>
          </w:p>
          <w:p w14:paraId="4918EEAE" w14:textId="1D2873BE" w:rsidR="002E73DB" w:rsidRPr="00073574" w:rsidRDefault="002E73DB" w:rsidP="00AB6DA6">
            <w:pPr>
              <w:pStyle w:val="ListParagraph"/>
              <w:numPr>
                <w:ilvl w:val="0"/>
                <w:numId w:val="38"/>
              </w:numPr>
              <w:ind w:left="357" w:hanging="357"/>
              <w:contextualSpacing w:val="0"/>
              <w:rPr>
                <w:sz w:val="24"/>
              </w:rPr>
            </w:pPr>
            <w:r w:rsidRPr="00073574">
              <w:t xml:space="preserve">SG13: The first two new ITU-T Recommendations on trust were approved: </w:t>
            </w:r>
            <w:hyperlink r:id="rId611">
              <w:r w:rsidRPr="00073574">
                <w:t>Y.3051</w:t>
              </w:r>
            </w:hyperlink>
            <w:r w:rsidRPr="00073574">
              <w:t xml:space="preserve"> "The basic principles of trusted environment in ICT infrastructure", Y.3052 "Overview of trust provisioning for ICT infrastructures and services". See Mr Gyu Myoung Lee's </w:t>
            </w:r>
            <w:hyperlink r:id="rId612">
              <w:r w:rsidRPr="00073574">
                <w:rPr>
                  <w:rStyle w:val="Hyperlink"/>
                </w:rPr>
                <w:t>presentation</w:t>
              </w:r>
            </w:hyperlink>
            <w:r w:rsidRPr="00073574">
              <w:t xml:space="preserve"> at 12 March 2017 Forum on Data management forum, Dubai/UAE. Trust standardization was followed by approval of ITU-T Y.3053 “Framework of trustworthy networking with trust-centric network domains”, ITU-T Y.3054 “Framework of Trust-based Media Services”</w:t>
            </w:r>
            <w:r w:rsidR="00594C73" w:rsidRPr="00073574">
              <w:t>,</w:t>
            </w:r>
            <w:r w:rsidRPr="00073574">
              <w:t xml:space="preserve"> ITU-T Y.3055 “Framework for trust-based personal data management”</w:t>
            </w:r>
            <w:r w:rsidR="00594C73" w:rsidRPr="00073574">
              <w:t xml:space="preserve">, </w:t>
            </w:r>
            <w:r w:rsidR="004D41A7" w:rsidRPr="00073574">
              <w:t xml:space="preserve">ITU-T </w:t>
            </w:r>
            <w:r w:rsidR="00594C73" w:rsidRPr="00073574">
              <w:t>Y.3056 “</w:t>
            </w:r>
            <w:r w:rsidR="00F531EC" w:rsidRPr="00073574">
              <w:t>Framework for bootstrapping of devices and applications for open access to trusted services in distributed ecosystems</w:t>
            </w:r>
            <w:r w:rsidR="00594C73" w:rsidRPr="00073574">
              <w:t xml:space="preserve">” and </w:t>
            </w:r>
            <w:r w:rsidR="004D41A7" w:rsidRPr="00073574">
              <w:t xml:space="preserve">ITU-T </w:t>
            </w:r>
            <w:r w:rsidR="00594C73" w:rsidRPr="00073574">
              <w:t>Y.3057 “</w:t>
            </w:r>
            <w:r w:rsidR="00CB67F4" w:rsidRPr="00073574">
              <w:t>A trust index model for ICT infrastructures and services</w:t>
            </w:r>
            <w:r w:rsidR="00594C73" w:rsidRPr="00073574">
              <w:t>”</w:t>
            </w:r>
            <w:r w:rsidRPr="00073574">
              <w:t>.</w:t>
            </w:r>
            <w:r w:rsidRPr="00073574">
              <w:br/>
              <w:t>As a side event at WSIS Forum of March 2018, SG13 offered a presentation on machine learning for IMT-2020 given by the FG ML5G chairman, Slawomir Stanczak. The White Paper “</w:t>
            </w:r>
            <w:hyperlink r:id="rId613">
              <w:r w:rsidRPr="00073574">
                <w:rPr>
                  <w:rStyle w:val="Hyperlink"/>
                </w:rPr>
                <w:t>Network 2030 - A Blueprint of Technology, Applications and Market Drivers Towards the Year 2030 and Beyond</w:t>
              </w:r>
            </w:hyperlink>
            <w:r w:rsidRPr="00073574">
              <w:t>” by the ITU-T FG NET2030 gives a vision on the network around 2030 – 2035. Recommendation ITU-T Y.3800 “Overview on networks supporting quantum key distribution” sets a framework for studying a new security techni</w:t>
            </w:r>
            <w:r w:rsidR="00A5402E" w:rsidRPr="00073574">
              <w:t>ques</w:t>
            </w:r>
            <w:r w:rsidRPr="00073574">
              <w:t xml:space="preserve"> under the name quantum key distribution network. It was followed by Recommendations ITU-T </w:t>
            </w:r>
            <w:r w:rsidR="00134556" w:rsidRPr="00073574">
              <w:t xml:space="preserve">Y.3801, </w:t>
            </w:r>
            <w:r w:rsidRPr="00073574">
              <w:t>Y.3802, Y.3803</w:t>
            </w:r>
            <w:r w:rsidR="00134556" w:rsidRPr="00073574">
              <w:t xml:space="preserve">, </w:t>
            </w:r>
            <w:r w:rsidRPr="00073574">
              <w:t>Y.3804</w:t>
            </w:r>
            <w:r w:rsidR="00134556" w:rsidRPr="00073574">
              <w:t>, Y.3805 and Y.3806</w:t>
            </w:r>
            <w:r w:rsidRPr="00073574">
              <w:t>.</w:t>
            </w:r>
          </w:p>
          <w:p w14:paraId="5C8959C2" w14:textId="77777777" w:rsidR="002E73DB" w:rsidRPr="00073574" w:rsidRDefault="002E73DB" w:rsidP="00AB6DA6">
            <w:pPr>
              <w:pStyle w:val="ListParagraph"/>
              <w:numPr>
                <w:ilvl w:val="0"/>
                <w:numId w:val="38"/>
              </w:numPr>
              <w:spacing w:after="40"/>
              <w:ind w:left="357" w:hanging="357"/>
              <w:contextualSpacing w:val="0"/>
              <w:rPr>
                <w:rStyle w:val="Hyperlink"/>
                <w:color w:val="auto"/>
                <w:sz w:val="24"/>
                <w:u w:val="none"/>
              </w:rPr>
            </w:pPr>
            <w:r w:rsidRPr="00073574">
              <w:t xml:space="preserve">SG16 started a new work item on key performance indicators for telecommunication relay services following an outcome of the workshop session on </w:t>
            </w:r>
            <w:hyperlink r:id="rId614" w:anchor="intro">
              <w:r w:rsidRPr="00073574">
                <w:rPr>
                  <w:rStyle w:val="Hyperlink"/>
                </w:rPr>
                <w:t>Achieving an inclusive society by designing and implementing accessible ICTs</w:t>
              </w:r>
            </w:hyperlink>
            <w:r w:rsidRPr="00073574">
              <w:rPr>
                <w:rStyle w:val="Hyperlink"/>
              </w:rPr>
              <w:t xml:space="preserve"> </w:t>
            </w:r>
            <w:r w:rsidRPr="00073574">
              <w:t xml:space="preserve">at </w:t>
            </w:r>
            <w:hyperlink r:id="rId615" w:anchor="intro">
              <w:r w:rsidRPr="00073574">
                <w:rPr>
                  <w:rStyle w:val="Hyperlink"/>
                </w:rPr>
                <w:t>WSIS Forum 2018</w:t>
              </w:r>
            </w:hyperlink>
            <w:r w:rsidRPr="00073574">
              <w:rPr>
                <w:rStyle w:val="Hyperlink"/>
              </w:rPr>
              <w:t>.</w:t>
            </w:r>
          </w:p>
          <w:p w14:paraId="1C454B6F" w14:textId="77777777" w:rsidR="002E73DB" w:rsidRPr="00073574" w:rsidRDefault="002E73DB" w:rsidP="00AB6DA6">
            <w:pPr>
              <w:pStyle w:val="ListParagraph"/>
              <w:numPr>
                <w:ilvl w:val="0"/>
                <w:numId w:val="38"/>
              </w:numPr>
              <w:spacing w:after="40"/>
              <w:contextualSpacing w:val="0"/>
            </w:pPr>
            <w:r w:rsidRPr="00073574">
              <w:t>SG17 work on ICT security contributes to all UN SDGs, and the most to SDGs 8 (Decent Work and Economic Growth), 9 (Industry, Innovation and Infrastructure), and 11 (Sustainable Cities and Communities).</w:t>
            </w:r>
          </w:p>
          <w:p w14:paraId="296BA0A4" w14:textId="77777777" w:rsidR="002E73DB" w:rsidRPr="00073574" w:rsidRDefault="002E73DB" w:rsidP="00AB6DA6">
            <w:pPr>
              <w:pStyle w:val="ListParagraph"/>
              <w:numPr>
                <w:ilvl w:val="0"/>
                <w:numId w:val="38"/>
              </w:numPr>
              <w:spacing w:after="40"/>
              <w:ind w:left="357" w:hanging="357"/>
              <w:contextualSpacing w:val="0"/>
              <w:rPr>
                <w:sz w:val="24"/>
              </w:rPr>
            </w:pPr>
            <w:r w:rsidRPr="00073574">
              <w:t xml:space="preserve">As part of the work of the U4SSC initiative and SG20, the following activities were carried out: two thematic workshops were organized during WSIS-19 on “En-gendering the smart city” and United for Smart Sustainable Cities: Blockchain for Cities. One thematic </w:t>
            </w:r>
            <w:hyperlink r:id="rId616" w:history="1">
              <w:r w:rsidRPr="00073574">
                <w:rPr>
                  <w:rStyle w:val="Hyperlink"/>
                </w:rPr>
                <w:t>workshop on “Simple Ways to be Smart”</w:t>
              </w:r>
            </w:hyperlink>
            <w:r w:rsidRPr="00073574">
              <w:t xml:space="preserve"> was organized during the WSIS-21. The U4SSC published a series of deliverables including on </w:t>
            </w:r>
            <w:hyperlink r:id="rId617" w:history="1">
              <w:r w:rsidRPr="00073574">
                <w:rPr>
                  <w:rStyle w:val="Hyperlink"/>
                </w:rPr>
                <w:t>Blockchain for smart sustainable cities</w:t>
              </w:r>
            </w:hyperlink>
            <w:r w:rsidRPr="00073574">
              <w:t xml:space="preserve">, </w:t>
            </w:r>
            <w:hyperlink r:id="rId618" w:history="1">
              <w:r w:rsidRPr="00073574">
                <w:rPr>
                  <w:rStyle w:val="Hyperlink"/>
                </w:rPr>
                <w:t>Simple ways to be smart</w:t>
              </w:r>
            </w:hyperlink>
            <w:r w:rsidRPr="00073574">
              <w:rPr>
                <w:rStyle w:val="Hyperlink"/>
              </w:rPr>
              <w:t xml:space="preserve">, </w:t>
            </w:r>
            <w:hyperlink r:id="rId619" w:history="1">
              <w:r w:rsidRPr="00073574">
                <w:rPr>
                  <w:rStyle w:val="Hyperlink"/>
                </w:rPr>
                <w:t>Guidelines on tools and mechanisms to finance smart sustainable cities projects</w:t>
              </w:r>
            </w:hyperlink>
            <w:r w:rsidRPr="00073574">
              <w:rPr>
                <w:rStyle w:val="Hyperlink"/>
              </w:rPr>
              <w:t xml:space="preserve"> and Digital solutions for integrated city management and use cases</w:t>
            </w:r>
            <w:r w:rsidRPr="00073574">
              <w:t xml:space="preserve">. To celebrate the World Cities Day 2021, ITU organized a WSIS TalkX session on </w:t>
            </w:r>
            <w:hyperlink r:id="rId620" w:history="1">
              <w:r w:rsidRPr="00073574">
                <w:rPr>
                  <w:rStyle w:val="Hyperlink"/>
                </w:rPr>
                <w:t xml:space="preserve">World </w:t>
              </w:r>
              <w:r w:rsidRPr="00073574">
                <w:rPr>
                  <w:rStyle w:val="Hyperlink"/>
                </w:rPr>
                <w:lastRenderedPageBreak/>
                <w:t>Cities Day: Building Climate Resilient Cities with Digital Transformation</w:t>
              </w:r>
            </w:hyperlink>
            <w:r w:rsidRPr="00073574">
              <w:t xml:space="preserve"> that took place on 28 October 2021.</w:t>
            </w:r>
          </w:p>
        </w:tc>
      </w:tr>
      <w:tr w:rsidR="00D80E40" w:rsidRPr="00073574" w14:paraId="7021C8F6" w14:textId="77777777" w:rsidTr="00E65463">
        <w:trPr>
          <w:jc w:val="center"/>
        </w:trPr>
        <w:tc>
          <w:tcPr>
            <w:tcW w:w="1119" w:type="dxa"/>
            <w:vMerge w:val="restart"/>
            <w:tcBorders>
              <w:top w:val="single" w:sz="12" w:space="0" w:color="auto"/>
            </w:tcBorders>
            <w:shd w:val="clear" w:color="auto" w:fill="auto"/>
          </w:tcPr>
          <w:p w14:paraId="5D90158E" w14:textId="77777777" w:rsidR="002E73DB" w:rsidRPr="00073574" w:rsidRDefault="002E73DB" w:rsidP="00AB6DA6">
            <w:pPr>
              <w:pStyle w:val="Tabletext"/>
              <w:keepNext/>
              <w:keepLines/>
              <w:rPr>
                <w:b/>
                <w:bCs/>
                <w:sz w:val="24"/>
                <w:szCs w:val="24"/>
              </w:rPr>
            </w:pPr>
            <w:r w:rsidRPr="00073574">
              <w:rPr>
                <w:b/>
                <w:bCs/>
                <w:sz w:val="24"/>
                <w:szCs w:val="24"/>
              </w:rPr>
              <w:lastRenderedPageBreak/>
              <w:t>75-02</w:t>
            </w:r>
          </w:p>
        </w:tc>
        <w:tc>
          <w:tcPr>
            <w:tcW w:w="4253" w:type="dxa"/>
            <w:tcBorders>
              <w:top w:val="single" w:sz="12" w:space="0" w:color="auto"/>
            </w:tcBorders>
            <w:shd w:val="clear" w:color="auto" w:fill="auto"/>
            <w:hideMark/>
          </w:tcPr>
          <w:p w14:paraId="7B97CBA3" w14:textId="77777777" w:rsidR="002E73DB" w:rsidRPr="00073574" w:rsidRDefault="002E73DB" w:rsidP="00AB6DA6">
            <w:pPr>
              <w:pStyle w:val="Tabletext"/>
              <w:keepNext/>
              <w:keepLines/>
              <w:rPr>
                <w:b/>
                <w:bCs/>
                <w:sz w:val="24"/>
                <w:szCs w:val="24"/>
              </w:rPr>
            </w:pPr>
            <w:r w:rsidRPr="00073574">
              <w:rPr>
                <w:b/>
                <w:bCs/>
                <w:sz w:val="24"/>
                <w:szCs w:val="24"/>
              </w:rPr>
              <w:t>TSB Director to provide CWG-WSIS a comprehensive summary of ITU-T activities on implementation of the WSIS outcome (i. TSBDir 1)</w:t>
            </w:r>
          </w:p>
        </w:tc>
        <w:tc>
          <w:tcPr>
            <w:tcW w:w="1596" w:type="dxa"/>
            <w:tcBorders>
              <w:top w:val="single" w:sz="12" w:space="0" w:color="auto"/>
            </w:tcBorders>
            <w:shd w:val="clear" w:color="auto" w:fill="auto"/>
            <w:vAlign w:val="center"/>
            <w:hideMark/>
          </w:tcPr>
          <w:p w14:paraId="096C315E" w14:textId="77777777" w:rsidR="002E73DB" w:rsidRPr="00073574" w:rsidRDefault="002E73DB" w:rsidP="00AB6DA6">
            <w:pPr>
              <w:pStyle w:val="Tabletext"/>
              <w:jc w:val="center"/>
              <w:rPr>
                <w:b/>
                <w:bCs/>
                <w:sz w:val="24"/>
                <w:szCs w:val="24"/>
              </w:rPr>
            </w:pPr>
            <w:r w:rsidRPr="00073574">
              <w:rPr>
                <w:b/>
                <w:bCs/>
                <w:sz w:val="24"/>
                <w:szCs w:val="24"/>
              </w:rPr>
              <w:t>Council 2021</w:t>
            </w:r>
          </w:p>
        </w:tc>
        <w:tc>
          <w:tcPr>
            <w:tcW w:w="1537" w:type="dxa"/>
            <w:tcBorders>
              <w:top w:val="single" w:sz="12" w:space="0" w:color="auto"/>
            </w:tcBorders>
            <w:shd w:val="clear" w:color="auto" w:fill="auto"/>
            <w:vAlign w:val="center"/>
          </w:tcPr>
          <w:p w14:paraId="16AE8E16" w14:textId="77777777" w:rsidR="002E73DB" w:rsidRPr="00073574" w:rsidRDefault="002E73DB" w:rsidP="00AB6DA6">
            <w:pPr>
              <w:pStyle w:val="Tabletext"/>
              <w:jc w:val="center"/>
              <w:rPr>
                <w:b/>
                <w:bCs/>
                <w:sz w:val="24"/>
                <w:szCs w:val="24"/>
              </w:rPr>
            </w:pPr>
            <w:r w:rsidRPr="00073574">
              <w:rPr>
                <w:b/>
                <w:bCs/>
                <w:sz w:val="24"/>
                <w:szCs w:val="24"/>
              </w:rPr>
              <w:t>√</w:t>
            </w:r>
          </w:p>
        </w:tc>
        <w:tc>
          <w:tcPr>
            <w:tcW w:w="1261" w:type="dxa"/>
            <w:tcBorders>
              <w:top w:val="single" w:sz="12" w:space="0" w:color="auto"/>
            </w:tcBorders>
            <w:shd w:val="clear" w:color="auto" w:fill="auto"/>
            <w:vAlign w:val="center"/>
          </w:tcPr>
          <w:p w14:paraId="418D988A" w14:textId="77777777" w:rsidR="002E73DB" w:rsidRPr="00073574" w:rsidRDefault="002E73DB" w:rsidP="00AB6DA6">
            <w:pPr>
              <w:pStyle w:val="Tabletext"/>
              <w:jc w:val="center"/>
              <w:rPr>
                <w:b/>
                <w:bCs/>
                <w:sz w:val="24"/>
                <w:szCs w:val="24"/>
              </w:rPr>
            </w:pPr>
          </w:p>
        </w:tc>
      </w:tr>
      <w:tr w:rsidR="00D80E40" w:rsidRPr="00073574" w14:paraId="0EE25587" w14:textId="77777777" w:rsidTr="00E65463">
        <w:trPr>
          <w:jc w:val="center"/>
        </w:trPr>
        <w:tc>
          <w:tcPr>
            <w:tcW w:w="1119" w:type="dxa"/>
            <w:vMerge/>
          </w:tcPr>
          <w:p w14:paraId="5B27759C" w14:textId="77777777" w:rsidR="002E73DB" w:rsidRPr="00073574" w:rsidRDefault="002E73DB" w:rsidP="00AB6DA6">
            <w:pPr>
              <w:pStyle w:val="Tabletext"/>
              <w:rPr>
                <w:sz w:val="24"/>
                <w:szCs w:val="24"/>
              </w:rPr>
            </w:pPr>
          </w:p>
        </w:tc>
        <w:tc>
          <w:tcPr>
            <w:tcW w:w="8647" w:type="dxa"/>
            <w:gridSpan w:val="4"/>
            <w:tcBorders>
              <w:bottom w:val="single" w:sz="12" w:space="0" w:color="auto"/>
            </w:tcBorders>
            <w:shd w:val="clear" w:color="auto" w:fill="auto"/>
          </w:tcPr>
          <w:p w14:paraId="13D7BF69" w14:textId="77777777" w:rsidR="002E73DB" w:rsidRPr="00073574" w:rsidRDefault="002E73DB" w:rsidP="00AB6DA6">
            <w:pPr>
              <w:pStyle w:val="Headingb"/>
              <w:spacing w:before="40"/>
              <w:rPr>
                <w:b w:val="0"/>
                <w:bCs/>
                <w:szCs w:val="22"/>
              </w:rPr>
            </w:pPr>
            <w:r w:rsidRPr="00073574">
              <w:rPr>
                <w:b w:val="0"/>
                <w:bCs/>
                <w:szCs w:val="22"/>
              </w:rPr>
              <w:t>Revised WTSA-16 Resolution linked-in the Agenda 2030 for sustainable development goals into the WSIS outcomes.</w:t>
            </w:r>
          </w:p>
          <w:p w14:paraId="56D6DB89" w14:textId="77777777" w:rsidR="002E73DB" w:rsidRPr="00073574" w:rsidRDefault="002E73DB" w:rsidP="00AB6DA6">
            <w:pPr>
              <w:pStyle w:val="Headingb"/>
              <w:rPr>
                <w:b w:val="0"/>
                <w:bCs/>
                <w:szCs w:val="22"/>
              </w:rPr>
            </w:pPr>
            <w:r w:rsidRPr="00073574">
              <w:rPr>
                <w:b w:val="0"/>
                <w:bCs/>
                <w:szCs w:val="22"/>
              </w:rPr>
              <w:t xml:space="preserve">ITU made available the SDG mapping tool (see </w:t>
            </w:r>
            <w:hyperlink r:id="rId621" w:history="1">
              <w:r w:rsidRPr="00073574">
                <w:rPr>
                  <w:rStyle w:val="Hyperlink"/>
                  <w:b w:val="0"/>
                  <w:bCs/>
                  <w:szCs w:val="22"/>
                </w:rPr>
                <w:t>https://www.itu.int/net4/CRM/SDG</w:t>
              </w:r>
            </w:hyperlink>
            <w:r w:rsidRPr="00073574">
              <w:rPr>
                <w:b w:val="0"/>
                <w:bCs/>
                <w:szCs w:val="22"/>
              </w:rPr>
              <w:t>) which maps the PP-14 Resolution 71 ITU strategic objectives against the WSIS Action Lines (in particular ITU's lead Action Lines C2, C5, C6), and the 17 sustainable development goals with their targets and online reports on various outputs and key activities.</w:t>
            </w:r>
          </w:p>
          <w:p w14:paraId="0BB1000C" w14:textId="77777777" w:rsidR="002E73DB" w:rsidRPr="00073574" w:rsidRDefault="002E73DB" w:rsidP="00AB6DA6">
            <w:pPr>
              <w:spacing w:after="120"/>
              <w:rPr>
                <w:szCs w:val="22"/>
              </w:rPr>
            </w:pPr>
            <w:r w:rsidRPr="00073574">
              <w:rPr>
                <w:szCs w:val="22"/>
              </w:rPr>
              <w:t>For ITU-T, the SDG mapping tool reports on ITU-T activities and results on SDGs #1 (target 1.4), #3 (targets 3.6, 3.8), #4 (targets 4.4, 4.a, 4.b), #5 (target 5.b), #6 (target 6.4), #7 (target 7.a), #8 (target 8.2), #9 (targets 9.1, 9.4, 9.5, 9.c), #10 (target 10.6), #11 (targets 11.3, 11.5, 11.b), #12 (target 12.4), #13 (targets 13.1, 13.3, 13.a, 13.b), #14 (target 14.a), #16 (target 16.9), and #17 (targets 17.6, 17.8, 17.9, 17.11).</w:t>
            </w:r>
          </w:p>
          <w:p w14:paraId="205B87B4" w14:textId="5A988D7E" w:rsidR="002E73DB" w:rsidRPr="00073574" w:rsidRDefault="002E73DB" w:rsidP="00AB6DA6">
            <w:pPr>
              <w:spacing w:after="120"/>
              <w:rPr>
                <w:szCs w:val="22"/>
              </w:rPr>
            </w:pPr>
            <w:r w:rsidRPr="00073574">
              <w:rPr>
                <w:szCs w:val="22"/>
              </w:rPr>
              <w:t xml:space="preserve">Since January 2017 (and some texts beforehand), in total </w:t>
            </w:r>
            <w:r w:rsidR="007802FF" w:rsidRPr="00073574">
              <w:rPr>
                <w:szCs w:val="22"/>
              </w:rPr>
              <w:t>1</w:t>
            </w:r>
            <w:r w:rsidR="00F25D5B">
              <w:rPr>
                <w:szCs w:val="22"/>
              </w:rPr>
              <w:t>767</w:t>
            </w:r>
            <w:r w:rsidRPr="00073574">
              <w:rPr>
                <w:szCs w:val="22"/>
              </w:rPr>
              <w:t xml:space="preserve"> new and revised ITU-T Recommendations and other output texts have been mapped against the 11 WSIS Action Lines and 17 UN sustainable development goals, and the following statistics are obtained:</w:t>
            </w:r>
          </w:p>
          <w:tbl>
            <w:tblPr>
              <w:tblW w:w="4216" w:type="dxa"/>
              <w:tblLayout w:type="fixed"/>
              <w:tblLook w:val="04A0" w:firstRow="1" w:lastRow="0" w:firstColumn="1" w:lastColumn="0" w:noHBand="0" w:noVBand="1"/>
            </w:tblPr>
            <w:tblGrid>
              <w:gridCol w:w="426"/>
              <w:gridCol w:w="425"/>
              <w:gridCol w:w="634"/>
              <w:gridCol w:w="526"/>
              <w:gridCol w:w="533"/>
              <w:gridCol w:w="524"/>
              <w:gridCol w:w="634"/>
              <w:gridCol w:w="514"/>
            </w:tblGrid>
            <w:tr w:rsidR="000A69A1" w:rsidRPr="00073574" w14:paraId="1498586B" w14:textId="77777777" w:rsidTr="00224B97">
              <w:trPr>
                <w:trHeight w:val="154"/>
              </w:trPr>
              <w:tc>
                <w:tcPr>
                  <w:tcW w:w="4216" w:type="dxa"/>
                  <w:gridSpan w:val="8"/>
                  <w:tcBorders>
                    <w:top w:val="single" w:sz="4" w:space="0" w:color="auto"/>
                    <w:left w:val="single" w:sz="4" w:space="0" w:color="auto"/>
                    <w:bottom w:val="single" w:sz="4" w:space="0" w:color="auto"/>
                    <w:right w:val="single" w:sz="4" w:space="0" w:color="auto"/>
                  </w:tcBorders>
                  <w:shd w:val="clear" w:color="000000" w:fill="BDD6EE"/>
                  <w:vAlign w:val="center"/>
                </w:tcPr>
                <w:p w14:paraId="7271D8D5" w14:textId="77777777" w:rsidR="002E73DB" w:rsidRPr="00073574" w:rsidRDefault="002E73DB" w:rsidP="00AB6DA6">
                  <w:pPr>
                    <w:spacing w:before="0"/>
                    <w:jc w:val="center"/>
                    <w:rPr>
                      <w:rFonts w:eastAsia="Times New Roman"/>
                      <w:b/>
                      <w:bCs/>
                      <w:color w:val="000000"/>
                      <w:sz w:val="24"/>
                      <w:lang w:eastAsia="en-GB"/>
                    </w:rPr>
                  </w:pPr>
                  <w:r w:rsidRPr="00073574">
                    <w:rPr>
                      <w:rFonts w:eastAsia="Times New Roman"/>
                      <w:b/>
                      <w:bCs/>
                      <w:color w:val="000000"/>
                      <w:sz w:val="24"/>
                      <w:lang w:eastAsia="en-GB"/>
                    </w:rPr>
                    <w:t>SDG</w:t>
                  </w:r>
                </w:p>
              </w:tc>
            </w:tr>
            <w:tr w:rsidR="00224B97" w:rsidRPr="00073574" w14:paraId="7E217265" w14:textId="77777777" w:rsidTr="00224B97">
              <w:trPr>
                <w:trHeight w:val="311"/>
              </w:trPr>
              <w:tc>
                <w:tcPr>
                  <w:tcW w:w="426" w:type="dxa"/>
                  <w:tcBorders>
                    <w:top w:val="single" w:sz="4" w:space="0" w:color="auto"/>
                    <w:left w:val="single" w:sz="4" w:space="0" w:color="auto"/>
                    <w:bottom w:val="single" w:sz="4" w:space="0" w:color="auto"/>
                    <w:right w:val="single" w:sz="4" w:space="0" w:color="auto"/>
                  </w:tcBorders>
                  <w:shd w:val="clear" w:color="000000" w:fill="BDD6EE"/>
                  <w:vAlign w:val="center"/>
                  <w:hideMark/>
                </w:tcPr>
                <w:p w14:paraId="3384D039" w14:textId="77777777" w:rsidR="00224B97" w:rsidRPr="00073574" w:rsidRDefault="00224B97" w:rsidP="00AB6DA6">
                  <w:pPr>
                    <w:spacing w:before="0"/>
                    <w:jc w:val="center"/>
                    <w:rPr>
                      <w:rFonts w:eastAsia="Times New Roman"/>
                      <w:b/>
                      <w:bCs/>
                      <w:color w:val="000000"/>
                      <w:szCs w:val="22"/>
                      <w:lang w:eastAsia="en-GB"/>
                    </w:rPr>
                  </w:pPr>
                  <w:r w:rsidRPr="00073574">
                    <w:rPr>
                      <w:rFonts w:eastAsia="Times New Roman"/>
                      <w:b/>
                      <w:bCs/>
                      <w:color w:val="000000"/>
                      <w:szCs w:val="22"/>
                      <w:lang w:eastAsia="en-GB"/>
                    </w:rPr>
                    <w:t>1</w:t>
                  </w:r>
                </w:p>
              </w:tc>
              <w:tc>
                <w:tcPr>
                  <w:tcW w:w="425" w:type="dxa"/>
                  <w:tcBorders>
                    <w:top w:val="single" w:sz="4" w:space="0" w:color="auto"/>
                    <w:left w:val="nil"/>
                    <w:bottom w:val="single" w:sz="4" w:space="0" w:color="auto"/>
                    <w:right w:val="single" w:sz="4" w:space="0" w:color="auto"/>
                  </w:tcBorders>
                  <w:shd w:val="clear" w:color="000000" w:fill="BDD6EE"/>
                  <w:vAlign w:val="center"/>
                  <w:hideMark/>
                </w:tcPr>
                <w:p w14:paraId="0934DBE6" w14:textId="77777777" w:rsidR="00224B97" w:rsidRPr="00073574" w:rsidRDefault="00224B97" w:rsidP="00AB6DA6">
                  <w:pPr>
                    <w:spacing w:before="0"/>
                    <w:jc w:val="center"/>
                    <w:rPr>
                      <w:rFonts w:eastAsia="Times New Roman"/>
                      <w:b/>
                      <w:bCs/>
                      <w:color w:val="000000"/>
                      <w:szCs w:val="22"/>
                      <w:lang w:eastAsia="en-GB"/>
                    </w:rPr>
                  </w:pPr>
                  <w:r w:rsidRPr="00073574">
                    <w:rPr>
                      <w:rFonts w:eastAsia="Times New Roman"/>
                      <w:b/>
                      <w:bCs/>
                      <w:color w:val="000000"/>
                      <w:szCs w:val="22"/>
                      <w:lang w:eastAsia="en-GB"/>
                    </w:rPr>
                    <w:t>2</w:t>
                  </w:r>
                </w:p>
              </w:tc>
              <w:tc>
                <w:tcPr>
                  <w:tcW w:w="634" w:type="dxa"/>
                  <w:tcBorders>
                    <w:top w:val="single" w:sz="4" w:space="0" w:color="auto"/>
                    <w:left w:val="nil"/>
                    <w:bottom w:val="single" w:sz="4" w:space="0" w:color="auto"/>
                    <w:right w:val="single" w:sz="4" w:space="0" w:color="auto"/>
                  </w:tcBorders>
                  <w:shd w:val="clear" w:color="000000" w:fill="BDD6EE"/>
                  <w:vAlign w:val="center"/>
                </w:tcPr>
                <w:p w14:paraId="4BE4BB14" w14:textId="77777777" w:rsidR="00224B97" w:rsidRPr="00073574" w:rsidRDefault="00224B97" w:rsidP="00AB6DA6">
                  <w:pPr>
                    <w:spacing w:before="0"/>
                    <w:jc w:val="center"/>
                    <w:rPr>
                      <w:rFonts w:eastAsia="Times New Roman"/>
                      <w:b/>
                      <w:bCs/>
                      <w:color w:val="000000"/>
                      <w:szCs w:val="22"/>
                      <w:lang w:eastAsia="en-GB"/>
                    </w:rPr>
                  </w:pPr>
                  <w:r w:rsidRPr="00073574">
                    <w:rPr>
                      <w:rFonts w:eastAsia="Times New Roman"/>
                      <w:b/>
                      <w:bCs/>
                      <w:color w:val="000000"/>
                      <w:szCs w:val="22"/>
                      <w:lang w:eastAsia="en-GB"/>
                    </w:rPr>
                    <w:t>3</w:t>
                  </w:r>
                </w:p>
              </w:tc>
              <w:tc>
                <w:tcPr>
                  <w:tcW w:w="526" w:type="dxa"/>
                  <w:tcBorders>
                    <w:top w:val="single" w:sz="4" w:space="0" w:color="auto"/>
                    <w:left w:val="nil"/>
                    <w:bottom w:val="single" w:sz="4" w:space="0" w:color="auto"/>
                    <w:right w:val="single" w:sz="4" w:space="0" w:color="auto"/>
                  </w:tcBorders>
                  <w:shd w:val="clear" w:color="000000" w:fill="BDD6EE"/>
                  <w:vAlign w:val="center"/>
                  <w:hideMark/>
                </w:tcPr>
                <w:p w14:paraId="20E9D4C5" w14:textId="77777777" w:rsidR="00224B97" w:rsidRPr="00073574" w:rsidRDefault="00224B97" w:rsidP="00AB6DA6">
                  <w:pPr>
                    <w:spacing w:before="0"/>
                    <w:jc w:val="center"/>
                    <w:rPr>
                      <w:rFonts w:eastAsia="Times New Roman"/>
                      <w:b/>
                      <w:bCs/>
                      <w:color w:val="000000"/>
                      <w:szCs w:val="22"/>
                      <w:lang w:eastAsia="en-GB"/>
                    </w:rPr>
                  </w:pPr>
                  <w:r w:rsidRPr="00073574">
                    <w:rPr>
                      <w:rFonts w:eastAsia="Times New Roman"/>
                      <w:b/>
                      <w:bCs/>
                      <w:color w:val="000000"/>
                      <w:szCs w:val="22"/>
                      <w:lang w:eastAsia="en-GB"/>
                    </w:rPr>
                    <w:t>4</w:t>
                  </w:r>
                </w:p>
              </w:tc>
              <w:tc>
                <w:tcPr>
                  <w:tcW w:w="533" w:type="dxa"/>
                  <w:tcBorders>
                    <w:top w:val="single" w:sz="4" w:space="0" w:color="auto"/>
                    <w:left w:val="nil"/>
                    <w:bottom w:val="single" w:sz="4" w:space="0" w:color="auto"/>
                    <w:right w:val="single" w:sz="4" w:space="0" w:color="auto"/>
                  </w:tcBorders>
                  <w:shd w:val="clear" w:color="000000" w:fill="BDD6EE"/>
                  <w:vAlign w:val="center"/>
                  <w:hideMark/>
                </w:tcPr>
                <w:p w14:paraId="45944FA0" w14:textId="77777777" w:rsidR="00224B97" w:rsidRPr="00073574" w:rsidRDefault="00224B97" w:rsidP="00AB6DA6">
                  <w:pPr>
                    <w:spacing w:before="0"/>
                    <w:jc w:val="center"/>
                    <w:rPr>
                      <w:rFonts w:eastAsia="Times New Roman"/>
                      <w:b/>
                      <w:bCs/>
                      <w:color w:val="000000"/>
                      <w:szCs w:val="22"/>
                      <w:lang w:eastAsia="en-GB"/>
                    </w:rPr>
                  </w:pPr>
                  <w:r w:rsidRPr="00073574">
                    <w:rPr>
                      <w:rFonts w:eastAsia="Times New Roman"/>
                      <w:b/>
                      <w:bCs/>
                      <w:color w:val="000000"/>
                      <w:szCs w:val="22"/>
                      <w:lang w:eastAsia="en-GB"/>
                    </w:rPr>
                    <w:t>5</w:t>
                  </w:r>
                </w:p>
              </w:tc>
              <w:tc>
                <w:tcPr>
                  <w:tcW w:w="524" w:type="dxa"/>
                  <w:tcBorders>
                    <w:top w:val="single" w:sz="4" w:space="0" w:color="auto"/>
                    <w:left w:val="nil"/>
                    <w:bottom w:val="single" w:sz="4" w:space="0" w:color="auto"/>
                    <w:right w:val="single" w:sz="4" w:space="0" w:color="auto"/>
                  </w:tcBorders>
                  <w:shd w:val="clear" w:color="000000" w:fill="BDD6EE"/>
                  <w:vAlign w:val="center"/>
                  <w:hideMark/>
                </w:tcPr>
                <w:p w14:paraId="65BF8098" w14:textId="77777777" w:rsidR="00224B97" w:rsidRPr="00073574" w:rsidRDefault="00224B97" w:rsidP="00AB6DA6">
                  <w:pPr>
                    <w:spacing w:before="0"/>
                    <w:jc w:val="center"/>
                    <w:rPr>
                      <w:rFonts w:eastAsia="Times New Roman"/>
                      <w:b/>
                      <w:bCs/>
                      <w:color w:val="000000"/>
                      <w:szCs w:val="22"/>
                      <w:lang w:eastAsia="en-GB"/>
                    </w:rPr>
                  </w:pPr>
                  <w:r w:rsidRPr="00073574">
                    <w:rPr>
                      <w:rFonts w:eastAsia="Times New Roman"/>
                      <w:b/>
                      <w:bCs/>
                      <w:color w:val="000000"/>
                      <w:szCs w:val="22"/>
                      <w:lang w:eastAsia="en-GB"/>
                    </w:rPr>
                    <w:t>6</w:t>
                  </w:r>
                </w:p>
              </w:tc>
              <w:tc>
                <w:tcPr>
                  <w:tcW w:w="634" w:type="dxa"/>
                  <w:tcBorders>
                    <w:top w:val="single" w:sz="4" w:space="0" w:color="auto"/>
                    <w:left w:val="nil"/>
                    <w:bottom w:val="single" w:sz="4" w:space="0" w:color="auto"/>
                    <w:right w:val="single" w:sz="4" w:space="0" w:color="auto"/>
                  </w:tcBorders>
                  <w:shd w:val="clear" w:color="000000" w:fill="BDD6EE"/>
                  <w:vAlign w:val="center"/>
                  <w:hideMark/>
                </w:tcPr>
                <w:p w14:paraId="7EB52E64" w14:textId="77777777" w:rsidR="00224B97" w:rsidRPr="00073574" w:rsidRDefault="00224B97" w:rsidP="00AB6DA6">
                  <w:pPr>
                    <w:spacing w:before="0"/>
                    <w:jc w:val="center"/>
                    <w:rPr>
                      <w:rFonts w:eastAsia="Times New Roman"/>
                      <w:b/>
                      <w:bCs/>
                      <w:color w:val="000000"/>
                      <w:szCs w:val="22"/>
                      <w:lang w:eastAsia="en-GB"/>
                    </w:rPr>
                  </w:pPr>
                  <w:r w:rsidRPr="00073574">
                    <w:rPr>
                      <w:rFonts w:eastAsia="Times New Roman"/>
                      <w:b/>
                      <w:bCs/>
                      <w:color w:val="000000"/>
                      <w:szCs w:val="22"/>
                      <w:lang w:eastAsia="en-GB"/>
                    </w:rPr>
                    <w:t>7</w:t>
                  </w:r>
                </w:p>
              </w:tc>
              <w:tc>
                <w:tcPr>
                  <w:tcW w:w="514" w:type="dxa"/>
                  <w:tcBorders>
                    <w:top w:val="single" w:sz="4" w:space="0" w:color="auto"/>
                    <w:left w:val="nil"/>
                    <w:bottom w:val="single" w:sz="4" w:space="0" w:color="auto"/>
                    <w:right w:val="single" w:sz="4" w:space="0" w:color="auto"/>
                  </w:tcBorders>
                  <w:shd w:val="clear" w:color="000000" w:fill="BDD6EE"/>
                  <w:vAlign w:val="center"/>
                  <w:hideMark/>
                </w:tcPr>
                <w:p w14:paraId="3B77CDDD" w14:textId="601D3183" w:rsidR="00224B97" w:rsidRPr="00073574" w:rsidRDefault="00224B97" w:rsidP="00AB6DA6">
                  <w:pPr>
                    <w:spacing w:before="0"/>
                    <w:jc w:val="center"/>
                    <w:rPr>
                      <w:rFonts w:eastAsia="Times New Roman"/>
                      <w:b/>
                      <w:bCs/>
                      <w:color w:val="000000"/>
                      <w:szCs w:val="22"/>
                      <w:lang w:eastAsia="en-GB"/>
                    </w:rPr>
                  </w:pPr>
                  <w:r w:rsidRPr="00073574">
                    <w:rPr>
                      <w:rFonts w:eastAsia="Times New Roman"/>
                      <w:b/>
                      <w:bCs/>
                      <w:color w:val="000000"/>
                      <w:szCs w:val="22"/>
                      <w:lang w:eastAsia="en-GB"/>
                    </w:rPr>
                    <w:t>8</w:t>
                  </w:r>
                </w:p>
              </w:tc>
            </w:tr>
            <w:tr w:rsidR="003B5B4E" w:rsidRPr="00073574" w14:paraId="11D9C168" w14:textId="77777777" w:rsidTr="00B30A81">
              <w:trPr>
                <w:trHeight w:val="294"/>
              </w:trPr>
              <w:tc>
                <w:tcPr>
                  <w:tcW w:w="426" w:type="dxa"/>
                  <w:tcBorders>
                    <w:top w:val="single" w:sz="4" w:space="0" w:color="auto"/>
                    <w:left w:val="single" w:sz="4" w:space="0" w:color="auto"/>
                    <w:bottom w:val="single" w:sz="4" w:space="0" w:color="auto"/>
                    <w:right w:val="single" w:sz="4" w:space="0" w:color="auto"/>
                  </w:tcBorders>
                  <w:shd w:val="clear" w:color="000000" w:fill="auto"/>
                  <w:vAlign w:val="bottom"/>
                  <w:hideMark/>
                </w:tcPr>
                <w:p w14:paraId="642E8819" w14:textId="0BF357DB" w:rsidR="003B5B4E" w:rsidRPr="00073574" w:rsidRDefault="003B5B4E" w:rsidP="003B5B4E">
                  <w:pPr>
                    <w:spacing w:before="0"/>
                    <w:jc w:val="center"/>
                    <w:rPr>
                      <w:rFonts w:eastAsia="Times New Roman"/>
                      <w:color w:val="000000"/>
                      <w:szCs w:val="22"/>
                      <w:highlight w:val="yellow"/>
                      <w:lang w:eastAsia="en-GB"/>
                    </w:rPr>
                  </w:pPr>
                  <w:r>
                    <w:rPr>
                      <w:color w:val="000000"/>
                      <w:szCs w:val="22"/>
                    </w:rPr>
                    <w:t>0</w:t>
                  </w:r>
                </w:p>
              </w:tc>
              <w:tc>
                <w:tcPr>
                  <w:tcW w:w="425" w:type="dxa"/>
                  <w:tcBorders>
                    <w:top w:val="single" w:sz="4" w:space="0" w:color="auto"/>
                    <w:left w:val="nil"/>
                    <w:bottom w:val="single" w:sz="4" w:space="0" w:color="auto"/>
                    <w:right w:val="single" w:sz="4" w:space="0" w:color="auto"/>
                  </w:tcBorders>
                  <w:shd w:val="clear" w:color="000000" w:fill="auto"/>
                  <w:vAlign w:val="bottom"/>
                  <w:hideMark/>
                </w:tcPr>
                <w:p w14:paraId="68280737" w14:textId="2E40EF36" w:rsidR="003B5B4E" w:rsidRPr="00073574" w:rsidRDefault="003B5B4E" w:rsidP="003B5B4E">
                  <w:pPr>
                    <w:spacing w:before="0"/>
                    <w:jc w:val="center"/>
                    <w:rPr>
                      <w:rFonts w:eastAsia="Times New Roman"/>
                      <w:color w:val="000000"/>
                      <w:szCs w:val="22"/>
                      <w:highlight w:val="yellow"/>
                      <w:lang w:eastAsia="en-GB"/>
                    </w:rPr>
                  </w:pPr>
                  <w:r>
                    <w:rPr>
                      <w:color w:val="000000"/>
                      <w:szCs w:val="22"/>
                    </w:rPr>
                    <w:t>7</w:t>
                  </w:r>
                </w:p>
              </w:tc>
              <w:tc>
                <w:tcPr>
                  <w:tcW w:w="634" w:type="dxa"/>
                  <w:tcBorders>
                    <w:top w:val="single" w:sz="4" w:space="0" w:color="auto"/>
                    <w:left w:val="nil"/>
                    <w:bottom w:val="single" w:sz="4" w:space="0" w:color="auto"/>
                    <w:right w:val="single" w:sz="4" w:space="0" w:color="auto"/>
                  </w:tcBorders>
                  <w:shd w:val="clear" w:color="000000" w:fill="auto"/>
                  <w:vAlign w:val="bottom"/>
                  <w:hideMark/>
                </w:tcPr>
                <w:p w14:paraId="62A9A48B" w14:textId="54DE39DA" w:rsidR="003B5B4E" w:rsidRPr="00073574" w:rsidRDefault="003B5B4E" w:rsidP="003B5B4E">
                  <w:pPr>
                    <w:spacing w:before="0"/>
                    <w:jc w:val="center"/>
                    <w:rPr>
                      <w:rFonts w:eastAsia="Times New Roman"/>
                      <w:color w:val="000000"/>
                      <w:szCs w:val="22"/>
                      <w:highlight w:val="yellow"/>
                      <w:lang w:eastAsia="en-GB"/>
                    </w:rPr>
                  </w:pPr>
                  <w:r>
                    <w:rPr>
                      <w:color w:val="000000"/>
                      <w:szCs w:val="22"/>
                    </w:rPr>
                    <w:t>8</w:t>
                  </w:r>
                  <w:r w:rsidR="00406EDE">
                    <w:rPr>
                      <w:color w:val="000000"/>
                      <w:szCs w:val="22"/>
                    </w:rPr>
                    <w:t>8</w:t>
                  </w:r>
                </w:p>
              </w:tc>
              <w:tc>
                <w:tcPr>
                  <w:tcW w:w="526" w:type="dxa"/>
                  <w:tcBorders>
                    <w:top w:val="single" w:sz="4" w:space="0" w:color="auto"/>
                    <w:left w:val="nil"/>
                    <w:bottom w:val="single" w:sz="4" w:space="0" w:color="auto"/>
                    <w:right w:val="single" w:sz="4" w:space="0" w:color="auto"/>
                  </w:tcBorders>
                  <w:shd w:val="clear" w:color="000000" w:fill="auto"/>
                  <w:vAlign w:val="bottom"/>
                  <w:hideMark/>
                </w:tcPr>
                <w:p w14:paraId="211A40FD" w14:textId="6895996C" w:rsidR="003B5B4E" w:rsidRPr="00073574" w:rsidRDefault="003B5B4E" w:rsidP="003B5B4E">
                  <w:pPr>
                    <w:spacing w:before="0"/>
                    <w:jc w:val="center"/>
                    <w:rPr>
                      <w:rFonts w:eastAsia="Times New Roman"/>
                      <w:color w:val="000000"/>
                      <w:szCs w:val="22"/>
                      <w:highlight w:val="yellow"/>
                      <w:lang w:eastAsia="en-GB"/>
                    </w:rPr>
                  </w:pPr>
                  <w:r>
                    <w:rPr>
                      <w:color w:val="000000"/>
                      <w:szCs w:val="22"/>
                    </w:rPr>
                    <w:t>13</w:t>
                  </w:r>
                </w:p>
              </w:tc>
              <w:tc>
                <w:tcPr>
                  <w:tcW w:w="533" w:type="dxa"/>
                  <w:tcBorders>
                    <w:top w:val="single" w:sz="4" w:space="0" w:color="auto"/>
                    <w:left w:val="nil"/>
                    <w:bottom w:val="single" w:sz="4" w:space="0" w:color="auto"/>
                    <w:right w:val="single" w:sz="4" w:space="0" w:color="auto"/>
                  </w:tcBorders>
                  <w:shd w:val="clear" w:color="000000" w:fill="auto"/>
                  <w:vAlign w:val="bottom"/>
                  <w:hideMark/>
                </w:tcPr>
                <w:p w14:paraId="073BF13F" w14:textId="7DA64AAE" w:rsidR="003B5B4E" w:rsidRPr="00073574" w:rsidRDefault="003B5B4E" w:rsidP="003B5B4E">
                  <w:pPr>
                    <w:spacing w:before="0"/>
                    <w:jc w:val="center"/>
                    <w:rPr>
                      <w:rFonts w:eastAsia="Times New Roman"/>
                      <w:color w:val="000000"/>
                      <w:szCs w:val="22"/>
                      <w:highlight w:val="yellow"/>
                      <w:lang w:eastAsia="en-GB"/>
                    </w:rPr>
                  </w:pPr>
                  <w:r>
                    <w:rPr>
                      <w:color w:val="000000"/>
                      <w:szCs w:val="22"/>
                    </w:rPr>
                    <w:t>0</w:t>
                  </w:r>
                </w:p>
              </w:tc>
              <w:tc>
                <w:tcPr>
                  <w:tcW w:w="524" w:type="dxa"/>
                  <w:tcBorders>
                    <w:top w:val="single" w:sz="4" w:space="0" w:color="auto"/>
                    <w:left w:val="nil"/>
                    <w:bottom w:val="single" w:sz="4" w:space="0" w:color="auto"/>
                    <w:right w:val="single" w:sz="4" w:space="0" w:color="auto"/>
                  </w:tcBorders>
                  <w:shd w:val="clear" w:color="000000" w:fill="auto"/>
                  <w:vAlign w:val="bottom"/>
                  <w:hideMark/>
                </w:tcPr>
                <w:p w14:paraId="21A2AE5E" w14:textId="6486F588" w:rsidR="003B5B4E" w:rsidRPr="00073574" w:rsidRDefault="003B5B4E" w:rsidP="003B5B4E">
                  <w:pPr>
                    <w:spacing w:before="0"/>
                    <w:jc w:val="center"/>
                    <w:rPr>
                      <w:rFonts w:eastAsia="Times New Roman"/>
                      <w:color w:val="000000"/>
                      <w:szCs w:val="22"/>
                      <w:highlight w:val="yellow"/>
                      <w:lang w:eastAsia="en-GB"/>
                    </w:rPr>
                  </w:pPr>
                  <w:r>
                    <w:rPr>
                      <w:color w:val="000000"/>
                      <w:szCs w:val="22"/>
                    </w:rPr>
                    <w:t>13</w:t>
                  </w:r>
                </w:p>
              </w:tc>
              <w:tc>
                <w:tcPr>
                  <w:tcW w:w="634" w:type="dxa"/>
                  <w:tcBorders>
                    <w:top w:val="single" w:sz="4" w:space="0" w:color="auto"/>
                    <w:left w:val="nil"/>
                    <w:bottom w:val="single" w:sz="4" w:space="0" w:color="auto"/>
                    <w:right w:val="single" w:sz="4" w:space="0" w:color="auto"/>
                  </w:tcBorders>
                  <w:shd w:val="clear" w:color="000000" w:fill="auto"/>
                  <w:vAlign w:val="bottom"/>
                  <w:hideMark/>
                </w:tcPr>
                <w:p w14:paraId="790813A0" w14:textId="5BE5EF3E" w:rsidR="003B5B4E" w:rsidRPr="00073574" w:rsidRDefault="003B5B4E" w:rsidP="003B5B4E">
                  <w:pPr>
                    <w:spacing w:before="0"/>
                    <w:jc w:val="center"/>
                    <w:rPr>
                      <w:rFonts w:eastAsia="Times New Roman"/>
                      <w:color w:val="000000"/>
                      <w:szCs w:val="22"/>
                      <w:highlight w:val="yellow"/>
                      <w:lang w:eastAsia="en-GB"/>
                    </w:rPr>
                  </w:pPr>
                  <w:r>
                    <w:rPr>
                      <w:color w:val="000000"/>
                      <w:szCs w:val="22"/>
                    </w:rPr>
                    <w:t>7</w:t>
                  </w:r>
                  <w:r w:rsidR="00406EDE">
                    <w:rPr>
                      <w:color w:val="000000"/>
                      <w:szCs w:val="22"/>
                    </w:rPr>
                    <w:t>7</w:t>
                  </w:r>
                </w:p>
              </w:tc>
              <w:tc>
                <w:tcPr>
                  <w:tcW w:w="514" w:type="dxa"/>
                  <w:tcBorders>
                    <w:top w:val="single" w:sz="4" w:space="0" w:color="auto"/>
                    <w:left w:val="nil"/>
                    <w:bottom w:val="single" w:sz="4" w:space="0" w:color="auto"/>
                    <w:right w:val="single" w:sz="4" w:space="0" w:color="auto"/>
                  </w:tcBorders>
                  <w:shd w:val="clear" w:color="000000" w:fill="auto"/>
                  <w:vAlign w:val="bottom"/>
                  <w:hideMark/>
                </w:tcPr>
                <w:p w14:paraId="3A7ABE0D" w14:textId="765F721C" w:rsidR="003B5B4E" w:rsidRPr="00073574" w:rsidRDefault="003B5B4E" w:rsidP="003B5B4E">
                  <w:pPr>
                    <w:spacing w:before="0"/>
                    <w:jc w:val="center"/>
                    <w:rPr>
                      <w:rFonts w:eastAsia="Times New Roman"/>
                      <w:color w:val="000000"/>
                      <w:szCs w:val="22"/>
                      <w:highlight w:val="yellow"/>
                      <w:lang w:eastAsia="en-GB"/>
                    </w:rPr>
                  </w:pPr>
                  <w:r>
                    <w:rPr>
                      <w:color w:val="000000"/>
                      <w:szCs w:val="22"/>
                    </w:rPr>
                    <w:t>9</w:t>
                  </w:r>
                  <w:r w:rsidR="00406EDE">
                    <w:rPr>
                      <w:color w:val="000000"/>
                      <w:szCs w:val="22"/>
                    </w:rPr>
                    <w:t>8</w:t>
                  </w:r>
                </w:p>
              </w:tc>
            </w:tr>
          </w:tbl>
          <w:p w14:paraId="69DD6D99" w14:textId="77777777" w:rsidR="002E73DB" w:rsidRPr="00073574" w:rsidRDefault="002E73DB" w:rsidP="00AB6DA6">
            <w:pPr>
              <w:rPr>
                <w:szCs w:val="22"/>
              </w:rPr>
            </w:pPr>
          </w:p>
          <w:tbl>
            <w:tblPr>
              <w:tblW w:w="5775" w:type="dxa"/>
              <w:tblLayout w:type="fixed"/>
              <w:tblLook w:val="04A0" w:firstRow="1" w:lastRow="0" w:firstColumn="1" w:lastColumn="0" w:noHBand="0" w:noVBand="1"/>
            </w:tblPr>
            <w:tblGrid>
              <w:gridCol w:w="672"/>
              <w:gridCol w:w="709"/>
              <w:gridCol w:w="567"/>
              <w:gridCol w:w="567"/>
              <w:gridCol w:w="567"/>
              <w:gridCol w:w="709"/>
              <w:gridCol w:w="567"/>
              <w:gridCol w:w="709"/>
              <w:gridCol w:w="708"/>
            </w:tblGrid>
            <w:tr w:rsidR="00224B97" w:rsidRPr="00073574" w14:paraId="5670C6E1" w14:textId="77777777" w:rsidTr="00224B97">
              <w:trPr>
                <w:trHeight w:val="154"/>
              </w:trPr>
              <w:tc>
                <w:tcPr>
                  <w:tcW w:w="5775" w:type="dxa"/>
                  <w:gridSpan w:val="9"/>
                  <w:tcBorders>
                    <w:top w:val="single" w:sz="4" w:space="0" w:color="auto"/>
                    <w:left w:val="single" w:sz="4" w:space="0" w:color="auto"/>
                    <w:bottom w:val="single" w:sz="4" w:space="0" w:color="auto"/>
                    <w:right w:val="single" w:sz="4" w:space="0" w:color="auto"/>
                  </w:tcBorders>
                  <w:shd w:val="clear" w:color="000000" w:fill="BDD6EE"/>
                  <w:vAlign w:val="center"/>
                </w:tcPr>
                <w:p w14:paraId="448FA9C5" w14:textId="77777777" w:rsidR="00224B97" w:rsidRPr="00073574" w:rsidRDefault="00224B97" w:rsidP="00224B97">
                  <w:pPr>
                    <w:spacing w:before="0"/>
                    <w:jc w:val="center"/>
                    <w:rPr>
                      <w:rFonts w:eastAsia="Times New Roman"/>
                      <w:b/>
                      <w:bCs/>
                      <w:color w:val="000000"/>
                      <w:sz w:val="24"/>
                      <w:lang w:eastAsia="en-GB"/>
                    </w:rPr>
                  </w:pPr>
                  <w:r w:rsidRPr="00073574">
                    <w:rPr>
                      <w:rFonts w:eastAsia="Times New Roman"/>
                      <w:b/>
                      <w:bCs/>
                      <w:color w:val="000000"/>
                      <w:sz w:val="24"/>
                      <w:lang w:eastAsia="en-GB"/>
                    </w:rPr>
                    <w:t>SDG</w:t>
                  </w:r>
                </w:p>
              </w:tc>
            </w:tr>
            <w:tr w:rsidR="00224B97" w:rsidRPr="00073574" w14:paraId="5BFEE1D0" w14:textId="77777777" w:rsidTr="00224B97">
              <w:trPr>
                <w:trHeight w:val="311"/>
              </w:trPr>
              <w:tc>
                <w:tcPr>
                  <w:tcW w:w="672" w:type="dxa"/>
                  <w:tcBorders>
                    <w:top w:val="single" w:sz="4" w:space="0" w:color="auto"/>
                    <w:left w:val="single" w:sz="4" w:space="0" w:color="auto"/>
                    <w:bottom w:val="single" w:sz="4" w:space="0" w:color="auto"/>
                    <w:right w:val="single" w:sz="4" w:space="0" w:color="auto"/>
                  </w:tcBorders>
                  <w:shd w:val="clear" w:color="000000" w:fill="BDD6EE"/>
                  <w:vAlign w:val="center"/>
                </w:tcPr>
                <w:p w14:paraId="4F2C113D" w14:textId="77777777" w:rsidR="00224B97" w:rsidRPr="00073574" w:rsidRDefault="00224B97" w:rsidP="00224B97">
                  <w:pPr>
                    <w:spacing w:before="0"/>
                    <w:jc w:val="center"/>
                    <w:rPr>
                      <w:rFonts w:eastAsia="Times New Roman"/>
                      <w:b/>
                      <w:bCs/>
                      <w:color w:val="000000"/>
                      <w:szCs w:val="22"/>
                      <w:lang w:eastAsia="en-GB"/>
                    </w:rPr>
                  </w:pPr>
                  <w:r w:rsidRPr="00073574">
                    <w:rPr>
                      <w:rFonts w:eastAsia="Times New Roman"/>
                      <w:b/>
                      <w:bCs/>
                      <w:color w:val="000000"/>
                      <w:szCs w:val="22"/>
                      <w:lang w:eastAsia="en-GB"/>
                    </w:rPr>
                    <w:t>9</w:t>
                  </w:r>
                </w:p>
              </w:tc>
              <w:tc>
                <w:tcPr>
                  <w:tcW w:w="709" w:type="dxa"/>
                  <w:tcBorders>
                    <w:top w:val="single" w:sz="4" w:space="0" w:color="auto"/>
                    <w:left w:val="nil"/>
                    <w:bottom w:val="single" w:sz="4" w:space="0" w:color="auto"/>
                    <w:right w:val="single" w:sz="4" w:space="0" w:color="auto"/>
                  </w:tcBorders>
                  <w:shd w:val="clear" w:color="000000" w:fill="BDD6EE"/>
                  <w:vAlign w:val="center"/>
                  <w:hideMark/>
                </w:tcPr>
                <w:p w14:paraId="689E3244" w14:textId="77777777" w:rsidR="00224B97" w:rsidRPr="00073574" w:rsidRDefault="00224B97" w:rsidP="00224B97">
                  <w:pPr>
                    <w:spacing w:before="0"/>
                    <w:jc w:val="center"/>
                    <w:rPr>
                      <w:rFonts w:eastAsia="Times New Roman"/>
                      <w:b/>
                      <w:bCs/>
                      <w:color w:val="000000"/>
                      <w:szCs w:val="22"/>
                      <w:lang w:eastAsia="en-GB"/>
                    </w:rPr>
                  </w:pPr>
                  <w:r w:rsidRPr="00073574">
                    <w:rPr>
                      <w:rFonts w:eastAsia="Times New Roman"/>
                      <w:b/>
                      <w:bCs/>
                      <w:color w:val="000000"/>
                      <w:szCs w:val="22"/>
                      <w:lang w:eastAsia="en-GB"/>
                    </w:rPr>
                    <w:t>10</w:t>
                  </w:r>
                </w:p>
              </w:tc>
              <w:tc>
                <w:tcPr>
                  <w:tcW w:w="567" w:type="dxa"/>
                  <w:tcBorders>
                    <w:top w:val="single" w:sz="4" w:space="0" w:color="auto"/>
                    <w:left w:val="nil"/>
                    <w:bottom w:val="single" w:sz="4" w:space="0" w:color="auto"/>
                    <w:right w:val="single" w:sz="4" w:space="0" w:color="auto"/>
                  </w:tcBorders>
                  <w:shd w:val="clear" w:color="000000" w:fill="BDD6EE"/>
                  <w:vAlign w:val="center"/>
                  <w:hideMark/>
                </w:tcPr>
                <w:p w14:paraId="17FB4421" w14:textId="77777777" w:rsidR="00224B97" w:rsidRPr="00073574" w:rsidRDefault="00224B97" w:rsidP="00224B97">
                  <w:pPr>
                    <w:spacing w:before="0"/>
                    <w:jc w:val="center"/>
                    <w:rPr>
                      <w:rFonts w:eastAsia="Times New Roman"/>
                      <w:b/>
                      <w:bCs/>
                      <w:color w:val="000000"/>
                      <w:szCs w:val="22"/>
                      <w:lang w:eastAsia="en-GB"/>
                    </w:rPr>
                  </w:pPr>
                  <w:r w:rsidRPr="00073574">
                    <w:rPr>
                      <w:rFonts w:eastAsia="Times New Roman"/>
                      <w:b/>
                      <w:bCs/>
                      <w:color w:val="000000"/>
                      <w:szCs w:val="22"/>
                      <w:lang w:eastAsia="en-GB"/>
                    </w:rPr>
                    <w:t>11</w:t>
                  </w:r>
                </w:p>
              </w:tc>
              <w:tc>
                <w:tcPr>
                  <w:tcW w:w="567" w:type="dxa"/>
                  <w:tcBorders>
                    <w:top w:val="single" w:sz="4" w:space="0" w:color="auto"/>
                    <w:left w:val="nil"/>
                    <w:bottom w:val="single" w:sz="4" w:space="0" w:color="auto"/>
                    <w:right w:val="single" w:sz="4" w:space="0" w:color="auto"/>
                  </w:tcBorders>
                  <w:shd w:val="clear" w:color="000000" w:fill="BDD6EE"/>
                  <w:vAlign w:val="center"/>
                  <w:hideMark/>
                </w:tcPr>
                <w:p w14:paraId="1D716F45" w14:textId="77777777" w:rsidR="00224B97" w:rsidRPr="00073574" w:rsidRDefault="00224B97" w:rsidP="00224B97">
                  <w:pPr>
                    <w:spacing w:before="0"/>
                    <w:jc w:val="center"/>
                    <w:rPr>
                      <w:rFonts w:eastAsia="Times New Roman"/>
                      <w:b/>
                      <w:bCs/>
                      <w:color w:val="000000"/>
                      <w:szCs w:val="22"/>
                      <w:lang w:eastAsia="en-GB"/>
                    </w:rPr>
                  </w:pPr>
                  <w:r w:rsidRPr="00073574">
                    <w:rPr>
                      <w:rFonts w:eastAsia="Times New Roman"/>
                      <w:b/>
                      <w:bCs/>
                      <w:color w:val="000000"/>
                      <w:szCs w:val="22"/>
                      <w:lang w:eastAsia="en-GB"/>
                    </w:rPr>
                    <w:t>12</w:t>
                  </w:r>
                </w:p>
              </w:tc>
              <w:tc>
                <w:tcPr>
                  <w:tcW w:w="567" w:type="dxa"/>
                  <w:tcBorders>
                    <w:top w:val="single" w:sz="4" w:space="0" w:color="auto"/>
                    <w:left w:val="nil"/>
                    <w:bottom w:val="single" w:sz="4" w:space="0" w:color="auto"/>
                    <w:right w:val="single" w:sz="4" w:space="0" w:color="auto"/>
                  </w:tcBorders>
                  <w:shd w:val="clear" w:color="000000" w:fill="BDD6EE"/>
                  <w:vAlign w:val="center"/>
                  <w:hideMark/>
                </w:tcPr>
                <w:p w14:paraId="23C67645" w14:textId="77777777" w:rsidR="00224B97" w:rsidRPr="00073574" w:rsidRDefault="00224B97" w:rsidP="00224B97">
                  <w:pPr>
                    <w:spacing w:before="0"/>
                    <w:jc w:val="center"/>
                    <w:rPr>
                      <w:rFonts w:eastAsia="Times New Roman"/>
                      <w:b/>
                      <w:bCs/>
                      <w:color w:val="000000"/>
                      <w:szCs w:val="22"/>
                      <w:lang w:eastAsia="en-GB"/>
                    </w:rPr>
                  </w:pPr>
                  <w:r w:rsidRPr="00073574">
                    <w:rPr>
                      <w:rFonts w:eastAsia="Times New Roman"/>
                      <w:b/>
                      <w:bCs/>
                      <w:color w:val="000000"/>
                      <w:szCs w:val="22"/>
                      <w:lang w:eastAsia="en-GB"/>
                    </w:rPr>
                    <w:t>13</w:t>
                  </w:r>
                </w:p>
              </w:tc>
              <w:tc>
                <w:tcPr>
                  <w:tcW w:w="709" w:type="dxa"/>
                  <w:tcBorders>
                    <w:top w:val="single" w:sz="4" w:space="0" w:color="auto"/>
                    <w:left w:val="nil"/>
                    <w:bottom w:val="single" w:sz="4" w:space="0" w:color="auto"/>
                    <w:right w:val="single" w:sz="4" w:space="0" w:color="auto"/>
                  </w:tcBorders>
                  <w:shd w:val="clear" w:color="000000" w:fill="BDD6EE"/>
                  <w:vAlign w:val="center"/>
                  <w:hideMark/>
                </w:tcPr>
                <w:p w14:paraId="0FB4047E" w14:textId="77777777" w:rsidR="00224B97" w:rsidRPr="00073574" w:rsidRDefault="00224B97" w:rsidP="00224B97">
                  <w:pPr>
                    <w:spacing w:before="0"/>
                    <w:jc w:val="center"/>
                    <w:rPr>
                      <w:rFonts w:eastAsia="Times New Roman"/>
                      <w:b/>
                      <w:bCs/>
                      <w:color w:val="000000"/>
                      <w:szCs w:val="22"/>
                      <w:lang w:eastAsia="en-GB"/>
                    </w:rPr>
                  </w:pPr>
                  <w:r w:rsidRPr="00073574">
                    <w:rPr>
                      <w:rFonts w:eastAsia="Times New Roman"/>
                      <w:b/>
                      <w:bCs/>
                      <w:color w:val="000000"/>
                      <w:szCs w:val="22"/>
                      <w:lang w:eastAsia="en-GB"/>
                    </w:rPr>
                    <w:t>14</w:t>
                  </w:r>
                </w:p>
              </w:tc>
              <w:tc>
                <w:tcPr>
                  <w:tcW w:w="567" w:type="dxa"/>
                  <w:tcBorders>
                    <w:top w:val="single" w:sz="4" w:space="0" w:color="auto"/>
                    <w:left w:val="nil"/>
                    <w:bottom w:val="single" w:sz="4" w:space="0" w:color="auto"/>
                    <w:right w:val="single" w:sz="4" w:space="0" w:color="auto"/>
                  </w:tcBorders>
                  <w:shd w:val="clear" w:color="000000" w:fill="BDD6EE"/>
                  <w:vAlign w:val="center"/>
                  <w:hideMark/>
                </w:tcPr>
                <w:p w14:paraId="081D1DEF" w14:textId="77777777" w:rsidR="00224B97" w:rsidRPr="00073574" w:rsidRDefault="00224B97" w:rsidP="00224B97">
                  <w:pPr>
                    <w:spacing w:before="0"/>
                    <w:jc w:val="center"/>
                    <w:rPr>
                      <w:rFonts w:eastAsia="Times New Roman"/>
                      <w:b/>
                      <w:bCs/>
                      <w:color w:val="000000"/>
                      <w:szCs w:val="22"/>
                      <w:lang w:eastAsia="en-GB"/>
                    </w:rPr>
                  </w:pPr>
                  <w:r w:rsidRPr="00073574">
                    <w:rPr>
                      <w:rFonts w:eastAsia="Times New Roman"/>
                      <w:b/>
                      <w:bCs/>
                      <w:color w:val="000000"/>
                      <w:szCs w:val="22"/>
                      <w:lang w:eastAsia="en-GB"/>
                    </w:rPr>
                    <w:t>15</w:t>
                  </w:r>
                </w:p>
              </w:tc>
              <w:tc>
                <w:tcPr>
                  <w:tcW w:w="709" w:type="dxa"/>
                  <w:tcBorders>
                    <w:top w:val="single" w:sz="4" w:space="0" w:color="auto"/>
                    <w:left w:val="nil"/>
                    <w:bottom w:val="single" w:sz="4" w:space="0" w:color="auto"/>
                    <w:right w:val="single" w:sz="4" w:space="0" w:color="auto"/>
                  </w:tcBorders>
                  <w:shd w:val="clear" w:color="000000" w:fill="BDD6EE"/>
                  <w:vAlign w:val="center"/>
                  <w:hideMark/>
                </w:tcPr>
                <w:p w14:paraId="60120A3A" w14:textId="77777777" w:rsidR="00224B97" w:rsidRPr="00073574" w:rsidRDefault="00224B97" w:rsidP="00224B97">
                  <w:pPr>
                    <w:spacing w:before="0"/>
                    <w:jc w:val="center"/>
                    <w:rPr>
                      <w:rFonts w:eastAsia="Times New Roman"/>
                      <w:b/>
                      <w:bCs/>
                      <w:color w:val="000000"/>
                      <w:szCs w:val="22"/>
                      <w:lang w:eastAsia="en-GB"/>
                    </w:rPr>
                  </w:pPr>
                  <w:r w:rsidRPr="00073574">
                    <w:rPr>
                      <w:rFonts w:eastAsia="Times New Roman"/>
                      <w:b/>
                      <w:bCs/>
                      <w:color w:val="000000"/>
                      <w:szCs w:val="22"/>
                      <w:lang w:eastAsia="en-GB"/>
                    </w:rPr>
                    <w:t>16</w:t>
                  </w:r>
                </w:p>
              </w:tc>
              <w:tc>
                <w:tcPr>
                  <w:tcW w:w="708" w:type="dxa"/>
                  <w:tcBorders>
                    <w:top w:val="single" w:sz="4" w:space="0" w:color="auto"/>
                    <w:left w:val="nil"/>
                    <w:bottom w:val="single" w:sz="4" w:space="0" w:color="auto"/>
                    <w:right w:val="single" w:sz="4" w:space="0" w:color="auto"/>
                  </w:tcBorders>
                  <w:shd w:val="clear" w:color="000000" w:fill="BDD6EE"/>
                  <w:vAlign w:val="center"/>
                  <w:hideMark/>
                </w:tcPr>
                <w:p w14:paraId="2F1F39F3" w14:textId="77777777" w:rsidR="00224B97" w:rsidRPr="00073574" w:rsidRDefault="00224B97" w:rsidP="00224B97">
                  <w:pPr>
                    <w:spacing w:before="0"/>
                    <w:jc w:val="center"/>
                    <w:rPr>
                      <w:rFonts w:eastAsia="Times New Roman"/>
                      <w:b/>
                      <w:bCs/>
                      <w:color w:val="000000"/>
                      <w:szCs w:val="22"/>
                      <w:lang w:eastAsia="en-GB"/>
                    </w:rPr>
                  </w:pPr>
                  <w:r w:rsidRPr="00073574">
                    <w:rPr>
                      <w:rFonts w:eastAsia="Times New Roman"/>
                      <w:b/>
                      <w:bCs/>
                      <w:color w:val="000000"/>
                      <w:szCs w:val="22"/>
                      <w:lang w:eastAsia="en-GB"/>
                    </w:rPr>
                    <w:t>17</w:t>
                  </w:r>
                </w:p>
              </w:tc>
            </w:tr>
            <w:tr w:rsidR="003B5B4E" w:rsidRPr="00073574" w14:paraId="20078E3B" w14:textId="77777777" w:rsidTr="0087025D">
              <w:trPr>
                <w:trHeight w:val="294"/>
              </w:trPr>
              <w:tc>
                <w:tcPr>
                  <w:tcW w:w="672" w:type="dxa"/>
                  <w:tcBorders>
                    <w:top w:val="single" w:sz="4" w:space="0" w:color="auto"/>
                    <w:left w:val="single" w:sz="4" w:space="0" w:color="auto"/>
                    <w:bottom w:val="single" w:sz="4" w:space="0" w:color="auto"/>
                    <w:right w:val="single" w:sz="4" w:space="0" w:color="auto"/>
                  </w:tcBorders>
                  <w:shd w:val="clear" w:color="000000" w:fill="auto"/>
                  <w:vAlign w:val="bottom"/>
                </w:tcPr>
                <w:p w14:paraId="264C6079" w14:textId="346260CA" w:rsidR="003B5B4E" w:rsidRPr="00073574" w:rsidRDefault="003B5B4E" w:rsidP="003B5B4E">
                  <w:pPr>
                    <w:spacing w:before="0"/>
                    <w:jc w:val="center"/>
                    <w:rPr>
                      <w:rFonts w:eastAsia="Times New Roman"/>
                      <w:color w:val="000000"/>
                      <w:szCs w:val="22"/>
                      <w:highlight w:val="yellow"/>
                      <w:lang w:eastAsia="en-GB"/>
                    </w:rPr>
                  </w:pPr>
                  <w:r>
                    <w:rPr>
                      <w:color w:val="000000"/>
                      <w:szCs w:val="22"/>
                    </w:rPr>
                    <w:t>17</w:t>
                  </w:r>
                  <w:r w:rsidR="00406EDE">
                    <w:rPr>
                      <w:color w:val="000000"/>
                      <w:szCs w:val="22"/>
                    </w:rPr>
                    <w:t>98</w:t>
                  </w:r>
                </w:p>
              </w:tc>
              <w:tc>
                <w:tcPr>
                  <w:tcW w:w="709" w:type="dxa"/>
                  <w:tcBorders>
                    <w:top w:val="single" w:sz="4" w:space="0" w:color="auto"/>
                    <w:left w:val="nil"/>
                    <w:bottom w:val="single" w:sz="4" w:space="0" w:color="auto"/>
                    <w:right w:val="single" w:sz="4" w:space="0" w:color="auto"/>
                  </w:tcBorders>
                  <w:shd w:val="clear" w:color="000000" w:fill="auto"/>
                  <w:vAlign w:val="bottom"/>
                  <w:hideMark/>
                </w:tcPr>
                <w:p w14:paraId="5B1DD13B" w14:textId="2408D6D8" w:rsidR="003B5B4E" w:rsidRPr="00073574" w:rsidRDefault="003B5B4E" w:rsidP="003B5B4E">
                  <w:pPr>
                    <w:spacing w:before="0"/>
                    <w:jc w:val="center"/>
                    <w:rPr>
                      <w:rFonts w:eastAsia="Times New Roman"/>
                      <w:color w:val="000000"/>
                      <w:szCs w:val="22"/>
                      <w:highlight w:val="yellow"/>
                      <w:lang w:eastAsia="en-GB"/>
                    </w:rPr>
                  </w:pPr>
                  <w:r>
                    <w:rPr>
                      <w:color w:val="000000"/>
                      <w:szCs w:val="22"/>
                    </w:rPr>
                    <w:t>10</w:t>
                  </w:r>
                </w:p>
              </w:tc>
              <w:tc>
                <w:tcPr>
                  <w:tcW w:w="567" w:type="dxa"/>
                  <w:tcBorders>
                    <w:top w:val="single" w:sz="4" w:space="0" w:color="auto"/>
                    <w:left w:val="nil"/>
                    <w:bottom w:val="single" w:sz="4" w:space="0" w:color="auto"/>
                    <w:right w:val="single" w:sz="4" w:space="0" w:color="auto"/>
                  </w:tcBorders>
                  <w:shd w:val="clear" w:color="000000" w:fill="auto"/>
                  <w:vAlign w:val="bottom"/>
                  <w:hideMark/>
                </w:tcPr>
                <w:p w14:paraId="21F0A505" w14:textId="276C9860" w:rsidR="003B5B4E" w:rsidRPr="00073574" w:rsidRDefault="003B5B4E" w:rsidP="003B5B4E">
                  <w:pPr>
                    <w:spacing w:before="0"/>
                    <w:jc w:val="center"/>
                    <w:rPr>
                      <w:rFonts w:eastAsia="Times New Roman"/>
                      <w:color w:val="000000"/>
                      <w:szCs w:val="22"/>
                      <w:highlight w:val="yellow"/>
                      <w:lang w:eastAsia="en-GB"/>
                    </w:rPr>
                  </w:pPr>
                  <w:r>
                    <w:rPr>
                      <w:color w:val="000000"/>
                      <w:szCs w:val="22"/>
                    </w:rPr>
                    <w:t>22</w:t>
                  </w:r>
                  <w:r w:rsidR="00406EDE">
                    <w:rPr>
                      <w:color w:val="000000"/>
                      <w:szCs w:val="22"/>
                    </w:rPr>
                    <w:t>4</w:t>
                  </w:r>
                </w:p>
              </w:tc>
              <w:tc>
                <w:tcPr>
                  <w:tcW w:w="567" w:type="dxa"/>
                  <w:tcBorders>
                    <w:top w:val="single" w:sz="4" w:space="0" w:color="auto"/>
                    <w:left w:val="nil"/>
                    <w:bottom w:val="single" w:sz="4" w:space="0" w:color="auto"/>
                    <w:right w:val="single" w:sz="4" w:space="0" w:color="auto"/>
                  </w:tcBorders>
                  <w:shd w:val="clear" w:color="000000" w:fill="auto"/>
                  <w:vAlign w:val="bottom"/>
                  <w:hideMark/>
                </w:tcPr>
                <w:p w14:paraId="27F76977" w14:textId="5D144C6A" w:rsidR="003B5B4E" w:rsidRPr="00073574" w:rsidRDefault="003B5B4E" w:rsidP="003B5B4E">
                  <w:pPr>
                    <w:spacing w:before="0"/>
                    <w:jc w:val="center"/>
                    <w:rPr>
                      <w:rFonts w:eastAsia="Times New Roman"/>
                      <w:color w:val="000000"/>
                      <w:szCs w:val="22"/>
                      <w:highlight w:val="yellow"/>
                      <w:lang w:eastAsia="en-GB"/>
                    </w:rPr>
                  </w:pPr>
                  <w:r>
                    <w:rPr>
                      <w:color w:val="000000"/>
                      <w:szCs w:val="22"/>
                    </w:rPr>
                    <w:t>3</w:t>
                  </w:r>
                  <w:r w:rsidR="00406EDE">
                    <w:rPr>
                      <w:color w:val="000000"/>
                      <w:szCs w:val="22"/>
                    </w:rPr>
                    <w:t>9</w:t>
                  </w:r>
                </w:p>
              </w:tc>
              <w:tc>
                <w:tcPr>
                  <w:tcW w:w="567" w:type="dxa"/>
                  <w:tcBorders>
                    <w:top w:val="single" w:sz="4" w:space="0" w:color="auto"/>
                    <w:left w:val="nil"/>
                    <w:bottom w:val="single" w:sz="4" w:space="0" w:color="auto"/>
                    <w:right w:val="single" w:sz="4" w:space="0" w:color="auto"/>
                  </w:tcBorders>
                  <w:shd w:val="clear" w:color="000000" w:fill="auto"/>
                  <w:vAlign w:val="bottom"/>
                  <w:hideMark/>
                </w:tcPr>
                <w:p w14:paraId="5995B9FE" w14:textId="191CB217" w:rsidR="003B5B4E" w:rsidRPr="00073574" w:rsidRDefault="003B5B4E" w:rsidP="003B5B4E">
                  <w:pPr>
                    <w:spacing w:before="0"/>
                    <w:jc w:val="center"/>
                    <w:rPr>
                      <w:rFonts w:eastAsia="Times New Roman"/>
                      <w:color w:val="000000"/>
                      <w:szCs w:val="22"/>
                      <w:highlight w:val="yellow"/>
                      <w:lang w:eastAsia="en-GB"/>
                    </w:rPr>
                  </w:pPr>
                  <w:r>
                    <w:rPr>
                      <w:color w:val="000000"/>
                      <w:szCs w:val="22"/>
                    </w:rPr>
                    <w:t>6</w:t>
                  </w:r>
                  <w:r w:rsidR="00406EDE">
                    <w:rPr>
                      <w:color w:val="000000"/>
                      <w:szCs w:val="22"/>
                    </w:rPr>
                    <w:t>5</w:t>
                  </w:r>
                </w:p>
              </w:tc>
              <w:tc>
                <w:tcPr>
                  <w:tcW w:w="709" w:type="dxa"/>
                  <w:tcBorders>
                    <w:top w:val="single" w:sz="4" w:space="0" w:color="auto"/>
                    <w:left w:val="nil"/>
                    <w:bottom w:val="single" w:sz="4" w:space="0" w:color="auto"/>
                    <w:right w:val="single" w:sz="4" w:space="0" w:color="auto"/>
                  </w:tcBorders>
                  <w:shd w:val="clear" w:color="000000" w:fill="auto"/>
                  <w:vAlign w:val="bottom"/>
                  <w:hideMark/>
                </w:tcPr>
                <w:p w14:paraId="600D3537" w14:textId="2D055ED8" w:rsidR="003B5B4E" w:rsidRPr="00073574" w:rsidRDefault="003B5B4E" w:rsidP="003B5B4E">
                  <w:pPr>
                    <w:spacing w:before="0"/>
                    <w:jc w:val="center"/>
                    <w:rPr>
                      <w:rFonts w:eastAsia="Times New Roman"/>
                      <w:color w:val="000000"/>
                      <w:szCs w:val="22"/>
                      <w:highlight w:val="yellow"/>
                      <w:lang w:eastAsia="en-GB"/>
                    </w:rPr>
                  </w:pPr>
                  <w:r>
                    <w:rPr>
                      <w:color w:val="000000"/>
                      <w:szCs w:val="22"/>
                    </w:rPr>
                    <w:t>0</w:t>
                  </w:r>
                </w:p>
              </w:tc>
              <w:tc>
                <w:tcPr>
                  <w:tcW w:w="567" w:type="dxa"/>
                  <w:tcBorders>
                    <w:top w:val="single" w:sz="4" w:space="0" w:color="auto"/>
                    <w:left w:val="nil"/>
                    <w:bottom w:val="single" w:sz="4" w:space="0" w:color="auto"/>
                    <w:right w:val="single" w:sz="4" w:space="0" w:color="auto"/>
                  </w:tcBorders>
                  <w:shd w:val="clear" w:color="000000" w:fill="auto"/>
                  <w:vAlign w:val="bottom"/>
                  <w:hideMark/>
                </w:tcPr>
                <w:p w14:paraId="75BF670E" w14:textId="231986DF" w:rsidR="003B5B4E" w:rsidRPr="00073574" w:rsidRDefault="003B5B4E" w:rsidP="003B5B4E">
                  <w:pPr>
                    <w:spacing w:before="0"/>
                    <w:jc w:val="center"/>
                    <w:rPr>
                      <w:rFonts w:eastAsia="Times New Roman"/>
                      <w:color w:val="000000"/>
                      <w:szCs w:val="22"/>
                      <w:highlight w:val="yellow"/>
                      <w:lang w:eastAsia="en-GB"/>
                    </w:rPr>
                  </w:pPr>
                  <w:r>
                    <w:rPr>
                      <w:color w:val="000000"/>
                      <w:szCs w:val="22"/>
                    </w:rPr>
                    <w:t>0</w:t>
                  </w:r>
                </w:p>
              </w:tc>
              <w:tc>
                <w:tcPr>
                  <w:tcW w:w="709" w:type="dxa"/>
                  <w:tcBorders>
                    <w:top w:val="single" w:sz="4" w:space="0" w:color="auto"/>
                    <w:left w:val="nil"/>
                    <w:bottom w:val="single" w:sz="4" w:space="0" w:color="auto"/>
                    <w:right w:val="single" w:sz="4" w:space="0" w:color="auto"/>
                  </w:tcBorders>
                  <w:shd w:val="clear" w:color="000000" w:fill="auto"/>
                  <w:vAlign w:val="bottom"/>
                  <w:hideMark/>
                </w:tcPr>
                <w:p w14:paraId="4AE16963" w14:textId="38A7F6E8" w:rsidR="003B5B4E" w:rsidRPr="00073574" w:rsidRDefault="003B5B4E" w:rsidP="003B5B4E">
                  <w:pPr>
                    <w:spacing w:before="0"/>
                    <w:jc w:val="center"/>
                    <w:rPr>
                      <w:rFonts w:eastAsia="Times New Roman"/>
                      <w:color w:val="000000"/>
                      <w:szCs w:val="22"/>
                      <w:highlight w:val="yellow"/>
                      <w:lang w:eastAsia="en-GB"/>
                    </w:rPr>
                  </w:pPr>
                  <w:r>
                    <w:rPr>
                      <w:color w:val="000000"/>
                      <w:szCs w:val="22"/>
                    </w:rPr>
                    <w:t>20</w:t>
                  </w:r>
                </w:p>
              </w:tc>
              <w:tc>
                <w:tcPr>
                  <w:tcW w:w="708" w:type="dxa"/>
                  <w:tcBorders>
                    <w:top w:val="single" w:sz="4" w:space="0" w:color="auto"/>
                    <w:left w:val="nil"/>
                    <w:bottom w:val="single" w:sz="4" w:space="0" w:color="auto"/>
                    <w:right w:val="single" w:sz="4" w:space="0" w:color="auto"/>
                  </w:tcBorders>
                  <w:shd w:val="clear" w:color="000000" w:fill="auto"/>
                  <w:vAlign w:val="bottom"/>
                  <w:hideMark/>
                </w:tcPr>
                <w:p w14:paraId="4494EAFC" w14:textId="0F5670B8" w:rsidR="003B5B4E" w:rsidRPr="00073574" w:rsidRDefault="003B5B4E" w:rsidP="003B5B4E">
                  <w:pPr>
                    <w:spacing w:before="0"/>
                    <w:jc w:val="center"/>
                    <w:rPr>
                      <w:rFonts w:eastAsia="Times New Roman"/>
                      <w:color w:val="000000"/>
                      <w:szCs w:val="22"/>
                      <w:highlight w:val="yellow"/>
                      <w:lang w:eastAsia="en-GB"/>
                    </w:rPr>
                  </w:pPr>
                  <w:r>
                    <w:rPr>
                      <w:color w:val="000000"/>
                      <w:szCs w:val="22"/>
                    </w:rPr>
                    <w:t>21</w:t>
                  </w:r>
                </w:p>
              </w:tc>
            </w:tr>
          </w:tbl>
          <w:p w14:paraId="64A887E1" w14:textId="77777777" w:rsidR="00224B97" w:rsidRPr="00073574" w:rsidRDefault="00224B97" w:rsidP="00AB6DA6">
            <w:pPr>
              <w:rPr>
                <w:szCs w:val="22"/>
              </w:rPr>
            </w:pPr>
          </w:p>
          <w:p w14:paraId="13231956" w14:textId="77777777" w:rsidR="00224B97" w:rsidRPr="00073574" w:rsidRDefault="00224B97" w:rsidP="00AB6DA6">
            <w:pPr>
              <w:rPr>
                <w:szCs w:val="22"/>
              </w:rPr>
            </w:pPr>
          </w:p>
          <w:tbl>
            <w:tblPr>
              <w:tblW w:w="7080" w:type="dxa"/>
              <w:tblLayout w:type="fixed"/>
              <w:tblLook w:val="04A0" w:firstRow="1" w:lastRow="0" w:firstColumn="1" w:lastColumn="0" w:noHBand="0" w:noVBand="1"/>
            </w:tblPr>
            <w:tblGrid>
              <w:gridCol w:w="555"/>
              <w:gridCol w:w="708"/>
              <w:gridCol w:w="563"/>
              <w:gridCol w:w="563"/>
              <w:gridCol w:w="576"/>
              <w:gridCol w:w="691"/>
              <w:gridCol w:w="699"/>
              <w:gridCol w:w="563"/>
              <w:gridCol w:w="693"/>
              <w:gridCol w:w="630"/>
              <w:gridCol w:w="839"/>
            </w:tblGrid>
            <w:tr w:rsidR="000A69A1" w:rsidRPr="00073574" w14:paraId="355B19FB" w14:textId="77777777" w:rsidTr="004A1051">
              <w:trPr>
                <w:trHeight w:val="260"/>
              </w:trPr>
              <w:tc>
                <w:tcPr>
                  <w:tcW w:w="7080" w:type="dxa"/>
                  <w:gridSpan w:val="11"/>
                  <w:tcBorders>
                    <w:top w:val="single" w:sz="4" w:space="0" w:color="auto"/>
                    <w:left w:val="single" w:sz="4" w:space="0" w:color="auto"/>
                    <w:bottom w:val="single" w:sz="4" w:space="0" w:color="auto"/>
                    <w:right w:val="single" w:sz="4" w:space="0" w:color="auto"/>
                  </w:tcBorders>
                  <w:shd w:val="clear" w:color="000000" w:fill="BDD6EE"/>
                  <w:vAlign w:val="center"/>
                </w:tcPr>
                <w:p w14:paraId="6EC276F9" w14:textId="77777777" w:rsidR="002E73DB" w:rsidRPr="00073574" w:rsidRDefault="002E73DB" w:rsidP="00AB6DA6">
                  <w:pPr>
                    <w:spacing w:before="0"/>
                    <w:jc w:val="center"/>
                    <w:rPr>
                      <w:rFonts w:eastAsia="Times New Roman"/>
                      <w:b/>
                      <w:bCs/>
                      <w:color w:val="000000"/>
                      <w:sz w:val="24"/>
                      <w:lang w:eastAsia="en-GB"/>
                    </w:rPr>
                  </w:pPr>
                  <w:r w:rsidRPr="00073574">
                    <w:rPr>
                      <w:rFonts w:eastAsia="Times New Roman"/>
                      <w:b/>
                      <w:bCs/>
                      <w:color w:val="000000"/>
                      <w:sz w:val="24"/>
                      <w:lang w:eastAsia="en-GB"/>
                    </w:rPr>
                    <w:t>WSIS AL</w:t>
                  </w:r>
                </w:p>
              </w:tc>
            </w:tr>
            <w:tr w:rsidR="00D80E40" w:rsidRPr="00073574" w14:paraId="0F72CE51" w14:textId="77777777" w:rsidTr="004A1051">
              <w:trPr>
                <w:trHeight w:val="74"/>
              </w:trPr>
              <w:tc>
                <w:tcPr>
                  <w:tcW w:w="555" w:type="dxa"/>
                  <w:tcBorders>
                    <w:top w:val="single" w:sz="4" w:space="0" w:color="auto"/>
                    <w:left w:val="single" w:sz="4" w:space="0" w:color="auto"/>
                    <w:bottom w:val="single" w:sz="4" w:space="0" w:color="auto"/>
                    <w:right w:val="single" w:sz="4" w:space="0" w:color="auto"/>
                  </w:tcBorders>
                  <w:shd w:val="clear" w:color="000000" w:fill="BDD6EE"/>
                  <w:vAlign w:val="center"/>
                  <w:hideMark/>
                </w:tcPr>
                <w:p w14:paraId="03007ED7" w14:textId="77777777" w:rsidR="002E73DB" w:rsidRPr="00073574" w:rsidRDefault="002E73DB" w:rsidP="00AB6DA6">
                  <w:pPr>
                    <w:spacing w:before="0"/>
                    <w:jc w:val="center"/>
                    <w:rPr>
                      <w:rFonts w:eastAsia="Times New Roman"/>
                      <w:b/>
                      <w:bCs/>
                      <w:color w:val="000000"/>
                      <w:szCs w:val="22"/>
                      <w:lang w:eastAsia="en-GB"/>
                    </w:rPr>
                  </w:pPr>
                  <w:r w:rsidRPr="00073574">
                    <w:rPr>
                      <w:rFonts w:eastAsia="Times New Roman"/>
                      <w:b/>
                      <w:bCs/>
                      <w:color w:val="000000"/>
                      <w:szCs w:val="22"/>
                      <w:lang w:eastAsia="en-GB"/>
                    </w:rPr>
                    <w:t>C1</w:t>
                  </w:r>
                </w:p>
              </w:tc>
              <w:tc>
                <w:tcPr>
                  <w:tcW w:w="708" w:type="dxa"/>
                  <w:tcBorders>
                    <w:top w:val="single" w:sz="4" w:space="0" w:color="auto"/>
                    <w:left w:val="nil"/>
                    <w:bottom w:val="single" w:sz="4" w:space="0" w:color="auto"/>
                    <w:right w:val="single" w:sz="4" w:space="0" w:color="auto"/>
                  </w:tcBorders>
                  <w:shd w:val="clear" w:color="000000" w:fill="BDD6EE"/>
                  <w:vAlign w:val="center"/>
                  <w:hideMark/>
                </w:tcPr>
                <w:p w14:paraId="450EAA9D" w14:textId="77777777" w:rsidR="002E73DB" w:rsidRPr="00073574" w:rsidRDefault="002E73DB" w:rsidP="00AB6DA6">
                  <w:pPr>
                    <w:spacing w:before="0"/>
                    <w:jc w:val="center"/>
                    <w:rPr>
                      <w:rFonts w:eastAsia="Times New Roman"/>
                      <w:b/>
                      <w:bCs/>
                      <w:color w:val="000000"/>
                      <w:szCs w:val="22"/>
                      <w:lang w:eastAsia="en-GB"/>
                    </w:rPr>
                  </w:pPr>
                  <w:r w:rsidRPr="00073574">
                    <w:rPr>
                      <w:rFonts w:eastAsia="Times New Roman"/>
                      <w:b/>
                      <w:bCs/>
                      <w:color w:val="000000"/>
                      <w:szCs w:val="22"/>
                      <w:lang w:eastAsia="en-GB"/>
                    </w:rPr>
                    <w:t>C2</w:t>
                  </w:r>
                </w:p>
              </w:tc>
              <w:tc>
                <w:tcPr>
                  <w:tcW w:w="563" w:type="dxa"/>
                  <w:tcBorders>
                    <w:top w:val="single" w:sz="4" w:space="0" w:color="auto"/>
                    <w:left w:val="nil"/>
                    <w:bottom w:val="single" w:sz="4" w:space="0" w:color="auto"/>
                    <w:right w:val="single" w:sz="4" w:space="0" w:color="auto"/>
                  </w:tcBorders>
                  <w:shd w:val="clear" w:color="000000" w:fill="BDD6EE"/>
                  <w:vAlign w:val="center"/>
                  <w:hideMark/>
                </w:tcPr>
                <w:p w14:paraId="5EB41ED4" w14:textId="77777777" w:rsidR="002E73DB" w:rsidRPr="00073574" w:rsidRDefault="002E73DB" w:rsidP="00AB6DA6">
                  <w:pPr>
                    <w:spacing w:before="0"/>
                    <w:jc w:val="center"/>
                    <w:rPr>
                      <w:rFonts w:eastAsia="Times New Roman"/>
                      <w:b/>
                      <w:bCs/>
                      <w:color w:val="000000"/>
                      <w:szCs w:val="22"/>
                      <w:lang w:eastAsia="en-GB"/>
                    </w:rPr>
                  </w:pPr>
                  <w:r w:rsidRPr="00073574">
                    <w:rPr>
                      <w:rFonts w:eastAsia="Times New Roman"/>
                      <w:b/>
                      <w:bCs/>
                      <w:color w:val="000000"/>
                      <w:szCs w:val="22"/>
                      <w:lang w:eastAsia="en-GB"/>
                    </w:rPr>
                    <w:t>C3</w:t>
                  </w:r>
                </w:p>
              </w:tc>
              <w:tc>
                <w:tcPr>
                  <w:tcW w:w="563" w:type="dxa"/>
                  <w:tcBorders>
                    <w:top w:val="single" w:sz="4" w:space="0" w:color="auto"/>
                    <w:left w:val="nil"/>
                    <w:bottom w:val="single" w:sz="4" w:space="0" w:color="auto"/>
                    <w:right w:val="single" w:sz="4" w:space="0" w:color="auto"/>
                  </w:tcBorders>
                  <w:shd w:val="clear" w:color="000000" w:fill="BDD6EE"/>
                  <w:vAlign w:val="center"/>
                  <w:hideMark/>
                </w:tcPr>
                <w:p w14:paraId="3F0F9B09" w14:textId="77777777" w:rsidR="002E73DB" w:rsidRPr="00073574" w:rsidRDefault="002E73DB" w:rsidP="00AB6DA6">
                  <w:pPr>
                    <w:spacing w:before="0"/>
                    <w:jc w:val="center"/>
                    <w:rPr>
                      <w:rFonts w:eastAsia="Times New Roman"/>
                      <w:b/>
                      <w:bCs/>
                      <w:color w:val="000000"/>
                      <w:szCs w:val="22"/>
                      <w:lang w:eastAsia="en-GB"/>
                    </w:rPr>
                  </w:pPr>
                  <w:r w:rsidRPr="00073574">
                    <w:rPr>
                      <w:rFonts w:eastAsia="Times New Roman"/>
                      <w:b/>
                      <w:bCs/>
                      <w:color w:val="000000"/>
                      <w:szCs w:val="22"/>
                      <w:lang w:eastAsia="en-GB"/>
                    </w:rPr>
                    <w:t>C4</w:t>
                  </w:r>
                </w:p>
              </w:tc>
              <w:tc>
                <w:tcPr>
                  <w:tcW w:w="576" w:type="dxa"/>
                  <w:tcBorders>
                    <w:top w:val="single" w:sz="4" w:space="0" w:color="auto"/>
                    <w:left w:val="nil"/>
                    <w:bottom w:val="single" w:sz="4" w:space="0" w:color="auto"/>
                    <w:right w:val="single" w:sz="4" w:space="0" w:color="auto"/>
                  </w:tcBorders>
                  <w:shd w:val="clear" w:color="000000" w:fill="BDD6EE"/>
                  <w:vAlign w:val="center"/>
                  <w:hideMark/>
                </w:tcPr>
                <w:p w14:paraId="54BB70F3" w14:textId="77777777" w:rsidR="002E73DB" w:rsidRPr="00073574" w:rsidRDefault="002E73DB" w:rsidP="00AB6DA6">
                  <w:pPr>
                    <w:spacing w:before="0"/>
                    <w:jc w:val="center"/>
                    <w:rPr>
                      <w:rFonts w:eastAsia="Times New Roman"/>
                      <w:b/>
                      <w:bCs/>
                      <w:color w:val="000000"/>
                      <w:szCs w:val="22"/>
                      <w:lang w:eastAsia="en-GB"/>
                    </w:rPr>
                  </w:pPr>
                  <w:r w:rsidRPr="00073574">
                    <w:rPr>
                      <w:rFonts w:eastAsia="Times New Roman"/>
                      <w:b/>
                      <w:bCs/>
                      <w:color w:val="000000"/>
                      <w:szCs w:val="22"/>
                      <w:lang w:eastAsia="en-GB"/>
                    </w:rPr>
                    <w:t>C5</w:t>
                  </w:r>
                </w:p>
              </w:tc>
              <w:tc>
                <w:tcPr>
                  <w:tcW w:w="691" w:type="dxa"/>
                  <w:tcBorders>
                    <w:top w:val="single" w:sz="4" w:space="0" w:color="auto"/>
                    <w:left w:val="nil"/>
                    <w:bottom w:val="single" w:sz="4" w:space="0" w:color="auto"/>
                    <w:right w:val="single" w:sz="4" w:space="0" w:color="auto"/>
                  </w:tcBorders>
                  <w:shd w:val="clear" w:color="000000" w:fill="BDD6EE"/>
                  <w:vAlign w:val="center"/>
                  <w:hideMark/>
                </w:tcPr>
                <w:p w14:paraId="35E8FB76" w14:textId="77777777" w:rsidR="002E73DB" w:rsidRPr="00073574" w:rsidRDefault="002E73DB" w:rsidP="00AB6DA6">
                  <w:pPr>
                    <w:spacing w:before="0"/>
                    <w:jc w:val="center"/>
                    <w:rPr>
                      <w:rFonts w:eastAsia="Times New Roman"/>
                      <w:b/>
                      <w:bCs/>
                      <w:color w:val="000000"/>
                      <w:szCs w:val="22"/>
                      <w:lang w:eastAsia="en-GB"/>
                    </w:rPr>
                  </w:pPr>
                  <w:r w:rsidRPr="00073574">
                    <w:rPr>
                      <w:rFonts w:eastAsia="Times New Roman"/>
                      <w:b/>
                      <w:bCs/>
                      <w:color w:val="000000"/>
                      <w:szCs w:val="22"/>
                      <w:lang w:eastAsia="en-GB"/>
                    </w:rPr>
                    <w:t>C6</w:t>
                  </w:r>
                </w:p>
              </w:tc>
              <w:tc>
                <w:tcPr>
                  <w:tcW w:w="699" w:type="dxa"/>
                  <w:tcBorders>
                    <w:top w:val="single" w:sz="4" w:space="0" w:color="auto"/>
                    <w:left w:val="nil"/>
                    <w:bottom w:val="single" w:sz="4" w:space="0" w:color="auto"/>
                    <w:right w:val="single" w:sz="4" w:space="0" w:color="auto"/>
                  </w:tcBorders>
                  <w:shd w:val="clear" w:color="000000" w:fill="BDD6EE"/>
                  <w:vAlign w:val="center"/>
                  <w:hideMark/>
                </w:tcPr>
                <w:p w14:paraId="4603A7E5" w14:textId="77777777" w:rsidR="002E73DB" w:rsidRPr="00073574" w:rsidRDefault="002E73DB" w:rsidP="00AB6DA6">
                  <w:pPr>
                    <w:spacing w:before="0"/>
                    <w:jc w:val="center"/>
                    <w:rPr>
                      <w:rFonts w:eastAsia="Times New Roman"/>
                      <w:b/>
                      <w:bCs/>
                      <w:color w:val="000000"/>
                      <w:szCs w:val="22"/>
                      <w:lang w:eastAsia="en-GB"/>
                    </w:rPr>
                  </w:pPr>
                  <w:r w:rsidRPr="00073574">
                    <w:rPr>
                      <w:rFonts w:eastAsia="Times New Roman"/>
                      <w:b/>
                      <w:bCs/>
                      <w:color w:val="000000"/>
                      <w:szCs w:val="22"/>
                      <w:lang w:eastAsia="en-GB"/>
                    </w:rPr>
                    <w:t>C7</w:t>
                  </w:r>
                </w:p>
              </w:tc>
              <w:tc>
                <w:tcPr>
                  <w:tcW w:w="563" w:type="dxa"/>
                  <w:tcBorders>
                    <w:top w:val="single" w:sz="4" w:space="0" w:color="auto"/>
                    <w:left w:val="nil"/>
                    <w:bottom w:val="single" w:sz="4" w:space="0" w:color="auto"/>
                    <w:right w:val="single" w:sz="4" w:space="0" w:color="auto"/>
                  </w:tcBorders>
                  <w:shd w:val="clear" w:color="000000" w:fill="BDD6EE"/>
                  <w:vAlign w:val="center"/>
                  <w:hideMark/>
                </w:tcPr>
                <w:p w14:paraId="154CE7B7" w14:textId="77777777" w:rsidR="002E73DB" w:rsidRPr="00073574" w:rsidRDefault="002E73DB" w:rsidP="00AB6DA6">
                  <w:pPr>
                    <w:spacing w:before="0"/>
                    <w:jc w:val="center"/>
                    <w:rPr>
                      <w:rFonts w:eastAsia="Times New Roman"/>
                      <w:b/>
                      <w:bCs/>
                      <w:color w:val="000000"/>
                      <w:szCs w:val="22"/>
                      <w:lang w:eastAsia="en-GB"/>
                    </w:rPr>
                  </w:pPr>
                  <w:r w:rsidRPr="00073574">
                    <w:rPr>
                      <w:rFonts w:eastAsia="Times New Roman"/>
                      <w:b/>
                      <w:bCs/>
                      <w:color w:val="000000"/>
                      <w:szCs w:val="22"/>
                      <w:lang w:eastAsia="en-GB"/>
                    </w:rPr>
                    <w:t>C8</w:t>
                  </w:r>
                </w:p>
              </w:tc>
              <w:tc>
                <w:tcPr>
                  <w:tcW w:w="693" w:type="dxa"/>
                  <w:tcBorders>
                    <w:top w:val="single" w:sz="4" w:space="0" w:color="auto"/>
                    <w:left w:val="nil"/>
                    <w:bottom w:val="single" w:sz="4" w:space="0" w:color="auto"/>
                    <w:right w:val="single" w:sz="4" w:space="0" w:color="auto"/>
                  </w:tcBorders>
                  <w:shd w:val="clear" w:color="000000" w:fill="BDD6EE"/>
                  <w:vAlign w:val="center"/>
                  <w:hideMark/>
                </w:tcPr>
                <w:p w14:paraId="4262240F" w14:textId="77777777" w:rsidR="002E73DB" w:rsidRPr="00073574" w:rsidRDefault="002E73DB" w:rsidP="00AB6DA6">
                  <w:pPr>
                    <w:spacing w:before="0"/>
                    <w:jc w:val="center"/>
                    <w:rPr>
                      <w:rFonts w:eastAsia="Times New Roman"/>
                      <w:b/>
                      <w:bCs/>
                      <w:color w:val="000000"/>
                      <w:szCs w:val="22"/>
                      <w:lang w:eastAsia="en-GB"/>
                    </w:rPr>
                  </w:pPr>
                  <w:r w:rsidRPr="00073574">
                    <w:rPr>
                      <w:rFonts w:eastAsia="Times New Roman"/>
                      <w:b/>
                      <w:bCs/>
                      <w:color w:val="000000"/>
                      <w:szCs w:val="22"/>
                      <w:lang w:eastAsia="en-GB"/>
                    </w:rPr>
                    <w:t>C9</w:t>
                  </w:r>
                </w:p>
              </w:tc>
              <w:tc>
                <w:tcPr>
                  <w:tcW w:w="630" w:type="dxa"/>
                  <w:tcBorders>
                    <w:top w:val="single" w:sz="4" w:space="0" w:color="auto"/>
                    <w:left w:val="nil"/>
                    <w:bottom w:val="single" w:sz="4" w:space="0" w:color="auto"/>
                    <w:right w:val="single" w:sz="4" w:space="0" w:color="auto"/>
                  </w:tcBorders>
                  <w:shd w:val="clear" w:color="000000" w:fill="BDD6EE"/>
                  <w:vAlign w:val="center"/>
                  <w:hideMark/>
                </w:tcPr>
                <w:p w14:paraId="4A0E1F5A" w14:textId="77777777" w:rsidR="002E73DB" w:rsidRPr="00073574" w:rsidRDefault="002E73DB" w:rsidP="00AB6DA6">
                  <w:pPr>
                    <w:spacing w:before="0"/>
                    <w:jc w:val="center"/>
                    <w:rPr>
                      <w:rFonts w:eastAsia="Times New Roman"/>
                      <w:b/>
                      <w:bCs/>
                      <w:color w:val="000000"/>
                      <w:szCs w:val="22"/>
                      <w:lang w:eastAsia="en-GB"/>
                    </w:rPr>
                  </w:pPr>
                  <w:r w:rsidRPr="00073574">
                    <w:rPr>
                      <w:rFonts w:eastAsia="Times New Roman"/>
                      <w:b/>
                      <w:bCs/>
                      <w:color w:val="000000"/>
                      <w:szCs w:val="22"/>
                      <w:lang w:eastAsia="en-GB"/>
                    </w:rPr>
                    <w:t>C10</w:t>
                  </w:r>
                </w:p>
              </w:tc>
              <w:tc>
                <w:tcPr>
                  <w:tcW w:w="839" w:type="dxa"/>
                  <w:tcBorders>
                    <w:top w:val="single" w:sz="4" w:space="0" w:color="auto"/>
                    <w:left w:val="nil"/>
                    <w:bottom w:val="single" w:sz="4" w:space="0" w:color="auto"/>
                    <w:right w:val="single" w:sz="4" w:space="0" w:color="auto"/>
                  </w:tcBorders>
                  <w:shd w:val="clear" w:color="000000" w:fill="BDD6EE"/>
                  <w:vAlign w:val="center"/>
                  <w:hideMark/>
                </w:tcPr>
                <w:p w14:paraId="1AD5999D" w14:textId="77777777" w:rsidR="002E73DB" w:rsidRPr="00073574" w:rsidRDefault="002E73DB" w:rsidP="00AB6DA6">
                  <w:pPr>
                    <w:spacing w:before="0"/>
                    <w:jc w:val="center"/>
                    <w:rPr>
                      <w:rFonts w:eastAsia="Times New Roman"/>
                      <w:b/>
                      <w:bCs/>
                      <w:color w:val="000000"/>
                      <w:szCs w:val="22"/>
                      <w:lang w:eastAsia="en-GB"/>
                    </w:rPr>
                  </w:pPr>
                  <w:r w:rsidRPr="00073574">
                    <w:rPr>
                      <w:rFonts w:eastAsia="Times New Roman"/>
                      <w:b/>
                      <w:bCs/>
                      <w:color w:val="000000"/>
                      <w:szCs w:val="22"/>
                      <w:lang w:eastAsia="en-GB"/>
                    </w:rPr>
                    <w:t>C11</w:t>
                  </w:r>
                </w:p>
              </w:tc>
            </w:tr>
            <w:tr w:rsidR="004A1051" w:rsidRPr="00073574" w14:paraId="61DD146E" w14:textId="77777777" w:rsidTr="00A814B5">
              <w:trPr>
                <w:trHeight w:val="327"/>
              </w:trPr>
              <w:tc>
                <w:tcPr>
                  <w:tcW w:w="555" w:type="dxa"/>
                  <w:tcBorders>
                    <w:top w:val="single" w:sz="4" w:space="0" w:color="auto"/>
                    <w:left w:val="single" w:sz="4" w:space="0" w:color="auto"/>
                    <w:bottom w:val="single" w:sz="4" w:space="0" w:color="auto"/>
                    <w:right w:val="single" w:sz="4" w:space="0" w:color="auto"/>
                  </w:tcBorders>
                  <w:shd w:val="clear" w:color="000000" w:fill="auto"/>
                  <w:hideMark/>
                </w:tcPr>
                <w:p w14:paraId="4261A855" w14:textId="48C0EB88" w:rsidR="004A1051" w:rsidRPr="004A1051" w:rsidRDefault="004A1051" w:rsidP="004A1051">
                  <w:pPr>
                    <w:spacing w:before="0"/>
                    <w:jc w:val="center"/>
                    <w:rPr>
                      <w:color w:val="000000"/>
                      <w:szCs w:val="22"/>
                    </w:rPr>
                  </w:pPr>
                  <w:r w:rsidRPr="004A1051">
                    <w:rPr>
                      <w:color w:val="000000"/>
                      <w:szCs w:val="22"/>
                    </w:rPr>
                    <w:t>30</w:t>
                  </w:r>
                </w:p>
              </w:tc>
              <w:tc>
                <w:tcPr>
                  <w:tcW w:w="708" w:type="dxa"/>
                  <w:tcBorders>
                    <w:top w:val="single" w:sz="4" w:space="0" w:color="auto"/>
                    <w:left w:val="nil"/>
                    <w:bottom w:val="single" w:sz="4" w:space="0" w:color="auto"/>
                    <w:right w:val="single" w:sz="4" w:space="0" w:color="auto"/>
                  </w:tcBorders>
                  <w:shd w:val="clear" w:color="000000" w:fill="auto"/>
                  <w:hideMark/>
                </w:tcPr>
                <w:p w14:paraId="3783937B" w14:textId="481B8676" w:rsidR="004A1051" w:rsidRPr="004A1051" w:rsidRDefault="004A1051" w:rsidP="004A1051">
                  <w:pPr>
                    <w:spacing w:before="0"/>
                    <w:jc w:val="center"/>
                    <w:rPr>
                      <w:color w:val="000000"/>
                      <w:szCs w:val="22"/>
                    </w:rPr>
                  </w:pPr>
                  <w:r w:rsidRPr="004A1051">
                    <w:rPr>
                      <w:color w:val="000000"/>
                      <w:szCs w:val="22"/>
                    </w:rPr>
                    <w:t>1753</w:t>
                  </w:r>
                </w:p>
              </w:tc>
              <w:tc>
                <w:tcPr>
                  <w:tcW w:w="563" w:type="dxa"/>
                  <w:tcBorders>
                    <w:top w:val="single" w:sz="4" w:space="0" w:color="auto"/>
                    <w:left w:val="nil"/>
                    <w:bottom w:val="single" w:sz="4" w:space="0" w:color="auto"/>
                    <w:right w:val="single" w:sz="4" w:space="0" w:color="auto"/>
                  </w:tcBorders>
                  <w:shd w:val="clear" w:color="000000" w:fill="auto"/>
                  <w:hideMark/>
                </w:tcPr>
                <w:p w14:paraId="4DBD9DEA" w14:textId="68949CEE" w:rsidR="004A1051" w:rsidRPr="004A1051" w:rsidRDefault="004A1051" w:rsidP="004A1051">
                  <w:pPr>
                    <w:spacing w:before="0"/>
                    <w:jc w:val="center"/>
                    <w:rPr>
                      <w:color w:val="000000"/>
                      <w:szCs w:val="22"/>
                    </w:rPr>
                  </w:pPr>
                  <w:r w:rsidRPr="004A1051">
                    <w:rPr>
                      <w:color w:val="000000"/>
                      <w:szCs w:val="22"/>
                    </w:rPr>
                    <w:t>0</w:t>
                  </w:r>
                </w:p>
              </w:tc>
              <w:tc>
                <w:tcPr>
                  <w:tcW w:w="563" w:type="dxa"/>
                  <w:tcBorders>
                    <w:top w:val="single" w:sz="4" w:space="0" w:color="auto"/>
                    <w:left w:val="nil"/>
                    <w:bottom w:val="single" w:sz="4" w:space="0" w:color="auto"/>
                    <w:right w:val="single" w:sz="4" w:space="0" w:color="auto"/>
                  </w:tcBorders>
                  <w:shd w:val="clear" w:color="000000" w:fill="auto"/>
                  <w:hideMark/>
                </w:tcPr>
                <w:p w14:paraId="7E5FF7BD" w14:textId="6AC58221" w:rsidR="004A1051" w:rsidRPr="004A1051" w:rsidRDefault="004A1051" w:rsidP="004A1051">
                  <w:pPr>
                    <w:spacing w:before="0"/>
                    <w:jc w:val="center"/>
                    <w:rPr>
                      <w:color w:val="000000"/>
                      <w:szCs w:val="22"/>
                    </w:rPr>
                  </w:pPr>
                  <w:r w:rsidRPr="004A1051">
                    <w:rPr>
                      <w:color w:val="000000"/>
                      <w:szCs w:val="22"/>
                    </w:rPr>
                    <w:t>33</w:t>
                  </w:r>
                </w:p>
              </w:tc>
              <w:tc>
                <w:tcPr>
                  <w:tcW w:w="576" w:type="dxa"/>
                  <w:tcBorders>
                    <w:top w:val="single" w:sz="4" w:space="0" w:color="auto"/>
                    <w:left w:val="nil"/>
                    <w:bottom w:val="single" w:sz="4" w:space="0" w:color="auto"/>
                    <w:right w:val="single" w:sz="4" w:space="0" w:color="auto"/>
                  </w:tcBorders>
                  <w:shd w:val="clear" w:color="000000" w:fill="auto"/>
                  <w:hideMark/>
                </w:tcPr>
                <w:p w14:paraId="42B016C7" w14:textId="3BBAE658" w:rsidR="004A1051" w:rsidRPr="004A1051" w:rsidRDefault="004A1051" w:rsidP="004A1051">
                  <w:pPr>
                    <w:spacing w:before="0"/>
                    <w:jc w:val="center"/>
                    <w:rPr>
                      <w:color w:val="000000"/>
                      <w:szCs w:val="22"/>
                    </w:rPr>
                  </w:pPr>
                  <w:r w:rsidRPr="004A1051">
                    <w:rPr>
                      <w:color w:val="000000"/>
                      <w:szCs w:val="22"/>
                    </w:rPr>
                    <w:t>255</w:t>
                  </w:r>
                </w:p>
              </w:tc>
              <w:tc>
                <w:tcPr>
                  <w:tcW w:w="691" w:type="dxa"/>
                  <w:tcBorders>
                    <w:top w:val="single" w:sz="4" w:space="0" w:color="auto"/>
                    <w:left w:val="nil"/>
                    <w:bottom w:val="single" w:sz="4" w:space="0" w:color="auto"/>
                    <w:right w:val="single" w:sz="4" w:space="0" w:color="auto"/>
                  </w:tcBorders>
                  <w:shd w:val="clear" w:color="000000" w:fill="auto"/>
                  <w:hideMark/>
                </w:tcPr>
                <w:p w14:paraId="7866B9B7" w14:textId="49CEF10A" w:rsidR="004A1051" w:rsidRPr="004A1051" w:rsidRDefault="004A1051" w:rsidP="004A1051">
                  <w:pPr>
                    <w:spacing w:before="0"/>
                    <w:jc w:val="center"/>
                    <w:rPr>
                      <w:color w:val="000000"/>
                      <w:szCs w:val="22"/>
                    </w:rPr>
                  </w:pPr>
                  <w:r w:rsidRPr="004A1051">
                    <w:rPr>
                      <w:color w:val="000000"/>
                      <w:szCs w:val="22"/>
                    </w:rPr>
                    <w:t>365</w:t>
                  </w:r>
                </w:p>
              </w:tc>
              <w:tc>
                <w:tcPr>
                  <w:tcW w:w="699" w:type="dxa"/>
                  <w:tcBorders>
                    <w:top w:val="single" w:sz="4" w:space="0" w:color="auto"/>
                    <w:left w:val="nil"/>
                    <w:bottom w:val="single" w:sz="4" w:space="0" w:color="auto"/>
                    <w:right w:val="single" w:sz="4" w:space="0" w:color="auto"/>
                  </w:tcBorders>
                  <w:shd w:val="clear" w:color="000000" w:fill="auto"/>
                  <w:hideMark/>
                </w:tcPr>
                <w:p w14:paraId="17EF9120" w14:textId="1A3E69C7" w:rsidR="004A1051" w:rsidRPr="004A1051" w:rsidRDefault="004A1051" w:rsidP="004A1051">
                  <w:pPr>
                    <w:spacing w:before="0"/>
                    <w:jc w:val="center"/>
                    <w:rPr>
                      <w:color w:val="000000"/>
                      <w:szCs w:val="22"/>
                    </w:rPr>
                  </w:pPr>
                  <w:r w:rsidRPr="004A1051">
                    <w:rPr>
                      <w:color w:val="000000"/>
                      <w:szCs w:val="22"/>
                    </w:rPr>
                    <w:t>465</w:t>
                  </w:r>
                </w:p>
              </w:tc>
              <w:tc>
                <w:tcPr>
                  <w:tcW w:w="563" w:type="dxa"/>
                  <w:tcBorders>
                    <w:top w:val="single" w:sz="4" w:space="0" w:color="auto"/>
                    <w:left w:val="nil"/>
                    <w:bottom w:val="single" w:sz="4" w:space="0" w:color="auto"/>
                    <w:right w:val="single" w:sz="4" w:space="0" w:color="auto"/>
                  </w:tcBorders>
                  <w:shd w:val="clear" w:color="000000" w:fill="auto"/>
                  <w:hideMark/>
                </w:tcPr>
                <w:p w14:paraId="5C9F44FA" w14:textId="53388730" w:rsidR="004A1051" w:rsidRPr="004A1051" w:rsidRDefault="004A1051" w:rsidP="004A1051">
                  <w:pPr>
                    <w:spacing w:before="0"/>
                    <w:jc w:val="center"/>
                    <w:rPr>
                      <w:color w:val="000000"/>
                      <w:szCs w:val="22"/>
                    </w:rPr>
                  </w:pPr>
                  <w:r w:rsidRPr="004A1051">
                    <w:rPr>
                      <w:color w:val="000000"/>
                      <w:szCs w:val="22"/>
                    </w:rPr>
                    <w:t>5</w:t>
                  </w:r>
                </w:p>
              </w:tc>
              <w:tc>
                <w:tcPr>
                  <w:tcW w:w="693" w:type="dxa"/>
                  <w:tcBorders>
                    <w:top w:val="single" w:sz="4" w:space="0" w:color="auto"/>
                    <w:left w:val="nil"/>
                    <w:bottom w:val="single" w:sz="4" w:space="0" w:color="auto"/>
                    <w:right w:val="single" w:sz="4" w:space="0" w:color="auto"/>
                  </w:tcBorders>
                  <w:shd w:val="clear" w:color="000000" w:fill="auto"/>
                  <w:hideMark/>
                </w:tcPr>
                <w:p w14:paraId="6526082E" w14:textId="3972B7EB" w:rsidR="004A1051" w:rsidRPr="004A1051" w:rsidRDefault="004A1051" w:rsidP="004A1051">
                  <w:pPr>
                    <w:spacing w:before="0"/>
                    <w:jc w:val="center"/>
                    <w:rPr>
                      <w:color w:val="000000"/>
                      <w:szCs w:val="22"/>
                    </w:rPr>
                  </w:pPr>
                  <w:r w:rsidRPr="004A1051">
                    <w:rPr>
                      <w:color w:val="000000"/>
                      <w:szCs w:val="22"/>
                    </w:rPr>
                    <w:t>39</w:t>
                  </w:r>
                </w:p>
              </w:tc>
              <w:tc>
                <w:tcPr>
                  <w:tcW w:w="630" w:type="dxa"/>
                  <w:tcBorders>
                    <w:top w:val="single" w:sz="4" w:space="0" w:color="auto"/>
                    <w:left w:val="nil"/>
                    <w:bottom w:val="single" w:sz="4" w:space="0" w:color="auto"/>
                    <w:right w:val="single" w:sz="4" w:space="0" w:color="auto"/>
                  </w:tcBorders>
                  <w:shd w:val="clear" w:color="000000" w:fill="auto"/>
                  <w:hideMark/>
                </w:tcPr>
                <w:p w14:paraId="7F14B2FC" w14:textId="73DBDE2C" w:rsidR="004A1051" w:rsidRPr="004A1051" w:rsidRDefault="004A1051" w:rsidP="004A1051">
                  <w:pPr>
                    <w:spacing w:before="0"/>
                    <w:jc w:val="center"/>
                    <w:rPr>
                      <w:color w:val="000000"/>
                      <w:szCs w:val="22"/>
                    </w:rPr>
                  </w:pPr>
                  <w:r w:rsidRPr="004A1051">
                    <w:rPr>
                      <w:color w:val="000000"/>
                      <w:szCs w:val="22"/>
                    </w:rPr>
                    <w:t>9</w:t>
                  </w:r>
                </w:p>
              </w:tc>
              <w:tc>
                <w:tcPr>
                  <w:tcW w:w="839" w:type="dxa"/>
                  <w:tcBorders>
                    <w:top w:val="single" w:sz="4" w:space="0" w:color="auto"/>
                    <w:left w:val="nil"/>
                    <w:bottom w:val="single" w:sz="4" w:space="0" w:color="auto"/>
                    <w:right w:val="single" w:sz="4" w:space="0" w:color="auto"/>
                  </w:tcBorders>
                  <w:shd w:val="clear" w:color="000000" w:fill="auto"/>
                  <w:hideMark/>
                </w:tcPr>
                <w:p w14:paraId="58236B6D" w14:textId="46BF6F59" w:rsidR="004A1051" w:rsidRPr="004A1051" w:rsidRDefault="004A1051" w:rsidP="004A1051">
                  <w:pPr>
                    <w:spacing w:before="0"/>
                    <w:jc w:val="center"/>
                    <w:rPr>
                      <w:color w:val="000000"/>
                      <w:szCs w:val="22"/>
                    </w:rPr>
                  </w:pPr>
                  <w:r w:rsidRPr="004A1051">
                    <w:rPr>
                      <w:color w:val="000000"/>
                      <w:szCs w:val="22"/>
                    </w:rPr>
                    <w:t>28</w:t>
                  </w:r>
                </w:p>
              </w:tc>
            </w:tr>
          </w:tbl>
          <w:p w14:paraId="7965A603" w14:textId="77777777" w:rsidR="002E73DB" w:rsidRPr="00073574" w:rsidRDefault="002E73DB" w:rsidP="00AB6DA6">
            <w:pPr>
              <w:spacing w:after="120"/>
              <w:rPr>
                <w:szCs w:val="22"/>
              </w:rPr>
            </w:pPr>
            <w:r w:rsidRPr="00073574">
              <w:rPr>
                <w:szCs w:val="22"/>
              </w:rPr>
              <w:t xml:space="preserve">For the entire set of ITU-T study group Questions that came into force in January 2021, </w:t>
            </w:r>
            <w:hyperlink r:id="rId622" w:history="1">
              <w:r w:rsidRPr="00073574">
                <w:rPr>
                  <w:rStyle w:val="Hyperlink"/>
                  <w:szCs w:val="22"/>
                </w:rPr>
                <w:t>TSAG RG-StdsStrat TD70</w:t>
              </w:r>
            </w:hyperlink>
            <w:r w:rsidRPr="00073574">
              <w:rPr>
                <w:szCs w:val="22"/>
              </w:rPr>
              <w:t xml:space="preserve"> collects the provided assignments of the Questions to the WSIS Action Lines, and to the UN Sustainable Development Goals.</w:t>
            </w:r>
          </w:p>
          <w:p w14:paraId="4B9EAA10" w14:textId="77777777" w:rsidR="002E73DB" w:rsidRPr="00073574" w:rsidRDefault="002E73DB" w:rsidP="00AB6DA6">
            <w:pPr>
              <w:spacing w:after="40"/>
              <w:rPr>
                <w:szCs w:val="22"/>
              </w:rPr>
            </w:pPr>
            <w:r w:rsidRPr="00073574">
              <w:rPr>
                <w:szCs w:val="22"/>
              </w:rPr>
              <w:t xml:space="preserve">TSB Director's report to Council is contained in </w:t>
            </w:r>
            <w:hyperlink r:id="rId623" w:history="1">
              <w:r w:rsidRPr="00073574">
                <w:rPr>
                  <w:rStyle w:val="Hyperlink"/>
                  <w:szCs w:val="22"/>
                </w:rPr>
                <w:t>C17/47</w:t>
              </w:r>
            </w:hyperlink>
            <w:r w:rsidRPr="00073574">
              <w:rPr>
                <w:rStyle w:val="Hyperlink"/>
                <w:szCs w:val="22"/>
              </w:rPr>
              <w:t xml:space="preserve">, </w:t>
            </w:r>
            <w:hyperlink r:id="rId624" w:history="1">
              <w:r w:rsidRPr="00073574">
                <w:rPr>
                  <w:rStyle w:val="Hyperlink"/>
                  <w:szCs w:val="22"/>
                </w:rPr>
                <w:t>C18/08</w:t>
              </w:r>
            </w:hyperlink>
            <w:r w:rsidRPr="00073574">
              <w:rPr>
                <w:rStyle w:val="Hyperlink"/>
                <w:szCs w:val="22"/>
              </w:rPr>
              <w:t xml:space="preserve">, </w:t>
            </w:r>
            <w:hyperlink r:id="rId625" w:history="1">
              <w:r w:rsidRPr="00073574">
                <w:rPr>
                  <w:rStyle w:val="Hyperlink"/>
                  <w:szCs w:val="22"/>
                </w:rPr>
                <w:t>C19/53</w:t>
              </w:r>
            </w:hyperlink>
            <w:r w:rsidRPr="00073574">
              <w:rPr>
                <w:szCs w:val="22"/>
              </w:rPr>
              <w:t xml:space="preserve">. TSB Director's reports are included in </w:t>
            </w:r>
            <w:hyperlink r:id="rId626" w:history="1">
              <w:r w:rsidRPr="00073574">
                <w:rPr>
                  <w:rStyle w:val="Hyperlink"/>
                  <w:szCs w:val="22"/>
                </w:rPr>
                <w:t>WG-WSIS-30/02</w:t>
              </w:r>
            </w:hyperlink>
            <w:r w:rsidRPr="00073574">
              <w:rPr>
                <w:szCs w:val="22"/>
              </w:rPr>
              <w:t xml:space="preserve">, </w:t>
            </w:r>
            <w:hyperlink r:id="rId627" w:history="1">
              <w:r w:rsidRPr="00073574">
                <w:rPr>
                  <w:rStyle w:val="Hyperlink"/>
                  <w:szCs w:val="22"/>
                </w:rPr>
                <w:t>WG-WSIS-31/07</w:t>
              </w:r>
            </w:hyperlink>
            <w:r w:rsidRPr="00073574">
              <w:rPr>
                <w:szCs w:val="22"/>
              </w:rPr>
              <w:t xml:space="preserve">, </w:t>
            </w:r>
            <w:hyperlink r:id="rId628" w:history="1">
              <w:r w:rsidRPr="00073574">
                <w:rPr>
                  <w:rStyle w:val="Hyperlink"/>
                  <w:szCs w:val="22"/>
                </w:rPr>
                <w:t>WG-WSIS-32-03</w:t>
              </w:r>
            </w:hyperlink>
            <w:r w:rsidRPr="00073574">
              <w:rPr>
                <w:rStyle w:val="Hyperlink"/>
                <w:szCs w:val="22"/>
              </w:rPr>
              <w:t xml:space="preserve">, </w:t>
            </w:r>
            <w:hyperlink r:id="rId629" w:history="1">
              <w:r w:rsidRPr="00073574">
                <w:rPr>
                  <w:rStyle w:val="Hyperlink"/>
                  <w:szCs w:val="22"/>
                </w:rPr>
                <w:t>WG-WSIS&amp;SDG-33-07</w:t>
              </w:r>
            </w:hyperlink>
            <w:r w:rsidRPr="00073574">
              <w:rPr>
                <w:rStyle w:val="Hyperlink"/>
                <w:szCs w:val="22"/>
              </w:rPr>
              <w:t xml:space="preserve">, </w:t>
            </w:r>
            <w:hyperlink r:id="rId630" w:history="1">
              <w:r w:rsidRPr="00073574">
                <w:rPr>
                  <w:rStyle w:val="Hyperlink"/>
                  <w:szCs w:val="22"/>
                </w:rPr>
                <w:t>WG-WSIS&amp;SDG-34-02</w:t>
              </w:r>
            </w:hyperlink>
            <w:r w:rsidRPr="00073574">
              <w:rPr>
                <w:szCs w:val="22"/>
              </w:rPr>
              <w:t xml:space="preserve">, </w:t>
            </w:r>
            <w:hyperlink r:id="rId631" w:history="1">
              <w:r w:rsidRPr="00073574">
                <w:rPr>
                  <w:rStyle w:val="Hyperlink"/>
                  <w:szCs w:val="22"/>
                </w:rPr>
                <w:t>WG-WSIS-37-07 Rev.1</w:t>
              </w:r>
            </w:hyperlink>
          </w:p>
          <w:p w14:paraId="20EF1416" w14:textId="77777777" w:rsidR="002E73DB" w:rsidRPr="00073574" w:rsidRDefault="002E73DB" w:rsidP="00AB6DA6">
            <w:pPr>
              <w:spacing w:after="40"/>
              <w:rPr>
                <w:szCs w:val="22"/>
              </w:rPr>
            </w:pPr>
            <w:r w:rsidRPr="00073574">
              <w:t xml:space="preserve">The annual reports of </w:t>
            </w:r>
            <w:r w:rsidRPr="00073574">
              <w:rPr>
                <w:rFonts w:cstheme="minorHAnsi"/>
                <w:bCs/>
              </w:rPr>
              <w:t>ITU’s contribution to the implementation of the WSIS Outcomes</w:t>
            </w:r>
            <w:r w:rsidRPr="00073574">
              <w:t xml:space="preserve"> are available at </w:t>
            </w:r>
            <w:hyperlink r:id="rId632" w:history="1">
              <w:r w:rsidRPr="00073574">
                <w:rPr>
                  <w:rStyle w:val="Hyperlink"/>
                </w:rPr>
                <w:t>https://www.itu.int/en/itu-wsis/Pages/Contribution.aspx</w:t>
              </w:r>
            </w:hyperlink>
            <w:r w:rsidRPr="00073574">
              <w:rPr>
                <w:rStyle w:val="Hyperlink"/>
                <w:color w:val="auto"/>
              </w:rPr>
              <w:t>.</w:t>
            </w:r>
          </w:p>
        </w:tc>
      </w:tr>
      <w:tr w:rsidR="00D80E40" w:rsidRPr="00073574" w14:paraId="029E0444" w14:textId="77777777" w:rsidTr="00E65463">
        <w:trPr>
          <w:jc w:val="center"/>
        </w:trPr>
        <w:tc>
          <w:tcPr>
            <w:tcW w:w="1119" w:type="dxa"/>
            <w:vMerge w:val="restart"/>
            <w:tcBorders>
              <w:top w:val="single" w:sz="12" w:space="0" w:color="auto"/>
            </w:tcBorders>
            <w:shd w:val="clear" w:color="auto" w:fill="auto"/>
          </w:tcPr>
          <w:p w14:paraId="1BF7E51A" w14:textId="77777777" w:rsidR="002E73DB" w:rsidRPr="00073574" w:rsidRDefault="002E73DB" w:rsidP="00AB6DA6">
            <w:pPr>
              <w:pStyle w:val="Tabletext"/>
              <w:keepNext/>
              <w:keepLines/>
              <w:rPr>
                <w:b/>
                <w:bCs/>
                <w:sz w:val="24"/>
                <w:szCs w:val="24"/>
              </w:rPr>
            </w:pPr>
            <w:r w:rsidRPr="00073574">
              <w:rPr>
                <w:b/>
                <w:bCs/>
                <w:sz w:val="24"/>
                <w:szCs w:val="24"/>
              </w:rPr>
              <w:lastRenderedPageBreak/>
              <w:t>75-03</w:t>
            </w:r>
          </w:p>
        </w:tc>
        <w:tc>
          <w:tcPr>
            <w:tcW w:w="4253" w:type="dxa"/>
            <w:tcBorders>
              <w:top w:val="single" w:sz="12" w:space="0" w:color="auto"/>
            </w:tcBorders>
            <w:shd w:val="clear" w:color="auto" w:fill="auto"/>
            <w:hideMark/>
          </w:tcPr>
          <w:p w14:paraId="101CCDBF" w14:textId="77777777" w:rsidR="002E73DB" w:rsidRPr="00073574" w:rsidRDefault="002E73DB" w:rsidP="00AB6DA6">
            <w:pPr>
              <w:pStyle w:val="Tabletext"/>
              <w:keepNext/>
              <w:keepLines/>
              <w:rPr>
                <w:b/>
                <w:bCs/>
                <w:sz w:val="24"/>
                <w:szCs w:val="24"/>
              </w:rPr>
            </w:pPr>
            <w:r w:rsidRPr="00073574">
              <w:rPr>
                <w:b/>
                <w:bCs/>
                <w:sz w:val="24"/>
                <w:szCs w:val="24"/>
              </w:rPr>
              <w:t>TSB Director to ensure concrete objectives and deadlines for activities in connection with WSIS outcomes, taking into account the 2030 Agenda for Sustainable Development in ITU-T operational plan. (i. TSBDir 2)</w:t>
            </w:r>
          </w:p>
        </w:tc>
        <w:tc>
          <w:tcPr>
            <w:tcW w:w="1596" w:type="dxa"/>
            <w:tcBorders>
              <w:top w:val="single" w:sz="12" w:space="0" w:color="auto"/>
            </w:tcBorders>
            <w:shd w:val="clear" w:color="auto" w:fill="auto"/>
            <w:vAlign w:val="center"/>
          </w:tcPr>
          <w:p w14:paraId="3C0DCDD0" w14:textId="77777777" w:rsidR="002E73DB" w:rsidRPr="00073574" w:rsidRDefault="002E73DB" w:rsidP="00AB6DA6">
            <w:pPr>
              <w:pStyle w:val="Tabletext"/>
              <w:keepNext/>
              <w:keepLines/>
              <w:jc w:val="center"/>
              <w:rPr>
                <w:b/>
                <w:bCs/>
                <w:sz w:val="24"/>
                <w:szCs w:val="24"/>
              </w:rPr>
            </w:pPr>
            <w:r w:rsidRPr="00073574">
              <w:rPr>
                <w:b/>
                <w:bCs/>
                <w:sz w:val="24"/>
                <w:szCs w:val="24"/>
              </w:rPr>
              <w:t>Ongoing</w:t>
            </w:r>
          </w:p>
        </w:tc>
        <w:tc>
          <w:tcPr>
            <w:tcW w:w="1537" w:type="dxa"/>
            <w:tcBorders>
              <w:top w:val="single" w:sz="12" w:space="0" w:color="auto"/>
            </w:tcBorders>
            <w:shd w:val="clear" w:color="auto" w:fill="auto"/>
            <w:vAlign w:val="center"/>
          </w:tcPr>
          <w:p w14:paraId="789D6B97" w14:textId="77777777" w:rsidR="002E73DB" w:rsidRPr="00073574" w:rsidRDefault="002E73DB" w:rsidP="00AB6DA6">
            <w:pPr>
              <w:pStyle w:val="Tabletext"/>
              <w:keepNext/>
              <w:keepLines/>
              <w:jc w:val="center"/>
              <w:rPr>
                <w:b/>
                <w:bCs/>
                <w:sz w:val="24"/>
                <w:szCs w:val="24"/>
              </w:rPr>
            </w:pPr>
            <w:r w:rsidRPr="00073574">
              <w:rPr>
                <w:b/>
                <w:bCs/>
                <w:sz w:val="24"/>
                <w:szCs w:val="24"/>
              </w:rPr>
              <w:t>√</w:t>
            </w:r>
          </w:p>
        </w:tc>
        <w:tc>
          <w:tcPr>
            <w:tcW w:w="1261" w:type="dxa"/>
            <w:tcBorders>
              <w:top w:val="single" w:sz="12" w:space="0" w:color="auto"/>
            </w:tcBorders>
            <w:shd w:val="clear" w:color="auto" w:fill="auto"/>
            <w:vAlign w:val="center"/>
          </w:tcPr>
          <w:p w14:paraId="4A35878D" w14:textId="77777777" w:rsidR="002E73DB" w:rsidRPr="00073574" w:rsidRDefault="002E73DB" w:rsidP="00AB6DA6">
            <w:pPr>
              <w:pStyle w:val="Tabletext"/>
              <w:keepNext/>
              <w:keepLines/>
              <w:jc w:val="center"/>
              <w:rPr>
                <w:b/>
                <w:bCs/>
                <w:sz w:val="24"/>
                <w:szCs w:val="24"/>
              </w:rPr>
            </w:pPr>
          </w:p>
        </w:tc>
      </w:tr>
      <w:tr w:rsidR="00D80E40" w:rsidRPr="00073574" w14:paraId="48086C0B" w14:textId="77777777" w:rsidTr="00E65463">
        <w:trPr>
          <w:jc w:val="center"/>
        </w:trPr>
        <w:tc>
          <w:tcPr>
            <w:tcW w:w="1119" w:type="dxa"/>
            <w:vMerge/>
          </w:tcPr>
          <w:p w14:paraId="03166898" w14:textId="77777777" w:rsidR="002E73DB" w:rsidRPr="00073574" w:rsidRDefault="002E73DB" w:rsidP="00AB6DA6">
            <w:pPr>
              <w:pStyle w:val="Tabletext"/>
              <w:keepNext/>
              <w:keepLines/>
              <w:rPr>
                <w:sz w:val="24"/>
                <w:szCs w:val="24"/>
              </w:rPr>
            </w:pPr>
          </w:p>
        </w:tc>
        <w:tc>
          <w:tcPr>
            <w:tcW w:w="8647" w:type="dxa"/>
            <w:gridSpan w:val="4"/>
            <w:tcBorders>
              <w:bottom w:val="single" w:sz="12" w:space="0" w:color="auto"/>
            </w:tcBorders>
            <w:shd w:val="clear" w:color="auto" w:fill="auto"/>
          </w:tcPr>
          <w:p w14:paraId="0DB73211" w14:textId="77777777" w:rsidR="002E73DB" w:rsidRPr="00073574" w:rsidRDefault="002E73DB" w:rsidP="00AB6DA6">
            <w:pPr>
              <w:pStyle w:val="Tabletext"/>
              <w:keepNext/>
              <w:keepLines/>
              <w:rPr>
                <w:szCs w:val="22"/>
              </w:rPr>
            </w:pPr>
            <w:r w:rsidRPr="00073574">
              <w:rPr>
                <w:szCs w:val="22"/>
              </w:rPr>
              <w:t>The ITU Strategic plan 2020-2023 approved by PP-18 takes into account the 2030 agenda for SDGs.</w:t>
            </w:r>
          </w:p>
        </w:tc>
      </w:tr>
      <w:tr w:rsidR="00D80E40" w:rsidRPr="00073574" w14:paraId="3E4B5AB8" w14:textId="77777777" w:rsidTr="00E65463">
        <w:trPr>
          <w:jc w:val="center"/>
        </w:trPr>
        <w:tc>
          <w:tcPr>
            <w:tcW w:w="1119" w:type="dxa"/>
            <w:vMerge w:val="restart"/>
            <w:tcBorders>
              <w:top w:val="single" w:sz="12" w:space="0" w:color="auto"/>
            </w:tcBorders>
            <w:shd w:val="clear" w:color="auto" w:fill="auto"/>
          </w:tcPr>
          <w:p w14:paraId="0625CB38" w14:textId="77777777" w:rsidR="002E73DB" w:rsidRPr="00073574" w:rsidRDefault="002E73DB" w:rsidP="00AB6DA6">
            <w:pPr>
              <w:pStyle w:val="Tabletext"/>
              <w:rPr>
                <w:b/>
                <w:bCs/>
                <w:sz w:val="24"/>
                <w:szCs w:val="24"/>
              </w:rPr>
            </w:pPr>
            <w:r w:rsidRPr="00073574">
              <w:rPr>
                <w:b/>
                <w:bCs/>
                <w:sz w:val="24"/>
                <w:szCs w:val="24"/>
              </w:rPr>
              <w:t>75-04</w:t>
            </w:r>
          </w:p>
        </w:tc>
        <w:tc>
          <w:tcPr>
            <w:tcW w:w="4253" w:type="dxa"/>
            <w:tcBorders>
              <w:top w:val="single" w:sz="12" w:space="0" w:color="auto"/>
            </w:tcBorders>
            <w:shd w:val="clear" w:color="auto" w:fill="auto"/>
          </w:tcPr>
          <w:p w14:paraId="72F1CFD9" w14:textId="77777777" w:rsidR="002E73DB" w:rsidRPr="00073574" w:rsidRDefault="002E73DB" w:rsidP="00AB6DA6">
            <w:pPr>
              <w:pStyle w:val="Tabletext"/>
              <w:rPr>
                <w:b/>
                <w:bCs/>
                <w:sz w:val="24"/>
                <w:szCs w:val="24"/>
              </w:rPr>
            </w:pPr>
            <w:r w:rsidRPr="00073574">
              <w:rPr>
                <w:b/>
                <w:bCs/>
                <w:sz w:val="24"/>
                <w:szCs w:val="24"/>
              </w:rPr>
              <w:t>ITU-T study groups and TSB to contribute to achievement of the objectives of the 2030 Agenda for Sustainable Development</w:t>
            </w:r>
          </w:p>
        </w:tc>
        <w:tc>
          <w:tcPr>
            <w:tcW w:w="1596" w:type="dxa"/>
            <w:tcBorders>
              <w:top w:val="single" w:sz="12" w:space="0" w:color="auto"/>
            </w:tcBorders>
            <w:shd w:val="clear" w:color="auto" w:fill="auto"/>
            <w:vAlign w:val="center"/>
          </w:tcPr>
          <w:p w14:paraId="41BFB3FD" w14:textId="77777777" w:rsidR="002E73DB" w:rsidRPr="00073574" w:rsidRDefault="002E73DB" w:rsidP="00AB6DA6">
            <w:pPr>
              <w:pStyle w:val="Tabletext"/>
              <w:jc w:val="center"/>
              <w:rPr>
                <w:b/>
                <w:bCs/>
                <w:sz w:val="24"/>
                <w:szCs w:val="24"/>
              </w:rPr>
            </w:pPr>
            <w:r w:rsidRPr="00073574">
              <w:rPr>
                <w:b/>
                <w:bCs/>
                <w:sz w:val="24"/>
                <w:szCs w:val="24"/>
              </w:rPr>
              <w:t>Ongoing</w:t>
            </w:r>
          </w:p>
        </w:tc>
        <w:tc>
          <w:tcPr>
            <w:tcW w:w="1537" w:type="dxa"/>
            <w:tcBorders>
              <w:top w:val="single" w:sz="12" w:space="0" w:color="auto"/>
            </w:tcBorders>
            <w:shd w:val="clear" w:color="auto" w:fill="auto"/>
            <w:vAlign w:val="center"/>
          </w:tcPr>
          <w:p w14:paraId="7268C9FF" w14:textId="77777777" w:rsidR="002E73DB" w:rsidRPr="00073574" w:rsidDel="005432B4" w:rsidRDefault="002E73DB" w:rsidP="00AB6DA6">
            <w:pPr>
              <w:pStyle w:val="Tabletext"/>
              <w:jc w:val="center"/>
              <w:rPr>
                <w:b/>
                <w:bCs/>
                <w:sz w:val="24"/>
                <w:szCs w:val="24"/>
              </w:rPr>
            </w:pPr>
            <w:r w:rsidRPr="00073574">
              <w:rPr>
                <w:b/>
                <w:bCs/>
                <w:sz w:val="24"/>
                <w:szCs w:val="24"/>
              </w:rPr>
              <w:t>√</w:t>
            </w:r>
          </w:p>
        </w:tc>
        <w:tc>
          <w:tcPr>
            <w:tcW w:w="1261" w:type="dxa"/>
            <w:tcBorders>
              <w:top w:val="single" w:sz="12" w:space="0" w:color="auto"/>
            </w:tcBorders>
            <w:shd w:val="clear" w:color="auto" w:fill="auto"/>
            <w:vAlign w:val="center"/>
          </w:tcPr>
          <w:p w14:paraId="391A3AB7" w14:textId="77777777" w:rsidR="002E73DB" w:rsidRPr="00073574" w:rsidRDefault="002E73DB" w:rsidP="00AB6DA6">
            <w:pPr>
              <w:pStyle w:val="Tabletext"/>
              <w:jc w:val="center"/>
              <w:rPr>
                <w:b/>
                <w:bCs/>
                <w:sz w:val="24"/>
                <w:szCs w:val="24"/>
              </w:rPr>
            </w:pPr>
          </w:p>
        </w:tc>
      </w:tr>
      <w:tr w:rsidR="00D80E40" w:rsidRPr="00073574" w14:paraId="2B7A9D27" w14:textId="77777777" w:rsidTr="00E65463">
        <w:trPr>
          <w:jc w:val="center"/>
        </w:trPr>
        <w:tc>
          <w:tcPr>
            <w:tcW w:w="1119" w:type="dxa"/>
            <w:vMerge/>
            <w:vAlign w:val="center"/>
          </w:tcPr>
          <w:p w14:paraId="6BE40F52" w14:textId="77777777" w:rsidR="002E73DB" w:rsidRPr="00073574" w:rsidRDefault="002E73DB" w:rsidP="00AB6DA6">
            <w:pPr>
              <w:pStyle w:val="Tabletext"/>
              <w:rPr>
                <w:sz w:val="24"/>
                <w:szCs w:val="24"/>
              </w:rPr>
            </w:pPr>
          </w:p>
        </w:tc>
        <w:tc>
          <w:tcPr>
            <w:tcW w:w="8647" w:type="dxa"/>
            <w:gridSpan w:val="4"/>
            <w:shd w:val="clear" w:color="auto" w:fill="auto"/>
          </w:tcPr>
          <w:p w14:paraId="272CABC2" w14:textId="77777777" w:rsidR="002E73DB" w:rsidRPr="00073574" w:rsidRDefault="002E73DB" w:rsidP="00AB6DA6">
            <w:pPr>
              <w:pStyle w:val="Tabletext"/>
            </w:pPr>
            <w:r w:rsidRPr="00073574">
              <w:t>See 75-02.</w:t>
            </w:r>
          </w:p>
          <w:p w14:paraId="77C60BC3" w14:textId="77777777" w:rsidR="002E73DB" w:rsidRPr="00073574" w:rsidRDefault="002E73DB" w:rsidP="00AB6DA6">
            <w:pPr>
              <w:pStyle w:val="ListParagraph"/>
              <w:numPr>
                <w:ilvl w:val="0"/>
                <w:numId w:val="38"/>
              </w:numPr>
              <w:spacing w:after="120"/>
              <w:contextualSpacing w:val="0"/>
              <w:rPr>
                <w:rFonts w:eastAsia="Batang"/>
                <w:lang w:eastAsia="zh-CN"/>
              </w:rPr>
            </w:pPr>
            <w:r w:rsidRPr="00073574">
              <w:rPr>
                <w:rFonts w:eastAsia="Batang"/>
                <w:lang w:eastAsia="zh-CN"/>
              </w:rPr>
              <w:t xml:space="preserve">SG5 has a dedicated Question on "Climate change and assessment of information and </w:t>
            </w:r>
            <w:r w:rsidRPr="00073574">
              <w:t>communication</w:t>
            </w:r>
            <w:r w:rsidRPr="00073574">
              <w:rPr>
                <w:rFonts w:eastAsia="Batang"/>
                <w:lang w:eastAsia="zh-CN"/>
              </w:rPr>
              <w:t xml:space="preserve"> technology (ICT) in the framework of the Sustainable Development Goals (SDGs)".</w:t>
            </w:r>
          </w:p>
          <w:p w14:paraId="03BE3353" w14:textId="77FEADDC" w:rsidR="002E73DB" w:rsidRPr="00073574" w:rsidRDefault="002E73DB" w:rsidP="00AB6DA6">
            <w:pPr>
              <w:pStyle w:val="ListParagraph"/>
              <w:spacing w:after="120"/>
              <w:ind w:left="360"/>
              <w:contextualSpacing w:val="0"/>
              <w:rPr>
                <w:rFonts w:eastAsia="Batang"/>
                <w:lang w:eastAsia="zh-CN"/>
              </w:rPr>
            </w:pPr>
            <w:r w:rsidRPr="00073574">
              <w:rPr>
                <w:rFonts w:eastAsia="Batang"/>
                <w:lang w:eastAsia="zh-CN"/>
              </w:rPr>
              <w:t xml:space="preserve">Additionally, SG5 is working on Energy efficiency and 5G and circular economy including e-waste. SG5 </w:t>
            </w:r>
            <w:r w:rsidR="002C2D52" w:rsidRPr="00073574">
              <w:rPr>
                <w:rFonts w:eastAsia="Batang"/>
                <w:lang w:eastAsia="zh-CN"/>
              </w:rPr>
              <w:t>created</w:t>
            </w:r>
            <w:r w:rsidRPr="00073574">
              <w:rPr>
                <w:rFonts w:eastAsia="Batang"/>
                <w:lang w:eastAsia="zh-CN"/>
              </w:rPr>
              <w:t xml:space="preserve"> the Focus Group on Environmental Efficiency for Artificial Intelligence and other emerging technologies.</w:t>
            </w:r>
          </w:p>
          <w:p w14:paraId="32C3B7D1" w14:textId="77777777" w:rsidR="002E73DB" w:rsidRPr="00073574" w:rsidRDefault="002E73DB" w:rsidP="00AB6DA6">
            <w:pPr>
              <w:pStyle w:val="ListParagraph"/>
              <w:numPr>
                <w:ilvl w:val="0"/>
                <w:numId w:val="38"/>
              </w:numPr>
              <w:spacing w:after="120"/>
              <w:contextualSpacing w:val="0"/>
              <w:rPr>
                <w:rFonts w:eastAsia="Batang"/>
                <w:lang w:eastAsia="zh-CN"/>
              </w:rPr>
            </w:pPr>
            <w:r w:rsidRPr="00073574">
              <w:rPr>
                <w:rFonts w:eastAsia="Batang"/>
                <w:lang w:eastAsia="zh-CN"/>
              </w:rPr>
              <w:t>For SG13 involvement, please see its work on 5G and trusted infrastructures.</w:t>
            </w:r>
          </w:p>
          <w:p w14:paraId="196F9D67" w14:textId="1DB964FF" w:rsidR="002E73DB" w:rsidRPr="00073574" w:rsidRDefault="002E73DB" w:rsidP="00AB6DA6">
            <w:pPr>
              <w:pStyle w:val="ListParagraph"/>
              <w:numPr>
                <w:ilvl w:val="0"/>
                <w:numId w:val="38"/>
              </w:numPr>
              <w:spacing w:after="120"/>
              <w:contextualSpacing w:val="0"/>
              <w:rPr>
                <w:sz w:val="24"/>
              </w:rPr>
            </w:pPr>
            <w:r w:rsidRPr="00073574">
              <w:rPr>
                <w:rFonts w:eastAsia="Batang"/>
                <w:lang w:eastAsia="zh-CN"/>
              </w:rPr>
              <w:t xml:space="preserve">ITU-T SG20 works in particular to help countries and cities to achieve SDG 11 on Sustainable Cities and Communities. ITU is organizing a </w:t>
            </w:r>
            <w:hyperlink r:id="rId633" w:history="1">
              <w:r w:rsidRPr="00073574">
                <w:rPr>
                  <w:rStyle w:val="Hyperlink"/>
                  <w:rFonts w:eastAsia="Batang"/>
                  <w:lang w:eastAsia="zh-CN"/>
                </w:rPr>
                <w:t>Webinar series on Digital transformation for cities and communities</w:t>
              </w:r>
            </w:hyperlink>
            <w:r w:rsidRPr="00073574">
              <w:rPr>
                <w:rFonts w:eastAsia="Batang"/>
                <w:lang w:eastAsia="zh-CN"/>
              </w:rPr>
              <w:t xml:space="preserve"> which discusses topics related to Digital transformation for cities and communities. ITU-T SG20 created a new Focus Group on "Artificial Intelligence (AI) and Internet of Things (IoT) for Digital Agriculture" (FG-AI4A) to help achieve SDG2, SDG6, SDG8, SDG9, SDG12, SDG13 and SDG15. U4SSC is a UN initiative coordinated by ITU, UN-Habitat and UNECE and supported by other 14 UN bodies to achieve SDG11.</w:t>
            </w:r>
          </w:p>
          <w:p w14:paraId="69F62F0A" w14:textId="77777777" w:rsidR="002E73DB" w:rsidRPr="00073574" w:rsidRDefault="002E73DB" w:rsidP="00AB6DA6">
            <w:pPr>
              <w:pStyle w:val="ListParagraph"/>
              <w:numPr>
                <w:ilvl w:val="0"/>
                <w:numId w:val="38"/>
              </w:numPr>
              <w:spacing w:after="120"/>
              <w:ind w:left="357" w:hanging="357"/>
              <w:contextualSpacing w:val="0"/>
              <w:rPr>
                <w:sz w:val="24"/>
              </w:rPr>
            </w:pPr>
            <w:r w:rsidRPr="00073574">
              <w:rPr>
                <w:rFonts w:eastAsia="Batang"/>
                <w:lang w:eastAsia="zh-CN"/>
              </w:rPr>
              <w:t>Updated ITU roadmaps for WSIS Action Lines C2, C5 and C6 are provided in TSAG-</w:t>
            </w:r>
            <w:hyperlink r:id="rId634">
              <w:r w:rsidRPr="00073574">
                <w:rPr>
                  <w:rStyle w:val="Hyperlink"/>
                </w:rPr>
                <w:t>TD41</w:t>
              </w:r>
            </w:hyperlink>
            <w:r w:rsidRPr="00073574">
              <w:rPr>
                <w:rStyle w:val="Hyperlink"/>
                <w:color w:val="auto"/>
                <w:u w:val="none"/>
              </w:rPr>
              <w:t xml:space="preserve">. The General Secretariat is preparing in 2019 a further update to the </w:t>
            </w:r>
            <w:r w:rsidRPr="00073574">
              <w:rPr>
                <w:rFonts w:eastAsia="Batang"/>
                <w:lang w:eastAsia="zh-CN"/>
              </w:rPr>
              <w:t>ITU roadmaps for WSIS Action Lines C2, C5 and C6 which includes amendments by ITU-T.</w:t>
            </w:r>
          </w:p>
          <w:p w14:paraId="24777C6F" w14:textId="77777777" w:rsidR="002E73DB" w:rsidRPr="00073574" w:rsidRDefault="002E73DB" w:rsidP="00AB6DA6">
            <w:pPr>
              <w:pStyle w:val="ListParagraph"/>
              <w:numPr>
                <w:ilvl w:val="0"/>
                <w:numId w:val="38"/>
              </w:numPr>
              <w:rPr>
                <w:sz w:val="24"/>
              </w:rPr>
            </w:pPr>
            <w:r w:rsidRPr="00073574">
              <w:t xml:space="preserve">For the entire set of ITU-T study group Questions that came into force in January 2021, </w:t>
            </w:r>
            <w:hyperlink r:id="rId635" w:history="1">
              <w:r w:rsidRPr="00073574">
                <w:rPr>
                  <w:rStyle w:val="Hyperlink"/>
                </w:rPr>
                <w:t>TSAG RG-StdsStrat TD70</w:t>
              </w:r>
            </w:hyperlink>
            <w:r w:rsidRPr="00073574">
              <w:t xml:space="preserve"> collects the provided assignments of the Questions to the WSIS Action Lines, and to the UN Sustainable Development Goals.</w:t>
            </w:r>
          </w:p>
          <w:p w14:paraId="16ED7416" w14:textId="77777777" w:rsidR="002E73DB" w:rsidRPr="00073574" w:rsidRDefault="002E73DB" w:rsidP="00AB6DA6">
            <w:pPr>
              <w:pStyle w:val="ListParagraph"/>
              <w:numPr>
                <w:ilvl w:val="0"/>
                <w:numId w:val="38"/>
              </w:numPr>
            </w:pPr>
            <w:r w:rsidRPr="00073574">
              <w:t>SG17 assigned its Questions in most relevance to UN SDGs 8 (Decent Work and Economic Growth), 9 (Industry, Innovation and Infrastructure), and 11 (Sustainable Cities and Communities).</w:t>
            </w:r>
          </w:p>
          <w:p w14:paraId="2E8B2797" w14:textId="77777777" w:rsidR="002E73DB" w:rsidRPr="00073574" w:rsidRDefault="002E73DB" w:rsidP="00AB6DA6">
            <w:pPr>
              <w:pStyle w:val="ListParagraph"/>
              <w:numPr>
                <w:ilvl w:val="0"/>
                <w:numId w:val="38"/>
              </w:numPr>
              <w:spacing w:after="120"/>
              <w:ind w:left="357" w:hanging="357"/>
              <w:contextualSpacing w:val="0"/>
              <w:rPr>
                <w:sz w:val="24"/>
              </w:rPr>
            </w:pPr>
            <w:r w:rsidRPr="00073574">
              <w:t xml:space="preserve">ITU is organizing the </w:t>
            </w:r>
            <w:hyperlink r:id="rId636" w:history="1">
              <w:r w:rsidRPr="00073574">
                <w:rPr>
                  <w:rStyle w:val="Hyperlink"/>
                </w:rPr>
                <w:t>Sustainable Digital Transformation Dialogues (SDTD)</w:t>
              </w:r>
            </w:hyperlink>
            <w:r w:rsidRPr="00073574">
              <w:t xml:space="preserve"> taking place virtually from 28 to 30 September 2021. The overarching theme of this virtual event is to lead a global discussion on sustainable digital transformation (particularly in the Africa, Arab, and Latin America regions) and the Sustainable Development Goals. The main objective is to provide an international platform where all stakeholders can gather to share their experiences and identify common solutions and opportunities in sustainable digital transformation. It encourages a closer look at the role played by policies and international standards in the process and how these may facilitate positive change. Through meaningful exchanges of dialogues, the event will reshape the global narratives of digital transformation and create new opportunities for cooperation and collaboration.</w:t>
            </w:r>
          </w:p>
        </w:tc>
      </w:tr>
      <w:tr w:rsidR="00D80E40" w:rsidRPr="00073574" w14:paraId="2FAD24E4" w14:textId="77777777" w:rsidTr="00E65463">
        <w:trPr>
          <w:jc w:val="center"/>
        </w:trPr>
        <w:tc>
          <w:tcPr>
            <w:tcW w:w="1119" w:type="dxa"/>
            <w:vMerge w:val="restart"/>
            <w:tcBorders>
              <w:top w:val="single" w:sz="12" w:space="0" w:color="auto"/>
            </w:tcBorders>
            <w:shd w:val="clear" w:color="auto" w:fill="auto"/>
          </w:tcPr>
          <w:p w14:paraId="19EBBE15" w14:textId="77777777" w:rsidR="002E73DB" w:rsidRPr="00073574" w:rsidRDefault="002E73DB" w:rsidP="00AB6DA6">
            <w:pPr>
              <w:pStyle w:val="Tabletext"/>
              <w:rPr>
                <w:b/>
                <w:bCs/>
                <w:sz w:val="24"/>
                <w:szCs w:val="24"/>
              </w:rPr>
            </w:pPr>
            <w:r w:rsidRPr="00073574">
              <w:rPr>
                <w:b/>
                <w:bCs/>
                <w:sz w:val="24"/>
                <w:szCs w:val="24"/>
              </w:rPr>
              <w:lastRenderedPageBreak/>
              <w:t>75-05</w:t>
            </w:r>
          </w:p>
        </w:tc>
        <w:tc>
          <w:tcPr>
            <w:tcW w:w="4253" w:type="dxa"/>
            <w:tcBorders>
              <w:top w:val="single" w:sz="12" w:space="0" w:color="auto"/>
            </w:tcBorders>
            <w:shd w:val="clear" w:color="auto" w:fill="auto"/>
          </w:tcPr>
          <w:p w14:paraId="03E7E81A" w14:textId="77777777" w:rsidR="002E73DB" w:rsidRPr="00073574" w:rsidRDefault="002E73DB" w:rsidP="00AB6DA6">
            <w:pPr>
              <w:pStyle w:val="Tabletext"/>
              <w:rPr>
                <w:b/>
                <w:bCs/>
                <w:sz w:val="24"/>
                <w:szCs w:val="24"/>
              </w:rPr>
            </w:pPr>
            <w:r w:rsidRPr="00073574">
              <w:rPr>
                <w:b/>
                <w:bCs/>
                <w:sz w:val="24"/>
                <w:szCs w:val="24"/>
              </w:rPr>
              <w:t>TSBDir to provide information on emerging trends based on ITU-T activities (</w:t>
            </w:r>
            <w:r w:rsidRPr="00073574">
              <w:rPr>
                <w:b/>
                <w:bCs/>
                <w:i/>
                <w:iCs/>
                <w:sz w:val="24"/>
                <w:szCs w:val="24"/>
              </w:rPr>
              <w:t>instructs 3</w:t>
            </w:r>
            <w:r w:rsidRPr="00073574">
              <w:rPr>
                <w:b/>
                <w:bCs/>
                <w:sz w:val="24"/>
                <w:szCs w:val="24"/>
              </w:rPr>
              <w:t>).</w:t>
            </w:r>
          </w:p>
        </w:tc>
        <w:tc>
          <w:tcPr>
            <w:tcW w:w="1596" w:type="dxa"/>
            <w:tcBorders>
              <w:top w:val="single" w:sz="12" w:space="0" w:color="auto"/>
            </w:tcBorders>
            <w:shd w:val="clear" w:color="auto" w:fill="auto"/>
            <w:vAlign w:val="center"/>
          </w:tcPr>
          <w:p w14:paraId="72BFD0F5" w14:textId="77777777" w:rsidR="002E73DB" w:rsidRPr="00073574" w:rsidRDefault="002E73DB" w:rsidP="00AB6DA6">
            <w:pPr>
              <w:pStyle w:val="Tabletext"/>
              <w:jc w:val="center"/>
              <w:rPr>
                <w:b/>
                <w:bCs/>
                <w:sz w:val="24"/>
                <w:szCs w:val="24"/>
              </w:rPr>
            </w:pPr>
            <w:r w:rsidRPr="00073574">
              <w:rPr>
                <w:b/>
                <w:bCs/>
                <w:sz w:val="24"/>
                <w:szCs w:val="24"/>
              </w:rPr>
              <w:t>Ongoing</w:t>
            </w:r>
          </w:p>
        </w:tc>
        <w:tc>
          <w:tcPr>
            <w:tcW w:w="1537" w:type="dxa"/>
            <w:tcBorders>
              <w:top w:val="single" w:sz="12" w:space="0" w:color="auto"/>
            </w:tcBorders>
            <w:shd w:val="clear" w:color="auto" w:fill="auto"/>
            <w:vAlign w:val="center"/>
          </w:tcPr>
          <w:p w14:paraId="43C04AF4" w14:textId="77777777" w:rsidR="002E73DB" w:rsidRPr="00073574" w:rsidDel="005432B4" w:rsidRDefault="002E73DB" w:rsidP="00AB6DA6">
            <w:pPr>
              <w:pStyle w:val="Tabletext"/>
              <w:jc w:val="center"/>
              <w:rPr>
                <w:b/>
                <w:bCs/>
                <w:sz w:val="24"/>
                <w:szCs w:val="24"/>
              </w:rPr>
            </w:pPr>
            <w:r w:rsidRPr="00073574">
              <w:rPr>
                <w:b/>
                <w:bCs/>
                <w:sz w:val="24"/>
                <w:szCs w:val="24"/>
              </w:rPr>
              <w:t>√</w:t>
            </w:r>
          </w:p>
        </w:tc>
        <w:tc>
          <w:tcPr>
            <w:tcW w:w="1261" w:type="dxa"/>
            <w:tcBorders>
              <w:top w:val="single" w:sz="12" w:space="0" w:color="auto"/>
            </w:tcBorders>
            <w:shd w:val="clear" w:color="auto" w:fill="auto"/>
            <w:vAlign w:val="center"/>
          </w:tcPr>
          <w:p w14:paraId="43084789" w14:textId="77777777" w:rsidR="002E73DB" w:rsidRPr="00073574" w:rsidRDefault="002E73DB" w:rsidP="00AB6DA6">
            <w:pPr>
              <w:pStyle w:val="Tabletext"/>
              <w:jc w:val="center"/>
              <w:rPr>
                <w:b/>
                <w:bCs/>
                <w:sz w:val="24"/>
                <w:szCs w:val="24"/>
              </w:rPr>
            </w:pPr>
          </w:p>
        </w:tc>
      </w:tr>
      <w:tr w:rsidR="00D80E40" w:rsidRPr="00073574" w14:paraId="5048B5C3" w14:textId="77777777" w:rsidTr="00E65463">
        <w:trPr>
          <w:jc w:val="center"/>
        </w:trPr>
        <w:tc>
          <w:tcPr>
            <w:tcW w:w="1119" w:type="dxa"/>
            <w:vMerge/>
            <w:vAlign w:val="center"/>
          </w:tcPr>
          <w:p w14:paraId="206D1BAB" w14:textId="77777777" w:rsidR="002E73DB" w:rsidRPr="00073574" w:rsidRDefault="002E73DB" w:rsidP="00AB6DA6">
            <w:pPr>
              <w:pStyle w:val="Tabletext"/>
              <w:rPr>
                <w:sz w:val="24"/>
                <w:szCs w:val="24"/>
              </w:rPr>
            </w:pPr>
          </w:p>
        </w:tc>
        <w:tc>
          <w:tcPr>
            <w:tcW w:w="8647" w:type="dxa"/>
            <w:gridSpan w:val="4"/>
            <w:shd w:val="clear" w:color="auto" w:fill="auto"/>
          </w:tcPr>
          <w:p w14:paraId="14CB249F" w14:textId="77777777" w:rsidR="002E73DB" w:rsidRPr="00073574" w:rsidRDefault="002E73DB" w:rsidP="00AB6DA6">
            <w:pPr>
              <w:spacing w:after="120"/>
              <w:rPr>
                <w:szCs w:val="22"/>
              </w:rPr>
            </w:pPr>
            <w:r w:rsidRPr="00073574">
              <w:rPr>
                <w:szCs w:val="22"/>
              </w:rPr>
              <w:t xml:space="preserve">TSB organizes a wealth of ITU Workshops, seminars, webinars each year, that address emerging technologies and trends; see </w:t>
            </w:r>
            <w:hyperlink r:id="rId637" w:history="1">
              <w:r w:rsidRPr="00073574">
                <w:rPr>
                  <w:rStyle w:val="Hyperlink"/>
                  <w:szCs w:val="22"/>
                </w:rPr>
                <w:t>https://www.itu.int/en/ITU-T/Workshops-and-Seminars</w:t>
              </w:r>
            </w:hyperlink>
            <w:r w:rsidRPr="00073574">
              <w:rPr>
                <w:szCs w:val="22"/>
              </w:rPr>
              <w:t>. Other related activities are ITU AI Summits, and ITU-T Focus Groups that investigate new trends. The activities are reported regularly in the TSB Director activities report to TSAG.</w:t>
            </w:r>
          </w:p>
        </w:tc>
      </w:tr>
    </w:tbl>
    <w:p w14:paraId="1071D70E" w14:textId="77777777" w:rsidR="002E73DB" w:rsidRPr="00073574" w:rsidRDefault="0053741E" w:rsidP="002E73DB">
      <w:pPr>
        <w:rPr>
          <w:sz w:val="24"/>
        </w:rPr>
      </w:pPr>
      <w:hyperlink w:anchor="Top" w:history="1">
        <w:r w:rsidR="002E73DB" w:rsidRPr="00073574">
          <w:rPr>
            <w:rStyle w:val="Hyperlink"/>
            <w:rFonts w:eastAsia="Times New Roman"/>
            <w:sz w:val="24"/>
          </w:rPr>
          <w:t>» Top</w:t>
        </w:r>
      </w:hyperlink>
    </w:p>
    <w:p w14:paraId="7A53E60F" w14:textId="77777777" w:rsidR="002E73DB" w:rsidRPr="00073574" w:rsidRDefault="002E73DB" w:rsidP="002E73DB"/>
    <w:p w14:paraId="38E89518" w14:textId="77777777" w:rsidR="00F0236A" w:rsidRPr="00073574" w:rsidRDefault="00F0236A" w:rsidP="00CE2E05">
      <w:pPr>
        <w:pStyle w:val="Heading1"/>
        <w:keepNext/>
        <w:keepLines/>
        <w:rPr>
          <w:sz w:val="24"/>
          <w:szCs w:val="24"/>
          <w:lang w:val="en-GB"/>
        </w:rPr>
      </w:pPr>
      <w:bookmarkStart w:id="432" w:name="_Toc93425278"/>
      <w:r w:rsidRPr="00073574">
        <w:rPr>
          <w:sz w:val="24"/>
          <w:szCs w:val="24"/>
          <w:lang w:val="en-GB"/>
        </w:rPr>
        <w:t>Resolution 76 - Studies related to conformance and interoperability testing, assistance to developing countries, and a possible future ITU mark programme</w:t>
      </w:r>
      <w:bookmarkEnd w:id="429"/>
      <w:bookmarkEnd w:id="430"/>
      <w:bookmarkEnd w:id="432"/>
    </w:p>
    <w:p w14:paraId="4DAC9D99" w14:textId="77777777" w:rsidR="00F0236A" w:rsidRPr="00073574" w:rsidRDefault="00F0236A" w:rsidP="00CE2E05">
      <w:pPr>
        <w:keepNext/>
        <w:keepLines/>
        <w:rPr>
          <w:b/>
          <w:bCs/>
          <w:sz w:val="24"/>
        </w:rPr>
      </w:pPr>
      <w:r w:rsidRPr="00073574">
        <w:rPr>
          <w:b/>
          <w:bCs/>
          <w:sz w:val="24"/>
        </w:rPr>
        <w:t>Resolution 76</w:t>
      </w:r>
    </w:p>
    <w:p w14:paraId="7226D54A" w14:textId="77777777" w:rsidR="00F0236A" w:rsidRPr="00073574" w:rsidRDefault="00F0236A" w:rsidP="008730F4">
      <w:pPr>
        <w:pStyle w:val="Call"/>
        <w:rPr>
          <w:sz w:val="24"/>
          <w:szCs w:val="24"/>
          <w:lang w:val="en-GB"/>
        </w:rPr>
      </w:pPr>
      <w:r w:rsidRPr="00073574">
        <w:rPr>
          <w:sz w:val="24"/>
          <w:szCs w:val="24"/>
          <w:lang w:val="en-GB"/>
        </w:rPr>
        <w:t>resolves</w:t>
      </w:r>
    </w:p>
    <w:p w14:paraId="56D16880" w14:textId="1E3262F9" w:rsidR="00F0236A" w:rsidRPr="00073574" w:rsidRDefault="00CE2E05" w:rsidP="00CE2E05">
      <w:pPr>
        <w:keepNext/>
        <w:keepLines/>
        <w:rPr>
          <w:sz w:val="24"/>
        </w:rPr>
      </w:pPr>
      <w:r w:rsidRPr="00073574">
        <w:rPr>
          <w:sz w:val="24"/>
        </w:rPr>
        <w:t xml:space="preserve">TSB </w:t>
      </w:r>
    </w:p>
    <w:p w14:paraId="3AA2D0A4" w14:textId="7FC8802E" w:rsidR="00F0236A" w:rsidRPr="00073574" w:rsidRDefault="00F0236A" w:rsidP="00AD7F0C">
      <w:pPr>
        <w:rPr>
          <w:i/>
          <w:iCs/>
          <w:sz w:val="24"/>
        </w:rPr>
      </w:pPr>
      <w:r w:rsidRPr="00073574">
        <w:rPr>
          <w:sz w:val="24"/>
        </w:rPr>
        <w:t>2</w:t>
      </w:r>
      <w:r w:rsidRPr="00073574">
        <w:rPr>
          <w:sz w:val="24"/>
        </w:rPr>
        <w:tab/>
        <w:t>that ITU-T Study Group 11 coordinates the Sector</w:t>
      </w:r>
      <w:r w:rsidR="003C7E25" w:rsidRPr="00073574">
        <w:rPr>
          <w:sz w:val="24"/>
        </w:rPr>
        <w:t>'</w:t>
      </w:r>
      <w:r w:rsidRPr="00073574">
        <w:rPr>
          <w:sz w:val="24"/>
        </w:rPr>
        <w:t>s activities related to the ITU C&amp;I</w:t>
      </w:r>
      <w:r w:rsidRPr="00073574">
        <w:rPr>
          <w:color w:val="000000"/>
          <w:sz w:val="24"/>
          <w:shd w:val="clear" w:color="auto" w:fill="FFFFFF"/>
        </w:rPr>
        <w:t xml:space="preserve"> programme across all study groups;</w:t>
      </w:r>
    </w:p>
    <w:p w14:paraId="132AEAC3" w14:textId="77777777" w:rsidR="00F0236A" w:rsidRPr="00073574" w:rsidRDefault="00F0236A" w:rsidP="00AD7F0C">
      <w:pPr>
        <w:rPr>
          <w:i/>
          <w:iCs/>
          <w:sz w:val="24"/>
        </w:rPr>
      </w:pPr>
      <w:r w:rsidRPr="00073574">
        <w:rPr>
          <w:sz w:val="24"/>
        </w:rPr>
        <w:t>3</w:t>
      </w:r>
      <w:r w:rsidRPr="00073574">
        <w:rPr>
          <w:sz w:val="24"/>
        </w:rPr>
        <w:tab/>
        <w:t>that ITU</w:t>
      </w:r>
      <w:r w:rsidRPr="00073574">
        <w:rPr>
          <w:sz w:val="24"/>
        </w:rPr>
        <w:noBreakHyphen/>
        <w:t>T Study Group 11 continues to undertake activities within the C&amp;I programme, including pilot projects on conformance/interoperability testing</w:t>
      </w:r>
      <w:r w:rsidRPr="00073574">
        <w:rPr>
          <w:color w:val="000000"/>
          <w:sz w:val="24"/>
          <w:shd w:val="clear" w:color="auto" w:fill="FFFFFF"/>
        </w:rPr>
        <w:t>;</w:t>
      </w:r>
    </w:p>
    <w:p w14:paraId="707D03BE" w14:textId="77777777" w:rsidR="00F0236A" w:rsidRPr="00073574" w:rsidRDefault="00F0236A" w:rsidP="00AD7F0C">
      <w:pPr>
        <w:rPr>
          <w:sz w:val="24"/>
        </w:rPr>
      </w:pPr>
      <w:r w:rsidRPr="00073574">
        <w:rPr>
          <w:sz w:val="24"/>
        </w:rPr>
        <w:t>4</w:t>
      </w:r>
      <w:r w:rsidRPr="00073574">
        <w:rPr>
          <w:sz w:val="24"/>
        </w:rPr>
        <w:tab/>
        <w:t>that ITU</w:t>
      </w:r>
      <w:r w:rsidRPr="00073574">
        <w:rPr>
          <w:sz w:val="24"/>
        </w:rPr>
        <w:noBreakHyphen/>
        <w:t>T Recommendations to address interoperability testing shall be progressed as quickly as possible;</w:t>
      </w:r>
    </w:p>
    <w:p w14:paraId="0705861D" w14:textId="77777777" w:rsidR="00F0236A" w:rsidRPr="00073574" w:rsidRDefault="00F0236A" w:rsidP="00AD7F0C">
      <w:pPr>
        <w:keepNext/>
        <w:rPr>
          <w:sz w:val="24"/>
        </w:rPr>
      </w:pPr>
      <w:r w:rsidRPr="00073574">
        <w:rPr>
          <w:sz w:val="24"/>
        </w:rPr>
        <w:t>5</w:t>
      </w:r>
      <w:r w:rsidRPr="00073574">
        <w:rPr>
          <w:sz w:val="24"/>
        </w:rPr>
        <w:tab/>
        <w:t>that ITU</w:t>
      </w:r>
      <w:r w:rsidRPr="00073574">
        <w:rPr>
          <w:sz w:val="24"/>
        </w:rPr>
        <w:noBreakHyphen/>
        <w:t>T, in collaboration with the other Sectors as appropriate, shall develop a programme to:</w:t>
      </w:r>
    </w:p>
    <w:p w14:paraId="79F6C433" w14:textId="77777777" w:rsidR="00F0236A" w:rsidRPr="00073574" w:rsidRDefault="00F0236A" w:rsidP="00AD7F0C">
      <w:pPr>
        <w:pStyle w:val="enumlev10"/>
        <w:jc w:val="left"/>
        <w:rPr>
          <w:sz w:val="24"/>
          <w:szCs w:val="24"/>
        </w:rPr>
      </w:pPr>
      <w:r w:rsidRPr="00073574">
        <w:rPr>
          <w:sz w:val="24"/>
          <w:szCs w:val="24"/>
        </w:rPr>
        <w:t>i)</w:t>
      </w:r>
      <w:r w:rsidRPr="00073574">
        <w:rPr>
          <w:sz w:val="24"/>
          <w:szCs w:val="24"/>
        </w:rPr>
        <w:tab/>
        <w:t>assist developing countries in capacity building on C&amp;I (Pillar 3) and establishing test centres in developing countries, aimed at promoting regional integration and common C&amp;I programmes (Pillar 4);</w:t>
      </w:r>
    </w:p>
    <w:p w14:paraId="0AD1C52D" w14:textId="77777777" w:rsidR="00F0236A" w:rsidRPr="00073574" w:rsidRDefault="00F0236A" w:rsidP="00AD7F0C">
      <w:pPr>
        <w:pStyle w:val="enumlev10"/>
        <w:jc w:val="left"/>
        <w:rPr>
          <w:sz w:val="24"/>
          <w:szCs w:val="24"/>
        </w:rPr>
      </w:pPr>
      <w:r w:rsidRPr="00073574">
        <w:rPr>
          <w:sz w:val="24"/>
          <w:szCs w:val="24"/>
        </w:rPr>
        <w:t>ii)</w:t>
      </w:r>
      <w:r w:rsidRPr="00073574">
        <w:rPr>
          <w:sz w:val="24"/>
          <w:szCs w:val="24"/>
        </w:rPr>
        <w:tab/>
        <w:t>assist developing countries in establishing regional or subregional C&amp;I centres and encourage cooperation with governmental and non-governmental, national and regional organizations and international accreditation and certification bodies, to prevent any overlaps caused by or imposed on ICT equipment;</w:t>
      </w:r>
    </w:p>
    <w:p w14:paraId="2C861183" w14:textId="77777777" w:rsidR="00F0236A" w:rsidRPr="00073574" w:rsidRDefault="00F0236A" w:rsidP="00AD7F0C">
      <w:pPr>
        <w:pStyle w:val="enumlev10"/>
        <w:rPr>
          <w:sz w:val="24"/>
          <w:szCs w:val="24"/>
        </w:rPr>
      </w:pPr>
      <w:r w:rsidRPr="00073574">
        <w:rPr>
          <w:sz w:val="24"/>
          <w:szCs w:val="24"/>
        </w:rPr>
        <w:t>iii)</w:t>
      </w:r>
      <w:r w:rsidRPr="00073574">
        <w:rPr>
          <w:sz w:val="24"/>
          <w:szCs w:val="24"/>
        </w:rPr>
        <w:tab/>
        <w:t>develop and improve the mutual recognition of C&amp;I testing results, mechanisms and data analysis techniques between different regional testing centres;</w:t>
      </w:r>
    </w:p>
    <w:p w14:paraId="2E5A90FA" w14:textId="77777777" w:rsidR="00F0236A" w:rsidRPr="00073574" w:rsidRDefault="00F0236A" w:rsidP="00AD7F0C">
      <w:pPr>
        <w:rPr>
          <w:sz w:val="24"/>
        </w:rPr>
      </w:pPr>
      <w:r w:rsidRPr="00073574">
        <w:rPr>
          <w:sz w:val="24"/>
        </w:rPr>
        <w:t>6</w:t>
      </w:r>
      <w:r w:rsidRPr="00073574">
        <w:rPr>
          <w:sz w:val="24"/>
        </w:rPr>
        <w:tab/>
        <w:t>that conformance testing requirements shall provide for verification of the parameters defined in the current and future ITU</w:t>
      </w:r>
      <w:r w:rsidRPr="00073574">
        <w:rPr>
          <w:sz w:val="24"/>
        </w:rPr>
        <w:noBreakHyphen/>
        <w:t>T Recommendations as determined by the study groups developing the Recommendations, and for interoperability testing to take into account user needs and consider the market demand, as appropriate;</w:t>
      </w:r>
    </w:p>
    <w:p w14:paraId="63789E1C" w14:textId="77777777" w:rsidR="00F0236A" w:rsidRPr="00073574" w:rsidRDefault="00F0236A" w:rsidP="00F0236A">
      <w:pPr>
        <w:rPr>
          <w:sz w:val="24"/>
        </w:rPr>
      </w:pPr>
      <w:r w:rsidRPr="00073574">
        <w:rPr>
          <w:sz w:val="24"/>
        </w:rPr>
        <w:t>7</w:t>
      </w:r>
      <w:r w:rsidRPr="00073574">
        <w:rPr>
          <w:sz w:val="24"/>
        </w:rPr>
        <w:tab/>
        <w:t>that a set of methodologies and procedures should be developed for remote testing using virtual laboratories;</w:t>
      </w:r>
    </w:p>
    <w:p w14:paraId="25568977" w14:textId="77777777" w:rsidR="00F0236A" w:rsidRPr="00073574" w:rsidRDefault="00F0236A" w:rsidP="00F0236A">
      <w:pPr>
        <w:rPr>
          <w:sz w:val="24"/>
        </w:rPr>
      </w:pPr>
      <w:r w:rsidRPr="00073574">
        <w:rPr>
          <w:sz w:val="24"/>
        </w:rPr>
        <w:t>8</w:t>
      </w:r>
      <w:r w:rsidRPr="00073574">
        <w:rPr>
          <w:sz w:val="24"/>
        </w:rPr>
        <w:tab/>
        <w:t xml:space="preserve">that ITU, being a world standardization body, can address the impediments to harmonization and growth of worldwide telecommunications and promote the visibility of ITU standards (ensure interoperability), by means of having an ITU testing mark regime, </w:t>
      </w:r>
      <w:r w:rsidRPr="00073574">
        <w:rPr>
          <w:sz w:val="24"/>
        </w:rPr>
        <w:lastRenderedPageBreak/>
        <w:t xml:space="preserve">taking into account the technical and legal implications, if any, and/or any revenue-generating possibilities, taking into consideration </w:t>
      </w:r>
      <w:r w:rsidRPr="00073574">
        <w:rPr>
          <w:i/>
          <w:iCs/>
          <w:sz w:val="24"/>
        </w:rPr>
        <w:t>recognizing j)</w:t>
      </w:r>
      <w:r w:rsidRPr="00073574">
        <w:rPr>
          <w:sz w:val="24"/>
        </w:rPr>
        <w:t>,</w:t>
      </w:r>
    </w:p>
    <w:p w14:paraId="03E46649" w14:textId="3A3D8C4D" w:rsidR="00F0236A" w:rsidRPr="00073574" w:rsidRDefault="00F0236A" w:rsidP="00F0236A">
      <w:pPr>
        <w:pStyle w:val="Call"/>
        <w:rPr>
          <w:sz w:val="24"/>
          <w:szCs w:val="24"/>
          <w:lang w:val="en-GB"/>
        </w:rPr>
      </w:pPr>
      <w:r w:rsidRPr="00073574">
        <w:rPr>
          <w:sz w:val="24"/>
          <w:szCs w:val="24"/>
          <w:lang w:val="en-GB"/>
        </w:rPr>
        <w:t>instructs the Director of the Telecommu</w:t>
      </w:r>
      <w:r w:rsidR="00E31596" w:rsidRPr="00073574">
        <w:rPr>
          <w:sz w:val="24"/>
          <w:szCs w:val="24"/>
          <w:lang w:val="en-GB"/>
        </w:rPr>
        <w:t>nication Standardization Bureau</w:t>
      </w:r>
    </w:p>
    <w:p w14:paraId="6C34C001" w14:textId="77777777" w:rsidR="00F0236A" w:rsidRPr="00073574" w:rsidRDefault="00F0236A" w:rsidP="00F0236A">
      <w:pPr>
        <w:rPr>
          <w:sz w:val="24"/>
        </w:rPr>
      </w:pPr>
      <w:r w:rsidRPr="00073574">
        <w:rPr>
          <w:sz w:val="24"/>
        </w:rPr>
        <w:t>1</w:t>
      </w:r>
      <w:r w:rsidRPr="00073574">
        <w:rPr>
          <w:sz w:val="24"/>
        </w:rPr>
        <w:tab/>
        <w:t>in cooperation with the Radiocommunication Bureau and the Telecommunication Development Bureau (BDT), to continue to conduct as necessary exploratory activities in each region in order to identify and prioritize the problems faced by developing countries related to achieving interoperability of telecommunication/ICT equipment and services;</w:t>
      </w:r>
    </w:p>
    <w:p w14:paraId="3EB6DD20" w14:textId="77777777" w:rsidR="00F0236A" w:rsidRPr="00073574" w:rsidRDefault="00F0236A" w:rsidP="00F0236A">
      <w:pPr>
        <w:rPr>
          <w:sz w:val="24"/>
        </w:rPr>
      </w:pPr>
      <w:r w:rsidRPr="00073574">
        <w:rPr>
          <w:sz w:val="24"/>
        </w:rPr>
        <w:t>2</w:t>
      </w:r>
      <w:r w:rsidRPr="00073574">
        <w:rPr>
          <w:sz w:val="24"/>
        </w:rPr>
        <w:tab/>
        <w:t>to implement the action plan agreed and subsequently revised by the Council (Documents C12/48, C13/24, C14/24, C15/24 and C16/24);</w:t>
      </w:r>
    </w:p>
    <w:p w14:paraId="084DEAB9" w14:textId="77777777" w:rsidR="00F0236A" w:rsidRPr="00073574" w:rsidRDefault="00F0236A" w:rsidP="00F0236A">
      <w:pPr>
        <w:rPr>
          <w:sz w:val="24"/>
        </w:rPr>
      </w:pPr>
      <w:r w:rsidRPr="00073574">
        <w:rPr>
          <w:sz w:val="24"/>
        </w:rPr>
        <w:t>3</w:t>
      </w:r>
      <w:r w:rsidRPr="00073574">
        <w:rPr>
          <w:sz w:val="24"/>
        </w:rPr>
        <w:tab/>
        <w:t xml:space="preserve">considering </w:t>
      </w:r>
      <w:r w:rsidRPr="00073574">
        <w:rPr>
          <w:i/>
          <w:iCs/>
          <w:sz w:val="24"/>
        </w:rPr>
        <w:t>resolves </w:t>
      </w:r>
      <w:r w:rsidRPr="00073574">
        <w:rPr>
          <w:sz w:val="24"/>
        </w:rPr>
        <w:t>7, to accelerate the implementation of Pillar 1, so as to ensure gradual and smooth accomplishment of the other three pillars and the possible implementation of the ITU Mark;</w:t>
      </w:r>
    </w:p>
    <w:p w14:paraId="3032635F" w14:textId="3E1A6EC1" w:rsidR="00F0236A" w:rsidRPr="00073574" w:rsidRDefault="00F0236A" w:rsidP="00F0236A">
      <w:pPr>
        <w:rPr>
          <w:sz w:val="24"/>
        </w:rPr>
      </w:pPr>
      <w:r w:rsidRPr="00073574">
        <w:rPr>
          <w:sz w:val="24"/>
        </w:rPr>
        <w:t>4</w:t>
      </w:r>
      <w:r w:rsidRPr="00073574">
        <w:rPr>
          <w:sz w:val="24"/>
        </w:rPr>
        <w:tab/>
        <w:t>in cooperation with the Director of BDT to implement an ITU C&amp;I programme for possible introduction of a database identifying products</w:t>
      </w:r>
      <w:r w:rsidR="003C7E25" w:rsidRPr="00073574">
        <w:rPr>
          <w:sz w:val="24"/>
        </w:rPr>
        <w:t>'</w:t>
      </w:r>
      <w:r w:rsidRPr="00073574">
        <w:rPr>
          <w:sz w:val="24"/>
        </w:rPr>
        <w:t xml:space="preserve"> conformance and origin;</w:t>
      </w:r>
    </w:p>
    <w:p w14:paraId="181AF4C7" w14:textId="05DCE272" w:rsidR="00F0236A" w:rsidRPr="00073574" w:rsidRDefault="00F0236A" w:rsidP="00F0236A">
      <w:pPr>
        <w:rPr>
          <w:sz w:val="24"/>
        </w:rPr>
      </w:pPr>
      <w:r w:rsidRPr="00073574">
        <w:rPr>
          <w:sz w:val="24"/>
        </w:rPr>
        <w:t>5</w:t>
      </w:r>
      <w:r w:rsidRPr="00073574">
        <w:rPr>
          <w:sz w:val="24"/>
        </w:rPr>
        <w:tab/>
        <w:t>to publish an annual plan of C&amp;I activities which could attract more members</w:t>
      </w:r>
      <w:r w:rsidR="003C7E25" w:rsidRPr="00073574">
        <w:rPr>
          <w:sz w:val="24"/>
        </w:rPr>
        <w:t>'</w:t>
      </w:r>
      <w:r w:rsidRPr="00073574">
        <w:rPr>
          <w:sz w:val="24"/>
        </w:rPr>
        <w:t xml:space="preserve"> participation;</w:t>
      </w:r>
    </w:p>
    <w:p w14:paraId="5D2D31C9" w14:textId="77777777" w:rsidR="00F0236A" w:rsidRPr="00073574" w:rsidRDefault="00F0236A" w:rsidP="00F0236A">
      <w:pPr>
        <w:rPr>
          <w:sz w:val="24"/>
        </w:rPr>
      </w:pPr>
      <w:r w:rsidRPr="00073574">
        <w:rPr>
          <w:sz w:val="24"/>
        </w:rPr>
        <w:t>6</w:t>
      </w:r>
      <w:r w:rsidRPr="00073574">
        <w:rPr>
          <w:sz w:val="24"/>
        </w:rPr>
        <w:tab/>
        <w:t>to facilitate the development and implementation of an ITU</w:t>
      </w:r>
      <w:r w:rsidRPr="00073574">
        <w:rPr>
          <w:sz w:val="24"/>
        </w:rPr>
        <w:noBreakHyphen/>
        <w:t>T C&amp;I test laboratory recognition procedure;</w:t>
      </w:r>
    </w:p>
    <w:p w14:paraId="29DBCE67" w14:textId="77777777" w:rsidR="00F0236A" w:rsidRPr="00073574" w:rsidRDefault="00F0236A" w:rsidP="00F0236A">
      <w:pPr>
        <w:rPr>
          <w:sz w:val="24"/>
        </w:rPr>
      </w:pPr>
      <w:r w:rsidRPr="00073574">
        <w:rPr>
          <w:sz w:val="24"/>
        </w:rPr>
        <w:t>7</w:t>
      </w:r>
      <w:r w:rsidRPr="00073574">
        <w:rPr>
          <w:sz w:val="24"/>
        </w:rPr>
        <w:tab/>
        <w:t>to involve experts and external entities as appropriate;</w:t>
      </w:r>
    </w:p>
    <w:p w14:paraId="708A0BD9" w14:textId="77777777" w:rsidR="00F0236A" w:rsidRPr="00073574" w:rsidRDefault="00F0236A" w:rsidP="00F0236A">
      <w:pPr>
        <w:rPr>
          <w:sz w:val="24"/>
        </w:rPr>
      </w:pPr>
      <w:r w:rsidRPr="00073574">
        <w:rPr>
          <w:sz w:val="24"/>
        </w:rPr>
        <w:t>8</w:t>
      </w:r>
      <w:r w:rsidRPr="00073574">
        <w:rPr>
          <w:sz w:val="24"/>
        </w:rPr>
        <w:tab/>
        <w:t>to submit the results of the activities carried out under the action plan to the Council for its consideration and required actions,</w:t>
      </w:r>
    </w:p>
    <w:p w14:paraId="7AF57A24" w14:textId="77777777" w:rsidR="00F0236A" w:rsidRPr="00073574" w:rsidRDefault="00F0236A" w:rsidP="00F0236A">
      <w:pPr>
        <w:pStyle w:val="Call"/>
        <w:rPr>
          <w:sz w:val="24"/>
          <w:szCs w:val="24"/>
          <w:lang w:val="en-GB"/>
        </w:rPr>
      </w:pPr>
      <w:r w:rsidRPr="00073574">
        <w:rPr>
          <w:sz w:val="24"/>
          <w:szCs w:val="24"/>
          <w:lang w:val="en-GB"/>
        </w:rPr>
        <w:t>instructs the study groups</w:t>
      </w:r>
    </w:p>
    <w:p w14:paraId="365BB017" w14:textId="77777777" w:rsidR="00F0236A" w:rsidRPr="00073574" w:rsidRDefault="00F0236A" w:rsidP="00F0236A">
      <w:pPr>
        <w:rPr>
          <w:sz w:val="24"/>
        </w:rPr>
      </w:pPr>
      <w:r w:rsidRPr="00073574">
        <w:rPr>
          <w:sz w:val="24"/>
        </w:rPr>
        <w:t>1</w:t>
      </w:r>
      <w:r w:rsidRPr="00073574">
        <w:rPr>
          <w:sz w:val="24"/>
        </w:rPr>
        <w:tab/>
        <w:t>to accelerate accomplishing the pilot projects started by ITU</w:t>
      </w:r>
      <w:r w:rsidRPr="00073574">
        <w:rPr>
          <w:sz w:val="24"/>
        </w:rPr>
        <w:noBreakHyphen/>
        <w:t>T study groups and identify possible existing ITU</w:t>
      </w:r>
      <w:r w:rsidRPr="00073574">
        <w:rPr>
          <w:sz w:val="24"/>
        </w:rPr>
        <w:noBreakHyphen/>
        <w:t>T Recommendations that would be candidates for C&amp;I testing, taking into account the needs of the membership and that are capable of providing end-to-end interoperable services on a global scale, adding to their content, if necessary, specific requirements within their scope;</w:t>
      </w:r>
    </w:p>
    <w:p w14:paraId="767F2351" w14:textId="77777777" w:rsidR="00F0236A" w:rsidRPr="00073574" w:rsidRDefault="00F0236A" w:rsidP="00F0236A">
      <w:pPr>
        <w:rPr>
          <w:sz w:val="24"/>
        </w:rPr>
      </w:pPr>
      <w:r w:rsidRPr="00073574">
        <w:rPr>
          <w:sz w:val="24"/>
        </w:rPr>
        <w:t>2</w:t>
      </w:r>
      <w:r w:rsidRPr="00073574">
        <w:rPr>
          <w:sz w:val="24"/>
        </w:rPr>
        <w:tab/>
        <w:t>to prepare the ITU</w:t>
      </w:r>
      <w:r w:rsidRPr="00073574">
        <w:rPr>
          <w:sz w:val="24"/>
        </w:rPr>
        <w:noBreakHyphen/>
        <w:t>T Recommendations identified in</w:t>
      </w:r>
      <w:r w:rsidRPr="00073574">
        <w:rPr>
          <w:i/>
          <w:iCs/>
          <w:sz w:val="24"/>
        </w:rPr>
        <w:t xml:space="preserve"> instructs the study groups</w:t>
      </w:r>
      <w:r w:rsidRPr="00073574">
        <w:rPr>
          <w:sz w:val="24"/>
        </w:rPr>
        <w:t> 1 above, with a view to conducting C&amp;I tests as appropriate;</w:t>
      </w:r>
    </w:p>
    <w:p w14:paraId="067AC6C7" w14:textId="77777777" w:rsidR="00F0236A" w:rsidRPr="00073574" w:rsidRDefault="00F0236A" w:rsidP="00F0236A">
      <w:pPr>
        <w:rPr>
          <w:sz w:val="24"/>
        </w:rPr>
      </w:pPr>
      <w:r w:rsidRPr="00073574">
        <w:rPr>
          <w:sz w:val="24"/>
        </w:rPr>
        <w:t>3</w:t>
      </w:r>
      <w:r w:rsidRPr="00073574">
        <w:rPr>
          <w:sz w:val="24"/>
        </w:rPr>
        <w:tab/>
        <w:t xml:space="preserve">to continue and enhance cooperation, as appropriate, with interested stakeholders, including other SDOs, forums and consortia, in order to optimize studies to prepare test specifications especially for those technologies in </w:t>
      </w:r>
      <w:r w:rsidRPr="00073574">
        <w:rPr>
          <w:i/>
          <w:iCs/>
          <w:sz w:val="24"/>
        </w:rPr>
        <w:t>instructs the study groups</w:t>
      </w:r>
      <w:r w:rsidRPr="00073574">
        <w:rPr>
          <w:sz w:val="24"/>
        </w:rPr>
        <w:t xml:space="preserve"> 1 and 2 above, taking into account user needs and in consideration of the market demand for a conformity assessment programme;</w:t>
      </w:r>
    </w:p>
    <w:p w14:paraId="2F286695" w14:textId="77777777" w:rsidR="00F0236A" w:rsidRPr="00073574" w:rsidRDefault="00F0236A" w:rsidP="00F0236A">
      <w:pPr>
        <w:rPr>
          <w:sz w:val="24"/>
        </w:rPr>
      </w:pPr>
      <w:r w:rsidRPr="00073574">
        <w:rPr>
          <w:sz w:val="24"/>
        </w:rPr>
        <w:t>4</w:t>
      </w:r>
      <w:r w:rsidRPr="00073574">
        <w:rPr>
          <w:sz w:val="24"/>
        </w:rPr>
        <w:tab/>
        <w:t>to submit to CASC a list of ITU</w:t>
      </w:r>
      <w:r w:rsidRPr="00073574">
        <w:rPr>
          <w:sz w:val="24"/>
        </w:rPr>
        <w:noBreakHyphen/>
        <w:t>T Recommendations which could be candidates for the joint IEC/ITU certification scheme, taking into account market needs,</w:t>
      </w:r>
    </w:p>
    <w:p w14:paraId="3BF43500" w14:textId="77777777" w:rsidR="00F0236A" w:rsidRPr="00073574" w:rsidRDefault="00F0236A" w:rsidP="00F0236A">
      <w:pPr>
        <w:pStyle w:val="Call"/>
        <w:rPr>
          <w:sz w:val="24"/>
          <w:szCs w:val="24"/>
          <w:lang w:val="en-GB"/>
        </w:rPr>
      </w:pPr>
      <w:r w:rsidRPr="00073574">
        <w:rPr>
          <w:sz w:val="24"/>
          <w:szCs w:val="24"/>
          <w:lang w:val="en-GB"/>
        </w:rPr>
        <w:t>instructs the ITU Telecommunication Standardization Sector Conformity Assessment Steering Committee</w:t>
      </w:r>
    </w:p>
    <w:p w14:paraId="22A216CC" w14:textId="77777777" w:rsidR="00F0236A" w:rsidRPr="00073574" w:rsidRDefault="00F0236A" w:rsidP="00F0236A">
      <w:pPr>
        <w:rPr>
          <w:sz w:val="24"/>
        </w:rPr>
      </w:pPr>
      <w:r w:rsidRPr="00073574">
        <w:rPr>
          <w:sz w:val="24"/>
        </w:rPr>
        <w:t>to study and define a procedure to recognize testing laboratories that are competent to test according to ITU</w:t>
      </w:r>
      <w:r w:rsidRPr="00073574">
        <w:rPr>
          <w:sz w:val="24"/>
        </w:rPr>
        <w:noBreakHyphen/>
        <w:t>T Recommendations, in collaboration with existing certification schemes such as that of IEC,</w:t>
      </w:r>
    </w:p>
    <w:p w14:paraId="3F5142C3" w14:textId="77777777" w:rsidR="00F0236A" w:rsidRPr="00073574" w:rsidRDefault="00F0236A" w:rsidP="00F0236A">
      <w:pPr>
        <w:pStyle w:val="Call"/>
        <w:rPr>
          <w:sz w:val="24"/>
          <w:szCs w:val="24"/>
          <w:lang w:val="en-GB"/>
        </w:rPr>
      </w:pPr>
      <w:r w:rsidRPr="00073574">
        <w:rPr>
          <w:sz w:val="24"/>
          <w:szCs w:val="24"/>
          <w:lang w:val="en-GB"/>
        </w:rPr>
        <w:lastRenderedPageBreak/>
        <w:t>invites the Council</w:t>
      </w:r>
    </w:p>
    <w:p w14:paraId="2B7B0497" w14:textId="29DE8EB0" w:rsidR="00F0236A" w:rsidRPr="00073574" w:rsidRDefault="00F0236A" w:rsidP="00F0236A">
      <w:pPr>
        <w:rPr>
          <w:sz w:val="24"/>
        </w:rPr>
      </w:pPr>
      <w:r w:rsidRPr="00073574">
        <w:rPr>
          <w:sz w:val="24"/>
        </w:rPr>
        <w:t>to consider the Director</w:t>
      </w:r>
      <w:r w:rsidR="003C7E25" w:rsidRPr="00073574">
        <w:rPr>
          <w:sz w:val="24"/>
        </w:rPr>
        <w:t>'</w:t>
      </w:r>
      <w:r w:rsidRPr="00073574">
        <w:rPr>
          <w:sz w:val="24"/>
        </w:rPr>
        <w:t>s report referred to in i</w:t>
      </w:r>
      <w:r w:rsidRPr="00073574">
        <w:rPr>
          <w:i/>
          <w:iCs/>
          <w:sz w:val="24"/>
        </w:rPr>
        <w:t>nstructs the Director of the Telecommunication Standardization Bureau</w:t>
      </w:r>
      <w:r w:rsidRPr="00073574">
        <w:rPr>
          <w:sz w:val="24"/>
        </w:rPr>
        <w:t> 8 above,</w:t>
      </w:r>
    </w:p>
    <w:p w14:paraId="296BCEDA" w14:textId="77777777" w:rsidR="00F0236A" w:rsidRPr="00073574" w:rsidRDefault="00F0236A" w:rsidP="00F0236A">
      <w:pPr>
        <w:pStyle w:val="Call"/>
        <w:rPr>
          <w:sz w:val="24"/>
          <w:szCs w:val="24"/>
          <w:lang w:val="en-GB"/>
        </w:rPr>
      </w:pPr>
      <w:r w:rsidRPr="00073574">
        <w:rPr>
          <w:sz w:val="24"/>
          <w:szCs w:val="24"/>
          <w:lang w:val="en-GB"/>
        </w:rPr>
        <w:t>invites Member States and Sector Members</w:t>
      </w:r>
    </w:p>
    <w:p w14:paraId="27EB4B4D" w14:textId="77777777" w:rsidR="00F0236A" w:rsidRPr="00073574" w:rsidRDefault="00F0236A" w:rsidP="00F0236A">
      <w:pPr>
        <w:rPr>
          <w:sz w:val="24"/>
        </w:rPr>
      </w:pPr>
      <w:r w:rsidRPr="00073574">
        <w:rPr>
          <w:sz w:val="24"/>
        </w:rPr>
        <w:t>1</w:t>
      </w:r>
      <w:r w:rsidRPr="00073574">
        <w:rPr>
          <w:sz w:val="24"/>
        </w:rPr>
        <w:tab/>
        <w:t>to contribute to the implementation of this resolution by, including, but not limited to:</w:t>
      </w:r>
    </w:p>
    <w:p w14:paraId="08B4951A" w14:textId="77777777" w:rsidR="00F0236A" w:rsidRPr="00073574" w:rsidRDefault="00F0236A" w:rsidP="00F0236A">
      <w:pPr>
        <w:rPr>
          <w:sz w:val="24"/>
        </w:rPr>
      </w:pPr>
      <w:r w:rsidRPr="00073574">
        <w:rPr>
          <w:sz w:val="24"/>
        </w:rPr>
        <w:t>i)</w:t>
      </w:r>
      <w:r w:rsidRPr="00073574">
        <w:rPr>
          <w:sz w:val="24"/>
        </w:rPr>
        <w:tab/>
        <w:t>actively providing requirements for testing activities on C&amp;I through contributions to related study groups;</w:t>
      </w:r>
    </w:p>
    <w:p w14:paraId="12C8CEE7" w14:textId="77777777" w:rsidR="00F0236A" w:rsidRPr="00073574" w:rsidRDefault="00F0236A" w:rsidP="00F0236A">
      <w:pPr>
        <w:rPr>
          <w:sz w:val="24"/>
        </w:rPr>
      </w:pPr>
      <w:r w:rsidRPr="00073574">
        <w:rPr>
          <w:sz w:val="24"/>
        </w:rPr>
        <w:t>ii)</w:t>
      </w:r>
      <w:r w:rsidRPr="00073574">
        <w:rPr>
          <w:sz w:val="24"/>
        </w:rPr>
        <w:tab/>
        <w:t>considering potential collaboration on future C&amp;I activities;</w:t>
      </w:r>
    </w:p>
    <w:p w14:paraId="3CB64032" w14:textId="77777777" w:rsidR="00F0236A" w:rsidRPr="00073574" w:rsidRDefault="00F0236A" w:rsidP="00F0236A">
      <w:pPr>
        <w:rPr>
          <w:sz w:val="24"/>
        </w:rPr>
      </w:pPr>
      <w:r w:rsidRPr="00073574">
        <w:rPr>
          <w:sz w:val="24"/>
        </w:rPr>
        <w:t>iii)</w:t>
      </w:r>
      <w:r w:rsidRPr="00073574">
        <w:rPr>
          <w:sz w:val="24"/>
        </w:rPr>
        <w:tab/>
        <w:t>contributing to the Product Conformity Database;</w:t>
      </w:r>
    </w:p>
    <w:p w14:paraId="36C9948F" w14:textId="77777777" w:rsidR="00F0236A" w:rsidRPr="00073574" w:rsidRDefault="00F0236A" w:rsidP="00F0236A">
      <w:pPr>
        <w:spacing w:after="240"/>
        <w:rPr>
          <w:sz w:val="24"/>
        </w:rPr>
      </w:pPr>
      <w:r w:rsidRPr="00073574">
        <w:rPr>
          <w:sz w:val="24"/>
        </w:rPr>
        <w:t>2</w:t>
      </w:r>
      <w:r w:rsidRPr="00073574">
        <w:rPr>
          <w:sz w:val="24"/>
        </w:rPr>
        <w:tab/>
        <w:t>to encourage national and regional testing entities to assist ITU</w:t>
      </w:r>
      <w:r w:rsidRPr="00073574">
        <w:rPr>
          <w:sz w:val="24"/>
        </w:rPr>
        <w:noBreakHyphen/>
        <w:t>T in implementing this resolution.</w:t>
      </w:r>
    </w:p>
    <w:tbl>
      <w:tblPr>
        <w:tblW w:w="99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17"/>
        <w:gridCol w:w="4887"/>
        <w:gridCol w:w="1454"/>
        <w:gridCol w:w="1138"/>
        <w:gridCol w:w="1336"/>
      </w:tblGrid>
      <w:tr w:rsidR="00F0236A" w:rsidRPr="00073574" w14:paraId="7B1A7970" w14:textId="77777777" w:rsidTr="00A61861">
        <w:trPr>
          <w:cantSplit/>
          <w:tblHeader/>
          <w:jc w:val="center"/>
        </w:trPr>
        <w:tc>
          <w:tcPr>
            <w:tcW w:w="1117" w:type="dxa"/>
            <w:tcBorders>
              <w:top w:val="single" w:sz="12" w:space="0" w:color="auto"/>
              <w:bottom w:val="single" w:sz="12" w:space="0" w:color="auto"/>
            </w:tcBorders>
            <w:shd w:val="clear" w:color="auto" w:fill="auto"/>
            <w:vAlign w:val="center"/>
          </w:tcPr>
          <w:p w14:paraId="6E54F5FB" w14:textId="77777777" w:rsidR="00F0236A" w:rsidRPr="00073574" w:rsidRDefault="00F0236A" w:rsidP="008D0315">
            <w:pPr>
              <w:pStyle w:val="Tablehead"/>
              <w:keepNext w:val="0"/>
              <w:rPr>
                <w:sz w:val="24"/>
                <w:szCs w:val="24"/>
              </w:rPr>
            </w:pPr>
            <w:r w:rsidRPr="00073574">
              <w:rPr>
                <w:sz w:val="24"/>
                <w:szCs w:val="24"/>
              </w:rPr>
              <w:t>Action Item</w:t>
            </w:r>
          </w:p>
        </w:tc>
        <w:tc>
          <w:tcPr>
            <w:tcW w:w="4887" w:type="dxa"/>
            <w:tcBorders>
              <w:top w:val="single" w:sz="12" w:space="0" w:color="auto"/>
              <w:bottom w:val="single" w:sz="12" w:space="0" w:color="auto"/>
            </w:tcBorders>
            <w:shd w:val="clear" w:color="auto" w:fill="auto"/>
            <w:vAlign w:val="center"/>
            <w:hideMark/>
          </w:tcPr>
          <w:p w14:paraId="4C6D9BB0" w14:textId="77777777" w:rsidR="00F0236A" w:rsidRPr="00073574" w:rsidRDefault="00F0236A" w:rsidP="00DF36E1">
            <w:pPr>
              <w:pStyle w:val="Tablehead"/>
              <w:rPr>
                <w:sz w:val="24"/>
                <w:szCs w:val="24"/>
              </w:rPr>
            </w:pPr>
            <w:r w:rsidRPr="00073574">
              <w:rPr>
                <w:sz w:val="24"/>
                <w:szCs w:val="24"/>
              </w:rPr>
              <w:t>Action</w:t>
            </w:r>
          </w:p>
        </w:tc>
        <w:tc>
          <w:tcPr>
            <w:tcW w:w="1454" w:type="dxa"/>
            <w:tcBorders>
              <w:top w:val="single" w:sz="12" w:space="0" w:color="auto"/>
              <w:bottom w:val="single" w:sz="12" w:space="0" w:color="auto"/>
            </w:tcBorders>
            <w:shd w:val="clear" w:color="auto" w:fill="auto"/>
            <w:vAlign w:val="center"/>
            <w:hideMark/>
          </w:tcPr>
          <w:p w14:paraId="23FA925F" w14:textId="77777777" w:rsidR="00F0236A" w:rsidRPr="00073574" w:rsidRDefault="00F0236A" w:rsidP="00DF36E1">
            <w:pPr>
              <w:pStyle w:val="Tablehead"/>
              <w:rPr>
                <w:sz w:val="24"/>
                <w:szCs w:val="24"/>
              </w:rPr>
            </w:pPr>
            <w:r w:rsidRPr="00073574">
              <w:rPr>
                <w:sz w:val="24"/>
                <w:szCs w:val="24"/>
              </w:rPr>
              <w:t>Milestone</w:t>
            </w:r>
          </w:p>
        </w:tc>
        <w:tc>
          <w:tcPr>
            <w:tcW w:w="1138" w:type="dxa"/>
            <w:tcBorders>
              <w:top w:val="single" w:sz="12" w:space="0" w:color="auto"/>
              <w:bottom w:val="single" w:sz="12" w:space="0" w:color="auto"/>
            </w:tcBorders>
            <w:shd w:val="clear" w:color="auto" w:fill="auto"/>
          </w:tcPr>
          <w:p w14:paraId="5ECDFB69" w14:textId="77777777" w:rsidR="00F0236A" w:rsidRPr="00073574" w:rsidRDefault="00F0236A" w:rsidP="00DF36E1">
            <w:pPr>
              <w:pStyle w:val="Tablehead"/>
              <w:rPr>
                <w:sz w:val="24"/>
                <w:szCs w:val="24"/>
              </w:rPr>
            </w:pPr>
            <w:r w:rsidRPr="00073574">
              <w:rPr>
                <w:sz w:val="24"/>
                <w:szCs w:val="24"/>
              </w:rPr>
              <w:t>Periodic goals met</w:t>
            </w:r>
          </w:p>
        </w:tc>
        <w:tc>
          <w:tcPr>
            <w:tcW w:w="1336" w:type="dxa"/>
            <w:tcBorders>
              <w:top w:val="single" w:sz="12" w:space="0" w:color="auto"/>
              <w:bottom w:val="single" w:sz="12" w:space="0" w:color="auto"/>
            </w:tcBorders>
            <w:shd w:val="clear" w:color="auto" w:fill="auto"/>
            <w:vAlign w:val="center"/>
          </w:tcPr>
          <w:p w14:paraId="1F32CE21" w14:textId="77777777" w:rsidR="00F0236A" w:rsidRPr="00073574" w:rsidRDefault="00F0236A" w:rsidP="00DF36E1">
            <w:pPr>
              <w:pStyle w:val="Tablehead"/>
              <w:rPr>
                <w:sz w:val="24"/>
                <w:szCs w:val="24"/>
              </w:rPr>
            </w:pPr>
            <w:r w:rsidRPr="00073574">
              <w:rPr>
                <w:sz w:val="24"/>
                <w:szCs w:val="24"/>
              </w:rPr>
              <w:t>Completed</w:t>
            </w:r>
          </w:p>
        </w:tc>
      </w:tr>
      <w:tr w:rsidR="00F0236A" w:rsidRPr="00073574" w14:paraId="3A0039F0" w14:textId="77777777" w:rsidTr="00A61861">
        <w:trPr>
          <w:jc w:val="center"/>
        </w:trPr>
        <w:tc>
          <w:tcPr>
            <w:tcW w:w="1117" w:type="dxa"/>
            <w:vMerge w:val="restart"/>
            <w:tcBorders>
              <w:top w:val="single" w:sz="12" w:space="0" w:color="auto"/>
            </w:tcBorders>
            <w:shd w:val="clear" w:color="auto" w:fill="auto"/>
          </w:tcPr>
          <w:p w14:paraId="41B1B965" w14:textId="77777777" w:rsidR="00F0236A" w:rsidRPr="00073574" w:rsidRDefault="00F0236A" w:rsidP="00846DEF">
            <w:pPr>
              <w:pStyle w:val="Tabletext"/>
              <w:rPr>
                <w:b/>
                <w:bCs/>
                <w:sz w:val="24"/>
                <w:szCs w:val="24"/>
              </w:rPr>
            </w:pPr>
            <w:r w:rsidRPr="00073574">
              <w:rPr>
                <w:b/>
                <w:bCs/>
                <w:sz w:val="24"/>
                <w:szCs w:val="24"/>
              </w:rPr>
              <w:t>76-01</w:t>
            </w:r>
          </w:p>
        </w:tc>
        <w:tc>
          <w:tcPr>
            <w:tcW w:w="4887" w:type="dxa"/>
            <w:tcBorders>
              <w:top w:val="single" w:sz="12" w:space="0" w:color="auto"/>
              <w:bottom w:val="single" w:sz="2" w:space="0" w:color="auto"/>
            </w:tcBorders>
            <w:shd w:val="clear" w:color="auto" w:fill="auto"/>
          </w:tcPr>
          <w:p w14:paraId="5A222D55" w14:textId="77777777" w:rsidR="00F0236A" w:rsidRPr="00073574" w:rsidRDefault="00F0236A" w:rsidP="00DF36E1">
            <w:pPr>
              <w:pStyle w:val="Tabletext"/>
              <w:keepNext/>
              <w:keepLines/>
              <w:rPr>
                <w:b/>
                <w:bCs/>
                <w:sz w:val="24"/>
                <w:szCs w:val="24"/>
              </w:rPr>
            </w:pPr>
            <w:r w:rsidRPr="00073574">
              <w:rPr>
                <w:b/>
                <w:bCs/>
                <w:sz w:val="24"/>
                <w:szCs w:val="24"/>
              </w:rPr>
              <w:t>ITU-T SGs to continue working on the pilot projects for conformity to ITU</w:t>
            </w:r>
            <w:r w:rsidRPr="00073574">
              <w:rPr>
                <w:b/>
                <w:bCs/>
                <w:sz w:val="24"/>
                <w:szCs w:val="24"/>
              </w:rPr>
              <w:noBreakHyphen/>
              <w:t>T Recommendations and continue developing the necessary C&amp;I testing Recommendations for telecommunication equipment as quickly as possible (resolves 1)</w:t>
            </w:r>
          </w:p>
        </w:tc>
        <w:tc>
          <w:tcPr>
            <w:tcW w:w="1454" w:type="dxa"/>
            <w:tcBorders>
              <w:top w:val="single" w:sz="12" w:space="0" w:color="auto"/>
              <w:bottom w:val="single" w:sz="2" w:space="0" w:color="auto"/>
            </w:tcBorders>
            <w:shd w:val="clear" w:color="auto" w:fill="auto"/>
            <w:vAlign w:val="center"/>
          </w:tcPr>
          <w:p w14:paraId="6C320751"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38" w:type="dxa"/>
            <w:tcBorders>
              <w:top w:val="single" w:sz="12" w:space="0" w:color="auto"/>
              <w:bottom w:val="single" w:sz="2" w:space="0" w:color="auto"/>
            </w:tcBorders>
            <w:shd w:val="clear" w:color="auto" w:fill="auto"/>
            <w:vAlign w:val="center"/>
          </w:tcPr>
          <w:p w14:paraId="564FAEC7"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bottom w:val="single" w:sz="2" w:space="0" w:color="auto"/>
            </w:tcBorders>
            <w:shd w:val="clear" w:color="auto" w:fill="auto"/>
            <w:vAlign w:val="center"/>
          </w:tcPr>
          <w:p w14:paraId="49F0E7FA" w14:textId="77777777" w:rsidR="00F0236A" w:rsidRPr="00073574" w:rsidRDefault="00F0236A" w:rsidP="00DF36E1">
            <w:pPr>
              <w:pStyle w:val="Tabletext"/>
              <w:jc w:val="center"/>
              <w:rPr>
                <w:b/>
                <w:bCs/>
                <w:sz w:val="24"/>
                <w:szCs w:val="24"/>
              </w:rPr>
            </w:pPr>
          </w:p>
        </w:tc>
      </w:tr>
      <w:tr w:rsidR="00F0236A" w:rsidRPr="00073574" w14:paraId="5CA04F83" w14:textId="77777777" w:rsidTr="00A61861">
        <w:trPr>
          <w:jc w:val="center"/>
        </w:trPr>
        <w:tc>
          <w:tcPr>
            <w:tcW w:w="1117" w:type="dxa"/>
            <w:vMerge/>
          </w:tcPr>
          <w:p w14:paraId="35BB770B" w14:textId="77777777" w:rsidR="00F0236A" w:rsidRPr="00073574" w:rsidRDefault="00F0236A" w:rsidP="00DF36E1">
            <w:pPr>
              <w:pStyle w:val="Tabletext"/>
              <w:rPr>
                <w:sz w:val="24"/>
                <w:szCs w:val="24"/>
              </w:rPr>
            </w:pPr>
          </w:p>
        </w:tc>
        <w:tc>
          <w:tcPr>
            <w:tcW w:w="8815" w:type="dxa"/>
            <w:gridSpan w:val="4"/>
            <w:tcBorders>
              <w:top w:val="single" w:sz="2" w:space="0" w:color="auto"/>
              <w:bottom w:val="single" w:sz="12" w:space="0" w:color="auto"/>
            </w:tcBorders>
            <w:shd w:val="clear" w:color="auto" w:fill="auto"/>
          </w:tcPr>
          <w:p w14:paraId="73D2A614" w14:textId="44CAA61C" w:rsidR="00F0236A" w:rsidRPr="00073574" w:rsidRDefault="00F0236A" w:rsidP="002E241A">
            <w:pPr>
              <w:pStyle w:val="ListParagraph"/>
              <w:numPr>
                <w:ilvl w:val="0"/>
                <w:numId w:val="38"/>
              </w:numPr>
              <w:spacing w:before="40"/>
              <w:ind w:left="357" w:hanging="357"/>
              <w:contextualSpacing w:val="0"/>
            </w:pPr>
            <w:r w:rsidRPr="00073574">
              <w:t>SG2 notified SG11 on the SG2 focal point to CASC via a liaison statement after its meeting of 29 March to 7 April 2017.</w:t>
            </w:r>
            <w:r w:rsidR="00ED2A3B" w:rsidRPr="00073574">
              <w:t xml:space="preserve"> SG2 notified SG11 on appointment of ITU-T technical experts via a liaison after its meeting of 27 November to 1 December 2017.</w:t>
            </w:r>
          </w:p>
          <w:p w14:paraId="2D535717" w14:textId="3C87AA04" w:rsidR="001F4E92" w:rsidRPr="00073574" w:rsidRDefault="001F4E92" w:rsidP="002E241A">
            <w:pPr>
              <w:pStyle w:val="ListParagraph"/>
              <w:numPr>
                <w:ilvl w:val="0"/>
                <w:numId w:val="38"/>
              </w:numPr>
              <w:contextualSpacing w:val="0"/>
            </w:pPr>
            <w:r w:rsidRPr="00073574">
              <w:t>SG5 appointed a Focal Point to ITU-T CASC.</w:t>
            </w:r>
          </w:p>
          <w:p w14:paraId="3B9223E9" w14:textId="6CBFF9A9" w:rsidR="00F362A7" w:rsidRPr="00073574" w:rsidRDefault="00F362A7" w:rsidP="002E241A">
            <w:pPr>
              <w:pStyle w:val="ListParagraph"/>
              <w:numPr>
                <w:ilvl w:val="0"/>
                <w:numId w:val="38"/>
              </w:numPr>
              <w:contextualSpacing w:val="0"/>
            </w:pPr>
            <w:r w:rsidRPr="00073574">
              <w:t xml:space="preserve">SG9 appointed a Focal Point to ITU-T CASC and provided relevant information </w:t>
            </w:r>
            <w:r w:rsidR="004F188E" w:rsidRPr="00073574">
              <w:t xml:space="preserve">to SG11 and CASC </w:t>
            </w:r>
            <w:r w:rsidRPr="00073574">
              <w:t>related to Recommendations that are relevant for C&amp;I.</w:t>
            </w:r>
          </w:p>
          <w:p w14:paraId="733A393C" w14:textId="3B0CA017" w:rsidR="00F0236A" w:rsidRPr="00073574" w:rsidRDefault="00F0236A" w:rsidP="002E241A">
            <w:pPr>
              <w:pStyle w:val="ListParagraph"/>
              <w:numPr>
                <w:ilvl w:val="0"/>
                <w:numId w:val="38"/>
              </w:numPr>
              <w:ind w:left="357" w:hanging="357"/>
              <w:contextualSpacing w:val="0"/>
            </w:pPr>
            <w:r w:rsidRPr="00073574">
              <w:t>SG11 finalized the first set of Recommendations (58) which specify requirements and relevant test specifications for basic call and some supplementary services for SIP-IMS.</w:t>
            </w:r>
          </w:p>
          <w:p w14:paraId="052ABE07" w14:textId="5D2371A6" w:rsidR="00AC46E1" w:rsidRPr="00073574" w:rsidRDefault="00AC46E1" w:rsidP="007D22B2">
            <w:pPr>
              <w:pStyle w:val="ListParagraph"/>
              <w:ind w:left="357"/>
              <w:contextualSpacing w:val="0"/>
              <w:rPr>
                <w:szCs w:val="22"/>
              </w:rPr>
            </w:pPr>
            <w:r w:rsidRPr="00073574">
              <w:rPr>
                <w:szCs w:val="22"/>
              </w:rPr>
              <w:t>SG11 approved several new recommendations</w:t>
            </w:r>
            <w:r w:rsidR="00C73904" w:rsidRPr="00073574">
              <w:rPr>
                <w:szCs w:val="22"/>
              </w:rPr>
              <w:t xml:space="preserve"> and technical papers/reports</w:t>
            </w:r>
            <w:r w:rsidRPr="00073574">
              <w:rPr>
                <w:szCs w:val="22"/>
              </w:rPr>
              <w:t>, which define test specifications and testing frameworks. Among them are:</w:t>
            </w:r>
          </w:p>
          <w:p w14:paraId="53C8B2E9" w14:textId="77777777" w:rsidR="00AC46E1" w:rsidRPr="00073574" w:rsidRDefault="00AC46E1" w:rsidP="005432EC">
            <w:pPr>
              <w:pStyle w:val="ListParagraph"/>
              <w:numPr>
                <w:ilvl w:val="0"/>
                <w:numId w:val="38"/>
              </w:numPr>
              <w:ind w:left="1020" w:hanging="357"/>
              <w:contextualSpacing w:val="0"/>
            </w:pPr>
            <w:r w:rsidRPr="00073574">
              <w:t>ITU-T Q.3952: The architecture and facilities of Model network for IoT testing;</w:t>
            </w:r>
          </w:p>
          <w:p w14:paraId="55848077" w14:textId="77777777" w:rsidR="00AC46E1" w:rsidRPr="00073574" w:rsidRDefault="00AC46E1" w:rsidP="005432EC">
            <w:pPr>
              <w:pStyle w:val="ListParagraph"/>
              <w:numPr>
                <w:ilvl w:val="0"/>
                <w:numId w:val="38"/>
              </w:numPr>
              <w:ind w:left="1020" w:hanging="357"/>
              <w:contextualSpacing w:val="0"/>
            </w:pPr>
            <w:r w:rsidRPr="00073574">
              <w:t>ITU-T Q.4016: Testing specification of call establishment procedures based on SIP/SDP and ITU-T H.248 for a real-time fax over IP service;</w:t>
            </w:r>
          </w:p>
          <w:p w14:paraId="57413DAE" w14:textId="4D3B49C3" w:rsidR="00AC46E1" w:rsidRPr="00073574" w:rsidRDefault="00AC46E1" w:rsidP="005432EC">
            <w:pPr>
              <w:pStyle w:val="ListParagraph"/>
              <w:numPr>
                <w:ilvl w:val="0"/>
                <w:numId w:val="38"/>
              </w:numPr>
              <w:ind w:left="1020" w:hanging="357"/>
              <w:contextualSpacing w:val="0"/>
            </w:pPr>
            <w:r w:rsidRPr="00073574">
              <w:t xml:space="preserve">ITU-T Q.3940: NGN/IMS interconnection tests between network operators at the IMS </w:t>
            </w:r>
            <w:r w:rsidR="002D4D1F" w:rsidRPr="00073574">
              <w:t>‘</w:t>
            </w:r>
            <w:r w:rsidRPr="00073574">
              <w:t>Ic</w:t>
            </w:r>
            <w:r w:rsidR="002D4D1F" w:rsidRPr="00073574">
              <w:t>’</w:t>
            </w:r>
            <w:r w:rsidRPr="00073574">
              <w:t xml:space="preserve"> interface and NGN NNI/SIP-I;</w:t>
            </w:r>
          </w:p>
          <w:p w14:paraId="7CE81DFD" w14:textId="7689A1A4" w:rsidR="00AC46E1" w:rsidRPr="00073574" w:rsidRDefault="00AC46E1" w:rsidP="005432EC">
            <w:pPr>
              <w:pStyle w:val="ListParagraph"/>
              <w:numPr>
                <w:ilvl w:val="0"/>
                <w:numId w:val="38"/>
              </w:numPr>
              <w:ind w:left="1020" w:hanging="357"/>
              <w:contextualSpacing w:val="0"/>
            </w:pPr>
            <w:r w:rsidRPr="00073574">
              <w:t xml:space="preserve">ITU-T Q.4041.1: Cloud computing infrastructure capabilities interoperability testing </w:t>
            </w:r>
            <w:r w:rsidR="002D4D1F" w:rsidRPr="00073574">
              <w:t>–</w:t>
            </w:r>
            <w:r w:rsidRPr="00073574">
              <w:t xml:space="preserve"> part 1: Interoperability testing between CSC and CSP;</w:t>
            </w:r>
          </w:p>
          <w:p w14:paraId="18C65086" w14:textId="6F9F8105" w:rsidR="009C51C6" w:rsidRPr="00073574" w:rsidRDefault="009C51C6" w:rsidP="005432EC">
            <w:pPr>
              <w:pStyle w:val="ListParagraph"/>
              <w:numPr>
                <w:ilvl w:val="0"/>
                <w:numId w:val="38"/>
              </w:numPr>
              <w:ind w:left="1020" w:hanging="357"/>
              <w:contextualSpacing w:val="0"/>
            </w:pPr>
            <w:r w:rsidRPr="00073574">
              <w:t>ITU-</w:t>
            </w:r>
            <w:r w:rsidR="001B6AE3" w:rsidRPr="00073574">
              <w:t>T Q.4060-Q.40</w:t>
            </w:r>
            <w:r w:rsidR="009D1FBD" w:rsidRPr="00073574">
              <w:t>68 which define testing specifications for IMT-2020 and IoT</w:t>
            </w:r>
          </w:p>
          <w:p w14:paraId="1E304E7E" w14:textId="7E927A85" w:rsidR="00AC46E1" w:rsidRPr="00073574" w:rsidRDefault="00AC46E1" w:rsidP="005432EC">
            <w:pPr>
              <w:pStyle w:val="ListParagraph"/>
              <w:numPr>
                <w:ilvl w:val="0"/>
                <w:numId w:val="38"/>
              </w:numPr>
              <w:ind w:left="1020" w:hanging="357"/>
              <w:contextualSpacing w:val="0"/>
            </w:pPr>
            <w:r w:rsidRPr="00073574">
              <w:t>ITU-T Q.3641: IMS references to Release 11 for communication between IMS and NGN Networks in order to support the end-to-end service interoperability;</w:t>
            </w:r>
          </w:p>
          <w:p w14:paraId="54733188" w14:textId="7F3B023D" w:rsidR="00745404" w:rsidRPr="00073574" w:rsidRDefault="00745404" w:rsidP="005432EC">
            <w:pPr>
              <w:pStyle w:val="ListParagraph"/>
              <w:numPr>
                <w:ilvl w:val="0"/>
                <w:numId w:val="38"/>
              </w:numPr>
              <w:ind w:left="1020" w:hanging="357"/>
              <w:contextualSpacing w:val="0"/>
            </w:pPr>
            <w:r w:rsidRPr="00073574">
              <w:t>ITU-T Q.3642: IMS references to Release 12 for communication between IMS and NGN Networks to support the end-to-end service interoperability;</w:t>
            </w:r>
          </w:p>
          <w:p w14:paraId="4ACEDCF2" w14:textId="7A44136E" w:rsidR="00745404" w:rsidRPr="00073574" w:rsidRDefault="00745404" w:rsidP="005432EC">
            <w:pPr>
              <w:pStyle w:val="ListParagraph"/>
              <w:numPr>
                <w:ilvl w:val="0"/>
                <w:numId w:val="38"/>
              </w:numPr>
              <w:ind w:left="1020" w:hanging="357"/>
              <w:contextualSpacing w:val="0"/>
            </w:pPr>
            <w:r w:rsidRPr="00073574">
              <w:lastRenderedPageBreak/>
              <w:t>ITU-T Q.4014.1: PSTN/ISDN terminal equipment using IP Multimedia core network subsystem; Conformance testing; Part 1: PICS;</w:t>
            </w:r>
          </w:p>
          <w:p w14:paraId="20AA583A" w14:textId="51691D69" w:rsidR="00745404" w:rsidRPr="00073574" w:rsidRDefault="00745404" w:rsidP="005432EC">
            <w:pPr>
              <w:pStyle w:val="ListParagraph"/>
              <w:numPr>
                <w:ilvl w:val="0"/>
                <w:numId w:val="38"/>
              </w:numPr>
              <w:ind w:left="1020" w:hanging="357"/>
              <w:contextualSpacing w:val="0"/>
            </w:pPr>
            <w:r w:rsidRPr="00073574">
              <w:t>ITU-T Q.4014.2: PSTN/ISDN terminal equipment using IP Multimedia core network subsystem; Conformance testing; Part 2: TSS&amp;TP;</w:t>
            </w:r>
          </w:p>
          <w:p w14:paraId="0E3A1400" w14:textId="0C7B5E0E" w:rsidR="000F23AE" w:rsidRPr="00073574" w:rsidRDefault="000F23AE" w:rsidP="005432EC">
            <w:pPr>
              <w:pStyle w:val="ListParagraph"/>
              <w:numPr>
                <w:ilvl w:val="0"/>
                <w:numId w:val="38"/>
              </w:numPr>
              <w:ind w:left="1020" w:hanging="357"/>
              <w:contextualSpacing w:val="0"/>
            </w:pPr>
            <w:r w:rsidRPr="00073574">
              <w:t>ITU-T Q.4042.1: Cloud interoperability testing about web application – part 1: Interoperability testing between CSC and CSP</w:t>
            </w:r>
            <w:r w:rsidR="00E93D79" w:rsidRPr="00073574">
              <w:t>;</w:t>
            </w:r>
          </w:p>
          <w:p w14:paraId="0795276A" w14:textId="14721CE1" w:rsidR="00E93D79" w:rsidRPr="00073574" w:rsidRDefault="00E93D79" w:rsidP="005432EC">
            <w:pPr>
              <w:pStyle w:val="ListParagraph"/>
              <w:numPr>
                <w:ilvl w:val="0"/>
                <w:numId w:val="38"/>
              </w:numPr>
              <w:ind w:left="1020" w:hanging="357"/>
              <w:contextualSpacing w:val="0"/>
            </w:pPr>
            <w:r w:rsidRPr="00073574">
              <w:t>ITU-T Q.3056: Signaling procedures of the probes to be used for remote testing of network parameters</w:t>
            </w:r>
            <w:r w:rsidR="00C73904" w:rsidRPr="00073574">
              <w:t>;</w:t>
            </w:r>
          </w:p>
          <w:p w14:paraId="5BB66F1D" w14:textId="3272AE78" w:rsidR="00D52AC5" w:rsidRPr="00073574" w:rsidRDefault="00D52AC5" w:rsidP="005432EC">
            <w:pPr>
              <w:pStyle w:val="ListParagraph"/>
              <w:numPr>
                <w:ilvl w:val="0"/>
                <w:numId w:val="38"/>
              </w:numPr>
              <w:ind w:left="1020" w:hanging="357"/>
              <w:contextualSpacing w:val="0"/>
            </w:pPr>
            <w:r w:rsidRPr="00073574">
              <w:t>ITU-T Q.3963: The compatibility testing of SDN-based equipment using OpenFlow protocol</w:t>
            </w:r>
            <w:r w:rsidR="000B7A14" w:rsidRPr="00073574">
              <w:t>.</w:t>
            </w:r>
          </w:p>
          <w:p w14:paraId="28DC63EF" w14:textId="784EE425" w:rsidR="00F0236A" w:rsidRPr="00073574" w:rsidRDefault="00F0236A" w:rsidP="00F82559">
            <w:pPr>
              <w:ind w:left="360"/>
              <w:rPr>
                <w:szCs w:val="22"/>
              </w:rPr>
            </w:pPr>
            <w:r w:rsidRPr="00073574">
              <w:rPr>
                <w:szCs w:val="22"/>
              </w:rPr>
              <w:t xml:space="preserve">In 2016, SG11 approved a new Recommendation ITU-T Q.3960 </w:t>
            </w:r>
            <w:r w:rsidR="002D4D1F" w:rsidRPr="00073574">
              <w:rPr>
                <w:szCs w:val="22"/>
              </w:rPr>
              <w:t>“</w:t>
            </w:r>
            <w:r w:rsidRPr="00073574">
              <w:rPr>
                <w:szCs w:val="22"/>
              </w:rPr>
              <w:t>Framework of Internet related performance measurements</w:t>
            </w:r>
            <w:r w:rsidR="002D4D1F" w:rsidRPr="00073574">
              <w:rPr>
                <w:szCs w:val="22"/>
              </w:rPr>
              <w:t>”</w:t>
            </w:r>
            <w:r w:rsidRPr="00073574">
              <w:rPr>
                <w:szCs w:val="22"/>
              </w:rPr>
              <w:t xml:space="preserve"> which describes the framework for Internet related performance measurements which can be established at the national or international level, providing customers of the existing public telecommunication operator</w:t>
            </w:r>
            <w:r w:rsidR="002D4D1F" w:rsidRPr="00073574">
              <w:rPr>
                <w:szCs w:val="22"/>
              </w:rPr>
              <w:t>’</w:t>
            </w:r>
            <w:r w:rsidRPr="00073574">
              <w:rPr>
                <w:szCs w:val="22"/>
              </w:rPr>
              <w:t>s networks the possibility to measure the customer</w:t>
            </w:r>
            <w:r w:rsidR="002D4D1F" w:rsidRPr="00073574">
              <w:rPr>
                <w:szCs w:val="22"/>
              </w:rPr>
              <w:t>’</w:t>
            </w:r>
            <w:r w:rsidRPr="00073574">
              <w:rPr>
                <w:szCs w:val="22"/>
              </w:rPr>
              <w:t>s connection to the Internet.</w:t>
            </w:r>
            <w:r w:rsidR="00F82559" w:rsidRPr="00073574">
              <w:rPr>
                <w:szCs w:val="22"/>
              </w:rPr>
              <w:t xml:space="preserve"> Afterwards, </w:t>
            </w:r>
            <w:r w:rsidR="00222492" w:rsidRPr="00073574">
              <w:rPr>
                <w:szCs w:val="22"/>
              </w:rPr>
              <w:t xml:space="preserve">SG11 </w:t>
            </w:r>
            <w:r w:rsidR="00E93D79" w:rsidRPr="00073574">
              <w:rPr>
                <w:szCs w:val="22"/>
              </w:rPr>
              <w:t>agreed new Supplement 71 to ITU-T Q-series Recommendations “Testing methodologies of Internet related performance measurements including e2e bit rate within the fixed and mobile operator</w:t>
            </w:r>
            <w:r w:rsidR="002D4D1F" w:rsidRPr="00073574">
              <w:rPr>
                <w:szCs w:val="22"/>
              </w:rPr>
              <w:t>’</w:t>
            </w:r>
            <w:r w:rsidR="00E93D79" w:rsidRPr="00073574">
              <w:rPr>
                <w:szCs w:val="22"/>
              </w:rPr>
              <w:t>s networks” which describes the testing procedures of data transmission speed within the fixed and mobile operator</w:t>
            </w:r>
            <w:r w:rsidR="002D4D1F" w:rsidRPr="00073574">
              <w:rPr>
                <w:szCs w:val="22"/>
              </w:rPr>
              <w:t>’</w:t>
            </w:r>
            <w:r w:rsidR="00E93D79" w:rsidRPr="00073574">
              <w:rPr>
                <w:szCs w:val="22"/>
              </w:rPr>
              <w:t>s networks which can be established at the national or international level, providing customers of the existing public telecom networks the possibility to estimate the access related performance.</w:t>
            </w:r>
            <w:r w:rsidR="00222492" w:rsidRPr="00073574">
              <w:rPr>
                <w:szCs w:val="22"/>
              </w:rPr>
              <w:t xml:space="preserve"> </w:t>
            </w:r>
            <w:r w:rsidR="00464CA3" w:rsidRPr="00073574">
              <w:rPr>
                <w:szCs w:val="22"/>
              </w:rPr>
              <w:t xml:space="preserve">Following the outcomes of the </w:t>
            </w:r>
            <w:r w:rsidR="006D59B9" w:rsidRPr="00073574">
              <w:rPr>
                <w:szCs w:val="22"/>
              </w:rPr>
              <w:t>ITU</w:t>
            </w:r>
            <w:r w:rsidR="00464CA3" w:rsidRPr="00073574">
              <w:rPr>
                <w:szCs w:val="22"/>
              </w:rPr>
              <w:t xml:space="preserve"> Workshop</w:t>
            </w:r>
            <w:r w:rsidR="00172C6E" w:rsidRPr="00073574">
              <w:rPr>
                <w:szCs w:val="22"/>
              </w:rPr>
              <w:t xml:space="preserve"> on Benchmarking of emerging technologies and applications. Internet related performance measurements (Geneva, 11 March 2019)</w:t>
            </w:r>
            <w:r w:rsidR="00464CA3" w:rsidRPr="00073574">
              <w:rPr>
                <w:szCs w:val="22"/>
              </w:rPr>
              <w:t xml:space="preserve">, it was noted that the approach highlighted in ITU-T Q.3960 (2016) and </w:t>
            </w:r>
            <w:r w:rsidR="00E93D79" w:rsidRPr="00073574">
              <w:rPr>
                <w:szCs w:val="22"/>
              </w:rPr>
              <w:t xml:space="preserve">Supplement 71 (2019) </w:t>
            </w:r>
            <w:r w:rsidR="00464CA3" w:rsidRPr="00073574">
              <w:rPr>
                <w:szCs w:val="22"/>
              </w:rPr>
              <w:t xml:space="preserve">is compliant with </w:t>
            </w:r>
            <w:r w:rsidR="006D59B9" w:rsidRPr="00073574">
              <w:rPr>
                <w:szCs w:val="22"/>
              </w:rPr>
              <w:t xml:space="preserve">the </w:t>
            </w:r>
            <w:r w:rsidR="00464CA3" w:rsidRPr="00073574">
              <w:rPr>
                <w:szCs w:val="22"/>
              </w:rPr>
              <w:t xml:space="preserve">Net Neutrality regulation 2015/2120 from BEREC and OECD 2014 report, underlying that TCP protocol is widely used by customer application. This information was presented during </w:t>
            </w:r>
            <w:r w:rsidR="006D59B9" w:rsidRPr="00073574">
              <w:rPr>
                <w:szCs w:val="22"/>
              </w:rPr>
              <w:t>ITU</w:t>
            </w:r>
            <w:r w:rsidR="00464CA3" w:rsidRPr="00073574">
              <w:rPr>
                <w:szCs w:val="22"/>
              </w:rPr>
              <w:t xml:space="preserve"> Workshop on 11 March 2019.</w:t>
            </w:r>
          </w:p>
          <w:p w14:paraId="0A927608" w14:textId="47E0CF05" w:rsidR="007D37BB" w:rsidRPr="00073574" w:rsidRDefault="00692E0A" w:rsidP="00F82559">
            <w:pPr>
              <w:ind w:left="360"/>
            </w:pPr>
            <w:r w:rsidRPr="00073574">
              <w:rPr>
                <w:szCs w:val="22"/>
              </w:rPr>
              <w:t xml:space="preserve">In 2021, SG11 organized </w:t>
            </w:r>
            <w:r w:rsidR="00075D82" w:rsidRPr="00073574">
              <w:rPr>
                <w:szCs w:val="22"/>
              </w:rPr>
              <w:t xml:space="preserve">a </w:t>
            </w:r>
            <w:r w:rsidRPr="00073574">
              <w:rPr>
                <w:szCs w:val="22"/>
              </w:rPr>
              <w:t>joint ITU,</w:t>
            </w:r>
            <w:r w:rsidR="0074617A" w:rsidRPr="00073574">
              <w:rPr>
                <w:szCs w:val="22"/>
              </w:rPr>
              <w:t xml:space="preserve"> </w:t>
            </w:r>
            <w:r w:rsidRPr="00073574">
              <w:rPr>
                <w:szCs w:val="22"/>
              </w:rPr>
              <w:t>ETSI, IEEE workshop on testbed federations. Afterwards</w:t>
            </w:r>
            <w:r w:rsidR="007D37BB" w:rsidRPr="00073574">
              <w:rPr>
                <w:szCs w:val="22"/>
              </w:rPr>
              <w:t xml:space="preserve">, SG11 approved new Recommendation </w:t>
            </w:r>
            <w:r w:rsidR="00075D82" w:rsidRPr="00073574">
              <w:rPr>
                <w:szCs w:val="22"/>
              </w:rPr>
              <w:t xml:space="preserve">ITU-T </w:t>
            </w:r>
            <w:r w:rsidR="007D37BB" w:rsidRPr="00073574">
              <w:rPr>
                <w:szCs w:val="22"/>
              </w:rPr>
              <w:t>Q.4068 “</w:t>
            </w:r>
            <w:r w:rsidR="007B33CC" w:rsidRPr="00073574">
              <w:rPr>
                <w:szCs w:val="22"/>
              </w:rPr>
              <w:t>Open APIs for interoperable testbed federations</w:t>
            </w:r>
            <w:r w:rsidR="007D37BB" w:rsidRPr="00073574">
              <w:rPr>
                <w:szCs w:val="22"/>
              </w:rPr>
              <w:t>”</w:t>
            </w:r>
            <w:r w:rsidRPr="00073574">
              <w:rPr>
                <w:szCs w:val="22"/>
              </w:rPr>
              <w:t>.</w:t>
            </w:r>
            <w:r w:rsidR="00730758" w:rsidRPr="00073574">
              <w:rPr>
                <w:szCs w:val="22"/>
              </w:rPr>
              <w:t xml:space="preserve"> The new Focus Group </w:t>
            </w:r>
            <w:r w:rsidR="00022E93" w:rsidRPr="00073574">
              <w:rPr>
                <w:szCs w:val="22"/>
              </w:rPr>
              <w:t xml:space="preserve">on Testbeds Federations for IMT-2020 and beyond </w:t>
            </w:r>
            <w:r w:rsidR="00307F90" w:rsidRPr="00073574">
              <w:rPr>
                <w:szCs w:val="22"/>
              </w:rPr>
              <w:t xml:space="preserve">(FG-TBFxG) </w:t>
            </w:r>
            <w:r w:rsidR="00022E93" w:rsidRPr="00073574">
              <w:rPr>
                <w:szCs w:val="22"/>
              </w:rPr>
              <w:t xml:space="preserve">was </w:t>
            </w:r>
            <w:r w:rsidR="001548AD" w:rsidRPr="00073574">
              <w:rPr>
                <w:szCs w:val="22"/>
              </w:rPr>
              <w:t xml:space="preserve">established by SG11 </w:t>
            </w:r>
            <w:r w:rsidR="00052C23" w:rsidRPr="00073574">
              <w:rPr>
                <w:szCs w:val="22"/>
              </w:rPr>
              <w:t>in December 2021.</w:t>
            </w:r>
          </w:p>
          <w:p w14:paraId="161FF4B8" w14:textId="1DF43DDF" w:rsidR="00BD7389" w:rsidRPr="00073574" w:rsidRDefault="00BD7389" w:rsidP="007D22B2">
            <w:pPr>
              <w:pStyle w:val="ListParagraph"/>
              <w:ind w:left="360"/>
              <w:contextualSpacing w:val="0"/>
              <w:rPr>
                <w:szCs w:val="22"/>
              </w:rPr>
            </w:pPr>
            <w:r w:rsidRPr="00073574">
              <w:rPr>
                <w:szCs w:val="22"/>
              </w:rPr>
              <w:t xml:space="preserve">Following two years of study, SG11 agreed one Supplement and approved </w:t>
            </w:r>
            <w:r w:rsidR="00861341" w:rsidRPr="00073574">
              <w:rPr>
                <w:szCs w:val="22"/>
              </w:rPr>
              <w:t xml:space="preserve">a set of </w:t>
            </w:r>
            <w:r w:rsidRPr="00073574">
              <w:rPr>
                <w:szCs w:val="22"/>
              </w:rPr>
              <w:t>new ITU-T Recommendations dealing with VoLTE/ViLTE interconnection, as follows:</w:t>
            </w:r>
          </w:p>
          <w:p w14:paraId="62FBE90B" w14:textId="77777777" w:rsidR="00BD7389" w:rsidRPr="00073574" w:rsidRDefault="00BD7389" w:rsidP="005432EC">
            <w:pPr>
              <w:pStyle w:val="ListParagraph"/>
              <w:numPr>
                <w:ilvl w:val="0"/>
                <w:numId w:val="38"/>
              </w:numPr>
              <w:ind w:left="1020" w:hanging="357"/>
              <w:contextualSpacing w:val="0"/>
            </w:pPr>
            <w:r w:rsidRPr="00073574">
              <w:t>ITU-T Q.3640: Framework of interconnection of VoLTE/ViLTE-based networks;</w:t>
            </w:r>
          </w:p>
          <w:p w14:paraId="36E352C8" w14:textId="2D240C72" w:rsidR="009E447F" w:rsidRPr="00073574" w:rsidRDefault="009E447F" w:rsidP="005432EC">
            <w:pPr>
              <w:pStyle w:val="ListParagraph"/>
              <w:numPr>
                <w:ilvl w:val="0"/>
                <w:numId w:val="38"/>
              </w:numPr>
              <w:ind w:left="1020" w:hanging="357"/>
              <w:contextualSpacing w:val="0"/>
            </w:pPr>
            <w:r w:rsidRPr="00073574">
              <w:t>ITU-T Q.3642</w:t>
            </w:r>
            <w:r w:rsidR="008E55EA" w:rsidRPr="00073574">
              <w:t>:</w:t>
            </w:r>
            <w:r w:rsidRPr="00073574">
              <w:t xml:space="preserve"> IMS references to Release 12 for communication between IMS and NGN Networks to support the end-to-end service interoperability;</w:t>
            </w:r>
          </w:p>
          <w:p w14:paraId="7E8B08F3" w14:textId="64B17B4A" w:rsidR="009E447F" w:rsidRPr="00073574" w:rsidRDefault="009E447F" w:rsidP="005432EC">
            <w:pPr>
              <w:pStyle w:val="ListParagraph"/>
              <w:numPr>
                <w:ilvl w:val="0"/>
                <w:numId w:val="38"/>
              </w:numPr>
              <w:ind w:left="1020" w:hanging="357"/>
              <w:contextualSpacing w:val="0"/>
            </w:pPr>
            <w:r w:rsidRPr="00073574">
              <w:t>ITU-T Q.3643</w:t>
            </w:r>
            <w:r w:rsidR="008E55EA" w:rsidRPr="00073574">
              <w:t>:</w:t>
            </w:r>
            <w:r w:rsidRPr="00073574">
              <w:t xml:space="preserve"> Signalling architecture of distributed infrastructure ENUM networking for IMS;</w:t>
            </w:r>
          </w:p>
          <w:p w14:paraId="75283FA8" w14:textId="7B6F793D" w:rsidR="00BD7389" w:rsidRPr="00073574" w:rsidRDefault="00BD7389" w:rsidP="005432EC">
            <w:pPr>
              <w:pStyle w:val="ListParagraph"/>
              <w:numPr>
                <w:ilvl w:val="0"/>
                <w:numId w:val="38"/>
              </w:numPr>
              <w:ind w:left="1020" w:hanging="357"/>
              <w:contextualSpacing w:val="0"/>
            </w:pPr>
            <w:r w:rsidRPr="00073574">
              <w:t>ITU-T Q.3953: VoLTE/ViLTE interconnection testing for interworking and roaming scenarios;</w:t>
            </w:r>
          </w:p>
          <w:p w14:paraId="241F091E" w14:textId="77777777" w:rsidR="00BD7389" w:rsidRPr="00073574" w:rsidRDefault="00BD7389" w:rsidP="005432EC">
            <w:pPr>
              <w:pStyle w:val="ListParagraph"/>
              <w:numPr>
                <w:ilvl w:val="0"/>
                <w:numId w:val="38"/>
              </w:numPr>
              <w:ind w:left="1020" w:hanging="357"/>
              <w:contextualSpacing w:val="0"/>
            </w:pPr>
            <w:r w:rsidRPr="00073574">
              <w:t>Q.Supplement 69: Framework for interconnection between VoLTE-based network and other networks supporting emergency telecommunications service (ETS);</w:t>
            </w:r>
          </w:p>
          <w:p w14:paraId="2486876A" w14:textId="77777777" w:rsidR="00BE7761" w:rsidRPr="00073574" w:rsidRDefault="00F0236A" w:rsidP="002E241A">
            <w:pPr>
              <w:pStyle w:val="ListParagraph"/>
              <w:numPr>
                <w:ilvl w:val="0"/>
                <w:numId w:val="38"/>
              </w:numPr>
              <w:contextualSpacing w:val="0"/>
            </w:pPr>
            <w:r w:rsidRPr="00073574">
              <w:t>SG12: January 2017 meeting provided feedback to SG11/CASC and TSAG regarding tests of the compatibility between mobile phones and vehicle hands-free terminals.</w:t>
            </w:r>
            <w:r w:rsidR="005103C4" w:rsidRPr="00073574">
              <w:br/>
              <w:t>SG12 appointed focal point to CASC.</w:t>
            </w:r>
            <w:r w:rsidR="00F4087B" w:rsidRPr="00073574">
              <w:t xml:space="preserve"> Regular exchange of LSs with SG11.</w:t>
            </w:r>
            <w:r w:rsidR="00A53FFF" w:rsidRPr="00073574">
              <w:t xml:space="preserve"> </w:t>
            </w:r>
          </w:p>
          <w:p w14:paraId="2386603F" w14:textId="05936A5D" w:rsidR="00A53FFF" w:rsidRPr="00073574" w:rsidRDefault="00A53FFF" w:rsidP="002E241A">
            <w:pPr>
              <w:pStyle w:val="ListParagraph"/>
              <w:numPr>
                <w:ilvl w:val="0"/>
                <w:numId w:val="38"/>
              </w:numPr>
              <w:contextualSpacing w:val="0"/>
            </w:pPr>
            <w:r w:rsidRPr="00073574">
              <w:lastRenderedPageBreak/>
              <w:t xml:space="preserve">SG12 approved Recommendation ITU-T Y.1545.1 “Framework for monitoring the quality of service of IP network services” and revised Recommendation ITU-T Y.1540 “Internet protocol data communication service </w:t>
            </w:r>
            <w:r w:rsidR="002D4D1F" w:rsidRPr="00073574">
              <w:t>–</w:t>
            </w:r>
            <w:r w:rsidRPr="00073574">
              <w:t xml:space="preserve"> IP packet transfer and availability performance parameters”. Following over 20 years as an in-force Recommendation, the 2019 Edition of Y.1540 recognizes many changes in the design of IP services and in the protocols employed by end-users. It introduces the new Annex A that defines IP-layer Capacity parameters in ways that cater toward assessment, and provides requirements for methods of measurement of IP-layer Capacity. This new Annex is the result of years of study, and application of SG12 principles of accurately evaluating performance parameters and methods of measurement against a “ground truth” reference in laboratory and field measurements. It also provides background on why TCP-based measurements fail to meet normative requirements.</w:t>
            </w:r>
          </w:p>
          <w:p w14:paraId="3F619BAD" w14:textId="59F3A299" w:rsidR="00210F90" w:rsidRPr="00073574" w:rsidRDefault="00210F90" w:rsidP="002E241A">
            <w:pPr>
              <w:pStyle w:val="ListParagraph"/>
              <w:numPr>
                <w:ilvl w:val="0"/>
                <w:numId w:val="38"/>
              </w:numPr>
              <w:ind w:left="357" w:hanging="357"/>
              <w:contextualSpacing w:val="0"/>
            </w:pPr>
            <w:r w:rsidRPr="00073574">
              <w:t>SG13:</w:t>
            </w:r>
            <w:r w:rsidR="00190BD3" w:rsidRPr="00073574">
              <w:t xml:space="preserve"> </w:t>
            </w:r>
            <w:r w:rsidR="007F08FA" w:rsidRPr="00073574">
              <w:t xml:space="preserve">In 2021 </w:t>
            </w:r>
            <w:r w:rsidR="00190BD3" w:rsidRPr="00073574">
              <w:t xml:space="preserve">contributed </w:t>
            </w:r>
            <w:r w:rsidR="007F08FA" w:rsidRPr="00073574">
              <w:t>to the SG11 co</w:t>
            </w:r>
            <w:r w:rsidR="008F2117" w:rsidRPr="00073574">
              <w:t>n</w:t>
            </w:r>
            <w:r w:rsidR="007F08FA" w:rsidRPr="00073574">
              <w:t xml:space="preserve">formity and interoperability testing project with </w:t>
            </w:r>
            <w:r w:rsidR="008F2117" w:rsidRPr="00073574">
              <w:t>five</w:t>
            </w:r>
            <w:r w:rsidR="00BC6A2D" w:rsidRPr="00073574">
              <w:t xml:space="preserve"> Recommendations on machine learning. Also</w:t>
            </w:r>
            <w:r w:rsidR="008F2117" w:rsidRPr="00073574">
              <w:t>,</w:t>
            </w:r>
            <w:r w:rsidR="00BC6A2D" w:rsidRPr="00073574">
              <w:t xml:space="preserve"> FG-AN is looking at Proof-of-Concept</w:t>
            </w:r>
            <w:r w:rsidR="00190BD3" w:rsidRPr="00073574">
              <w:t xml:space="preserve"> </w:t>
            </w:r>
            <w:r w:rsidR="00F0500D" w:rsidRPr="00073574">
              <w:t>applying technologies including AI/ML.</w:t>
            </w:r>
          </w:p>
          <w:p w14:paraId="21F4CC8F" w14:textId="77777777" w:rsidR="00F0236A" w:rsidRPr="00073574" w:rsidRDefault="00F0236A" w:rsidP="002E241A">
            <w:pPr>
              <w:pStyle w:val="ListParagraph"/>
              <w:numPr>
                <w:ilvl w:val="0"/>
                <w:numId w:val="38"/>
              </w:numPr>
              <w:ind w:left="357" w:hanging="357"/>
              <w:contextualSpacing w:val="0"/>
            </w:pPr>
            <w:r w:rsidRPr="00073574">
              <w:t>SG15: Regular exchange of LSs with SG11.</w:t>
            </w:r>
          </w:p>
          <w:p w14:paraId="475852A1" w14:textId="72B1B593" w:rsidR="00F0236A" w:rsidRPr="00073574" w:rsidRDefault="00F0236A" w:rsidP="002E241A">
            <w:pPr>
              <w:pStyle w:val="ListParagraph"/>
              <w:numPr>
                <w:ilvl w:val="0"/>
                <w:numId w:val="38"/>
              </w:numPr>
              <w:ind w:left="357" w:hanging="357"/>
              <w:contextualSpacing w:val="0"/>
            </w:pPr>
            <w:r w:rsidRPr="00073574">
              <w:t>SG16 created an IPTV Testing Team to assist with C&amp;I testing of IPTV services and terminals, which has been listed under SG11</w:t>
            </w:r>
            <w:r w:rsidR="002D4D1F" w:rsidRPr="00073574">
              <w:t>’</w:t>
            </w:r>
            <w:r w:rsidRPr="00073574">
              <w:t>s list of pilot projects.</w:t>
            </w:r>
          </w:p>
          <w:p w14:paraId="532393C1" w14:textId="5DD65A47" w:rsidR="00F0236A" w:rsidRPr="00073574" w:rsidRDefault="00F0236A" w:rsidP="002E241A">
            <w:pPr>
              <w:pStyle w:val="ListParagraph"/>
              <w:numPr>
                <w:ilvl w:val="0"/>
                <w:numId w:val="38"/>
              </w:numPr>
              <w:ind w:left="357" w:hanging="357"/>
              <w:contextualSpacing w:val="0"/>
            </w:pPr>
            <w:r w:rsidRPr="00073574">
              <w:t xml:space="preserve">SG16 started a new pilot project of conformity assessment against Recommendation ITU-T H.700 series, as listed on the relevant </w:t>
            </w:r>
            <w:hyperlink r:id="rId638">
              <w:r w:rsidRPr="00073574">
                <w:t>webpage</w:t>
              </w:r>
            </w:hyperlink>
            <w:r w:rsidRPr="00073574">
              <w:t xml:space="preserve"> on the C&amp;I portal and established an ITU IPTV testing team. The team and Keio University conducted conformance testing on ITU-T H.721 using </w:t>
            </w:r>
            <w:hyperlink r:id="rId639">
              <w:r w:rsidRPr="00073574">
                <w:t>HSTP-CONF H721 – Conformance testing specification for ITU-T H.721</w:t>
              </w:r>
            </w:hyperlink>
            <w:r w:rsidRPr="00073574">
              <w:t xml:space="preserve"> (2015) on 17 January 2017, Geneva during the ITU-T SG16 meeting, and the required tests were successfully conducted. The next IPTV test event is planned to be held during next Q13/16 Rapporteur meeting in Geneva.</w:t>
            </w:r>
          </w:p>
          <w:p w14:paraId="03524D4F" w14:textId="03DB88C2" w:rsidR="004A6E3C" w:rsidRPr="00073574" w:rsidRDefault="00AC01D9" w:rsidP="002E241A">
            <w:pPr>
              <w:pStyle w:val="ListParagraph"/>
              <w:numPr>
                <w:ilvl w:val="0"/>
                <w:numId w:val="38"/>
              </w:numPr>
              <w:contextualSpacing w:val="0"/>
            </w:pPr>
            <w:r w:rsidRPr="00073574">
              <w:t>SG16 continues updating conformance testing specifications for the H.810 Continua Design Guidelines (CDG) in the H.810-series.</w:t>
            </w:r>
          </w:p>
          <w:p w14:paraId="181A2723" w14:textId="7586C92E" w:rsidR="00AC01D9" w:rsidRPr="00073574" w:rsidRDefault="009B32DD" w:rsidP="002E241A">
            <w:pPr>
              <w:pStyle w:val="ListParagraph"/>
              <w:numPr>
                <w:ilvl w:val="0"/>
                <w:numId w:val="38"/>
              </w:numPr>
              <w:contextualSpacing w:val="0"/>
            </w:pPr>
            <w:r w:rsidRPr="00073574">
              <w:t>SG16 progresses work towards a conformance testing spec for H.870 “Guidelines for safe listening devices/systems”.</w:t>
            </w:r>
          </w:p>
          <w:p w14:paraId="4EE0E977" w14:textId="74D36F1A" w:rsidR="009B32DD" w:rsidRPr="00073574" w:rsidRDefault="787B2ED5" w:rsidP="002E241A">
            <w:pPr>
              <w:pStyle w:val="ListParagraph"/>
              <w:numPr>
                <w:ilvl w:val="0"/>
                <w:numId w:val="38"/>
              </w:numPr>
              <w:contextualSpacing w:val="0"/>
            </w:pPr>
            <w:r w:rsidRPr="00073574">
              <w:t>SG16 approved FSTP-CONF-F921 (2018) “Compliance procedure and requirements for audio-based indoor and outdoor network navigation system for persons with vision impairment” that is the checklist for compliance testing with Recommendation ITU-T F.921.</w:t>
            </w:r>
          </w:p>
          <w:p w14:paraId="4100D74D" w14:textId="7576F635" w:rsidR="01EEC663" w:rsidRPr="00073574" w:rsidRDefault="00B93E93" w:rsidP="002E241A">
            <w:pPr>
              <w:pStyle w:val="ListParagraph"/>
              <w:numPr>
                <w:ilvl w:val="0"/>
                <w:numId w:val="38"/>
              </w:numPr>
              <w:contextualSpacing w:val="0"/>
              <w:rPr>
                <w:rFonts w:eastAsia="Times New Roman"/>
              </w:rPr>
            </w:pPr>
            <w:r w:rsidRPr="00073574">
              <w:t>During</w:t>
            </w:r>
            <w:r w:rsidRPr="00073574">
              <w:rPr>
                <w:rFonts w:eastAsia="Times New Roman"/>
              </w:rPr>
              <w:t xml:space="preserve"> the l</w:t>
            </w:r>
            <w:r w:rsidR="01EEC663" w:rsidRPr="00073574">
              <w:rPr>
                <w:rFonts w:eastAsia="Times New Roman"/>
              </w:rPr>
              <w:t>ast study period, SG17 provided extensive information to SGs and Q12/17 offered assistance to other Q</w:t>
            </w:r>
            <w:r w:rsidRPr="00073574">
              <w:rPr>
                <w:rFonts w:eastAsia="Times New Roman"/>
              </w:rPr>
              <w:t>uestion</w:t>
            </w:r>
            <w:r w:rsidR="01EEC663" w:rsidRPr="00073574">
              <w:rPr>
                <w:rFonts w:eastAsia="Times New Roman"/>
              </w:rPr>
              <w:t>s or SGs for issues related to conformance and interoperability testing principles and methodology to assist in supporting Res. 76. This work has been transferred to SG11. TTCN-3 Recommendations are continually updated in Q12/17 in this study period.</w:t>
            </w:r>
          </w:p>
          <w:p w14:paraId="2266CBAC" w14:textId="609B9DC8" w:rsidR="0034526F" w:rsidRPr="00073574" w:rsidRDefault="0034526F" w:rsidP="002E241A">
            <w:pPr>
              <w:pStyle w:val="ListParagraph"/>
              <w:numPr>
                <w:ilvl w:val="0"/>
                <w:numId w:val="38"/>
              </w:numPr>
              <w:spacing w:after="40"/>
              <w:ind w:left="357" w:hanging="357"/>
              <w:contextualSpacing w:val="0"/>
            </w:pPr>
            <w:r w:rsidRPr="00073574">
              <w:t xml:space="preserve">SG20 </w:t>
            </w:r>
            <w:r w:rsidR="007259D4" w:rsidRPr="00073574">
              <w:t>approved</w:t>
            </w:r>
            <w:r w:rsidRPr="00073574">
              <w:t xml:space="preserve"> Recommendations ITU-T Y.4500.15 “oneM2M- Testing framework” and ITU-T Y.4500.13 “oneM2M </w:t>
            </w:r>
            <w:r w:rsidR="002D4D1F" w:rsidRPr="00073574">
              <w:t>–</w:t>
            </w:r>
            <w:r w:rsidRPr="00073574">
              <w:t xml:space="preserve"> Interoperability Testing”. Recommendation ITU-T Y.4500.15 “oneM2M- Testing framework” provides a methodology for development of conformance and interoperability test strategies, test systems and the resulting test specifications for oneM2M standards. Recommendation ITU-T Y.4500.13 “oneM2M </w:t>
            </w:r>
            <w:r w:rsidR="002D4D1F" w:rsidRPr="00073574">
              <w:t>–</w:t>
            </w:r>
            <w:r w:rsidRPr="00073574">
              <w:t xml:space="preserve"> Interoperability Testing” specifies Interoperability Test Descriptions for the oneM2M primitives.</w:t>
            </w:r>
            <w:r w:rsidR="008368DD" w:rsidRPr="00073574">
              <w:t xml:space="preserve"> ITU-T SG11 agreed to assign numbers from </w:t>
            </w:r>
            <w:r w:rsidR="00047261" w:rsidRPr="00073574">
              <w:t xml:space="preserve">ITU-T </w:t>
            </w:r>
            <w:r w:rsidR="008368DD" w:rsidRPr="00073574">
              <w:t>Q.series for those two Recommendations as follows: ITU-T Y.4500.13/Q.3954 and ITU-T Y.4500.15/Q.3955 accordingly.</w:t>
            </w:r>
          </w:p>
        </w:tc>
      </w:tr>
      <w:tr w:rsidR="00E04130" w:rsidRPr="00073574" w14:paraId="3E58B67E" w14:textId="77777777" w:rsidTr="00EC0255">
        <w:trPr>
          <w:jc w:val="center"/>
        </w:trPr>
        <w:tc>
          <w:tcPr>
            <w:tcW w:w="1117" w:type="dxa"/>
            <w:vMerge w:val="restart"/>
            <w:tcBorders>
              <w:top w:val="single" w:sz="12" w:space="0" w:color="auto"/>
            </w:tcBorders>
            <w:shd w:val="clear" w:color="auto" w:fill="auto"/>
          </w:tcPr>
          <w:p w14:paraId="2B99C46C" w14:textId="0A5B87AF" w:rsidR="00E04130" w:rsidRPr="00073574" w:rsidRDefault="00E04130" w:rsidP="00E04130">
            <w:pPr>
              <w:pStyle w:val="Tabletext"/>
              <w:rPr>
                <w:sz w:val="24"/>
                <w:szCs w:val="24"/>
              </w:rPr>
            </w:pPr>
            <w:r w:rsidRPr="00073574">
              <w:rPr>
                <w:b/>
                <w:bCs/>
                <w:sz w:val="24"/>
                <w:szCs w:val="24"/>
              </w:rPr>
              <w:lastRenderedPageBreak/>
              <w:t>76-02</w:t>
            </w:r>
          </w:p>
        </w:tc>
        <w:tc>
          <w:tcPr>
            <w:tcW w:w="4887" w:type="dxa"/>
            <w:tcBorders>
              <w:top w:val="single" w:sz="2" w:space="0" w:color="auto"/>
              <w:bottom w:val="single" w:sz="4" w:space="0" w:color="auto"/>
            </w:tcBorders>
            <w:shd w:val="clear" w:color="auto" w:fill="auto"/>
          </w:tcPr>
          <w:p w14:paraId="0D492D03" w14:textId="3F4B7485" w:rsidR="00E04130" w:rsidRPr="00073574" w:rsidRDefault="00E04130" w:rsidP="00850E0E">
            <w:pPr>
              <w:keepNext/>
              <w:keepLines/>
              <w:rPr>
                <w:szCs w:val="22"/>
              </w:rPr>
            </w:pPr>
            <w:r w:rsidRPr="00073574">
              <w:rPr>
                <w:b/>
                <w:bCs/>
                <w:sz w:val="24"/>
              </w:rPr>
              <w:t>ITU-T Study groups accelerate accomplishing the pilot projects started by ITU</w:t>
            </w:r>
            <w:r w:rsidRPr="00073574">
              <w:rPr>
                <w:b/>
                <w:bCs/>
                <w:sz w:val="24"/>
              </w:rPr>
              <w:noBreakHyphen/>
              <w:t>T study groups and to identify existing ITU-T Recommendations that would be candidates for C&amp;I testing (i. SGs 1)</w:t>
            </w:r>
          </w:p>
        </w:tc>
        <w:tc>
          <w:tcPr>
            <w:tcW w:w="1454" w:type="dxa"/>
            <w:tcBorders>
              <w:top w:val="single" w:sz="2" w:space="0" w:color="auto"/>
              <w:bottom w:val="single" w:sz="4" w:space="0" w:color="auto"/>
            </w:tcBorders>
            <w:shd w:val="clear" w:color="auto" w:fill="auto"/>
            <w:vAlign w:val="center"/>
          </w:tcPr>
          <w:p w14:paraId="4B50772C" w14:textId="38575823" w:rsidR="00E04130" w:rsidRPr="00073574" w:rsidRDefault="00E04130" w:rsidP="000A2260">
            <w:pPr>
              <w:jc w:val="center"/>
              <w:rPr>
                <w:szCs w:val="22"/>
              </w:rPr>
            </w:pPr>
            <w:r w:rsidRPr="00073574">
              <w:rPr>
                <w:b/>
                <w:bCs/>
                <w:sz w:val="24"/>
              </w:rPr>
              <w:t>Ongoing</w:t>
            </w:r>
          </w:p>
        </w:tc>
        <w:tc>
          <w:tcPr>
            <w:tcW w:w="1138" w:type="dxa"/>
            <w:tcBorders>
              <w:top w:val="single" w:sz="2" w:space="0" w:color="auto"/>
              <w:bottom w:val="single" w:sz="4" w:space="0" w:color="auto"/>
            </w:tcBorders>
            <w:shd w:val="clear" w:color="auto" w:fill="auto"/>
            <w:vAlign w:val="center"/>
          </w:tcPr>
          <w:p w14:paraId="68F8BDD4" w14:textId="09DD0924" w:rsidR="00E04130" w:rsidRPr="00073574" w:rsidRDefault="00E04130" w:rsidP="00E04130">
            <w:pPr>
              <w:rPr>
                <w:szCs w:val="22"/>
              </w:rPr>
            </w:pPr>
            <w:r w:rsidRPr="00073574">
              <w:rPr>
                <w:b/>
                <w:bCs/>
                <w:sz w:val="24"/>
              </w:rPr>
              <w:t>√</w:t>
            </w:r>
          </w:p>
        </w:tc>
        <w:tc>
          <w:tcPr>
            <w:tcW w:w="1336" w:type="dxa"/>
            <w:tcBorders>
              <w:top w:val="single" w:sz="2" w:space="0" w:color="auto"/>
              <w:bottom w:val="single" w:sz="4" w:space="0" w:color="auto"/>
            </w:tcBorders>
            <w:shd w:val="clear" w:color="auto" w:fill="auto"/>
            <w:vAlign w:val="center"/>
          </w:tcPr>
          <w:p w14:paraId="451128D8" w14:textId="07D4E45B" w:rsidR="00E04130" w:rsidRPr="00073574" w:rsidRDefault="00E04130" w:rsidP="00E04130">
            <w:pPr>
              <w:rPr>
                <w:szCs w:val="22"/>
              </w:rPr>
            </w:pPr>
          </w:p>
        </w:tc>
      </w:tr>
      <w:tr w:rsidR="00E04130" w:rsidRPr="00073574" w14:paraId="3FA25DB1" w14:textId="77777777" w:rsidTr="008F06E9">
        <w:trPr>
          <w:jc w:val="center"/>
        </w:trPr>
        <w:tc>
          <w:tcPr>
            <w:tcW w:w="1117" w:type="dxa"/>
            <w:vMerge/>
          </w:tcPr>
          <w:p w14:paraId="1CC919E8" w14:textId="77777777" w:rsidR="00E04130" w:rsidRPr="00073574" w:rsidRDefault="00E04130" w:rsidP="00DF36E1">
            <w:pPr>
              <w:pStyle w:val="Tabletext"/>
              <w:rPr>
                <w:sz w:val="24"/>
                <w:szCs w:val="24"/>
              </w:rPr>
            </w:pPr>
          </w:p>
        </w:tc>
        <w:tc>
          <w:tcPr>
            <w:tcW w:w="8815" w:type="dxa"/>
            <w:gridSpan w:val="4"/>
            <w:tcBorders>
              <w:top w:val="single" w:sz="4" w:space="0" w:color="auto"/>
              <w:bottom w:val="single" w:sz="12" w:space="0" w:color="auto"/>
            </w:tcBorders>
            <w:shd w:val="clear" w:color="auto" w:fill="auto"/>
          </w:tcPr>
          <w:p w14:paraId="0C666075" w14:textId="77777777" w:rsidR="00E04130" w:rsidRPr="00073574" w:rsidRDefault="00E04130" w:rsidP="002E241A">
            <w:pPr>
              <w:pStyle w:val="ListParagraph"/>
              <w:numPr>
                <w:ilvl w:val="0"/>
                <w:numId w:val="38"/>
              </w:numPr>
              <w:spacing w:before="40"/>
              <w:ind w:left="357" w:hanging="357"/>
              <w:contextualSpacing w:val="0"/>
            </w:pPr>
            <w:r w:rsidRPr="00073574">
              <w:t>SG9 has provided information related to Recommendations that are relevant for C&amp;I to SG11 with regular liaisons exchanges.</w:t>
            </w:r>
          </w:p>
          <w:p w14:paraId="4E8F2A84" w14:textId="77777777" w:rsidR="00E04130" w:rsidRPr="00073574" w:rsidRDefault="00E04130" w:rsidP="002E241A">
            <w:pPr>
              <w:pStyle w:val="ListParagraph"/>
              <w:numPr>
                <w:ilvl w:val="0"/>
                <w:numId w:val="38"/>
              </w:numPr>
              <w:ind w:left="357" w:hanging="357"/>
              <w:contextualSpacing w:val="0"/>
            </w:pPr>
            <w:r w:rsidRPr="00073574">
              <w:t>SG11 maintains the list of ongoing pilot projects and updated the list of pilot projects according to the received inputs from ITU-T SGs.</w:t>
            </w:r>
          </w:p>
          <w:p w14:paraId="655EE4C4" w14:textId="6426EBD8" w:rsidR="00E04130" w:rsidRPr="00073574" w:rsidRDefault="00E04130" w:rsidP="002E241A">
            <w:pPr>
              <w:pStyle w:val="ListParagraph"/>
              <w:numPr>
                <w:ilvl w:val="0"/>
                <w:numId w:val="38"/>
              </w:numPr>
              <w:ind w:left="357" w:hanging="357"/>
              <w:contextualSpacing w:val="0"/>
            </w:pPr>
            <w:r w:rsidRPr="00073574">
              <w:t>SG12 consented several revised and new Recommendations that have been identified for testing. Regular exchange of LSs with SG11.</w:t>
            </w:r>
          </w:p>
          <w:p w14:paraId="163C9CF9" w14:textId="10910FBA" w:rsidR="00A8519C" w:rsidRPr="00073574" w:rsidRDefault="00A8519C" w:rsidP="00A8519C">
            <w:pPr>
              <w:pStyle w:val="ListParagraph"/>
              <w:numPr>
                <w:ilvl w:val="0"/>
                <w:numId w:val="38"/>
              </w:numPr>
              <w:ind w:left="357" w:hanging="357"/>
              <w:contextualSpacing w:val="0"/>
            </w:pPr>
            <w:r w:rsidRPr="00073574">
              <w:t>SG13 approved five new Recommendations that have been passed over to SG11 for consideration for testing. Started exchange of LSs with SG11 on this subject in 2021.</w:t>
            </w:r>
          </w:p>
          <w:p w14:paraId="047B12BE" w14:textId="77777777" w:rsidR="00E04130" w:rsidRPr="00073574" w:rsidRDefault="00E04130" w:rsidP="002E241A">
            <w:pPr>
              <w:pStyle w:val="ListParagraph"/>
              <w:numPr>
                <w:ilvl w:val="0"/>
                <w:numId w:val="38"/>
              </w:numPr>
              <w:ind w:left="357" w:hanging="357"/>
              <w:contextualSpacing w:val="0"/>
            </w:pPr>
            <w:r w:rsidRPr="00073574">
              <w:t>SG15: Regular exchange of LSs with SG11.</w:t>
            </w:r>
          </w:p>
          <w:p w14:paraId="008AA6D8" w14:textId="2414442C" w:rsidR="00E04130" w:rsidRPr="00073574" w:rsidRDefault="00E04130" w:rsidP="002E241A">
            <w:pPr>
              <w:pStyle w:val="ListParagraph"/>
              <w:numPr>
                <w:ilvl w:val="0"/>
                <w:numId w:val="38"/>
              </w:numPr>
              <w:contextualSpacing w:val="0"/>
            </w:pPr>
            <w:r w:rsidRPr="00073574">
              <w:t>SG16 updated the conformance testing specifications for the H.810 Continua Design Guidelines (CDG) in the H.810-series to the 4th edition (</w:t>
            </w:r>
            <w:r w:rsidR="002D4D1F" w:rsidRPr="00073574">
              <w:t>“</w:t>
            </w:r>
            <w:r w:rsidRPr="00073574">
              <w:t>Keratin</w:t>
            </w:r>
            <w:r w:rsidR="002D4D1F" w:rsidRPr="00073574">
              <w:t>”</w:t>
            </w:r>
            <w:r w:rsidRPr="00073574">
              <w:t xml:space="preserve">, CDG 2017); approved a new technical paper </w:t>
            </w:r>
            <w:hyperlink r:id="rId640">
              <w:r w:rsidRPr="00073574">
                <w:rPr>
                  <w:rStyle w:val="Hyperlink"/>
                </w:rPr>
                <w:t>FSTP-CONF-F921 (2018)</w:t>
              </w:r>
            </w:hyperlink>
            <w:r w:rsidRPr="00073574">
              <w:t xml:space="preserve"> – Compliance procedure and requirements for audio-based indoor and outdoor network navigation system for persons with vision impairment, which describes the checklist for compliance testing with Recommendation ITU-T F.921 at the SG16 meeting in July 2018; and </w:t>
            </w:r>
            <w:hyperlink r:id="rId641">
              <w:r w:rsidRPr="00073574">
                <w:rPr>
                  <w:rStyle w:val="Hyperlink"/>
                </w:rPr>
                <w:t>HSTP-CONF-H702</w:t>
              </w:r>
            </w:hyperlink>
            <w:r w:rsidRPr="00073574">
              <w:t xml:space="preserve"> – Conformance testing specification for H.702 at SG16 meeting in January 2017.</w:t>
            </w:r>
            <w:r w:rsidRPr="00073574">
              <w:br/>
              <w:t>SG16 completed a technical paper on conformance testing of accessible IPTV terminals (HSTP-CONF-H702).</w:t>
            </w:r>
          </w:p>
          <w:p w14:paraId="716641E5" w14:textId="31CF3D28" w:rsidR="006B4A33" w:rsidRPr="00073574" w:rsidRDefault="00E04130" w:rsidP="002E241A">
            <w:pPr>
              <w:pStyle w:val="ListParagraph"/>
              <w:numPr>
                <w:ilvl w:val="0"/>
                <w:numId w:val="38"/>
              </w:numPr>
              <w:contextualSpacing w:val="0"/>
            </w:pPr>
            <w:r w:rsidRPr="00073574">
              <w:t>SG16 progresses work towards a conformance testing spec for H.870 “Guidelines for safe listening devices/systems”.</w:t>
            </w:r>
          </w:p>
          <w:p w14:paraId="69F38E2E" w14:textId="576E005C" w:rsidR="00E04130" w:rsidRPr="00073574" w:rsidRDefault="00E04130" w:rsidP="002E241A">
            <w:pPr>
              <w:pStyle w:val="ListParagraph"/>
              <w:numPr>
                <w:ilvl w:val="0"/>
                <w:numId w:val="38"/>
              </w:numPr>
              <w:contextualSpacing w:val="0"/>
            </w:pPr>
            <w:r w:rsidRPr="00073574">
              <w:t>SG20 approved Recommendations ITU-T Y.4500.15</w:t>
            </w:r>
            <w:r w:rsidR="00857324" w:rsidRPr="00073574">
              <w:t>/Q.3955 (2018)</w:t>
            </w:r>
            <w:r w:rsidRPr="00073574">
              <w:t xml:space="preserve"> “oneM2M- Testing framework” and ITU-T Y.4500.13</w:t>
            </w:r>
            <w:r w:rsidR="00857324" w:rsidRPr="00073574">
              <w:t>/Q.3954 (2018)</w:t>
            </w:r>
            <w:r w:rsidRPr="00073574">
              <w:t xml:space="preserve"> “oneM2M </w:t>
            </w:r>
            <w:r w:rsidR="002D4D1F" w:rsidRPr="00073574">
              <w:t>–</w:t>
            </w:r>
            <w:r w:rsidRPr="00073574">
              <w:t xml:space="preserve"> Interoperability Testing”. Recommendation ITU-T Y.4500.15</w:t>
            </w:r>
            <w:r w:rsidR="00857324" w:rsidRPr="00073574">
              <w:t>/Q.3955</w:t>
            </w:r>
            <w:r w:rsidRPr="00073574">
              <w:t xml:space="preserve"> “oneM2M- Testing framework” provides a methodology for development of conformance and interoperability test strategies, test systems and the resulting test specifications for oneM2M standards. Recommendation ITU-T Y.4500.13</w:t>
            </w:r>
            <w:r w:rsidR="00857324" w:rsidRPr="00073574">
              <w:t>/Q.3954</w:t>
            </w:r>
            <w:r w:rsidRPr="00073574">
              <w:t xml:space="preserve"> “oneM2M </w:t>
            </w:r>
            <w:r w:rsidR="002D4D1F" w:rsidRPr="00073574">
              <w:t>–</w:t>
            </w:r>
            <w:r w:rsidRPr="00073574">
              <w:t xml:space="preserve"> Interoperability Testing” specifies Interoperability Test Descriptions for the oneM2M primitives.</w:t>
            </w:r>
          </w:p>
        </w:tc>
      </w:tr>
      <w:tr w:rsidR="005A435D" w:rsidRPr="00073574" w14:paraId="6E5D70E8" w14:textId="77777777" w:rsidTr="00A61861">
        <w:trPr>
          <w:cantSplit/>
          <w:jc w:val="center"/>
        </w:trPr>
        <w:tc>
          <w:tcPr>
            <w:tcW w:w="1117" w:type="dxa"/>
            <w:vMerge w:val="restart"/>
            <w:tcBorders>
              <w:top w:val="single" w:sz="12" w:space="0" w:color="auto"/>
            </w:tcBorders>
            <w:shd w:val="clear" w:color="auto" w:fill="auto"/>
          </w:tcPr>
          <w:p w14:paraId="2BE00212" w14:textId="77777777" w:rsidR="005A435D" w:rsidRPr="00073574" w:rsidRDefault="005A435D" w:rsidP="005A435D">
            <w:pPr>
              <w:pStyle w:val="Tabletext"/>
              <w:keepNext/>
              <w:keepLines/>
              <w:rPr>
                <w:b/>
                <w:bCs/>
                <w:sz w:val="24"/>
                <w:szCs w:val="24"/>
              </w:rPr>
            </w:pPr>
            <w:r w:rsidRPr="00073574">
              <w:rPr>
                <w:b/>
                <w:bCs/>
                <w:sz w:val="24"/>
                <w:szCs w:val="24"/>
              </w:rPr>
              <w:t>76-03</w:t>
            </w:r>
          </w:p>
        </w:tc>
        <w:tc>
          <w:tcPr>
            <w:tcW w:w="4887" w:type="dxa"/>
            <w:tcBorders>
              <w:top w:val="single" w:sz="12" w:space="0" w:color="auto"/>
            </w:tcBorders>
            <w:shd w:val="clear" w:color="auto" w:fill="auto"/>
            <w:hideMark/>
          </w:tcPr>
          <w:p w14:paraId="4BBC3B37" w14:textId="77777777" w:rsidR="005A435D" w:rsidRPr="00073574" w:rsidRDefault="005A435D" w:rsidP="005A435D">
            <w:pPr>
              <w:pStyle w:val="Tabletext"/>
              <w:rPr>
                <w:b/>
                <w:bCs/>
                <w:sz w:val="24"/>
                <w:szCs w:val="24"/>
              </w:rPr>
            </w:pPr>
            <w:r w:rsidRPr="00073574">
              <w:rPr>
                <w:b/>
                <w:bCs/>
                <w:sz w:val="24"/>
                <w:szCs w:val="24"/>
              </w:rPr>
              <w:t xml:space="preserve">ITU-T Study groups, in continued and enhanced cooperation with other entities as appropriate, to prepare test specifications for those key technologies identified by </w:t>
            </w:r>
            <w:hyperlink w:anchor="Item76_01" w:history="1">
              <w:r w:rsidRPr="00073574">
                <w:rPr>
                  <w:rStyle w:val="Hyperlink"/>
                  <w:b/>
                  <w:bCs/>
                  <w:sz w:val="24"/>
                  <w:szCs w:val="24"/>
                </w:rPr>
                <w:t>76-02</w:t>
              </w:r>
            </w:hyperlink>
            <w:r w:rsidRPr="00073574">
              <w:rPr>
                <w:rStyle w:val="Hyperlink"/>
                <w:b/>
                <w:bCs/>
                <w:sz w:val="24"/>
                <w:szCs w:val="24"/>
              </w:rPr>
              <w:t xml:space="preserve"> (i. SGs 2)</w:t>
            </w:r>
          </w:p>
        </w:tc>
        <w:tc>
          <w:tcPr>
            <w:tcW w:w="1454" w:type="dxa"/>
            <w:tcBorders>
              <w:top w:val="single" w:sz="12" w:space="0" w:color="auto"/>
              <w:bottom w:val="single" w:sz="4" w:space="0" w:color="auto"/>
            </w:tcBorders>
            <w:shd w:val="clear" w:color="auto" w:fill="auto"/>
            <w:vAlign w:val="center"/>
          </w:tcPr>
          <w:p w14:paraId="0F387C2F" w14:textId="77777777" w:rsidR="005A435D" w:rsidRPr="00073574" w:rsidRDefault="005A435D" w:rsidP="005A435D">
            <w:pPr>
              <w:pStyle w:val="Tabletext"/>
              <w:jc w:val="center"/>
              <w:rPr>
                <w:b/>
                <w:bCs/>
                <w:sz w:val="24"/>
                <w:szCs w:val="24"/>
              </w:rPr>
            </w:pPr>
            <w:r w:rsidRPr="00073574">
              <w:rPr>
                <w:b/>
                <w:bCs/>
                <w:sz w:val="24"/>
                <w:szCs w:val="24"/>
              </w:rPr>
              <w:t>Ongoing</w:t>
            </w:r>
          </w:p>
        </w:tc>
        <w:tc>
          <w:tcPr>
            <w:tcW w:w="1138" w:type="dxa"/>
            <w:tcBorders>
              <w:top w:val="single" w:sz="12" w:space="0" w:color="auto"/>
            </w:tcBorders>
            <w:shd w:val="clear" w:color="auto" w:fill="auto"/>
            <w:vAlign w:val="center"/>
          </w:tcPr>
          <w:p w14:paraId="0500CA54" w14:textId="77777777" w:rsidR="005A435D" w:rsidRPr="00073574" w:rsidRDefault="005A435D" w:rsidP="005A435D">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0A5EB549" w14:textId="77777777" w:rsidR="005A435D" w:rsidRPr="00073574" w:rsidRDefault="005A435D" w:rsidP="005A435D">
            <w:pPr>
              <w:pStyle w:val="Tabletext"/>
              <w:jc w:val="center"/>
              <w:rPr>
                <w:b/>
                <w:bCs/>
                <w:sz w:val="24"/>
                <w:szCs w:val="24"/>
              </w:rPr>
            </w:pPr>
          </w:p>
        </w:tc>
      </w:tr>
      <w:tr w:rsidR="005A435D" w:rsidRPr="00073574" w14:paraId="337D1CB1" w14:textId="77777777" w:rsidTr="00A61861">
        <w:trPr>
          <w:cantSplit/>
          <w:jc w:val="center"/>
        </w:trPr>
        <w:tc>
          <w:tcPr>
            <w:tcW w:w="1117" w:type="dxa"/>
            <w:vMerge/>
          </w:tcPr>
          <w:p w14:paraId="11C167C0" w14:textId="77777777" w:rsidR="005A435D" w:rsidRPr="00073574" w:rsidRDefault="005A435D" w:rsidP="005A435D">
            <w:pPr>
              <w:pStyle w:val="Tabletext"/>
              <w:rPr>
                <w:sz w:val="24"/>
                <w:szCs w:val="24"/>
              </w:rPr>
            </w:pPr>
          </w:p>
        </w:tc>
        <w:tc>
          <w:tcPr>
            <w:tcW w:w="8815" w:type="dxa"/>
            <w:gridSpan w:val="4"/>
            <w:tcBorders>
              <w:bottom w:val="single" w:sz="12" w:space="0" w:color="auto"/>
            </w:tcBorders>
            <w:shd w:val="clear" w:color="auto" w:fill="auto"/>
          </w:tcPr>
          <w:p w14:paraId="43B5E0C7" w14:textId="0CDC31AF" w:rsidR="005A435D" w:rsidRPr="00073574" w:rsidRDefault="005A435D" w:rsidP="002E241A">
            <w:pPr>
              <w:pStyle w:val="ListParagraph"/>
              <w:numPr>
                <w:ilvl w:val="0"/>
                <w:numId w:val="38"/>
              </w:numPr>
              <w:spacing w:before="40" w:after="40"/>
              <w:ind w:left="357" w:hanging="357"/>
              <w:contextualSpacing w:val="0"/>
            </w:pPr>
            <w:r w:rsidRPr="00073574">
              <w:t>SG5,</w:t>
            </w:r>
            <w:r w:rsidR="00F362A7" w:rsidRPr="00073574">
              <w:t xml:space="preserve"> SG9,</w:t>
            </w:r>
            <w:r w:rsidRPr="00073574">
              <w:t xml:space="preserve"> SG11, SG12, SG15, SG16, SG20: see 76-02</w:t>
            </w:r>
            <w:r w:rsidR="00EE20A7" w:rsidRPr="00073574">
              <w:t>.</w:t>
            </w:r>
          </w:p>
        </w:tc>
      </w:tr>
      <w:tr w:rsidR="005A435D" w:rsidRPr="00073574" w14:paraId="61C20389" w14:textId="77777777" w:rsidTr="00A61861">
        <w:trPr>
          <w:jc w:val="center"/>
        </w:trPr>
        <w:tc>
          <w:tcPr>
            <w:tcW w:w="1117" w:type="dxa"/>
            <w:vMerge w:val="restart"/>
            <w:tcBorders>
              <w:top w:val="single" w:sz="12" w:space="0" w:color="auto"/>
            </w:tcBorders>
            <w:shd w:val="clear" w:color="auto" w:fill="auto"/>
          </w:tcPr>
          <w:p w14:paraId="61C28971" w14:textId="77777777" w:rsidR="005A435D" w:rsidRPr="00073574" w:rsidRDefault="005A435D" w:rsidP="00850E0E">
            <w:pPr>
              <w:pStyle w:val="Tabletext"/>
              <w:rPr>
                <w:b/>
                <w:bCs/>
                <w:sz w:val="24"/>
                <w:szCs w:val="24"/>
              </w:rPr>
            </w:pPr>
            <w:r w:rsidRPr="00073574">
              <w:rPr>
                <w:b/>
                <w:bCs/>
                <w:sz w:val="24"/>
                <w:szCs w:val="24"/>
              </w:rPr>
              <w:t>76-04</w:t>
            </w:r>
          </w:p>
        </w:tc>
        <w:tc>
          <w:tcPr>
            <w:tcW w:w="4887" w:type="dxa"/>
            <w:tcBorders>
              <w:top w:val="single" w:sz="12" w:space="0" w:color="auto"/>
            </w:tcBorders>
            <w:shd w:val="clear" w:color="auto" w:fill="auto"/>
            <w:hideMark/>
          </w:tcPr>
          <w:p w14:paraId="7F1F9767" w14:textId="3210C0C9" w:rsidR="005A435D" w:rsidRPr="00073574" w:rsidRDefault="005A435D" w:rsidP="00850E0E">
            <w:pPr>
              <w:pStyle w:val="Tabletext"/>
              <w:rPr>
                <w:b/>
                <w:bCs/>
                <w:sz w:val="24"/>
                <w:szCs w:val="24"/>
              </w:rPr>
            </w:pPr>
            <w:r w:rsidRPr="00073574">
              <w:rPr>
                <w:b/>
                <w:bCs/>
                <w:sz w:val="24"/>
                <w:szCs w:val="24"/>
              </w:rPr>
              <w:t>SG11 to coordinate the Sector</w:t>
            </w:r>
            <w:r w:rsidR="002D4D1F" w:rsidRPr="00073574">
              <w:rPr>
                <w:b/>
                <w:bCs/>
                <w:sz w:val="24"/>
                <w:szCs w:val="24"/>
              </w:rPr>
              <w:t>’</w:t>
            </w:r>
            <w:r w:rsidRPr="00073574">
              <w:rPr>
                <w:b/>
                <w:bCs/>
                <w:sz w:val="24"/>
                <w:szCs w:val="24"/>
              </w:rPr>
              <w:t>s activities related to the ITU C&amp;I programme across all SGs (resolves 2)</w:t>
            </w:r>
          </w:p>
        </w:tc>
        <w:tc>
          <w:tcPr>
            <w:tcW w:w="1454" w:type="dxa"/>
            <w:tcBorders>
              <w:top w:val="single" w:sz="12" w:space="0" w:color="auto"/>
              <w:bottom w:val="single" w:sz="4" w:space="0" w:color="auto"/>
            </w:tcBorders>
            <w:shd w:val="clear" w:color="auto" w:fill="auto"/>
            <w:vAlign w:val="center"/>
          </w:tcPr>
          <w:p w14:paraId="7A004513" w14:textId="77777777" w:rsidR="005A435D" w:rsidRPr="00073574" w:rsidRDefault="005A435D" w:rsidP="00850E0E">
            <w:pPr>
              <w:pStyle w:val="Tabletext"/>
              <w:jc w:val="center"/>
              <w:rPr>
                <w:b/>
                <w:bCs/>
                <w:sz w:val="24"/>
                <w:szCs w:val="24"/>
              </w:rPr>
            </w:pPr>
            <w:r w:rsidRPr="00073574">
              <w:rPr>
                <w:b/>
                <w:bCs/>
                <w:sz w:val="24"/>
                <w:szCs w:val="24"/>
              </w:rPr>
              <w:t>Ongoing</w:t>
            </w:r>
          </w:p>
        </w:tc>
        <w:tc>
          <w:tcPr>
            <w:tcW w:w="1138" w:type="dxa"/>
            <w:tcBorders>
              <w:top w:val="single" w:sz="12" w:space="0" w:color="auto"/>
            </w:tcBorders>
            <w:shd w:val="clear" w:color="auto" w:fill="auto"/>
            <w:vAlign w:val="center"/>
          </w:tcPr>
          <w:p w14:paraId="7766D113" w14:textId="77777777" w:rsidR="005A435D" w:rsidRPr="00073574" w:rsidRDefault="005A435D" w:rsidP="00850E0E">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3E6FCAC0" w14:textId="77777777" w:rsidR="005A435D" w:rsidRPr="00073574" w:rsidRDefault="005A435D" w:rsidP="00850E0E">
            <w:pPr>
              <w:pStyle w:val="Tabletext"/>
              <w:jc w:val="center"/>
              <w:rPr>
                <w:b/>
                <w:bCs/>
                <w:sz w:val="24"/>
                <w:szCs w:val="24"/>
              </w:rPr>
            </w:pPr>
          </w:p>
        </w:tc>
      </w:tr>
      <w:tr w:rsidR="005A435D" w:rsidRPr="00073574" w14:paraId="45A6FDDA" w14:textId="77777777" w:rsidTr="5D161764">
        <w:trPr>
          <w:jc w:val="center"/>
        </w:trPr>
        <w:tc>
          <w:tcPr>
            <w:tcW w:w="1117" w:type="dxa"/>
            <w:vMerge/>
          </w:tcPr>
          <w:p w14:paraId="6B0E8C2A" w14:textId="77777777" w:rsidR="005A435D" w:rsidRPr="00073574" w:rsidRDefault="005A435D" w:rsidP="00850E0E">
            <w:pPr>
              <w:pStyle w:val="Tabletext"/>
              <w:rPr>
                <w:sz w:val="24"/>
                <w:szCs w:val="24"/>
              </w:rPr>
            </w:pPr>
          </w:p>
        </w:tc>
        <w:tc>
          <w:tcPr>
            <w:tcW w:w="8815" w:type="dxa"/>
            <w:gridSpan w:val="4"/>
            <w:tcBorders>
              <w:bottom w:val="single" w:sz="12" w:space="0" w:color="auto"/>
            </w:tcBorders>
            <w:shd w:val="clear" w:color="auto" w:fill="auto"/>
          </w:tcPr>
          <w:p w14:paraId="28240897" w14:textId="47C0A00F" w:rsidR="005A435D" w:rsidRPr="00073574" w:rsidRDefault="005A435D" w:rsidP="002E241A">
            <w:pPr>
              <w:pStyle w:val="ListParagraph"/>
              <w:numPr>
                <w:ilvl w:val="0"/>
                <w:numId w:val="24"/>
              </w:numPr>
              <w:spacing w:before="40"/>
              <w:ind w:left="357" w:hanging="357"/>
              <w:contextualSpacing w:val="0"/>
            </w:pPr>
            <w:r w:rsidRPr="00073574">
              <w:t>SG11 supports the coordination of ITU</w:t>
            </w:r>
            <w:r w:rsidR="002D4D1F" w:rsidRPr="00073574">
              <w:t>’</w:t>
            </w:r>
            <w:r w:rsidRPr="00073574">
              <w:t>s C&amp;I activities while also acting as the first point of contact for organizations interested in contributing to this work.</w:t>
            </w:r>
          </w:p>
          <w:p w14:paraId="096A60E6" w14:textId="77777777" w:rsidR="005A435D" w:rsidRPr="00073574" w:rsidRDefault="005A435D" w:rsidP="002E241A">
            <w:pPr>
              <w:pStyle w:val="ListParagraph"/>
              <w:numPr>
                <w:ilvl w:val="0"/>
                <w:numId w:val="24"/>
              </w:numPr>
              <w:ind w:left="357" w:hanging="357"/>
              <w:contextualSpacing w:val="0"/>
            </w:pPr>
            <w:r w:rsidRPr="00073574">
              <w:lastRenderedPageBreak/>
              <w:t>ITU-T SG11 maintains a list of key technologies within its mandate which the ITU-T Study Groups consider suitable for C&amp;I testing. This remains a living list and forms input to the first pillar of the four-pillar C&amp;I programme which delineates C&amp;I work into four separate but interdependent categories:</w:t>
            </w:r>
          </w:p>
          <w:p w14:paraId="51141B70" w14:textId="77777777" w:rsidR="005A435D" w:rsidRPr="00073574" w:rsidRDefault="005A435D" w:rsidP="004210FA">
            <w:pPr>
              <w:pStyle w:val="ListParagraph"/>
              <w:numPr>
                <w:ilvl w:val="0"/>
                <w:numId w:val="27"/>
              </w:numPr>
              <w:tabs>
                <w:tab w:val="left" w:pos="1134"/>
                <w:tab w:val="left" w:pos="1871"/>
                <w:tab w:val="left" w:pos="2268"/>
              </w:tabs>
              <w:overflowPunct w:val="0"/>
              <w:autoSpaceDE w:val="0"/>
              <w:autoSpaceDN w:val="0"/>
              <w:adjustRightInd w:val="0"/>
              <w:ind w:left="714" w:hanging="357"/>
              <w:contextualSpacing w:val="0"/>
              <w:textAlignment w:val="baseline"/>
              <w:rPr>
                <w:szCs w:val="22"/>
              </w:rPr>
            </w:pPr>
            <w:r w:rsidRPr="00073574">
              <w:rPr>
                <w:szCs w:val="22"/>
              </w:rPr>
              <w:t>Conformity assessment</w:t>
            </w:r>
          </w:p>
          <w:p w14:paraId="0B6D8742" w14:textId="77777777" w:rsidR="005A435D" w:rsidRPr="00073574" w:rsidRDefault="005A435D" w:rsidP="004210FA">
            <w:pPr>
              <w:pStyle w:val="ListParagraph"/>
              <w:numPr>
                <w:ilvl w:val="0"/>
                <w:numId w:val="27"/>
              </w:numPr>
              <w:tabs>
                <w:tab w:val="left" w:pos="1134"/>
                <w:tab w:val="left" w:pos="1871"/>
                <w:tab w:val="left" w:pos="2268"/>
              </w:tabs>
              <w:overflowPunct w:val="0"/>
              <w:autoSpaceDE w:val="0"/>
              <w:autoSpaceDN w:val="0"/>
              <w:adjustRightInd w:val="0"/>
              <w:ind w:left="714" w:hanging="357"/>
              <w:contextualSpacing w:val="0"/>
              <w:textAlignment w:val="baseline"/>
              <w:rPr>
                <w:szCs w:val="22"/>
              </w:rPr>
            </w:pPr>
            <w:r w:rsidRPr="00073574">
              <w:rPr>
                <w:szCs w:val="22"/>
              </w:rPr>
              <w:t>Interoperability events</w:t>
            </w:r>
          </w:p>
          <w:p w14:paraId="03EAB437" w14:textId="77777777" w:rsidR="005A435D" w:rsidRPr="00073574" w:rsidRDefault="005A435D" w:rsidP="004210FA">
            <w:pPr>
              <w:pStyle w:val="ListParagraph"/>
              <w:numPr>
                <w:ilvl w:val="0"/>
                <w:numId w:val="27"/>
              </w:numPr>
              <w:tabs>
                <w:tab w:val="left" w:pos="1134"/>
                <w:tab w:val="left" w:pos="1871"/>
                <w:tab w:val="left" w:pos="2268"/>
              </w:tabs>
              <w:overflowPunct w:val="0"/>
              <w:autoSpaceDE w:val="0"/>
              <w:autoSpaceDN w:val="0"/>
              <w:adjustRightInd w:val="0"/>
              <w:ind w:left="714" w:hanging="357"/>
              <w:contextualSpacing w:val="0"/>
              <w:textAlignment w:val="baseline"/>
              <w:rPr>
                <w:szCs w:val="22"/>
              </w:rPr>
            </w:pPr>
            <w:r w:rsidRPr="00073574">
              <w:rPr>
                <w:szCs w:val="22"/>
              </w:rPr>
              <w:t>Human resource capacity building</w:t>
            </w:r>
          </w:p>
          <w:p w14:paraId="5E104F29" w14:textId="77777777" w:rsidR="005A435D" w:rsidRPr="00073574" w:rsidRDefault="005A435D" w:rsidP="004210FA">
            <w:pPr>
              <w:pStyle w:val="ListParagraph"/>
              <w:numPr>
                <w:ilvl w:val="0"/>
                <w:numId w:val="27"/>
              </w:numPr>
              <w:tabs>
                <w:tab w:val="left" w:pos="1134"/>
                <w:tab w:val="left" w:pos="1871"/>
                <w:tab w:val="left" w:pos="2268"/>
              </w:tabs>
              <w:overflowPunct w:val="0"/>
              <w:autoSpaceDE w:val="0"/>
              <w:autoSpaceDN w:val="0"/>
              <w:adjustRightInd w:val="0"/>
              <w:ind w:left="714" w:hanging="357"/>
              <w:contextualSpacing w:val="0"/>
              <w:textAlignment w:val="baseline"/>
              <w:rPr>
                <w:szCs w:val="22"/>
              </w:rPr>
            </w:pPr>
            <w:r w:rsidRPr="00073574">
              <w:rPr>
                <w:szCs w:val="22"/>
              </w:rPr>
              <w:t>Assistance in the establishment of test centres and C&amp;I programmes in developing countries</w:t>
            </w:r>
          </w:p>
          <w:p w14:paraId="32B9C60A" w14:textId="5C5BC454" w:rsidR="005A435D" w:rsidRPr="00073574" w:rsidRDefault="00857324" w:rsidP="00850E0E">
            <w:pPr>
              <w:ind w:left="357"/>
              <w:rPr>
                <w:szCs w:val="22"/>
              </w:rPr>
            </w:pPr>
            <w:r w:rsidRPr="00073574">
              <w:rPr>
                <w:szCs w:val="22"/>
              </w:rPr>
              <w:t xml:space="preserve">Pillars </w:t>
            </w:r>
            <w:r w:rsidR="005A435D" w:rsidRPr="00073574">
              <w:rPr>
                <w:szCs w:val="22"/>
              </w:rPr>
              <w:t xml:space="preserve">1 and 2 are led by the Telecommunication Standardization Bureau (TSB), </w:t>
            </w:r>
            <w:r w:rsidRPr="00073574">
              <w:rPr>
                <w:szCs w:val="22"/>
              </w:rPr>
              <w:t xml:space="preserve">while Pillars </w:t>
            </w:r>
            <w:r w:rsidR="005A435D" w:rsidRPr="00073574">
              <w:rPr>
                <w:szCs w:val="22"/>
              </w:rPr>
              <w:t xml:space="preserve">3 and 4 </w:t>
            </w:r>
            <w:r w:rsidRPr="00073574">
              <w:rPr>
                <w:szCs w:val="22"/>
              </w:rPr>
              <w:t xml:space="preserve">are led </w:t>
            </w:r>
            <w:r w:rsidR="005A435D" w:rsidRPr="00073574">
              <w:rPr>
                <w:szCs w:val="22"/>
              </w:rPr>
              <w:t>by the Telecommunication Development Bureau (BDT).</w:t>
            </w:r>
          </w:p>
          <w:p w14:paraId="21F5779A" w14:textId="77777777" w:rsidR="005A435D" w:rsidRPr="00073574" w:rsidRDefault="005A435D" w:rsidP="002E241A">
            <w:pPr>
              <w:pStyle w:val="ListParagraph"/>
              <w:numPr>
                <w:ilvl w:val="0"/>
                <w:numId w:val="24"/>
              </w:numPr>
              <w:spacing w:after="40"/>
              <w:ind w:left="357" w:hanging="357"/>
              <w:contextualSpacing w:val="0"/>
              <w:rPr>
                <w:szCs w:val="22"/>
              </w:rPr>
            </w:pPr>
            <w:r w:rsidRPr="00073574">
              <w:t xml:space="preserve">Several SGs provided updated information to SG11, </w:t>
            </w:r>
            <w:r w:rsidRPr="00073574">
              <w:rPr>
                <w:i/>
              </w:rPr>
              <w:t>inter alia</w:t>
            </w:r>
            <w:r w:rsidRPr="00073574">
              <w:t xml:space="preserve"> SG16.</w:t>
            </w:r>
          </w:p>
          <w:p w14:paraId="1BEF47ED" w14:textId="3400AC21" w:rsidR="005A435D" w:rsidRPr="00073574" w:rsidRDefault="00B319A7" w:rsidP="002E241A">
            <w:pPr>
              <w:pStyle w:val="ListParagraph"/>
              <w:numPr>
                <w:ilvl w:val="0"/>
                <w:numId w:val="24"/>
              </w:numPr>
              <w:spacing w:after="40"/>
              <w:ind w:left="357" w:hanging="357"/>
              <w:contextualSpacing w:val="0"/>
              <w:rPr>
                <w:sz w:val="24"/>
              </w:rPr>
            </w:pPr>
            <w:r w:rsidRPr="00073574">
              <w:t xml:space="preserve">SG15 exchanges LSs with SG11 regularly on </w:t>
            </w:r>
            <w:r w:rsidR="00081491" w:rsidRPr="00073574">
              <w:t>C&amp;I reference table</w:t>
            </w:r>
            <w:r w:rsidRPr="00073574">
              <w:t>.</w:t>
            </w:r>
          </w:p>
        </w:tc>
      </w:tr>
      <w:tr w:rsidR="008730F4" w:rsidRPr="00073574" w14:paraId="7A34BC9F" w14:textId="77777777" w:rsidTr="00A61861">
        <w:trPr>
          <w:jc w:val="center"/>
        </w:trPr>
        <w:tc>
          <w:tcPr>
            <w:tcW w:w="1117" w:type="dxa"/>
            <w:vMerge w:val="restart"/>
            <w:tcBorders>
              <w:top w:val="single" w:sz="12" w:space="0" w:color="auto"/>
            </w:tcBorders>
          </w:tcPr>
          <w:p w14:paraId="0417AB54" w14:textId="59DD79D1" w:rsidR="008730F4" w:rsidRPr="00073574" w:rsidRDefault="008730F4" w:rsidP="008730F4">
            <w:pPr>
              <w:pStyle w:val="Tabletext"/>
              <w:rPr>
                <w:sz w:val="24"/>
                <w:szCs w:val="24"/>
              </w:rPr>
            </w:pPr>
            <w:r w:rsidRPr="00073574">
              <w:rPr>
                <w:b/>
                <w:bCs/>
                <w:sz w:val="24"/>
                <w:szCs w:val="24"/>
              </w:rPr>
              <w:lastRenderedPageBreak/>
              <w:t>76-05</w:t>
            </w:r>
          </w:p>
        </w:tc>
        <w:tc>
          <w:tcPr>
            <w:tcW w:w="4887" w:type="dxa"/>
            <w:tcBorders>
              <w:bottom w:val="single" w:sz="4" w:space="0" w:color="auto"/>
            </w:tcBorders>
            <w:shd w:val="clear" w:color="auto" w:fill="auto"/>
          </w:tcPr>
          <w:p w14:paraId="13573893" w14:textId="45ABC08D" w:rsidR="008730F4" w:rsidRPr="00073574" w:rsidRDefault="008730F4" w:rsidP="00D30C87">
            <w:pPr>
              <w:pStyle w:val="ListParagraph"/>
              <w:keepNext/>
              <w:keepLines/>
              <w:spacing w:before="40"/>
              <w:ind w:left="357"/>
              <w:contextualSpacing w:val="0"/>
            </w:pPr>
            <w:r w:rsidRPr="00073574">
              <w:rPr>
                <w:b/>
                <w:bCs/>
                <w:sz w:val="24"/>
              </w:rPr>
              <w:t>TSB Director, in cooperation with BR and BDT Directors, to continue to conduct exploratory activities in each region to identify and prioritize the problems faced by developing countries related to interoperability of telecommunication/ICT equipment and services (i. TSBDir 1)</w:t>
            </w:r>
          </w:p>
        </w:tc>
        <w:tc>
          <w:tcPr>
            <w:tcW w:w="1454" w:type="dxa"/>
            <w:tcBorders>
              <w:bottom w:val="single" w:sz="4" w:space="0" w:color="auto"/>
            </w:tcBorders>
            <w:shd w:val="clear" w:color="auto" w:fill="auto"/>
            <w:vAlign w:val="center"/>
          </w:tcPr>
          <w:p w14:paraId="14222BC2" w14:textId="080E6646" w:rsidR="008730F4" w:rsidRPr="00073574" w:rsidRDefault="008730F4" w:rsidP="008730F4">
            <w:pPr>
              <w:pStyle w:val="ListParagraph"/>
              <w:spacing w:before="40"/>
              <w:ind w:left="357"/>
              <w:contextualSpacing w:val="0"/>
            </w:pPr>
            <w:r w:rsidRPr="00073574">
              <w:rPr>
                <w:b/>
                <w:bCs/>
                <w:sz w:val="24"/>
              </w:rPr>
              <w:t>Ongoing</w:t>
            </w:r>
          </w:p>
        </w:tc>
        <w:tc>
          <w:tcPr>
            <w:tcW w:w="1138" w:type="dxa"/>
            <w:tcBorders>
              <w:bottom w:val="single" w:sz="4" w:space="0" w:color="auto"/>
            </w:tcBorders>
            <w:shd w:val="clear" w:color="auto" w:fill="auto"/>
            <w:vAlign w:val="center"/>
          </w:tcPr>
          <w:p w14:paraId="7DF56878" w14:textId="2B763FBB" w:rsidR="008730F4" w:rsidRPr="00073574" w:rsidRDefault="008730F4" w:rsidP="008730F4">
            <w:pPr>
              <w:pStyle w:val="ListParagraph"/>
              <w:spacing w:before="40"/>
              <w:ind w:left="357"/>
              <w:contextualSpacing w:val="0"/>
            </w:pPr>
            <w:r w:rsidRPr="00073574">
              <w:rPr>
                <w:b/>
                <w:bCs/>
                <w:sz w:val="24"/>
              </w:rPr>
              <w:t>√</w:t>
            </w:r>
          </w:p>
        </w:tc>
        <w:tc>
          <w:tcPr>
            <w:tcW w:w="1336" w:type="dxa"/>
            <w:tcBorders>
              <w:bottom w:val="single" w:sz="4" w:space="0" w:color="auto"/>
            </w:tcBorders>
            <w:shd w:val="clear" w:color="auto" w:fill="auto"/>
            <w:vAlign w:val="center"/>
          </w:tcPr>
          <w:p w14:paraId="1B1470B6" w14:textId="498F23A4" w:rsidR="008730F4" w:rsidRPr="00073574" w:rsidRDefault="008730F4" w:rsidP="008730F4">
            <w:pPr>
              <w:pStyle w:val="ListParagraph"/>
              <w:spacing w:before="40"/>
              <w:ind w:left="357"/>
              <w:contextualSpacing w:val="0"/>
            </w:pPr>
          </w:p>
        </w:tc>
      </w:tr>
      <w:tr w:rsidR="00C47112" w:rsidRPr="00073574" w14:paraId="2AEC4C00" w14:textId="77777777" w:rsidTr="00A61861">
        <w:trPr>
          <w:jc w:val="center"/>
        </w:trPr>
        <w:tc>
          <w:tcPr>
            <w:tcW w:w="1117" w:type="dxa"/>
            <w:vMerge/>
          </w:tcPr>
          <w:p w14:paraId="7EBA0EB2" w14:textId="77777777" w:rsidR="00C47112" w:rsidRPr="00073574" w:rsidRDefault="00C47112" w:rsidP="00850E0E">
            <w:pPr>
              <w:pStyle w:val="Tabletext"/>
              <w:rPr>
                <w:sz w:val="24"/>
                <w:szCs w:val="24"/>
              </w:rPr>
            </w:pPr>
          </w:p>
        </w:tc>
        <w:tc>
          <w:tcPr>
            <w:tcW w:w="8815" w:type="dxa"/>
            <w:gridSpan w:val="4"/>
            <w:tcBorders>
              <w:top w:val="single" w:sz="4" w:space="0" w:color="auto"/>
              <w:bottom w:val="single" w:sz="12" w:space="0" w:color="auto"/>
            </w:tcBorders>
            <w:shd w:val="clear" w:color="auto" w:fill="auto"/>
          </w:tcPr>
          <w:p w14:paraId="2EF0D15B" w14:textId="77777777" w:rsidR="008730F4" w:rsidRPr="00073574" w:rsidRDefault="008730F4" w:rsidP="008730F4">
            <w:pPr>
              <w:pStyle w:val="Tabletext"/>
              <w:numPr>
                <w:ilvl w:val="0"/>
                <w:numId w:val="57"/>
              </w:numPr>
              <w:tabs>
                <w:tab w:val="num" w:pos="360"/>
              </w:tabs>
              <w:rPr>
                <w:rStyle w:val="Hyperlink"/>
                <w:rFonts w:asciiTheme="majorBidi" w:hAnsiTheme="majorBidi" w:cstheme="majorBidi"/>
                <w:i/>
                <w:color w:val="auto"/>
                <w:u w:val="none"/>
              </w:rPr>
            </w:pPr>
            <w:r w:rsidRPr="00073574">
              <w:rPr>
                <w:rFonts w:asciiTheme="majorBidi" w:hAnsiTheme="majorBidi" w:cstheme="majorBidi"/>
              </w:rPr>
              <w:t xml:space="preserve">SG11 conducted </w:t>
            </w:r>
            <w:r w:rsidRPr="00073574">
              <w:t>Workshops</w:t>
            </w:r>
          </w:p>
          <w:p w14:paraId="679C61A7" w14:textId="17B933CD" w:rsidR="008730F4" w:rsidRPr="00073574" w:rsidRDefault="008730F4" w:rsidP="004210FA">
            <w:pPr>
              <w:pStyle w:val="ListParagraph"/>
              <w:numPr>
                <w:ilvl w:val="0"/>
                <w:numId w:val="24"/>
              </w:numPr>
              <w:contextualSpacing w:val="0"/>
              <w:rPr>
                <w:rFonts w:asciiTheme="majorBidi" w:hAnsiTheme="majorBidi" w:cstheme="majorBidi"/>
                <w:i/>
              </w:rPr>
            </w:pPr>
            <w:r w:rsidRPr="00073574">
              <w:t>on</w:t>
            </w:r>
            <w:r w:rsidRPr="00073574">
              <w:rPr>
                <w:rFonts w:asciiTheme="majorBidi" w:hAnsiTheme="majorBidi" w:cstheme="majorBidi"/>
              </w:rPr>
              <w:t xml:space="preserve"> </w:t>
            </w:r>
            <w:r w:rsidR="002D4D1F" w:rsidRPr="00073574">
              <w:rPr>
                <w:rFonts w:asciiTheme="majorBidi" w:hAnsiTheme="majorBidi" w:cstheme="majorBidi"/>
                <w:i/>
              </w:rPr>
              <w:t>“</w:t>
            </w:r>
            <w:r w:rsidRPr="00073574">
              <w:rPr>
                <w:rFonts w:asciiTheme="majorBidi" w:hAnsiTheme="majorBidi" w:cstheme="majorBidi"/>
                <w:i/>
              </w:rPr>
              <w:t>Combating Counterfeit Using Conformance and Interoperability Solutions</w:t>
            </w:r>
            <w:r w:rsidR="002D4D1F" w:rsidRPr="00073574">
              <w:rPr>
                <w:rFonts w:asciiTheme="majorBidi" w:hAnsiTheme="majorBidi" w:cstheme="majorBidi"/>
                <w:i/>
              </w:rPr>
              <w:t>”</w:t>
            </w:r>
            <w:r w:rsidRPr="00073574">
              <w:rPr>
                <w:rFonts w:asciiTheme="majorBidi" w:hAnsiTheme="majorBidi" w:cstheme="majorBidi"/>
                <w:i/>
              </w:rPr>
              <w:t xml:space="preserve"> (June 2016).</w:t>
            </w:r>
          </w:p>
          <w:p w14:paraId="755B3C73" w14:textId="5695472B" w:rsidR="008730F4" w:rsidRPr="00073574" w:rsidRDefault="008730F4" w:rsidP="004210FA">
            <w:pPr>
              <w:pStyle w:val="ListParagraph"/>
              <w:numPr>
                <w:ilvl w:val="0"/>
                <w:numId w:val="24"/>
              </w:numPr>
              <w:contextualSpacing w:val="0"/>
              <w:rPr>
                <w:rFonts w:asciiTheme="majorBidi" w:hAnsiTheme="majorBidi" w:cstheme="majorBidi"/>
                <w:i/>
              </w:rPr>
            </w:pPr>
            <w:r w:rsidRPr="00073574">
              <w:rPr>
                <w:rFonts w:asciiTheme="majorBidi" w:hAnsiTheme="majorBidi" w:cstheme="majorBidi"/>
              </w:rPr>
              <w:t xml:space="preserve">on </w:t>
            </w:r>
            <w:r w:rsidR="002D4D1F" w:rsidRPr="00073574">
              <w:rPr>
                <w:rFonts w:asciiTheme="majorBidi" w:hAnsiTheme="majorBidi" w:cstheme="majorBidi"/>
                <w:i/>
              </w:rPr>
              <w:t>“</w:t>
            </w:r>
            <w:r w:rsidRPr="00073574">
              <w:rPr>
                <w:rFonts w:asciiTheme="majorBidi" w:hAnsiTheme="majorBidi" w:cstheme="majorBidi"/>
                <w:i/>
              </w:rPr>
              <w:t>Counterfeit ICT Devices, Conformance and Interoperability Testing Challenges in Africa</w:t>
            </w:r>
            <w:r w:rsidR="002D4D1F" w:rsidRPr="00073574">
              <w:rPr>
                <w:rFonts w:asciiTheme="majorBidi" w:hAnsiTheme="majorBidi" w:cstheme="majorBidi"/>
                <w:i/>
              </w:rPr>
              <w:t>”</w:t>
            </w:r>
            <w:r w:rsidRPr="00073574">
              <w:rPr>
                <w:rFonts w:asciiTheme="majorBidi" w:hAnsiTheme="majorBidi" w:cstheme="majorBidi"/>
              </w:rPr>
              <w:t xml:space="preserve"> (5 April 2017).</w:t>
            </w:r>
          </w:p>
          <w:p w14:paraId="482B007D" w14:textId="7A4F629A" w:rsidR="008730F4" w:rsidRPr="00073574" w:rsidRDefault="008730F4" w:rsidP="004210FA">
            <w:pPr>
              <w:pStyle w:val="ListParagraph"/>
              <w:numPr>
                <w:ilvl w:val="0"/>
                <w:numId w:val="24"/>
              </w:numPr>
              <w:contextualSpacing w:val="0"/>
              <w:rPr>
                <w:rFonts w:asciiTheme="majorBidi" w:hAnsiTheme="majorBidi" w:cstheme="majorBidi"/>
                <w:i/>
              </w:rPr>
            </w:pPr>
            <w:r w:rsidRPr="00073574">
              <w:rPr>
                <w:rFonts w:asciiTheme="majorBidi" w:hAnsiTheme="majorBidi" w:cstheme="majorBidi"/>
              </w:rPr>
              <w:t xml:space="preserve">on </w:t>
            </w:r>
            <w:r w:rsidR="002D4D1F" w:rsidRPr="00073574">
              <w:rPr>
                <w:rFonts w:asciiTheme="majorBidi" w:hAnsiTheme="majorBidi" w:cstheme="majorBidi"/>
                <w:i/>
              </w:rPr>
              <w:t>“</w:t>
            </w:r>
            <w:r w:rsidRPr="00073574">
              <w:rPr>
                <w:rFonts w:asciiTheme="majorBidi" w:hAnsiTheme="majorBidi" w:cstheme="majorBidi"/>
                <w:i/>
              </w:rPr>
              <w:t>Control plane of IMT-2020 and emerging networks. Current issues and the way forward</w:t>
            </w:r>
            <w:r w:rsidR="002D4D1F" w:rsidRPr="00073574">
              <w:rPr>
                <w:rFonts w:asciiTheme="majorBidi" w:hAnsiTheme="majorBidi" w:cstheme="majorBidi"/>
                <w:i/>
              </w:rPr>
              <w:t>”</w:t>
            </w:r>
            <w:r w:rsidRPr="00073574">
              <w:rPr>
                <w:rFonts w:asciiTheme="majorBidi" w:hAnsiTheme="majorBidi" w:cstheme="majorBidi"/>
              </w:rPr>
              <w:t xml:space="preserve"> (Geneva, Switzerland, 15 November 2017), which also includes overview of 5G testing issues.</w:t>
            </w:r>
          </w:p>
          <w:p w14:paraId="34BE86DD" w14:textId="77777777" w:rsidR="008730F4" w:rsidRPr="00073574" w:rsidRDefault="008730F4" w:rsidP="004210FA">
            <w:pPr>
              <w:pStyle w:val="ListParagraph"/>
              <w:numPr>
                <w:ilvl w:val="0"/>
                <w:numId w:val="24"/>
              </w:numPr>
              <w:contextualSpacing w:val="0"/>
              <w:rPr>
                <w:rFonts w:asciiTheme="majorBidi" w:hAnsiTheme="majorBidi" w:cstheme="majorBidi"/>
                <w:i/>
              </w:rPr>
            </w:pPr>
            <w:r w:rsidRPr="00073574">
              <w:rPr>
                <w:rFonts w:asciiTheme="majorBidi" w:hAnsiTheme="majorBidi" w:cstheme="majorBidi"/>
              </w:rPr>
              <w:t xml:space="preserve">on </w:t>
            </w:r>
            <w:r w:rsidRPr="00073574">
              <w:rPr>
                <w:rFonts w:asciiTheme="majorBidi" w:hAnsiTheme="majorBidi" w:cstheme="majorBidi"/>
                <w:i/>
              </w:rPr>
              <w:t>“Counterfeit ICT Devices, Conformance and Interoperability Testing Challenges in Africa”</w:t>
            </w:r>
            <w:r w:rsidRPr="00073574">
              <w:rPr>
                <w:rFonts w:asciiTheme="majorBidi" w:hAnsiTheme="majorBidi" w:cstheme="majorBidi"/>
              </w:rPr>
              <w:t xml:space="preserve"> (Tunis, 23 April 2018).</w:t>
            </w:r>
          </w:p>
          <w:p w14:paraId="0C48A2C2" w14:textId="77777777" w:rsidR="008730F4" w:rsidRPr="00073574" w:rsidRDefault="008730F4" w:rsidP="004210FA">
            <w:pPr>
              <w:pStyle w:val="ListParagraph"/>
              <w:numPr>
                <w:ilvl w:val="0"/>
                <w:numId w:val="24"/>
              </w:numPr>
              <w:contextualSpacing w:val="0"/>
              <w:rPr>
                <w:rFonts w:asciiTheme="majorBidi" w:hAnsiTheme="majorBidi" w:cstheme="majorBidi"/>
                <w:i/>
              </w:rPr>
            </w:pPr>
            <w:r w:rsidRPr="00073574">
              <w:rPr>
                <w:rFonts w:asciiTheme="majorBidi" w:hAnsiTheme="majorBidi" w:cstheme="majorBidi"/>
              </w:rPr>
              <w:t xml:space="preserve">on </w:t>
            </w:r>
            <w:r w:rsidRPr="00073574">
              <w:rPr>
                <w:rFonts w:asciiTheme="majorBidi" w:hAnsiTheme="majorBidi" w:cstheme="majorBidi"/>
                <w:i/>
              </w:rPr>
              <w:t>“Deployment of VoLTE/ViLTE networks based on IMS: from Standardization to Implementation”</w:t>
            </w:r>
            <w:r w:rsidRPr="00073574">
              <w:rPr>
                <w:rFonts w:asciiTheme="majorBidi" w:hAnsiTheme="majorBidi" w:cstheme="majorBidi"/>
              </w:rPr>
              <w:t xml:space="preserve"> (Uzbekistan, 2-3 October 2018), which also includes issues related to VoLTE/ViLTE roaming testing.</w:t>
            </w:r>
          </w:p>
          <w:p w14:paraId="5998911E" w14:textId="77777777" w:rsidR="008730F4" w:rsidRPr="00073574" w:rsidRDefault="008730F4" w:rsidP="004210FA">
            <w:pPr>
              <w:pStyle w:val="ListParagraph"/>
              <w:numPr>
                <w:ilvl w:val="0"/>
                <w:numId w:val="24"/>
              </w:numPr>
              <w:ind w:left="782" w:hanging="357"/>
              <w:contextualSpacing w:val="0"/>
              <w:rPr>
                <w:rFonts w:asciiTheme="majorBidi" w:hAnsiTheme="majorBidi" w:cstheme="majorBidi"/>
                <w:i/>
              </w:rPr>
            </w:pPr>
            <w:r w:rsidRPr="00073574">
              <w:rPr>
                <w:rFonts w:asciiTheme="majorBidi" w:hAnsiTheme="majorBidi" w:cstheme="majorBidi"/>
              </w:rPr>
              <w:t>on “</w:t>
            </w:r>
            <w:r w:rsidRPr="00073574">
              <w:rPr>
                <w:rFonts w:asciiTheme="majorBidi" w:hAnsiTheme="majorBidi" w:cstheme="majorBidi"/>
                <w:i/>
              </w:rPr>
              <w:t>Benchmarking of emerging technologies and applications. Internet related performance measurements”</w:t>
            </w:r>
            <w:r w:rsidRPr="00073574">
              <w:rPr>
                <w:rFonts w:asciiTheme="majorBidi" w:hAnsiTheme="majorBidi" w:cstheme="majorBidi"/>
              </w:rPr>
              <w:t xml:space="preserve"> (Geneva, 11 March 2019).</w:t>
            </w:r>
          </w:p>
          <w:p w14:paraId="4D03FEEB" w14:textId="77777777" w:rsidR="008730F4" w:rsidRPr="00073574" w:rsidRDefault="008730F4" w:rsidP="004210FA">
            <w:pPr>
              <w:pStyle w:val="ListParagraph"/>
              <w:numPr>
                <w:ilvl w:val="0"/>
                <w:numId w:val="24"/>
              </w:numPr>
              <w:contextualSpacing w:val="0"/>
              <w:rPr>
                <w:rFonts w:asciiTheme="majorBidi" w:hAnsiTheme="majorBidi" w:cstheme="majorBidi"/>
                <w:i/>
              </w:rPr>
            </w:pPr>
            <w:r w:rsidRPr="00073574">
              <w:rPr>
                <w:rFonts w:asciiTheme="majorBidi" w:hAnsiTheme="majorBidi" w:cstheme="majorBidi"/>
                <w:i/>
              </w:rPr>
              <w:t>on Counterfeit ICT Devices, Conformance and Interoperability Testing Challenges in Africa, Tunis, Tunisia, 30 September 2019.</w:t>
            </w:r>
          </w:p>
          <w:p w14:paraId="7994F94B" w14:textId="77777777" w:rsidR="00C47112" w:rsidRPr="00073574" w:rsidRDefault="008730F4" w:rsidP="004210FA">
            <w:pPr>
              <w:pStyle w:val="ListParagraph"/>
              <w:numPr>
                <w:ilvl w:val="0"/>
                <w:numId w:val="24"/>
              </w:numPr>
              <w:contextualSpacing w:val="0"/>
            </w:pPr>
            <w:r w:rsidRPr="00073574">
              <w:rPr>
                <w:rFonts w:asciiTheme="majorBidi" w:hAnsiTheme="majorBidi" w:cstheme="majorBidi"/>
                <w:i/>
              </w:rPr>
              <w:t>Testbeds Federations for 5G &amp; Beyond: Interoperability, Standardization, Reference Model &amp; APIs (15-16 March 2021, joint ITU/ETSI/IEEE Workshop)</w:t>
            </w:r>
          </w:p>
          <w:p w14:paraId="42D2C56A" w14:textId="544E598F" w:rsidR="00C47112" w:rsidRPr="00073574" w:rsidRDefault="00DF326F" w:rsidP="00730F29">
            <w:pPr>
              <w:pStyle w:val="ListParagraph"/>
              <w:numPr>
                <w:ilvl w:val="0"/>
                <w:numId w:val="24"/>
              </w:numPr>
              <w:contextualSpacing w:val="0"/>
            </w:pPr>
            <w:r w:rsidRPr="00073574">
              <w:rPr>
                <w:rFonts w:asciiTheme="majorBidi" w:hAnsiTheme="majorBidi" w:cstheme="majorBidi"/>
                <w:i/>
              </w:rPr>
              <w:t>ITU-Forum on Future Networks and Conformance and Interoperability (C&amp;I), St.Petersburg, Russia, 19-22 October 2021</w:t>
            </w:r>
            <w:r w:rsidR="00730F29" w:rsidRPr="00073574">
              <w:rPr>
                <w:rFonts w:asciiTheme="majorBidi" w:hAnsiTheme="majorBidi" w:cstheme="majorBidi"/>
                <w:i/>
              </w:rPr>
              <w:t>.</w:t>
            </w:r>
          </w:p>
        </w:tc>
      </w:tr>
      <w:tr w:rsidR="005A435D" w:rsidRPr="00073574" w14:paraId="688FF8BD" w14:textId="77777777" w:rsidTr="00A61861">
        <w:trPr>
          <w:cantSplit/>
          <w:jc w:val="center"/>
        </w:trPr>
        <w:tc>
          <w:tcPr>
            <w:tcW w:w="1117" w:type="dxa"/>
            <w:vMerge w:val="restart"/>
            <w:tcBorders>
              <w:top w:val="single" w:sz="12" w:space="0" w:color="auto"/>
            </w:tcBorders>
            <w:shd w:val="clear" w:color="auto" w:fill="auto"/>
          </w:tcPr>
          <w:p w14:paraId="40AB3F6C" w14:textId="77777777" w:rsidR="005A435D" w:rsidRPr="00073574" w:rsidRDefault="005A435D" w:rsidP="00B45B40">
            <w:pPr>
              <w:pStyle w:val="Tabletext"/>
              <w:rPr>
                <w:b/>
                <w:bCs/>
                <w:sz w:val="24"/>
                <w:szCs w:val="24"/>
              </w:rPr>
            </w:pPr>
            <w:r w:rsidRPr="00073574">
              <w:rPr>
                <w:b/>
                <w:bCs/>
                <w:sz w:val="24"/>
                <w:szCs w:val="24"/>
              </w:rPr>
              <w:lastRenderedPageBreak/>
              <w:t>76-06</w:t>
            </w:r>
          </w:p>
        </w:tc>
        <w:tc>
          <w:tcPr>
            <w:tcW w:w="4887" w:type="dxa"/>
            <w:tcBorders>
              <w:top w:val="single" w:sz="12" w:space="0" w:color="auto"/>
            </w:tcBorders>
            <w:shd w:val="clear" w:color="auto" w:fill="auto"/>
          </w:tcPr>
          <w:p w14:paraId="04ACF37F" w14:textId="77777777" w:rsidR="005A435D" w:rsidRPr="00073574" w:rsidRDefault="005A435D" w:rsidP="005A435D">
            <w:pPr>
              <w:pStyle w:val="Tabletext"/>
              <w:rPr>
                <w:b/>
                <w:bCs/>
                <w:sz w:val="24"/>
                <w:szCs w:val="24"/>
              </w:rPr>
            </w:pPr>
            <w:r w:rsidRPr="00073574">
              <w:rPr>
                <w:b/>
                <w:bCs/>
                <w:sz w:val="24"/>
                <w:szCs w:val="24"/>
              </w:rPr>
              <w:t>TSB Director, in cooperation with BDT Director, to implement the ITU C&amp;I action plan (i. TSBDir 2)</w:t>
            </w:r>
          </w:p>
        </w:tc>
        <w:tc>
          <w:tcPr>
            <w:tcW w:w="1454" w:type="dxa"/>
            <w:tcBorders>
              <w:top w:val="single" w:sz="12" w:space="0" w:color="auto"/>
            </w:tcBorders>
            <w:shd w:val="clear" w:color="auto" w:fill="auto"/>
            <w:vAlign w:val="center"/>
          </w:tcPr>
          <w:p w14:paraId="7A05F9C5" w14:textId="77777777" w:rsidR="005A435D" w:rsidRPr="00073574" w:rsidRDefault="005A435D" w:rsidP="005A435D">
            <w:pPr>
              <w:pStyle w:val="Tabletext"/>
              <w:jc w:val="center"/>
              <w:rPr>
                <w:b/>
                <w:bCs/>
                <w:sz w:val="24"/>
                <w:szCs w:val="24"/>
              </w:rPr>
            </w:pPr>
            <w:r w:rsidRPr="00073574">
              <w:rPr>
                <w:b/>
                <w:bCs/>
                <w:sz w:val="24"/>
                <w:szCs w:val="24"/>
              </w:rPr>
              <w:t>Ongoing</w:t>
            </w:r>
          </w:p>
        </w:tc>
        <w:tc>
          <w:tcPr>
            <w:tcW w:w="1138" w:type="dxa"/>
            <w:tcBorders>
              <w:top w:val="single" w:sz="12" w:space="0" w:color="auto"/>
            </w:tcBorders>
            <w:shd w:val="clear" w:color="auto" w:fill="auto"/>
            <w:vAlign w:val="center"/>
          </w:tcPr>
          <w:p w14:paraId="524BE1F7" w14:textId="77777777" w:rsidR="005A435D" w:rsidRPr="00073574" w:rsidRDefault="005A435D" w:rsidP="005A435D">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4428B40C" w14:textId="77777777" w:rsidR="005A435D" w:rsidRPr="00073574" w:rsidRDefault="005A435D" w:rsidP="005A435D">
            <w:pPr>
              <w:pStyle w:val="Tabletext"/>
              <w:jc w:val="center"/>
              <w:rPr>
                <w:b/>
                <w:bCs/>
                <w:sz w:val="24"/>
                <w:szCs w:val="24"/>
              </w:rPr>
            </w:pPr>
          </w:p>
        </w:tc>
      </w:tr>
      <w:tr w:rsidR="005A435D" w:rsidRPr="00073574" w14:paraId="3489475A" w14:textId="77777777" w:rsidTr="00A61861">
        <w:trPr>
          <w:cantSplit/>
          <w:jc w:val="center"/>
        </w:trPr>
        <w:tc>
          <w:tcPr>
            <w:tcW w:w="1117" w:type="dxa"/>
            <w:vMerge/>
          </w:tcPr>
          <w:p w14:paraId="76465654" w14:textId="77777777" w:rsidR="005A435D" w:rsidRPr="00073574" w:rsidRDefault="005A435D" w:rsidP="005A435D">
            <w:pPr>
              <w:pStyle w:val="Tabletext"/>
              <w:rPr>
                <w:sz w:val="24"/>
                <w:szCs w:val="24"/>
              </w:rPr>
            </w:pPr>
          </w:p>
        </w:tc>
        <w:tc>
          <w:tcPr>
            <w:tcW w:w="8815" w:type="dxa"/>
            <w:gridSpan w:val="4"/>
            <w:tcBorders>
              <w:bottom w:val="single" w:sz="12" w:space="0" w:color="auto"/>
            </w:tcBorders>
            <w:shd w:val="clear" w:color="auto" w:fill="auto"/>
          </w:tcPr>
          <w:p w14:paraId="036AD565" w14:textId="1E296510" w:rsidR="005A435D" w:rsidRPr="00073574" w:rsidRDefault="005A435D" w:rsidP="005A435D">
            <w:pPr>
              <w:pStyle w:val="Tabletext"/>
              <w:rPr>
                <w:szCs w:val="22"/>
              </w:rPr>
            </w:pPr>
            <w:r w:rsidRPr="00073574">
              <w:rPr>
                <w:szCs w:val="22"/>
              </w:rPr>
              <w:t>TSB, BDT and BR Directors informed ITU Council on the implementation of the ITU C&amp;I action plan (</w:t>
            </w:r>
            <w:hyperlink r:id="rId642" w:history="1">
              <w:r w:rsidRPr="00073574">
                <w:rPr>
                  <w:rStyle w:val="Hyperlink"/>
                  <w:szCs w:val="22"/>
                </w:rPr>
                <w:t>C17/24</w:t>
              </w:r>
            </w:hyperlink>
            <w:r w:rsidR="00CE2554" w:rsidRPr="00073574">
              <w:rPr>
                <w:rStyle w:val="Hyperlink"/>
                <w:szCs w:val="22"/>
              </w:rPr>
              <w:t>,</w:t>
            </w:r>
            <w:r w:rsidR="00412619" w:rsidRPr="00073574">
              <w:rPr>
                <w:szCs w:val="22"/>
              </w:rPr>
              <w:t xml:space="preserve"> </w:t>
            </w:r>
            <w:hyperlink r:id="rId643" w:history="1">
              <w:r w:rsidR="0077162E" w:rsidRPr="00073574">
                <w:rPr>
                  <w:rStyle w:val="Hyperlink"/>
                  <w:szCs w:val="22"/>
                </w:rPr>
                <w:t>C18/35</w:t>
              </w:r>
            </w:hyperlink>
            <w:r w:rsidR="0077162E" w:rsidRPr="00073574">
              <w:rPr>
                <w:szCs w:val="22"/>
              </w:rPr>
              <w:t xml:space="preserve">, </w:t>
            </w:r>
            <w:hyperlink r:id="rId644" w:history="1">
              <w:r w:rsidR="0077162E" w:rsidRPr="00073574">
                <w:rPr>
                  <w:rStyle w:val="Hyperlink"/>
                  <w:szCs w:val="22"/>
                </w:rPr>
                <w:t>C19/35</w:t>
              </w:r>
            </w:hyperlink>
            <w:r w:rsidR="00CF0D91" w:rsidRPr="00073574">
              <w:rPr>
                <w:rStyle w:val="Hyperlink"/>
                <w:szCs w:val="22"/>
              </w:rPr>
              <w:t>,</w:t>
            </w:r>
            <w:r w:rsidR="00CF0D91" w:rsidRPr="00073574">
              <w:rPr>
                <w:rStyle w:val="Hyperlink"/>
              </w:rPr>
              <w:t xml:space="preserve"> </w:t>
            </w:r>
            <w:hyperlink r:id="rId645" w:history="1">
              <w:r w:rsidR="009D1C3C" w:rsidRPr="00073574">
                <w:rPr>
                  <w:rStyle w:val="Hyperlink"/>
                </w:rPr>
                <w:t>C20/35</w:t>
              </w:r>
            </w:hyperlink>
            <w:r w:rsidR="009D1C3C" w:rsidRPr="00073574">
              <w:rPr>
                <w:rStyle w:val="Hyperlink"/>
              </w:rPr>
              <w:t xml:space="preserve">, </w:t>
            </w:r>
            <w:hyperlink r:id="rId646" w:history="1">
              <w:r w:rsidR="00CF0D91" w:rsidRPr="00073574">
                <w:rPr>
                  <w:rStyle w:val="Hyperlink"/>
                </w:rPr>
                <w:t>C21/35</w:t>
              </w:r>
            </w:hyperlink>
            <w:r w:rsidR="0077162E" w:rsidRPr="00073574">
              <w:rPr>
                <w:szCs w:val="22"/>
              </w:rPr>
              <w:t xml:space="preserve"> Reports of TSB Director)</w:t>
            </w:r>
            <w:r w:rsidRPr="00073574">
              <w:rPr>
                <w:szCs w:val="22"/>
              </w:rPr>
              <w:t>.</w:t>
            </w:r>
          </w:p>
        </w:tc>
      </w:tr>
      <w:tr w:rsidR="005A435D" w:rsidRPr="00073574" w14:paraId="10E57CD0" w14:textId="77777777" w:rsidTr="00A61861">
        <w:trPr>
          <w:jc w:val="center"/>
        </w:trPr>
        <w:tc>
          <w:tcPr>
            <w:tcW w:w="1117" w:type="dxa"/>
            <w:vMerge w:val="restart"/>
            <w:tcBorders>
              <w:top w:val="single" w:sz="12" w:space="0" w:color="auto"/>
            </w:tcBorders>
            <w:shd w:val="clear" w:color="auto" w:fill="auto"/>
          </w:tcPr>
          <w:p w14:paraId="1183225D" w14:textId="77777777" w:rsidR="005A435D" w:rsidRPr="00073574" w:rsidRDefault="005A435D" w:rsidP="001D4A74">
            <w:pPr>
              <w:pStyle w:val="Tabletext"/>
              <w:rPr>
                <w:b/>
                <w:bCs/>
                <w:sz w:val="24"/>
                <w:szCs w:val="24"/>
              </w:rPr>
            </w:pPr>
            <w:r w:rsidRPr="00073574">
              <w:rPr>
                <w:b/>
                <w:bCs/>
                <w:sz w:val="24"/>
                <w:szCs w:val="24"/>
              </w:rPr>
              <w:t>76-07</w:t>
            </w:r>
          </w:p>
        </w:tc>
        <w:tc>
          <w:tcPr>
            <w:tcW w:w="4887" w:type="dxa"/>
            <w:tcBorders>
              <w:top w:val="single" w:sz="12" w:space="0" w:color="auto"/>
            </w:tcBorders>
            <w:shd w:val="clear" w:color="auto" w:fill="auto"/>
          </w:tcPr>
          <w:p w14:paraId="6EC9F504" w14:textId="5286A5E8" w:rsidR="005A435D" w:rsidRPr="00073574" w:rsidRDefault="005A435D" w:rsidP="005A435D">
            <w:pPr>
              <w:pStyle w:val="Tabletext"/>
              <w:rPr>
                <w:b/>
                <w:bCs/>
                <w:sz w:val="24"/>
                <w:szCs w:val="24"/>
              </w:rPr>
            </w:pPr>
            <w:r w:rsidRPr="00073574">
              <w:rPr>
                <w:b/>
                <w:bCs/>
                <w:sz w:val="24"/>
                <w:szCs w:val="24"/>
              </w:rPr>
              <w:t>TSB Director, in cooperation with BDT Director, to implement the ITU C&amp;I programme for possible introduction of a database identifying products</w:t>
            </w:r>
            <w:r w:rsidR="002D4D1F" w:rsidRPr="00073574">
              <w:rPr>
                <w:b/>
                <w:bCs/>
                <w:sz w:val="24"/>
                <w:szCs w:val="24"/>
              </w:rPr>
              <w:t>’</w:t>
            </w:r>
            <w:r w:rsidRPr="00073574">
              <w:rPr>
                <w:b/>
                <w:bCs/>
                <w:sz w:val="24"/>
                <w:szCs w:val="24"/>
              </w:rPr>
              <w:t xml:space="preserve"> conformance and origin (i. TSBDir 4)</w:t>
            </w:r>
          </w:p>
        </w:tc>
        <w:tc>
          <w:tcPr>
            <w:tcW w:w="1454" w:type="dxa"/>
            <w:tcBorders>
              <w:top w:val="single" w:sz="12" w:space="0" w:color="auto"/>
            </w:tcBorders>
            <w:shd w:val="clear" w:color="auto" w:fill="auto"/>
            <w:vAlign w:val="center"/>
          </w:tcPr>
          <w:p w14:paraId="54C9933D" w14:textId="77777777" w:rsidR="005A435D" w:rsidRPr="00073574" w:rsidRDefault="005A435D" w:rsidP="005A435D">
            <w:pPr>
              <w:pStyle w:val="Tabletext"/>
              <w:jc w:val="center"/>
              <w:rPr>
                <w:b/>
                <w:bCs/>
                <w:sz w:val="24"/>
                <w:szCs w:val="24"/>
              </w:rPr>
            </w:pPr>
            <w:r w:rsidRPr="00073574">
              <w:rPr>
                <w:b/>
                <w:bCs/>
                <w:sz w:val="24"/>
                <w:szCs w:val="24"/>
              </w:rPr>
              <w:t>Ongoing</w:t>
            </w:r>
          </w:p>
        </w:tc>
        <w:tc>
          <w:tcPr>
            <w:tcW w:w="1138" w:type="dxa"/>
            <w:tcBorders>
              <w:top w:val="single" w:sz="12" w:space="0" w:color="auto"/>
            </w:tcBorders>
            <w:shd w:val="clear" w:color="auto" w:fill="auto"/>
            <w:vAlign w:val="center"/>
          </w:tcPr>
          <w:p w14:paraId="54225D81" w14:textId="77777777" w:rsidR="005A435D" w:rsidRPr="00073574" w:rsidRDefault="005A435D" w:rsidP="005A435D">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456A0F9B" w14:textId="77777777" w:rsidR="005A435D" w:rsidRPr="00073574" w:rsidRDefault="005A435D" w:rsidP="005A435D">
            <w:pPr>
              <w:pStyle w:val="Tabletext"/>
              <w:jc w:val="center"/>
              <w:rPr>
                <w:b/>
                <w:bCs/>
                <w:sz w:val="24"/>
                <w:szCs w:val="24"/>
              </w:rPr>
            </w:pPr>
          </w:p>
        </w:tc>
      </w:tr>
      <w:tr w:rsidR="005A435D" w:rsidRPr="00073574" w14:paraId="3A23D5CD" w14:textId="77777777" w:rsidTr="00A61861">
        <w:trPr>
          <w:trHeight w:val="825"/>
          <w:jc w:val="center"/>
        </w:trPr>
        <w:tc>
          <w:tcPr>
            <w:tcW w:w="1117" w:type="dxa"/>
            <w:vMerge/>
          </w:tcPr>
          <w:p w14:paraId="4EF1E053" w14:textId="77777777" w:rsidR="005A435D" w:rsidRPr="00073574" w:rsidRDefault="005A435D" w:rsidP="005A435D">
            <w:pPr>
              <w:pStyle w:val="Tabletext"/>
              <w:rPr>
                <w:sz w:val="24"/>
                <w:szCs w:val="24"/>
              </w:rPr>
            </w:pPr>
          </w:p>
        </w:tc>
        <w:tc>
          <w:tcPr>
            <w:tcW w:w="8815" w:type="dxa"/>
            <w:gridSpan w:val="4"/>
            <w:tcBorders>
              <w:bottom w:val="single" w:sz="12" w:space="0" w:color="auto"/>
            </w:tcBorders>
            <w:shd w:val="clear" w:color="auto" w:fill="auto"/>
          </w:tcPr>
          <w:p w14:paraId="3037A2CD" w14:textId="129787C8" w:rsidR="005A435D" w:rsidRPr="00073574" w:rsidRDefault="005A435D" w:rsidP="0093351C">
            <w:pPr>
              <w:pStyle w:val="Tabletext"/>
              <w:rPr>
                <w:szCs w:val="22"/>
              </w:rPr>
            </w:pPr>
            <w:r w:rsidRPr="00073574">
              <w:rPr>
                <w:szCs w:val="22"/>
              </w:rPr>
              <w:t xml:space="preserve">The ITU </w:t>
            </w:r>
            <w:hyperlink r:id="rId647" w:history="1">
              <w:r w:rsidRPr="00073574">
                <w:rPr>
                  <w:rStyle w:val="Hyperlink"/>
                  <w:szCs w:val="22"/>
                </w:rPr>
                <w:t>Product Conformity Database</w:t>
              </w:r>
            </w:hyperlink>
            <w:r w:rsidRPr="00073574">
              <w:rPr>
                <w:szCs w:val="22"/>
              </w:rPr>
              <w:t>, endorsed by PP Resolution 177 to provide industry with a means to publicize the conformance of ICT products and services with ITU-T</w:t>
            </w:r>
            <w:r w:rsidR="002D4D1F" w:rsidRPr="00073574">
              <w:rPr>
                <w:szCs w:val="22"/>
              </w:rPr>
              <w:t>’</w:t>
            </w:r>
            <w:r w:rsidRPr="00073574">
              <w:rPr>
                <w:szCs w:val="22"/>
              </w:rPr>
              <w:t>s international standards was launched on 18 December 2014</w:t>
            </w:r>
            <w:r w:rsidR="0093351C" w:rsidRPr="00073574">
              <w:rPr>
                <w:szCs w:val="22"/>
              </w:rPr>
              <w:t>. The “ICT Product Conformity Database” enables industry to publicize the conformance of ICT products and services to ITU-T Recommendations, assisting users in their efforts to selec</w:t>
            </w:r>
            <w:r w:rsidR="00187B18" w:rsidRPr="00073574">
              <w:rPr>
                <w:szCs w:val="22"/>
              </w:rPr>
              <w:t>t standards-compliant products.</w:t>
            </w:r>
          </w:p>
          <w:p w14:paraId="0633F824" w14:textId="6D32A814" w:rsidR="0093351C" w:rsidRPr="00073574" w:rsidRDefault="005A435D" w:rsidP="0093351C">
            <w:pPr>
              <w:pStyle w:val="Tabletext"/>
              <w:rPr>
                <w:szCs w:val="22"/>
              </w:rPr>
            </w:pPr>
            <w:r w:rsidRPr="00073574">
              <w:rPr>
                <w:szCs w:val="22"/>
              </w:rPr>
              <w:t>The database is regularly updated and currently contains more than 500 entries</w:t>
            </w:r>
            <w:r w:rsidR="0093351C" w:rsidRPr="00073574">
              <w:rPr>
                <w:szCs w:val="22"/>
              </w:rPr>
              <w:t>. Five categories of products and services have been registered in the database:</w:t>
            </w:r>
          </w:p>
          <w:p w14:paraId="12C32F82" w14:textId="7AAD6127" w:rsidR="0093351C" w:rsidRPr="00073574" w:rsidRDefault="0093351C" w:rsidP="002E241A">
            <w:pPr>
              <w:pStyle w:val="ListParagraph"/>
              <w:numPr>
                <w:ilvl w:val="0"/>
                <w:numId w:val="24"/>
              </w:numPr>
              <w:contextualSpacing w:val="0"/>
            </w:pPr>
            <w:r w:rsidRPr="00073574">
              <w:t>e-Health solutions complying with the specifications of Recommendation ITU-T H.810 “Interoperability design guidelines for personal health systems”, a transposition of the Continua Design Guidelines. The testing procedures are specified in the ITU-T H.820-H.850 sub-series of Recommendations.</w:t>
            </w:r>
          </w:p>
          <w:p w14:paraId="65024B11" w14:textId="77E21E73" w:rsidR="0093351C" w:rsidRPr="00073574" w:rsidRDefault="0093351C" w:rsidP="002E241A">
            <w:pPr>
              <w:pStyle w:val="ListParagraph"/>
              <w:numPr>
                <w:ilvl w:val="0"/>
                <w:numId w:val="24"/>
              </w:numPr>
              <w:contextualSpacing w:val="0"/>
            </w:pPr>
            <w:r w:rsidRPr="00073574">
              <w:t>Mobile phones compatible with Bluetooth-enabled vehicle hands-free terminals. This compatibility is determined in accordance with the “Chapter 12 tests” (“Verification of the transmission performance of short-range wireless (SRW) transmission enabled phones”) of ITU-T P.1100 and ITU-T P.1110.</w:t>
            </w:r>
          </w:p>
          <w:p w14:paraId="2406B7E6" w14:textId="1B3A2F7D" w:rsidR="0093351C" w:rsidRPr="00073574" w:rsidRDefault="0093351C" w:rsidP="002E241A">
            <w:pPr>
              <w:pStyle w:val="ListParagraph"/>
              <w:numPr>
                <w:ilvl w:val="0"/>
                <w:numId w:val="24"/>
              </w:numPr>
              <w:contextualSpacing w:val="0"/>
            </w:pPr>
            <w:r w:rsidRPr="00073574">
              <w:t>Ethernet products complying with ITU-T G.8011/Y.1307 “Ethernet Services Characteristics”. This standard and the corresponding tests are based on the work of MEF (formerly called the Metro Ethernet Forum).</w:t>
            </w:r>
          </w:p>
          <w:p w14:paraId="30C9BB89" w14:textId="7F9F649E" w:rsidR="0093351C" w:rsidRPr="00073574" w:rsidRDefault="0093351C" w:rsidP="002E241A">
            <w:pPr>
              <w:pStyle w:val="ListParagraph"/>
              <w:numPr>
                <w:ilvl w:val="0"/>
                <w:numId w:val="24"/>
              </w:numPr>
              <w:contextualSpacing w:val="0"/>
            </w:pPr>
            <w:r w:rsidRPr="00073574">
              <w:t>IPTV system compatible with Recommendations ITU-T H.721 “IPTV terminal devices: Basic model” and ITU-T H.702 “Accessibility profiles for IPTV systems” tested at the ITU test event in May 2017. The testing procedures are specified in the ITU-T Technical papers HSTP-CONF-H721 and HSTP-CONF-H702 respectively.</w:t>
            </w:r>
          </w:p>
          <w:p w14:paraId="616D535C" w14:textId="3516DD65" w:rsidR="005A435D" w:rsidRPr="00073574" w:rsidRDefault="0093351C" w:rsidP="002E241A">
            <w:pPr>
              <w:pStyle w:val="ListParagraph"/>
              <w:numPr>
                <w:ilvl w:val="0"/>
                <w:numId w:val="24"/>
              </w:numPr>
              <w:spacing w:after="40"/>
              <w:ind w:left="782" w:hanging="357"/>
              <w:contextualSpacing w:val="0"/>
              <w:rPr>
                <w:sz w:val="24"/>
              </w:rPr>
            </w:pPr>
            <w:r w:rsidRPr="00073574">
              <w:t>MNP system compatible with ITU-T Q.Supplement 4 “Number portability – Capability set 1 requirements for service provider portability (All call query and Onward routing)”. The testing procedures are specified in the Recommendation ITU-T Q.3905.</w:t>
            </w:r>
          </w:p>
        </w:tc>
      </w:tr>
      <w:tr w:rsidR="005A435D" w:rsidRPr="00073574" w14:paraId="4D7FA45B" w14:textId="77777777" w:rsidTr="00A61861">
        <w:trPr>
          <w:cantSplit/>
          <w:jc w:val="center"/>
        </w:trPr>
        <w:tc>
          <w:tcPr>
            <w:tcW w:w="1117" w:type="dxa"/>
            <w:vMerge w:val="restart"/>
            <w:tcBorders>
              <w:top w:val="single" w:sz="12" w:space="0" w:color="auto"/>
            </w:tcBorders>
            <w:shd w:val="clear" w:color="auto" w:fill="auto"/>
          </w:tcPr>
          <w:p w14:paraId="0BCDEA19" w14:textId="77777777" w:rsidR="005A435D" w:rsidRPr="00073574" w:rsidRDefault="005A435D" w:rsidP="005A435D">
            <w:pPr>
              <w:pStyle w:val="Tabletext"/>
              <w:keepNext/>
              <w:keepLines/>
              <w:rPr>
                <w:b/>
                <w:bCs/>
                <w:sz w:val="24"/>
                <w:szCs w:val="24"/>
              </w:rPr>
            </w:pPr>
            <w:r w:rsidRPr="00073574">
              <w:rPr>
                <w:b/>
                <w:bCs/>
                <w:sz w:val="24"/>
                <w:szCs w:val="24"/>
              </w:rPr>
              <w:t>76-08</w:t>
            </w:r>
          </w:p>
        </w:tc>
        <w:tc>
          <w:tcPr>
            <w:tcW w:w="4887" w:type="dxa"/>
            <w:tcBorders>
              <w:top w:val="single" w:sz="12" w:space="0" w:color="auto"/>
            </w:tcBorders>
            <w:shd w:val="clear" w:color="auto" w:fill="auto"/>
          </w:tcPr>
          <w:p w14:paraId="759A85A3" w14:textId="77777777" w:rsidR="005A435D" w:rsidRPr="00073574" w:rsidRDefault="005A435D" w:rsidP="005A435D">
            <w:pPr>
              <w:pStyle w:val="Tabletext"/>
              <w:rPr>
                <w:b/>
                <w:bCs/>
                <w:sz w:val="24"/>
                <w:szCs w:val="24"/>
              </w:rPr>
            </w:pPr>
            <w:r w:rsidRPr="00073574">
              <w:rPr>
                <w:b/>
                <w:bCs/>
                <w:sz w:val="24"/>
                <w:szCs w:val="24"/>
              </w:rPr>
              <w:t>TSB Director to identify and involve experts and external entities (i. TSBDir 7)</w:t>
            </w:r>
          </w:p>
        </w:tc>
        <w:tc>
          <w:tcPr>
            <w:tcW w:w="1454" w:type="dxa"/>
            <w:tcBorders>
              <w:top w:val="single" w:sz="12" w:space="0" w:color="auto"/>
            </w:tcBorders>
            <w:shd w:val="clear" w:color="auto" w:fill="auto"/>
            <w:vAlign w:val="center"/>
          </w:tcPr>
          <w:p w14:paraId="4405C623" w14:textId="77777777" w:rsidR="005A435D" w:rsidRPr="00073574" w:rsidRDefault="005A435D" w:rsidP="005A435D">
            <w:pPr>
              <w:pStyle w:val="Tabletext"/>
              <w:jc w:val="center"/>
              <w:rPr>
                <w:b/>
                <w:bCs/>
                <w:sz w:val="24"/>
                <w:szCs w:val="24"/>
              </w:rPr>
            </w:pPr>
            <w:r w:rsidRPr="00073574">
              <w:rPr>
                <w:b/>
                <w:bCs/>
                <w:sz w:val="24"/>
                <w:szCs w:val="24"/>
              </w:rPr>
              <w:t>Ongoing</w:t>
            </w:r>
          </w:p>
        </w:tc>
        <w:tc>
          <w:tcPr>
            <w:tcW w:w="1138" w:type="dxa"/>
            <w:tcBorders>
              <w:top w:val="single" w:sz="12" w:space="0" w:color="auto"/>
            </w:tcBorders>
            <w:shd w:val="clear" w:color="auto" w:fill="auto"/>
            <w:vAlign w:val="center"/>
          </w:tcPr>
          <w:p w14:paraId="2C8EF360" w14:textId="77777777" w:rsidR="005A435D" w:rsidRPr="00073574" w:rsidRDefault="005A435D" w:rsidP="005A435D">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031B685F" w14:textId="77777777" w:rsidR="005A435D" w:rsidRPr="00073574" w:rsidRDefault="005A435D" w:rsidP="005A435D">
            <w:pPr>
              <w:pStyle w:val="Tabletext"/>
              <w:jc w:val="center"/>
              <w:rPr>
                <w:b/>
                <w:bCs/>
                <w:sz w:val="24"/>
                <w:szCs w:val="24"/>
              </w:rPr>
            </w:pPr>
          </w:p>
        </w:tc>
      </w:tr>
      <w:tr w:rsidR="005A435D" w:rsidRPr="00073574" w14:paraId="7494E101" w14:textId="77777777" w:rsidTr="00C477AD">
        <w:trPr>
          <w:cantSplit/>
          <w:trHeight w:val="1996"/>
          <w:jc w:val="center"/>
        </w:trPr>
        <w:tc>
          <w:tcPr>
            <w:tcW w:w="1117" w:type="dxa"/>
            <w:vMerge/>
          </w:tcPr>
          <w:p w14:paraId="34D11878" w14:textId="77777777" w:rsidR="005A435D" w:rsidRPr="00073574" w:rsidRDefault="005A435D" w:rsidP="005A435D">
            <w:pPr>
              <w:pStyle w:val="Tabletext"/>
              <w:rPr>
                <w:sz w:val="24"/>
                <w:szCs w:val="24"/>
              </w:rPr>
            </w:pPr>
          </w:p>
        </w:tc>
        <w:tc>
          <w:tcPr>
            <w:tcW w:w="8815" w:type="dxa"/>
            <w:gridSpan w:val="4"/>
            <w:tcBorders>
              <w:bottom w:val="single" w:sz="12" w:space="0" w:color="auto"/>
            </w:tcBorders>
            <w:shd w:val="clear" w:color="auto" w:fill="auto"/>
          </w:tcPr>
          <w:p w14:paraId="54A4832B" w14:textId="0F6B7D19" w:rsidR="005A435D" w:rsidRPr="00073574" w:rsidRDefault="005A435D" w:rsidP="001E63F9">
            <w:pPr>
              <w:snapToGrid w:val="0"/>
              <w:spacing w:before="40"/>
              <w:rPr>
                <w:szCs w:val="22"/>
              </w:rPr>
            </w:pPr>
            <w:r w:rsidRPr="00073574">
              <w:rPr>
                <w:szCs w:val="22"/>
              </w:rPr>
              <w:t>ITU-T is inviting fixed network operators to establish an alliance to promote the basic requirements for IMS-based equipment</w:t>
            </w:r>
            <w:r w:rsidR="006B3599" w:rsidRPr="00073574">
              <w:rPr>
                <w:szCs w:val="22"/>
              </w:rPr>
              <w:t xml:space="preserve"> which were adopted by SG11</w:t>
            </w:r>
            <w:r w:rsidRPr="00073574">
              <w:rPr>
                <w:szCs w:val="22"/>
              </w:rPr>
              <w:t xml:space="preserve">. </w:t>
            </w:r>
          </w:p>
          <w:p w14:paraId="13DD397A" w14:textId="564D40DE" w:rsidR="006D665C" w:rsidRPr="00073574" w:rsidRDefault="006D665C" w:rsidP="001E63F9">
            <w:pPr>
              <w:snapToGrid w:val="0"/>
              <w:spacing w:before="40"/>
              <w:rPr>
                <w:szCs w:val="22"/>
              </w:rPr>
            </w:pPr>
            <w:r w:rsidRPr="00073574">
              <w:rPr>
                <w:szCs w:val="22"/>
              </w:rPr>
              <w:t>TSB is in touch with ETSI and IEEE on testbed federations initiative.</w:t>
            </w:r>
          </w:p>
          <w:p w14:paraId="4648DEB7" w14:textId="77777777" w:rsidR="005A435D" w:rsidRPr="00073574" w:rsidRDefault="005A435D" w:rsidP="005A435D">
            <w:pPr>
              <w:snapToGrid w:val="0"/>
              <w:rPr>
                <w:szCs w:val="22"/>
              </w:rPr>
            </w:pPr>
            <w:r w:rsidRPr="00073574">
              <w:rPr>
                <w:szCs w:val="22"/>
              </w:rPr>
              <w:t xml:space="preserve">ITU-T SG11 continues </w:t>
            </w:r>
            <w:hyperlink r:id="rId648" w:history="1">
              <w:r w:rsidRPr="00073574">
                <w:rPr>
                  <w:rStyle w:val="Hyperlink"/>
                  <w:szCs w:val="22"/>
                </w:rPr>
                <w:t>collaborating with ETSI TC INT</w:t>
              </w:r>
            </w:hyperlink>
            <w:r w:rsidRPr="00073574">
              <w:rPr>
                <w:szCs w:val="22"/>
              </w:rPr>
              <w:t>, aimed at developing standards for SIP-IMS conformity testing, Internet related performance measurements, framework of an interconnection among VoLTE/ViLTE-based networks, requirements and relevant test specifications.</w:t>
            </w:r>
          </w:p>
        </w:tc>
      </w:tr>
      <w:tr w:rsidR="005A435D" w:rsidRPr="00073574" w14:paraId="1A5E3C4D" w14:textId="77777777" w:rsidTr="00A61861">
        <w:trPr>
          <w:cantSplit/>
          <w:jc w:val="center"/>
        </w:trPr>
        <w:tc>
          <w:tcPr>
            <w:tcW w:w="1117" w:type="dxa"/>
            <w:vMerge w:val="restart"/>
            <w:tcBorders>
              <w:top w:val="single" w:sz="12" w:space="0" w:color="auto"/>
            </w:tcBorders>
            <w:shd w:val="clear" w:color="auto" w:fill="auto"/>
          </w:tcPr>
          <w:p w14:paraId="0E88CAFE" w14:textId="77777777" w:rsidR="005A435D" w:rsidRPr="00073574" w:rsidRDefault="005A435D" w:rsidP="005A435D">
            <w:pPr>
              <w:pStyle w:val="Tabletext"/>
              <w:keepNext/>
              <w:keepLines/>
              <w:rPr>
                <w:b/>
                <w:bCs/>
                <w:sz w:val="24"/>
                <w:szCs w:val="24"/>
              </w:rPr>
            </w:pPr>
            <w:r w:rsidRPr="00073574">
              <w:rPr>
                <w:b/>
                <w:bCs/>
                <w:sz w:val="24"/>
                <w:szCs w:val="24"/>
              </w:rPr>
              <w:lastRenderedPageBreak/>
              <w:t>76-09</w:t>
            </w:r>
          </w:p>
        </w:tc>
        <w:tc>
          <w:tcPr>
            <w:tcW w:w="4887" w:type="dxa"/>
            <w:tcBorders>
              <w:top w:val="single" w:sz="12" w:space="0" w:color="auto"/>
            </w:tcBorders>
            <w:shd w:val="clear" w:color="auto" w:fill="auto"/>
          </w:tcPr>
          <w:p w14:paraId="30E02DD8" w14:textId="77777777" w:rsidR="005A435D" w:rsidRPr="00073574" w:rsidRDefault="005A435D" w:rsidP="005A435D">
            <w:pPr>
              <w:pStyle w:val="Tabletext"/>
              <w:rPr>
                <w:b/>
                <w:bCs/>
                <w:sz w:val="24"/>
                <w:szCs w:val="24"/>
              </w:rPr>
            </w:pPr>
            <w:r w:rsidRPr="00073574">
              <w:rPr>
                <w:b/>
                <w:bCs/>
                <w:sz w:val="24"/>
                <w:szCs w:val="24"/>
              </w:rPr>
              <w:t>TSB Director, in collaboration with other Sectors, develop a programme to assist developing countries in capacity building on C&amp;I (Pillar 3) and establishing test centres in developing countries, aimed at promoting regional integration and common C&amp;I programmes (Pillar 4) (resolves 5 i)</w:t>
            </w:r>
          </w:p>
        </w:tc>
        <w:tc>
          <w:tcPr>
            <w:tcW w:w="1454" w:type="dxa"/>
            <w:tcBorders>
              <w:top w:val="single" w:sz="12" w:space="0" w:color="auto"/>
            </w:tcBorders>
            <w:shd w:val="clear" w:color="auto" w:fill="auto"/>
            <w:vAlign w:val="center"/>
          </w:tcPr>
          <w:p w14:paraId="234B7A75" w14:textId="77777777" w:rsidR="005A435D" w:rsidRPr="00073574" w:rsidRDefault="005A435D" w:rsidP="005A435D">
            <w:pPr>
              <w:pStyle w:val="Tabletext"/>
              <w:jc w:val="center"/>
              <w:rPr>
                <w:b/>
                <w:bCs/>
                <w:sz w:val="24"/>
                <w:szCs w:val="24"/>
              </w:rPr>
            </w:pPr>
            <w:r w:rsidRPr="00073574">
              <w:rPr>
                <w:b/>
                <w:bCs/>
                <w:sz w:val="24"/>
                <w:szCs w:val="24"/>
              </w:rPr>
              <w:t>Ongoing</w:t>
            </w:r>
          </w:p>
        </w:tc>
        <w:tc>
          <w:tcPr>
            <w:tcW w:w="1138" w:type="dxa"/>
            <w:tcBorders>
              <w:top w:val="single" w:sz="12" w:space="0" w:color="auto"/>
            </w:tcBorders>
            <w:shd w:val="clear" w:color="auto" w:fill="auto"/>
            <w:vAlign w:val="center"/>
          </w:tcPr>
          <w:p w14:paraId="21A59CD1" w14:textId="41DB4F3D" w:rsidR="005A435D" w:rsidRPr="00073574" w:rsidRDefault="005A435D" w:rsidP="005A435D">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697DCE3F" w14:textId="77777777" w:rsidR="005A435D" w:rsidRPr="00073574" w:rsidRDefault="005A435D" w:rsidP="005A435D">
            <w:pPr>
              <w:pStyle w:val="Tabletext"/>
              <w:jc w:val="center"/>
              <w:rPr>
                <w:b/>
                <w:bCs/>
                <w:sz w:val="24"/>
                <w:szCs w:val="24"/>
              </w:rPr>
            </w:pPr>
          </w:p>
        </w:tc>
      </w:tr>
      <w:tr w:rsidR="005A435D" w:rsidRPr="00073574" w14:paraId="529679DA" w14:textId="77777777" w:rsidTr="00A61861">
        <w:trPr>
          <w:cantSplit/>
          <w:jc w:val="center"/>
        </w:trPr>
        <w:tc>
          <w:tcPr>
            <w:tcW w:w="1117" w:type="dxa"/>
            <w:vMerge/>
          </w:tcPr>
          <w:p w14:paraId="2C3C21A7" w14:textId="77777777" w:rsidR="005A435D" w:rsidRPr="00073574" w:rsidRDefault="005A435D" w:rsidP="005A435D">
            <w:pPr>
              <w:pStyle w:val="Tabletext"/>
              <w:rPr>
                <w:sz w:val="24"/>
                <w:szCs w:val="24"/>
              </w:rPr>
            </w:pPr>
          </w:p>
        </w:tc>
        <w:tc>
          <w:tcPr>
            <w:tcW w:w="8815" w:type="dxa"/>
            <w:gridSpan w:val="4"/>
            <w:tcBorders>
              <w:bottom w:val="single" w:sz="12" w:space="0" w:color="auto"/>
            </w:tcBorders>
            <w:shd w:val="clear" w:color="auto" w:fill="auto"/>
          </w:tcPr>
          <w:p w14:paraId="22A9F166" w14:textId="77777777" w:rsidR="005A435D" w:rsidRPr="00073574" w:rsidRDefault="005A435D" w:rsidP="005A435D">
            <w:pPr>
              <w:pStyle w:val="Tabletext"/>
              <w:rPr>
                <w:szCs w:val="22"/>
              </w:rPr>
            </w:pPr>
            <w:r w:rsidRPr="00073574">
              <w:rPr>
                <w:szCs w:val="22"/>
              </w:rPr>
              <w:t>ITU-T SG11 is collaborating with ITU-D SG2 Q4/2 on C&amp;I issues.</w:t>
            </w:r>
          </w:p>
          <w:p w14:paraId="1AD62A9D" w14:textId="5A40B69B" w:rsidR="004C071E" w:rsidRPr="00073574" w:rsidRDefault="00E45B30" w:rsidP="00E45B30">
            <w:pPr>
              <w:pStyle w:val="Tabletext"/>
              <w:rPr>
                <w:color w:val="000000"/>
              </w:rPr>
            </w:pPr>
            <w:r w:rsidRPr="00073574">
              <w:rPr>
                <w:szCs w:val="22"/>
              </w:rPr>
              <w:t>TSB conducted thematical Workshops during SG11RGs meetings. In addition, TSB Secretariat facilitates the implementation of ITU Testing Laboratory recognition procedure on ITU-T Recommendations. Among 11 Technical experts appointed by CASC there is one expert from Africa Region.</w:t>
            </w:r>
            <w:r w:rsidR="00542FCA" w:rsidRPr="00073574">
              <w:rPr>
                <w:szCs w:val="22"/>
              </w:rPr>
              <w:t xml:space="preserve"> </w:t>
            </w:r>
            <w:r w:rsidR="00A614B8" w:rsidRPr="00073574">
              <w:rPr>
                <w:szCs w:val="22"/>
              </w:rPr>
              <w:t xml:space="preserve">Following </w:t>
            </w:r>
            <w:r w:rsidR="00481EAC" w:rsidRPr="00073574">
              <w:rPr>
                <w:szCs w:val="22"/>
              </w:rPr>
              <w:t xml:space="preserve">outcomes of </w:t>
            </w:r>
            <w:r w:rsidR="00F50405" w:rsidRPr="00073574">
              <w:rPr>
                <w:szCs w:val="22"/>
              </w:rPr>
              <w:t xml:space="preserve">the </w:t>
            </w:r>
            <w:r w:rsidR="00481EAC" w:rsidRPr="00073574">
              <w:rPr>
                <w:szCs w:val="22"/>
              </w:rPr>
              <w:t>ITU-T CASC meeting</w:t>
            </w:r>
            <w:r w:rsidR="00F50405" w:rsidRPr="00073574">
              <w:rPr>
                <w:szCs w:val="22"/>
              </w:rPr>
              <w:t>s</w:t>
            </w:r>
            <w:r w:rsidR="00A614B8" w:rsidRPr="00073574">
              <w:rPr>
                <w:szCs w:val="22"/>
              </w:rPr>
              <w:t xml:space="preserve">, </w:t>
            </w:r>
            <w:r w:rsidR="00542FCA" w:rsidRPr="00073574">
              <w:rPr>
                <w:szCs w:val="22"/>
              </w:rPr>
              <w:t xml:space="preserve">SG11 </w:t>
            </w:r>
            <w:r w:rsidR="0028115C" w:rsidRPr="00073574">
              <w:rPr>
                <w:szCs w:val="22"/>
              </w:rPr>
              <w:t xml:space="preserve">decided that </w:t>
            </w:r>
            <w:r w:rsidR="00A614B8" w:rsidRPr="00073574">
              <w:rPr>
                <w:color w:val="000000"/>
              </w:rPr>
              <w:t>ITU recognizes the Testing Laboratories (TLs) which are accredited by an Accreditation Body that is a signatory to the ILAC MRA for testing, which scope of accreditation contains ITU-T Recommendation(s).</w:t>
            </w:r>
          </w:p>
          <w:p w14:paraId="7EDE7E9E" w14:textId="1FB60C0B" w:rsidR="00E45B30" w:rsidRPr="00073574" w:rsidRDefault="00481EAC" w:rsidP="00E45B30">
            <w:pPr>
              <w:pStyle w:val="Tabletext"/>
              <w:rPr>
                <w:color w:val="000000"/>
              </w:rPr>
            </w:pPr>
            <w:r w:rsidRPr="00073574">
              <w:rPr>
                <w:color w:val="000000"/>
              </w:rPr>
              <w:t>TSB launched the Testing Laboratories database and therefore, t</w:t>
            </w:r>
            <w:r w:rsidR="00A614B8" w:rsidRPr="00073574">
              <w:rPr>
                <w:color w:val="000000"/>
              </w:rPr>
              <w:t xml:space="preserve">he relevant request needs to be submitted through the online form which </w:t>
            </w:r>
            <w:r w:rsidRPr="00073574">
              <w:rPr>
                <w:color w:val="000000"/>
              </w:rPr>
              <w:t xml:space="preserve">is </w:t>
            </w:r>
            <w:r w:rsidR="00A614B8" w:rsidRPr="00073574">
              <w:rPr>
                <w:color w:val="000000"/>
              </w:rPr>
              <w:t xml:space="preserve">available on </w:t>
            </w:r>
            <w:r w:rsidRPr="00073574">
              <w:rPr>
                <w:color w:val="000000"/>
              </w:rPr>
              <w:t xml:space="preserve">the </w:t>
            </w:r>
            <w:r w:rsidR="00A614B8" w:rsidRPr="00073574">
              <w:rPr>
                <w:color w:val="000000"/>
              </w:rPr>
              <w:t>ITU C&amp;I Portal (</w:t>
            </w:r>
            <w:hyperlink r:id="rId649" w:history="1">
              <w:r w:rsidR="00A614B8" w:rsidRPr="00073574">
                <w:rPr>
                  <w:rStyle w:val="Hyperlink"/>
                </w:rPr>
                <w:t>www.itu.int/go/citest</w:t>
              </w:r>
            </w:hyperlink>
            <w:r w:rsidR="00A614B8" w:rsidRPr="00073574">
              <w:rPr>
                <w:color w:val="000000"/>
              </w:rPr>
              <w:t>).</w:t>
            </w:r>
            <w:r w:rsidR="00BE4ECE" w:rsidRPr="00073574">
              <w:rPr>
                <w:color w:val="000000"/>
              </w:rPr>
              <w:t xml:space="preserve"> </w:t>
            </w:r>
          </w:p>
          <w:p w14:paraId="19E3C8AE" w14:textId="3C3C23EA" w:rsidR="00E45B30" w:rsidRPr="00073574" w:rsidRDefault="002A5728" w:rsidP="00E45B30">
            <w:pPr>
              <w:pStyle w:val="Tabletext"/>
              <w:rPr>
                <w:szCs w:val="22"/>
              </w:rPr>
            </w:pPr>
            <w:r w:rsidRPr="00073574">
              <w:rPr>
                <w:szCs w:val="22"/>
              </w:rPr>
              <w:t xml:space="preserve">Any TL, including non-ITU members, which expresses its interest to be accredited against ITU-T Recommendations to be further recognized by ITU, needs to approach Accreditation Body (AB) that is a signatory to the ILAC MRA. The list of ABs is available at: </w:t>
            </w:r>
            <w:hyperlink r:id="rId650" w:history="1">
              <w:r w:rsidRPr="00073574">
                <w:rPr>
                  <w:rStyle w:val="Hyperlink"/>
                  <w:szCs w:val="22"/>
                </w:rPr>
                <w:t>https://ilac.org/signatory-search/</w:t>
              </w:r>
            </w:hyperlink>
            <w:r w:rsidRPr="00073574">
              <w:rPr>
                <w:szCs w:val="22"/>
              </w:rPr>
              <w:t>. Afterwards, once the accreditation is given to the TL and relevant application form submitted to ITU by TL, the TL can be recognized by ITU accordingly.</w:t>
            </w:r>
          </w:p>
        </w:tc>
      </w:tr>
      <w:tr w:rsidR="005A435D" w:rsidRPr="00073574" w14:paraId="4FD5B8BE" w14:textId="77777777" w:rsidTr="00A61861">
        <w:trPr>
          <w:cantSplit/>
          <w:jc w:val="center"/>
        </w:trPr>
        <w:tc>
          <w:tcPr>
            <w:tcW w:w="1117" w:type="dxa"/>
            <w:vMerge w:val="restart"/>
            <w:tcBorders>
              <w:top w:val="single" w:sz="12" w:space="0" w:color="auto"/>
            </w:tcBorders>
            <w:shd w:val="clear" w:color="auto" w:fill="auto"/>
          </w:tcPr>
          <w:p w14:paraId="71CD7456" w14:textId="77777777" w:rsidR="005A435D" w:rsidRPr="00073574" w:rsidRDefault="005A435D" w:rsidP="005A435D">
            <w:pPr>
              <w:pStyle w:val="Tabletext"/>
              <w:rPr>
                <w:b/>
                <w:bCs/>
                <w:sz w:val="24"/>
                <w:szCs w:val="24"/>
              </w:rPr>
            </w:pPr>
            <w:r w:rsidRPr="00073574">
              <w:rPr>
                <w:b/>
                <w:bCs/>
                <w:sz w:val="24"/>
                <w:szCs w:val="24"/>
              </w:rPr>
              <w:t>76-10</w:t>
            </w:r>
          </w:p>
        </w:tc>
        <w:tc>
          <w:tcPr>
            <w:tcW w:w="4887" w:type="dxa"/>
            <w:tcBorders>
              <w:top w:val="single" w:sz="12" w:space="0" w:color="auto"/>
            </w:tcBorders>
            <w:shd w:val="clear" w:color="auto" w:fill="auto"/>
          </w:tcPr>
          <w:p w14:paraId="71F506C4" w14:textId="77777777" w:rsidR="005A435D" w:rsidRPr="00073574" w:rsidRDefault="005A435D" w:rsidP="005A435D">
            <w:pPr>
              <w:pStyle w:val="Tabletext"/>
              <w:rPr>
                <w:b/>
                <w:bCs/>
                <w:sz w:val="24"/>
                <w:szCs w:val="24"/>
              </w:rPr>
            </w:pPr>
            <w:r w:rsidRPr="00073574">
              <w:rPr>
                <w:b/>
                <w:bCs/>
                <w:sz w:val="24"/>
                <w:szCs w:val="24"/>
              </w:rPr>
              <w:t>TSB Director, in collaboration with other Sectors, develop a programme to assist developing countries in establishing regional or subregional C&amp;I centres (resolves 5 ii)</w:t>
            </w:r>
          </w:p>
        </w:tc>
        <w:tc>
          <w:tcPr>
            <w:tcW w:w="1454" w:type="dxa"/>
            <w:tcBorders>
              <w:top w:val="single" w:sz="12" w:space="0" w:color="auto"/>
              <w:bottom w:val="single" w:sz="4" w:space="0" w:color="auto"/>
            </w:tcBorders>
            <w:shd w:val="clear" w:color="auto" w:fill="auto"/>
            <w:vAlign w:val="center"/>
          </w:tcPr>
          <w:p w14:paraId="60119366" w14:textId="77777777" w:rsidR="005A435D" w:rsidRPr="00073574" w:rsidRDefault="005A435D" w:rsidP="005A435D">
            <w:pPr>
              <w:pStyle w:val="Tabletext"/>
              <w:jc w:val="center"/>
              <w:rPr>
                <w:b/>
                <w:bCs/>
                <w:sz w:val="24"/>
                <w:szCs w:val="24"/>
              </w:rPr>
            </w:pPr>
            <w:r w:rsidRPr="00073574">
              <w:rPr>
                <w:b/>
                <w:bCs/>
                <w:sz w:val="24"/>
                <w:szCs w:val="24"/>
              </w:rPr>
              <w:t>Ongoing</w:t>
            </w:r>
          </w:p>
        </w:tc>
        <w:tc>
          <w:tcPr>
            <w:tcW w:w="1138" w:type="dxa"/>
            <w:tcBorders>
              <w:top w:val="single" w:sz="12" w:space="0" w:color="auto"/>
            </w:tcBorders>
            <w:shd w:val="clear" w:color="auto" w:fill="auto"/>
            <w:vAlign w:val="center"/>
          </w:tcPr>
          <w:p w14:paraId="1D50962F" w14:textId="77777777" w:rsidR="005A435D" w:rsidRPr="00073574" w:rsidRDefault="005A435D" w:rsidP="005A435D">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379E52A8" w14:textId="77777777" w:rsidR="005A435D" w:rsidRPr="00073574" w:rsidRDefault="005A435D" w:rsidP="005A435D">
            <w:pPr>
              <w:pStyle w:val="Tabletext"/>
              <w:jc w:val="center"/>
              <w:rPr>
                <w:b/>
                <w:bCs/>
                <w:sz w:val="24"/>
                <w:szCs w:val="24"/>
              </w:rPr>
            </w:pPr>
          </w:p>
        </w:tc>
      </w:tr>
      <w:tr w:rsidR="005A435D" w:rsidRPr="00073574" w14:paraId="6658A6AA" w14:textId="77777777" w:rsidTr="00A61861">
        <w:trPr>
          <w:cantSplit/>
          <w:jc w:val="center"/>
        </w:trPr>
        <w:tc>
          <w:tcPr>
            <w:tcW w:w="1117" w:type="dxa"/>
            <w:vMerge/>
          </w:tcPr>
          <w:p w14:paraId="551D3653" w14:textId="77777777" w:rsidR="005A435D" w:rsidRPr="00073574" w:rsidRDefault="005A435D" w:rsidP="005A435D">
            <w:pPr>
              <w:pStyle w:val="Tabletext"/>
              <w:rPr>
                <w:sz w:val="24"/>
                <w:szCs w:val="24"/>
              </w:rPr>
            </w:pPr>
          </w:p>
        </w:tc>
        <w:tc>
          <w:tcPr>
            <w:tcW w:w="8815" w:type="dxa"/>
            <w:gridSpan w:val="4"/>
            <w:tcBorders>
              <w:bottom w:val="single" w:sz="12" w:space="0" w:color="auto"/>
            </w:tcBorders>
            <w:shd w:val="clear" w:color="auto" w:fill="auto"/>
          </w:tcPr>
          <w:p w14:paraId="5CB9FE2B" w14:textId="045FA6B5" w:rsidR="005A435D" w:rsidRPr="00073574" w:rsidRDefault="00E45B30" w:rsidP="005A435D">
            <w:pPr>
              <w:pStyle w:val="Tabletext"/>
              <w:rPr>
                <w:szCs w:val="22"/>
              </w:rPr>
            </w:pPr>
            <w:r w:rsidRPr="00073574">
              <w:rPr>
                <w:szCs w:val="22"/>
              </w:rPr>
              <w:t>See 76-09</w:t>
            </w:r>
          </w:p>
        </w:tc>
      </w:tr>
      <w:tr w:rsidR="005A435D" w:rsidRPr="00073574" w14:paraId="2F6BAF53" w14:textId="77777777" w:rsidTr="00A61861">
        <w:trPr>
          <w:cantSplit/>
          <w:jc w:val="center"/>
        </w:trPr>
        <w:tc>
          <w:tcPr>
            <w:tcW w:w="1117" w:type="dxa"/>
            <w:vMerge w:val="restart"/>
            <w:tcBorders>
              <w:top w:val="single" w:sz="12" w:space="0" w:color="auto"/>
            </w:tcBorders>
            <w:shd w:val="clear" w:color="auto" w:fill="auto"/>
          </w:tcPr>
          <w:p w14:paraId="71FEA8F0" w14:textId="77777777" w:rsidR="005A435D" w:rsidRPr="00073574" w:rsidRDefault="005A435D" w:rsidP="00317720">
            <w:pPr>
              <w:pStyle w:val="Tabletext"/>
              <w:keepNext/>
              <w:keepLines/>
              <w:rPr>
                <w:b/>
                <w:bCs/>
                <w:sz w:val="24"/>
                <w:szCs w:val="24"/>
              </w:rPr>
            </w:pPr>
            <w:r w:rsidRPr="00073574">
              <w:rPr>
                <w:b/>
                <w:bCs/>
                <w:sz w:val="24"/>
                <w:szCs w:val="24"/>
              </w:rPr>
              <w:t>76-11</w:t>
            </w:r>
          </w:p>
        </w:tc>
        <w:tc>
          <w:tcPr>
            <w:tcW w:w="4887" w:type="dxa"/>
            <w:tcBorders>
              <w:top w:val="single" w:sz="12" w:space="0" w:color="auto"/>
            </w:tcBorders>
            <w:shd w:val="clear" w:color="auto" w:fill="auto"/>
          </w:tcPr>
          <w:p w14:paraId="51A3EF94" w14:textId="77777777" w:rsidR="005A435D" w:rsidRPr="00073574" w:rsidRDefault="005A435D" w:rsidP="00317720">
            <w:pPr>
              <w:pStyle w:val="Tabletext"/>
              <w:keepNext/>
              <w:keepLines/>
              <w:rPr>
                <w:b/>
                <w:bCs/>
                <w:sz w:val="24"/>
                <w:szCs w:val="24"/>
              </w:rPr>
            </w:pPr>
            <w:r w:rsidRPr="00073574">
              <w:rPr>
                <w:b/>
                <w:bCs/>
                <w:sz w:val="24"/>
                <w:szCs w:val="24"/>
              </w:rPr>
              <w:t>TSB Director to report C&amp;I activities carried out under the action plan to Council (i. TSBDir 8)</w:t>
            </w:r>
          </w:p>
        </w:tc>
        <w:tc>
          <w:tcPr>
            <w:tcW w:w="1454" w:type="dxa"/>
            <w:tcBorders>
              <w:top w:val="single" w:sz="12" w:space="0" w:color="auto"/>
              <w:bottom w:val="single" w:sz="4" w:space="0" w:color="auto"/>
            </w:tcBorders>
            <w:shd w:val="clear" w:color="auto" w:fill="auto"/>
            <w:vAlign w:val="center"/>
          </w:tcPr>
          <w:p w14:paraId="192AEC4A" w14:textId="77777777" w:rsidR="005A435D" w:rsidRPr="00073574" w:rsidRDefault="005A435D" w:rsidP="00317720">
            <w:pPr>
              <w:pStyle w:val="Tabletext"/>
              <w:keepNext/>
              <w:keepLines/>
              <w:jc w:val="center"/>
              <w:rPr>
                <w:b/>
                <w:bCs/>
                <w:sz w:val="24"/>
                <w:szCs w:val="24"/>
              </w:rPr>
            </w:pPr>
            <w:r w:rsidRPr="00073574">
              <w:rPr>
                <w:b/>
                <w:bCs/>
                <w:sz w:val="24"/>
                <w:szCs w:val="24"/>
              </w:rPr>
              <w:t>Ongoing</w:t>
            </w:r>
          </w:p>
          <w:p w14:paraId="1EB79F76" w14:textId="29AAE2C1" w:rsidR="005A435D" w:rsidRPr="00073574" w:rsidRDefault="005A435D" w:rsidP="00741CBE">
            <w:pPr>
              <w:pStyle w:val="Tabletext"/>
              <w:keepNext/>
              <w:keepLines/>
              <w:jc w:val="center"/>
              <w:rPr>
                <w:b/>
                <w:bCs/>
                <w:sz w:val="24"/>
                <w:szCs w:val="24"/>
              </w:rPr>
            </w:pPr>
            <w:r w:rsidRPr="00073574">
              <w:rPr>
                <w:b/>
                <w:bCs/>
                <w:sz w:val="24"/>
                <w:szCs w:val="24"/>
              </w:rPr>
              <w:t>Council 20</w:t>
            </w:r>
            <w:r w:rsidR="00741CBE" w:rsidRPr="00073574">
              <w:rPr>
                <w:b/>
                <w:bCs/>
                <w:sz w:val="24"/>
                <w:szCs w:val="24"/>
              </w:rPr>
              <w:t>2</w:t>
            </w:r>
            <w:r w:rsidR="00117493" w:rsidRPr="00073574">
              <w:rPr>
                <w:b/>
                <w:bCs/>
                <w:sz w:val="24"/>
                <w:szCs w:val="24"/>
              </w:rPr>
              <w:t>1</w:t>
            </w:r>
          </w:p>
        </w:tc>
        <w:tc>
          <w:tcPr>
            <w:tcW w:w="1138" w:type="dxa"/>
            <w:tcBorders>
              <w:top w:val="single" w:sz="12" w:space="0" w:color="auto"/>
            </w:tcBorders>
            <w:shd w:val="clear" w:color="auto" w:fill="auto"/>
            <w:vAlign w:val="center"/>
          </w:tcPr>
          <w:p w14:paraId="056D3DC6" w14:textId="77777777" w:rsidR="005A435D" w:rsidRPr="00073574" w:rsidRDefault="005A435D" w:rsidP="00317720">
            <w:pPr>
              <w:pStyle w:val="Tabletext"/>
              <w:keepNext/>
              <w:keepLines/>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4AE7887B" w14:textId="77777777" w:rsidR="005A435D" w:rsidRPr="00073574" w:rsidRDefault="005A435D" w:rsidP="00317720">
            <w:pPr>
              <w:pStyle w:val="Tabletext"/>
              <w:keepNext/>
              <w:keepLines/>
              <w:jc w:val="center"/>
              <w:rPr>
                <w:b/>
                <w:bCs/>
                <w:sz w:val="24"/>
                <w:szCs w:val="24"/>
              </w:rPr>
            </w:pPr>
          </w:p>
        </w:tc>
      </w:tr>
      <w:tr w:rsidR="005A435D" w:rsidRPr="00073574" w14:paraId="76DD5AF8" w14:textId="77777777" w:rsidTr="00A61861">
        <w:trPr>
          <w:cantSplit/>
          <w:jc w:val="center"/>
        </w:trPr>
        <w:tc>
          <w:tcPr>
            <w:tcW w:w="1117" w:type="dxa"/>
            <w:vMerge/>
          </w:tcPr>
          <w:p w14:paraId="5131D86C" w14:textId="77777777" w:rsidR="005A435D" w:rsidRPr="00073574" w:rsidRDefault="005A435D" w:rsidP="00317720">
            <w:pPr>
              <w:pStyle w:val="Tabletext"/>
              <w:keepNext/>
              <w:keepLines/>
              <w:rPr>
                <w:sz w:val="24"/>
                <w:szCs w:val="24"/>
              </w:rPr>
            </w:pPr>
          </w:p>
        </w:tc>
        <w:tc>
          <w:tcPr>
            <w:tcW w:w="8815" w:type="dxa"/>
            <w:gridSpan w:val="4"/>
            <w:tcBorders>
              <w:bottom w:val="single" w:sz="12" w:space="0" w:color="auto"/>
            </w:tcBorders>
            <w:shd w:val="clear" w:color="auto" w:fill="auto"/>
          </w:tcPr>
          <w:p w14:paraId="004875D7" w14:textId="1BC9C235" w:rsidR="005A435D" w:rsidRPr="00073574" w:rsidRDefault="005A435D" w:rsidP="00317720">
            <w:pPr>
              <w:pStyle w:val="Tabletext"/>
              <w:keepNext/>
              <w:keepLines/>
              <w:rPr>
                <w:szCs w:val="22"/>
              </w:rPr>
            </w:pPr>
            <w:r w:rsidRPr="00073574">
              <w:rPr>
                <w:szCs w:val="22"/>
              </w:rPr>
              <w:t>TSB, BDT and BR Directors informed ITU Council on the implementation of the ITU C&amp;I action plan (</w:t>
            </w:r>
            <w:r w:rsidR="00E45B30" w:rsidRPr="00073574">
              <w:rPr>
                <w:szCs w:val="22"/>
              </w:rPr>
              <w:t xml:space="preserve">see </w:t>
            </w:r>
            <w:hyperlink r:id="rId651" w:history="1">
              <w:r w:rsidRPr="00073574">
                <w:rPr>
                  <w:rStyle w:val="Hyperlink"/>
                  <w:szCs w:val="22"/>
                </w:rPr>
                <w:t>C17/24</w:t>
              </w:r>
            </w:hyperlink>
            <w:r w:rsidR="00CE2554" w:rsidRPr="00073574">
              <w:rPr>
                <w:rStyle w:val="Hyperlink"/>
                <w:szCs w:val="22"/>
              </w:rPr>
              <w:t>,</w:t>
            </w:r>
            <w:r w:rsidR="00CE2554" w:rsidRPr="00073574">
              <w:rPr>
                <w:rStyle w:val="Hyperlink"/>
              </w:rPr>
              <w:t xml:space="preserve"> </w:t>
            </w:r>
            <w:hyperlink r:id="rId652" w:history="1">
              <w:r w:rsidR="00CE2554" w:rsidRPr="00073574">
                <w:rPr>
                  <w:rStyle w:val="Hyperlink"/>
                  <w:szCs w:val="22"/>
                </w:rPr>
                <w:t>C18/35</w:t>
              </w:r>
            </w:hyperlink>
            <w:r w:rsidR="00CE2554" w:rsidRPr="00073574">
              <w:rPr>
                <w:szCs w:val="22"/>
              </w:rPr>
              <w:t xml:space="preserve">, </w:t>
            </w:r>
            <w:hyperlink r:id="rId653" w:history="1">
              <w:r w:rsidR="00CE2554" w:rsidRPr="00073574">
                <w:rPr>
                  <w:rStyle w:val="Hyperlink"/>
                  <w:szCs w:val="22"/>
                </w:rPr>
                <w:t>C19/35</w:t>
              </w:r>
            </w:hyperlink>
            <w:r w:rsidR="00CE2554" w:rsidRPr="00073574">
              <w:rPr>
                <w:rStyle w:val="Hyperlink"/>
                <w:szCs w:val="22"/>
              </w:rPr>
              <w:t>,</w:t>
            </w:r>
            <w:r w:rsidR="00CE2554" w:rsidRPr="00073574">
              <w:rPr>
                <w:rStyle w:val="Hyperlink"/>
              </w:rPr>
              <w:t xml:space="preserve"> </w:t>
            </w:r>
            <w:hyperlink r:id="rId654" w:history="1">
              <w:r w:rsidR="00251D19" w:rsidRPr="00073574">
                <w:rPr>
                  <w:rStyle w:val="Hyperlink"/>
                </w:rPr>
                <w:t>C20/35</w:t>
              </w:r>
            </w:hyperlink>
            <w:r w:rsidR="00251D19" w:rsidRPr="00073574">
              <w:rPr>
                <w:rStyle w:val="Hyperlink"/>
              </w:rPr>
              <w:t xml:space="preserve">, </w:t>
            </w:r>
            <w:hyperlink r:id="rId655" w:history="1">
              <w:r w:rsidR="00CE2554" w:rsidRPr="00073574">
                <w:rPr>
                  <w:rStyle w:val="Hyperlink"/>
                </w:rPr>
                <w:t>C21/35</w:t>
              </w:r>
            </w:hyperlink>
            <w:r w:rsidR="00CE2554" w:rsidRPr="00073574">
              <w:rPr>
                <w:szCs w:val="22"/>
              </w:rPr>
              <w:t xml:space="preserve"> </w:t>
            </w:r>
            <w:r w:rsidR="00E45B30" w:rsidRPr="00073574">
              <w:rPr>
                <w:szCs w:val="22"/>
              </w:rPr>
              <w:t>Reports of TSB Director)</w:t>
            </w:r>
            <w:r w:rsidRPr="00073574">
              <w:rPr>
                <w:szCs w:val="22"/>
              </w:rPr>
              <w:t>.</w:t>
            </w:r>
          </w:p>
        </w:tc>
      </w:tr>
      <w:tr w:rsidR="005A435D" w:rsidRPr="00073574" w14:paraId="584AACB7" w14:textId="77777777" w:rsidTr="00A61861">
        <w:trPr>
          <w:cantSplit/>
          <w:jc w:val="center"/>
        </w:trPr>
        <w:tc>
          <w:tcPr>
            <w:tcW w:w="1117" w:type="dxa"/>
            <w:vMerge w:val="restart"/>
            <w:tcBorders>
              <w:top w:val="single" w:sz="12" w:space="0" w:color="auto"/>
            </w:tcBorders>
            <w:shd w:val="clear" w:color="auto" w:fill="auto"/>
          </w:tcPr>
          <w:p w14:paraId="24F7E032" w14:textId="77777777" w:rsidR="005A435D" w:rsidRPr="00073574" w:rsidRDefault="005A435D" w:rsidP="005A435D">
            <w:pPr>
              <w:pStyle w:val="Tabletext"/>
              <w:rPr>
                <w:b/>
                <w:bCs/>
                <w:sz w:val="24"/>
                <w:szCs w:val="24"/>
              </w:rPr>
            </w:pPr>
            <w:r w:rsidRPr="00073574">
              <w:rPr>
                <w:b/>
                <w:bCs/>
                <w:sz w:val="24"/>
                <w:szCs w:val="24"/>
              </w:rPr>
              <w:t>76-12</w:t>
            </w:r>
          </w:p>
        </w:tc>
        <w:tc>
          <w:tcPr>
            <w:tcW w:w="4887" w:type="dxa"/>
            <w:tcBorders>
              <w:top w:val="single" w:sz="12" w:space="0" w:color="auto"/>
            </w:tcBorders>
            <w:shd w:val="clear" w:color="auto" w:fill="auto"/>
          </w:tcPr>
          <w:p w14:paraId="5460A904" w14:textId="77777777" w:rsidR="005A435D" w:rsidRPr="00073574" w:rsidRDefault="005A435D" w:rsidP="005A435D">
            <w:pPr>
              <w:pStyle w:val="Tabletext"/>
              <w:rPr>
                <w:b/>
                <w:bCs/>
                <w:sz w:val="24"/>
                <w:szCs w:val="24"/>
              </w:rPr>
            </w:pPr>
            <w:r w:rsidRPr="00073574">
              <w:rPr>
                <w:b/>
                <w:bCs/>
                <w:sz w:val="24"/>
                <w:szCs w:val="24"/>
              </w:rPr>
              <w:t>TSB Director to accelerate the implementation of Pillar 1 (i. TSBDir 3)</w:t>
            </w:r>
          </w:p>
        </w:tc>
        <w:tc>
          <w:tcPr>
            <w:tcW w:w="1454" w:type="dxa"/>
            <w:tcBorders>
              <w:top w:val="single" w:sz="12" w:space="0" w:color="auto"/>
              <w:bottom w:val="single" w:sz="4" w:space="0" w:color="auto"/>
            </w:tcBorders>
            <w:shd w:val="clear" w:color="auto" w:fill="auto"/>
            <w:vAlign w:val="center"/>
          </w:tcPr>
          <w:p w14:paraId="1B40E9E7" w14:textId="77777777" w:rsidR="005A435D" w:rsidRPr="00073574" w:rsidRDefault="005A435D" w:rsidP="005A435D">
            <w:pPr>
              <w:pStyle w:val="Tabletext"/>
              <w:jc w:val="center"/>
              <w:rPr>
                <w:b/>
                <w:bCs/>
                <w:sz w:val="24"/>
                <w:szCs w:val="24"/>
              </w:rPr>
            </w:pPr>
            <w:r w:rsidRPr="00073574">
              <w:rPr>
                <w:b/>
                <w:bCs/>
                <w:sz w:val="24"/>
                <w:szCs w:val="24"/>
              </w:rPr>
              <w:t>Ongoing</w:t>
            </w:r>
          </w:p>
        </w:tc>
        <w:tc>
          <w:tcPr>
            <w:tcW w:w="1138" w:type="dxa"/>
            <w:tcBorders>
              <w:top w:val="single" w:sz="12" w:space="0" w:color="auto"/>
            </w:tcBorders>
            <w:shd w:val="clear" w:color="auto" w:fill="auto"/>
            <w:vAlign w:val="center"/>
          </w:tcPr>
          <w:p w14:paraId="245A0887" w14:textId="77777777" w:rsidR="005A435D" w:rsidRPr="00073574" w:rsidDel="00266BBB" w:rsidRDefault="005A435D" w:rsidP="005A435D">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2D05F311" w14:textId="77777777" w:rsidR="005A435D" w:rsidRPr="00073574" w:rsidRDefault="005A435D" w:rsidP="005A435D">
            <w:pPr>
              <w:pStyle w:val="Tabletext"/>
              <w:jc w:val="center"/>
              <w:rPr>
                <w:b/>
                <w:bCs/>
                <w:sz w:val="24"/>
                <w:szCs w:val="24"/>
              </w:rPr>
            </w:pPr>
          </w:p>
        </w:tc>
      </w:tr>
      <w:tr w:rsidR="005A435D" w:rsidRPr="00073574" w14:paraId="23E87BDF" w14:textId="77777777" w:rsidTr="00A61861">
        <w:trPr>
          <w:cantSplit/>
          <w:jc w:val="center"/>
        </w:trPr>
        <w:tc>
          <w:tcPr>
            <w:tcW w:w="1117" w:type="dxa"/>
            <w:vMerge/>
          </w:tcPr>
          <w:p w14:paraId="43D0C4A4" w14:textId="77777777" w:rsidR="005A435D" w:rsidRPr="00073574" w:rsidRDefault="005A435D" w:rsidP="005A435D">
            <w:pPr>
              <w:pStyle w:val="Tabletext"/>
              <w:rPr>
                <w:sz w:val="24"/>
                <w:szCs w:val="24"/>
              </w:rPr>
            </w:pPr>
          </w:p>
        </w:tc>
        <w:tc>
          <w:tcPr>
            <w:tcW w:w="8815" w:type="dxa"/>
            <w:gridSpan w:val="4"/>
            <w:tcBorders>
              <w:bottom w:val="single" w:sz="12" w:space="0" w:color="auto"/>
            </w:tcBorders>
            <w:shd w:val="clear" w:color="auto" w:fill="auto"/>
          </w:tcPr>
          <w:p w14:paraId="39DA4446" w14:textId="77777777" w:rsidR="005A435D" w:rsidRPr="00073574" w:rsidRDefault="005A435D" w:rsidP="005A435D">
            <w:pPr>
              <w:pStyle w:val="Tabletext"/>
              <w:rPr>
                <w:szCs w:val="22"/>
              </w:rPr>
            </w:pPr>
            <w:r w:rsidRPr="00073574">
              <w:rPr>
                <w:szCs w:val="22"/>
              </w:rPr>
              <w:t xml:space="preserve">ITU-T maintains the </w:t>
            </w:r>
            <w:hyperlink r:id="rId656" w:history="1">
              <w:r w:rsidRPr="00073574">
                <w:rPr>
                  <w:rStyle w:val="Hyperlink"/>
                  <w:szCs w:val="22"/>
                </w:rPr>
                <w:t>Product Conformity Database</w:t>
              </w:r>
            </w:hyperlink>
            <w:r w:rsidRPr="00073574">
              <w:rPr>
                <w:szCs w:val="22"/>
              </w:rPr>
              <w:t xml:space="preserve"> and </w:t>
            </w:r>
            <w:hyperlink r:id="rId657" w:history="1">
              <w:r w:rsidRPr="00073574">
                <w:rPr>
                  <w:rStyle w:val="Hyperlink"/>
                  <w:szCs w:val="22"/>
                </w:rPr>
                <w:t>list</w:t>
              </w:r>
            </w:hyperlink>
            <w:r w:rsidRPr="00073574">
              <w:rPr>
                <w:szCs w:val="22"/>
              </w:rPr>
              <w:t xml:space="preserve"> of mobile phones. ITU assisted companies on conducting relevant test events (e.g. pilot projects).</w:t>
            </w:r>
          </w:p>
          <w:p w14:paraId="3B14B174" w14:textId="37FF0C5B" w:rsidR="005A435D" w:rsidRPr="00073574" w:rsidRDefault="00BE4179" w:rsidP="005A435D">
            <w:pPr>
              <w:pStyle w:val="Tabletext"/>
              <w:rPr>
                <w:szCs w:val="22"/>
              </w:rPr>
            </w:pPr>
            <w:r w:rsidRPr="00073574">
              <w:rPr>
                <w:szCs w:val="22"/>
              </w:rPr>
              <w:t>Following establishment of ITU TL Recognition procedure (see 76-09), a</w:t>
            </w:r>
            <w:r w:rsidRPr="00073574">
              <w:rPr>
                <w:color w:val="000000"/>
              </w:rPr>
              <w:t xml:space="preserve">ll ICT products tested against ITU-T Recommendation by TLs recognized by ITU may be registered in the </w:t>
            </w:r>
            <w:hyperlink r:id="rId658" w:history="1">
              <w:r w:rsidRPr="00073574">
                <w:rPr>
                  <w:rStyle w:val="Hyperlink"/>
                </w:rPr>
                <w:t>ITU Product Conformity Database</w:t>
              </w:r>
            </w:hyperlink>
            <w:r w:rsidRPr="00073574">
              <w:rPr>
                <w:color w:val="000000"/>
              </w:rPr>
              <w:t xml:space="preserve">, based on the request. The relevant requests need to be submitted via </w:t>
            </w:r>
            <w:hyperlink r:id="rId659" w:history="1">
              <w:r w:rsidRPr="00073574">
                <w:rPr>
                  <w:rStyle w:val="Hyperlink"/>
                </w:rPr>
                <w:t>online form</w:t>
              </w:r>
            </w:hyperlink>
            <w:r w:rsidRPr="00073574">
              <w:rPr>
                <w:color w:val="000000"/>
              </w:rPr>
              <w:t xml:space="preserve"> accordingly.</w:t>
            </w:r>
          </w:p>
        </w:tc>
      </w:tr>
      <w:tr w:rsidR="005A435D" w:rsidRPr="00073574" w14:paraId="1652679F" w14:textId="77777777" w:rsidTr="00A61861">
        <w:trPr>
          <w:cantSplit/>
          <w:jc w:val="center"/>
        </w:trPr>
        <w:tc>
          <w:tcPr>
            <w:tcW w:w="1117" w:type="dxa"/>
            <w:vMerge w:val="restart"/>
            <w:tcBorders>
              <w:top w:val="single" w:sz="12" w:space="0" w:color="auto"/>
            </w:tcBorders>
            <w:shd w:val="clear" w:color="auto" w:fill="auto"/>
          </w:tcPr>
          <w:p w14:paraId="28E4CD7D" w14:textId="77777777" w:rsidR="005A435D" w:rsidRPr="00073574" w:rsidRDefault="005A435D" w:rsidP="005A435D">
            <w:pPr>
              <w:pStyle w:val="Tabletext"/>
              <w:rPr>
                <w:b/>
                <w:bCs/>
                <w:sz w:val="24"/>
                <w:szCs w:val="24"/>
              </w:rPr>
            </w:pPr>
            <w:r w:rsidRPr="00073574">
              <w:rPr>
                <w:b/>
                <w:bCs/>
                <w:sz w:val="24"/>
                <w:szCs w:val="24"/>
              </w:rPr>
              <w:t>76-13</w:t>
            </w:r>
          </w:p>
        </w:tc>
        <w:tc>
          <w:tcPr>
            <w:tcW w:w="4887" w:type="dxa"/>
            <w:tcBorders>
              <w:top w:val="single" w:sz="12" w:space="0" w:color="auto"/>
            </w:tcBorders>
            <w:shd w:val="clear" w:color="auto" w:fill="auto"/>
          </w:tcPr>
          <w:p w14:paraId="6CAC0614" w14:textId="7FAA45ED" w:rsidR="005A435D" w:rsidRPr="00073574" w:rsidRDefault="005A435D" w:rsidP="005A435D">
            <w:pPr>
              <w:pStyle w:val="Tabletext"/>
              <w:rPr>
                <w:b/>
                <w:bCs/>
                <w:sz w:val="24"/>
                <w:szCs w:val="24"/>
              </w:rPr>
            </w:pPr>
            <w:r w:rsidRPr="00073574">
              <w:rPr>
                <w:b/>
                <w:bCs/>
                <w:sz w:val="24"/>
                <w:szCs w:val="24"/>
              </w:rPr>
              <w:t>TSB Director to publish an annual plan of C&amp;I activities which could attract more members</w:t>
            </w:r>
            <w:r w:rsidR="002D4D1F" w:rsidRPr="00073574">
              <w:rPr>
                <w:b/>
                <w:bCs/>
                <w:sz w:val="24"/>
                <w:szCs w:val="24"/>
              </w:rPr>
              <w:t>’</w:t>
            </w:r>
            <w:r w:rsidRPr="00073574">
              <w:rPr>
                <w:b/>
                <w:bCs/>
                <w:sz w:val="24"/>
                <w:szCs w:val="24"/>
              </w:rPr>
              <w:t xml:space="preserve"> participation (i. TSBDir 5)</w:t>
            </w:r>
          </w:p>
        </w:tc>
        <w:tc>
          <w:tcPr>
            <w:tcW w:w="1454" w:type="dxa"/>
            <w:tcBorders>
              <w:top w:val="single" w:sz="12" w:space="0" w:color="auto"/>
              <w:bottom w:val="single" w:sz="4" w:space="0" w:color="auto"/>
            </w:tcBorders>
            <w:shd w:val="clear" w:color="auto" w:fill="auto"/>
            <w:vAlign w:val="center"/>
          </w:tcPr>
          <w:p w14:paraId="1E722D05" w14:textId="77777777" w:rsidR="005A435D" w:rsidRPr="00073574" w:rsidRDefault="005A435D" w:rsidP="005A435D">
            <w:pPr>
              <w:pStyle w:val="Tabletext"/>
              <w:jc w:val="center"/>
              <w:rPr>
                <w:b/>
                <w:bCs/>
                <w:sz w:val="24"/>
                <w:szCs w:val="24"/>
              </w:rPr>
            </w:pPr>
            <w:r w:rsidRPr="00073574">
              <w:rPr>
                <w:b/>
                <w:bCs/>
                <w:sz w:val="24"/>
                <w:szCs w:val="24"/>
              </w:rPr>
              <w:t>Ongoing</w:t>
            </w:r>
          </w:p>
        </w:tc>
        <w:tc>
          <w:tcPr>
            <w:tcW w:w="1138" w:type="dxa"/>
            <w:tcBorders>
              <w:top w:val="single" w:sz="12" w:space="0" w:color="auto"/>
            </w:tcBorders>
            <w:shd w:val="clear" w:color="auto" w:fill="auto"/>
            <w:vAlign w:val="center"/>
          </w:tcPr>
          <w:p w14:paraId="1D35E71E" w14:textId="77777777" w:rsidR="005A435D" w:rsidRPr="00073574" w:rsidDel="00266BBB" w:rsidRDefault="005A435D" w:rsidP="005A435D">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37F03C9F" w14:textId="77777777" w:rsidR="005A435D" w:rsidRPr="00073574" w:rsidRDefault="005A435D" w:rsidP="005A435D">
            <w:pPr>
              <w:pStyle w:val="Tabletext"/>
              <w:jc w:val="center"/>
              <w:rPr>
                <w:b/>
                <w:bCs/>
                <w:sz w:val="24"/>
                <w:szCs w:val="24"/>
              </w:rPr>
            </w:pPr>
          </w:p>
        </w:tc>
      </w:tr>
      <w:tr w:rsidR="005A435D" w:rsidRPr="00073574" w14:paraId="0F2CBB06" w14:textId="77777777" w:rsidTr="00A61861">
        <w:trPr>
          <w:cantSplit/>
          <w:jc w:val="center"/>
        </w:trPr>
        <w:tc>
          <w:tcPr>
            <w:tcW w:w="1117" w:type="dxa"/>
            <w:vMerge/>
          </w:tcPr>
          <w:p w14:paraId="725DF9A7" w14:textId="77777777" w:rsidR="005A435D" w:rsidRPr="00073574" w:rsidRDefault="005A435D" w:rsidP="005A435D">
            <w:pPr>
              <w:pStyle w:val="Tabletext"/>
              <w:rPr>
                <w:sz w:val="24"/>
                <w:szCs w:val="24"/>
              </w:rPr>
            </w:pPr>
          </w:p>
        </w:tc>
        <w:tc>
          <w:tcPr>
            <w:tcW w:w="8815" w:type="dxa"/>
            <w:gridSpan w:val="4"/>
            <w:tcBorders>
              <w:bottom w:val="single" w:sz="12" w:space="0" w:color="auto"/>
            </w:tcBorders>
            <w:shd w:val="clear" w:color="auto" w:fill="auto"/>
          </w:tcPr>
          <w:p w14:paraId="1A3F7308" w14:textId="47F00487" w:rsidR="005A435D" w:rsidRPr="00073574" w:rsidRDefault="00967F7A" w:rsidP="005A435D">
            <w:pPr>
              <w:pStyle w:val="Tabletext"/>
              <w:rPr>
                <w:szCs w:val="22"/>
              </w:rPr>
            </w:pPr>
            <w:r w:rsidRPr="00073574">
              <w:rPr>
                <w:szCs w:val="22"/>
              </w:rPr>
              <w:t>All information about C&amp;I activities is available on the ITU C&amp;I portal (</w:t>
            </w:r>
            <w:hyperlink r:id="rId660" w:history="1">
              <w:r w:rsidRPr="00073574">
                <w:rPr>
                  <w:rStyle w:val="Hyperlink"/>
                  <w:szCs w:val="22"/>
                </w:rPr>
                <w:t>www.itu.int/go/citest</w:t>
              </w:r>
            </w:hyperlink>
            <w:r w:rsidRPr="00073574">
              <w:rPr>
                <w:szCs w:val="22"/>
              </w:rPr>
              <w:t>)</w:t>
            </w:r>
            <w:r w:rsidR="005A435D" w:rsidRPr="00073574">
              <w:rPr>
                <w:szCs w:val="22"/>
              </w:rPr>
              <w:t>.</w:t>
            </w:r>
          </w:p>
        </w:tc>
      </w:tr>
      <w:tr w:rsidR="005A435D" w:rsidRPr="00073574" w14:paraId="20BA32EE" w14:textId="77777777" w:rsidTr="00A61861">
        <w:trPr>
          <w:jc w:val="center"/>
        </w:trPr>
        <w:tc>
          <w:tcPr>
            <w:tcW w:w="1117" w:type="dxa"/>
            <w:vMerge w:val="restart"/>
            <w:tcBorders>
              <w:top w:val="single" w:sz="12" w:space="0" w:color="auto"/>
            </w:tcBorders>
            <w:shd w:val="clear" w:color="auto" w:fill="auto"/>
          </w:tcPr>
          <w:p w14:paraId="420F82BC" w14:textId="77777777" w:rsidR="005A435D" w:rsidRPr="00073574" w:rsidRDefault="005A435D" w:rsidP="007D7FE2">
            <w:pPr>
              <w:pStyle w:val="Tabletext"/>
              <w:rPr>
                <w:b/>
                <w:bCs/>
                <w:sz w:val="24"/>
                <w:szCs w:val="24"/>
              </w:rPr>
            </w:pPr>
            <w:r w:rsidRPr="00073574">
              <w:rPr>
                <w:b/>
                <w:bCs/>
                <w:sz w:val="24"/>
                <w:szCs w:val="24"/>
              </w:rPr>
              <w:lastRenderedPageBreak/>
              <w:t>76-14</w:t>
            </w:r>
          </w:p>
        </w:tc>
        <w:tc>
          <w:tcPr>
            <w:tcW w:w="4887" w:type="dxa"/>
            <w:tcBorders>
              <w:top w:val="single" w:sz="12" w:space="0" w:color="auto"/>
            </w:tcBorders>
            <w:shd w:val="clear" w:color="auto" w:fill="auto"/>
          </w:tcPr>
          <w:p w14:paraId="681750EB" w14:textId="77777777" w:rsidR="005A435D" w:rsidRPr="00073574" w:rsidRDefault="005A435D" w:rsidP="007D7FE2">
            <w:pPr>
              <w:pStyle w:val="Tabletext"/>
              <w:rPr>
                <w:b/>
                <w:bCs/>
                <w:sz w:val="24"/>
                <w:szCs w:val="24"/>
              </w:rPr>
            </w:pPr>
            <w:r w:rsidRPr="00073574">
              <w:rPr>
                <w:b/>
                <w:bCs/>
                <w:sz w:val="24"/>
                <w:szCs w:val="24"/>
              </w:rPr>
              <w:t>TSB Director to facilitate the development and implementation of an ITU</w:t>
            </w:r>
            <w:r w:rsidRPr="00073574">
              <w:rPr>
                <w:b/>
                <w:bCs/>
                <w:sz w:val="24"/>
                <w:szCs w:val="24"/>
              </w:rPr>
              <w:noBreakHyphen/>
              <w:t>T C&amp;I test laboratory recognition procedure</w:t>
            </w:r>
          </w:p>
        </w:tc>
        <w:tc>
          <w:tcPr>
            <w:tcW w:w="1454" w:type="dxa"/>
            <w:tcBorders>
              <w:top w:val="single" w:sz="12" w:space="0" w:color="auto"/>
              <w:bottom w:val="single" w:sz="4" w:space="0" w:color="auto"/>
            </w:tcBorders>
            <w:shd w:val="clear" w:color="auto" w:fill="auto"/>
            <w:vAlign w:val="center"/>
          </w:tcPr>
          <w:p w14:paraId="6188336A" w14:textId="77777777" w:rsidR="005A435D" w:rsidRPr="00073574" w:rsidRDefault="005A435D" w:rsidP="007D7FE2">
            <w:pPr>
              <w:pStyle w:val="Tabletext"/>
              <w:jc w:val="center"/>
              <w:rPr>
                <w:b/>
                <w:bCs/>
                <w:sz w:val="24"/>
                <w:szCs w:val="24"/>
              </w:rPr>
            </w:pPr>
            <w:r w:rsidRPr="00073574">
              <w:rPr>
                <w:b/>
                <w:bCs/>
                <w:sz w:val="24"/>
                <w:szCs w:val="24"/>
              </w:rPr>
              <w:t>Ongoing</w:t>
            </w:r>
          </w:p>
        </w:tc>
        <w:tc>
          <w:tcPr>
            <w:tcW w:w="1138" w:type="dxa"/>
            <w:tcBorders>
              <w:top w:val="single" w:sz="12" w:space="0" w:color="auto"/>
            </w:tcBorders>
            <w:shd w:val="clear" w:color="auto" w:fill="auto"/>
            <w:vAlign w:val="center"/>
          </w:tcPr>
          <w:p w14:paraId="412966DD" w14:textId="77777777" w:rsidR="005A435D" w:rsidRPr="00073574" w:rsidDel="00266BBB" w:rsidRDefault="005A435D" w:rsidP="007D7FE2">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6C5C01B3" w14:textId="77777777" w:rsidR="005A435D" w:rsidRPr="00073574" w:rsidRDefault="005A435D" w:rsidP="007D7FE2">
            <w:pPr>
              <w:pStyle w:val="Tabletext"/>
              <w:jc w:val="center"/>
              <w:rPr>
                <w:b/>
                <w:bCs/>
                <w:sz w:val="24"/>
                <w:szCs w:val="24"/>
              </w:rPr>
            </w:pPr>
          </w:p>
        </w:tc>
      </w:tr>
      <w:tr w:rsidR="005A435D" w:rsidRPr="00073574" w14:paraId="5920F5F1" w14:textId="77777777" w:rsidTr="00A61861">
        <w:trPr>
          <w:jc w:val="center"/>
        </w:trPr>
        <w:tc>
          <w:tcPr>
            <w:tcW w:w="1117" w:type="dxa"/>
            <w:vMerge/>
          </w:tcPr>
          <w:p w14:paraId="22409487" w14:textId="77777777" w:rsidR="005A435D" w:rsidRPr="00073574" w:rsidRDefault="005A435D" w:rsidP="007D7FE2">
            <w:pPr>
              <w:pStyle w:val="Tabletext"/>
              <w:rPr>
                <w:sz w:val="24"/>
                <w:szCs w:val="24"/>
              </w:rPr>
            </w:pPr>
          </w:p>
        </w:tc>
        <w:tc>
          <w:tcPr>
            <w:tcW w:w="8815" w:type="dxa"/>
            <w:gridSpan w:val="4"/>
            <w:tcBorders>
              <w:bottom w:val="single" w:sz="12" w:space="0" w:color="auto"/>
            </w:tcBorders>
            <w:shd w:val="clear" w:color="auto" w:fill="auto"/>
          </w:tcPr>
          <w:p w14:paraId="58BD9A53" w14:textId="42498B56" w:rsidR="00E45B30" w:rsidRPr="00073574" w:rsidRDefault="00E45B30" w:rsidP="001E63F9">
            <w:pPr>
              <w:spacing w:before="40"/>
              <w:rPr>
                <w:szCs w:val="22"/>
              </w:rPr>
            </w:pPr>
            <w:r w:rsidRPr="00073574">
              <w:rPr>
                <w:szCs w:val="22"/>
              </w:rPr>
              <w:t>TSB collaborates with IECEE and ILAC/IAF on testing laboratory recognition procedures.</w:t>
            </w:r>
          </w:p>
          <w:p w14:paraId="4C4B632D" w14:textId="3C96A579" w:rsidR="00FC7035" w:rsidRPr="00073574" w:rsidRDefault="00FC7035" w:rsidP="00FC7035">
            <w:pPr>
              <w:spacing w:before="40"/>
              <w:rPr>
                <w:rFonts w:asciiTheme="majorBidi" w:hAnsiTheme="majorBidi" w:cstheme="majorBidi"/>
              </w:rPr>
            </w:pPr>
            <w:r w:rsidRPr="00073574">
              <w:rPr>
                <w:szCs w:val="22"/>
              </w:rPr>
              <w:t xml:space="preserve">TSB Secretariat facilitates the implementation of </w:t>
            </w:r>
            <w:r w:rsidR="00773E00" w:rsidRPr="00073574">
              <w:rPr>
                <w:szCs w:val="22"/>
              </w:rPr>
              <w:t xml:space="preserve">the </w:t>
            </w:r>
            <w:r w:rsidRPr="00073574">
              <w:rPr>
                <w:szCs w:val="22"/>
              </w:rPr>
              <w:t>ITU Testing Laboratory recognition procedure on ITU-T Recommendations. Following presentation of IECEE at the CASC meeting in July 2020, due to financial implications for new ITU/IEC TL recognition procedure, it was decided that such standalone procedure</w:t>
            </w:r>
            <w:r w:rsidRPr="00073574">
              <w:rPr>
                <w:rFonts w:asciiTheme="majorBidi" w:hAnsiTheme="majorBidi" w:cstheme="majorBidi"/>
              </w:rPr>
              <w:t xml:space="preserve">, which comes with extra costs for TLs, is not needed, as there is no financial benefit in return for TLs </w:t>
            </w:r>
            <w:r w:rsidR="00EC795E" w:rsidRPr="00073574">
              <w:rPr>
                <w:rFonts w:asciiTheme="majorBidi" w:hAnsiTheme="majorBidi" w:cstheme="majorBidi"/>
              </w:rPr>
              <w:t>that</w:t>
            </w:r>
            <w:r w:rsidRPr="00073574">
              <w:rPr>
                <w:rFonts w:asciiTheme="majorBidi" w:hAnsiTheme="majorBidi" w:cstheme="majorBidi"/>
              </w:rPr>
              <w:t xml:space="preserve"> might wish to populate the ITU Product Conformity Database only.</w:t>
            </w:r>
            <w:r w:rsidRPr="00073574">
              <w:t xml:space="preserve"> CASC decided to </w:t>
            </w:r>
            <w:r w:rsidR="001C1AC7" w:rsidRPr="00073574">
              <w:t xml:space="preserve">discontinue </w:t>
            </w:r>
            <w:r w:rsidR="00D607EE" w:rsidRPr="00073574">
              <w:rPr>
                <w:bCs/>
                <w:color w:val="000000"/>
              </w:rPr>
              <w:t xml:space="preserve">collaboration </w:t>
            </w:r>
            <w:r w:rsidR="00D607EE" w:rsidRPr="00073574">
              <w:t xml:space="preserve">with IECEE </w:t>
            </w:r>
            <w:r w:rsidR="00D607EE" w:rsidRPr="00073574">
              <w:rPr>
                <w:bCs/>
                <w:color w:val="000000"/>
              </w:rPr>
              <w:t xml:space="preserve">on </w:t>
            </w:r>
            <w:r w:rsidR="00D607EE" w:rsidRPr="00073574">
              <w:t>the TL recognition procedure and joint certification scheme for the time being.</w:t>
            </w:r>
          </w:p>
          <w:p w14:paraId="0328951C" w14:textId="2944B108" w:rsidR="00FC7035" w:rsidRPr="00073574" w:rsidRDefault="00FC7035" w:rsidP="00FC7035">
            <w:pPr>
              <w:spacing w:before="40"/>
              <w:rPr>
                <w:rFonts w:asciiTheme="majorBidi" w:hAnsiTheme="majorBidi" w:cstheme="majorBidi"/>
              </w:rPr>
            </w:pPr>
            <w:r w:rsidRPr="00073574">
              <w:rPr>
                <w:rFonts w:asciiTheme="majorBidi" w:hAnsiTheme="majorBidi" w:cstheme="majorBidi"/>
              </w:rPr>
              <w:t>In the meantime, TSB is collaborating with ILAC in order to assist CASC to elaborate recognition procedure of TLs kindly provided by ILAC, without any additional assessment. There are no financial implications for ITU for implementing such procedures. Financial implications for TLs are to be covered by the cost structures of the accreditation bodies (A</w:t>
            </w:r>
            <w:r w:rsidR="002D4D1F" w:rsidRPr="00073574">
              <w:rPr>
                <w:rFonts w:asciiTheme="majorBidi" w:hAnsiTheme="majorBidi" w:cstheme="majorBidi"/>
              </w:rPr>
              <w:t>b</w:t>
            </w:r>
            <w:r w:rsidRPr="00073574">
              <w:rPr>
                <w:rFonts w:asciiTheme="majorBidi" w:hAnsiTheme="majorBidi" w:cstheme="majorBidi"/>
              </w:rPr>
              <w:t>s).</w:t>
            </w:r>
          </w:p>
          <w:p w14:paraId="46ED0BE4" w14:textId="77777777" w:rsidR="00FC7035" w:rsidRPr="00073574" w:rsidRDefault="00FC7035" w:rsidP="00FC7035">
            <w:pPr>
              <w:spacing w:before="40"/>
              <w:rPr>
                <w:rFonts w:asciiTheme="majorBidi" w:hAnsiTheme="majorBidi" w:cstheme="majorBidi"/>
              </w:rPr>
            </w:pPr>
            <w:r w:rsidRPr="00073574">
              <w:rPr>
                <w:rFonts w:asciiTheme="majorBidi" w:hAnsiTheme="majorBidi" w:cstheme="majorBidi"/>
              </w:rPr>
              <w:t>The updated MoU among ITU, ILAC and IAF is under discussion among secretariats of the three organizations.</w:t>
            </w:r>
          </w:p>
          <w:p w14:paraId="0EEE16EE" w14:textId="589B93A8" w:rsidR="00FC7035" w:rsidRPr="00073574" w:rsidRDefault="00FC7035" w:rsidP="00FC7035">
            <w:pPr>
              <w:spacing w:before="40"/>
              <w:rPr>
                <w:rFonts w:asciiTheme="majorBidi" w:hAnsiTheme="majorBidi" w:cstheme="majorBidi"/>
              </w:rPr>
            </w:pPr>
            <w:r w:rsidRPr="00073574">
              <w:rPr>
                <w:rFonts w:asciiTheme="majorBidi" w:hAnsiTheme="majorBidi" w:cstheme="majorBidi"/>
              </w:rPr>
              <w:t xml:space="preserve">In March 2021, CASC decided that ITU may recognize TLs that have been accredited by ILAC MRA signatories AB which have ITU-T Recommendations in its scope of accreditation. ITU may approach those TLs. A test laboratory accredited for ITU-T Recommendations may apply to ITU-T for recognition by supplying, amongst other things: the identity of the AB (ILAC MRA signatory) performing the accreditation and relevant part of the scope of accreditation. TSB </w:t>
            </w:r>
            <w:r w:rsidR="00CB742E" w:rsidRPr="00073574">
              <w:rPr>
                <w:rFonts w:asciiTheme="majorBidi" w:hAnsiTheme="majorBidi" w:cstheme="majorBidi"/>
              </w:rPr>
              <w:t xml:space="preserve">launched the </w:t>
            </w:r>
            <w:r w:rsidR="00051698" w:rsidRPr="00073574">
              <w:rPr>
                <w:rFonts w:asciiTheme="majorBidi" w:hAnsiTheme="majorBidi" w:cstheme="majorBidi"/>
              </w:rPr>
              <w:t xml:space="preserve">ITU </w:t>
            </w:r>
            <w:r w:rsidR="00CB742E" w:rsidRPr="00073574">
              <w:rPr>
                <w:rFonts w:asciiTheme="majorBidi" w:hAnsiTheme="majorBidi" w:cstheme="majorBidi"/>
              </w:rPr>
              <w:t>T</w:t>
            </w:r>
            <w:r w:rsidR="00051698" w:rsidRPr="00073574">
              <w:rPr>
                <w:rFonts w:asciiTheme="majorBidi" w:hAnsiTheme="majorBidi" w:cstheme="majorBidi"/>
              </w:rPr>
              <w:t xml:space="preserve">esting </w:t>
            </w:r>
            <w:r w:rsidR="00CB742E" w:rsidRPr="00073574">
              <w:rPr>
                <w:rFonts w:asciiTheme="majorBidi" w:hAnsiTheme="majorBidi" w:cstheme="majorBidi"/>
              </w:rPr>
              <w:t>L</w:t>
            </w:r>
            <w:r w:rsidR="00051698" w:rsidRPr="00073574">
              <w:rPr>
                <w:rFonts w:asciiTheme="majorBidi" w:hAnsiTheme="majorBidi" w:cstheme="majorBidi"/>
              </w:rPr>
              <w:t>aboratories</w:t>
            </w:r>
            <w:r w:rsidR="00CB742E" w:rsidRPr="00073574">
              <w:rPr>
                <w:rFonts w:asciiTheme="majorBidi" w:hAnsiTheme="majorBidi" w:cstheme="majorBidi"/>
              </w:rPr>
              <w:t xml:space="preserve"> database</w:t>
            </w:r>
            <w:r w:rsidR="00051698" w:rsidRPr="00073574">
              <w:rPr>
                <w:rFonts w:asciiTheme="majorBidi" w:hAnsiTheme="majorBidi" w:cstheme="majorBidi"/>
              </w:rPr>
              <w:t>.</w:t>
            </w:r>
            <w:r w:rsidR="00CB742E" w:rsidRPr="00073574">
              <w:rPr>
                <w:rFonts w:asciiTheme="majorBidi" w:hAnsiTheme="majorBidi" w:cstheme="majorBidi"/>
              </w:rPr>
              <w:t xml:space="preserve"> The relevant request </w:t>
            </w:r>
            <w:r w:rsidR="00F6504D" w:rsidRPr="00073574">
              <w:rPr>
                <w:rFonts w:asciiTheme="majorBidi" w:hAnsiTheme="majorBidi" w:cstheme="majorBidi"/>
              </w:rPr>
              <w:t xml:space="preserve">needs to be submitted through the online </w:t>
            </w:r>
            <w:r w:rsidRPr="00073574">
              <w:rPr>
                <w:rFonts w:asciiTheme="majorBidi" w:hAnsiTheme="majorBidi" w:cstheme="majorBidi"/>
              </w:rPr>
              <w:t xml:space="preserve"> </w:t>
            </w:r>
            <w:hyperlink r:id="rId661" w:history="1">
              <w:r w:rsidRPr="00073574">
                <w:rPr>
                  <w:rStyle w:val="Hyperlink"/>
                  <w:rFonts w:asciiTheme="majorBidi" w:hAnsiTheme="majorBidi" w:cstheme="majorBidi"/>
                </w:rPr>
                <w:t>application form</w:t>
              </w:r>
            </w:hyperlink>
            <w:r w:rsidR="00F6504D" w:rsidRPr="00073574">
              <w:rPr>
                <w:rFonts w:asciiTheme="majorBidi" w:hAnsiTheme="majorBidi" w:cstheme="majorBidi"/>
              </w:rPr>
              <w:t xml:space="preserve"> which is available on </w:t>
            </w:r>
            <w:r w:rsidR="00051698" w:rsidRPr="00073574">
              <w:rPr>
                <w:rFonts w:asciiTheme="majorBidi" w:hAnsiTheme="majorBidi" w:cstheme="majorBidi"/>
              </w:rPr>
              <w:t xml:space="preserve">the </w:t>
            </w:r>
            <w:r w:rsidR="00990686" w:rsidRPr="00073574">
              <w:rPr>
                <w:rFonts w:asciiTheme="majorBidi" w:hAnsiTheme="majorBidi" w:cstheme="majorBidi"/>
              </w:rPr>
              <w:t>ITU C&amp;I Portal (</w:t>
            </w:r>
            <w:hyperlink r:id="rId662" w:history="1">
              <w:r w:rsidR="005C7BF6" w:rsidRPr="00073574">
                <w:rPr>
                  <w:rStyle w:val="Hyperlink"/>
                  <w:rFonts w:asciiTheme="majorBidi" w:hAnsiTheme="majorBidi" w:cstheme="majorBidi"/>
                </w:rPr>
                <w:t>www.itu.int/go/citest</w:t>
              </w:r>
            </w:hyperlink>
            <w:r w:rsidR="00990686" w:rsidRPr="00073574">
              <w:rPr>
                <w:rFonts w:asciiTheme="majorBidi" w:hAnsiTheme="majorBidi" w:cstheme="majorBidi"/>
              </w:rPr>
              <w:t>)</w:t>
            </w:r>
            <w:r w:rsidRPr="00073574">
              <w:rPr>
                <w:rFonts w:asciiTheme="majorBidi" w:hAnsiTheme="majorBidi" w:cstheme="majorBidi"/>
              </w:rPr>
              <w:t>.</w:t>
            </w:r>
          </w:p>
          <w:p w14:paraId="228EBE22" w14:textId="435C1B35" w:rsidR="005A435D" w:rsidRPr="00073574" w:rsidRDefault="00FC7035" w:rsidP="005B5893">
            <w:pPr>
              <w:rPr>
                <w:szCs w:val="22"/>
              </w:rPr>
            </w:pPr>
            <w:r w:rsidRPr="00073574">
              <w:rPr>
                <w:szCs w:val="22"/>
              </w:rPr>
              <w:t>To promote this activity, TSB organized Regional Workshops on C&amp;I. The third ITU-T Study Group 11 Regional Workshop for Africa on “Counterfeit ICT Devices, Conformance and Interoperability Testing Challenges in Africa” took place in Tunis (Tunisia) on 30 September 2019, followed by the ITU-T SG11 Regional group meeting for Africa (SG11RG-AFR).</w:t>
            </w:r>
            <w:r w:rsidR="004A4D77" w:rsidRPr="00073574">
              <w:rPr>
                <w:szCs w:val="22"/>
              </w:rPr>
              <w:t xml:space="preserve"> In October 2021, ITU organized </w:t>
            </w:r>
            <w:hyperlink r:id="rId663" w:history="1">
              <w:r w:rsidR="00D016B0" w:rsidRPr="00073574">
                <w:rPr>
                  <w:rStyle w:val="Hyperlink"/>
                  <w:szCs w:val="22"/>
                </w:rPr>
                <w:t>ITU-Forum on "Future Networks and Conformance and Interoperability (C&amp;I)"</w:t>
              </w:r>
            </w:hyperlink>
            <w:r w:rsidR="00D016B0" w:rsidRPr="00073574">
              <w:rPr>
                <w:szCs w:val="22"/>
              </w:rPr>
              <w:t>, St.Petersburg, Russia, 19-22 October 2021.</w:t>
            </w:r>
          </w:p>
        </w:tc>
      </w:tr>
      <w:tr w:rsidR="005A435D" w:rsidRPr="00073574" w14:paraId="3AB99066" w14:textId="77777777" w:rsidTr="00A61861">
        <w:trPr>
          <w:cantSplit/>
          <w:jc w:val="center"/>
        </w:trPr>
        <w:tc>
          <w:tcPr>
            <w:tcW w:w="1117" w:type="dxa"/>
            <w:vMerge w:val="restart"/>
            <w:tcBorders>
              <w:top w:val="single" w:sz="12" w:space="0" w:color="auto"/>
            </w:tcBorders>
            <w:shd w:val="clear" w:color="auto" w:fill="auto"/>
          </w:tcPr>
          <w:p w14:paraId="6088055A" w14:textId="77777777" w:rsidR="005A435D" w:rsidRPr="00073574" w:rsidRDefault="005A435D" w:rsidP="00CD1B42">
            <w:pPr>
              <w:pStyle w:val="Tabletext"/>
              <w:rPr>
                <w:b/>
                <w:bCs/>
                <w:sz w:val="24"/>
                <w:szCs w:val="24"/>
              </w:rPr>
            </w:pPr>
            <w:r w:rsidRPr="00073574">
              <w:rPr>
                <w:b/>
                <w:bCs/>
                <w:sz w:val="24"/>
                <w:szCs w:val="24"/>
              </w:rPr>
              <w:t>76-15</w:t>
            </w:r>
          </w:p>
        </w:tc>
        <w:tc>
          <w:tcPr>
            <w:tcW w:w="4887" w:type="dxa"/>
            <w:tcBorders>
              <w:top w:val="single" w:sz="12" w:space="0" w:color="auto"/>
            </w:tcBorders>
            <w:shd w:val="clear" w:color="auto" w:fill="auto"/>
          </w:tcPr>
          <w:p w14:paraId="5D422FA0" w14:textId="77777777" w:rsidR="005A435D" w:rsidRPr="00073574" w:rsidRDefault="005A435D" w:rsidP="005A435D">
            <w:pPr>
              <w:pStyle w:val="Tabletext"/>
              <w:rPr>
                <w:b/>
                <w:bCs/>
                <w:sz w:val="24"/>
                <w:szCs w:val="24"/>
              </w:rPr>
            </w:pPr>
            <w:r w:rsidRPr="00073574">
              <w:rPr>
                <w:b/>
                <w:bCs/>
                <w:sz w:val="24"/>
                <w:szCs w:val="24"/>
              </w:rPr>
              <w:t>ITU-T Study groups to submit to CASC a list of ITU</w:t>
            </w:r>
            <w:r w:rsidRPr="00073574">
              <w:rPr>
                <w:b/>
                <w:bCs/>
                <w:sz w:val="24"/>
                <w:szCs w:val="24"/>
              </w:rPr>
              <w:noBreakHyphen/>
              <w:t>T Recommendations which could be candidates for the joint IEC/ITU certification scheme, taking into account market needs (i. SGs 4)</w:t>
            </w:r>
          </w:p>
        </w:tc>
        <w:tc>
          <w:tcPr>
            <w:tcW w:w="1454" w:type="dxa"/>
            <w:tcBorders>
              <w:top w:val="single" w:sz="12" w:space="0" w:color="auto"/>
              <w:bottom w:val="single" w:sz="4" w:space="0" w:color="auto"/>
            </w:tcBorders>
            <w:shd w:val="clear" w:color="auto" w:fill="auto"/>
            <w:vAlign w:val="center"/>
          </w:tcPr>
          <w:p w14:paraId="4F29F679" w14:textId="77777777" w:rsidR="005A435D" w:rsidRPr="00073574" w:rsidRDefault="005A435D" w:rsidP="005A435D">
            <w:pPr>
              <w:pStyle w:val="Tabletext"/>
              <w:jc w:val="center"/>
              <w:rPr>
                <w:b/>
                <w:bCs/>
                <w:sz w:val="24"/>
                <w:szCs w:val="24"/>
              </w:rPr>
            </w:pPr>
            <w:r w:rsidRPr="00073574">
              <w:rPr>
                <w:b/>
                <w:bCs/>
                <w:sz w:val="24"/>
                <w:szCs w:val="24"/>
              </w:rPr>
              <w:t>Ongoing</w:t>
            </w:r>
          </w:p>
        </w:tc>
        <w:tc>
          <w:tcPr>
            <w:tcW w:w="1138" w:type="dxa"/>
            <w:tcBorders>
              <w:top w:val="single" w:sz="12" w:space="0" w:color="auto"/>
            </w:tcBorders>
            <w:shd w:val="clear" w:color="auto" w:fill="auto"/>
            <w:vAlign w:val="center"/>
          </w:tcPr>
          <w:p w14:paraId="17E168A2" w14:textId="77777777" w:rsidR="005A435D" w:rsidRPr="00073574" w:rsidDel="00266BBB" w:rsidRDefault="005A435D" w:rsidP="005A435D">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3D77DF2D" w14:textId="77777777" w:rsidR="005A435D" w:rsidRPr="00073574" w:rsidRDefault="005A435D" w:rsidP="005A435D">
            <w:pPr>
              <w:pStyle w:val="Tabletext"/>
              <w:jc w:val="center"/>
              <w:rPr>
                <w:b/>
                <w:bCs/>
                <w:sz w:val="24"/>
                <w:szCs w:val="24"/>
              </w:rPr>
            </w:pPr>
          </w:p>
        </w:tc>
      </w:tr>
      <w:tr w:rsidR="005A435D" w:rsidRPr="00073574" w14:paraId="4AADA66A" w14:textId="77777777" w:rsidTr="00CD1B42">
        <w:trPr>
          <w:jc w:val="center"/>
        </w:trPr>
        <w:tc>
          <w:tcPr>
            <w:tcW w:w="1117" w:type="dxa"/>
            <w:vMerge/>
          </w:tcPr>
          <w:p w14:paraId="7BE564BB" w14:textId="77777777" w:rsidR="005A435D" w:rsidRPr="00073574" w:rsidRDefault="005A435D" w:rsidP="005A435D">
            <w:pPr>
              <w:pStyle w:val="Tabletext"/>
              <w:rPr>
                <w:sz w:val="24"/>
                <w:szCs w:val="24"/>
              </w:rPr>
            </w:pPr>
          </w:p>
        </w:tc>
        <w:tc>
          <w:tcPr>
            <w:tcW w:w="8815" w:type="dxa"/>
            <w:gridSpan w:val="4"/>
            <w:tcBorders>
              <w:bottom w:val="single" w:sz="12" w:space="0" w:color="auto"/>
            </w:tcBorders>
            <w:shd w:val="clear" w:color="auto" w:fill="auto"/>
          </w:tcPr>
          <w:p w14:paraId="51B1D6C5" w14:textId="33566531" w:rsidR="005A435D" w:rsidRPr="00073574" w:rsidRDefault="00573773" w:rsidP="005A435D">
            <w:pPr>
              <w:pStyle w:val="Tabletext"/>
              <w:rPr>
                <w:szCs w:val="22"/>
              </w:rPr>
            </w:pPr>
            <w:r w:rsidRPr="00073574">
              <w:rPr>
                <w:szCs w:val="22"/>
              </w:rPr>
              <w:t xml:space="preserve">In 2016, ITU-T CASC established a </w:t>
            </w:r>
            <w:hyperlink r:id="rId664" w:history="1">
              <w:r w:rsidRPr="00073574">
                <w:rPr>
                  <w:szCs w:val="22"/>
                </w:rPr>
                <w:t>List</w:t>
              </w:r>
            </w:hyperlink>
            <w:r w:rsidRPr="00073574">
              <w:rPr>
                <w:szCs w:val="22"/>
              </w:rPr>
              <w:t xml:space="preserve"> of ITU-T Recommendations that may become subject of joint certification schemes according to the inputs received from ITU-T SGs and ITU members. </w:t>
            </w:r>
          </w:p>
          <w:p w14:paraId="2E8932E9" w14:textId="58701D35" w:rsidR="00E45B30" w:rsidRPr="00073574" w:rsidRDefault="00A53DB9" w:rsidP="00E45B30">
            <w:pPr>
              <w:rPr>
                <w:szCs w:val="22"/>
              </w:rPr>
            </w:pPr>
            <w:r w:rsidRPr="00073574">
              <w:rPr>
                <w:szCs w:val="22"/>
              </w:rPr>
              <w:t xml:space="preserve">Among others, </w:t>
            </w:r>
            <w:r w:rsidR="00E45B30" w:rsidRPr="00073574">
              <w:rPr>
                <w:szCs w:val="22"/>
              </w:rPr>
              <w:t>ITU-T SG16 requested CASC to set up a joint ITU/IEC certification schemes for several ICT technologies that have strong demand of the ICT market. Among them are:</w:t>
            </w:r>
          </w:p>
          <w:p w14:paraId="6072EB56" w14:textId="77777777" w:rsidR="00E45B30" w:rsidRPr="00073574" w:rsidRDefault="00E45B30" w:rsidP="005B5893">
            <w:pPr>
              <w:contextualSpacing/>
              <w:rPr>
                <w:szCs w:val="22"/>
              </w:rPr>
            </w:pPr>
            <w:r w:rsidRPr="00073574">
              <w:rPr>
                <w:szCs w:val="22"/>
              </w:rPr>
              <w:t>•</w:t>
            </w:r>
            <w:r w:rsidRPr="00073574">
              <w:rPr>
                <w:szCs w:val="22"/>
              </w:rPr>
              <w:tab/>
              <w:t>“safe listening” driven by SG16 in close collaboration with WHO;</w:t>
            </w:r>
          </w:p>
          <w:p w14:paraId="33BB2227" w14:textId="77777777" w:rsidR="00E45B30" w:rsidRPr="00073574" w:rsidRDefault="00E45B30" w:rsidP="005B5893">
            <w:pPr>
              <w:contextualSpacing/>
              <w:rPr>
                <w:szCs w:val="22"/>
              </w:rPr>
            </w:pPr>
            <w:r w:rsidRPr="00073574">
              <w:rPr>
                <w:szCs w:val="22"/>
              </w:rPr>
              <w:t>•</w:t>
            </w:r>
            <w:r w:rsidRPr="00073574">
              <w:rPr>
                <w:szCs w:val="22"/>
              </w:rPr>
              <w:tab/>
              <w:t>“video surveillance”;</w:t>
            </w:r>
          </w:p>
          <w:p w14:paraId="2D19F8D4" w14:textId="77777777" w:rsidR="00E45B30" w:rsidRPr="00073574" w:rsidRDefault="00E45B30" w:rsidP="005B5893">
            <w:pPr>
              <w:contextualSpacing/>
              <w:rPr>
                <w:szCs w:val="22"/>
              </w:rPr>
            </w:pPr>
            <w:r w:rsidRPr="00073574">
              <w:rPr>
                <w:szCs w:val="22"/>
              </w:rPr>
              <w:t>•</w:t>
            </w:r>
            <w:r w:rsidRPr="00073574">
              <w:rPr>
                <w:szCs w:val="22"/>
              </w:rPr>
              <w:tab/>
              <w:t>“Accessibility features in IPTV systems”.</w:t>
            </w:r>
          </w:p>
          <w:p w14:paraId="1DC46826" w14:textId="1474D348" w:rsidR="00B57FE5" w:rsidRPr="00073574" w:rsidRDefault="00B57FE5" w:rsidP="00F4408F">
            <w:r w:rsidRPr="00073574">
              <w:t xml:space="preserve">However, following information provided by IECEE on </w:t>
            </w:r>
            <w:r w:rsidR="002C44DE" w:rsidRPr="00073574">
              <w:t xml:space="preserve">financial applications, CASC </w:t>
            </w:r>
            <w:r w:rsidR="00BE1CFC" w:rsidRPr="00073574">
              <w:t xml:space="preserve">decided that the standalone ITU/IECEE TL recognition procedure, which come with extra costs for TLs, is not needed, as there is no financial benefit in return for TLs </w:t>
            </w:r>
            <w:r w:rsidR="002723E9" w:rsidRPr="00073574">
              <w:t>that</w:t>
            </w:r>
            <w:r w:rsidR="00BE1CFC" w:rsidRPr="00073574">
              <w:t xml:space="preserve"> might wish to populate the ITU Product Conformity Database only</w:t>
            </w:r>
            <w:r w:rsidR="00CD7009" w:rsidRPr="00073574">
              <w:t xml:space="preserve"> (see 76-16)</w:t>
            </w:r>
            <w:r w:rsidR="00BE1CFC" w:rsidRPr="00073574">
              <w:t>.</w:t>
            </w:r>
          </w:p>
          <w:p w14:paraId="2A56454F" w14:textId="712CD99E" w:rsidR="00E45B30" w:rsidRPr="00073574" w:rsidRDefault="00B11CE9" w:rsidP="09CE9946">
            <w:r w:rsidRPr="00073574">
              <w:lastRenderedPageBreak/>
              <w:t>D</w:t>
            </w:r>
            <w:r w:rsidR="009A6EFE" w:rsidRPr="00073574">
              <w:t xml:space="preserve">ue to lack of </w:t>
            </w:r>
            <w:r w:rsidR="008D254E" w:rsidRPr="00073574">
              <w:t xml:space="preserve">proposals on joint certification schemes </w:t>
            </w:r>
            <w:r w:rsidR="00D5419C" w:rsidRPr="00073574">
              <w:t xml:space="preserve">taking into consideration </w:t>
            </w:r>
            <w:r w:rsidR="00777A19" w:rsidRPr="00073574">
              <w:t xml:space="preserve">the </w:t>
            </w:r>
            <w:r w:rsidR="001C4041" w:rsidRPr="00073574">
              <w:t xml:space="preserve">above-mentioned </w:t>
            </w:r>
            <w:r w:rsidR="00D5419C" w:rsidRPr="00073574">
              <w:t xml:space="preserve">financial implications, </w:t>
            </w:r>
            <w:r w:rsidR="00914D1D" w:rsidRPr="00073574">
              <w:t xml:space="preserve">CASC decided to discontinue </w:t>
            </w:r>
            <w:r w:rsidR="0048135D" w:rsidRPr="00073574">
              <w:t>collaboration with IECEE on joint certification scheme</w:t>
            </w:r>
            <w:r w:rsidR="00640F10" w:rsidRPr="00073574">
              <w:t xml:space="preserve"> </w:t>
            </w:r>
            <w:r w:rsidR="003B46C4" w:rsidRPr="00073574">
              <w:t>for the time being</w:t>
            </w:r>
            <w:r w:rsidR="0048135D" w:rsidRPr="00073574">
              <w:t>.</w:t>
            </w:r>
          </w:p>
        </w:tc>
      </w:tr>
      <w:tr w:rsidR="005A435D" w:rsidRPr="00073574" w14:paraId="5BD6533E" w14:textId="77777777" w:rsidTr="00A61861">
        <w:trPr>
          <w:jc w:val="center"/>
        </w:trPr>
        <w:tc>
          <w:tcPr>
            <w:tcW w:w="1117" w:type="dxa"/>
            <w:vMerge w:val="restart"/>
            <w:tcBorders>
              <w:top w:val="single" w:sz="12" w:space="0" w:color="auto"/>
            </w:tcBorders>
            <w:shd w:val="clear" w:color="auto" w:fill="auto"/>
          </w:tcPr>
          <w:p w14:paraId="02D60BA0" w14:textId="77777777" w:rsidR="005A435D" w:rsidRPr="00073574" w:rsidRDefault="005A435D" w:rsidP="005A435D">
            <w:pPr>
              <w:pStyle w:val="Tabletext"/>
              <w:keepNext/>
              <w:keepLines/>
              <w:rPr>
                <w:b/>
                <w:bCs/>
                <w:sz w:val="24"/>
                <w:szCs w:val="24"/>
              </w:rPr>
            </w:pPr>
            <w:r w:rsidRPr="00073574">
              <w:rPr>
                <w:b/>
                <w:bCs/>
                <w:sz w:val="24"/>
                <w:szCs w:val="24"/>
              </w:rPr>
              <w:lastRenderedPageBreak/>
              <w:t>76-16</w:t>
            </w:r>
          </w:p>
        </w:tc>
        <w:tc>
          <w:tcPr>
            <w:tcW w:w="4887" w:type="dxa"/>
            <w:tcBorders>
              <w:top w:val="single" w:sz="12" w:space="0" w:color="auto"/>
            </w:tcBorders>
            <w:shd w:val="clear" w:color="auto" w:fill="auto"/>
          </w:tcPr>
          <w:p w14:paraId="6888A7CE" w14:textId="77777777" w:rsidR="005A435D" w:rsidRPr="00073574" w:rsidRDefault="005A435D" w:rsidP="005A435D">
            <w:pPr>
              <w:pStyle w:val="Tabletext"/>
              <w:keepNext/>
              <w:keepLines/>
              <w:rPr>
                <w:b/>
                <w:bCs/>
                <w:sz w:val="24"/>
                <w:szCs w:val="24"/>
              </w:rPr>
            </w:pPr>
            <w:r w:rsidRPr="00073574">
              <w:rPr>
                <w:b/>
                <w:bCs/>
                <w:sz w:val="24"/>
                <w:szCs w:val="24"/>
              </w:rPr>
              <w:t>ITU-T CASC to study and define a procedure to recognize testing laboratories that are competent to test according to ITU</w:t>
            </w:r>
            <w:r w:rsidRPr="00073574">
              <w:rPr>
                <w:b/>
                <w:bCs/>
                <w:sz w:val="24"/>
                <w:szCs w:val="24"/>
              </w:rPr>
              <w:noBreakHyphen/>
              <w:t>T Recommendations, in collaboration with existing certification schemes such as that of IEC (i. ITU CASC)</w:t>
            </w:r>
          </w:p>
        </w:tc>
        <w:tc>
          <w:tcPr>
            <w:tcW w:w="1454" w:type="dxa"/>
            <w:tcBorders>
              <w:top w:val="single" w:sz="12" w:space="0" w:color="auto"/>
              <w:bottom w:val="single" w:sz="4" w:space="0" w:color="auto"/>
            </w:tcBorders>
            <w:shd w:val="clear" w:color="auto" w:fill="auto"/>
            <w:vAlign w:val="center"/>
          </w:tcPr>
          <w:p w14:paraId="5D9A69E5" w14:textId="77777777" w:rsidR="005A435D" w:rsidRPr="00073574" w:rsidRDefault="005A435D" w:rsidP="005A435D">
            <w:pPr>
              <w:pStyle w:val="Tabletext"/>
              <w:jc w:val="center"/>
              <w:rPr>
                <w:b/>
                <w:bCs/>
                <w:sz w:val="24"/>
                <w:szCs w:val="24"/>
              </w:rPr>
            </w:pPr>
            <w:r w:rsidRPr="00073574">
              <w:rPr>
                <w:b/>
                <w:bCs/>
                <w:sz w:val="24"/>
                <w:szCs w:val="24"/>
              </w:rPr>
              <w:t>Ongoing</w:t>
            </w:r>
          </w:p>
        </w:tc>
        <w:tc>
          <w:tcPr>
            <w:tcW w:w="1138" w:type="dxa"/>
            <w:tcBorders>
              <w:top w:val="single" w:sz="12" w:space="0" w:color="auto"/>
            </w:tcBorders>
            <w:shd w:val="clear" w:color="auto" w:fill="auto"/>
            <w:vAlign w:val="center"/>
          </w:tcPr>
          <w:p w14:paraId="07DD61CB" w14:textId="77777777" w:rsidR="005A435D" w:rsidRPr="00073574" w:rsidDel="00266BBB" w:rsidRDefault="005A435D" w:rsidP="005A435D">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52FD55ED" w14:textId="77777777" w:rsidR="005A435D" w:rsidRPr="00073574" w:rsidRDefault="005A435D" w:rsidP="005A435D">
            <w:pPr>
              <w:pStyle w:val="Tabletext"/>
              <w:jc w:val="center"/>
              <w:rPr>
                <w:b/>
                <w:bCs/>
                <w:sz w:val="24"/>
                <w:szCs w:val="24"/>
              </w:rPr>
            </w:pPr>
          </w:p>
        </w:tc>
      </w:tr>
      <w:tr w:rsidR="005A435D" w:rsidRPr="00073574" w14:paraId="374AF3F1" w14:textId="77777777" w:rsidTr="00A61861">
        <w:trPr>
          <w:jc w:val="center"/>
        </w:trPr>
        <w:tc>
          <w:tcPr>
            <w:tcW w:w="1117" w:type="dxa"/>
            <w:vMerge/>
          </w:tcPr>
          <w:p w14:paraId="48444BD0" w14:textId="77777777" w:rsidR="005A435D" w:rsidRPr="00073574" w:rsidRDefault="005A435D" w:rsidP="005A435D">
            <w:pPr>
              <w:pStyle w:val="Tabletext"/>
              <w:rPr>
                <w:sz w:val="24"/>
                <w:szCs w:val="24"/>
              </w:rPr>
            </w:pPr>
          </w:p>
        </w:tc>
        <w:tc>
          <w:tcPr>
            <w:tcW w:w="8815" w:type="dxa"/>
            <w:gridSpan w:val="4"/>
            <w:tcBorders>
              <w:bottom w:val="single" w:sz="12" w:space="0" w:color="auto"/>
            </w:tcBorders>
            <w:shd w:val="clear" w:color="auto" w:fill="auto"/>
          </w:tcPr>
          <w:p w14:paraId="7F1D3FAD" w14:textId="31186BB9" w:rsidR="005A435D" w:rsidRPr="00073574" w:rsidRDefault="005A435D" w:rsidP="001E63F9">
            <w:pPr>
              <w:spacing w:before="40"/>
              <w:rPr>
                <w:szCs w:val="22"/>
              </w:rPr>
            </w:pPr>
            <w:r w:rsidRPr="00073574">
              <w:rPr>
                <w:szCs w:val="22"/>
              </w:rPr>
              <w:t xml:space="preserve">SG11, at its February 2017 meeting, approved a new ITU-T SG11 Guideline </w:t>
            </w:r>
            <w:r w:rsidR="002D4D1F" w:rsidRPr="00073574">
              <w:rPr>
                <w:szCs w:val="22"/>
              </w:rPr>
              <w:t>“</w:t>
            </w:r>
            <w:r w:rsidRPr="00073574">
              <w:rPr>
                <w:szCs w:val="22"/>
              </w:rPr>
              <w:t>ITU-T CASC procedure to appoint ITU-T technical experts</w:t>
            </w:r>
            <w:r w:rsidR="002D4D1F" w:rsidRPr="00073574">
              <w:rPr>
                <w:szCs w:val="22"/>
              </w:rPr>
              <w:t>”</w:t>
            </w:r>
            <w:r w:rsidRPr="00073574">
              <w:rPr>
                <w:szCs w:val="22"/>
              </w:rPr>
              <w:t xml:space="preserve"> which describes the procedures to appoint an ITU-T technical expert to be involved in the testing laboratory assessment teams of existing conformity assessment programmes (e.g. ILAC, IECEE, etc.), for assessing /checking the competence of Testing Laboratories which requested such recognition against one or a set of ITU-T Recommendation(s).</w:t>
            </w:r>
          </w:p>
          <w:p w14:paraId="2020DD3D" w14:textId="0EA11972" w:rsidR="005A435D" w:rsidRPr="00073574" w:rsidRDefault="005A435D" w:rsidP="005A435D">
            <w:pPr>
              <w:snapToGrid w:val="0"/>
              <w:rPr>
                <w:szCs w:val="22"/>
              </w:rPr>
            </w:pPr>
            <w:r w:rsidRPr="00073574">
              <w:rPr>
                <w:szCs w:val="22"/>
              </w:rPr>
              <w:t>In addition, IECEE informed the ITU-T CASC about the received responses on IECEE inquiry on ITU Recommendations to be used for certification. Among IECEE members which provided feedback are: Italy, Slovenia, Switzerland and Viet Nam. ITU-T CASC noted that there is market need for conformance testing against ITU-T Recommendations.</w:t>
            </w:r>
          </w:p>
          <w:p w14:paraId="415E3D49" w14:textId="0ED7B8B2" w:rsidR="00900834" w:rsidRPr="00073574" w:rsidRDefault="00900834" w:rsidP="00900834">
            <w:pPr>
              <w:rPr>
                <w:szCs w:val="22"/>
              </w:rPr>
            </w:pPr>
            <w:r w:rsidRPr="00073574">
              <w:rPr>
                <w:szCs w:val="22"/>
              </w:rPr>
              <w:t xml:space="preserve">CASC collaborates with IECEE and ILAC on developing Testing Laboratory recognition procedure and establishing joint certification schemes. During </w:t>
            </w:r>
            <w:r w:rsidR="00CF6977" w:rsidRPr="00073574">
              <w:rPr>
                <w:szCs w:val="22"/>
              </w:rPr>
              <w:t xml:space="preserve">the </w:t>
            </w:r>
            <w:r w:rsidRPr="00073574">
              <w:rPr>
                <w:szCs w:val="22"/>
              </w:rPr>
              <w:t xml:space="preserve">CASC meeting in July 2020, IEC presented the roles and requirements for the Testing Laboratories and the Certification Bodies using the IECEE CB Scheme. It was noted that </w:t>
            </w:r>
            <w:r w:rsidR="00CF6977" w:rsidRPr="00073574">
              <w:rPr>
                <w:szCs w:val="22"/>
              </w:rPr>
              <w:t xml:space="preserve">the </w:t>
            </w:r>
            <w:r w:rsidRPr="00073574">
              <w:rPr>
                <w:szCs w:val="22"/>
              </w:rPr>
              <w:t>IECEE programme with ITU will have financial implication. Following discussion taken place at the CASC meeting, it was decided that the standalone ITU/IECEE TL recognition procedure, which comes with extra costs for TLs, is not needed, as there is no financial benefit in return for TLs who might wish to populate the ITU Product Conformity Database only.</w:t>
            </w:r>
          </w:p>
          <w:p w14:paraId="5761F30F" w14:textId="08AFD997" w:rsidR="00900834" w:rsidRPr="00073574" w:rsidRDefault="00B20E88" w:rsidP="00900834">
            <w:pPr>
              <w:rPr>
                <w:szCs w:val="22"/>
              </w:rPr>
            </w:pPr>
            <w:r w:rsidRPr="00073574">
              <w:t>D</w:t>
            </w:r>
            <w:r w:rsidR="00B43822" w:rsidRPr="00073574">
              <w:t>ue to lack of proposals on joint certification schemes taking into consideration the above-mentioned financial implications, CASC decided to discontinue collaboration with IECEE on joint certification scheme for the time being</w:t>
            </w:r>
          </w:p>
          <w:p w14:paraId="75806C51" w14:textId="5F9420F3" w:rsidR="00E45B30" w:rsidRPr="00073574" w:rsidRDefault="00900834" w:rsidP="00E45B30">
            <w:pPr>
              <w:rPr>
                <w:szCs w:val="22"/>
              </w:rPr>
            </w:pPr>
            <w:r w:rsidRPr="00073574">
              <w:rPr>
                <w:szCs w:val="22"/>
              </w:rPr>
              <w:t>Also, in July 2020, ILAC presented outcomes of ILAC survey to identify Testing Laboratories accredited to perform testing in accordance with ITU-T Recommendations. The response rate was reasonable at 68%. CASC collaborates with ILAC on the development of procedures on how TLs, kindly provided by ILAC, might be recognized by ITU without any additional assessment.</w:t>
            </w:r>
            <w:r w:rsidR="00EE4FBE" w:rsidRPr="00073574">
              <w:rPr>
                <w:szCs w:val="22"/>
              </w:rPr>
              <w:t xml:space="preserve"> </w:t>
            </w:r>
            <w:r w:rsidR="00E45B30" w:rsidRPr="00073574">
              <w:rPr>
                <w:szCs w:val="22"/>
              </w:rPr>
              <w:t xml:space="preserve">CASC revised the existing Guideline “ITU-T CASC procedure to appoint ITU-T technical expert” and appointed 11 technical experts proposed by ITU-T SG2, SG5 and SG16 and several individuals. It was noted that the appointed ITU-T technical experts might be included in the </w:t>
            </w:r>
            <w:r w:rsidR="00C90A81" w:rsidRPr="00073574">
              <w:rPr>
                <w:szCs w:val="22"/>
              </w:rPr>
              <w:t xml:space="preserve">ILAC </w:t>
            </w:r>
            <w:r w:rsidR="00E45B30" w:rsidRPr="00073574">
              <w:rPr>
                <w:szCs w:val="22"/>
              </w:rPr>
              <w:t>assessment team to assess Testing Laboratories (TLs), which demand to be recognized as TLs with the competence on particular ITU-T Recommendations.</w:t>
            </w:r>
            <w:r w:rsidR="00F65A54" w:rsidRPr="00073574">
              <w:rPr>
                <w:szCs w:val="22"/>
              </w:rPr>
              <w:t xml:space="preserve"> Also, the list of focal points of ITU-T SGs to CASC was updated according to received inputs from ITU-T SGs.</w:t>
            </w:r>
          </w:p>
          <w:p w14:paraId="0B8466FD" w14:textId="30179A9E" w:rsidR="002762D8" w:rsidRPr="00073574" w:rsidRDefault="00633C58" w:rsidP="00E45B30">
            <w:pPr>
              <w:rPr>
                <w:szCs w:val="22"/>
              </w:rPr>
            </w:pPr>
            <w:r w:rsidRPr="00073574">
              <w:rPr>
                <w:rFonts w:asciiTheme="majorBidi" w:hAnsiTheme="majorBidi" w:cstheme="majorBidi"/>
              </w:rPr>
              <w:t>In March 2021, CASC decided that ITU may recognize TLs that have been accredited by ILAC MRA signatories AB which have ITU-T Recommendations in its scope of accreditation. ITU may approach those TLs. A test laboratory accredited for ITU-T Recommendations may apply to ITU-T for recognition by supplying, amongst other things: the identity of the AB (ILAC MRA signatory) performing the accreditation and relevant part of the scope of accreditation.</w:t>
            </w:r>
            <w:r w:rsidR="00806B74" w:rsidRPr="00073574">
              <w:rPr>
                <w:rFonts w:asciiTheme="majorBidi" w:hAnsiTheme="majorBidi" w:cstheme="majorBidi"/>
              </w:rPr>
              <w:t xml:space="preserve"> TSB launched ITU Testing Laboratories database. </w:t>
            </w:r>
            <w:r w:rsidR="0049290A" w:rsidRPr="00073574">
              <w:rPr>
                <w:rFonts w:asciiTheme="majorBidi" w:hAnsiTheme="majorBidi" w:cstheme="majorBidi"/>
              </w:rPr>
              <w:t xml:space="preserve">The relevant request needs to be submitted through the online </w:t>
            </w:r>
            <w:hyperlink r:id="rId665" w:history="1">
              <w:r w:rsidR="0049290A" w:rsidRPr="00073574">
                <w:rPr>
                  <w:rStyle w:val="Hyperlink"/>
                  <w:rFonts w:asciiTheme="majorBidi" w:hAnsiTheme="majorBidi" w:cstheme="majorBidi"/>
                </w:rPr>
                <w:t>application form</w:t>
              </w:r>
            </w:hyperlink>
            <w:r w:rsidR="0049290A" w:rsidRPr="00073574">
              <w:rPr>
                <w:rFonts w:asciiTheme="majorBidi" w:hAnsiTheme="majorBidi" w:cstheme="majorBidi"/>
              </w:rPr>
              <w:t xml:space="preserve"> which is available on the ITU C&amp;I Portal (</w:t>
            </w:r>
            <w:hyperlink r:id="rId666" w:history="1">
              <w:r w:rsidR="0049290A" w:rsidRPr="00073574">
                <w:rPr>
                  <w:rStyle w:val="Hyperlink"/>
                  <w:rFonts w:asciiTheme="majorBidi" w:hAnsiTheme="majorBidi" w:cstheme="majorBidi"/>
                </w:rPr>
                <w:t>www.itu.int/go/citest</w:t>
              </w:r>
            </w:hyperlink>
            <w:r w:rsidR="0049290A" w:rsidRPr="00073574">
              <w:rPr>
                <w:rFonts w:asciiTheme="majorBidi" w:hAnsiTheme="majorBidi" w:cstheme="majorBidi"/>
              </w:rPr>
              <w:t>).</w:t>
            </w:r>
          </w:p>
          <w:p w14:paraId="60D3C575" w14:textId="206A1E24" w:rsidR="005A435D" w:rsidRPr="00073574" w:rsidRDefault="005A435D" w:rsidP="00C477AD">
            <w:pPr>
              <w:rPr>
                <w:sz w:val="24"/>
              </w:rPr>
            </w:pPr>
            <w:r w:rsidRPr="00073574">
              <w:rPr>
                <w:szCs w:val="22"/>
              </w:rPr>
              <w:t xml:space="preserve">More details are available on the ITU-T CASC </w:t>
            </w:r>
            <w:hyperlink r:id="rId667" w:history="1">
              <w:r w:rsidRPr="00073574">
                <w:rPr>
                  <w:rStyle w:val="Hyperlink"/>
                  <w:szCs w:val="22"/>
                </w:rPr>
                <w:t>web page</w:t>
              </w:r>
            </w:hyperlink>
            <w:r w:rsidRPr="00073574">
              <w:rPr>
                <w:szCs w:val="22"/>
              </w:rPr>
              <w:t>.</w:t>
            </w:r>
          </w:p>
        </w:tc>
      </w:tr>
      <w:tr w:rsidR="005A435D" w:rsidRPr="00073574" w14:paraId="5D3A4D39" w14:textId="77777777" w:rsidTr="00A61861">
        <w:trPr>
          <w:cantSplit/>
          <w:jc w:val="center"/>
        </w:trPr>
        <w:tc>
          <w:tcPr>
            <w:tcW w:w="1117" w:type="dxa"/>
            <w:vMerge w:val="restart"/>
            <w:tcBorders>
              <w:top w:val="single" w:sz="12" w:space="0" w:color="auto"/>
            </w:tcBorders>
            <w:shd w:val="clear" w:color="auto" w:fill="auto"/>
          </w:tcPr>
          <w:p w14:paraId="517D479B" w14:textId="77777777" w:rsidR="005A435D" w:rsidRPr="00073574" w:rsidRDefault="005A435D" w:rsidP="005A435D">
            <w:pPr>
              <w:pStyle w:val="Tabletext"/>
              <w:keepNext/>
              <w:keepLines/>
              <w:rPr>
                <w:b/>
                <w:bCs/>
                <w:sz w:val="24"/>
                <w:szCs w:val="24"/>
              </w:rPr>
            </w:pPr>
            <w:bookmarkStart w:id="433" w:name="_Hlk13834520"/>
            <w:r w:rsidRPr="00073574">
              <w:rPr>
                <w:b/>
                <w:bCs/>
                <w:sz w:val="24"/>
                <w:szCs w:val="24"/>
              </w:rPr>
              <w:lastRenderedPageBreak/>
              <w:t>76-17</w:t>
            </w:r>
          </w:p>
        </w:tc>
        <w:tc>
          <w:tcPr>
            <w:tcW w:w="4887" w:type="dxa"/>
            <w:tcBorders>
              <w:top w:val="single" w:sz="12" w:space="0" w:color="auto"/>
            </w:tcBorders>
            <w:shd w:val="clear" w:color="auto" w:fill="auto"/>
          </w:tcPr>
          <w:p w14:paraId="4E30E418" w14:textId="77777777" w:rsidR="005A435D" w:rsidRPr="00073574" w:rsidRDefault="005A435D" w:rsidP="005A435D">
            <w:pPr>
              <w:pStyle w:val="Tabletext"/>
              <w:keepNext/>
              <w:keepLines/>
              <w:rPr>
                <w:b/>
                <w:bCs/>
                <w:sz w:val="24"/>
                <w:szCs w:val="24"/>
              </w:rPr>
            </w:pPr>
            <w:r w:rsidRPr="00073574">
              <w:rPr>
                <w:b/>
                <w:bCs/>
                <w:sz w:val="24"/>
                <w:szCs w:val="24"/>
              </w:rPr>
              <w:t>TSB Director, in collaboration with other Sectors, develop a programme to develop and improve the mutual recognition of C&amp;I testing results, mechanisms and data analysis techniques between different regional testing centres (resolves 5 iii)</w:t>
            </w:r>
          </w:p>
        </w:tc>
        <w:tc>
          <w:tcPr>
            <w:tcW w:w="1454" w:type="dxa"/>
            <w:tcBorders>
              <w:top w:val="single" w:sz="12" w:space="0" w:color="auto"/>
              <w:bottom w:val="single" w:sz="4" w:space="0" w:color="auto"/>
            </w:tcBorders>
            <w:shd w:val="clear" w:color="auto" w:fill="auto"/>
            <w:vAlign w:val="center"/>
          </w:tcPr>
          <w:p w14:paraId="44AB3DF1" w14:textId="77777777" w:rsidR="005A435D" w:rsidRPr="00073574" w:rsidRDefault="005A435D" w:rsidP="005A435D">
            <w:pPr>
              <w:pStyle w:val="Tabletext"/>
              <w:jc w:val="center"/>
              <w:rPr>
                <w:b/>
                <w:bCs/>
                <w:sz w:val="24"/>
                <w:szCs w:val="24"/>
              </w:rPr>
            </w:pPr>
            <w:r w:rsidRPr="00073574">
              <w:rPr>
                <w:b/>
                <w:bCs/>
                <w:sz w:val="24"/>
                <w:szCs w:val="24"/>
              </w:rPr>
              <w:t>Ongoing</w:t>
            </w:r>
          </w:p>
        </w:tc>
        <w:tc>
          <w:tcPr>
            <w:tcW w:w="1138" w:type="dxa"/>
            <w:tcBorders>
              <w:top w:val="single" w:sz="12" w:space="0" w:color="auto"/>
            </w:tcBorders>
            <w:shd w:val="clear" w:color="auto" w:fill="auto"/>
            <w:vAlign w:val="center"/>
          </w:tcPr>
          <w:p w14:paraId="78741C7E" w14:textId="77777777" w:rsidR="005A435D" w:rsidRPr="00073574" w:rsidDel="00266BBB" w:rsidRDefault="005A435D" w:rsidP="005A435D">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1975F4BA" w14:textId="77777777" w:rsidR="005A435D" w:rsidRPr="00073574" w:rsidRDefault="005A435D" w:rsidP="005A435D">
            <w:pPr>
              <w:pStyle w:val="Tabletext"/>
              <w:jc w:val="center"/>
              <w:rPr>
                <w:b/>
                <w:bCs/>
                <w:sz w:val="24"/>
                <w:szCs w:val="24"/>
              </w:rPr>
            </w:pPr>
          </w:p>
        </w:tc>
      </w:tr>
      <w:tr w:rsidR="005A435D" w:rsidRPr="00073574" w14:paraId="62726ADA" w14:textId="77777777" w:rsidTr="00A61861">
        <w:trPr>
          <w:cantSplit/>
          <w:jc w:val="center"/>
        </w:trPr>
        <w:tc>
          <w:tcPr>
            <w:tcW w:w="1117" w:type="dxa"/>
            <w:vMerge/>
          </w:tcPr>
          <w:p w14:paraId="20B172C1" w14:textId="77777777" w:rsidR="005A435D" w:rsidRPr="00073574" w:rsidRDefault="005A435D" w:rsidP="005A435D">
            <w:pPr>
              <w:pStyle w:val="Tabletext"/>
              <w:rPr>
                <w:sz w:val="24"/>
                <w:szCs w:val="24"/>
              </w:rPr>
            </w:pPr>
          </w:p>
        </w:tc>
        <w:tc>
          <w:tcPr>
            <w:tcW w:w="8815" w:type="dxa"/>
            <w:gridSpan w:val="4"/>
            <w:shd w:val="clear" w:color="auto" w:fill="auto"/>
          </w:tcPr>
          <w:p w14:paraId="528C10EE" w14:textId="0C2432F4" w:rsidR="005A435D" w:rsidRPr="00073574" w:rsidRDefault="007278E5" w:rsidP="001E63F9">
            <w:pPr>
              <w:spacing w:before="40" w:after="40"/>
              <w:rPr>
                <w:sz w:val="24"/>
              </w:rPr>
            </w:pPr>
            <w:r w:rsidRPr="00073574">
              <w:rPr>
                <w:szCs w:val="22"/>
              </w:rPr>
              <w:t>ITU-D Guidelines covering C&amp;I Programmes, Mutual Recognition Agreement (MRA), and establishment of testing centers were published</w:t>
            </w:r>
            <w:r w:rsidR="001C474F" w:rsidRPr="00073574">
              <w:rPr>
                <w:szCs w:val="22"/>
              </w:rPr>
              <w:t>. C&amp;I Assessment Studies aiming to promote collaboration in regional organizations for establishing a harmonic C&amp;I Programmes were done and follow-up is ongoing</w:t>
            </w:r>
            <w:r w:rsidR="00060CD6" w:rsidRPr="00073574">
              <w:rPr>
                <w:szCs w:val="22"/>
              </w:rPr>
              <w:t>.</w:t>
            </w:r>
            <w:r w:rsidR="001C474F" w:rsidRPr="00073574">
              <w:rPr>
                <w:szCs w:val="22"/>
              </w:rPr>
              <w:t xml:space="preserve"> In 2019 the ECOWAS region </w:t>
            </w:r>
            <w:r w:rsidR="00CD5A77" w:rsidRPr="00073574">
              <w:rPr>
                <w:szCs w:val="22"/>
              </w:rPr>
              <w:t>ha</w:t>
            </w:r>
            <w:r w:rsidR="001C474F" w:rsidRPr="00073574">
              <w:rPr>
                <w:szCs w:val="22"/>
              </w:rPr>
              <w:t>s been studied.</w:t>
            </w:r>
          </w:p>
        </w:tc>
      </w:tr>
      <w:bookmarkEnd w:id="433"/>
      <w:tr w:rsidR="005A435D" w:rsidRPr="00073574" w14:paraId="0CE2C243" w14:textId="77777777" w:rsidTr="00A61861">
        <w:trPr>
          <w:cantSplit/>
          <w:jc w:val="center"/>
        </w:trPr>
        <w:tc>
          <w:tcPr>
            <w:tcW w:w="1117" w:type="dxa"/>
            <w:vMerge w:val="restart"/>
            <w:tcBorders>
              <w:top w:val="single" w:sz="12" w:space="0" w:color="auto"/>
            </w:tcBorders>
            <w:shd w:val="clear" w:color="auto" w:fill="auto"/>
          </w:tcPr>
          <w:p w14:paraId="5A7A18B7" w14:textId="77777777" w:rsidR="005A435D" w:rsidRPr="00073574" w:rsidRDefault="005A435D" w:rsidP="005A435D">
            <w:pPr>
              <w:pStyle w:val="Tabletext"/>
              <w:rPr>
                <w:b/>
                <w:bCs/>
                <w:sz w:val="24"/>
                <w:szCs w:val="24"/>
              </w:rPr>
            </w:pPr>
            <w:r w:rsidRPr="00073574">
              <w:rPr>
                <w:b/>
                <w:bCs/>
                <w:sz w:val="24"/>
                <w:szCs w:val="24"/>
              </w:rPr>
              <w:t>76-18</w:t>
            </w:r>
          </w:p>
        </w:tc>
        <w:tc>
          <w:tcPr>
            <w:tcW w:w="4887" w:type="dxa"/>
            <w:tcBorders>
              <w:top w:val="single" w:sz="12" w:space="0" w:color="auto"/>
            </w:tcBorders>
            <w:shd w:val="clear" w:color="auto" w:fill="auto"/>
          </w:tcPr>
          <w:p w14:paraId="1913176C" w14:textId="77777777" w:rsidR="005A435D" w:rsidRPr="00073574" w:rsidRDefault="005A435D" w:rsidP="005A435D">
            <w:pPr>
              <w:pStyle w:val="Tabletext"/>
              <w:rPr>
                <w:b/>
                <w:bCs/>
                <w:sz w:val="24"/>
                <w:szCs w:val="24"/>
              </w:rPr>
            </w:pPr>
            <w:r w:rsidRPr="00073574">
              <w:rPr>
                <w:b/>
                <w:bCs/>
                <w:sz w:val="24"/>
                <w:szCs w:val="24"/>
              </w:rPr>
              <w:t>ITU-T to set up methodologies and procedures for remote testing using virtual laboratories (resolves 7)</w:t>
            </w:r>
          </w:p>
        </w:tc>
        <w:tc>
          <w:tcPr>
            <w:tcW w:w="1454" w:type="dxa"/>
            <w:tcBorders>
              <w:top w:val="single" w:sz="12" w:space="0" w:color="auto"/>
              <w:bottom w:val="single" w:sz="4" w:space="0" w:color="auto"/>
            </w:tcBorders>
            <w:shd w:val="clear" w:color="auto" w:fill="auto"/>
            <w:vAlign w:val="center"/>
          </w:tcPr>
          <w:p w14:paraId="0C765624" w14:textId="77777777" w:rsidR="005A435D" w:rsidRPr="00073574" w:rsidRDefault="005A435D" w:rsidP="005A435D">
            <w:pPr>
              <w:pStyle w:val="Tabletext"/>
              <w:jc w:val="center"/>
              <w:rPr>
                <w:b/>
                <w:bCs/>
                <w:sz w:val="24"/>
                <w:szCs w:val="24"/>
              </w:rPr>
            </w:pPr>
            <w:r w:rsidRPr="00073574">
              <w:rPr>
                <w:b/>
                <w:bCs/>
                <w:sz w:val="24"/>
                <w:szCs w:val="24"/>
              </w:rPr>
              <w:t>Ongoing</w:t>
            </w:r>
          </w:p>
        </w:tc>
        <w:tc>
          <w:tcPr>
            <w:tcW w:w="1138" w:type="dxa"/>
            <w:tcBorders>
              <w:top w:val="single" w:sz="12" w:space="0" w:color="auto"/>
            </w:tcBorders>
            <w:shd w:val="clear" w:color="auto" w:fill="auto"/>
            <w:vAlign w:val="center"/>
          </w:tcPr>
          <w:p w14:paraId="32D356A1" w14:textId="77777777" w:rsidR="005A435D" w:rsidRPr="00073574" w:rsidDel="00266BBB" w:rsidRDefault="005A435D" w:rsidP="005A435D">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70AF3720" w14:textId="77777777" w:rsidR="005A435D" w:rsidRPr="00073574" w:rsidRDefault="005A435D" w:rsidP="005A435D">
            <w:pPr>
              <w:pStyle w:val="Tabletext"/>
              <w:jc w:val="center"/>
              <w:rPr>
                <w:b/>
                <w:bCs/>
                <w:sz w:val="24"/>
                <w:szCs w:val="24"/>
              </w:rPr>
            </w:pPr>
          </w:p>
        </w:tc>
      </w:tr>
      <w:tr w:rsidR="005A435D" w:rsidRPr="00073574" w14:paraId="260A754E" w14:textId="77777777" w:rsidTr="00A61861">
        <w:trPr>
          <w:cantSplit/>
          <w:jc w:val="center"/>
        </w:trPr>
        <w:tc>
          <w:tcPr>
            <w:tcW w:w="1117" w:type="dxa"/>
            <w:vMerge/>
            <w:vAlign w:val="center"/>
          </w:tcPr>
          <w:p w14:paraId="72432CB9" w14:textId="77777777" w:rsidR="005A435D" w:rsidRPr="00073574" w:rsidRDefault="005A435D" w:rsidP="005A435D">
            <w:pPr>
              <w:pStyle w:val="Tabletext"/>
              <w:rPr>
                <w:sz w:val="24"/>
                <w:szCs w:val="24"/>
              </w:rPr>
            </w:pPr>
          </w:p>
        </w:tc>
        <w:tc>
          <w:tcPr>
            <w:tcW w:w="8815" w:type="dxa"/>
            <w:gridSpan w:val="4"/>
            <w:shd w:val="clear" w:color="auto" w:fill="auto"/>
          </w:tcPr>
          <w:p w14:paraId="599921A5" w14:textId="22131F73" w:rsidR="005A435D" w:rsidRPr="00073574" w:rsidRDefault="005A435D" w:rsidP="003D27D6">
            <w:pPr>
              <w:pStyle w:val="Tabletext"/>
              <w:rPr>
                <w:szCs w:val="22"/>
              </w:rPr>
            </w:pPr>
            <w:r w:rsidRPr="00073574">
              <w:rPr>
                <w:szCs w:val="22"/>
              </w:rPr>
              <w:t>SG11 Q</w:t>
            </w:r>
            <w:r w:rsidR="00E070BF" w:rsidRPr="00073574">
              <w:rPr>
                <w:szCs w:val="22"/>
              </w:rPr>
              <w:t>16</w:t>
            </w:r>
            <w:r w:rsidRPr="00073574">
              <w:rPr>
                <w:szCs w:val="22"/>
              </w:rPr>
              <w:t>/11 has a mandate to develop such methodologies.</w:t>
            </w:r>
            <w:r w:rsidR="009E1498" w:rsidRPr="00073574">
              <w:rPr>
                <w:szCs w:val="22"/>
              </w:rPr>
              <w:t xml:space="preserve"> </w:t>
            </w:r>
            <w:r w:rsidR="00654D1B" w:rsidRPr="00073574">
              <w:rPr>
                <w:szCs w:val="22"/>
              </w:rPr>
              <w:t>SG11 developed ITU-T Q.3056 “Signaling procedures of the probes to be used for remote testing of network parameters”.</w:t>
            </w:r>
          </w:p>
          <w:p w14:paraId="1617B1BE" w14:textId="4B4052C7" w:rsidR="005A435D" w:rsidRPr="00073574" w:rsidRDefault="000F4CB2" w:rsidP="003D27D6">
            <w:pPr>
              <w:pStyle w:val="Tabletext"/>
              <w:rPr>
                <w:szCs w:val="22"/>
              </w:rPr>
            </w:pPr>
            <w:r w:rsidRPr="00073574">
              <w:rPr>
                <w:szCs w:val="22"/>
              </w:rPr>
              <w:t>In March 2021, TSB organized a joint ITU, ETSI, IEEE workshop on testbed federations which is considered as a tool for remote testing. The outcomes of the workshop were used for finalizing new Recommendation ITU-T Q.4068 “Open APIs for interoperable testbed federations” which was finally approved in August 2021.</w:t>
            </w:r>
            <w:r w:rsidR="00E23C18" w:rsidRPr="00073574">
              <w:rPr>
                <w:szCs w:val="22"/>
              </w:rPr>
              <w:t xml:space="preserve"> In December 2021, SG11 established </w:t>
            </w:r>
            <w:r w:rsidR="0007639D" w:rsidRPr="00073574">
              <w:rPr>
                <w:szCs w:val="22"/>
              </w:rPr>
              <w:t xml:space="preserve">new Focus Group on Testbeds Federations for IMT-2020 and beyond (FG-TBFxG, </w:t>
            </w:r>
            <w:hyperlink r:id="rId668" w:history="1">
              <w:r w:rsidR="0007639D" w:rsidRPr="00073574">
                <w:rPr>
                  <w:rStyle w:val="Hyperlink"/>
                  <w:szCs w:val="22"/>
                </w:rPr>
                <w:t>www.itu.int/go/fgtbf</w:t>
              </w:r>
            </w:hyperlink>
            <w:r w:rsidR="0007639D" w:rsidRPr="00073574">
              <w:rPr>
                <w:szCs w:val="22"/>
              </w:rPr>
              <w:t>).</w:t>
            </w:r>
          </w:p>
        </w:tc>
      </w:tr>
    </w:tbl>
    <w:bookmarkStart w:id="434" w:name="Item76_01"/>
    <w:bookmarkStart w:id="435" w:name="Item76_02"/>
    <w:bookmarkStart w:id="436" w:name="Item76_03"/>
    <w:bookmarkStart w:id="437" w:name="Item76_04"/>
    <w:bookmarkStart w:id="438" w:name="Item76_05"/>
    <w:bookmarkStart w:id="439" w:name="Item76_06"/>
    <w:bookmarkStart w:id="440" w:name="Item76_07"/>
    <w:bookmarkStart w:id="441" w:name="Item76_08"/>
    <w:bookmarkStart w:id="442" w:name="Item76_09"/>
    <w:bookmarkStart w:id="443" w:name="Item76_10"/>
    <w:bookmarkStart w:id="444" w:name="Item76_11"/>
    <w:bookmarkStart w:id="445" w:name="Item76_12"/>
    <w:bookmarkStart w:id="446" w:name="Item76_13"/>
    <w:bookmarkStart w:id="447" w:name="Item76_14"/>
    <w:bookmarkStart w:id="448" w:name="Item76_15"/>
    <w:bookmarkStart w:id="449" w:name="Item76_16"/>
    <w:bookmarkStart w:id="450" w:name="Item76_17"/>
    <w:bookmarkStart w:id="451" w:name="Item76_18"/>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14:paraId="7A42FC69" w14:textId="77777777" w:rsidR="00F0236A" w:rsidRPr="00073574" w:rsidRDefault="00F0236A" w:rsidP="00F0236A">
      <w:pPr>
        <w:rPr>
          <w:sz w:val="24"/>
        </w:rPr>
      </w:pPr>
      <w:r w:rsidRPr="00073574">
        <w:rPr>
          <w:color w:val="2B579A"/>
          <w:shd w:val="clear" w:color="auto" w:fill="E6E6E6"/>
        </w:rPr>
        <w:fldChar w:fldCharType="begin"/>
      </w:r>
      <w:r w:rsidRPr="00073574">
        <w:rPr>
          <w:sz w:val="24"/>
        </w:rPr>
        <w:instrText xml:space="preserve"> HYPERLINK \l "Top" </w:instrText>
      </w:r>
      <w:r w:rsidRPr="00073574">
        <w:rPr>
          <w:color w:val="2B579A"/>
          <w:shd w:val="clear" w:color="auto" w:fill="E6E6E6"/>
        </w:rPr>
        <w:fldChar w:fldCharType="separate"/>
      </w:r>
      <w:r w:rsidRPr="00073574">
        <w:rPr>
          <w:rStyle w:val="Hyperlink"/>
          <w:rFonts w:eastAsia="Times New Roman"/>
          <w:sz w:val="24"/>
        </w:rPr>
        <w:t>» Top</w:t>
      </w:r>
      <w:r w:rsidRPr="00073574">
        <w:rPr>
          <w:rStyle w:val="Hyperlink"/>
          <w:rFonts w:eastAsia="Times New Roman"/>
          <w:sz w:val="24"/>
        </w:rPr>
        <w:fldChar w:fldCharType="end"/>
      </w:r>
    </w:p>
    <w:p w14:paraId="76DA487E" w14:textId="77777777" w:rsidR="00F0236A" w:rsidRPr="00073574" w:rsidRDefault="00F0236A" w:rsidP="00F0236A">
      <w:pPr>
        <w:rPr>
          <w:sz w:val="24"/>
        </w:rPr>
      </w:pPr>
    </w:p>
    <w:p w14:paraId="2F1C0FD2" w14:textId="77777777" w:rsidR="00F0236A" w:rsidRPr="00073574" w:rsidRDefault="00F0236A" w:rsidP="00F0236A">
      <w:pPr>
        <w:pStyle w:val="Heading1"/>
        <w:keepNext/>
        <w:keepLines/>
        <w:rPr>
          <w:sz w:val="24"/>
          <w:szCs w:val="24"/>
          <w:lang w:val="en-GB"/>
        </w:rPr>
      </w:pPr>
      <w:bookmarkStart w:id="452" w:name="_Resolution_77_-"/>
      <w:bookmarkStart w:id="453" w:name="_Toc471715393"/>
      <w:bookmarkStart w:id="454" w:name="_Toc93425279"/>
      <w:bookmarkEnd w:id="452"/>
      <w:r w:rsidRPr="00073574">
        <w:rPr>
          <w:sz w:val="24"/>
          <w:szCs w:val="24"/>
          <w:lang w:val="en-GB"/>
        </w:rPr>
        <w:t>Resolution 77 – Enhancing the standardization work in the ITU Telecommunication Standardization Sector</w:t>
      </w:r>
      <w:r w:rsidRPr="00073574" w:rsidDel="00267652">
        <w:rPr>
          <w:sz w:val="24"/>
          <w:szCs w:val="24"/>
          <w:lang w:val="en-GB"/>
        </w:rPr>
        <w:t xml:space="preserve"> </w:t>
      </w:r>
      <w:r w:rsidRPr="00073574">
        <w:rPr>
          <w:sz w:val="24"/>
          <w:szCs w:val="24"/>
          <w:lang w:val="en-GB"/>
        </w:rPr>
        <w:t>for software-defined networking</w:t>
      </w:r>
      <w:bookmarkEnd w:id="453"/>
      <w:bookmarkEnd w:id="454"/>
      <w:r w:rsidRPr="00073574">
        <w:rPr>
          <w:sz w:val="24"/>
          <w:szCs w:val="24"/>
          <w:lang w:val="en-GB"/>
        </w:rPr>
        <w:cr/>
      </w:r>
    </w:p>
    <w:p w14:paraId="6297C37A" w14:textId="77777777" w:rsidR="00F0236A" w:rsidRPr="00073574" w:rsidRDefault="00F0236A" w:rsidP="00F0236A">
      <w:pPr>
        <w:keepNext/>
        <w:keepLines/>
        <w:rPr>
          <w:b/>
          <w:bCs/>
          <w:sz w:val="24"/>
        </w:rPr>
      </w:pPr>
      <w:r w:rsidRPr="00073574">
        <w:rPr>
          <w:b/>
          <w:bCs/>
          <w:sz w:val="24"/>
        </w:rPr>
        <w:t>Resolution 77</w:t>
      </w:r>
    </w:p>
    <w:p w14:paraId="73331781" w14:textId="77777777" w:rsidR="00F0236A" w:rsidRPr="00073574" w:rsidRDefault="00F0236A" w:rsidP="00F0236A">
      <w:pPr>
        <w:pStyle w:val="Call"/>
        <w:rPr>
          <w:sz w:val="24"/>
          <w:szCs w:val="24"/>
          <w:lang w:val="en-GB" w:eastAsia="ko-KR"/>
        </w:rPr>
      </w:pPr>
      <w:r w:rsidRPr="00073574">
        <w:rPr>
          <w:sz w:val="24"/>
          <w:szCs w:val="24"/>
          <w:lang w:val="en-GB"/>
        </w:rPr>
        <w:t>resolves</w:t>
      </w:r>
      <w:r w:rsidRPr="00073574">
        <w:rPr>
          <w:rFonts w:eastAsia="SimSun"/>
          <w:sz w:val="24"/>
          <w:szCs w:val="24"/>
          <w:lang w:val="en-GB" w:eastAsia="zh-CN"/>
        </w:rPr>
        <w:t xml:space="preserve"> t</w:t>
      </w:r>
      <w:r w:rsidRPr="00073574">
        <w:rPr>
          <w:rFonts w:eastAsia="SimSun"/>
          <w:sz w:val="24"/>
          <w:szCs w:val="24"/>
          <w:lang w:val="en-GB"/>
        </w:rPr>
        <w:t>o</w:t>
      </w:r>
      <w:r w:rsidRPr="00073574">
        <w:rPr>
          <w:rFonts w:eastAsia="SimSun"/>
          <w:sz w:val="24"/>
          <w:szCs w:val="24"/>
          <w:lang w:val="en-GB" w:eastAsia="zh-CN"/>
        </w:rPr>
        <w:t xml:space="preserve"> </w:t>
      </w:r>
      <w:r w:rsidRPr="00073574">
        <w:rPr>
          <w:sz w:val="24"/>
          <w:szCs w:val="24"/>
          <w:lang w:val="en-GB" w:eastAsia="ko-KR"/>
        </w:rPr>
        <w:t>instruct study groups of the ITU Telecommunication Standardization Sector</w:t>
      </w:r>
    </w:p>
    <w:p w14:paraId="0A199731" w14:textId="77777777" w:rsidR="00F0236A" w:rsidRPr="00073574" w:rsidRDefault="00F0236A" w:rsidP="00F0236A">
      <w:pPr>
        <w:rPr>
          <w:sz w:val="24"/>
          <w:lang w:eastAsia="ko-KR"/>
        </w:rPr>
      </w:pPr>
      <w:r w:rsidRPr="00073574">
        <w:rPr>
          <w:sz w:val="24"/>
          <w:lang w:eastAsia="ko-KR"/>
        </w:rPr>
        <w:t>1</w:t>
      </w:r>
      <w:r w:rsidRPr="00073574">
        <w:rPr>
          <w:sz w:val="24"/>
          <w:lang w:eastAsia="ko-KR"/>
        </w:rPr>
        <w:tab/>
        <w:t>to continue and enhance collaboration and cooperation with different standards development organizations (SDOs), industry forums, and open-source software projects on SDN, as appropriate, taking into account the outcome of TSAG work on open source;</w:t>
      </w:r>
    </w:p>
    <w:p w14:paraId="12C9F8DD" w14:textId="77777777" w:rsidR="00F0236A" w:rsidRPr="00073574" w:rsidRDefault="00F0236A" w:rsidP="00F0236A">
      <w:pPr>
        <w:rPr>
          <w:sz w:val="24"/>
          <w:lang w:eastAsia="ko-KR"/>
        </w:rPr>
      </w:pPr>
      <w:r w:rsidRPr="00073574">
        <w:rPr>
          <w:sz w:val="24"/>
          <w:lang w:eastAsia="ko-KR"/>
        </w:rPr>
        <w:t>2</w:t>
      </w:r>
      <w:r w:rsidRPr="00073574">
        <w:rPr>
          <w:sz w:val="24"/>
          <w:lang w:eastAsia="ko-KR"/>
        </w:rPr>
        <w:tab/>
        <w:t>to continue to expand and accelerate the work on SDN standardization, especially carrier SDN;</w:t>
      </w:r>
    </w:p>
    <w:p w14:paraId="695CE364" w14:textId="77777777" w:rsidR="00F0236A" w:rsidRPr="00073574" w:rsidRDefault="00F0236A" w:rsidP="00F0236A">
      <w:pPr>
        <w:rPr>
          <w:sz w:val="24"/>
          <w:lang w:eastAsia="ko-KR"/>
        </w:rPr>
      </w:pPr>
      <w:r w:rsidRPr="00073574">
        <w:rPr>
          <w:sz w:val="24"/>
          <w:lang w:eastAsia="ko-KR"/>
        </w:rPr>
        <w:t>3</w:t>
      </w:r>
      <w:r w:rsidRPr="00073574">
        <w:rPr>
          <w:sz w:val="24"/>
          <w:lang w:eastAsia="ko-KR"/>
        </w:rPr>
        <w:tab/>
        <w:t>to research the advancement of emerging technology such as NFV container/docker to evolve the SDN technology;</w:t>
      </w:r>
    </w:p>
    <w:p w14:paraId="2B8C5A82" w14:textId="77777777" w:rsidR="00F0236A" w:rsidRPr="00073574" w:rsidRDefault="00F0236A" w:rsidP="00F0236A">
      <w:pPr>
        <w:rPr>
          <w:sz w:val="24"/>
          <w:lang w:eastAsia="ko-KR"/>
        </w:rPr>
      </w:pPr>
      <w:r w:rsidRPr="00073574">
        <w:rPr>
          <w:sz w:val="24"/>
          <w:lang w:eastAsia="ko-KR"/>
        </w:rPr>
        <w:t>4</w:t>
      </w:r>
      <w:r w:rsidRPr="00073574">
        <w:rPr>
          <w:sz w:val="24"/>
          <w:lang w:eastAsia="ko-KR"/>
        </w:rPr>
        <w:tab/>
        <w:t>to continue to develop the ITU</w:t>
      </w:r>
      <w:r w:rsidRPr="00073574">
        <w:rPr>
          <w:sz w:val="24"/>
          <w:lang w:eastAsia="ko-KR"/>
        </w:rPr>
        <w:noBreakHyphen/>
        <w:t>T SDN standards to enhance interoperability between the controller products;</w:t>
      </w:r>
    </w:p>
    <w:p w14:paraId="4278E546" w14:textId="77777777" w:rsidR="00F0236A" w:rsidRPr="00073574" w:rsidRDefault="00F0236A" w:rsidP="00F0236A">
      <w:pPr>
        <w:rPr>
          <w:sz w:val="24"/>
          <w:lang w:eastAsia="ko-KR"/>
        </w:rPr>
      </w:pPr>
      <w:r w:rsidRPr="00073574">
        <w:rPr>
          <w:sz w:val="24"/>
          <w:lang w:eastAsia="ko-KR"/>
        </w:rPr>
        <w:t>5</w:t>
      </w:r>
      <w:r w:rsidRPr="00073574">
        <w:rPr>
          <w:sz w:val="24"/>
          <w:lang w:eastAsia="ko-KR"/>
        </w:rPr>
        <w:tab/>
        <w:t>to consider the potential implications of the SDN orchestrator layer for ITU</w:t>
      </w:r>
      <w:r w:rsidRPr="00073574">
        <w:rPr>
          <w:sz w:val="24"/>
          <w:lang w:eastAsia="ko-KR"/>
        </w:rPr>
        <w:noBreakHyphen/>
        <w:t>T operation supporting system (OSS) related work,</w:t>
      </w:r>
    </w:p>
    <w:p w14:paraId="3300832D" w14:textId="77777777" w:rsidR="00F0236A" w:rsidRPr="00073574" w:rsidRDefault="00F0236A" w:rsidP="00F0236A">
      <w:pPr>
        <w:pStyle w:val="Call"/>
        <w:rPr>
          <w:sz w:val="24"/>
          <w:szCs w:val="24"/>
          <w:lang w:val="en-GB" w:eastAsia="ko-KR"/>
        </w:rPr>
      </w:pPr>
      <w:r w:rsidRPr="00073574">
        <w:rPr>
          <w:sz w:val="24"/>
          <w:szCs w:val="24"/>
          <w:lang w:val="en-GB" w:eastAsia="ko-KR"/>
        </w:rPr>
        <w:lastRenderedPageBreak/>
        <w:t>instructs Study Group 13</w:t>
      </w:r>
    </w:p>
    <w:p w14:paraId="35B51989" w14:textId="77777777" w:rsidR="00F0236A" w:rsidRPr="00073574" w:rsidRDefault="00F0236A" w:rsidP="00F0236A">
      <w:pPr>
        <w:rPr>
          <w:sz w:val="24"/>
          <w:lang w:eastAsia="ko-KR"/>
        </w:rPr>
      </w:pPr>
      <w:r w:rsidRPr="00073574">
        <w:rPr>
          <w:sz w:val="24"/>
          <w:lang w:eastAsia="ko-KR"/>
        </w:rPr>
        <w:t>to continue the JCA-SDN work, to coordinate and help plan the work so as to ensure that ITU-T SDN standardization is progressed in a well-coordinated manner and more efficiently among relevant study groups, to study the SDN-related work programmes (including NFV, programmable networks and network as a service) in ITU-T study groups, as well as in other SDOs, forums and consortia, for use in its coordination function, and to provide information on this work for use by the relevant study groups in planning their work,</w:t>
      </w:r>
    </w:p>
    <w:p w14:paraId="7FA15B7B" w14:textId="77777777" w:rsidR="00F0236A" w:rsidRPr="00073574" w:rsidRDefault="00F0236A" w:rsidP="00F0236A">
      <w:pPr>
        <w:pStyle w:val="Call"/>
        <w:rPr>
          <w:sz w:val="24"/>
          <w:szCs w:val="24"/>
          <w:rtl/>
          <w:lang w:val="en-GB" w:eastAsia="ko-KR"/>
        </w:rPr>
      </w:pPr>
      <w:r w:rsidRPr="00073574">
        <w:rPr>
          <w:sz w:val="24"/>
          <w:szCs w:val="24"/>
          <w:lang w:val="en-GB" w:eastAsia="ko-KR"/>
        </w:rPr>
        <w:t>instructs the Telecommunication Standardization Advisory Group</w:t>
      </w:r>
    </w:p>
    <w:p w14:paraId="6C3F7F28" w14:textId="5934FB2E" w:rsidR="00F0236A" w:rsidRPr="00073574" w:rsidRDefault="00F0236A" w:rsidP="00F0236A">
      <w:pPr>
        <w:rPr>
          <w:rFonts w:eastAsia="SimSun"/>
          <w:sz w:val="24"/>
          <w:lang w:eastAsia="zh-CN"/>
        </w:rPr>
      </w:pPr>
      <w:r w:rsidRPr="00073574">
        <w:rPr>
          <w:sz w:val="24"/>
        </w:rPr>
        <w:t xml:space="preserve">to examine the matter, consider the input of study groups and take the necessary actions, as appropriate, with a view </w:t>
      </w:r>
      <w:r w:rsidRPr="00073574">
        <w:rPr>
          <w:rFonts w:eastAsia="SimSun"/>
          <w:sz w:val="24"/>
          <w:lang w:eastAsia="zh-CN"/>
        </w:rPr>
        <w:t xml:space="preserve">to deciding </w:t>
      </w:r>
      <w:r w:rsidRPr="00073574">
        <w:rPr>
          <w:sz w:val="24"/>
        </w:rPr>
        <w:t>on</w:t>
      </w:r>
      <w:r w:rsidRPr="00073574">
        <w:rPr>
          <w:rFonts w:eastAsia="SimSun"/>
          <w:sz w:val="24"/>
          <w:lang w:eastAsia="zh-CN"/>
        </w:rPr>
        <w:t xml:space="preserve"> the necessary SDN standardization </w:t>
      </w:r>
      <w:r w:rsidRPr="00073574">
        <w:rPr>
          <w:sz w:val="24"/>
        </w:rPr>
        <w:t>activities</w:t>
      </w:r>
      <w:r w:rsidRPr="00073574">
        <w:rPr>
          <w:rFonts w:eastAsia="SimSun"/>
          <w:sz w:val="24"/>
          <w:lang w:eastAsia="zh-CN"/>
        </w:rPr>
        <w:t xml:space="preserve"> in ITU</w:t>
      </w:r>
      <w:r w:rsidRPr="00073574">
        <w:rPr>
          <w:rFonts w:eastAsia="SimSun"/>
          <w:sz w:val="24"/>
          <w:lang w:eastAsia="zh-CN"/>
        </w:rPr>
        <w:noBreakHyphen/>
        <w:t>T,</w:t>
      </w:r>
      <w:r w:rsidRPr="00073574">
        <w:rPr>
          <w:sz w:val="24"/>
        </w:rPr>
        <w:t xml:space="preserve"> with the following actions</w:t>
      </w:r>
      <w:r w:rsidR="00E31596" w:rsidRPr="00073574">
        <w:rPr>
          <w:rFonts w:eastAsia="SimSun"/>
          <w:sz w:val="24"/>
          <w:lang w:eastAsia="zh-CN"/>
        </w:rPr>
        <w:t>:</w:t>
      </w:r>
    </w:p>
    <w:p w14:paraId="5AFE1CF0" w14:textId="77777777" w:rsidR="00F0236A" w:rsidRPr="00073574" w:rsidRDefault="00F0236A" w:rsidP="00F0236A">
      <w:pPr>
        <w:pStyle w:val="enumlev10"/>
        <w:rPr>
          <w:sz w:val="24"/>
          <w:szCs w:val="24"/>
        </w:rPr>
      </w:pPr>
      <w:r w:rsidRPr="00073574">
        <w:rPr>
          <w:sz w:val="24"/>
          <w:szCs w:val="24"/>
        </w:rPr>
        <w:t>•</w:t>
      </w:r>
      <w:r w:rsidRPr="00073574">
        <w:rPr>
          <w:sz w:val="24"/>
          <w:szCs w:val="24"/>
        </w:rPr>
        <w:tab/>
        <w:t>to continue coordination and assistance in SDN standardization across different ITU</w:t>
      </w:r>
      <w:r w:rsidRPr="00073574">
        <w:rPr>
          <w:sz w:val="24"/>
          <w:szCs w:val="24"/>
        </w:rPr>
        <w:noBreakHyphen/>
        <w:t>T study groups effectively and efficiently;</w:t>
      </w:r>
    </w:p>
    <w:p w14:paraId="61A90352" w14:textId="1468C7A8" w:rsidR="00F0236A" w:rsidRPr="00073574" w:rsidRDefault="00F0236A" w:rsidP="00F0236A">
      <w:pPr>
        <w:pStyle w:val="enumlev10"/>
        <w:rPr>
          <w:sz w:val="24"/>
          <w:szCs w:val="24"/>
        </w:rPr>
      </w:pPr>
      <w:r w:rsidRPr="00073574">
        <w:rPr>
          <w:sz w:val="24"/>
          <w:szCs w:val="24"/>
        </w:rPr>
        <w:t>•</w:t>
      </w:r>
      <w:r w:rsidRPr="00073574">
        <w:rPr>
          <w:sz w:val="24"/>
          <w:szCs w:val="24"/>
        </w:rPr>
        <w:tab/>
        <w:t>to continue collaboration with other SDN-relat</w:t>
      </w:r>
      <w:r w:rsidR="00E31596" w:rsidRPr="00073574">
        <w:rPr>
          <w:sz w:val="24"/>
          <w:szCs w:val="24"/>
        </w:rPr>
        <w:t>ed standards bodies and forums;</w:t>
      </w:r>
    </w:p>
    <w:p w14:paraId="2BF13C5A" w14:textId="77777777" w:rsidR="00F0236A" w:rsidRPr="00073574" w:rsidRDefault="00F0236A" w:rsidP="00F0236A">
      <w:pPr>
        <w:pStyle w:val="enumlev10"/>
        <w:rPr>
          <w:sz w:val="24"/>
          <w:szCs w:val="24"/>
        </w:rPr>
      </w:pPr>
      <w:r w:rsidRPr="00073574">
        <w:rPr>
          <w:sz w:val="24"/>
          <w:szCs w:val="24"/>
        </w:rPr>
        <w:t>•</w:t>
      </w:r>
      <w:r w:rsidRPr="00073574">
        <w:rPr>
          <w:sz w:val="24"/>
          <w:szCs w:val="24"/>
        </w:rPr>
        <w:tab/>
        <w:t>to coordinate the work on technical issues of SDN across the study groups according to their areas of expertise;</w:t>
      </w:r>
    </w:p>
    <w:p w14:paraId="60A5212F" w14:textId="77777777" w:rsidR="00F0236A" w:rsidRPr="00073574" w:rsidRDefault="00F0236A" w:rsidP="00F0236A">
      <w:pPr>
        <w:pStyle w:val="enumlev10"/>
        <w:rPr>
          <w:sz w:val="24"/>
          <w:szCs w:val="24"/>
        </w:rPr>
      </w:pPr>
      <w:r w:rsidRPr="00073574">
        <w:rPr>
          <w:sz w:val="24"/>
          <w:szCs w:val="24"/>
        </w:rPr>
        <w:t>•</w:t>
      </w:r>
      <w:r w:rsidRPr="00073574">
        <w:rPr>
          <w:sz w:val="24"/>
          <w:szCs w:val="24"/>
        </w:rPr>
        <w:tab/>
        <w:t>to define a clear strategic vision for SDN standardization and an important active role that ITU</w:t>
      </w:r>
      <w:r w:rsidRPr="00073574">
        <w:rPr>
          <w:sz w:val="24"/>
          <w:szCs w:val="24"/>
        </w:rPr>
        <w:noBreakHyphen/>
        <w:t>T should play,</w:t>
      </w:r>
    </w:p>
    <w:p w14:paraId="39F6F5C5" w14:textId="77777777" w:rsidR="00F0236A" w:rsidRPr="00073574" w:rsidRDefault="00F0236A" w:rsidP="00F0236A">
      <w:pPr>
        <w:pStyle w:val="Call"/>
        <w:rPr>
          <w:sz w:val="24"/>
          <w:szCs w:val="24"/>
          <w:lang w:val="en-GB" w:eastAsia="ko-KR"/>
        </w:rPr>
      </w:pPr>
      <w:r w:rsidRPr="00073574">
        <w:rPr>
          <w:sz w:val="24"/>
          <w:szCs w:val="24"/>
          <w:lang w:val="en-GB"/>
        </w:rPr>
        <w:t>instructs the Director of the Telecommunication Standardization Bureau</w:t>
      </w:r>
    </w:p>
    <w:p w14:paraId="523F5D68" w14:textId="77777777" w:rsidR="00F0236A" w:rsidRPr="00073574" w:rsidRDefault="00F0236A" w:rsidP="00F0236A">
      <w:pPr>
        <w:rPr>
          <w:rFonts w:eastAsia="SimSun"/>
          <w:sz w:val="24"/>
          <w:lang w:eastAsia="zh-CN"/>
        </w:rPr>
      </w:pPr>
      <w:r w:rsidRPr="00073574">
        <w:rPr>
          <w:rFonts w:eastAsia="SimSun"/>
          <w:sz w:val="24"/>
          <w:lang w:eastAsia="zh-CN"/>
        </w:rPr>
        <w:t>1</w:t>
      </w:r>
      <w:r w:rsidRPr="00073574">
        <w:rPr>
          <w:rFonts w:eastAsia="SimSun"/>
          <w:sz w:val="24"/>
          <w:lang w:eastAsia="zh-CN"/>
        </w:rPr>
        <w:tab/>
      </w:r>
      <w:r w:rsidRPr="00073574">
        <w:rPr>
          <w:sz w:val="24"/>
        </w:rPr>
        <w:t>to</w:t>
      </w:r>
      <w:r w:rsidRPr="00073574">
        <w:rPr>
          <w:color w:val="000000"/>
          <w:sz w:val="24"/>
        </w:rPr>
        <w:t> </w:t>
      </w:r>
      <w:r w:rsidRPr="00073574">
        <w:rPr>
          <w:sz w:val="24"/>
        </w:rPr>
        <w:t>provide</w:t>
      </w:r>
      <w:r w:rsidRPr="00073574">
        <w:rPr>
          <w:color w:val="000000"/>
          <w:sz w:val="24"/>
        </w:rPr>
        <w:t xml:space="preserve"> the </w:t>
      </w:r>
      <w:r w:rsidRPr="00073574">
        <w:rPr>
          <w:sz w:val="24"/>
        </w:rPr>
        <w:t>necessary assistance with</w:t>
      </w:r>
      <w:r w:rsidRPr="00073574">
        <w:rPr>
          <w:color w:val="000000"/>
          <w:sz w:val="24"/>
        </w:rPr>
        <w:t> </w:t>
      </w:r>
      <w:r w:rsidRPr="00073574">
        <w:rPr>
          <w:sz w:val="24"/>
        </w:rPr>
        <w:t>a</w:t>
      </w:r>
      <w:r w:rsidRPr="00073574">
        <w:rPr>
          <w:color w:val="000000"/>
          <w:sz w:val="24"/>
        </w:rPr>
        <w:t> </w:t>
      </w:r>
      <w:r w:rsidRPr="00073574">
        <w:rPr>
          <w:sz w:val="24"/>
        </w:rPr>
        <w:t>view to expediting</w:t>
      </w:r>
      <w:r w:rsidRPr="00073574">
        <w:rPr>
          <w:color w:val="000000"/>
          <w:sz w:val="24"/>
        </w:rPr>
        <w:t> </w:t>
      </w:r>
      <w:r w:rsidRPr="00073574">
        <w:rPr>
          <w:sz w:val="24"/>
        </w:rPr>
        <w:t>such efforts, in particular using any opportunity within the allocated budget</w:t>
      </w:r>
      <w:r w:rsidRPr="00073574">
        <w:rPr>
          <w:rFonts w:eastAsia="SimSun"/>
          <w:sz w:val="24"/>
          <w:lang w:eastAsia="zh-CN"/>
        </w:rPr>
        <w:t xml:space="preserve"> to exchange opinions with the telecommunication/ICT industry, </w:t>
      </w:r>
      <w:r w:rsidRPr="00073574">
        <w:rPr>
          <w:color w:val="000000"/>
          <w:sz w:val="24"/>
        </w:rPr>
        <w:t>including through</w:t>
      </w:r>
      <w:r w:rsidRPr="00073574">
        <w:rPr>
          <w:rFonts w:eastAsia="SimSun"/>
          <w:sz w:val="24"/>
          <w:lang w:eastAsia="zh-CN"/>
        </w:rPr>
        <w:t xml:space="preserve"> the chief technology officer (CTO) meetings under Resolution 68 (Rev. Hammamet, 2016) of this assembly and in particular to promote participation of the industry in SDN standardization work in ITU</w:t>
      </w:r>
      <w:r w:rsidRPr="00073574">
        <w:rPr>
          <w:rFonts w:eastAsia="SimSun"/>
          <w:sz w:val="24"/>
          <w:lang w:eastAsia="zh-CN"/>
        </w:rPr>
        <w:noBreakHyphen/>
        <w:t>T;</w:t>
      </w:r>
    </w:p>
    <w:p w14:paraId="63EF4CA0" w14:textId="77777777" w:rsidR="00F0236A" w:rsidRPr="00073574" w:rsidRDefault="00F0236A" w:rsidP="00F0236A">
      <w:pPr>
        <w:rPr>
          <w:rFonts w:eastAsia="SimSun"/>
          <w:sz w:val="24"/>
          <w:lang w:eastAsia="zh-CN"/>
        </w:rPr>
      </w:pPr>
      <w:r w:rsidRPr="00073574">
        <w:rPr>
          <w:rFonts w:eastAsia="SimSun"/>
          <w:sz w:val="24"/>
          <w:lang w:eastAsia="zh-CN"/>
        </w:rPr>
        <w:t>2</w:t>
      </w:r>
      <w:r w:rsidRPr="00073574">
        <w:rPr>
          <w:rFonts w:eastAsia="SimSun"/>
          <w:sz w:val="24"/>
          <w:lang w:eastAsia="zh-CN"/>
        </w:rPr>
        <w:tab/>
      </w:r>
      <w:r w:rsidRPr="00073574">
        <w:rPr>
          <w:sz w:val="24"/>
          <w:lang w:eastAsia="zh-CN"/>
        </w:rPr>
        <w:t>to conduct workshops, with other relevant organizations, for capacity building on SDN, so that the gap in technology adoption in developing countries may be bridged at the early stages of implementation of SDN-based networks, and to organize the annual SDN&amp;NFV workshop with open source solutions representation to share the progress in SDN/NFV standards and real experience in the current carrier network</w:t>
      </w:r>
      <w:r w:rsidRPr="00073574">
        <w:rPr>
          <w:rFonts w:eastAsia="SimSun"/>
          <w:sz w:val="24"/>
          <w:lang w:eastAsia="zh-CN"/>
        </w:rPr>
        <w:t>,</w:t>
      </w:r>
    </w:p>
    <w:p w14:paraId="6E5B7AE7" w14:textId="77777777" w:rsidR="00F0236A" w:rsidRPr="00073574" w:rsidRDefault="00F0236A" w:rsidP="00F0236A">
      <w:pPr>
        <w:pStyle w:val="Call"/>
        <w:rPr>
          <w:sz w:val="24"/>
          <w:szCs w:val="24"/>
          <w:rtl/>
          <w:lang w:val="en-GB"/>
        </w:rPr>
      </w:pPr>
      <w:r w:rsidRPr="00073574">
        <w:rPr>
          <w:sz w:val="24"/>
          <w:szCs w:val="24"/>
          <w:lang w:val="en-GB"/>
        </w:rPr>
        <w:t>invites Member States</w:t>
      </w:r>
      <w:r w:rsidRPr="00073574">
        <w:rPr>
          <w:rFonts w:eastAsia="MS Mincho"/>
          <w:sz w:val="24"/>
          <w:szCs w:val="24"/>
          <w:lang w:val="en-GB" w:eastAsia="ja-JP"/>
        </w:rPr>
        <w:t>,</w:t>
      </w:r>
      <w:r w:rsidRPr="00073574">
        <w:rPr>
          <w:sz w:val="24"/>
          <w:szCs w:val="24"/>
          <w:lang w:val="en-GB"/>
        </w:rPr>
        <w:t xml:space="preserve"> Sector Members</w:t>
      </w:r>
      <w:r w:rsidRPr="00073574">
        <w:rPr>
          <w:rFonts w:eastAsia="MS Mincho"/>
          <w:sz w:val="24"/>
          <w:szCs w:val="24"/>
          <w:lang w:val="en-GB" w:eastAsia="ja-JP"/>
        </w:rPr>
        <w:t>, Associates and academia</w:t>
      </w:r>
    </w:p>
    <w:p w14:paraId="4686D585" w14:textId="77777777" w:rsidR="00F0236A" w:rsidRPr="00073574" w:rsidRDefault="00F0236A" w:rsidP="00F0236A">
      <w:pPr>
        <w:spacing w:after="240"/>
        <w:rPr>
          <w:i/>
          <w:iCs/>
          <w:sz w:val="24"/>
        </w:rPr>
      </w:pPr>
      <w:r w:rsidRPr="00073574">
        <w:rPr>
          <w:sz w:val="24"/>
        </w:rPr>
        <w:t xml:space="preserve">to submit contributions </w:t>
      </w:r>
      <w:r w:rsidRPr="00073574">
        <w:rPr>
          <w:rFonts w:eastAsia="SimSun"/>
          <w:sz w:val="24"/>
          <w:lang w:eastAsia="zh-CN"/>
        </w:rPr>
        <w:t>for developing SDN standardization in ITU</w:t>
      </w:r>
      <w:r w:rsidRPr="00073574">
        <w:rPr>
          <w:rFonts w:eastAsia="SimSun"/>
          <w:sz w:val="24"/>
          <w:lang w:eastAsia="zh-CN"/>
        </w:rPr>
        <w:noBreakHyphen/>
        <w:t>T.</w:t>
      </w:r>
    </w:p>
    <w:tbl>
      <w:tblPr>
        <w:tblW w:w="99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95"/>
        <w:gridCol w:w="4689"/>
        <w:gridCol w:w="1683"/>
        <w:gridCol w:w="1129"/>
        <w:gridCol w:w="1336"/>
      </w:tblGrid>
      <w:tr w:rsidR="00F0236A" w:rsidRPr="00073574" w14:paraId="786E3470" w14:textId="77777777" w:rsidTr="00980D27">
        <w:trPr>
          <w:cantSplit/>
          <w:tblHeader/>
          <w:jc w:val="center"/>
        </w:trPr>
        <w:tc>
          <w:tcPr>
            <w:tcW w:w="1095" w:type="dxa"/>
            <w:tcBorders>
              <w:top w:val="single" w:sz="12" w:space="0" w:color="auto"/>
              <w:bottom w:val="single" w:sz="12" w:space="0" w:color="auto"/>
            </w:tcBorders>
            <w:shd w:val="clear" w:color="auto" w:fill="auto"/>
            <w:vAlign w:val="center"/>
          </w:tcPr>
          <w:p w14:paraId="3DBA34D8" w14:textId="77777777" w:rsidR="00F0236A" w:rsidRPr="00073574" w:rsidRDefault="00F0236A" w:rsidP="00F30338">
            <w:pPr>
              <w:pStyle w:val="Tablehead"/>
              <w:keepNext w:val="0"/>
              <w:rPr>
                <w:sz w:val="24"/>
                <w:szCs w:val="24"/>
              </w:rPr>
            </w:pPr>
            <w:r w:rsidRPr="00073574">
              <w:rPr>
                <w:sz w:val="24"/>
                <w:szCs w:val="24"/>
              </w:rPr>
              <w:t>Action Item</w:t>
            </w:r>
          </w:p>
        </w:tc>
        <w:tc>
          <w:tcPr>
            <w:tcW w:w="4689" w:type="dxa"/>
            <w:tcBorders>
              <w:top w:val="single" w:sz="12" w:space="0" w:color="auto"/>
              <w:bottom w:val="single" w:sz="12" w:space="0" w:color="auto"/>
            </w:tcBorders>
            <w:shd w:val="clear" w:color="auto" w:fill="auto"/>
            <w:vAlign w:val="center"/>
            <w:hideMark/>
          </w:tcPr>
          <w:p w14:paraId="2B8A2108" w14:textId="77777777" w:rsidR="00F0236A" w:rsidRPr="00073574" w:rsidRDefault="00F0236A" w:rsidP="00F30338">
            <w:pPr>
              <w:pStyle w:val="Tablehead"/>
              <w:keepNext w:val="0"/>
              <w:rPr>
                <w:sz w:val="24"/>
                <w:szCs w:val="24"/>
              </w:rPr>
            </w:pPr>
            <w:r w:rsidRPr="00073574">
              <w:rPr>
                <w:sz w:val="24"/>
                <w:szCs w:val="24"/>
              </w:rPr>
              <w:t>Action</w:t>
            </w:r>
          </w:p>
        </w:tc>
        <w:tc>
          <w:tcPr>
            <w:tcW w:w="1683" w:type="dxa"/>
            <w:tcBorders>
              <w:top w:val="single" w:sz="12" w:space="0" w:color="auto"/>
              <w:bottom w:val="single" w:sz="12" w:space="0" w:color="auto"/>
            </w:tcBorders>
            <w:shd w:val="clear" w:color="auto" w:fill="auto"/>
            <w:vAlign w:val="center"/>
            <w:hideMark/>
          </w:tcPr>
          <w:p w14:paraId="6D21EC39" w14:textId="77777777" w:rsidR="00F0236A" w:rsidRPr="00073574" w:rsidRDefault="00F0236A" w:rsidP="00F30338">
            <w:pPr>
              <w:pStyle w:val="Tablehead"/>
              <w:keepNext w:val="0"/>
              <w:rPr>
                <w:sz w:val="24"/>
                <w:szCs w:val="24"/>
              </w:rPr>
            </w:pPr>
            <w:r w:rsidRPr="00073574">
              <w:rPr>
                <w:sz w:val="24"/>
                <w:szCs w:val="24"/>
              </w:rPr>
              <w:t>Milestone</w:t>
            </w:r>
          </w:p>
        </w:tc>
        <w:tc>
          <w:tcPr>
            <w:tcW w:w="1129" w:type="dxa"/>
            <w:tcBorders>
              <w:top w:val="single" w:sz="12" w:space="0" w:color="auto"/>
              <w:bottom w:val="single" w:sz="12" w:space="0" w:color="auto"/>
            </w:tcBorders>
            <w:shd w:val="clear" w:color="auto" w:fill="auto"/>
          </w:tcPr>
          <w:p w14:paraId="49702903" w14:textId="77777777" w:rsidR="00F0236A" w:rsidRPr="00073574" w:rsidRDefault="00F0236A" w:rsidP="00F30338">
            <w:pPr>
              <w:pStyle w:val="Tablehead"/>
              <w:keepNext w:val="0"/>
              <w:rPr>
                <w:sz w:val="24"/>
                <w:szCs w:val="24"/>
              </w:rPr>
            </w:pPr>
            <w:r w:rsidRPr="00073574">
              <w:rPr>
                <w:sz w:val="24"/>
                <w:szCs w:val="24"/>
              </w:rPr>
              <w:t>Periodic goals met</w:t>
            </w:r>
          </w:p>
        </w:tc>
        <w:tc>
          <w:tcPr>
            <w:tcW w:w="1336" w:type="dxa"/>
            <w:tcBorders>
              <w:top w:val="single" w:sz="12" w:space="0" w:color="auto"/>
              <w:bottom w:val="single" w:sz="12" w:space="0" w:color="auto"/>
            </w:tcBorders>
            <w:shd w:val="clear" w:color="auto" w:fill="auto"/>
            <w:vAlign w:val="center"/>
          </w:tcPr>
          <w:p w14:paraId="6EE23DEA" w14:textId="77777777" w:rsidR="00F0236A" w:rsidRPr="00073574" w:rsidRDefault="00F0236A" w:rsidP="00F30338">
            <w:pPr>
              <w:pStyle w:val="Tablehead"/>
              <w:keepNext w:val="0"/>
              <w:rPr>
                <w:sz w:val="24"/>
                <w:szCs w:val="24"/>
              </w:rPr>
            </w:pPr>
            <w:r w:rsidRPr="00073574">
              <w:rPr>
                <w:sz w:val="24"/>
                <w:szCs w:val="24"/>
              </w:rPr>
              <w:t>Completed</w:t>
            </w:r>
          </w:p>
        </w:tc>
      </w:tr>
      <w:tr w:rsidR="00F0236A" w:rsidRPr="00073574" w14:paraId="562028CF" w14:textId="77777777" w:rsidTr="00980D27">
        <w:trPr>
          <w:jc w:val="center"/>
        </w:trPr>
        <w:tc>
          <w:tcPr>
            <w:tcW w:w="1095" w:type="dxa"/>
            <w:vMerge w:val="restart"/>
            <w:tcBorders>
              <w:top w:val="single" w:sz="12" w:space="0" w:color="auto"/>
            </w:tcBorders>
            <w:shd w:val="clear" w:color="auto" w:fill="auto"/>
          </w:tcPr>
          <w:p w14:paraId="36DEA566" w14:textId="77777777" w:rsidR="00F0236A" w:rsidRPr="00073574" w:rsidRDefault="00F0236A" w:rsidP="00F30338">
            <w:pPr>
              <w:pStyle w:val="Tabletext"/>
              <w:rPr>
                <w:b/>
                <w:bCs/>
                <w:sz w:val="24"/>
                <w:szCs w:val="24"/>
              </w:rPr>
            </w:pPr>
            <w:r w:rsidRPr="00073574">
              <w:rPr>
                <w:b/>
                <w:bCs/>
                <w:sz w:val="24"/>
                <w:szCs w:val="24"/>
              </w:rPr>
              <w:t>77-01</w:t>
            </w:r>
          </w:p>
        </w:tc>
        <w:tc>
          <w:tcPr>
            <w:tcW w:w="4689" w:type="dxa"/>
            <w:tcBorders>
              <w:top w:val="single" w:sz="12" w:space="0" w:color="auto"/>
              <w:bottom w:val="single" w:sz="2" w:space="0" w:color="auto"/>
            </w:tcBorders>
            <w:shd w:val="clear" w:color="auto" w:fill="auto"/>
            <w:hideMark/>
          </w:tcPr>
          <w:p w14:paraId="167C0583" w14:textId="77777777" w:rsidR="00F0236A" w:rsidRPr="00073574" w:rsidRDefault="00F0236A" w:rsidP="00F30338">
            <w:pPr>
              <w:pStyle w:val="Tabletext"/>
              <w:rPr>
                <w:b/>
                <w:bCs/>
                <w:sz w:val="24"/>
                <w:szCs w:val="24"/>
              </w:rPr>
            </w:pPr>
            <w:r w:rsidRPr="00073574">
              <w:rPr>
                <w:b/>
                <w:bCs/>
                <w:sz w:val="24"/>
                <w:szCs w:val="24"/>
              </w:rPr>
              <w:t xml:space="preserve">SGs to continue to expand and accelerate work on SDN standardization, </w:t>
            </w:r>
            <w:r w:rsidRPr="00073574">
              <w:rPr>
                <w:b/>
                <w:bCs/>
                <w:sz w:val="24"/>
                <w:szCs w:val="24"/>
                <w:lang w:eastAsia="ko-KR"/>
              </w:rPr>
              <w:t>especially carrier SDN (resolves SG 2)</w:t>
            </w:r>
          </w:p>
        </w:tc>
        <w:tc>
          <w:tcPr>
            <w:tcW w:w="1683" w:type="dxa"/>
            <w:tcBorders>
              <w:top w:val="single" w:sz="12" w:space="0" w:color="auto"/>
              <w:bottom w:val="single" w:sz="2" w:space="0" w:color="auto"/>
            </w:tcBorders>
            <w:shd w:val="clear" w:color="auto" w:fill="auto"/>
            <w:vAlign w:val="center"/>
          </w:tcPr>
          <w:p w14:paraId="2EEC22B2" w14:textId="77777777" w:rsidR="00F0236A" w:rsidRPr="00073574" w:rsidRDefault="00F0236A" w:rsidP="00F30338">
            <w:pPr>
              <w:pStyle w:val="Tabletext"/>
              <w:jc w:val="center"/>
              <w:rPr>
                <w:b/>
                <w:bCs/>
                <w:sz w:val="24"/>
                <w:szCs w:val="24"/>
              </w:rPr>
            </w:pPr>
            <w:r w:rsidRPr="00073574">
              <w:rPr>
                <w:b/>
                <w:bCs/>
                <w:sz w:val="24"/>
                <w:szCs w:val="24"/>
              </w:rPr>
              <w:t>Ongoing</w:t>
            </w:r>
          </w:p>
        </w:tc>
        <w:tc>
          <w:tcPr>
            <w:tcW w:w="1129" w:type="dxa"/>
            <w:tcBorders>
              <w:top w:val="single" w:sz="12" w:space="0" w:color="auto"/>
              <w:bottom w:val="single" w:sz="2" w:space="0" w:color="auto"/>
            </w:tcBorders>
            <w:shd w:val="clear" w:color="auto" w:fill="auto"/>
            <w:vAlign w:val="center"/>
          </w:tcPr>
          <w:p w14:paraId="33FBD1AB" w14:textId="77777777" w:rsidR="00F0236A" w:rsidRPr="00073574" w:rsidRDefault="00F0236A" w:rsidP="00F30338">
            <w:pPr>
              <w:pStyle w:val="Tabletext"/>
              <w:jc w:val="center"/>
              <w:rPr>
                <w:b/>
                <w:bCs/>
                <w:sz w:val="24"/>
                <w:szCs w:val="24"/>
              </w:rPr>
            </w:pPr>
            <w:r w:rsidRPr="00073574">
              <w:rPr>
                <w:b/>
                <w:bCs/>
                <w:sz w:val="24"/>
                <w:szCs w:val="24"/>
              </w:rPr>
              <w:t>√</w:t>
            </w:r>
          </w:p>
        </w:tc>
        <w:tc>
          <w:tcPr>
            <w:tcW w:w="1336" w:type="dxa"/>
            <w:tcBorders>
              <w:top w:val="single" w:sz="12" w:space="0" w:color="auto"/>
              <w:bottom w:val="single" w:sz="2" w:space="0" w:color="auto"/>
            </w:tcBorders>
            <w:shd w:val="clear" w:color="auto" w:fill="auto"/>
            <w:vAlign w:val="center"/>
          </w:tcPr>
          <w:p w14:paraId="5EA76024" w14:textId="77777777" w:rsidR="00F0236A" w:rsidRPr="00073574" w:rsidRDefault="00F0236A" w:rsidP="00F30338">
            <w:pPr>
              <w:pStyle w:val="Tabletext"/>
              <w:jc w:val="center"/>
              <w:rPr>
                <w:b/>
                <w:bCs/>
                <w:sz w:val="24"/>
                <w:szCs w:val="24"/>
              </w:rPr>
            </w:pPr>
          </w:p>
        </w:tc>
      </w:tr>
      <w:tr w:rsidR="00F0236A" w:rsidRPr="00073574" w14:paraId="5626B9EF" w14:textId="77777777" w:rsidTr="00980D27">
        <w:trPr>
          <w:jc w:val="center"/>
        </w:trPr>
        <w:tc>
          <w:tcPr>
            <w:tcW w:w="1095" w:type="dxa"/>
            <w:vMerge/>
          </w:tcPr>
          <w:p w14:paraId="2ACA5DF9" w14:textId="77777777" w:rsidR="00F0236A" w:rsidRPr="00073574" w:rsidRDefault="00F0236A" w:rsidP="00F30338">
            <w:pPr>
              <w:pStyle w:val="Tabletext"/>
              <w:rPr>
                <w:sz w:val="24"/>
                <w:szCs w:val="24"/>
              </w:rPr>
            </w:pPr>
          </w:p>
        </w:tc>
        <w:tc>
          <w:tcPr>
            <w:tcW w:w="8837" w:type="dxa"/>
            <w:gridSpan w:val="4"/>
            <w:tcBorders>
              <w:top w:val="single" w:sz="2" w:space="0" w:color="auto"/>
            </w:tcBorders>
            <w:shd w:val="clear" w:color="auto" w:fill="auto"/>
          </w:tcPr>
          <w:p w14:paraId="15C1731C" w14:textId="3F7A0CE6" w:rsidR="0065141D" w:rsidRPr="00073574" w:rsidRDefault="00F0236A" w:rsidP="00F30338">
            <w:pPr>
              <w:pStyle w:val="ListParagraph"/>
              <w:numPr>
                <w:ilvl w:val="0"/>
                <w:numId w:val="24"/>
              </w:numPr>
              <w:spacing w:before="40"/>
              <w:ind w:left="357" w:hanging="357"/>
              <w:contextualSpacing w:val="0"/>
              <w:rPr>
                <w:rFonts w:eastAsia="Times New Roman"/>
              </w:rPr>
            </w:pPr>
            <w:r w:rsidRPr="00073574">
              <w:t xml:space="preserve">SG2: A new work item M.inomsa on </w:t>
            </w:r>
            <w:r w:rsidR="002D4D1F" w:rsidRPr="00073574">
              <w:t>“</w:t>
            </w:r>
            <w:r w:rsidRPr="00073574">
              <w:t>SDN/NFV based network operation system architecture</w:t>
            </w:r>
            <w:r w:rsidR="002D4D1F" w:rsidRPr="00073574">
              <w:t>”</w:t>
            </w:r>
            <w:r w:rsidRPr="00073574">
              <w:t xml:space="preserve"> (</w:t>
            </w:r>
            <w:r w:rsidR="00112C75" w:rsidRPr="00073574">
              <w:t>TD</w:t>
            </w:r>
            <w:r w:rsidRPr="00073574">
              <w:t>95 Rev.1 (GEN/2)) was agreed in the SG2 meeting of 29 March to 7 April 2017.</w:t>
            </w:r>
            <w:r w:rsidR="00DD503F" w:rsidRPr="00073574">
              <w:t xml:space="preserve"> The SG2 meeting of 27 November to 1 December 2017 agreed that the work item M.inomsa be changed to M.somm “Framework of smart operation, management and maintenance”</w:t>
            </w:r>
            <w:r w:rsidR="00875DD1" w:rsidRPr="00073574">
              <w:t xml:space="preserve">, and draft Recommendation ITU-T M.3041 “Framework of smart operation, management and maintenance” was </w:t>
            </w:r>
            <w:r w:rsidR="30508EEC" w:rsidRPr="00073574">
              <w:t>approv</w:t>
            </w:r>
            <w:r w:rsidR="14B29455" w:rsidRPr="00073574">
              <w:t>ed</w:t>
            </w:r>
            <w:r w:rsidR="00875DD1" w:rsidRPr="00073574">
              <w:t xml:space="preserve"> in </w:t>
            </w:r>
            <w:r w:rsidR="1F833901" w:rsidRPr="00073574">
              <w:t>February</w:t>
            </w:r>
            <w:r w:rsidR="14B29455" w:rsidRPr="00073574">
              <w:t xml:space="preserve"> 20</w:t>
            </w:r>
            <w:r w:rsidR="5910F137" w:rsidRPr="00073574">
              <w:t>20</w:t>
            </w:r>
            <w:r w:rsidR="00DD503F" w:rsidRPr="00073574">
              <w:t>.</w:t>
            </w:r>
            <w:r w:rsidR="0065141D" w:rsidRPr="00073574">
              <w:br/>
            </w:r>
            <w:r w:rsidR="0065141D" w:rsidRPr="00073574">
              <w:lastRenderedPageBreak/>
              <w:t xml:space="preserve">Recommendation ITU-T </w:t>
            </w:r>
            <w:r w:rsidR="00BB1E71" w:rsidRPr="00073574">
              <w:t xml:space="preserve">M.3373 (ex </w:t>
            </w:r>
            <w:r w:rsidR="0065141D" w:rsidRPr="00073574">
              <w:t>M.rcsnsm</w:t>
            </w:r>
            <w:r w:rsidR="00BB1E71" w:rsidRPr="00073574">
              <w:t>)</w:t>
            </w:r>
            <w:r w:rsidR="0065141D" w:rsidRPr="00073574">
              <w:t xml:space="preserve"> “Requirements for synergy management of cloud and SDN-based network”</w:t>
            </w:r>
            <w:r w:rsidR="00F83051" w:rsidRPr="00073574">
              <w:t xml:space="preserve"> was </w:t>
            </w:r>
            <w:r w:rsidR="00425822" w:rsidRPr="00073574">
              <w:t xml:space="preserve">Approved </w:t>
            </w:r>
            <w:r w:rsidR="00D51C6C" w:rsidRPr="00073574">
              <w:t xml:space="preserve">in October </w:t>
            </w:r>
            <w:r w:rsidR="00BA78E6" w:rsidRPr="00073574">
              <w:t>2020</w:t>
            </w:r>
            <w:r w:rsidR="0065141D" w:rsidRPr="00073574">
              <w:t>.</w:t>
            </w:r>
          </w:p>
          <w:p w14:paraId="7D2D81D9" w14:textId="67410A84" w:rsidR="007259D4" w:rsidRPr="00073574" w:rsidRDefault="007259D4" w:rsidP="00F30338">
            <w:pPr>
              <w:pStyle w:val="ListParagraph"/>
              <w:numPr>
                <w:ilvl w:val="0"/>
                <w:numId w:val="24"/>
              </w:numPr>
              <w:ind w:left="357" w:hanging="357"/>
              <w:contextualSpacing w:val="0"/>
            </w:pPr>
            <w:r w:rsidRPr="00073574">
              <w:t xml:space="preserve">SG5 </w:t>
            </w:r>
            <w:r w:rsidR="001F4E92" w:rsidRPr="00073574">
              <w:t>consented</w:t>
            </w:r>
            <w:r w:rsidRPr="00073574">
              <w:t xml:space="preserve"> draft Recommendation ITU-T </w:t>
            </w:r>
            <w:r w:rsidR="001F4E92" w:rsidRPr="00073574">
              <w:t>L.1362</w:t>
            </w:r>
            <w:r w:rsidRPr="00073574">
              <w:t xml:space="preserve"> “Interface for power management in </w:t>
            </w:r>
            <w:r w:rsidR="001F4E92" w:rsidRPr="00073574">
              <w:t xml:space="preserve">network function virtualization </w:t>
            </w:r>
            <w:r w:rsidRPr="00073574">
              <w:t xml:space="preserve">environments </w:t>
            </w:r>
            <w:r w:rsidR="002D4D1F" w:rsidRPr="00073574">
              <w:t>“</w:t>
            </w:r>
            <w:r w:rsidRPr="00073574">
              <w:t xml:space="preserve">Green </w:t>
            </w:r>
            <w:r w:rsidR="001F4E92" w:rsidRPr="00073574">
              <w:t>a</w:t>
            </w:r>
            <w:r w:rsidRPr="00073574">
              <w:t xml:space="preserve">bstraction </w:t>
            </w:r>
            <w:r w:rsidR="001F4E92" w:rsidRPr="00073574">
              <w:t>l</w:t>
            </w:r>
            <w:r w:rsidRPr="00073574">
              <w:t>ayer</w:t>
            </w:r>
            <w:r w:rsidR="001F4E92" w:rsidRPr="00073574">
              <w:t xml:space="preserve"> version </w:t>
            </w:r>
            <w:r w:rsidRPr="00073574">
              <w:t>2</w:t>
            </w:r>
            <w:r w:rsidR="002D4D1F" w:rsidRPr="00073574">
              <w:t>”</w:t>
            </w:r>
            <w:r w:rsidRPr="00073574">
              <w:t>”.</w:t>
            </w:r>
          </w:p>
          <w:p w14:paraId="2247CAE2" w14:textId="77777777" w:rsidR="00943B17" w:rsidRPr="00073574" w:rsidRDefault="00943B17" w:rsidP="00F30338">
            <w:pPr>
              <w:pStyle w:val="ListParagraph"/>
              <w:numPr>
                <w:ilvl w:val="0"/>
                <w:numId w:val="24"/>
              </w:numPr>
              <w:ind w:left="357" w:hanging="357"/>
              <w:contextualSpacing w:val="0"/>
            </w:pPr>
            <w:r w:rsidRPr="00073574">
              <w:t>SG11 approved several new Recommendations on SDN, as follows:</w:t>
            </w:r>
          </w:p>
          <w:p w14:paraId="373EFB4C" w14:textId="317C3D44" w:rsidR="00943B17" w:rsidRPr="00073574" w:rsidRDefault="00943B17" w:rsidP="0077474A">
            <w:pPr>
              <w:pStyle w:val="ListParagraph"/>
              <w:numPr>
                <w:ilvl w:val="0"/>
                <w:numId w:val="24"/>
              </w:numPr>
              <w:ind w:left="771" w:hanging="357"/>
              <w:contextualSpacing w:val="0"/>
              <w:rPr>
                <w:rFonts w:asciiTheme="majorBidi" w:hAnsiTheme="majorBidi" w:cstheme="majorBidi"/>
              </w:rPr>
            </w:pPr>
            <w:r w:rsidRPr="00073574">
              <w:rPr>
                <w:rFonts w:asciiTheme="majorBidi" w:hAnsiTheme="majorBidi" w:cstheme="majorBidi"/>
              </w:rPr>
              <w:t>ITU-T Q.3713: Signalling requirements for BNG (B</w:t>
            </w:r>
            <w:r w:rsidR="00E31596" w:rsidRPr="00073574">
              <w:rPr>
                <w:rFonts w:asciiTheme="majorBidi" w:hAnsiTheme="majorBidi" w:cstheme="majorBidi"/>
              </w:rPr>
              <w:t>roadband Network Gateway) pool;</w:t>
            </w:r>
          </w:p>
          <w:p w14:paraId="063B591F" w14:textId="77777777" w:rsidR="00943B17" w:rsidRPr="00073574" w:rsidRDefault="00943B17" w:rsidP="0077474A">
            <w:pPr>
              <w:pStyle w:val="ListParagraph"/>
              <w:numPr>
                <w:ilvl w:val="0"/>
                <w:numId w:val="24"/>
              </w:numPr>
              <w:ind w:left="771" w:hanging="357"/>
              <w:contextualSpacing w:val="0"/>
              <w:rPr>
                <w:rFonts w:asciiTheme="majorBidi" w:hAnsiTheme="majorBidi" w:cstheme="majorBidi"/>
              </w:rPr>
            </w:pPr>
            <w:r w:rsidRPr="00073574">
              <w:rPr>
                <w:rFonts w:asciiTheme="majorBidi" w:hAnsiTheme="majorBidi" w:cstheme="majorBidi"/>
              </w:rPr>
              <w:t>ITU-T Q.3740: Signalling Requirements for SDN and NFV based Central Office services;</w:t>
            </w:r>
          </w:p>
          <w:p w14:paraId="2DD6AAD1" w14:textId="77777777" w:rsidR="00943B17" w:rsidRPr="00073574" w:rsidRDefault="00943B17" w:rsidP="0077474A">
            <w:pPr>
              <w:pStyle w:val="ListParagraph"/>
              <w:numPr>
                <w:ilvl w:val="0"/>
                <w:numId w:val="24"/>
              </w:numPr>
              <w:ind w:left="771" w:hanging="357"/>
              <w:contextualSpacing w:val="0"/>
              <w:rPr>
                <w:rFonts w:asciiTheme="majorBidi" w:hAnsiTheme="majorBidi" w:cstheme="majorBidi"/>
              </w:rPr>
            </w:pPr>
            <w:r w:rsidRPr="00073574">
              <w:rPr>
                <w:rFonts w:asciiTheme="majorBidi" w:hAnsiTheme="majorBidi" w:cstheme="majorBidi"/>
              </w:rPr>
              <w:t>ITU-T Q.3715: Signalling requirements for dynamic bandwidth adjustment on demand on broadband network gateway implemented by software defined networking technologies;</w:t>
            </w:r>
          </w:p>
          <w:p w14:paraId="1F63E261" w14:textId="77777777" w:rsidR="00943B17" w:rsidRPr="00073574" w:rsidRDefault="00943B17" w:rsidP="0077474A">
            <w:pPr>
              <w:pStyle w:val="ListParagraph"/>
              <w:numPr>
                <w:ilvl w:val="0"/>
                <w:numId w:val="24"/>
              </w:numPr>
              <w:ind w:left="771" w:hanging="357"/>
              <w:contextualSpacing w:val="0"/>
            </w:pPr>
            <w:r w:rsidRPr="00073574">
              <w:rPr>
                <w:rFonts w:asciiTheme="majorBidi" w:hAnsiTheme="majorBidi" w:cstheme="majorBidi"/>
              </w:rPr>
              <w:t>ITU-T</w:t>
            </w:r>
            <w:r w:rsidRPr="00073574">
              <w:t xml:space="preserve"> Q.3714: Signalling requirements of SDN-based access networks with media independent management</w:t>
            </w:r>
            <w:r w:rsidRPr="00073574">
              <w:rPr>
                <w:rFonts w:asciiTheme="majorBidi" w:hAnsiTheme="majorBidi" w:cstheme="majorBidi"/>
              </w:rPr>
              <w:t xml:space="preserve"> capabilities;</w:t>
            </w:r>
          </w:p>
          <w:p w14:paraId="55F05D88" w14:textId="77777777" w:rsidR="00943B17" w:rsidRPr="00073574" w:rsidRDefault="00943B17" w:rsidP="0077474A">
            <w:pPr>
              <w:pStyle w:val="ListParagraph"/>
              <w:numPr>
                <w:ilvl w:val="0"/>
                <w:numId w:val="24"/>
              </w:numPr>
              <w:ind w:left="771" w:hanging="357"/>
              <w:contextualSpacing w:val="0"/>
              <w:rPr>
                <w:rFonts w:asciiTheme="majorBidi" w:hAnsiTheme="majorBidi" w:cstheme="majorBidi"/>
              </w:rPr>
            </w:pPr>
            <w:r w:rsidRPr="00073574">
              <w:rPr>
                <w:rFonts w:asciiTheme="majorBidi" w:hAnsiTheme="majorBidi" w:cstheme="majorBidi"/>
              </w:rPr>
              <w:t>ITU-T Q.3716: Signalling requirements for mapping between physical and virtual networks;</w:t>
            </w:r>
          </w:p>
          <w:p w14:paraId="0B6A8638" w14:textId="77777777" w:rsidR="00943B17" w:rsidRPr="00073574" w:rsidRDefault="00943B17" w:rsidP="0077474A">
            <w:pPr>
              <w:pStyle w:val="ListParagraph"/>
              <w:numPr>
                <w:ilvl w:val="0"/>
                <w:numId w:val="24"/>
              </w:numPr>
              <w:ind w:left="771" w:hanging="357"/>
              <w:contextualSpacing w:val="0"/>
              <w:rPr>
                <w:rFonts w:asciiTheme="majorBidi" w:hAnsiTheme="majorBidi" w:cstheme="majorBidi"/>
              </w:rPr>
            </w:pPr>
            <w:r w:rsidRPr="00073574">
              <w:rPr>
                <w:rFonts w:asciiTheme="majorBidi" w:hAnsiTheme="majorBidi" w:cstheme="majorBidi"/>
              </w:rPr>
              <w:t>ITU-T Q.3717: Signalling requirements for automatic management of IP address pool by SDN technologies on BNG;</w:t>
            </w:r>
          </w:p>
          <w:p w14:paraId="3759100B" w14:textId="3473FE0D" w:rsidR="00CA2D04" w:rsidRPr="00073574" w:rsidRDefault="00943B17" w:rsidP="0077474A">
            <w:pPr>
              <w:pStyle w:val="ListParagraph"/>
              <w:numPr>
                <w:ilvl w:val="0"/>
                <w:numId w:val="24"/>
              </w:numPr>
              <w:ind w:left="771" w:hanging="357"/>
              <w:contextualSpacing w:val="0"/>
              <w:rPr>
                <w:rFonts w:asciiTheme="majorBidi" w:hAnsiTheme="majorBidi" w:cstheme="majorBidi"/>
              </w:rPr>
            </w:pPr>
            <w:r w:rsidRPr="00073574">
              <w:rPr>
                <w:rFonts w:asciiTheme="majorBidi" w:hAnsiTheme="majorBidi" w:cstheme="majorBidi"/>
              </w:rPr>
              <w:t>ITU-T Q.3718: Signalling requirements of the Sew interface for Virtual Data Center</w:t>
            </w:r>
            <w:r w:rsidR="00CA2D04" w:rsidRPr="00073574">
              <w:rPr>
                <w:rFonts w:asciiTheme="majorBidi" w:hAnsiTheme="majorBidi" w:cstheme="majorBidi"/>
              </w:rPr>
              <w:t>;</w:t>
            </w:r>
          </w:p>
          <w:p w14:paraId="7499B909" w14:textId="6F0D68CF" w:rsidR="00377DCD" w:rsidRPr="00073574" w:rsidRDefault="00377DCD" w:rsidP="0077474A">
            <w:pPr>
              <w:pStyle w:val="ListParagraph"/>
              <w:numPr>
                <w:ilvl w:val="0"/>
                <w:numId w:val="24"/>
              </w:numPr>
              <w:ind w:left="771" w:hanging="357"/>
              <w:contextualSpacing w:val="0"/>
              <w:rPr>
                <w:rFonts w:asciiTheme="majorBidi" w:hAnsiTheme="majorBidi" w:cstheme="majorBidi"/>
              </w:rPr>
            </w:pPr>
            <w:r w:rsidRPr="00073574">
              <w:rPr>
                <w:rFonts w:asciiTheme="majorBidi" w:hAnsiTheme="majorBidi" w:cstheme="majorBidi"/>
              </w:rPr>
              <w:t>ITU-T Q.3719: Signalling requirements for the separation of control plane and user plane in vBNG (Broadband Network Gateway);</w:t>
            </w:r>
          </w:p>
          <w:p w14:paraId="707AAED4" w14:textId="15A8EEEC" w:rsidR="00FA3E53" w:rsidRPr="00073574" w:rsidRDefault="00FA3E53" w:rsidP="0077474A">
            <w:pPr>
              <w:pStyle w:val="ListParagraph"/>
              <w:numPr>
                <w:ilvl w:val="0"/>
                <w:numId w:val="24"/>
              </w:numPr>
              <w:contextualSpacing w:val="0"/>
              <w:rPr>
                <w:rFonts w:asciiTheme="majorBidi" w:hAnsiTheme="majorBidi" w:cstheme="majorBidi"/>
              </w:rPr>
            </w:pPr>
            <w:r w:rsidRPr="00073574">
              <w:rPr>
                <w:rFonts w:asciiTheme="majorBidi" w:hAnsiTheme="majorBidi" w:cstheme="majorBidi"/>
              </w:rPr>
              <w:t xml:space="preserve">ITU-T Q.3720: </w:t>
            </w:r>
            <w:r w:rsidR="00F83B7F" w:rsidRPr="00073574">
              <w:rPr>
                <w:rFonts w:asciiTheme="majorBidi" w:hAnsiTheme="majorBidi" w:cstheme="majorBidi"/>
              </w:rPr>
              <w:t>Procedures for virtualized broadband network gateway acceleration with programmable acceleration card;</w:t>
            </w:r>
          </w:p>
          <w:p w14:paraId="485C7B97" w14:textId="77777777" w:rsidR="00377DCD" w:rsidRPr="00073574" w:rsidRDefault="00377DCD" w:rsidP="0077474A">
            <w:pPr>
              <w:pStyle w:val="ListParagraph"/>
              <w:numPr>
                <w:ilvl w:val="0"/>
                <w:numId w:val="24"/>
              </w:numPr>
              <w:ind w:left="771" w:hanging="357"/>
              <w:contextualSpacing w:val="0"/>
              <w:rPr>
                <w:rFonts w:asciiTheme="majorBidi" w:hAnsiTheme="majorBidi" w:cstheme="majorBidi"/>
              </w:rPr>
            </w:pPr>
            <w:r w:rsidRPr="00073574">
              <w:rPr>
                <w:rFonts w:asciiTheme="majorBidi" w:hAnsiTheme="majorBidi" w:cstheme="majorBidi"/>
              </w:rPr>
              <w:t>ITU-T Q.3745: Protocol for time constraint IoT-based applications over SDN;</w:t>
            </w:r>
          </w:p>
          <w:p w14:paraId="60E60D51" w14:textId="5B8069E8" w:rsidR="00377DCD" w:rsidRPr="00073574" w:rsidRDefault="00377DCD" w:rsidP="0077474A">
            <w:pPr>
              <w:pStyle w:val="ListParagraph"/>
              <w:numPr>
                <w:ilvl w:val="0"/>
                <w:numId w:val="24"/>
              </w:numPr>
              <w:ind w:left="771" w:hanging="357"/>
              <w:contextualSpacing w:val="0"/>
              <w:rPr>
                <w:rFonts w:asciiTheme="majorBidi" w:hAnsiTheme="majorBidi" w:cstheme="majorBidi"/>
              </w:rPr>
            </w:pPr>
            <w:r w:rsidRPr="00073574">
              <w:rPr>
                <w:rFonts w:asciiTheme="majorBidi" w:hAnsiTheme="majorBidi" w:cstheme="majorBidi"/>
              </w:rPr>
              <w:t>ITU-T Q.3963: The compatibility testing of SDN-based equipment using OpenFlow protocol;</w:t>
            </w:r>
          </w:p>
          <w:p w14:paraId="31FB5525" w14:textId="2775F338" w:rsidR="00943B17" w:rsidRPr="00073574" w:rsidRDefault="00CA2D04" w:rsidP="0077474A">
            <w:pPr>
              <w:pStyle w:val="ListParagraph"/>
              <w:numPr>
                <w:ilvl w:val="0"/>
                <w:numId w:val="24"/>
              </w:numPr>
              <w:ind w:left="771" w:hanging="357"/>
              <w:contextualSpacing w:val="0"/>
              <w:rPr>
                <w:rFonts w:asciiTheme="majorBidi" w:hAnsiTheme="majorBidi" w:cstheme="majorBidi"/>
              </w:rPr>
            </w:pPr>
            <w:r w:rsidRPr="00073574">
              <w:t>ITU-T Q.4061: Framework of software-defined network controller testing.</w:t>
            </w:r>
          </w:p>
          <w:p w14:paraId="3AFAE18B" w14:textId="6B3FE648" w:rsidR="00C01BC4" w:rsidRPr="00073574" w:rsidRDefault="00F0236A" w:rsidP="00F30338">
            <w:pPr>
              <w:pStyle w:val="ListParagraph"/>
              <w:numPr>
                <w:ilvl w:val="0"/>
                <w:numId w:val="66"/>
              </w:numPr>
              <w:ind w:left="357" w:hanging="357"/>
              <w:contextualSpacing w:val="0"/>
              <w:rPr>
                <w:b/>
              </w:rPr>
            </w:pPr>
            <w:r w:rsidRPr="00073574">
              <w:t xml:space="preserve">SG12 </w:t>
            </w:r>
            <w:r w:rsidR="00890694" w:rsidRPr="00073574">
              <w:t>approved Recommendation</w:t>
            </w:r>
            <w:r w:rsidR="00207CAE" w:rsidRPr="00073574">
              <w:t>s ITU-T</w:t>
            </w:r>
            <w:r w:rsidR="00890694" w:rsidRPr="00073574">
              <w:t xml:space="preserve"> Y.1550</w:t>
            </w:r>
            <w:r w:rsidRPr="00073574">
              <w:t xml:space="preserve"> </w:t>
            </w:r>
            <w:r w:rsidR="00890694" w:rsidRPr="00073574">
              <w:t>“</w:t>
            </w:r>
            <w:r w:rsidR="00B40E0D" w:rsidRPr="00073574">
              <w:t>Considerations for realizing virtual measurement systems</w:t>
            </w:r>
            <w:r w:rsidR="00890694" w:rsidRPr="00073574">
              <w:t>”</w:t>
            </w:r>
            <w:r w:rsidR="00207CAE" w:rsidRPr="00073574">
              <w:t xml:space="preserve"> and ITU-T E.475 “Guidelines for intelligent network analytics and diagnostics”</w:t>
            </w:r>
            <w:r w:rsidR="00B40E0D" w:rsidRPr="00073574">
              <w:t>.</w:t>
            </w:r>
          </w:p>
          <w:p w14:paraId="28F96F15" w14:textId="5A74821E" w:rsidR="005A1702" w:rsidRPr="00073574" w:rsidRDefault="325BFB43" w:rsidP="00F30338">
            <w:pPr>
              <w:pStyle w:val="ListParagraph"/>
              <w:numPr>
                <w:ilvl w:val="0"/>
                <w:numId w:val="24"/>
              </w:numPr>
              <w:ind w:left="357" w:hanging="357"/>
              <w:contextualSpacing w:val="0"/>
              <w:rPr>
                <w:rFonts w:eastAsia="Times New Roman"/>
                <w:b/>
              </w:rPr>
            </w:pPr>
            <w:r w:rsidRPr="00073574">
              <w:t xml:space="preserve">SG13 has a dedicated Question on SDN Q21/13 </w:t>
            </w:r>
            <w:r w:rsidR="002D4D1F" w:rsidRPr="00073574">
              <w:t>“</w:t>
            </w:r>
            <w:r w:rsidRPr="00073574">
              <w:t>Network softwarization including software-defined networking, network slicing and orchestration</w:t>
            </w:r>
            <w:r w:rsidR="002D4D1F" w:rsidRPr="00073574">
              <w:t>”</w:t>
            </w:r>
            <w:r w:rsidR="00881AAB" w:rsidRPr="00073574">
              <w:t xml:space="preserve"> (since 2021 title is “Networks beyond IMT-2020: Network softwarization”)</w:t>
            </w:r>
            <w:r w:rsidRPr="00073574">
              <w:t>. In addition, some studies on SDN are convened by Q2/13</w:t>
            </w:r>
            <w:r w:rsidR="00E90CF0" w:rsidRPr="00073574">
              <w:t>, Q20/13 and Q.23/13 in a</w:t>
            </w:r>
            <w:r w:rsidR="00465301" w:rsidRPr="00073574">
              <w:t xml:space="preserve"> </w:t>
            </w:r>
            <w:r w:rsidR="00E90CF0" w:rsidRPr="00073574">
              <w:t>particular area</w:t>
            </w:r>
            <w:r w:rsidRPr="00073574">
              <w:t xml:space="preserve">. Approved in September 2017 – January 2018 three new Recommendations on softwarization and orchestration ITU-T Y.3110 </w:t>
            </w:r>
            <w:r w:rsidR="002D4D1F" w:rsidRPr="00073574">
              <w:t>“</w:t>
            </w:r>
            <w:r w:rsidRPr="00073574">
              <w:t>IMT-2020 Network Management and Orchestration Requirements</w:t>
            </w:r>
            <w:r w:rsidR="002D4D1F" w:rsidRPr="00073574">
              <w:t>”</w:t>
            </w:r>
            <w:r w:rsidRPr="00073574">
              <w:t xml:space="preserve">, ITU-T Y.3111 “IMT-2020 Network Management and Orchestration Framework”, ITU-T Y.3150 “High level technical characteristics of network softwarization for IMT-2000”. Furthermore, since May 2018 approved ITU-T Y.3112 “Framework for the support of multiple network slicing” and ITU-T Y.2323 “Requirements and capabilities of orchestration in next generation network evolution” in 2018. ITU-T Y.3151 “High-level technical characteristics of network softwarization for IMT-2020 </w:t>
            </w:r>
            <w:r w:rsidR="002D4D1F" w:rsidRPr="00073574">
              <w:t>–</w:t>
            </w:r>
            <w:r w:rsidRPr="00073574">
              <w:t xml:space="preserve"> Part: SDN”, ITU-T Y.3152 “Advanced data plane programmability for IMT-2020” and ITU-T Y.3153 “Network slice orchestration and management for providing network services to 3rd party in the IMT-2020 network” were approved in 2019</w:t>
            </w:r>
            <w:r w:rsidR="6A7FA331" w:rsidRPr="00073574">
              <w:t xml:space="preserve">, Y.3154 </w:t>
            </w:r>
            <w:r w:rsidR="002D4D1F" w:rsidRPr="00073574">
              <w:t>“</w:t>
            </w:r>
            <w:r w:rsidR="6A7FA331" w:rsidRPr="00073574">
              <w:rPr>
                <w:color w:val="444444"/>
              </w:rPr>
              <w:t xml:space="preserve">Resource pooling for scalable network slice service management </w:t>
            </w:r>
            <w:r w:rsidR="6A7FA331" w:rsidRPr="00073574">
              <w:rPr>
                <w:color w:val="444444"/>
              </w:rPr>
              <w:lastRenderedPageBreak/>
              <w:t>and orchestration in the IMT-2020 network</w:t>
            </w:r>
            <w:r w:rsidR="002D4D1F" w:rsidRPr="00073574">
              <w:t>”</w:t>
            </w:r>
            <w:r w:rsidR="005D3101" w:rsidRPr="00073574">
              <w:t xml:space="preserve">, Y.3150 revision and Y.3156 </w:t>
            </w:r>
            <w:r w:rsidR="002D4D1F" w:rsidRPr="00073574">
              <w:t>“</w:t>
            </w:r>
            <w:r w:rsidR="005D3101" w:rsidRPr="00073574">
              <w:rPr>
                <w:rFonts w:eastAsia="Verdana"/>
                <w:color w:val="000000" w:themeColor="text1"/>
              </w:rPr>
              <w:t>Framework of network slicing with AI-assisted analysis in IMT-2020 networks</w:t>
            </w:r>
            <w:r w:rsidR="002D4D1F" w:rsidRPr="00073574">
              <w:t>”</w:t>
            </w:r>
            <w:r w:rsidR="6A7FA331" w:rsidRPr="00073574">
              <w:t xml:space="preserve"> </w:t>
            </w:r>
            <w:r w:rsidR="002D4D1F" w:rsidRPr="00073574">
              <w:t>–</w:t>
            </w:r>
            <w:r w:rsidR="6A7FA331" w:rsidRPr="00073574">
              <w:t xml:space="preserve"> in 2020</w:t>
            </w:r>
            <w:r w:rsidR="00CD0BCF" w:rsidRPr="00073574">
              <w:t>, Y.3157 “</w:t>
            </w:r>
            <w:r w:rsidR="00B43C49" w:rsidRPr="00073574">
              <w:t>IMT-2020 network slice configuration</w:t>
            </w:r>
            <w:r w:rsidR="00CD0BCF" w:rsidRPr="00073574">
              <w:t xml:space="preserve">” </w:t>
            </w:r>
            <w:r w:rsidR="002D4D1F" w:rsidRPr="00073574">
              <w:t>–</w:t>
            </w:r>
            <w:r w:rsidR="00CD0BCF" w:rsidRPr="00073574">
              <w:t xml:space="preserve"> 2021</w:t>
            </w:r>
            <w:r w:rsidRPr="00073574">
              <w:t>.</w:t>
            </w:r>
            <w:r w:rsidR="5A41C41C" w:rsidRPr="00073574">
              <w:t>.</w:t>
            </w:r>
            <w:r w:rsidR="7C023DF2" w:rsidRPr="00073574">
              <w:t xml:space="preserve"> </w:t>
            </w:r>
            <w:r w:rsidRPr="00073574">
              <w:t>According to the Action plan for IMT2020 standardization in SG13, the first Technical Package to be published is on softwarization. In November 2017 SG13 agreed on a new technical package “</w:t>
            </w:r>
            <w:r w:rsidRPr="00073574">
              <w:rPr>
                <w:i/>
                <w:iCs/>
              </w:rPr>
              <w:t>IMT-2020 network management and orchestration</w:t>
            </w:r>
            <w:r w:rsidRPr="00073574">
              <w:t xml:space="preserve">”. Slicing and softwarization were the topics of each of the workshop SG13 (its </w:t>
            </w:r>
            <w:r w:rsidR="00C1163E" w:rsidRPr="00073574">
              <w:t>subgroup</w:t>
            </w:r>
            <w:r w:rsidRPr="00073574">
              <w:t>) convened.</w:t>
            </w:r>
            <w:r w:rsidR="00C1163E" w:rsidRPr="00073574">
              <w:t xml:space="preserve"> </w:t>
            </w:r>
            <w:r w:rsidRPr="00073574">
              <w:t xml:space="preserve">Through its daughter group, JCA-IMT2020, maintained the collaboration with other SDOs working in the area of SDN, slicing, softwarization and IMT-2020 </w:t>
            </w:r>
            <w:r w:rsidR="0060565A" w:rsidRPr="00073574">
              <w:t xml:space="preserve">and beyond </w:t>
            </w:r>
            <w:r w:rsidRPr="00073574">
              <w:t xml:space="preserve">in general. JCA-IMT2020 maintains the IMT2020 </w:t>
            </w:r>
            <w:r w:rsidR="0060565A" w:rsidRPr="00073574">
              <w:t xml:space="preserve">and beyond </w:t>
            </w:r>
            <w:r w:rsidRPr="00073574">
              <w:t>standardization roadmap that includes the SDN roadmap.</w:t>
            </w:r>
          </w:p>
          <w:p w14:paraId="13D07362" w14:textId="08EC6650" w:rsidR="00D73570" w:rsidRPr="00073574" w:rsidRDefault="00D73570" w:rsidP="00F30338">
            <w:pPr>
              <w:pStyle w:val="ListParagraph"/>
              <w:numPr>
                <w:ilvl w:val="0"/>
                <w:numId w:val="24"/>
              </w:numPr>
              <w:ind w:left="357" w:hanging="357"/>
              <w:contextualSpacing w:val="0"/>
            </w:pPr>
            <w:r w:rsidRPr="00073574">
              <w:t>SG15: Q12/15 and Q14/15 are working on this technology area.</w:t>
            </w:r>
          </w:p>
          <w:p w14:paraId="0C0072FE" w14:textId="7BE1D2F8" w:rsidR="00F0236A" w:rsidRPr="00073574" w:rsidRDefault="00A3575B" w:rsidP="00F30338">
            <w:pPr>
              <w:pStyle w:val="ListParagraph"/>
              <w:numPr>
                <w:ilvl w:val="0"/>
                <w:numId w:val="24"/>
              </w:numPr>
              <w:spacing w:after="40"/>
              <w:ind w:left="357" w:hanging="357"/>
              <w:contextualSpacing w:val="0"/>
              <w:rPr>
                <w:sz w:val="24"/>
              </w:rPr>
            </w:pPr>
            <w:r w:rsidRPr="00073574">
              <w:t xml:space="preserve">SG17 approved X.Sup30 </w:t>
            </w:r>
            <w:r w:rsidRPr="00073574">
              <w:rPr>
                <w:i/>
                <w:iCs/>
              </w:rPr>
              <w:t xml:space="preserve">Supplement  to ITU-T X.805 </w:t>
            </w:r>
            <w:r w:rsidR="00922A3E" w:rsidRPr="00073574">
              <w:rPr>
                <w:i/>
                <w:iCs/>
              </w:rPr>
              <w:t xml:space="preserve">on </w:t>
            </w:r>
            <w:r w:rsidRPr="00073574">
              <w:rPr>
                <w:i/>
                <w:iCs/>
              </w:rPr>
              <w:t>Security guidelines for mobile virtual network operators</w:t>
            </w:r>
            <w:r w:rsidRPr="00073574">
              <w:t xml:space="preserve"> </w:t>
            </w:r>
            <w:r w:rsidR="005B6BD1" w:rsidRPr="00073574">
              <w:t xml:space="preserve">and </w:t>
            </w:r>
            <w:r w:rsidR="00DA4146" w:rsidRPr="00073574">
              <w:t xml:space="preserve">Recommendations </w:t>
            </w:r>
            <w:r w:rsidR="00995C90" w:rsidRPr="00073574">
              <w:t xml:space="preserve">ITU-T </w:t>
            </w:r>
            <w:r w:rsidR="00461557" w:rsidRPr="00073574">
              <w:t xml:space="preserve">X.1042 </w:t>
            </w:r>
            <w:r w:rsidR="00461557" w:rsidRPr="00073574">
              <w:rPr>
                <w:rFonts w:asciiTheme="majorBidi" w:hAnsiTheme="majorBidi" w:cstheme="majorBidi"/>
                <w:i/>
                <w:iCs/>
              </w:rPr>
              <w:t>Security services using  software-defined networking</w:t>
            </w:r>
            <w:r w:rsidR="00922A3E" w:rsidRPr="00073574">
              <w:rPr>
                <w:rFonts w:asciiTheme="majorBidi" w:hAnsiTheme="majorBidi" w:cstheme="majorBidi"/>
              </w:rPr>
              <w:t xml:space="preserve">, </w:t>
            </w:r>
            <w:r w:rsidR="00995C90" w:rsidRPr="00073574">
              <w:t xml:space="preserve">ITU-T </w:t>
            </w:r>
            <w:r w:rsidR="00922A3E" w:rsidRPr="00073574">
              <w:rPr>
                <w:rFonts w:asciiTheme="majorBidi" w:hAnsiTheme="majorBidi" w:cstheme="majorBidi"/>
              </w:rPr>
              <w:t xml:space="preserve">X.1044 </w:t>
            </w:r>
            <w:r w:rsidR="00922A3E" w:rsidRPr="00073574">
              <w:rPr>
                <w:rFonts w:asciiTheme="majorBidi" w:hAnsiTheme="majorBidi" w:cstheme="majorBidi"/>
                <w:i/>
                <w:iCs/>
              </w:rPr>
              <w:t>Security Requirements of Network Virtualization</w:t>
            </w:r>
            <w:r w:rsidR="00922A3E" w:rsidRPr="00073574">
              <w:rPr>
                <w:rFonts w:asciiTheme="majorBidi" w:hAnsiTheme="majorBidi" w:cstheme="majorBidi"/>
              </w:rPr>
              <w:t xml:space="preserve">, </w:t>
            </w:r>
            <w:r w:rsidR="00465301" w:rsidRPr="00073574">
              <w:rPr>
                <w:rFonts w:asciiTheme="majorBidi" w:hAnsiTheme="majorBidi" w:cstheme="majorBidi"/>
              </w:rPr>
              <w:t xml:space="preserve">ITU-T </w:t>
            </w:r>
            <w:r w:rsidR="00CC6BE2" w:rsidRPr="00073574">
              <w:rPr>
                <w:rFonts w:asciiTheme="majorBidi" w:hAnsiTheme="majorBidi" w:cstheme="majorBidi"/>
              </w:rPr>
              <w:t>X.1045</w:t>
            </w:r>
            <w:r w:rsidR="00C6637C" w:rsidRPr="00073574">
              <w:rPr>
                <w:rFonts w:asciiTheme="majorBidi" w:hAnsiTheme="majorBidi" w:cstheme="majorBidi"/>
              </w:rPr>
              <w:t xml:space="preserve"> </w:t>
            </w:r>
            <w:r w:rsidR="00C6637C" w:rsidRPr="00073574">
              <w:rPr>
                <w:rFonts w:asciiTheme="majorBidi" w:hAnsiTheme="majorBidi" w:cstheme="majorBidi"/>
                <w:i/>
                <w:iCs/>
              </w:rPr>
              <w:t>Security service chain architecture for networks and applications</w:t>
            </w:r>
            <w:r w:rsidR="00CC6BE2" w:rsidRPr="00073574">
              <w:rPr>
                <w:rFonts w:asciiTheme="majorBidi" w:hAnsiTheme="majorBidi" w:cstheme="majorBidi"/>
              </w:rPr>
              <w:t xml:space="preserve">, </w:t>
            </w:r>
            <w:r w:rsidR="00995C90" w:rsidRPr="00073574">
              <w:t xml:space="preserve">ITU-T </w:t>
            </w:r>
            <w:r w:rsidR="00922A3E" w:rsidRPr="00073574">
              <w:rPr>
                <w:rFonts w:asciiTheme="majorBidi" w:hAnsiTheme="majorBidi" w:cstheme="majorBidi"/>
              </w:rPr>
              <w:t>X.1046</w:t>
            </w:r>
            <w:r w:rsidR="00171346" w:rsidRPr="00073574">
              <w:rPr>
                <w:rFonts w:asciiTheme="majorBidi" w:hAnsiTheme="majorBidi" w:cstheme="majorBidi"/>
              </w:rPr>
              <w:t xml:space="preserve"> </w:t>
            </w:r>
            <w:r w:rsidR="00171346" w:rsidRPr="00073574">
              <w:rPr>
                <w:rFonts w:asciiTheme="majorBidi" w:hAnsiTheme="majorBidi" w:cstheme="majorBidi"/>
                <w:i/>
                <w:iCs/>
              </w:rPr>
              <w:t>Framework of software-defined security in software-defined networks/network functions virtualization networks</w:t>
            </w:r>
            <w:r w:rsidR="00922A3E" w:rsidRPr="00073574">
              <w:rPr>
                <w:rFonts w:asciiTheme="majorBidi" w:hAnsiTheme="majorBidi" w:cstheme="majorBidi"/>
              </w:rPr>
              <w:t xml:space="preserve">, </w:t>
            </w:r>
            <w:r w:rsidR="00171346" w:rsidRPr="00073574">
              <w:rPr>
                <w:rFonts w:asciiTheme="majorBidi" w:hAnsiTheme="majorBidi" w:cstheme="majorBidi"/>
              </w:rPr>
              <w:t xml:space="preserve">and </w:t>
            </w:r>
            <w:r w:rsidR="00995C90" w:rsidRPr="00073574">
              <w:t xml:space="preserve">ITU-T </w:t>
            </w:r>
            <w:r w:rsidR="00171346" w:rsidRPr="00073574">
              <w:rPr>
                <w:rFonts w:asciiTheme="majorBidi" w:hAnsiTheme="majorBidi" w:cstheme="majorBidi"/>
              </w:rPr>
              <w:t xml:space="preserve">X.1047 </w:t>
            </w:r>
            <w:r w:rsidR="00171346" w:rsidRPr="00073574">
              <w:rPr>
                <w:rFonts w:asciiTheme="majorBidi" w:hAnsiTheme="majorBidi" w:cstheme="majorBidi"/>
                <w:i/>
                <w:iCs/>
              </w:rPr>
              <w:t>Security requirements and architecture for network slice management and orchestration</w:t>
            </w:r>
            <w:r w:rsidR="00C6637C" w:rsidRPr="00073574">
              <w:rPr>
                <w:rFonts w:asciiTheme="majorBidi" w:hAnsiTheme="majorBidi" w:cstheme="majorBidi"/>
                <w:i/>
                <w:iCs/>
              </w:rPr>
              <w:t>.</w:t>
            </w:r>
          </w:p>
          <w:p w14:paraId="3C2AEF2F" w14:textId="2D319B65" w:rsidR="00F0236A" w:rsidRPr="00073574" w:rsidDel="00023C3A" w:rsidRDefault="00C55FFD" w:rsidP="00F30338">
            <w:pPr>
              <w:pStyle w:val="ListParagraph"/>
              <w:numPr>
                <w:ilvl w:val="0"/>
                <w:numId w:val="24"/>
              </w:numPr>
              <w:spacing w:after="40"/>
              <w:ind w:left="357" w:hanging="357"/>
              <w:contextualSpacing w:val="0"/>
              <w:rPr>
                <w:sz w:val="24"/>
              </w:rPr>
            </w:pPr>
            <w:r w:rsidRPr="00073574">
              <w:t xml:space="preserve">SG20 approved </w:t>
            </w:r>
            <w:r w:rsidR="00C528A6" w:rsidRPr="00073574">
              <w:t>Recommendation ITU-T Y.4421 “</w:t>
            </w:r>
            <w:r w:rsidR="004E0E13" w:rsidRPr="00073574">
              <w:t>Functional architecture for unmanned aerial vehicles and unmanned aerial vehicle controllers using IMT-2020 networks</w:t>
            </w:r>
            <w:r w:rsidR="00C528A6" w:rsidRPr="00073574">
              <w:t>”</w:t>
            </w:r>
            <w:r w:rsidR="004E0E13" w:rsidRPr="00073574">
              <w:t>.</w:t>
            </w:r>
          </w:p>
        </w:tc>
      </w:tr>
      <w:tr w:rsidR="00F0236A" w:rsidRPr="00073574" w14:paraId="7911CC28" w14:textId="77777777" w:rsidTr="00980D27">
        <w:trPr>
          <w:cantSplit/>
          <w:jc w:val="center"/>
        </w:trPr>
        <w:tc>
          <w:tcPr>
            <w:tcW w:w="1095" w:type="dxa"/>
            <w:vMerge w:val="restart"/>
            <w:tcBorders>
              <w:top w:val="single" w:sz="12" w:space="0" w:color="auto"/>
            </w:tcBorders>
            <w:shd w:val="clear" w:color="auto" w:fill="auto"/>
          </w:tcPr>
          <w:p w14:paraId="26B7FA31" w14:textId="77777777" w:rsidR="00F0236A" w:rsidRPr="00073574" w:rsidRDefault="00F0236A" w:rsidP="00F30338">
            <w:pPr>
              <w:pStyle w:val="Tabletext"/>
              <w:rPr>
                <w:b/>
                <w:bCs/>
                <w:sz w:val="24"/>
                <w:szCs w:val="24"/>
              </w:rPr>
            </w:pPr>
            <w:r w:rsidRPr="00073574">
              <w:rPr>
                <w:b/>
                <w:bCs/>
                <w:sz w:val="24"/>
                <w:szCs w:val="24"/>
              </w:rPr>
              <w:lastRenderedPageBreak/>
              <w:t>77-03</w:t>
            </w:r>
          </w:p>
        </w:tc>
        <w:tc>
          <w:tcPr>
            <w:tcW w:w="4689" w:type="dxa"/>
            <w:tcBorders>
              <w:top w:val="single" w:sz="12" w:space="0" w:color="auto"/>
            </w:tcBorders>
            <w:shd w:val="clear" w:color="auto" w:fill="auto"/>
            <w:hideMark/>
          </w:tcPr>
          <w:p w14:paraId="7B05E0A5" w14:textId="77777777" w:rsidR="00F0236A" w:rsidRPr="00073574" w:rsidRDefault="00F0236A" w:rsidP="00F30338">
            <w:pPr>
              <w:pStyle w:val="Tabletext"/>
              <w:rPr>
                <w:b/>
                <w:bCs/>
                <w:sz w:val="24"/>
                <w:szCs w:val="24"/>
              </w:rPr>
            </w:pPr>
            <w:r w:rsidRPr="00073574">
              <w:rPr>
                <w:b/>
                <w:bCs/>
                <w:sz w:val="24"/>
                <w:szCs w:val="24"/>
              </w:rPr>
              <w:t xml:space="preserve">TSAG to examine the matter, consider the input of study groups and take the necessary actions, as appropriate, with a view </w:t>
            </w:r>
            <w:r w:rsidRPr="00073574">
              <w:rPr>
                <w:rFonts w:eastAsia="SimSun"/>
                <w:b/>
                <w:bCs/>
                <w:sz w:val="24"/>
                <w:szCs w:val="24"/>
                <w:lang w:eastAsia="zh-CN"/>
              </w:rPr>
              <w:t xml:space="preserve">to deciding </w:t>
            </w:r>
            <w:r w:rsidRPr="00073574">
              <w:rPr>
                <w:b/>
                <w:bCs/>
                <w:sz w:val="24"/>
                <w:szCs w:val="24"/>
              </w:rPr>
              <w:t>on</w:t>
            </w:r>
            <w:r w:rsidRPr="00073574">
              <w:rPr>
                <w:rFonts w:eastAsia="SimSun"/>
                <w:b/>
                <w:bCs/>
                <w:sz w:val="24"/>
                <w:szCs w:val="24"/>
                <w:lang w:eastAsia="zh-CN"/>
              </w:rPr>
              <w:t xml:space="preserve"> the necessary SDN standardization </w:t>
            </w:r>
            <w:r w:rsidRPr="00073574">
              <w:rPr>
                <w:b/>
                <w:bCs/>
                <w:sz w:val="24"/>
                <w:szCs w:val="24"/>
              </w:rPr>
              <w:t>activities</w:t>
            </w:r>
            <w:r w:rsidRPr="00073574">
              <w:rPr>
                <w:rFonts w:eastAsia="SimSun"/>
                <w:b/>
                <w:bCs/>
                <w:sz w:val="24"/>
                <w:szCs w:val="24"/>
                <w:lang w:eastAsia="zh-CN"/>
              </w:rPr>
              <w:t xml:space="preserve"> in ITU</w:t>
            </w:r>
            <w:r w:rsidRPr="00073574">
              <w:rPr>
                <w:rFonts w:eastAsia="SimSun"/>
                <w:b/>
                <w:bCs/>
                <w:sz w:val="24"/>
                <w:szCs w:val="24"/>
                <w:lang w:eastAsia="zh-CN"/>
              </w:rPr>
              <w:noBreakHyphen/>
              <w:t xml:space="preserve">T (incl. </w:t>
            </w:r>
            <w:r w:rsidRPr="00073574">
              <w:rPr>
                <w:b/>
                <w:bCs/>
                <w:sz w:val="24"/>
                <w:szCs w:val="24"/>
              </w:rPr>
              <w:t>continue coordination and assistance in SDN standardization across different ITU</w:t>
            </w:r>
            <w:r w:rsidRPr="00073574">
              <w:rPr>
                <w:b/>
                <w:bCs/>
                <w:sz w:val="24"/>
                <w:szCs w:val="24"/>
              </w:rPr>
              <w:noBreakHyphen/>
              <w:t>T study groups effectively and efficiently; continue collaboration with other SDN-related standards bodies and forums; coordinate the work on technical issues of SDN across the study groups according to their areas of expertise; define a clear strategic vision for SDN standardization and an important active role that ITU</w:t>
            </w:r>
            <w:r w:rsidRPr="00073574">
              <w:rPr>
                <w:b/>
                <w:bCs/>
                <w:sz w:val="24"/>
                <w:szCs w:val="24"/>
              </w:rPr>
              <w:noBreakHyphen/>
              <w:t>T should play) (i. TSAG)</w:t>
            </w:r>
          </w:p>
        </w:tc>
        <w:tc>
          <w:tcPr>
            <w:tcW w:w="1683" w:type="dxa"/>
            <w:tcBorders>
              <w:top w:val="single" w:sz="12" w:space="0" w:color="auto"/>
            </w:tcBorders>
            <w:shd w:val="clear" w:color="auto" w:fill="auto"/>
            <w:vAlign w:val="center"/>
          </w:tcPr>
          <w:p w14:paraId="2B8818A6" w14:textId="73F03F9C" w:rsidR="00F0236A" w:rsidRPr="00073574" w:rsidRDefault="00F0236A" w:rsidP="00F30338">
            <w:pPr>
              <w:pStyle w:val="Tabletext"/>
              <w:jc w:val="center"/>
              <w:rPr>
                <w:b/>
                <w:bCs/>
                <w:sz w:val="24"/>
                <w:szCs w:val="24"/>
              </w:rPr>
            </w:pPr>
            <w:r w:rsidRPr="00073574">
              <w:rPr>
                <w:b/>
                <w:bCs/>
                <w:sz w:val="24"/>
                <w:szCs w:val="24"/>
              </w:rPr>
              <w:t>TSAG meeting</w:t>
            </w:r>
          </w:p>
        </w:tc>
        <w:tc>
          <w:tcPr>
            <w:tcW w:w="1129" w:type="dxa"/>
            <w:tcBorders>
              <w:top w:val="single" w:sz="12" w:space="0" w:color="auto"/>
            </w:tcBorders>
            <w:shd w:val="clear" w:color="auto" w:fill="auto"/>
            <w:vAlign w:val="center"/>
          </w:tcPr>
          <w:p w14:paraId="1F2651C7" w14:textId="39B2BA60" w:rsidR="00F0236A" w:rsidRPr="00073574" w:rsidRDefault="00C55A00" w:rsidP="00F30338">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1C1BFEFC" w14:textId="2176A7DC" w:rsidR="00F0236A" w:rsidRPr="00073574" w:rsidRDefault="00411105" w:rsidP="00F30338">
            <w:pPr>
              <w:pStyle w:val="Tabletext"/>
              <w:jc w:val="center"/>
              <w:rPr>
                <w:b/>
                <w:bCs/>
                <w:sz w:val="24"/>
                <w:szCs w:val="24"/>
              </w:rPr>
            </w:pPr>
            <w:r w:rsidRPr="00073574">
              <w:rPr>
                <w:b/>
                <w:bCs/>
                <w:sz w:val="24"/>
                <w:szCs w:val="24"/>
              </w:rPr>
              <w:t>√</w:t>
            </w:r>
          </w:p>
        </w:tc>
      </w:tr>
      <w:tr w:rsidR="00F0236A" w:rsidRPr="00073574" w14:paraId="3D5BE5AD" w14:textId="77777777" w:rsidTr="00980D27">
        <w:trPr>
          <w:cantSplit/>
          <w:jc w:val="center"/>
        </w:trPr>
        <w:tc>
          <w:tcPr>
            <w:tcW w:w="1095" w:type="dxa"/>
            <w:vMerge/>
          </w:tcPr>
          <w:p w14:paraId="3AD206BA" w14:textId="77777777" w:rsidR="00F0236A" w:rsidRPr="00073574" w:rsidRDefault="00F0236A" w:rsidP="00F30338">
            <w:pPr>
              <w:pStyle w:val="Tabletext"/>
              <w:rPr>
                <w:sz w:val="24"/>
                <w:szCs w:val="24"/>
              </w:rPr>
            </w:pPr>
          </w:p>
        </w:tc>
        <w:tc>
          <w:tcPr>
            <w:tcW w:w="8837" w:type="dxa"/>
            <w:gridSpan w:val="4"/>
            <w:tcBorders>
              <w:bottom w:val="single" w:sz="12" w:space="0" w:color="auto"/>
            </w:tcBorders>
            <w:shd w:val="clear" w:color="auto" w:fill="auto"/>
          </w:tcPr>
          <w:p w14:paraId="2658F280" w14:textId="3715CC58" w:rsidR="00F0236A" w:rsidRPr="00073574" w:rsidRDefault="003A265C" w:rsidP="00F30338">
            <w:pPr>
              <w:pStyle w:val="Tabletext"/>
              <w:rPr>
                <w:szCs w:val="22"/>
              </w:rPr>
            </w:pPr>
            <w:r w:rsidRPr="00073574">
              <w:rPr>
                <w:szCs w:val="22"/>
              </w:rPr>
              <w:t xml:space="preserve">In reply to this action point </w:t>
            </w:r>
            <w:r w:rsidR="00A11D42" w:rsidRPr="00073574">
              <w:rPr>
                <w:szCs w:val="22"/>
              </w:rPr>
              <w:t>TSAG</w:t>
            </w:r>
            <w:r w:rsidRPr="00073574">
              <w:rPr>
                <w:szCs w:val="22"/>
              </w:rPr>
              <w:t xml:space="preserve"> establ</w:t>
            </w:r>
            <w:r w:rsidR="00C306F5" w:rsidRPr="00073574">
              <w:rPr>
                <w:szCs w:val="22"/>
              </w:rPr>
              <w:t>i</w:t>
            </w:r>
            <w:r w:rsidRPr="00073574">
              <w:rPr>
                <w:szCs w:val="22"/>
              </w:rPr>
              <w:t>shed</w:t>
            </w:r>
            <w:r w:rsidR="001D6A84" w:rsidRPr="00073574">
              <w:rPr>
                <w:szCs w:val="22"/>
              </w:rPr>
              <w:t xml:space="preserve"> </w:t>
            </w:r>
            <w:r w:rsidR="001D6A84" w:rsidRPr="00073574">
              <w:t>the</w:t>
            </w:r>
            <w:r w:rsidRPr="00073574">
              <w:rPr>
                <w:szCs w:val="22"/>
              </w:rPr>
              <w:t xml:space="preserve"> </w:t>
            </w:r>
            <w:hyperlink r:id="rId669" w:history="1">
              <w:r w:rsidR="009F14F5" w:rsidRPr="00073574">
                <w:rPr>
                  <w:rStyle w:val="Hyperlink"/>
                  <w:szCs w:val="22"/>
                </w:rPr>
                <w:t>ITU-T J</w:t>
              </w:r>
              <w:r w:rsidRPr="00073574">
                <w:rPr>
                  <w:rStyle w:val="Hyperlink"/>
                  <w:szCs w:val="22"/>
                </w:rPr>
                <w:t>CA-SDN</w:t>
              </w:r>
            </w:hyperlink>
            <w:r w:rsidRPr="00073574">
              <w:rPr>
                <w:szCs w:val="22"/>
              </w:rPr>
              <w:t xml:space="preserve"> in the last study period</w:t>
            </w:r>
            <w:r w:rsidR="00B0432A" w:rsidRPr="00073574">
              <w:rPr>
                <w:szCs w:val="22"/>
              </w:rPr>
              <w:t xml:space="preserve"> (in 2013)</w:t>
            </w:r>
            <w:r w:rsidR="00B05FBC" w:rsidRPr="00073574">
              <w:rPr>
                <w:szCs w:val="22"/>
              </w:rPr>
              <w:t>.</w:t>
            </w:r>
            <w:r w:rsidR="00B05FBC" w:rsidRPr="00073574">
              <w:t xml:space="preserve"> This </w:t>
            </w:r>
            <w:r w:rsidRPr="00073574">
              <w:rPr>
                <w:szCs w:val="22"/>
              </w:rPr>
              <w:t>JCA maintained the online roadmap with the work on SDN, N</w:t>
            </w:r>
            <w:r w:rsidR="00CC2074" w:rsidRPr="00073574">
              <w:rPr>
                <w:szCs w:val="22"/>
              </w:rPr>
              <w:t>FV and softwarization</w:t>
            </w:r>
            <w:r w:rsidR="00E4383F" w:rsidRPr="00073574">
              <w:rPr>
                <w:szCs w:val="22"/>
              </w:rPr>
              <w:t xml:space="preserve"> running </w:t>
            </w:r>
            <w:r w:rsidR="00925AC9" w:rsidRPr="00073574">
              <w:rPr>
                <w:szCs w:val="22"/>
              </w:rPr>
              <w:t xml:space="preserve">in ITU-T and SDOs. </w:t>
            </w:r>
            <w:r w:rsidR="0028746E" w:rsidRPr="00073574">
              <w:rPr>
                <w:szCs w:val="22"/>
              </w:rPr>
              <w:t xml:space="preserve">It </w:t>
            </w:r>
            <w:r w:rsidR="00FB368B" w:rsidRPr="00073574">
              <w:rPr>
                <w:szCs w:val="22"/>
              </w:rPr>
              <w:t xml:space="preserve">served as a tool to coordinate the SDN related studies across the </w:t>
            </w:r>
            <w:r w:rsidR="00553178" w:rsidRPr="00073574">
              <w:rPr>
                <w:szCs w:val="22"/>
              </w:rPr>
              <w:t xml:space="preserve">world. </w:t>
            </w:r>
            <w:r w:rsidR="005462BF" w:rsidRPr="00073574">
              <w:rPr>
                <w:szCs w:val="22"/>
              </w:rPr>
              <w:t xml:space="preserve">From 2015 SG13 </w:t>
            </w:r>
            <w:r w:rsidR="00553178" w:rsidRPr="00073574">
              <w:rPr>
                <w:szCs w:val="22"/>
              </w:rPr>
              <w:t>became</w:t>
            </w:r>
            <w:r w:rsidR="005462BF" w:rsidRPr="00073574">
              <w:rPr>
                <w:szCs w:val="22"/>
              </w:rPr>
              <w:t xml:space="preserve"> parent</w:t>
            </w:r>
            <w:r w:rsidR="00553178" w:rsidRPr="00073574">
              <w:rPr>
                <w:szCs w:val="22"/>
              </w:rPr>
              <w:t xml:space="preserve"> group</w:t>
            </w:r>
            <w:r w:rsidR="005462BF" w:rsidRPr="00073574">
              <w:rPr>
                <w:szCs w:val="22"/>
              </w:rPr>
              <w:t xml:space="preserve"> to the JCA-SDN. </w:t>
            </w:r>
            <w:r w:rsidR="00925AC9" w:rsidRPr="00073574">
              <w:rPr>
                <w:szCs w:val="22"/>
              </w:rPr>
              <w:t xml:space="preserve">With closure of the JCA-SDN its </w:t>
            </w:r>
            <w:r w:rsidR="00C00149" w:rsidRPr="00073574">
              <w:rPr>
                <w:szCs w:val="22"/>
              </w:rPr>
              <w:t xml:space="preserve">roadmap was </w:t>
            </w:r>
            <w:r w:rsidR="00DE06CA" w:rsidRPr="00073574">
              <w:rPr>
                <w:szCs w:val="22"/>
              </w:rPr>
              <w:t>i</w:t>
            </w:r>
            <w:r w:rsidR="00C00149" w:rsidRPr="00073574">
              <w:rPr>
                <w:szCs w:val="22"/>
              </w:rPr>
              <w:t>nherited by</w:t>
            </w:r>
            <w:r w:rsidR="00B05FBC" w:rsidRPr="00073574">
              <w:rPr>
                <w:szCs w:val="22"/>
              </w:rPr>
              <w:t xml:space="preserve"> t</w:t>
            </w:r>
            <w:r w:rsidR="00B05FBC" w:rsidRPr="00073574">
              <w:t>he</w:t>
            </w:r>
            <w:r w:rsidR="00C00149" w:rsidRPr="00073574">
              <w:rPr>
                <w:szCs w:val="22"/>
              </w:rPr>
              <w:t xml:space="preserve"> </w:t>
            </w:r>
            <w:hyperlink r:id="rId670" w:history="1">
              <w:r w:rsidR="00B05FBC" w:rsidRPr="00073574">
                <w:rPr>
                  <w:rStyle w:val="Hyperlink"/>
                  <w:szCs w:val="22"/>
                </w:rPr>
                <w:t>ITU-T J</w:t>
              </w:r>
              <w:r w:rsidR="00C00149" w:rsidRPr="00073574">
                <w:rPr>
                  <w:rStyle w:val="Hyperlink"/>
                  <w:szCs w:val="22"/>
                </w:rPr>
                <w:t>CA-IMT2020</w:t>
              </w:r>
            </w:hyperlink>
            <w:r w:rsidR="00AA35B4" w:rsidRPr="00073574">
              <w:rPr>
                <w:szCs w:val="22"/>
              </w:rPr>
              <w:t xml:space="preserve">. The current version of the </w:t>
            </w:r>
            <w:hyperlink r:id="rId671" w:anchor="?topic=0.130&amp;workgroup=1&amp;searchValue=&amp;page=1&amp;sort=Revelance" w:history="1">
              <w:r w:rsidR="00AA35B4" w:rsidRPr="00073574">
                <w:rPr>
                  <w:rStyle w:val="Hyperlink"/>
                  <w:szCs w:val="22"/>
                </w:rPr>
                <w:t>online roadmap on IMT-2020 and beyond</w:t>
              </w:r>
            </w:hyperlink>
            <w:r w:rsidR="00AA35B4" w:rsidRPr="00073574">
              <w:rPr>
                <w:szCs w:val="22"/>
              </w:rPr>
              <w:t xml:space="preserve"> has </w:t>
            </w:r>
            <w:hyperlink r:id="rId672" w:anchor="?topic=0.130.1&amp;workgroup=1&amp;searchValue=&amp;page=1&amp;sort=Revelance" w:history="1">
              <w:r w:rsidR="00AA35B4" w:rsidRPr="00073574">
                <w:rPr>
                  <w:rStyle w:val="Hyperlink"/>
                  <w:szCs w:val="22"/>
                </w:rPr>
                <w:t>a branch devoted to SDN.</w:t>
              </w:r>
            </w:hyperlink>
            <w:r w:rsidR="00152595" w:rsidRPr="00073574">
              <w:rPr>
                <w:szCs w:val="22"/>
              </w:rPr>
              <w:t xml:space="preserve"> TSAG is </w:t>
            </w:r>
            <w:r w:rsidR="002C4BAB" w:rsidRPr="00073574">
              <w:rPr>
                <w:szCs w:val="22"/>
              </w:rPr>
              <w:t xml:space="preserve">kept </w:t>
            </w:r>
            <w:r w:rsidR="00152595" w:rsidRPr="00073574">
              <w:rPr>
                <w:szCs w:val="22"/>
              </w:rPr>
              <w:t>regularly informed on the progress o</w:t>
            </w:r>
            <w:r w:rsidR="00C77079" w:rsidRPr="00073574">
              <w:rPr>
                <w:szCs w:val="22"/>
              </w:rPr>
              <w:t xml:space="preserve">f studies on SDN through the SG13 Lead Study Group report, portion on IMT-2020 standardization and </w:t>
            </w:r>
            <w:r w:rsidR="00B6263D" w:rsidRPr="00073574">
              <w:rPr>
                <w:szCs w:val="22"/>
              </w:rPr>
              <w:t>JCA-IMT2020 operation.</w:t>
            </w:r>
          </w:p>
        </w:tc>
      </w:tr>
      <w:tr w:rsidR="00F0236A" w:rsidRPr="00073574" w14:paraId="59349FA4" w14:textId="77777777" w:rsidTr="00980D27">
        <w:trPr>
          <w:jc w:val="center"/>
        </w:trPr>
        <w:tc>
          <w:tcPr>
            <w:tcW w:w="1095" w:type="dxa"/>
            <w:vMerge w:val="restart"/>
            <w:tcBorders>
              <w:top w:val="single" w:sz="12" w:space="0" w:color="auto"/>
            </w:tcBorders>
            <w:shd w:val="clear" w:color="auto" w:fill="auto"/>
          </w:tcPr>
          <w:p w14:paraId="0986FB23" w14:textId="77777777" w:rsidR="00F0236A" w:rsidRPr="00073574" w:rsidRDefault="00F0236A" w:rsidP="008C3FB5">
            <w:pPr>
              <w:pStyle w:val="Tabletext"/>
              <w:keepNext/>
              <w:keepLines/>
              <w:rPr>
                <w:b/>
                <w:bCs/>
                <w:sz w:val="24"/>
                <w:szCs w:val="24"/>
              </w:rPr>
            </w:pPr>
            <w:r w:rsidRPr="00073574">
              <w:rPr>
                <w:b/>
                <w:bCs/>
                <w:sz w:val="24"/>
                <w:szCs w:val="24"/>
              </w:rPr>
              <w:lastRenderedPageBreak/>
              <w:t>77-04</w:t>
            </w:r>
          </w:p>
        </w:tc>
        <w:tc>
          <w:tcPr>
            <w:tcW w:w="4689" w:type="dxa"/>
            <w:tcBorders>
              <w:top w:val="single" w:sz="12" w:space="0" w:color="auto"/>
            </w:tcBorders>
            <w:shd w:val="clear" w:color="auto" w:fill="auto"/>
            <w:hideMark/>
          </w:tcPr>
          <w:p w14:paraId="1A5D26AA" w14:textId="77777777" w:rsidR="00F0236A" w:rsidRPr="00073574" w:rsidRDefault="00F0236A" w:rsidP="008C3FB5">
            <w:pPr>
              <w:pStyle w:val="Tabletext"/>
              <w:keepNext/>
              <w:keepLines/>
              <w:rPr>
                <w:b/>
                <w:bCs/>
                <w:sz w:val="24"/>
                <w:szCs w:val="24"/>
              </w:rPr>
            </w:pPr>
            <w:r w:rsidRPr="00073574">
              <w:rPr>
                <w:b/>
                <w:bCs/>
                <w:sz w:val="24"/>
                <w:szCs w:val="24"/>
              </w:rPr>
              <w:t>TSB Director to assist the exchange of opinions in CTO meetings and to promote SDN standardization work in ITU-T (i. TSBDir 1)</w:t>
            </w:r>
          </w:p>
        </w:tc>
        <w:tc>
          <w:tcPr>
            <w:tcW w:w="1683" w:type="dxa"/>
            <w:tcBorders>
              <w:top w:val="single" w:sz="12" w:space="0" w:color="auto"/>
            </w:tcBorders>
            <w:shd w:val="clear" w:color="auto" w:fill="auto"/>
            <w:vAlign w:val="center"/>
          </w:tcPr>
          <w:p w14:paraId="02A0FD09" w14:textId="77777777" w:rsidR="00F0236A" w:rsidRPr="00073574" w:rsidRDefault="00F0236A" w:rsidP="008C3FB5">
            <w:pPr>
              <w:pStyle w:val="Tabletext"/>
              <w:keepNext/>
              <w:keepLines/>
              <w:jc w:val="center"/>
              <w:rPr>
                <w:b/>
                <w:bCs/>
                <w:sz w:val="24"/>
                <w:szCs w:val="24"/>
              </w:rPr>
            </w:pPr>
            <w:r w:rsidRPr="00073574">
              <w:rPr>
                <w:b/>
                <w:bCs/>
                <w:sz w:val="24"/>
                <w:szCs w:val="24"/>
              </w:rPr>
              <w:t>Ongoing</w:t>
            </w:r>
          </w:p>
        </w:tc>
        <w:tc>
          <w:tcPr>
            <w:tcW w:w="1129" w:type="dxa"/>
            <w:tcBorders>
              <w:top w:val="single" w:sz="12" w:space="0" w:color="auto"/>
            </w:tcBorders>
            <w:shd w:val="clear" w:color="auto" w:fill="auto"/>
            <w:vAlign w:val="center"/>
          </w:tcPr>
          <w:p w14:paraId="7517FB5D" w14:textId="77777777" w:rsidR="00F0236A" w:rsidRPr="00073574" w:rsidRDefault="00F0236A" w:rsidP="008C3FB5">
            <w:pPr>
              <w:pStyle w:val="Tabletext"/>
              <w:keepNext/>
              <w:keepLines/>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3413085D" w14:textId="77777777" w:rsidR="00F0236A" w:rsidRPr="00073574" w:rsidRDefault="00F0236A" w:rsidP="008C3FB5">
            <w:pPr>
              <w:pStyle w:val="Tabletext"/>
              <w:keepNext/>
              <w:keepLines/>
              <w:jc w:val="center"/>
              <w:rPr>
                <w:b/>
                <w:bCs/>
                <w:sz w:val="24"/>
                <w:szCs w:val="24"/>
              </w:rPr>
            </w:pPr>
          </w:p>
        </w:tc>
      </w:tr>
      <w:tr w:rsidR="00F0236A" w:rsidRPr="00073574" w14:paraId="0E4E8311" w14:textId="77777777" w:rsidTr="00980D27">
        <w:trPr>
          <w:jc w:val="center"/>
        </w:trPr>
        <w:tc>
          <w:tcPr>
            <w:tcW w:w="1095" w:type="dxa"/>
            <w:vMerge/>
          </w:tcPr>
          <w:p w14:paraId="52DD37D6" w14:textId="77777777" w:rsidR="00F0236A" w:rsidRPr="00073574" w:rsidRDefault="00F0236A" w:rsidP="008C3FB5">
            <w:pPr>
              <w:pStyle w:val="Tabletext"/>
              <w:keepNext/>
              <w:keepLines/>
              <w:rPr>
                <w:sz w:val="24"/>
                <w:szCs w:val="24"/>
              </w:rPr>
            </w:pPr>
          </w:p>
        </w:tc>
        <w:tc>
          <w:tcPr>
            <w:tcW w:w="8837" w:type="dxa"/>
            <w:gridSpan w:val="4"/>
            <w:shd w:val="clear" w:color="auto" w:fill="auto"/>
          </w:tcPr>
          <w:p w14:paraId="1CFC69D3" w14:textId="2D2BFDA6" w:rsidR="00F0236A" w:rsidRPr="00073574" w:rsidRDefault="00D30035" w:rsidP="008C3FB5">
            <w:pPr>
              <w:pStyle w:val="ListParagraph"/>
              <w:keepNext/>
              <w:keepLines/>
              <w:numPr>
                <w:ilvl w:val="0"/>
                <w:numId w:val="24"/>
              </w:numPr>
              <w:spacing w:before="40"/>
              <w:ind w:left="368" w:hanging="357"/>
              <w:contextualSpacing w:val="0"/>
              <w:rPr>
                <w:rFonts w:asciiTheme="majorBidi" w:hAnsiTheme="majorBidi" w:cstheme="majorBidi"/>
                <w:color w:val="000000"/>
              </w:rPr>
            </w:pPr>
            <w:r w:rsidRPr="00073574">
              <w:rPr>
                <w:rFonts w:asciiTheme="majorBidi" w:hAnsiTheme="majorBidi" w:cstheme="majorBidi"/>
                <w:color w:val="000000" w:themeColor="text1"/>
              </w:rPr>
              <w:t>The TSB Director’s North-American CTO consultation meeting (9 May 2018, California, United States) recognized that 5G systems will incorporate advanced software-defined networking (SDN), network function virtualization (NFV) and cloud computing capabilities, significantly altering network architectures and network management-control. Network softwarization and slicing, underpinning deeply programmable networks able to be sliced into virtual networks with specialized capabilities such as low latency or high reliability, will give networks the agility required to support the specific requirements of any particular 5G application. CTOs highlighted federated network orchestration – the ability to achieve end-to-end network slicing across different operators’ networks – as an issue deserving of more attention.</w:t>
            </w:r>
          </w:p>
          <w:p w14:paraId="79901C73" w14:textId="5942B960" w:rsidR="001663C3" w:rsidRPr="00073574" w:rsidRDefault="681D03BB" w:rsidP="008C3FB5">
            <w:pPr>
              <w:pStyle w:val="ListParagraph"/>
              <w:keepNext/>
              <w:keepLines/>
              <w:numPr>
                <w:ilvl w:val="0"/>
                <w:numId w:val="24"/>
              </w:numPr>
              <w:ind w:left="368" w:hanging="357"/>
              <w:contextualSpacing w:val="0"/>
              <w:rPr>
                <w:rFonts w:asciiTheme="majorBidi" w:hAnsiTheme="majorBidi" w:cstheme="majorBidi"/>
                <w:color w:val="000000"/>
              </w:rPr>
            </w:pPr>
            <w:r w:rsidRPr="00073574">
              <w:rPr>
                <w:rFonts w:asciiTheme="majorBidi" w:hAnsiTheme="majorBidi" w:cstheme="majorBidi"/>
                <w:color w:val="000000" w:themeColor="text1"/>
              </w:rPr>
              <w:t xml:space="preserve">See aspects on virtual orchestration addressed during the </w:t>
            </w:r>
            <w:hyperlink r:id="rId673">
              <w:r w:rsidRPr="00073574">
                <w:rPr>
                  <w:rStyle w:val="Hyperlink"/>
                  <w:rFonts w:asciiTheme="majorBidi" w:hAnsiTheme="majorBidi" w:cstheme="majorBidi"/>
                </w:rPr>
                <w:t>t</w:t>
              </w:r>
              <w:r w:rsidR="1496EC7C" w:rsidRPr="00073574">
                <w:rPr>
                  <w:rStyle w:val="Hyperlink"/>
                  <w:rFonts w:asciiTheme="majorBidi" w:hAnsiTheme="majorBidi" w:cstheme="majorBidi"/>
                </w:rPr>
                <w:t>hird annual ITU IMT-2020/5G Workshop and Demo Day – 2018, Geneva, Switzerland</w:t>
              </w:r>
            </w:hyperlink>
            <w:r w:rsidR="524D0FC2" w:rsidRPr="00073574">
              <w:rPr>
                <w:rFonts w:asciiTheme="majorBidi" w:hAnsiTheme="majorBidi" w:cstheme="majorBidi"/>
                <w:color w:val="000000" w:themeColor="text1"/>
              </w:rPr>
              <w:t>.</w:t>
            </w:r>
          </w:p>
          <w:p w14:paraId="7E0B7471" w14:textId="03989A7E" w:rsidR="00E546EC" w:rsidRPr="00073574" w:rsidRDefault="001C4FA8" w:rsidP="008C3FB5">
            <w:pPr>
              <w:pStyle w:val="ListParagraph"/>
              <w:keepNext/>
              <w:keepLines/>
              <w:numPr>
                <w:ilvl w:val="0"/>
                <w:numId w:val="24"/>
              </w:numPr>
              <w:ind w:left="368" w:hanging="357"/>
              <w:contextualSpacing w:val="0"/>
              <w:rPr>
                <w:rFonts w:asciiTheme="majorBidi" w:hAnsiTheme="majorBidi" w:cstheme="majorBidi"/>
                <w:color w:val="000000"/>
              </w:rPr>
            </w:pPr>
            <w:r w:rsidRPr="00073574">
              <w:rPr>
                <w:rFonts w:asciiTheme="majorBidi" w:hAnsiTheme="majorBidi" w:cstheme="majorBidi"/>
                <w:color w:val="000000" w:themeColor="text1"/>
              </w:rPr>
              <w:t xml:space="preserve">Aspects of NFV and SDN in networked sliced architectures were discussed during the </w:t>
            </w:r>
            <w:hyperlink r:id="rId674">
              <w:r w:rsidR="198EE79F" w:rsidRPr="00073574">
                <w:rPr>
                  <w:rStyle w:val="Strong"/>
                  <w:b w:val="0"/>
                  <w:bCs w:val="0"/>
                  <w:color w:val="0066CC"/>
                  <w:u w:val="single"/>
                </w:rPr>
                <w:t xml:space="preserve">Sixth </w:t>
              </w:r>
              <w:r w:rsidR="5A356F98" w:rsidRPr="00073574">
                <w:rPr>
                  <w:rStyle w:val="Strong"/>
                  <w:b w:val="0"/>
                  <w:bCs w:val="0"/>
                  <w:color w:val="0066CC"/>
                  <w:u w:val="single"/>
                </w:rPr>
                <w:t xml:space="preserve">SG13’s </w:t>
              </w:r>
              <w:r w:rsidR="198EE79F" w:rsidRPr="00073574">
                <w:rPr>
                  <w:rStyle w:val="Strong"/>
                  <w:b w:val="0"/>
                  <w:bCs w:val="0"/>
                  <w:color w:val="0066CC"/>
                  <w:u w:val="single"/>
                </w:rPr>
                <w:t xml:space="preserve">Regional Workshop for Africa on </w:t>
              </w:r>
              <w:r w:rsidR="002D4D1F" w:rsidRPr="00073574">
                <w:rPr>
                  <w:rStyle w:val="Strong"/>
                  <w:b w:val="0"/>
                  <w:bCs w:val="0"/>
                  <w:color w:val="0066CC"/>
                  <w:u w:val="single"/>
                </w:rPr>
                <w:t>“</w:t>
              </w:r>
              <w:r w:rsidR="198EE79F" w:rsidRPr="00073574">
                <w:rPr>
                  <w:rStyle w:val="Strong"/>
                  <w:b w:val="0"/>
                  <w:bCs w:val="0"/>
                  <w:color w:val="0066CC"/>
                  <w:u w:val="single"/>
                </w:rPr>
                <w:t>Standardization of future networks: What opportunities for Africa?</w:t>
              </w:r>
              <w:r w:rsidR="002D4D1F" w:rsidRPr="00073574">
                <w:rPr>
                  <w:rStyle w:val="Strong"/>
                  <w:b w:val="0"/>
                  <w:bCs w:val="0"/>
                  <w:color w:val="0066CC"/>
                  <w:u w:val="single"/>
                </w:rPr>
                <w:t>”</w:t>
              </w:r>
            </w:hyperlink>
            <w:r w:rsidR="00515444" w:rsidRPr="00073574">
              <w:t>, Abidjan, Côte d</w:t>
            </w:r>
            <w:r w:rsidR="002D4D1F" w:rsidRPr="00073574">
              <w:t>’</w:t>
            </w:r>
            <w:r w:rsidR="00515444" w:rsidRPr="00073574">
              <w:t>Ivoire, 26 – 27 March 2018</w:t>
            </w:r>
            <w:r w:rsidRPr="00073574">
              <w:t>.</w:t>
            </w:r>
          </w:p>
          <w:p w14:paraId="0BB3DDBE" w14:textId="000AD228" w:rsidR="002C6C1B" w:rsidRPr="00073574" w:rsidRDefault="09C8CEE9" w:rsidP="008C3FB5">
            <w:pPr>
              <w:pStyle w:val="ListParagraph"/>
              <w:keepNext/>
              <w:keepLines/>
              <w:numPr>
                <w:ilvl w:val="0"/>
                <w:numId w:val="24"/>
              </w:numPr>
              <w:ind w:left="368" w:hanging="357"/>
              <w:contextualSpacing w:val="0"/>
              <w:rPr>
                <w:color w:val="000000" w:themeColor="text1"/>
              </w:rPr>
            </w:pPr>
            <w:r w:rsidRPr="00073574">
              <w:rPr>
                <w:rFonts w:asciiTheme="majorBidi" w:hAnsiTheme="majorBidi" w:cstheme="majorBidi"/>
                <w:color w:val="000000" w:themeColor="text1"/>
              </w:rPr>
              <w:t>Slicing</w:t>
            </w:r>
            <w:r w:rsidRPr="00073574">
              <w:t xml:space="preserve"> was </w:t>
            </w:r>
            <w:r w:rsidR="008871E2" w:rsidRPr="00073574">
              <w:t>one of the</w:t>
            </w:r>
            <w:r w:rsidRPr="00073574">
              <w:t xml:space="preserve"> topic</w:t>
            </w:r>
            <w:r w:rsidR="008871E2" w:rsidRPr="00073574">
              <w:t>s</w:t>
            </w:r>
            <w:r w:rsidRPr="00073574">
              <w:t xml:space="preserve"> at the First ITU workshop on Network 2030 in October 2018, New York</w:t>
            </w:r>
            <w:r w:rsidR="725A9225" w:rsidRPr="00073574">
              <w:t>; addressed during the TSB Director CxO consultation meeting</w:t>
            </w:r>
            <w:r w:rsidR="2B882298" w:rsidRPr="00073574">
              <w:t xml:space="preserve">s (16 July 2019, Tokyo, Japan; </w:t>
            </w:r>
            <w:r w:rsidR="2E4DCF12" w:rsidRPr="00073574">
              <w:t xml:space="preserve">September 2019, Budapest, Hungary, </w:t>
            </w:r>
            <w:r w:rsidR="2B882298" w:rsidRPr="00073574">
              <w:t xml:space="preserve">and </w:t>
            </w:r>
            <w:r w:rsidR="725A9225" w:rsidRPr="00073574">
              <w:t>11 December 2019, Dubai, United Arab Emirates</w:t>
            </w:r>
            <w:r w:rsidR="2B882298" w:rsidRPr="00073574">
              <w:t>)</w:t>
            </w:r>
            <w:r w:rsidR="2C9EE71F" w:rsidRPr="00073574">
              <w:t>, and the Study Group Leadership Assembly, Budapest, 9-10 September 2019</w:t>
            </w:r>
            <w:r w:rsidR="725A9225" w:rsidRPr="00073574">
              <w:t>.</w:t>
            </w:r>
            <w:r w:rsidR="008871E2" w:rsidRPr="00073574">
              <w:t xml:space="preserve"> SG13 R</w:t>
            </w:r>
            <w:r w:rsidR="00494EDD" w:rsidRPr="00073574">
              <w:t>egional workshops for Africa has SDN and softwarization on its programme each time (</w:t>
            </w:r>
            <w:r w:rsidR="00E06ACF" w:rsidRPr="00073574">
              <w:t>Nigeria 2020, virtual workshop in 2021).</w:t>
            </w:r>
          </w:p>
        </w:tc>
      </w:tr>
      <w:tr w:rsidR="00F0236A" w:rsidRPr="00073574" w:rsidDel="00A93497" w14:paraId="68B8FE2E" w14:textId="77777777" w:rsidTr="00980D27">
        <w:trPr>
          <w:cantSplit/>
          <w:jc w:val="center"/>
        </w:trPr>
        <w:tc>
          <w:tcPr>
            <w:tcW w:w="1095" w:type="dxa"/>
            <w:vMerge w:val="restart"/>
            <w:tcBorders>
              <w:top w:val="single" w:sz="12" w:space="0" w:color="auto"/>
            </w:tcBorders>
            <w:shd w:val="clear" w:color="auto" w:fill="auto"/>
          </w:tcPr>
          <w:p w14:paraId="7506C9C3" w14:textId="77777777" w:rsidR="00F0236A" w:rsidRPr="00073574" w:rsidDel="00A93497" w:rsidRDefault="00F0236A" w:rsidP="00F30338">
            <w:pPr>
              <w:pStyle w:val="Tabletext"/>
              <w:rPr>
                <w:b/>
                <w:bCs/>
                <w:sz w:val="24"/>
                <w:szCs w:val="24"/>
              </w:rPr>
            </w:pPr>
            <w:r w:rsidRPr="00073574">
              <w:rPr>
                <w:b/>
                <w:bCs/>
                <w:sz w:val="24"/>
                <w:szCs w:val="24"/>
              </w:rPr>
              <w:t>77-06</w:t>
            </w:r>
          </w:p>
        </w:tc>
        <w:tc>
          <w:tcPr>
            <w:tcW w:w="4689" w:type="dxa"/>
            <w:tcBorders>
              <w:top w:val="single" w:sz="12" w:space="0" w:color="auto"/>
            </w:tcBorders>
            <w:shd w:val="clear" w:color="auto" w:fill="auto"/>
          </w:tcPr>
          <w:p w14:paraId="20772C96" w14:textId="77777777" w:rsidR="00F0236A" w:rsidRPr="00073574" w:rsidDel="00A93497" w:rsidRDefault="00F0236A" w:rsidP="00F30338">
            <w:pPr>
              <w:pStyle w:val="Tabletext"/>
              <w:rPr>
                <w:b/>
                <w:bCs/>
                <w:sz w:val="24"/>
                <w:szCs w:val="24"/>
              </w:rPr>
            </w:pPr>
            <w:r w:rsidRPr="00073574">
              <w:rPr>
                <w:b/>
                <w:bCs/>
                <w:sz w:val="24"/>
                <w:szCs w:val="24"/>
                <w:lang w:eastAsia="ko-KR"/>
              </w:rPr>
              <w:t>Study groups to continue and enhance collaboration and cooperation with different standards development organizations (SDOs), industry forums, and open-source software projects on SDN, as appropriate, taking into account the outcome of TSAG work on open source (resolves SGs 1)</w:t>
            </w:r>
          </w:p>
        </w:tc>
        <w:tc>
          <w:tcPr>
            <w:tcW w:w="1683" w:type="dxa"/>
            <w:tcBorders>
              <w:top w:val="single" w:sz="12" w:space="0" w:color="auto"/>
            </w:tcBorders>
            <w:shd w:val="clear" w:color="auto" w:fill="auto"/>
            <w:vAlign w:val="center"/>
          </w:tcPr>
          <w:p w14:paraId="16F63BF4" w14:textId="77777777" w:rsidR="00F0236A" w:rsidRPr="00073574" w:rsidDel="00A93497" w:rsidRDefault="00F0236A" w:rsidP="00F30338">
            <w:pPr>
              <w:pStyle w:val="Tabletext"/>
              <w:jc w:val="center"/>
              <w:rPr>
                <w:b/>
                <w:bCs/>
                <w:sz w:val="24"/>
                <w:szCs w:val="24"/>
              </w:rPr>
            </w:pPr>
            <w:r w:rsidRPr="00073574">
              <w:rPr>
                <w:b/>
                <w:bCs/>
                <w:sz w:val="24"/>
                <w:szCs w:val="24"/>
              </w:rPr>
              <w:t>Ongoing</w:t>
            </w:r>
          </w:p>
        </w:tc>
        <w:tc>
          <w:tcPr>
            <w:tcW w:w="1129" w:type="dxa"/>
            <w:tcBorders>
              <w:top w:val="single" w:sz="12" w:space="0" w:color="auto"/>
            </w:tcBorders>
            <w:shd w:val="clear" w:color="auto" w:fill="auto"/>
            <w:vAlign w:val="center"/>
          </w:tcPr>
          <w:p w14:paraId="7F66C1B9" w14:textId="77777777" w:rsidR="00F0236A" w:rsidRPr="00073574" w:rsidDel="00A93497" w:rsidRDefault="00F0236A" w:rsidP="00F30338">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2422DE5B" w14:textId="77777777" w:rsidR="00F0236A" w:rsidRPr="00073574" w:rsidDel="00A93497" w:rsidRDefault="00F0236A" w:rsidP="00F30338">
            <w:pPr>
              <w:pStyle w:val="Tabletext"/>
              <w:jc w:val="center"/>
              <w:rPr>
                <w:b/>
                <w:bCs/>
                <w:sz w:val="24"/>
                <w:szCs w:val="24"/>
              </w:rPr>
            </w:pPr>
          </w:p>
        </w:tc>
      </w:tr>
      <w:tr w:rsidR="00F0236A" w:rsidRPr="00073574" w:rsidDel="00A93497" w14:paraId="2FE407F4" w14:textId="77777777" w:rsidTr="00D9519A">
        <w:trPr>
          <w:jc w:val="center"/>
        </w:trPr>
        <w:tc>
          <w:tcPr>
            <w:tcW w:w="1095" w:type="dxa"/>
            <w:vMerge/>
            <w:tcBorders>
              <w:bottom w:val="single" w:sz="12" w:space="0" w:color="auto"/>
            </w:tcBorders>
          </w:tcPr>
          <w:p w14:paraId="1BFC2299" w14:textId="77777777" w:rsidR="00F0236A" w:rsidRPr="00073574" w:rsidRDefault="00F0236A" w:rsidP="00F30338">
            <w:pPr>
              <w:pStyle w:val="Tabletext"/>
              <w:rPr>
                <w:sz w:val="24"/>
                <w:szCs w:val="24"/>
              </w:rPr>
            </w:pPr>
          </w:p>
        </w:tc>
        <w:tc>
          <w:tcPr>
            <w:tcW w:w="8837" w:type="dxa"/>
            <w:gridSpan w:val="4"/>
            <w:tcBorders>
              <w:bottom w:val="single" w:sz="12" w:space="0" w:color="auto"/>
            </w:tcBorders>
            <w:shd w:val="clear" w:color="auto" w:fill="auto"/>
          </w:tcPr>
          <w:p w14:paraId="32C81309" w14:textId="07AF19BF" w:rsidR="00F0236A" w:rsidRPr="00073574" w:rsidRDefault="00F0236A" w:rsidP="00F30338">
            <w:pPr>
              <w:pStyle w:val="ListParagraph"/>
              <w:numPr>
                <w:ilvl w:val="0"/>
                <w:numId w:val="39"/>
              </w:numPr>
              <w:spacing w:before="40"/>
              <w:ind w:left="357" w:hanging="357"/>
            </w:pPr>
            <w:r w:rsidRPr="00073574">
              <w:t xml:space="preserve">SG2 notified ETSI and TMF on the creation of the new work item on </w:t>
            </w:r>
            <w:r w:rsidR="002D4D1F" w:rsidRPr="00073574">
              <w:t>“</w:t>
            </w:r>
            <w:r w:rsidRPr="00073574">
              <w:t>Integrated network operation and management system architecture to support SDN/NFV management</w:t>
            </w:r>
            <w:r w:rsidR="002D4D1F" w:rsidRPr="00073574">
              <w:t>”</w:t>
            </w:r>
            <w:r w:rsidRPr="00073574">
              <w:t xml:space="preserve"> via liaison statement after the SG2 meeting of 29 March to 7 April 2017.</w:t>
            </w:r>
            <w:r w:rsidR="00DA4CF0" w:rsidRPr="00073574">
              <w:t xml:space="preserve"> SG2 notified ETSI and TMF of the changes to the above work item via liaison statement after the SG2 meeting of 27 November to 1 December 2017, i.e., M.inomsa was agreed to be changed to M.somm “Framework of smart operation, management and maintenance”</w:t>
            </w:r>
            <w:r w:rsidR="00877009" w:rsidRPr="00073574">
              <w:t>. SG2 notified ETSI and TMF the progress of M.somm.</w:t>
            </w:r>
          </w:p>
          <w:p w14:paraId="48A54EBC" w14:textId="19AA16E4" w:rsidR="00943B17" w:rsidRPr="00073574" w:rsidRDefault="00943B17" w:rsidP="00F30338">
            <w:pPr>
              <w:pStyle w:val="Headingb"/>
              <w:keepNext w:val="0"/>
              <w:numPr>
                <w:ilvl w:val="0"/>
                <w:numId w:val="39"/>
              </w:numPr>
              <w:rPr>
                <w:b w:val="0"/>
              </w:rPr>
            </w:pPr>
            <w:r w:rsidRPr="00073574">
              <w:rPr>
                <w:b w:val="0"/>
              </w:rPr>
              <w:t>SG11 exchanged information with ETSI ISG NFV</w:t>
            </w:r>
            <w:r w:rsidR="00F505CB" w:rsidRPr="00073574">
              <w:rPr>
                <w:b w:val="0"/>
              </w:rPr>
              <w:t>, SG13 and JCA-IMT2020</w:t>
            </w:r>
            <w:r w:rsidRPr="00073574">
              <w:rPr>
                <w:b w:val="0"/>
              </w:rPr>
              <w:t>.</w:t>
            </w:r>
          </w:p>
          <w:p w14:paraId="408F16BD" w14:textId="37ADDD29" w:rsidR="00F0236A" w:rsidRPr="00073574" w:rsidRDefault="00F0236A" w:rsidP="00F30338">
            <w:pPr>
              <w:pStyle w:val="Headingb"/>
              <w:keepNext w:val="0"/>
              <w:numPr>
                <w:ilvl w:val="0"/>
                <w:numId w:val="39"/>
              </w:numPr>
              <w:rPr>
                <w:b w:val="0"/>
              </w:rPr>
            </w:pPr>
            <w:r w:rsidRPr="00073574">
              <w:rPr>
                <w:b w:val="0"/>
              </w:rPr>
              <w:t xml:space="preserve">SG12: Q8/12 </w:t>
            </w:r>
            <w:r w:rsidR="00890694" w:rsidRPr="00073574">
              <w:rPr>
                <w:b w:val="0"/>
              </w:rPr>
              <w:t xml:space="preserve">entertains </w:t>
            </w:r>
            <w:r w:rsidR="00F4087B" w:rsidRPr="00073574">
              <w:rPr>
                <w:b w:val="0"/>
              </w:rPr>
              <w:t>LS</w:t>
            </w:r>
            <w:r w:rsidR="00890694" w:rsidRPr="00073574">
              <w:rPr>
                <w:b w:val="0"/>
              </w:rPr>
              <w:t xml:space="preserve"> relationship</w:t>
            </w:r>
            <w:r w:rsidR="00F4087B" w:rsidRPr="00073574">
              <w:rPr>
                <w:b w:val="0"/>
              </w:rPr>
              <w:t xml:space="preserve"> with relevant organizations</w:t>
            </w:r>
            <w:r w:rsidR="000737E5" w:rsidRPr="00073574">
              <w:rPr>
                <w:b w:val="0"/>
              </w:rPr>
              <w:t>.</w:t>
            </w:r>
          </w:p>
          <w:p w14:paraId="4C681BAA" w14:textId="0DFAC07E" w:rsidR="00F0236A" w:rsidRPr="00073574" w:rsidRDefault="00F0236A" w:rsidP="00F30338">
            <w:pPr>
              <w:pStyle w:val="Headingb"/>
              <w:keepNext w:val="0"/>
              <w:numPr>
                <w:ilvl w:val="0"/>
                <w:numId w:val="39"/>
              </w:numPr>
              <w:rPr>
                <w:b w:val="0"/>
              </w:rPr>
            </w:pPr>
            <w:r w:rsidRPr="00073574">
              <w:rPr>
                <w:b w:val="0"/>
              </w:rPr>
              <w:t xml:space="preserve">SG13 has a short report to TSAG (in a form of LS </w:t>
            </w:r>
            <w:hyperlink r:id="rId675" w:history="1">
              <w:r w:rsidR="008C3FB5" w:rsidRPr="00DD5083">
                <w:rPr>
                  <w:rStyle w:val="Hyperlink"/>
                  <w:b w:val="0"/>
                </w:rPr>
                <w:t>T</w:t>
              </w:r>
              <w:r w:rsidR="00DD5083" w:rsidRPr="00DD5083">
                <w:rPr>
                  <w:rStyle w:val="Hyperlink"/>
                  <w:b w:val="0"/>
                </w:rPr>
                <w:t>SAG-T</w:t>
              </w:r>
              <w:r w:rsidR="00112C75" w:rsidRPr="00DD5083">
                <w:rPr>
                  <w:rStyle w:val="Hyperlink"/>
                  <w:b w:val="0"/>
                </w:rPr>
                <w:t>D</w:t>
              </w:r>
              <w:r w:rsidRPr="00DD5083">
                <w:rPr>
                  <w:rStyle w:val="Hyperlink"/>
                  <w:b w:val="0"/>
                </w:rPr>
                <w:t>55</w:t>
              </w:r>
            </w:hyperlink>
            <w:r w:rsidRPr="00073574">
              <w:rPr>
                <w:b w:val="0"/>
              </w:rPr>
              <w:t>) about current experience with the communication with open source community.</w:t>
            </w:r>
            <w:r w:rsidR="00465BE2" w:rsidRPr="00073574">
              <w:rPr>
                <w:b w:val="0"/>
              </w:rPr>
              <w:t xml:space="preserve"> </w:t>
            </w:r>
            <w:r w:rsidR="00F4087B" w:rsidRPr="00073574">
              <w:rPr>
                <w:b w:val="0"/>
              </w:rPr>
              <w:t>SG13 exchanged information with SDOs via the operation of the JCA-SDN, that came to the end of its lifetime at the end of 2017. Its main work on the SDN standardization roadmap was input into the JCA-IMT2020.</w:t>
            </w:r>
            <w:r w:rsidR="00F4087B" w:rsidRPr="00073574">
              <w:br/>
            </w:r>
            <w:r w:rsidR="00465BE2" w:rsidRPr="00073574">
              <w:rPr>
                <w:b w:val="0"/>
              </w:rPr>
              <w:lastRenderedPageBreak/>
              <w:t>SG13 exchanged information with SDOs via the operation of the JCA-</w:t>
            </w:r>
            <w:r w:rsidR="002000B0" w:rsidRPr="00073574">
              <w:rPr>
                <w:b w:val="0"/>
              </w:rPr>
              <w:t>IMT2020</w:t>
            </w:r>
            <w:r w:rsidR="00F4087B" w:rsidRPr="00073574">
              <w:rPr>
                <w:b w:val="0"/>
              </w:rPr>
              <w:t>.</w:t>
            </w:r>
            <w:r w:rsidR="00132F84" w:rsidRPr="00073574">
              <w:rPr>
                <w:b w:val="0"/>
              </w:rPr>
              <w:t xml:space="preserve"> In addition, SG13 regularly exchanges</w:t>
            </w:r>
            <w:r w:rsidR="004F1284" w:rsidRPr="00073574">
              <w:rPr>
                <w:b w:val="0"/>
              </w:rPr>
              <w:t xml:space="preserve"> LSs with SDOs working in the area of SDN, NFV and softwarization.</w:t>
            </w:r>
          </w:p>
          <w:p w14:paraId="50FA1BC7" w14:textId="77777777" w:rsidR="00F0236A" w:rsidRPr="00073574" w:rsidRDefault="00F0236A" w:rsidP="00F30338">
            <w:pPr>
              <w:pStyle w:val="Headingb"/>
              <w:keepNext w:val="0"/>
              <w:numPr>
                <w:ilvl w:val="0"/>
                <w:numId w:val="39"/>
              </w:numPr>
            </w:pPr>
            <w:r w:rsidRPr="00073574">
              <w:rPr>
                <w:b w:val="0"/>
              </w:rPr>
              <w:t>SG15: Regular exchange of LSs with relevant organizations.</w:t>
            </w:r>
          </w:p>
          <w:p w14:paraId="446C97AA" w14:textId="3D26234F" w:rsidR="00F0236A" w:rsidRPr="00073574" w:rsidRDefault="00F0236A" w:rsidP="00F30338">
            <w:pPr>
              <w:pStyle w:val="ListParagraph"/>
              <w:numPr>
                <w:ilvl w:val="0"/>
                <w:numId w:val="39"/>
              </w:numPr>
              <w:spacing w:after="40"/>
              <w:ind w:left="357" w:hanging="357"/>
              <w:contextualSpacing w:val="0"/>
            </w:pPr>
            <w:r w:rsidRPr="00073574">
              <w:t xml:space="preserve">SG17 is collaborating with </w:t>
            </w:r>
            <w:r w:rsidR="002549EA" w:rsidRPr="00073574">
              <w:t>SG13 and JCA-SDN</w:t>
            </w:r>
            <w:r w:rsidRPr="00073574">
              <w:t xml:space="preserve"> on its work on SDN security</w:t>
            </w:r>
            <w:r w:rsidR="003A2DE9" w:rsidRPr="00073574">
              <w:t xml:space="preserve"> through regular exchanges of </w:t>
            </w:r>
            <w:r w:rsidR="00CB6081" w:rsidRPr="00073574">
              <w:t>SG17 progress</w:t>
            </w:r>
            <w:r w:rsidRPr="00073574">
              <w:t>.</w:t>
            </w:r>
          </w:p>
          <w:p w14:paraId="26088506" w14:textId="302F180E" w:rsidR="00F0236A" w:rsidRPr="00073574" w:rsidDel="00A93497" w:rsidRDefault="00CE1D82" w:rsidP="00465301">
            <w:pPr>
              <w:pStyle w:val="Headingb"/>
              <w:keepNext w:val="0"/>
              <w:numPr>
                <w:ilvl w:val="0"/>
                <w:numId w:val="39"/>
              </w:numPr>
            </w:pPr>
            <w:r w:rsidRPr="00073574">
              <w:rPr>
                <w:b w:val="0"/>
              </w:rPr>
              <w:t>SG20 regularly exchange information with SG13 and JCA-IMT2020.</w:t>
            </w:r>
          </w:p>
        </w:tc>
      </w:tr>
      <w:tr w:rsidR="00890DF7" w:rsidRPr="00073574" w:rsidDel="00A93497" w14:paraId="472CF25E" w14:textId="77777777" w:rsidTr="00D9519A">
        <w:trPr>
          <w:jc w:val="center"/>
        </w:trPr>
        <w:tc>
          <w:tcPr>
            <w:tcW w:w="1095" w:type="dxa"/>
            <w:vMerge w:val="restart"/>
            <w:tcBorders>
              <w:top w:val="single" w:sz="12" w:space="0" w:color="auto"/>
            </w:tcBorders>
          </w:tcPr>
          <w:p w14:paraId="16BF9CBD" w14:textId="11AF3724" w:rsidR="00890DF7" w:rsidRPr="00073574" w:rsidRDefault="00DE71AB" w:rsidP="00F30338">
            <w:pPr>
              <w:pStyle w:val="Tabletext"/>
              <w:rPr>
                <w:sz w:val="24"/>
                <w:szCs w:val="24"/>
              </w:rPr>
            </w:pPr>
            <w:r w:rsidRPr="00073574">
              <w:rPr>
                <w:b/>
                <w:bCs/>
                <w:sz w:val="24"/>
                <w:szCs w:val="24"/>
              </w:rPr>
              <w:lastRenderedPageBreak/>
              <w:t>77-07</w:t>
            </w:r>
          </w:p>
        </w:tc>
        <w:tc>
          <w:tcPr>
            <w:tcW w:w="4689" w:type="dxa"/>
            <w:tcBorders>
              <w:bottom w:val="single" w:sz="4" w:space="0" w:color="auto"/>
            </w:tcBorders>
            <w:shd w:val="clear" w:color="auto" w:fill="auto"/>
          </w:tcPr>
          <w:p w14:paraId="307B7023" w14:textId="572B118B" w:rsidR="00890DF7" w:rsidRPr="00073574" w:rsidRDefault="00890DF7" w:rsidP="00F30338">
            <w:pPr>
              <w:spacing w:before="40"/>
              <w:rPr>
                <w:bCs/>
                <w:szCs w:val="22"/>
              </w:rPr>
            </w:pPr>
            <w:r w:rsidRPr="00073574">
              <w:rPr>
                <w:b/>
                <w:bCs/>
                <w:sz w:val="24"/>
                <w:lang w:eastAsia="ko-KR"/>
              </w:rPr>
              <w:t>Study groups to research the advancement of emerging technology such as NFV container/docker to evolve the SDN technology (resolves SGs 3)</w:t>
            </w:r>
          </w:p>
        </w:tc>
        <w:tc>
          <w:tcPr>
            <w:tcW w:w="1683" w:type="dxa"/>
            <w:tcBorders>
              <w:bottom w:val="single" w:sz="4" w:space="0" w:color="auto"/>
            </w:tcBorders>
            <w:shd w:val="clear" w:color="auto" w:fill="auto"/>
            <w:vAlign w:val="center"/>
          </w:tcPr>
          <w:p w14:paraId="0A89C9E8" w14:textId="082FADBD" w:rsidR="00890DF7" w:rsidRPr="00073574" w:rsidRDefault="00890DF7" w:rsidP="00F30338">
            <w:pPr>
              <w:spacing w:before="40"/>
              <w:jc w:val="center"/>
              <w:rPr>
                <w:bCs/>
                <w:szCs w:val="22"/>
              </w:rPr>
            </w:pPr>
            <w:r w:rsidRPr="00073574">
              <w:rPr>
                <w:b/>
                <w:bCs/>
                <w:sz w:val="24"/>
              </w:rPr>
              <w:t>Ongoing</w:t>
            </w:r>
          </w:p>
        </w:tc>
        <w:tc>
          <w:tcPr>
            <w:tcW w:w="1129" w:type="dxa"/>
            <w:tcBorders>
              <w:bottom w:val="single" w:sz="4" w:space="0" w:color="auto"/>
            </w:tcBorders>
            <w:shd w:val="clear" w:color="auto" w:fill="auto"/>
            <w:vAlign w:val="center"/>
          </w:tcPr>
          <w:p w14:paraId="63137EEE" w14:textId="2828E86E" w:rsidR="00890DF7" w:rsidRPr="00073574" w:rsidRDefault="00890DF7" w:rsidP="00F30338">
            <w:pPr>
              <w:spacing w:before="40"/>
              <w:jc w:val="center"/>
              <w:rPr>
                <w:bCs/>
                <w:szCs w:val="22"/>
              </w:rPr>
            </w:pPr>
            <w:r w:rsidRPr="00073574">
              <w:rPr>
                <w:b/>
                <w:bCs/>
                <w:sz w:val="24"/>
              </w:rPr>
              <w:t>√</w:t>
            </w:r>
          </w:p>
        </w:tc>
        <w:tc>
          <w:tcPr>
            <w:tcW w:w="1336" w:type="dxa"/>
            <w:tcBorders>
              <w:bottom w:val="single" w:sz="4" w:space="0" w:color="auto"/>
            </w:tcBorders>
            <w:shd w:val="clear" w:color="auto" w:fill="auto"/>
            <w:vAlign w:val="center"/>
          </w:tcPr>
          <w:p w14:paraId="4FECB6C8" w14:textId="292FF94B" w:rsidR="00890DF7" w:rsidRPr="00073574" w:rsidRDefault="00890DF7" w:rsidP="00F30338">
            <w:pPr>
              <w:spacing w:before="40"/>
              <w:jc w:val="center"/>
              <w:rPr>
                <w:bCs/>
                <w:szCs w:val="22"/>
              </w:rPr>
            </w:pPr>
          </w:p>
        </w:tc>
      </w:tr>
      <w:tr w:rsidR="00890DF7" w:rsidRPr="00073574" w:rsidDel="00A93497" w14:paraId="1A072293" w14:textId="77777777" w:rsidTr="00D9519A">
        <w:trPr>
          <w:jc w:val="center"/>
        </w:trPr>
        <w:tc>
          <w:tcPr>
            <w:tcW w:w="1095" w:type="dxa"/>
            <w:vMerge/>
          </w:tcPr>
          <w:p w14:paraId="79DEFBE6" w14:textId="77777777" w:rsidR="00890DF7" w:rsidRPr="00073574" w:rsidRDefault="00890DF7" w:rsidP="00F30338">
            <w:pPr>
              <w:pStyle w:val="Tabletext"/>
              <w:rPr>
                <w:sz w:val="24"/>
                <w:szCs w:val="24"/>
              </w:rPr>
            </w:pPr>
          </w:p>
        </w:tc>
        <w:tc>
          <w:tcPr>
            <w:tcW w:w="8837" w:type="dxa"/>
            <w:gridSpan w:val="4"/>
            <w:tcBorders>
              <w:top w:val="single" w:sz="4" w:space="0" w:color="auto"/>
              <w:bottom w:val="single" w:sz="12" w:space="0" w:color="auto"/>
            </w:tcBorders>
            <w:shd w:val="clear" w:color="auto" w:fill="auto"/>
          </w:tcPr>
          <w:p w14:paraId="3485B2CF" w14:textId="77777777" w:rsidR="00B5365D" w:rsidRPr="00073574" w:rsidRDefault="00B5365D" w:rsidP="00F30338">
            <w:pPr>
              <w:pStyle w:val="Headingb"/>
              <w:keepNext w:val="0"/>
              <w:numPr>
                <w:ilvl w:val="0"/>
                <w:numId w:val="39"/>
              </w:numPr>
              <w:spacing w:before="40" w:after="120"/>
              <w:ind w:left="357" w:hanging="357"/>
              <w:rPr>
                <w:b w:val="0"/>
              </w:rPr>
            </w:pPr>
            <w:r w:rsidRPr="00073574">
              <w:rPr>
                <w:b w:val="0"/>
              </w:rPr>
              <w:t>SG2, SG11, SG12, SG13, SG15: see 77-01.</w:t>
            </w:r>
          </w:p>
          <w:p w14:paraId="08298C0A" w14:textId="77777777" w:rsidR="00B5365D" w:rsidRPr="00073574" w:rsidRDefault="00B5365D" w:rsidP="00F30338">
            <w:pPr>
              <w:pStyle w:val="Headingb"/>
              <w:keepNext w:val="0"/>
              <w:numPr>
                <w:ilvl w:val="0"/>
                <w:numId w:val="39"/>
              </w:numPr>
              <w:spacing w:before="120" w:after="120"/>
              <w:ind w:left="357" w:hanging="357"/>
              <w:rPr>
                <w:b w:val="0"/>
              </w:rPr>
            </w:pPr>
            <w:r w:rsidRPr="00073574">
              <w:rPr>
                <w:b w:val="0"/>
              </w:rPr>
              <w:t>SG11 approved new Recommendation such as:</w:t>
            </w:r>
          </w:p>
          <w:p w14:paraId="3CEE1122" w14:textId="77777777" w:rsidR="00B5365D" w:rsidRPr="00073574" w:rsidRDefault="00B5365D" w:rsidP="00F30338">
            <w:pPr>
              <w:pStyle w:val="Headingb"/>
              <w:keepNext w:val="0"/>
              <w:numPr>
                <w:ilvl w:val="1"/>
                <w:numId w:val="39"/>
              </w:numPr>
              <w:spacing w:before="120" w:after="120"/>
              <w:rPr>
                <w:b w:val="0"/>
              </w:rPr>
            </w:pPr>
            <w:r w:rsidRPr="00073574">
              <w:rPr>
                <w:b w:val="0"/>
              </w:rPr>
              <w:t>ITU-T Q.3054 “Signalling architecture for virtualization of control network entities”;</w:t>
            </w:r>
          </w:p>
          <w:p w14:paraId="1414135B" w14:textId="637B610B" w:rsidR="00B5365D" w:rsidRPr="00073574" w:rsidRDefault="00B5365D" w:rsidP="00F30338">
            <w:pPr>
              <w:pStyle w:val="Headingb"/>
              <w:keepNext w:val="0"/>
              <w:numPr>
                <w:ilvl w:val="1"/>
                <w:numId w:val="39"/>
              </w:numPr>
              <w:spacing w:before="120" w:after="120"/>
              <w:rPr>
                <w:b w:val="0"/>
              </w:rPr>
            </w:pPr>
            <w:r w:rsidRPr="00073574">
              <w:rPr>
                <w:b w:val="0"/>
              </w:rPr>
              <w:t>ITU-T Q.4043 “Interoperability testing requirements of virtual switch</w:t>
            </w:r>
            <w:r w:rsidR="002D4D1F" w:rsidRPr="00073574">
              <w:rPr>
                <w:b w:val="0"/>
              </w:rPr>
              <w:t>”</w:t>
            </w:r>
            <w:r w:rsidRPr="00073574">
              <w:rPr>
                <w:b w:val="0"/>
              </w:rPr>
              <w:t>;</w:t>
            </w:r>
          </w:p>
          <w:p w14:paraId="613740E8" w14:textId="77777777" w:rsidR="00B5365D" w:rsidRPr="00073574" w:rsidRDefault="00B5365D" w:rsidP="00F30338">
            <w:pPr>
              <w:pStyle w:val="Headingb"/>
              <w:keepNext w:val="0"/>
              <w:numPr>
                <w:ilvl w:val="1"/>
                <w:numId w:val="39"/>
              </w:numPr>
              <w:spacing w:before="120" w:after="120"/>
              <w:rPr>
                <w:b w:val="0"/>
                <w:bCs/>
              </w:rPr>
            </w:pPr>
            <w:r w:rsidRPr="00073574">
              <w:rPr>
                <w:b w:val="0"/>
                <w:bCs/>
              </w:rPr>
              <w:t>ITU-T Q.4067 “Signalling requirements for the virtualized network function lifecycle management in a testing environment”;</w:t>
            </w:r>
          </w:p>
          <w:p w14:paraId="1FC1DCA0" w14:textId="77777777" w:rsidR="00B5365D" w:rsidRPr="00073574" w:rsidRDefault="00B5365D" w:rsidP="00F30338">
            <w:pPr>
              <w:pStyle w:val="Headingb"/>
              <w:keepNext w:val="0"/>
              <w:numPr>
                <w:ilvl w:val="1"/>
                <w:numId w:val="39"/>
              </w:numPr>
              <w:spacing w:before="120" w:after="120"/>
              <w:rPr>
                <w:b w:val="0"/>
              </w:rPr>
            </w:pPr>
            <w:r w:rsidRPr="00073574">
              <w:rPr>
                <w:b w:val="0"/>
              </w:rPr>
              <w:t>ITU-T Q.3716 “Signalling requirements for mapping between physical and virtual networks”;</w:t>
            </w:r>
          </w:p>
          <w:p w14:paraId="6B399F85" w14:textId="77777777" w:rsidR="00B5365D" w:rsidRPr="00073574" w:rsidRDefault="00B5365D" w:rsidP="00F30338">
            <w:pPr>
              <w:pStyle w:val="Headingb"/>
              <w:keepNext w:val="0"/>
              <w:numPr>
                <w:ilvl w:val="1"/>
                <w:numId w:val="39"/>
              </w:numPr>
              <w:spacing w:before="120" w:after="120"/>
              <w:rPr>
                <w:b w:val="0"/>
              </w:rPr>
            </w:pPr>
            <w:r w:rsidRPr="00073574">
              <w:rPr>
                <w:b w:val="0"/>
              </w:rPr>
              <w:t>ITU-T Q.3717 “Signalling requirements for automatic management of IP address pools by software-designed network technologies on a broadband network gateway”;</w:t>
            </w:r>
          </w:p>
          <w:p w14:paraId="1CA99067" w14:textId="3A2CFE55" w:rsidR="00B5365D" w:rsidRPr="00073574" w:rsidRDefault="00B5365D" w:rsidP="00F30338">
            <w:pPr>
              <w:pStyle w:val="Headingb"/>
              <w:keepNext w:val="0"/>
              <w:numPr>
                <w:ilvl w:val="1"/>
                <w:numId w:val="39"/>
              </w:numPr>
              <w:spacing w:before="120" w:after="120"/>
              <w:rPr>
                <w:b w:val="0"/>
              </w:rPr>
            </w:pPr>
            <w:r w:rsidRPr="00073574">
              <w:rPr>
                <w:b w:val="0"/>
                <w:bCs/>
              </w:rPr>
              <w:t>ITU-T Q.3719 “Signalling requirements for the separation of control plane and user plane in a virtualized broadband network gateway (vBNG)”;</w:t>
            </w:r>
          </w:p>
          <w:p w14:paraId="3015863A" w14:textId="6B25C663" w:rsidR="00B5365D" w:rsidRPr="00073574" w:rsidRDefault="00B5365D" w:rsidP="00F30338">
            <w:pPr>
              <w:pStyle w:val="Headingb"/>
              <w:keepNext w:val="0"/>
              <w:numPr>
                <w:ilvl w:val="1"/>
                <w:numId w:val="39"/>
              </w:numPr>
              <w:spacing w:before="120" w:after="120"/>
              <w:rPr>
                <w:b w:val="0"/>
                <w:bCs/>
              </w:rPr>
            </w:pPr>
            <w:r w:rsidRPr="00073574">
              <w:rPr>
                <w:b w:val="0"/>
                <w:bCs/>
              </w:rPr>
              <w:t>ITU-T Q.3720 “Procedures for virtualized broadband network gateway acceleration with programmable acceleration card”.</w:t>
            </w:r>
          </w:p>
          <w:p w14:paraId="0589429F" w14:textId="77777777" w:rsidR="00B5365D" w:rsidRPr="00073574" w:rsidRDefault="00B5365D" w:rsidP="00F30338">
            <w:pPr>
              <w:pStyle w:val="Headingb"/>
              <w:keepNext w:val="0"/>
              <w:spacing w:before="120" w:after="120"/>
              <w:ind w:left="298"/>
              <w:rPr>
                <w:b w:val="0"/>
                <w:bCs/>
                <w:szCs w:val="22"/>
              </w:rPr>
            </w:pPr>
            <w:r w:rsidRPr="00073574">
              <w:rPr>
                <w:b w:val="0"/>
                <w:bCs/>
                <w:szCs w:val="22"/>
              </w:rPr>
              <w:t>SG11 continues to study the signalling requirements for telemetry of virtual broadband network services.</w:t>
            </w:r>
          </w:p>
          <w:p w14:paraId="7A729D3D" w14:textId="592B7431" w:rsidR="00B5365D" w:rsidRPr="00073574" w:rsidRDefault="00B5365D" w:rsidP="00F30338">
            <w:pPr>
              <w:pStyle w:val="ListParagraph"/>
              <w:numPr>
                <w:ilvl w:val="0"/>
                <w:numId w:val="39"/>
              </w:numPr>
            </w:pPr>
            <w:r w:rsidRPr="00073574">
              <w:t xml:space="preserve">SG13 has two Questions to look after the emerging technologies: Q1/13 </w:t>
            </w:r>
            <w:r w:rsidR="002D4D1F" w:rsidRPr="00073574">
              <w:t>“</w:t>
            </w:r>
            <w:r w:rsidRPr="00073574">
              <w:t>Innovative services scenarios, deployment models and migration issues based on Future Networks</w:t>
            </w:r>
            <w:r w:rsidR="002D4D1F" w:rsidRPr="00073574">
              <w:t>”</w:t>
            </w:r>
            <w:r w:rsidR="00742DDE" w:rsidRPr="00073574">
              <w:t xml:space="preserve"> (since 2021 title is “Future Networks: Innovative Service Scenarios, including Environmental and Socio Economical Aspects”)</w:t>
            </w:r>
            <w:r w:rsidRPr="00073574">
              <w:t xml:space="preserve"> and Q2/13 </w:t>
            </w:r>
            <w:r w:rsidR="002D4D1F" w:rsidRPr="00073574">
              <w:t>“</w:t>
            </w:r>
            <w:r w:rsidRPr="00073574">
              <w:t>Next-generation network (NGN) evolution with innovative technologies including software-defined networking (SDN) and network function virtualization (NFV)</w:t>
            </w:r>
            <w:r w:rsidR="002D4D1F" w:rsidRPr="00073574">
              <w:t>”</w:t>
            </w:r>
            <w:r w:rsidRPr="00073574">
              <w:t xml:space="preserve">. In addition, has Q21/13 </w:t>
            </w:r>
            <w:r w:rsidR="002D4D1F" w:rsidRPr="00073574">
              <w:t>“</w:t>
            </w:r>
            <w:r w:rsidRPr="00073574">
              <w:t>Network softwarization including software-defined networking, network slicing and orchestration</w:t>
            </w:r>
            <w:r w:rsidR="002D4D1F" w:rsidRPr="00073574">
              <w:t>”</w:t>
            </w:r>
            <w:r w:rsidR="00881AAB" w:rsidRPr="00073574">
              <w:t xml:space="preserve"> (since 2021 title is “Networks beyond IMT-2020: Network softwarization”)</w:t>
            </w:r>
            <w:r w:rsidRPr="00073574">
              <w:t xml:space="preserve">. FG ML5G was </w:t>
            </w:r>
            <w:r w:rsidR="00CA2073" w:rsidRPr="00073574">
              <w:t>in operation</w:t>
            </w:r>
            <w:r w:rsidRPr="00073574">
              <w:t xml:space="preserve"> 2017</w:t>
            </w:r>
            <w:r w:rsidR="00CA2073" w:rsidRPr="00073574">
              <w:t xml:space="preserve"> </w:t>
            </w:r>
            <w:r w:rsidR="002D4D1F" w:rsidRPr="00073574">
              <w:t>–</w:t>
            </w:r>
            <w:r w:rsidR="00081678" w:rsidRPr="00073574">
              <w:t xml:space="preserve"> 2020</w:t>
            </w:r>
            <w:r w:rsidRPr="00073574">
              <w:t xml:space="preserve">. </w:t>
            </w:r>
            <w:r w:rsidR="00F54E64" w:rsidRPr="00073574">
              <w:t xml:space="preserve">It drew up ten technical specifications for machine learning (ML) for future networks, including interfaces, network architectures, protocols, algorithms and data formats. </w:t>
            </w:r>
            <w:r w:rsidRPr="00073574">
              <w:t xml:space="preserve">FG-NET2030 was </w:t>
            </w:r>
            <w:r w:rsidR="00081678" w:rsidRPr="00073574">
              <w:t xml:space="preserve">in operation </w:t>
            </w:r>
            <w:r w:rsidRPr="00073574">
              <w:t>2018</w:t>
            </w:r>
            <w:r w:rsidR="00081678" w:rsidRPr="00073574">
              <w:t xml:space="preserve"> </w:t>
            </w:r>
            <w:r w:rsidR="002D4D1F" w:rsidRPr="00073574">
              <w:t>–</w:t>
            </w:r>
            <w:r w:rsidR="00081678" w:rsidRPr="00073574">
              <w:t xml:space="preserve"> 2020</w:t>
            </w:r>
            <w:r w:rsidRPr="00073574">
              <w:t>. It looked at the innovative service scenarios and network solution to be in operation around 2030 – 2035.</w:t>
            </w:r>
            <w:r w:rsidR="00081678" w:rsidRPr="00073574">
              <w:t xml:space="preserve"> F</w:t>
            </w:r>
            <w:r w:rsidR="003C5817" w:rsidRPr="00073574">
              <w:t>G AN was established in December 2020.</w:t>
            </w:r>
            <w:r w:rsidR="009D7932" w:rsidRPr="00073574">
              <w:t xml:space="preserve"> It looks at exploratory evolution in future networks, and dynamic adaptation to future environments, technologies, and use cases.</w:t>
            </w:r>
          </w:p>
        </w:tc>
      </w:tr>
      <w:tr w:rsidR="00F0236A" w:rsidRPr="00073574" w:rsidDel="00A93497" w14:paraId="02B52AB1" w14:textId="77777777" w:rsidTr="00980D27">
        <w:trPr>
          <w:cantSplit/>
          <w:jc w:val="center"/>
        </w:trPr>
        <w:tc>
          <w:tcPr>
            <w:tcW w:w="1095" w:type="dxa"/>
            <w:vMerge w:val="restart"/>
            <w:tcBorders>
              <w:top w:val="single" w:sz="12" w:space="0" w:color="auto"/>
            </w:tcBorders>
            <w:shd w:val="clear" w:color="auto" w:fill="auto"/>
          </w:tcPr>
          <w:p w14:paraId="63F8A7A2" w14:textId="77777777" w:rsidR="00F0236A" w:rsidRPr="00073574" w:rsidRDefault="00F0236A" w:rsidP="004B0421">
            <w:pPr>
              <w:pStyle w:val="Tabletext"/>
              <w:keepNext/>
              <w:keepLines/>
              <w:rPr>
                <w:b/>
                <w:bCs/>
                <w:sz w:val="24"/>
                <w:szCs w:val="24"/>
              </w:rPr>
            </w:pPr>
            <w:r w:rsidRPr="00073574">
              <w:rPr>
                <w:b/>
                <w:bCs/>
                <w:sz w:val="24"/>
                <w:szCs w:val="24"/>
              </w:rPr>
              <w:lastRenderedPageBreak/>
              <w:t>77-08</w:t>
            </w:r>
          </w:p>
        </w:tc>
        <w:tc>
          <w:tcPr>
            <w:tcW w:w="4689" w:type="dxa"/>
            <w:tcBorders>
              <w:top w:val="single" w:sz="12" w:space="0" w:color="auto"/>
            </w:tcBorders>
            <w:shd w:val="clear" w:color="auto" w:fill="auto"/>
          </w:tcPr>
          <w:p w14:paraId="5543CD6A" w14:textId="77777777" w:rsidR="00F0236A" w:rsidRPr="00073574" w:rsidRDefault="00F0236A" w:rsidP="004B0421">
            <w:pPr>
              <w:pStyle w:val="Tabletext"/>
              <w:keepNext/>
              <w:keepLines/>
              <w:rPr>
                <w:b/>
                <w:bCs/>
                <w:sz w:val="24"/>
                <w:szCs w:val="24"/>
                <w:lang w:eastAsia="ko-KR"/>
              </w:rPr>
            </w:pPr>
            <w:r w:rsidRPr="00073574">
              <w:rPr>
                <w:b/>
                <w:bCs/>
                <w:sz w:val="24"/>
                <w:szCs w:val="24"/>
                <w:lang w:eastAsia="ko-KR"/>
              </w:rPr>
              <w:t>Study groups to continue to develop the ITU</w:t>
            </w:r>
            <w:r w:rsidRPr="00073574">
              <w:rPr>
                <w:b/>
                <w:bCs/>
                <w:sz w:val="24"/>
                <w:szCs w:val="24"/>
                <w:lang w:eastAsia="ko-KR"/>
              </w:rPr>
              <w:noBreakHyphen/>
              <w:t>T SDN standards to enhance interoperability between the controller products (resolves SG 4)</w:t>
            </w:r>
          </w:p>
        </w:tc>
        <w:tc>
          <w:tcPr>
            <w:tcW w:w="1683" w:type="dxa"/>
            <w:tcBorders>
              <w:top w:val="single" w:sz="12" w:space="0" w:color="auto"/>
            </w:tcBorders>
            <w:shd w:val="clear" w:color="auto" w:fill="auto"/>
            <w:vAlign w:val="center"/>
          </w:tcPr>
          <w:p w14:paraId="252C3400" w14:textId="77777777" w:rsidR="00F0236A" w:rsidRPr="00073574" w:rsidRDefault="00F0236A" w:rsidP="004B0421">
            <w:pPr>
              <w:pStyle w:val="Tabletext"/>
              <w:keepNext/>
              <w:keepLines/>
              <w:jc w:val="center"/>
              <w:rPr>
                <w:b/>
                <w:bCs/>
                <w:sz w:val="24"/>
                <w:szCs w:val="24"/>
              </w:rPr>
            </w:pPr>
            <w:r w:rsidRPr="00073574">
              <w:rPr>
                <w:b/>
                <w:bCs/>
                <w:sz w:val="24"/>
                <w:szCs w:val="24"/>
              </w:rPr>
              <w:t>Ongoing</w:t>
            </w:r>
          </w:p>
        </w:tc>
        <w:tc>
          <w:tcPr>
            <w:tcW w:w="1129" w:type="dxa"/>
            <w:tcBorders>
              <w:top w:val="single" w:sz="12" w:space="0" w:color="auto"/>
            </w:tcBorders>
            <w:shd w:val="clear" w:color="auto" w:fill="auto"/>
            <w:vAlign w:val="center"/>
          </w:tcPr>
          <w:p w14:paraId="2BD3AB55" w14:textId="77777777" w:rsidR="00F0236A" w:rsidRPr="00073574" w:rsidDel="00A93497" w:rsidRDefault="00F0236A" w:rsidP="004B0421">
            <w:pPr>
              <w:pStyle w:val="Tabletext"/>
              <w:keepNext/>
              <w:keepLines/>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7260B2B8" w14:textId="77777777" w:rsidR="00F0236A" w:rsidRPr="00073574" w:rsidDel="00A93497" w:rsidRDefault="00F0236A" w:rsidP="004B0421">
            <w:pPr>
              <w:pStyle w:val="Tabletext"/>
              <w:keepNext/>
              <w:keepLines/>
              <w:jc w:val="center"/>
              <w:rPr>
                <w:b/>
                <w:bCs/>
                <w:sz w:val="24"/>
                <w:szCs w:val="24"/>
              </w:rPr>
            </w:pPr>
          </w:p>
        </w:tc>
      </w:tr>
      <w:tr w:rsidR="00F0236A" w:rsidRPr="00073574" w:rsidDel="00A93497" w14:paraId="10D0F605" w14:textId="77777777" w:rsidTr="00D30C87">
        <w:trPr>
          <w:jc w:val="center"/>
        </w:trPr>
        <w:tc>
          <w:tcPr>
            <w:tcW w:w="1095" w:type="dxa"/>
            <w:vMerge/>
          </w:tcPr>
          <w:p w14:paraId="7B3386DD" w14:textId="77777777" w:rsidR="00F0236A" w:rsidRPr="00073574" w:rsidRDefault="00F0236A" w:rsidP="004B0421">
            <w:pPr>
              <w:pStyle w:val="Tabletext"/>
              <w:keepNext/>
              <w:keepLines/>
              <w:rPr>
                <w:sz w:val="24"/>
                <w:szCs w:val="24"/>
              </w:rPr>
            </w:pPr>
          </w:p>
        </w:tc>
        <w:tc>
          <w:tcPr>
            <w:tcW w:w="8837" w:type="dxa"/>
            <w:gridSpan w:val="4"/>
            <w:tcBorders>
              <w:bottom w:val="single" w:sz="12" w:space="0" w:color="auto"/>
            </w:tcBorders>
            <w:shd w:val="clear" w:color="auto" w:fill="auto"/>
          </w:tcPr>
          <w:p w14:paraId="4CDD2453" w14:textId="2F210B2C" w:rsidR="00943B17" w:rsidRPr="00073574" w:rsidRDefault="00CA3568" w:rsidP="004B0421">
            <w:pPr>
              <w:pStyle w:val="Headingb"/>
              <w:keepLines/>
              <w:numPr>
                <w:ilvl w:val="0"/>
                <w:numId w:val="39"/>
              </w:numPr>
              <w:spacing w:before="40"/>
              <w:ind w:left="357" w:hanging="357"/>
              <w:rPr>
                <w:b w:val="0"/>
              </w:rPr>
            </w:pPr>
            <w:r w:rsidRPr="00073574">
              <w:rPr>
                <w:b w:val="0"/>
              </w:rPr>
              <w:t xml:space="preserve">SG2, </w:t>
            </w:r>
            <w:r w:rsidR="00F0236A" w:rsidRPr="00073574">
              <w:rPr>
                <w:b w:val="0"/>
              </w:rPr>
              <w:t xml:space="preserve">SG11, </w:t>
            </w:r>
            <w:r w:rsidR="00D019E3" w:rsidRPr="00073574">
              <w:rPr>
                <w:b w:val="0"/>
              </w:rPr>
              <w:t>SG12,</w:t>
            </w:r>
            <w:r w:rsidR="002C6C1B" w:rsidRPr="00073574">
              <w:rPr>
                <w:b w:val="0"/>
              </w:rPr>
              <w:t xml:space="preserve"> SG13,</w:t>
            </w:r>
            <w:r w:rsidR="00D019E3" w:rsidRPr="00073574">
              <w:rPr>
                <w:b w:val="0"/>
              </w:rPr>
              <w:t xml:space="preserve"> </w:t>
            </w:r>
            <w:r w:rsidR="00F0236A" w:rsidRPr="00073574">
              <w:rPr>
                <w:b w:val="0"/>
              </w:rPr>
              <w:t>SG15, SG17: see 77-01.</w:t>
            </w:r>
          </w:p>
          <w:p w14:paraId="02C9BFD5" w14:textId="731571CF" w:rsidR="00943B17" w:rsidRPr="00073574" w:rsidDel="00A93497" w:rsidRDefault="00943B17" w:rsidP="004B0421">
            <w:pPr>
              <w:pStyle w:val="Headingb"/>
              <w:keepLines/>
              <w:numPr>
                <w:ilvl w:val="0"/>
                <w:numId w:val="39"/>
              </w:numPr>
              <w:spacing w:before="120" w:after="40"/>
              <w:ind w:left="357" w:hanging="357"/>
              <w:rPr>
                <w:b w:val="0"/>
              </w:rPr>
            </w:pPr>
            <w:r w:rsidRPr="00073574">
              <w:rPr>
                <w:b w:val="0"/>
              </w:rPr>
              <w:t>SG11</w:t>
            </w:r>
            <w:r w:rsidR="00B460AE" w:rsidRPr="00073574">
              <w:rPr>
                <w:b w:val="0"/>
              </w:rPr>
              <w:t xml:space="preserve"> consented</w:t>
            </w:r>
            <w:r w:rsidR="00F54EE3" w:rsidRPr="00073574">
              <w:rPr>
                <w:b w:val="0"/>
              </w:rPr>
              <w:t xml:space="preserve"> </w:t>
            </w:r>
            <w:r w:rsidR="00B460AE" w:rsidRPr="00073574">
              <w:rPr>
                <w:b w:val="0"/>
              </w:rPr>
              <w:t>ITU-T Q.4043 “Interoperability testing requirements of virtual switch</w:t>
            </w:r>
            <w:r w:rsidR="002D4D1F" w:rsidRPr="00073574">
              <w:rPr>
                <w:b w:val="0"/>
              </w:rPr>
              <w:t>”</w:t>
            </w:r>
            <w:r w:rsidR="00B460AE" w:rsidRPr="00073574">
              <w:rPr>
                <w:b w:val="0"/>
              </w:rPr>
              <w:t xml:space="preserve"> and Recommendation </w:t>
            </w:r>
            <w:r w:rsidR="00B460AE" w:rsidRPr="00073574">
              <w:tab/>
            </w:r>
            <w:r w:rsidR="00B460AE" w:rsidRPr="00073574">
              <w:rPr>
                <w:b w:val="0"/>
              </w:rPr>
              <w:t xml:space="preserve">ITU-T Q.4061 </w:t>
            </w:r>
            <w:r w:rsidR="00AD7F0C" w:rsidRPr="00073574">
              <w:rPr>
                <w:b w:val="0"/>
              </w:rPr>
              <w:t>“</w:t>
            </w:r>
            <w:r w:rsidR="00B460AE" w:rsidRPr="00073574">
              <w:rPr>
                <w:b w:val="0"/>
              </w:rPr>
              <w:t>Framework of software-defined network controller testing</w:t>
            </w:r>
            <w:r w:rsidR="00AD7F0C" w:rsidRPr="00073574">
              <w:rPr>
                <w:b w:val="0"/>
              </w:rPr>
              <w:t>”</w:t>
            </w:r>
            <w:r w:rsidRPr="00073574">
              <w:rPr>
                <w:b w:val="0"/>
              </w:rPr>
              <w:t>.</w:t>
            </w:r>
          </w:p>
        </w:tc>
      </w:tr>
      <w:tr w:rsidR="00F0236A" w:rsidRPr="00073574" w:rsidDel="00A93497" w14:paraId="06DF3E67" w14:textId="77777777" w:rsidTr="00980D27">
        <w:trPr>
          <w:cantSplit/>
          <w:jc w:val="center"/>
        </w:trPr>
        <w:tc>
          <w:tcPr>
            <w:tcW w:w="1095" w:type="dxa"/>
            <w:vMerge w:val="restart"/>
            <w:tcBorders>
              <w:top w:val="single" w:sz="12" w:space="0" w:color="auto"/>
            </w:tcBorders>
            <w:shd w:val="clear" w:color="auto" w:fill="auto"/>
          </w:tcPr>
          <w:p w14:paraId="3B7AD4AB" w14:textId="77777777" w:rsidR="00F0236A" w:rsidRPr="00073574" w:rsidRDefault="00F0236A" w:rsidP="00F30338">
            <w:pPr>
              <w:pStyle w:val="Tabletext"/>
              <w:rPr>
                <w:b/>
                <w:bCs/>
                <w:sz w:val="24"/>
                <w:szCs w:val="24"/>
              </w:rPr>
            </w:pPr>
            <w:r w:rsidRPr="00073574">
              <w:rPr>
                <w:b/>
                <w:bCs/>
                <w:sz w:val="24"/>
                <w:szCs w:val="24"/>
              </w:rPr>
              <w:t>77-09</w:t>
            </w:r>
          </w:p>
        </w:tc>
        <w:tc>
          <w:tcPr>
            <w:tcW w:w="4689" w:type="dxa"/>
            <w:tcBorders>
              <w:top w:val="single" w:sz="12" w:space="0" w:color="auto"/>
            </w:tcBorders>
            <w:shd w:val="clear" w:color="auto" w:fill="auto"/>
          </w:tcPr>
          <w:p w14:paraId="723D6D19" w14:textId="77777777" w:rsidR="00F0236A" w:rsidRPr="00073574" w:rsidRDefault="00F0236A" w:rsidP="00F30338">
            <w:pPr>
              <w:pStyle w:val="Tabletext"/>
              <w:rPr>
                <w:b/>
                <w:bCs/>
                <w:sz w:val="24"/>
                <w:szCs w:val="24"/>
                <w:lang w:eastAsia="ko-KR"/>
              </w:rPr>
            </w:pPr>
            <w:r w:rsidRPr="00073574">
              <w:rPr>
                <w:b/>
                <w:bCs/>
                <w:sz w:val="24"/>
                <w:szCs w:val="24"/>
                <w:lang w:eastAsia="ko-KR"/>
              </w:rPr>
              <w:t>Study groups to consider the potential implications of the SDN orchestrator layer for ITU</w:t>
            </w:r>
            <w:r w:rsidRPr="00073574">
              <w:rPr>
                <w:b/>
                <w:bCs/>
                <w:sz w:val="24"/>
                <w:szCs w:val="24"/>
                <w:lang w:eastAsia="ko-KR"/>
              </w:rPr>
              <w:noBreakHyphen/>
              <w:t>T operation supporting system (OSS) related work (resolves SG 5)</w:t>
            </w:r>
          </w:p>
        </w:tc>
        <w:tc>
          <w:tcPr>
            <w:tcW w:w="1683" w:type="dxa"/>
            <w:tcBorders>
              <w:top w:val="single" w:sz="12" w:space="0" w:color="auto"/>
            </w:tcBorders>
            <w:shd w:val="clear" w:color="auto" w:fill="auto"/>
            <w:vAlign w:val="center"/>
          </w:tcPr>
          <w:p w14:paraId="398F5523" w14:textId="77777777" w:rsidR="00F0236A" w:rsidRPr="00073574" w:rsidRDefault="00F0236A" w:rsidP="00F30338">
            <w:pPr>
              <w:pStyle w:val="Tabletext"/>
              <w:jc w:val="center"/>
              <w:rPr>
                <w:b/>
                <w:bCs/>
                <w:sz w:val="24"/>
                <w:szCs w:val="24"/>
              </w:rPr>
            </w:pPr>
            <w:r w:rsidRPr="00073574">
              <w:rPr>
                <w:b/>
                <w:bCs/>
                <w:sz w:val="24"/>
                <w:szCs w:val="24"/>
              </w:rPr>
              <w:t>Ongoing</w:t>
            </w:r>
          </w:p>
        </w:tc>
        <w:tc>
          <w:tcPr>
            <w:tcW w:w="1129" w:type="dxa"/>
            <w:tcBorders>
              <w:top w:val="single" w:sz="12" w:space="0" w:color="auto"/>
            </w:tcBorders>
            <w:shd w:val="clear" w:color="auto" w:fill="auto"/>
            <w:vAlign w:val="center"/>
          </w:tcPr>
          <w:p w14:paraId="4AC1FFB3" w14:textId="77777777" w:rsidR="00F0236A" w:rsidRPr="00073574" w:rsidDel="00A93497" w:rsidRDefault="00F0236A" w:rsidP="00F30338">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0F7B43A8" w14:textId="77777777" w:rsidR="00F0236A" w:rsidRPr="00073574" w:rsidDel="00A93497" w:rsidRDefault="00F0236A" w:rsidP="00F30338">
            <w:pPr>
              <w:pStyle w:val="Tabletext"/>
              <w:jc w:val="center"/>
              <w:rPr>
                <w:b/>
                <w:bCs/>
                <w:sz w:val="24"/>
                <w:szCs w:val="24"/>
              </w:rPr>
            </w:pPr>
          </w:p>
        </w:tc>
      </w:tr>
      <w:tr w:rsidR="00F0236A" w:rsidRPr="00073574" w:rsidDel="00A93497" w14:paraId="4EF353C7" w14:textId="77777777" w:rsidTr="00980D27">
        <w:trPr>
          <w:cantSplit/>
          <w:jc w:val="center"/>
        </w:trPr>
        <w:tc>
          <w:tcPr>
            <w:tcW w:w="1095" w:type="dxa"/>
            <w:vMerge/>
          </w:tcPr>
          <w:p w14:paraId="3D69BC00" w14:textId="77777777" w:rsidR="00F0236A" w:rsidRPr="00073574" w:rsidRDefault="00F0236A" w:rsidP="00F30338">
            <w:pPr>
              <w:pStyle w:val="Tabletext"/>
              <w:rPr>
                <w:sz w:val="24"/>
                <w:szCs w:val="24"/>
              </w:rPr>
            </w:pPr>
          </w:p>
        </w:tc>
        <w:tc>
          <w:tcPr>
            <w:tcW w:w="8837" w:type="dxa"/>
            <w:gridSpan w:val="4"/>
            <w:tcBorders>
              <w:bottom w:val="single" w:sz="12" w:space="0" w:color="auto"/>
            </w:tcBorders>
            <w:shd w:val="clear" w:color="auto" w:fill="auto"/>
          </w:tcPr>
          <w:p w14:paraId="6379B3CB" w14:textId="3937C485" w:rsidR="00F0236A" w:rsidRPr="00073574" w:rsidDel="00A93497" w:rsidRDefault="00F0236A" w:rsidP="00F30338">
            <w:pPr>
              <w:pStyle w:val="ListParagraph"/>
              <w:numPr>
                <w:ilvl w:val="0"/>
                <w:numId w:val="39"/>
              </w:numPr>
              <w:spacing w:before="40" w:after="40"/>
              <w:ind w:left="357" w:hanging="357"/>
              <w:contextualSpacing w:val="0"/>
            </w:pPr>
            <w:r w:rsidRPr="00073574">
              <w:t>SG2</w:t>
            </w:r>
            <w:r w:rsidR="00832CEF" w:rsidRPr="00073574">
              <w:t xml:space="preserve"> and SG13</w:t>
            </w:r>
            <w:r w:rsidRPr="00073574">
              <w:t>: see 77-01.</w:t>
            </w:r>
          </w:p>
        </w:tc>
      </w:tr>
      <w:tr w:rsidR="00F0236A" w:rsidRPr="00073574" w:rsidDel="00A93497" w14:paraId="098571BA" w14:textId="77777777" w:rsidTr="00980D27">
        <w:trPr>
          <w:cantSplit/>
          <w:jc w:val="center"/>
        </w:trPr>
        <w:tc>
          <w:tcPr>
            <w:tcW w:w="1095" w:type="dxa"/>
            <w:vMerge w:val="restart"/>
            <w:tcBorders>
              <w:top w:val="single" w:sz="12" w:space="0" w:color="auto"/>
            </w:tcBorders>
            <w:shd w:val="clear" w:color="auto" w:fill="auto"/>
          </w:tcPr>
          <w:p w14:paraId="67E1DBBF" w14:textId="77777777" w:rsidR="00F0236A" w:rsidRPr="00073574" w:rsidRDefault="00F0236A" w:rsidP="00F30338">
            <w:pPr>
              <w:pStyle w:val="Tabletext"/>
              <w:rPr>
                <w:b/>
                <w:bCs/>
                <w:sz w:val="24"/>
                <w:szCs w:val="24"/>
              </w:rPr>
            </w:pPr>
            <w:r w:rsidRPr="00073574">
              <w:rPr>
                <w:b/>
                <w:bCs/>
                <w:sz w:val="24"/>
                <w:szCs w:val="24"/>
              </w:rPr>
              <w:t>77-10</w:t>
            </w:r>
          </w:p>
        </w:tc>
        <w:tc>
          <w:tcPr>
            <w:tcW w:w="4689" w:type="dxa"/>
            <w:tcBorders>
              <w:top w:val="single" w:sz="12" w:space="0" w:color="auto"/>
            </w:tcBorders>
            <w:shd w:val="clear" w:color="auto" w:fill="auto"/>
          </w:tcPr>
          <w:p w14:paraId="5EB82226" w14:textId="77777777" w:rsidR="00F0236A" w:rsidRPr="00073574" w:rsidRDefault="00F0236A" w:rsidP="00F30338">
            <w:pPr>
              <w:pStyle w:val="Tabletext"/>
              <w:rPr>
                <w:b/>
                <w:bCs/>
                <w:sz w:val="24"/>
                <w:szCs w:val="24"/>
                <w:lang w:eastAsia="ko-KR"/>
              </w:rPr>
            </w:pPr>
            <w:r w:rsidRPr="00073574">
              <w:rPr>
                <w:b/>
                <w:bCs/>
                <w:sz w:val="24"/>
                <w:szCs w:val="24"/>
                <w:lang w:eastAsia="ko-KR"/>
              </w:rPr>
              <w:t>SG13 to continue the JCA-SDN work, to coordinate and help plan the work so as to ensure that ITU-T SDN standardization is progressed in a well-coordinated manner and more efficiently among relevant study groups, to study the SDN-related work programmes (including NFV, programmable networks and network as a service) in ITU-T study groups, as well as in other SDOs, forums and consortia, for use in its coordination function, and to provide information on this work for use by the relevant study groups in planning their work (i. SG13)</w:t>
            </w:r>
          </w:p>
        </w:tc>
        <w:tc>
          <w:tcPr>
            <w:tcW w:w="1683" w:type="dxa"/>
            <w:tcBorders>
              <w:top w:val="single" w:sz="12" w:space="0" w:color="auto"/>
            </w:tcBorders>
            <w:shd w:val="clear" w:color="auto" w:fill="auto"/>
            <w:vAlign w:val="center"/>
          </w:tcPr>
          <w:p w14:paraId="5902FDFF" w14:textId="77777777" w:rsidR="00F0236A" w:rsidRPr="00073574" w:rsidRDefault="00F0236A" w:rsidP="00F30338">
            <w:pPr>
              <w:pStyle w:val="Tabletext"/>
              <w:jc w:val="center"/>
              <w:rPr>
                <w:b/>
                <w:bCs/>
                <w:sz w:val="24"/>
                <w:szCs w:val="24"/>
              </w:rPr>
            </w:pPr>
            <w:r w:rsidRPr="00073574">
              <w:rPr>
                <w:b/>
                <w:bCs/>
                <w:sz w:val="24"/>
                <w:szCs w:val="24"/>
              </w:rPr>
              <w:t>Ongoing</w:t>
            </w:r>
          </w:p>
        </w:tc>
        <w:tc>
          <w:tcPr>
            <w:tcW w:w="1129" w:type="dxa"/>
            <w:tcBorders>
              <w:top w:val="single" w:sz="12" w:space="0" w:color="auto"/>
            </w:tcBorders>
            <w:shd w:val="clear" w:color="auto" w:fill="auto"/>
            <w:vAlign w:val="center"/>
          </w:tcPr>
          <w:p w14:paraId="62D6F295" w14:textId="520B3D24" w:rsidR="00F0236A" w:rsidRPr="00073574" w:rsidDel="00A93497" w:rsidRDefault="00F0236A" w:rsidP="00F30338">
            <w:pPr>
              <w:pStyle w:val="Tabletext"/>
              <w:jc w:val="center"/>
              <w:rPr>
                <w:b/>
                <w:bCs/>
                <w:sz w:val="24"/>
                <w:szCs w:val="24"/>
              </w:rPr>
            </w:pPr>
          </w:p>
        </w:tc>
        <w:tc>
          <w:tcPr>
            <w:tcW w:w="1336" w:type="dxa"/>
            <w:tcBorders>
              <w:top w:val="single" w:sz="12" w:space="0" w:color="auto"/>
            </w:tcBorders>
            <w:shd w:val="clear" w:color="auto" w:fill="auto"/>
            <w:vAlign w:val="center"/>
          </w:tcPr>
          <w:p w14:paraId="6B251AE3" w14:textId="77777777" w:rsidR="00F0236A" w:rsidRPr="00073574" w:rsidDel="00A93497" w:rsidRDefault="00F0236A" w:rsidP="00F30338">
            <w:pPr>
              <w:pStyle w:val="Tabletext"/>
              <w:jc w:val="center"/>
              <w:rPr>
                <w:b/>
                <w:bCs/>
                <w:sz w:val="24"/>
                <w:szCs w:val="24"/>
              </w:rPr>
            </w:pPr>
            <w:r w:rsidRPr="00073574">
              <w:rPr>
                <w:b/>
                <w:bCs/>
                <w:sz w:val="24"/>
                <w:szCs w:val="24"/>
              </w:rPr>
              <w:t>√</w:t>
            </w:r>
          </w:p>
        </w:tc>
      </w:tr>
      <w:tr w:rsidR="00F0236A" w:rsidRPr="00073574" w:rsidDel="00A93497" w14:paraId="19BDC728" w14:textId="77777777" w:rsidTr="00980D27">
        <w:trPr>
          <w:cantSplit/>
          <w:jc w:val="center"/>
        </w:trPr>
        <w:tc>
          <w:tcPr>
            <w:tcW w:w="1095" w:type="dxa"/>
            <w:vMerge/>
          </w:tcPr>
          <w:p w14:paraId="5F689867" w14:textId="77777777" w:rsidR="00F0236A" w:rsidRPr="00073574" w:rsidRDefault="00F0236A" w:rsidP="00F30338">
            <w:pPr>
              <w:pStyle w:val="Tabletext"/>
              <w:rPr>
                <w:sz w:val="24"/>
                <w:szCs w:val="24"/>
              </w:rPr>
            </w:pPr>
          </w:p>
        </w:tc>
        <w:tc>
          <w:tcPr>
            <w:tcW w:w="8837" w:type="dxa"/>
            <w:gridSpan w:val="4"/>
            <w:tcBorders>
              <w:bottom w:val="single" w:sz="12" w:space="0" w:color="auto"/>
            </w:tcBorders>
            <w:shd w:val="clear" w:color="auto" w:fill="auto"/>
          </w:tcPr>
          <w:p w14:paraId="3208E173" w14:textId="4DE1F376" w:rsidR="00F0236A" w:rsidRPr="00073574" w:rsidDel="00A93497" w:rsidRDefault="00F0236A" w:rsidP="00F30338">
            <w:pPr>
              <w:pStyle w:val="Headingb"/>
              <w:keepNext w:val="0"/>
              <w:spacing w:before="40" w:after="40"/>
              <w:rPr>
                <w:b w:val="0"/>
                <w:bCs/>
                <w:szCs w:val="22"/>
              </w:rPr>
            </w:pPr>
            <w:r w:rsidRPr="00073574">
              <w:rPr>
                <w:b w:val="0"/>
                <w:bCs/>
                <w:szCs w:val="22"/>
              </w:rPr>
              <w:t xml:space="preserve">Action item 77-10 </w:t>
            </w:r>
            <w:r w:rsidR="00B118CF" w:rsidRPr="00073574">
              <w:rPr>
                <w:b w:val="0"/>
                <w:bCs/>
                <w:szCs w:val="22"/>
              </w:rPr>
              <w:t>wa</w:t>
            </w:r>
            <w:r w:rsidRPr="00073574">
              <w:rPr>
                <w:b w:val="0"/>
                <w:bCs/>
                <w:szCs w:val="22"/>
              </w:rPr>
              <w:t>s maintained by the JCA-SDN</w:t>
            </w:r>
            <w:r w:rsidR="00B118CF" w:rsidRPr="00073574">
              <w:rPr>
                <w:b w:val="0"/>
                <w:bCs/>
                <w:szCs w:val="22"/>
              </w:rPr>
              <w:t xml:space="preserve"> until is </w:t>
            </w:r>
            <w:r w:rsidR="00AE4406" w:rsidRPr="00073574">
              <w:rPr>
                <w:b w:val="0"/>
                <w:bCs/>
                <w:szCs w:val="22"/>
              </w:rPr>
              <w:t>demission</w:t>
            </w:r>
            <w:r w:rsidR="00B118CF" w:rsidRPr="00073574">
              <w:rPr>
                <w:b w:val="0"/>
                <w:bCs/>
                <w:szCs w:val="22"/>
              </w:rPr>
              <w:t xml:space="preserve"> at the end of 2017, when its task regarding item 77-10 became part of the regular work of the JCA-IMT2020.</w:t>
            </w:r>
          </w:p>
        </w:tc>
      </w:tr>
      <w:tr w:rsidR="00F0236A" w:rsidRPr="00073574" w:rsidDel="00A93497" w14:paraId="329E9A58" w14:textId="77777777" w:rsidTr="00980D27">
        <w:trPr>
          <w:cantSplit/>
          <w:jc w:val="center"/>
        </w:trPr>
        <w:tc>
          <w:tcPr>
            <w:tcW w:w="1095" w:type="dxa"/>
            <w:vMerge w:val="restart"/>
            <w:tcBorders>
              <w:top w:val="single" w:sz="12" w:space="0" w:color="auto"/>
            </w:tcBorders>
            <w:shd w:val="clear" w:color="auto" w:fill="auto"/>
          </w:tcPr>
          <w:p w14:paraId="208DFCDC" w14:textId="77777777" w:rsidR="00F0236A" w:rsidRPr="00073574" w:rsidRDefault="00F0236A" w:rsidP="00F30338">
            <w:pPr>
              <w:pStyle w:val="Tabletext"/>
              <w:rPr>
                <w:b/>
                <w:bCs/>
                <w:sz w:val="24"/>
                <w:szCs w:val="24"/>
              </w:rPr>
            </w:pPr>
            <w:r w:rsidRPr="00073574">
              <w:rPr>
                <w:b/>
                <w:bCs/>
                <w:sz w:val="24"/>
                <w:szCs w:val="24"/>
              </w:rPr>
              <w:t>77-11</w:t>
            </w:r>
          </w:p>
        </w:tc>
        <w:tc>
          <w:tcPr>
            <w:tcW w:w="4689" w:type="dxa"/>
            <w:tcBorders>
              <w:top w:val="single" w:sz="12" w:space="0" w:color="auto"/>
            </w:tcBorders>
            <w:shd w:val="clear" w:color="auto" w:fill="auto"/>
          </w:tcPr>
          <w:p w14:paraId="022A47A9" w14:textId="77777777" w:rsidR="00F0236A" w:rsidRPr="00073574" w:rsidRDefault="00F0236A" w:rsidP="00F30338">
            <w:pPr>
              <w:pStyle w:val="Tabletext"/>
              <w:rPr>
                <w:b/>
                <w:bCs/>
                <w:sz w:val="24"/>
                <w:szCs w:val="24"/>
                <w:lang w:eastAsia="ko-KR"/>
              </w:rPr>
            </w:pPr>
            <w:r w:rsidRPr="00073574">
              <w:rPr>
                <w:b/>
                <w:bCs/>
                <w:sz w:val="24"/>
                <w:szCs w:val="24"/>
              </w:rPr>
              <w:t xml:space="preserve">TSB Director </w:t>
            </w:r>
            <w:r w:rsidRPr="00073574">
              <w:rPr>
                <w:b/>
                <w:bCs/>
                <w:sz w:val="24"/>
                <w:szCs w:val="24"/>
                <w:lang w:eastAsia="zh-CN"/>
              </w:rPr>
              <w:t>to conduct workshops, with other relevant organizations, for capacity building on SDN; and to organize the annual SDN&amp;NFV workshop with open source solutions representation to share the progress in SDN/NFV standards and real experience in the current carrier network (i. TSB Dir 2)</w:t>
            </w:r>
          </w:p>
        </w:tc>
        <w:tc>
          <w:tcPr>
            <w:tcW w:w="1683" w:type="dxa"/>
            <w:tcBorders>
              <w:top w:val="single" w:sz="12" w:space="0" w:color="auto"/>
            </w:tcBorders>
            <w:shd w:val="clear" w:color="auto" w:fill="auto"/>
            <w:vAlign w:val="center"/>
          </w:tcPr>
          <w:p w14:paraId="2B0BD9AA" w14:textId="77777777" w:rsidR="00F0236A" w:rsidRPr="00073574" w:rsidRDefault="00F0236A" w:rsidP="00F30338">
            <w:pPr>
              <w:pStyle w:val="Tabletext"/>
              <w:jc w:val="center"/>
              <w:rPr>
                <w:b/>
                <w:bCs/>
                <w:sz w:val="24"/>
                <w:szCs w:val="24"/>
              </w:rPr>
            </w:pPr>
            <w:r w:rsidRPr="00073574">
              <w:rPr>
                <w:b/>
                <w:bCs/>
                <w:sz w:val="24"/>
                <w:szCs w:val="24"/>
              </w:rPr>
              <w:t>Ongoing</w:t>
            </w:r>
          </w:p>
        </w:tc>
        <w:tc>
          <w:tcPr>
            <w:tcW w:w="1129" w:type="dxa"/>
            <w:tcBorders>
              <w:top w:val="single" w:sz="12" w:space="0" w:color="auto"/>
            </w:tcBorders>
            <w:shd w:val="clear" w:color="auto" w:fill="auto"/>
            <w:vAlign w:val="center"/>
          </w:tcPr>
          <w:p w14:paraId="00AA1C3D" w14:textId="77777777" w:rsidR="00F0236A" w:rsidRPr="00073574" w:rsidDel="00A93497" w:rsidRDefault="00F0236A" w:rsidP="00F30338">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190A1399" w14:textId="77777777" w:rsidR="00F0236A" w:rsidRPr="00073574" w:rsidDel="00A93497" w:rsidRDefault="00F0236A" w:rsidP="00F30338">
            <w:pPr>
              <w:pStyle w:val="Tabletext"/>
              <w:jc w:val="center"/>
              <w:rPr>
                <w:b/>
                <w:bCs/>
                <w:sz w:val="24"/>
                <w:szCs w:val="24"/>
              </w:rPr>
            </w:pPr>
          </w:p>
        </w:tc>
      </w:tr>
      <w:tr w:rsidR="00F0236A" w:rsidRPr="00073574" w:rsidDel="00A93497" w14:paraId="49E38B96" w14:textId="77777777" w:rsidTr="00980D27">
        <w:trPr>
          <w:cantSplit/>
          <w:jc w:val="center"/>
        </w:trPr>
        <w:tc>
          <w:tcPr>
            <w:tcW w:w="1095" w:type="dxa"/>
            <w:vMerge/>
            <w:vAlign w:val="center"/>
          </w:tcPr>
          <w:p w14:paraId="0993E512" w14:textId="77777777" w:rsidR="00F0236A" w:rsidRPr="00073574" w:rsidRDefault="00F0236A" w:rsidP="00F30338">
            <w:pPr>
              <w:pStyle w:val="Tabletext"/>
              <w:rPr>
                <w:sz w:val="24"/>
                <w:szCs w:val="24"/>
              </w:rPr>
            </w:pPr>
          </w:p>
        </w:tc>
        <w:tc>
          <w:tcPr>
            <w:tcW w:w="8837" w:type="dxa"/>
            <w:gridSpan w:val="4"/>
            <w:shd w:val="clear" w:color="auto" w:fill="auto"/>
          </w:tcPr>
          <w:p w14:paraId="09C79D20" w14:textId="069EADA5" w:rsidR="00F0236A" w:rsidRPr="00073574" w:rsidDel="00A93497" w:rsidRDefault="00F0236A" w:rsidP="00F30338">
            <w:pPr>
              <w:pStyle w:val="ListParagraph"/>
              <w:numPr>
                <w:ilvl w:val="0"/>
                <w:numId w:val="39"/>
              </w:numPr>
              <w:spacing w:before="40" w:after="40"/>
              <w:ind w:left="357" w:hanging="357"/>
              <w:contextualSpacing w:val="0"/>
            </w:pPr>
            <w:r w:rsidRPr="00073574">
              <w:t xml:space="preserve">SG13 </w:t>
            </w:r>
            <w:r w:rsidR="00B118CF" w:rsidRPr="00073574">
              <w:t xml:space="preserve">convened </w:t>
            </w:r>
            <w:r w:rsidRPr="00073574">
              <w:t>a one day workshop on 1</w:t>
            </w:r>
            <w:r w:rsidR="002000B0" w:rsidRPr="00073574">
              <w:t>8</w:t>
            </w:r>
            <w:r w:rsidRPr="00073574">
              <w:t xml:space="preserve"> July 201</w:t>
            </w:r>
            <w:r w:rsidR="002000B0" w:rsidRPr="00073574">
              <w:t>8</w:t>
            </w:r>
            <w:r w:rsidRPr="00073574">
              <w:t xml:space="preserve"> on 5G roadshow with demonstrations of some Proof-of-Concepts including NFV/SDN.</w:t>
            </w:r>
            <w:r w:rsidR="00B118CF" w:rsidRPr="00073574">
              <w:t xml:space="preserve"> In addition, the SDN and its particularities were subject of the different sessions at every workshop SG13 organized (</w:t>
            </w:r>
            <w:r w:rsidR="00D954FA" w:rsidRPr="00073574">
              <w:t>18</w:t>
            </w:r>
            <w:r w:rsidR="002000B0" w:rsidRPr="00073574">
              <w:rPr>
                <w:szCs w:val="22"/>
              </w:rPr>
              <w:t xml:space="preserve"> </w:t>
            </w:r>
            <w:r w:rsidR="00B118CF" w:rsidRPr="00073574">
              <w:t>in the reporting period).</w:t>
            </w:r>
            <w:r w:rsidR="00832CEF" w:rsidRPr="00073574">
              <w:t xml:space="preserve"> See for more details item 77-04 above. A flipbook </w:t>
            </w:r>
            <w:hyperlink r:id="rId676" w:history="1">
              <w:r w:rsidR="00832CEF" w:rsidRPr="00073574">
                <w:rPr>
                  <w:rStyle w:val="Hyperlink"/>
                  <w:color w:val="3789BD"/>
                  <w:bdr w:val="none" w:sz="0" w:space="0" w:color="auto" w:frame="1"/>
                </w:rPr>
                <w:t>5G Proof-of-Concept Demonstrations</w:t>
              </w:r>
            </w:hyperlink>
            <w:r w:rsidR="00832CEF" w:rsidRPr="00073574">
              <w:rPr>
                <w:color w:val="444444"/>
                <w:shd w:val="clear" w:color="auto" w:fill="FFFFFF"/>
              </w:rPr>
              <w:t xml:space="preserve"> </w:t>
            </w:r>
            <w:r w:rsidR="00832CEF" w:rsidRPr="00073574">
              <w:rPr>
                <w:shd w:val="clear" w:color="auto" w:fill="FFFFFF"/>
              </w:rPr>
              <w:t>has few real trials description and evaluation of how slicing in 5G network works.</w:t>
            </w:r>
          </w:p>
        </w:tc>
      </w:tr>
    </w:tbl>
    <w:bookmarkStart w:id="455" w:name="Item77_01"/>
    <w:bookmarkStart w:id="456" w:name="Item77_05"/>
    <w:bookmarkStart w:id="457" w:name="Item77_04"/>
    <w:bookmarkStart w:id="458" w:name="Item77_06"/>
    <w:bookmarkStart w:id="459" w:name="Item77_07"/>
    <w:bookmarkStart w:id="460" w:name="Item77_08"/>
    <w:bookmarkStart w:id="461" w:name="Item77_09"/>
    <w:bookmarkStart w:id="462" w:name="Item77_10"/>
    <w:bookmarkStart w:id="463" w:name="Item77_11"/>
    <w:bookmarkEnd w:id="455"/>
    <w:bookmarkEnd w:id="456"/>
    <w:bookmarkEnd w:id="457"/>
    <w:bookmarkEnd w:id="458"/>
    <w:bookmarkEnd w:id="459"/>
    <w:bookmarkEnd w:id="460"/>
    <w:bookmarkEnd w:id="461"/>
    <w:bookmarkEnd w:id="462"/>
    <w:bookmarkEnd w:id="463"/>
    <w:p w14:paraId="396EC91B" w14:textId="77777777" w:rsidR="00F0236A" w:rsidRPr="00073574" w:rsidRDefault="00F0236A" w:rsidP="00F0236A">
      <w:pPr>
        <w:rPr>
          <w:sz w:val="24"/>
        </w:rPr>
      </w:pPr>
      <w:r w:rsidRPr="00073574">
        <w:rPr>
          <w:color w:val="2B579A"/>
          <w:shd w:val="clear" w:color="auto" w:fill="E6E6E6"/>
        </w:rPr>
        <w:fldChar w:fldCharType="begin"/>
      </w:r>
      <w:r w:rsidRPr="00073574">
        <w:rPr>
          <w:sz w:val="24"/>
        </w:rPr>
        <w:instrText xml:space="preserve"> HYPERLINK \l "Top" </w:instrText>
      </w:r>
      <w:r w:rsidRPr="00073574">
        <w:rPr>
          <w:color w:val="2B579A"/>
          <w:shd w:val="clear" w:color="auto" w:fill="E6E6E6"/>
        </w:rPr>
        <w:fldChar w:fldCharType="separate"/>
      </w:r>
      <w:r w:rsidRPr="00073574">
        <w:rPr>
          <w:rStyle w:val="Hyperlink"/>
          <w:rFonts w:eastAsia="Times New Roman"/>
          <w:sz w:val="24"/>
        </w:rPr>
        <w:t>» Top</w:t>
      </w:r>
      <w:r w:rsidRPr="00073574">
        <w:rPr>
          <w:rStyle w:val="Hyperlink"/>
          <w:rFonts w:eastAsia="Times New Roman"/>
          <w:sz w:val="24"/>
        </w:rPr>
        <w:fldChar w:fldCharType="end"/>
      </w:r>
    </w:p>
    <w:p w14:paraId="6A25D73D" w14:textId="77777777" w:rsidR="00F0236A" w:rsidRPr="00073574" w:rsidRDefault="00F0236A" w:rsidP="00F0236A">
      <w:pPr>
        <w:rPr>
          <w:sz w:val="24"/>
        </w:rPr>
      </w:pPr>
    </w:p>
    <w:p w14:paraId="48BF3579" w14:textId="18BC15A0" w:rsidR="00F0236A" w:rsidRPr="00073574" w:rsidRDefault="00F0236A" w:rsidP="00F0236A">
      <w:pPr>
        <w:pStyle w:val="Heading1"/>
        <w:keepNext/>
        <w:ind w:left="357" w:hanging="357"/>
        <w:rPr>
          <w:sz w:val="24"/>
          <w:szCs w:val="24"/>
          <w:lang w:val="en-GB"/>
        </w:rPr>
      </w:pPr>
      <w:bookmarkStart w:id="464" w:name="_Resolution_78_-"/>
      <w:bookmarkStart w:id="465" w:name="_Toc471715394"/>
      <w:bookmarkStart w:id="466" w:name="_Toc93425280"/>
      <w:bookmarkEnd w:id="464"/>
      <w:r w:rsidRPr="00073574">
        <w:rPr>
          <w:sz w:val="24"/>
          <w:szCs w:val="24"/>
          <w:lang w:val="en-GB"/>
        </w:rPr>
        <w:lastRenderedPageBreak/>
        <w:t xml:space="preserve">Resolution 78 </w:t>
      </w:r>
      <w:r w:rsidR="002D4D1F" w:rsidRPr="00073574">
        <w:rPr>
          <w:sz w:val="24"/>
          <w:szCs w:val="24"/>
          <w:lang w:val="en-GB"/>
        </w:rPr>
        <w:t>–</w:t>
      </w:r>
      <w:r w:rsidRPr="00073574">
        <w:rPr>
          <w:sz w:val="24"/>
          <w:szCs w:val="24"/>
          <w:lang w:val="en-GB"/>
        </w:rPr>
        <w:t xml:space="preserve"> Information and communication technology applications and standards for improved access to e-health services</w:t>
      </w:r>
      <w:bookmarkEnd w:id="465"/>
      <w:bookmarkEnd w:id="466"/>
    </w:p>
    <w:p w14:paraId="6A733587" w14:textId="77777777" w:rsidR="00F0236A" w:rsidRPr="00073574" w:rsidRDefault="00F0236A" w:rsidP="00F0236A">
      <w:pPr>
        <w:keepNext/>
        <w:rPr>
          <w:b/>
          <w:bCs/>
          <w:sz w:val="24"/>
        </w:rPr>
      </w:pPr>
      <w:r w:rsidRPr="00073574">
        <w:rPr>
          <w:b/>
          <w:bCs/>
          <w:sz w:val="24"/>
        </w:rPr>
        <w:t>Resolution 78</w:t>
      </w:r>
    </w:p>
    <w:p w14:paraId="60D95C53" w14:textId="7F8AD6C5" w:rsidR="00F0236A" w:rsidRPr="00073574" w:rsidRDefault="00F0236A" w:rsidP="00F0236A">
      <w:pPr>
        <w:pStyle w:val="Call"/>
        <w:rPr>
          <w:sz w:val="24"/>
          <w:szCs w:val="24"/>
          <w:lang w:val="en-GB"/>
        </w:rPr>
      </w:pPr>
      <w:r w:rsidRPr="00073574">
        <w:rPr>
          <w:sz w:val="24"/>
          <w:szCs w:val="24"/>
          <w:lang w:val="en-GB"/>
        </w:rPr>
        <w:t>resolves to instruct the Director of the Telecommunication Standardization Bureau, in collaboration with the Director of the Telecommunication Development Bureau and the Director o</w:t>
      </w:r>
      <w:r w:rsidR="00E31596" w:rsidRPr="00073574">
        <w:rPr>
          <w:sz w:val="24"/>
          <w:szCs w:val="24"/>
          <w:lang w:val="en-GB"/>
        </w:rPr>
        <w:t>f the Radiocommunication Bureau</w:t>
      </w:r>
    </w:p>
    <w:p w14:paraId="0DB7C5A8" w14:textId="77777777" w:rsidR="00F0236A" w:rsidRPr="00073574" w:rsidRDefault="00F0236A" w:rsidP="00F0236A">
      <w:pPr>
        <w:rPr>
          <w:sz w:val="24"/>
        </w:rPr>
      </w:pPr>
      <w:r w:rsidRPr="00073574">
        <w:rPr>
          <w:sz w:val="24"/>
        </w:rPr>
        <w:t>1</w:t>
      </w:r>
      <w:r w:rsidRPr="00073574">
        <w:rPr>
          <w:sz w:val="24"/>
        </w:rPr>
        <w:tab/>
        <w:t>to consider with priority the enhancement of telecommunication/ICT initiatives in e</w:t>
      </w:r>
      <w:r w:rsidRPr="00073574">
        <w:rPr>
          <w:sz w:val="24"/>
        </w:rPr>
        <w:noBreakHyphen/>
        <w:t>health and to coordinate their related standardization activities;</w:t>
      </w:r>
    </w:p>
    <w:p w14:paraId="5E2667EA" w14:textId="77777777" w:rsidR="00F0236A" w:rsidRPr="00073574" w:rsidRDefault="00F0236A" w:rsidP="00F0236A">
      <w:pPr>
        <w:rPr>
          <w:sz w:val="24"/>
        </w:rPr>
      </w:pPr>
      <w:r w:rsidRPr="00073574">
        <w:rPr>
          <w:sz w:val="24"/>
        </w:rPr>
        <w:t>2</w:t>
      </w:r>
      <w:r w:rsidRPr="00073574">
        <w:rPr>
          <w:sz w:val="24"/>
        </w:rPr>
        <w:tab/>
        <w:t>to continue and further develop ITU activities on telecommunication/ICT applications for e-health in order to contribute to the wider global efforts concerning e-health;</w:t>
      </w:r>
    </w:p>
    <w:p w14:paraId="026D6A75" w14:textId="77777777" w:rsidR="00F0236A" w:rsidRPr="00073574" w:rsidRDefault="00F0236A" w:rsidP="00F0236A">
      <w:pPr>
        <w:rPr>
          <w:sz w:val="24"/>
        </w:rPr>
      </w:pPr>
      <w:r w:rsidRPr="00073574">
        <w:rPr>
          <w:sz w:val="24"/>
        </w:rPr>
        <w:t>3</w:t>
      </w:r>
      <w:r w:rsidRPr="00073574">
        <w:rPr>
          <w:sz w:val="24"/>
        </w:rPr>
        <w:tab/>
        <w:t>to work collaboratively with WHO, academia and other relevant organizations on activities related to e-health in general and to this resolution in particular;</w:t>
      </w:r>
    </w:p>
    <w:p w14:paraId="3A99B3F1" w14:textId="77777777" w:rsidR="00F0236A" w:rsidRPr="00073574" w:rsidRDefault="00F0236A" w:rsidP="00F0236A">
      <w:pPr>
        <w:rPr>
          <w:sz w:val="24"/>
          <w:lang w:eastAsia="en-US"/>
        </w:rPr>
      </w:pPr>
      <w:r w:rsidRPr="00073574">
        <w:rPr>
          <w:sz w:val="24"/>
        </w:rPr>
        <w:t>4</w:t>
      </w:r>
      <w:r w:rsidRPr="00073574">
        <w:rPr>
          <w:sz w:val="24"/>
        </w:rPr>
        <w:tab/>
        <w:t>to organize seminars and workshops on e-health for developing countries and gauge the needs of the developing countries, which are the countries with the greatest need for e-health applications,</w:t>
      </w:r>
    </w:p>
    <w:p w14:paraId="3598E930" w14:textId="77777777" w:rsidR="00F0236A" w:rsidRPr="00073574" w:rsidRDefault="00F0236A" w:rsidP="00F0236A">
      <w:pPr>
        <w:pStyle w:val="Call"/>
        <w:rPr>
          <w:sz w:val="24"/>
          <w:szCs w:val="24"/>
          <w:lang w:val="en-GB"/>
        </w:rPr>
      </w:pPr>
      <w:r w:rsidRPr="00073574">
        <w:rPr>
          <w:sz w:val="24"/>
          <w:szCs w:val="24"/>
          <w:lang w:val="en-GB"/>
        </w:rPr>
        <w:t>instructs Study Groups 16 and 20 of the ITU Telecommunication Standardization Sector, in collaboration with the relevant study groups, particularly Study Groups 11 and 17 of the ITU Telecommunication Standardization Sector</w:t>
      </w:r>
    </w:p>
    <w:p w14:paraId="4636AF9A" w14:textId="77777777" w:rsidR="00F0236A" w:rsidRPr="00073574" w:rsidRDefault="00F0236A" w:rsidP="00F0236A">
      <w:pPr>
        <w:rPr>
          <w:sz w:val="24"/>
        </w:rPr>
      </w:pPr>
      <w:r w:rsidRPr="00073574">
        <w:rPr>
          <w:sz w:val="24"/>
        </w:rPr>
        <w:t>1</w:t>
      </w:r>
      <w:r w:rsidRPr="00073574">
        <w:rPr>
          <w:sz w:val="24"/>
        </w:rPr>
        <w:tab/>
        <w:t>to identify and document examples of best practice for e-health in the field of telecommunications/ICT, for dissemination among ITU Member States and Sector Members;</w:t>
      </w:r>
    </w:p>
    <w:p w14:paraId="3AFB86A1" w14:textId="77777777" w:rsidR="00F0236A" w:rsidRPr="00073574" w:rsidRDefault="00F0236A" w:rsidP="00F0236A">
      <w:pPr>
        <w:rPr>
          <w:sz w:val="24"/>
        </w:rPr>
      </w:pPr>
      <w:r w:rsidRPr="00073574">
        <w:rPr>
          <w:sz w:val="24"/>
        </w:rPr>
        <w:t>2</w:t>
      </w:r>
      <w:r w:rsidRPr="00073574">
        <w:rPr>
          <w:sz w:val="24"/>
        </w:rPr>
        <w:tab/>
        <w:t>to coordinate activities and studies relating to e-health among the relevant study groups, focus groups and other relevant groups in ITU-T, the ITU Radiocommunication Sector (ITU-R) and ITU</w:t>
      </w:r>
      <w:r w:rsidRPr="00073574">
        <w:rPr>
          <w:sz w:val="24"/>
        </w:rPr>
        <w:noBreakHyphen/>
        <w:t>D, in order in particular to foster awareness of telecommunication/ICT standards pertaining to e-health;</w:t>
      </w:r>
    </w:p>
    <w:p w14:paraId="5E68A69A" w14:textId="77777777" w:rsidR="00F0236A" w:rsidRPr="00073574" w:rsidRDefault="00F0236A" w:rsidP="00F0236A">
      <w:pPr>
        <w:rPr>
          <w:sz w:val="24"/>
        </w:rPr>
      </w:pPr>
      <w:r w:rsidRPr="00073574">
        <w:rPr>
          <w:sz w:val="24"/>
        </w:rPr>
        <w:t>3</w:t>
      </w:r>
      <w:r w:rsidRPr="00073574">
        <w:rPr>
          <w:sz w:val="24"/>
        </w:rPr>
        <w:tab/>
        <w:t>for ensuring the broad deployment of e-health services in diverse operating conditions, to study communication protocols relating to e-health, especially among heterogeneous networks;</w:t>
      </w:r>
    </w:p>
    <w:p w14:paraId="6FCC5329" w14:textId="77777777" w:rsidR="00F0236A" w:rsidRPr="00073574" w:rsidRDefault="00F0236A" w:rsidP="00F0236A">
      <w:pPr>
        <w:rPr>
          <w:sz w:val="24"/>
        </w:rPr>
      </w:pPr>
      <w:r w:rsidRPr="00073574">
        <w:rPr>
          <w:sz w:val="24"/>
        </w:rPr>
        <w:t>4</w:t>
      </w:r>
      <w:r w:rsidRPr="00073574">
        <w:rPr>
          <w:sz w:val="24"/>
        </w:rPr>
        <w:tab/>
        <w:t xml:space="preserve">within the current mandate of the ITU-T study groups, to give priority to the study of security standards (e.g. for communications, services, network aspects and service scenarios for databases and record handling, identification, integrity and authentication) relating to e-health, taking into account </w:t>
      </w:r>
      <w:r w:rsidRPr="00073574">
        <w:rPr>
          <w:i/>
          <w:sz w:val="24"/>
        </w:rPr>
        <w:t>recognizing d</w:t>
      </w:r>
      <w:r w:rsidRPr="00073574">
        <w:rPr>
          <w:i/>
          <w:iCs/>
          <w:sz w:val="24"/>
        </w:rPr>
        <w:t>)</w:t>
      </w:r>
      <w:r w:rsidRPr="00073574">
        <w:rPr>
          <w:sz w:val="24"/>
        </w:rPr>
        <w:t>,</w:t>
      </w:r>
    </w:p>
    <w:p w14:paraId="0C9F3758" w14:textId="77777777" w:rsidR="00F0236A" w:rsidRPr="00073574" w:rsidRDefault="00F0236A" w:rsidP="00F0236A">
      <w:pPr>
        <w:pStyle w:val="Call"/>
        <w:rPr>
          <w:sz w:val="24"/>
          <w:szCs w:val="24"/>
          <w:lang w:val="en-GB"/>
        </w:rPr>
      </w:pPr>
      <w:r w:rsidRPr="00073574">
        <w:rPr>
          <w:sz w:val="24"/>
          <w:szCs w:val="24"/>
          <w:lang w:val="en-GB"/>
        </w:rPr>
        <w:t>invites Member States</w:t>
      </w:r>
    </w:p>
    <w:p w14:paraId="531AF0BA" w14:textId="77777777" w:rsidR="00F0236A" w:rsidRPr="00073574" w:rsidRDefault="00F0236A" w:rsidP="00F0236A">
      <w:pPr>
        <w:rPr>
          <w:sz w:val="24"/>
        </w:rPr>
      </w:pPr>
      <w:r w:rsidRPr="00073574">
        <w:rPr>
          <w:rFonts w:eastAsia="Times New Roman"/>
          <w:sz w:val="24"/>
          <w:szCs w:val="20"/>
          <w:lang w:eastAsia="en-US"/>
        </w:rPr>
        <w:t>to consider, as appropriate, the development and/or enhancement of frameworks, which may include legislation, regulations, standards, codes of practice and guidelines, to enhance the development of telecommunication/ICT services, products and terminals for e-health and e-health applications, within the scope of Resolution 130 (Rev. Busan, 2014) of the Plenipotentiary Conference</w:t>
      </w:r>
      <w:r w:rsidRPr="00073574">
        <w:rPr>
          <w:rFonts w:eastAsia="Times New Roman"/>
          <w:i/>
          <w:sz w:val="24"/>
          <w:lang w:eastAsia="en-US"/>
        </w:rPr>
        <w:t>,</w:t>
      </w:r>
    </w:p>
    <w:p w14:paraId="4B91ED88" w14:textId="77777777" w:rsidR="00F0236A" w:rsidRPr="00073574" w:rsidRDefault="00F0236A" w:rsidP="00F0236A">
      <w:pPr>
        <w:pStyle w:val="Call"/>
        <w:rPr>
          <w:sz w:val="24"/>
          <w:szCs w:val="24"/>
          <w:lang w:val="en-GB"/>
        </w:rPr>
      </w:pPr>
      <w:r w:rsidRPr="00073574">
        <w:rPr>
          <w:sz w:val="24"/>
          <w:szCs w:val="24"/>
          <w:lang w:val="en-GB"/>
        </w:rPr>
        <w:t>encourages Member States, Sector Members and academia</w:t>
      </w:r>
    </w:p>
    <w:p w14:paraId="38524BB4" w14:textId="77777777" w:rsidR="00F0236A" w:rsidRPr="00073574" w:rsidRDefault="00F0236A" w:rsidP="00F0236A">
      <w:pPr>
        <w:spacing w:after="240"/>
        <w:ind w:left="284"/>
        <w:rPr>
          <w:i/>
          <w:iCs/>
          <w:sz w:val="24"/>
        </w:rPr>
      </w:pPr>
      <w:r w:rsidRPr="00073574">
        <w:rPr>
          <w:sz w:val="24"/>
        </w:rPr>
        <w:t>to participate actively in ITU-T studies on e-health, through the submission of contributions and by other appropriate means.</w:t>
      </w:r>
    </w:p>
    <w:tbl>
      <w:tblPr>
        <w:tblW w:w="99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34"/>
        <w:gridCol w:w="4562"/>
        <w:gridCol w:w="1273"/>
        <w:gridCol w:w="1627"/>
        <w:gridCol w:w="1336"/>
      </w:tblGrid>
      <w:tr w:rsidR="00F0236A" w:rsidRPr="00073574" w14:paraId="39CDE0CA" w14:textId="77777777" w:rsidTr="7277BFE4">
        <w:trPr>
          <w:cantSplit/>
          <w:tblHeader/>
          <w:jc w:val="center"/>
        </w:trPr>
        <w:tc>
          <w:tcPr>
            <w:tcW w:w="1134" w:type="dxa"/>
            <w:tcBorders>
              <w:top w:val="single" w:sz="12" w:space="0" w:color="auto"/>
              <w:bottom w:val="single" w:sz="12" w:space="0" w:color="auto"/>
            </w:tcBorders>
            <w:shd w:val="clear" w:color="auto" w:fill="auto"/>
            <w:vAlign w:val="center"/>
          </w:tcPr>
          <w:p w14:paraId="482F154D" w14:textId="77777777" w:rsidR="00F0236A" w:rsidRPr="00073574" w:rsidRDefault="00F0236A" w:rsidP="000C6D19">
            <w:pPr>
              <w:pStyle w:val="Tablehead"/>
              <w:keepNext w:val="0"/>
              <w:rPr>
                <w:sz w:val="24"/>
                <w:szCs w:val="24"/>
              </w:rPr>
            </w:pPr>
            <w:r w:rsidRPr="00073574">
              <w:rPr>
                <w:sz w:val="24"/>
                <w:szCs w:val="24"/>
              </w:rPr>
              <w:lastRenderedPageBreak/>
              <w:t>Action Item</w:t>
            </w:r>
          </w:p>
        </w:tc>
        <w:tc>
          <w:tcPr>
            <w:tcW w:w="4562" w:type="dxa"/>
            <w:tcBorders>
              <w:top w:val="single" w:sz="12" w:space="0" w:color="auto"/>
              <w:bottom w:val="single" w:sz="12" w:space="0" w:color="auto"/>
            </w:tcBorders>
            <w:shd w:val="clear" w:color="auto" w:fill="auto"/>
            <w:vAlign w:val="center"/>
            <w:hideMark/>
          </w:tcPr>
          <w:p w14:paraId="51510DCD" w14:textId="77777777" w:rsidR="00F0236A" w:rsidRPr="00073574" w:rsidRDefault="00F0236A" w:rsidP="00DF36E1">
            <w:pPr>
              <w:pStyle w:val="Tablehead"/>
              <w:rPr>
                <w:sz w:val="24"/>
                <w:szCs w:val="24"/>
              </w:rPr>
            </w:pPr>
            <w:r w:rsidRPr="00073574">
              <w:rPr>
                <w:sz w:val="24"/>
                <w:szCs w:val="24"/>
              </w:rPr>
              <w:t>Action</w:t>
            </w:r>
          </w:p>
        </w:tc>
        <w:tc>
          <w:tcPr>
            <w:tcW w:w="1273" w:type="dxa"/>
            <w:tcBorders>
              <w:top w:val="single" w:sz="12" w:space="0" w:color="auto"/>
              <w:bottom w:val="single" w:sz="12" w:space="0" w:color="auto"/>
            </w:tcBorders>
            <w:shd w:val="clear" w:color="auto" w:fill="auto"/>
            <w:vAlign w:val="center"/>
            <w:hideMark/>
          </w:tcPr>
          <w:p w14:paraId="2D8B61B7" w14:textId="77777777" w:rsidR="00F0236A" w:rsidRPr="00073574" w:rsidRDefault="00F0236A" w:rsidP="00DF36E1">
            <w:pPr>
              <w:pStyle w:val="Tablehead"/>
              <w:rPr>
                <w:sz w:val="24"/>
                <w:szCs w:val="24"/>
              </w:rPr>
            </w:pPr>
            <w:r w:rsidRPr="00073574">
              <w:rPr>
                <w:sz w:val="24"/>
                <w:szCs w:val="24"/>
              </w:rPr>
              <w:t>Milestone</w:t>
            </w:r>
          </w:p>
        </w:tc>
        <w:tc>
          <w:tcPr>
            <w:tcW w:w="1627" w:type="dxa"/>
            <w:tcBorders>
              <w:top w:val="single" w:sz="12" w:space="0" w:color="auto"/>
              <w:bottom w:val="single" w:sz="12" w:space="0" w:color="auto"/>
            </w:tcBorders>
            <w:shd w:val="clear" w:color="auto" w:fill="auto"/>
          </w:tcPr>
          <w:p w14:paraId="57308711" w14:textId="77777777" w:rsidR="00F0236A" w:rsidRPr="00073574" w:rsidRDefault="00F0236A" w:rsidP="00DF36E1">
            <w:pPr>
              <w:pStyle w:val="Tablehead"/>
              <w:rPr>
                <w:sz w:val="24"/>
                <w:szCs w:val="24"/>
              </w:rPr>
            </w:pPr>
            <w:r w:rsidRPr="00073574">
              <w:rPr>
                <w:sz w:val="24"/>
                <w:szCs w:val="24"/>
              </w:rPr>
              <w:t>Periodic goals met</w:t>
            </w:r>
          </w:p>
        </w:tc>
        <w:tc>
          <w:tcPr>
            <w:tcW w:w="1336" w:type="dxa"/>
            <w:tcBorders>
              <w:top w:val="single" w:sz="12" w:space="0" w:color="auto"/>
              <w:bottom w:val="single" w:sz="12" w:space="0" w:color="auto"/>
            </w:tcBorders>
            <w:shd w:val="clear" w:color="auto" w:fill="auto"/>
            <w:vAlign w:val="center"/>
          </w:tcPr>
          <w:p w14:paraId="7BBA6BFE" w14:textId="77777777" w:rsidR="00F0236A" w:rsidRPr="00073574" w:rsidRDefault="00F0236A" w:rsidP="00DF36E1">
            <w:pPr>
              <w:pStyle w:val="Tablehead"/>
              <w:rPr>
                <w:sz w:val="24"/>
                <w:szCs w:val="24"/>
              </w:rPr>
            </w:pPr>
            <w:r w:rsidRPr="00073574">
              <w:rPr>
                <w:sz w:val="24"/>
                <w:szCs w:val="24"/>
              </w:rPr>
              <w:t>Completed</w:t>
            </w:r>
          </w:p>
        </w:tc>
      </w:tr>
      <w:tr w:rsidR="00F0236A" w:rsidRPr="00073574" w14:paraId="5267AFCB" w14:textId="77777777" w:rsidTr="7277BFE4">
        <w:trPr>
          <w:jc w:val="center"/>
        </w:trPr>
        <w:tc>
          <w:tcPr>
            <w:tcW w:w="1134" w:type="dxa"/>
            <w:vMerge w:val="restart"/>
            <w:tcBorders>
              <w:top w:val="single" w:sz="12" w:space="0" w:color="auto"/>
            </w:tcBorders>
            <w:shd w:val="clear" w:color="auto" w:fill="auto"/>
          </w:tcPr>
          <w:p w14:paraId="2A35866B" w14:textId="77777777" w:rsidR="00F0236A" w:rsidRPr="00073574" w:rsidRDefault="00F0236A" w:rsidP="00DF36E1">
            <w:pPr>
              <w:pStyle w:val="Tabletext"/>
              <w:rPr>
                <w:b/>
                <w:bCs/>
                <w:sz w:val="24"/>
                <w:szCs w:val="24"/>
              </w:rPr>
            </w:pPr>
            <w:r w:rsidRPr="00073574">
              <w:rPr>
                <w:b/>
                <w:bCs/>
                <w:sz w:val="24"/>
                <w:szCs w:val="24"/>
              </w:rPr>
              <w:t>78-01</w:t>
            </w:r>
          </w:p>
        </w:tc>
        <w:tc>
          <w:tcPr>
            <w:tcW w:w="4562" w:type="dxa"/>
            <w:tcBorders>
              <w:top w:val="single" w:sz="12" w:space="0" w:color="auto"/>
              <w:bottom w:val="single" w:sz="2" w:space="0" w:color="auto"/>
            </w:tcBorders>
            <w:shd w:val="clear" w:color="auto" w:fill="auto"/>
            <w:hideMark/>
          </w:tcPr>
          <w:p w14:paraId="627272F6" w14:textId="77777777" w:rsidR="00F0236A" w:rsidRPr="00073574" w:rsidRDefault="00F0236A" w:rsidP="00DF36E1">
            <w:pPr>
              <w:pStyle w:val="Tabletext"/>
              <w:rPr>
                <w:b/>
                <w:bCs/>
                <w:sz w:val="24"/>
                <w:szCs w:val="24"/>
              </w:rPr>
            </w:pPr>
            <w:r w:rsidRPr="00073574">
              <w:rPr>
                <w:b/>
                <w:bCs/>
                <w:sz w:val="24"/>
                <w:szCs w:val="24"/>
              </w:rPr>
              <w:t>TSB Director, in collaboration with BDT and BR Directors, to develop ITU e-health activities (resolves TSBDir 1, 2, 3)</w:t>
            </w:r>
          </w:p>
        </w:tc>
        <w:tc>
          <w:tcPr>
            <w:tcW w:w="1273" w:type="dxa"/>
            <w:tcBorders>
              <w:top w:val="single" w:sz="12" w:space="0" w:color="auto"/>
              <w:bottom w:val="single" w:sz="2" w:space="0" w:color="auto"/>
            </w:tcBorders>
            <w:shd w:val="clear" w:color="auto" w:fill="auto"/>
            <w:vAlign w:val="center"/>
          </w:tcPr>
          <w:p w14:paraId="5BB13B21" w14:textId="77777777" w:rsidR="00F0236A" w:rsidRPr="00073574" w:rsidRDefault="00F0236A" w:rsidP="00DF36E1">
            <w:pPr>
              <w:pStyle w:val="Tabletext"/>
              <w:jc w:val="center"/>
              <w:rPr>
                <w:b/>
                <w:bCs/>
                <w:sz w:val="24"/>
                <w:szCs w:val="24"/>
              </w:rPr>
            </w:pPr>
            <w:r w:rsidRPr="00073574">
              <w:rPr>
                <w:b/>
                <w:bCs/>
                <w:sz w:val="24"/>
                <w:szCs w:val="24"/>
              </w:rPr>
              <w:t>Ongoing</w:t>
            </w:r>
          </w:p>
        </w:tc>
        <w:tc>
          <w:tcPr>
            <w:tcW w:w="1627" w:type="dxa"/>
            <w:tcBorders>
              <w:top w:val="single" w:sz="12" w:space="0" w:color="auto"/>
              <w:bottom w:val="single" w:sz="2" w:space="0" w:color="auto"/>
            </w:tcBorders>
            <w:shd w:val="clear" w:color="auto" w:fill="auto"/>
            <w:vAlign w:val="center"/>
          </w:tcPr>
          <w:p w14:paraId="3936532E"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7421DEA7" w14:textId="77777777" w:rsidR="00F0236A" w:rsidRPr="00073574" w:rsidRDefault="00F0236A" w:rsidP="00DF36E1">
            <w:pPr>
              <w:pStyle w:val="Tabletext"/>
              <w:jc w:val="center"/>
              <w:rPr>
                <w:b/>
                <w:bCs/>
                <w:sz w:val="24"/>
                <w:szCs w:val="24"/>
              </w:rPr>
            </w:pPr>
          </w:p>
        </w:tc>
      </w:tr>
      <w:tr w:rsidR="00F0236A" w:rsidRPr="00073574" w14:paraId="1A05594C" w14:textId="77777777" w:rsidTr="7277BFE4">
        <w:trPr>
          <w:jc w:val="center"/>
        </w:trPr>
        <w:tc>
          <w:tcPr>
            <w:tcW w:w="1134" w:type="dxa"/>
            <w:vMerge/>
          </w:tcPr>
          <w:p w14:paraId="6ECFD3CA" w14:textId="77777777" w:rsidR="00F0236A" w:rsidRPr="00073574" w:rsidRDefault="00F0236A" w:rsidP="00DF36E1">
            <w:pPr>
              <w:pStyle w:val="Tabletext"/>
              <w:rPr>
                <w:sz w:val="24"/>
                <w:szCs w:val="24"/>
              </w:rPr>
            </w:pPr>
          </w:p>
        </w:tc>
        <w:tc>
          <w:tcPr>
            <w:tcW w:w="8798" w:type="dxa"/>
            <w:gridSpan w:val="4"/>
            <w:tcBorders>
              <w:top w:val="single" w:sz="2" w:space="0" w:color="auto"/>
            </w:tcBorders>
            <w:shd w:val="clear" w:color="auto" w:fill="auto"/>
          </w:tcPr>
          <w:p w14:paraId="633B2ED0" w14:textId="07C855F4" w:rsidR="00CF687D" w:rsidRPr="00073574" w:rsidRDefault="00CF687D" w:rsidP="001E63F9">
            <w:pPr>
              <w:spacing w:before="40"/>
              <w:rPr>
                <w:szCs w:val="22"/>
              </w:rPr>
            </w:pPr>
            <w:r w:rsidRPr="00073574">
              <w:rPr>
                <w:szCs w:val="22"/>
              </w:rPr>
              <w:t xml:space="preserve">Following a workshop in September 2016 on </w:t>
            </w:r>
            <w:hyperlink r:id="rId677" w:history="1">
              <w:r w:rsidRPr="00073574">
                <w:rPr>
                  <w:rStyle w:val="Hyperlink"/>
                  <w:szCs w:val="22"/>
                </w:rPr>
                <w:t>brain image applications in e-health</w:t>
              </w:r>
            </w:hyperlink>
            <w:r w:rsidRPr="00073574">
              <w:rPr>
                <w:rStyle w:val="Hyperlink"/>
                <w:szCs w:val="22"/>
              </w:rPr>
              <w:t>,</w:t>
            </w:r>
            <w:r w:rsidRPr="00073574">
              <w:rPr>
                <w:szCs w:val="22"/>
              </w:rPr>
              <w:t xml:space="preserve"> SG16 organized a mini-workshop on the </w:t>
            </w:r>
            <w:hyperlink r:id="rId678" w:history="1">
              <w:r w:rsidRPr="00073574">
                <w:rPr>
                  <w:rStyle w:val="Hyperlink"/>
                  <w:szCs w:val="22"/>
                </w:rPr>
                <w:t>same theme</w:t>
              </w:r>
            </w:hyperlink>
            <w:r w:rsidRPr="00073574">
              <w:rPr>
                <w:szCs w:val="22"/>
              </w:rPr>
              <w:t xml:space="preserve"> at the Rapporteurs meeting, 14 Feb</w:t>
            </w:r>
            <w:r w:rsidR="00ED228B" w:rsidRPr="00073574">
              <w:rPr>
                <w:szCs w:val="22"/>
              </w:rPr>
              <w:t>ruary</w:t>
            </w:r>
            <w:r w:rsidRPr="00073574">
              <w:rPr>
                <w:szCs w:val="22"/>
              </w:rPr>
              <w:t xml:space="preserve"> 2018.</w:t>
            </w:r>
          </w:p>
          <w:p w14:paraId="318BD013" w14:textId="08DC5285" w:rsidR="00332610" w:rsidRPr="00073574" w:rsidRDefault="72033092" w:rsidP="00E00D6B">
            <w:r w:rsidRPr="00073574">
              <w:t>The ITU-T Focus Group on Artificial Intelligence for Health (</w:t>
            </w:r>
            <w:hyperlink r:id="rId679">
              <w:r w:rsidRPr="00073574">
                <w:rPr>
                  <w:rStyle w:val="Hyperlink"/>
                </w:rPr>
                <w:t>AI4H</w:t>
              </w:r>
            </w:hyperlink>
            <w:r w:rsidRPr="00073574">
              <w:t>) was established by ITU-T SG16 at its meeting in Ljubljana, Slovenia, 9-20 July 2018. The Focus Group work</w:t>
            </w:r>
            <w:r w:rsidR="57E223B2" w:rsidRPr="00073574">
              <w:t>s</w:t>
            </w:r>
            <w:r w:rsidRPr="00073574">
              <w:t xml:space="preserve"> in partnership with the World Health Organization (WHO)</w:t>
            </w:r>
            <w:r w:rsidR="00474531">
              <w:t xml:space="preserve"> </w:t>
            </w:r>
            <w:r w:rsidRPr="00073574">
              <w:t xml:space="preserve">to establish a standardized assessment framework for the evaluation of AI-based methods for health, diagnosis, triage or treatment decisions. </w:t>
            </w:r>
            <w:r w:rsidR="660581BE" w:rsidRPr="00073574">
              <w:t xml:space="preserve">It has established 20 health topic areas for further development e.g. </w:t>
            </w:r>
            <w:r w:rsidR="7E545099" w:rsidRPr="00073574">
              <w:t xml:space="preserve">symptoms, ophthalmology, outbreaks, histology, </w:t>
            </w:r>
            <w:r w:rsidR="4997A3DC" w:rsidRPr="00073574">
              <w:t xml:space="preserve">and </w:t>
            </w:r>
            <w:r w:rsidR="7E545099" w:rsidRPr="00073574">
              <w:t>malaria</w:t>
            </w:r>
            <w:r w:rsidR="1EEFD729" w:rsidRPr="00073574">
              <w:t>.</w:t>
            </w:r>
            <w:r w:rsidR="156F7A4A" w:rsidRPr="00073574">
              <w:t xml:space="preserve"> The topic groups are supported by the work of a number of working groups that cover “horizontal” topics such as regulatory considerations, clinical </w:t>
            </w:r>
            <w:r w:rsidR="61E5279C" w:rsidRPr="00073574">
              <w:t>evaluation</w:t>
            </w:r>
            <w:r w:rsidR="156F7A4A" w:rsidRPr="00073574">
              <w:t xml:space="preserve">, </w:t>
            </w:r>
            <w:r w:rsidR="299E93BA" w:rsidRPr="00073574">
              <w:t>data</w:t>
            </w:r>
            <w:r w:rsidR="156F7A4A" w:rsidRPr="00073574">
              <w:t xml:space="preserve"> quality and </w:t>
            </w:r>
            <w:r w:rsidR="221C52DB" w:rsidRPr="00073574">
              <w:t xml:space="preserve">data assessment, </w:t>
            </w:r>
            <w:r w:rsidR="7790C9EB" w:rsidRPr="00073574">
              <w:t xml:space="preserve">and operations. An ad hoc group was formed to identify </w:t>
            </w:r>
            <w:r w:rsidR="4BD96EF9" w:rsidRPr="00073574">
              <w:t xml:space="preserve">and document </w:t>
            </w:r>
            <w:r w:rsidR="7790C9EB" w:rsidRPr="00073574">
              <w:t xml:space="preserve">best practices </w:t>
            </w:r>
            <w:r w:rsidR="219E478B" w:rsidRPr="00073574">
              <w:t xml:space="preserve">on </w:t>
            </w:r>
            <w:r w:rsidR="7790C9EB" w:rsidRPr="00073574">
              <w:t>the use of AI and other digital technologies</w:t>
            </w:r>
            <w:r w:rsidR="44202BCA" w:rsidRPr="00073574">
              <w:t xml:space="preserve"> to assist in health emergencies, such as the COVID-19.</w:t>
            </w:r>
          </w:p>
          <w:p w14:paraId="3E3BDFCC" w14:textId="65254F28" w:rsidR="00F0236A" w:rsidRPr="00073574" w:rsidRDefault="00F0236A" w:rsidP="00AE3375">
            <w:pPr>
              <w:spacing w:after="40"/>
            </w:pPr>
            <w:r w:rsidRPr="00073574">
              <w:rPr>
                <w:szCs w:val="22"/>
              </w:rPr>
              <w:t>Q28/16 experts collaborate in the development of the BDT &amp; WHO document on a digital health platform accelerator toolkit.</w:t>
            </w:r>
          </w:p>
        </w:tc>
      </w:tr>
      <w:tr w:rsidR="00F0236A" w:rsidRPr="00073574" w14:paraId="76526156" w14:textId="77777777" w:rsidTr="7277BFE4">
        <w:trPr>
          <w:cantSplit/>
          <w:jc w:val="center"/>
        </w:trPr>
        <w:tc>
          <w:tcPr>
            <w:tcW w:w="1134" w:type="dxa"/>
            <w:vMerge w:val="restart"/>
            <w:tcBorders>
              <w:top w:val="single" w:sz="12" w:space="0" w:color="auto"/>
            </w:tcBorders>
            <w:shd w:val="clear" w:color="auto" w:fill="auto"/>
          </w:tcPr>
          <w:p w14:paraId="5A3F7753" w14:textId="77777777" w:rsidR="00F0236A" w:rsidRPr="00073574" w:rsidRDefault="00F0236A" w:rsidP="00AE3375">
            <w:pPr>
              <w:pStyle w:val="Tabletext"/>
              <w:keepNext/>
              <w:keepLines/>
              <w:rPr>
                <w:b/>
                <w:bCs/>
                <w:sz w:val="24"/>
                <w:szCs w:val="24"/>
              </w:rPr>
            </w:pPr>
            <w:r w:rsidRPr="00073574">
              <w:rPr>
                <w:b/>
                <w:bCs/>
                <w:sz w:val="24"/>
                <w:szCs w:val="24"/>
              </w:rPr>
              <w:t>78-03</w:t>
            </w:r>
          </w:p>
        </w:tc>
        <w:tc>
          <w:tcPr>
            <w:tcW w:w="4562" w:type="dxa"/>
            <w:tcBorders>
              <w:top w:val="single" w:sz="12" w:space="0" w:color="auto"/>
            </w:tcBorders>
            <w:shd w:val="clear" w:color="auto" w:fill="auto"/>
            <w:hideMark/>
          </w:tcPr>
          <w:p w14:paraId="4FD18644" w14:textId="77777777" w:rsidR="00F0236A" w:rsidRPr="00073574" w:rsidRDefault="00F0236A" w:rsidP="00AE3375">
            <w:pPr>
              <w:pStyle w:val="Tabletext"/>
              <w:keepNext/>
              <w:keepLines/>
              <w:rPr>
                <w:b/>
                <w:bCs/>
                <w:sz w:val="24"/>
                <w:szCs w:val="24"/>
              </w:rPr>
            </w:pPr>
            <w:r w:rsidRPr="00073574">
              <w:rPr>
                <w:b/>
                <w:bCs/>
                <w:sz w:val="24"/>
                <w:szCs w:val="24"/>
              </w:rPr>
              <w:t>TSB Director, in collaboration with BDT and BR Directors, to organize e-health seminars and workshops for developing countries and gauge their needs for e-health (resolves TSBDir 4)</w:t>
            </w:r>
          </w:p>
        </w:tc>
        <w:tc>
          <w:tcPr>
            <w:tcW w:w="1273" w:type="dxa"/>
            <w:tcBorders>
              <w:top w:val="single" w:sz="12" w:space="0" w:color="auto"/>
            </w:tcBorders>
            <w:shd w:val="clear" w:color="auto" w:fill="auto"/>
            <w:vAlign w:val="center"/>
          </w:tcPr>
          <w:p w14:paraId="3418B3BF" w14:textId="77777777" w:rsidR="00F0236A" w:rsidRPr="00073574" w:rsidRDefault="00F0236A" w:rsidP="00AE3375">
            <w:pPr>
              <w:pStyle w:val="Tabletext"/>
              <w:keepNext/>
              <w:keepLines/>
              <w:jc w:val="center"/>
              <w:rPr>
                <w:b/>
                <w:bCs/>
                <w:sz w:val="24"/>
                <w:szCs w:val="24"/>
              </w:rPr>
            </w:pPr>
            <w:r w:rsidRPr="00073574">
              <w:rPr>
                <w:b/>
                <w:bCs/>
                <w:sz w:val="24"/>
                <w:szCs w:val="24"/>
              </w:rPr>
              <w:t>Ongoing</w:t>
            </w:r>
          </w:p>
        </w:tc>
        <w:tc>
          <w:tcPr>
            <w:tcW w:w="1627" w:type="dxa"/>
            <w:tcBorders>
              <w:top w:val="single" w:sz="12" w:space="0" w:color="auto"/>
            </w:tcBorders>
            <w:shd w:val="clear" w:color="auto" w:fill="auto"/>
            <w:vAlign w:val="center"/>
          </w:tcPr>
          <w:p w14:paraId="32B48672" w14:textId="77777777" w:rsidR="00F0236A" w:rsidRPr="00073574" w:rsidRDefault="00F0236A" w:rsidP="00AE3375">
            <w:pPr>
              <w:pStyle w:val="Tabletext"/>
              <w:keepNext/>
              <w:keepLines/>
              <w:jc w:val="center"/>
              <w:rPr>
                <w:rFonts w:eastAsia="Malgun Gothic"/>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52969802" w14:textId="77777777" w:rsidR="00F0236A" w:rsidRPr="00073574" w:rsidRDefault="00F0236A" w:rsidP="00AE3375">
            <w:pPr>
              <w:pStyle w:val="Tabletext"/>
              <w:keepNext/>
              <w:keepLines/>
              <w:jc w:val="center"/>
              <w:rPr>
                <w:b/>
                <w:bCs/>
                <w:sz w:val="24"/>
                <w:szCs w:val="24"/>
              </w:rPr>
            </w:pPr>
          </w:p>
        </w:tc>
      </w:tr>
      <w:tr w:rsidR="00F0236A" w:rsidRPr="00073574" w14:paraId="3737D3CE" w14:textId="77777777" w:rsidTr="7277BFE4">
        <w:trPr>
          <w:cantSplit/>
          <w:jc w:val="center"/>
        </w:trPr>
        <w:tc>
          <w:tcPr>
            <w:tcW w:w="1134" w:type="dxa"/>
            <w:vMerge/>
          </w:tcPr>
          <w:p w14:paraId="516D0D90" w14:textId="77777777" w:rsidR="00F0236A" w:rsidRPr="00073574" w:rsidRDefault="00F0236A" w:rsidP="00AE3375">
            <w:pPr>
              <w:pStyle w:val="Tabletext"/>
              <w:keepNext/>
              <w:keepLines/>
              <w:rPr>
                <w:sz w:val="24"/>
                <w:szCs w:val="24"/>
              </w:rPr>
            </w:pPr>
          </w:p>
        </w:tc>
        <w:tc>
          <w:tcPr>
            <w:tcW w:w="8798" w:type="dxa"/>
            <w:gridSpan w:val="4"/>
            <w:tcBorders>
              <w:bottom w:val="single" w:sz="12" w:space="0" w:color="auto"/>
            </w:tcBorders>
            <w:shd w:val="clear" w:color="auto" w:fill="auto"/>
          </w:tcPr>
          <w:p w14:paraId="01CEEBB6" w14:textId="6F91C583" w:rsidR="00332610" w:rsidRPr="00073574" w:rsidRDefault="00332610" w:rsidP="001E63F9">
            <w:pPr>
              <w:keepNext/>
              <w:keepLines/>
              <w:spacing w:before="40"/>
            </w:pPr>
            <w:r w:rsidRPr="00073574">
              <w:t>ITU and WHO organized a workshop on “</w:t>
            </w:r>
            <w:hyperlink r:id="rId680" w:anchor="intro" w:history="1">
              <w:r w:rsidRPr="00073574">
                <w:rPr>
                  <w:rStyle w:val="Hyperlink"/>
                </w:rPr>
                <w:t>The Make Listening Safe Initiative</w:t>
              </w:r>
            </w:hyperlink>
            <w:r w:rsidRPr="00073574">
              <w:t xml:space="preserve">” on 19 March at </w:t>
            </w:r>
            <w:hyperlink r:id="rId681" w:anchor="intro" w:history="1">
              <w:r w:rsidRPr="00073574">
                <w:rPr>
                  <w:rStyle w:val="Hyperlink"/>
                </w:rPr>
                <w:t>WSIS Forum 2018</w:t>
              </w:r>
            </w:hyperlink>
            <w:r w:rsidRPr="00073574">
              <w:t>.</w:t>
            </w:r>
          </w:p>
          <w:p w14:paraId="784F55FF" w14:textId="4844C01A" w:rsidR="00F0236A" w:rsidRPr="00073574" w:rsidRDefault="00BC1B2F" w:rsidP="007D22B2">
            <w:pPr>
              <w:keepNext/>
              <w:keepLines/>
              <w:spacing w:after="40"/>
              <w:rPr>
                <w:szCs w:val="22"/>
              </w:rPr>
            </w:pPr>
            <w:r w:rsidRPr="00073574">
              <w:t xml:space="preserve">To ensure appropriate implementation of </w:t>
            </w:r>
            <w:hyperlink r:id="rId682" w:history="1">
              <w:r w:rsidRPr="00073574">
                <w:rPr>
                  <w:rStyle w:val="Hyperlink"/>
                </w:rPr>
                <w:t>ITU-T H.870</w:t>
              </w:r>
            </w:hyperlink>
            <w:r w:rsidRPr="00073574">
              <w:t xml:space="preserve"> </w:t>
            </w:r>
            <w:r w:rsidR="002D4D1F" w:rsidRPr="00073574">
              <w:t>“</w:t>
            </w:r>
            <w:r w:rsidRPr="00073574">
              <w:t>Guidelines for safe listening devices/systems</w:t>
            </w:r>
            <w:r w:rsidR="002D4D1F" w:rsidRPr="00073574">
              <w:t>”</w:t>
            </w:r>
            <w:r w:rsidRPr="00073574">
              <w:t xml:space="preserve">, WHO, ITU-T and ITU-D’s Digital Inclusion Programme developed a </w:t>
            </w:r>
            <w:hyperlink r:id="rId683" w:history="1">
              <w:r w:rsidRPr="00073574">
                <w:rPr>
                  <w:rStyle w:val="Hyperlink"/>
                </w:rPr>
                <w:t>Toolkit for Safe Listening Devices and Systems</w:t>
              </w:r>
            </w:hyperlink>
            <w:r w:rsidRPr="00073574">
              <w:t>.</w:t>
            </w:r>
            <w:r w:rsidR="00F0236A" w:rsidRPr="00073574">
              <w:rPr>
                <w:szCs w:val="22"/>
              </w:rPr>
              <w:t>Q28/16 coordinates its work with ITU-D Q2/2.</w:t>
            </w:r>
          </w:p>
          <w:p w14:paraId="5FAE27C0" w14:textId="108A9325" w:rsidR="00F0236A" w:rsidRPr="00073574" w:rsidRDefault="002A4AB1" w:rsidP="00465301">
            <w:r w:rsidRPr="00073574">
              <w:rPr>
                <w:szCs w:val="22"/>
              </w:rPr>
              <w:t xml:space="preserve">ITU </w:t>
            </w:r>
            <w:r w:rsidR="002564E2" w:rsidRPr="00073574">
              <w:rPr>
                <w:szCs w:val="22"/>
              </w:rPr>
              <w:t xml:space="preserve">and PAHO organized an </w:t>
            </w:r>
            <w:hyperlink r:id="rId684" w:history="1">
              <w:r w:rsidR="002564E2" w:rsidRPr="00073574">
                <w:rPr>
                  <w:rStyle w:val="Hyperlink"/>
                  <w:szCs w:val="22"/>
                </w:rPr>
                <w:t xml:space="preserve">Episode on </w:t>
              </w:r>
              <w:r w:rsidR="00465301" w:rsidRPr="00073574">
                <w:rPr>
                  <w:rStyle w:val="Hyperlink"/>
                  <w:szCs w:val="22"/>
                </w:rPr>
                <w:t>t</w:t>
              </w:r>
              <w:r w:rsidR="002564E2" w:rsidRPr="00073574">
                <w:rPr>
                  <w:rStyle w:val="Hyperlink"/>
                  <w:szCs w:val="22"/>
                </w:rPr>
                <w:t>he role of digital technologies on aging and health</w:t>
              </w:r>
            </w:hyperlink>
            <w:r w:rsidR="002564E2" w:rsidRPr="00073574">
              <w:rPr>
                <w:szCs w:val="22"/>
              </w:rPr>
              <w:t xml:space="preserve">, which took place on 07 December 2021. </w:t>
            </w:r>
            <w:r w:rsidR="00F3113C" w:rsidRPr="00073574">
              <w:t xml:space="preserve">This episode is part of the </w:t>
            </w:r>
            <w:hyperlink r:id="rId685" w:history="1">
              <w:r w:rsidR="00F3113C" w:rsidRPr="00073574">
                <w:rPr>
                  <w:rStyle w:val="Hyperlink"/>
                </w:rPr>
                <w:t>Webinar series on Digital transformation for cities and communities</w:t>
              </w:r>
            </w:hyperlink>
            <w:r w:rsidR="00F3113C" w:rsidRPr="00073574">
              <w:t>.</w:t>
            </w:r>
          </w:p>
        </w:tc>
      </w:tr>
      <w:tr w:rsidR="00F0236A" w:rsidRPr="00073574" w14:paraId="0A923DE2" w14:textId="77777777" w:rsidTr="7277BFE4">
        <w:trPr>
          <w:jc w:val="center"/>
        </w:trPr>
        <w:tc>
          <w:tcPr>
            <w:tcW w:w="1134" w:type="dxa"/>
            <w:vMerge w:val="restart"/>
            <w:tcBorders>
              <w:top w:val="single" w:sz="12" w:space="0" w:color="auto"/>
            </w:tcBorders>
            <w:shd w:val="clear" w:color="auto" w:fill="auto"/>
          </w:tcPr>
          <w:p w14:paraId="73C5649E" w14:textId="77777777" w:rsidR="00F0236A" w:rsidRPr="00073574" w:rsidRDefault="00F0236A" w:rsidP="00BF2214">
            <w:pPr>
              <w:pStyle w:val="Tabletext"/>
              <w:rPr>
                <w:b/>
                <w:bCs/>
                <w:sz w:val="24"/>
                <w:szCs w:val="24"/>
              </w:rPr>
            </w:pPr>
            <w:r w:rsidRPr="00073574">
              <w:rPr>
                <w:b/>
                <w:bCs/>
                <w:sz w:val="24"/>
                <w:szCs w:val="24"/>
              </w:rPr>
              <w:t>78-04</w:t>
            </w:r>
          </w:p>
        </w:tc>
        <w:tc>
          <w:tcPr>
            <w:tcW w:w="4562" w:type="dxa"/>
            <w:tcBorders>
              <w:top w:val="single" w:sz="12" w:space="0" w:color="auto"/>
            </w:tcBorders>
            <w:shd w:val="clear" w:color="auto" w:fill="auto"/>
            <w:hideMark/>
          </w:tcPr>
          <w:p w14:paraId="76B1F8FB" w14:textId="77777777" w:rsidR="00F0236A" w:rsidRPr="00073574" w:rsidRDefault="00F0236A" w:rsidP="00DF36E1">
            <w:pPr>
              <w:pStyle w:val="Tabletext"/>
              <w:rPr>
                <w:b/>
                <w:bCs/>
                <w:sz w:val="24"/>
                <w:szCs w:val="24"/>
              </w:rPr>
            </w:pPr>
            <w:r w:rsidRPr="00073574">
              <w:rPr>
                <w:b/>
                <w:bCs/>
                <w:sz w:val="24"/>
                <w:szCs w:val="24"/>
              </w:rPr>
              <w:t>SG16 and SG20, in collaboration with relevant SGs, particular SG11 and SG17, to identify, document and disseminate e-health best practices for ITU membership (i. SGs16+20 1)</w:t>
            </w:r>
          </w:p>
        </w:tc>
        <w:tc>
          <w:tcPr>
            <w:tcW w:w="1273" w:type="dxa"/>
            <w:tcBorders>
              <w:top w:val="single" w:sz="12" w:space="0" w:color="auto"/>
            </w:tcBorders>
            <w:shd w:val="clear" w:color="auto" w:fill="auto"/>
            <w:vAlign w:val="center"/>
          </w:tcPr>
          <w:p w14:paraId="24A9B17E" w14:textId="77777777" w:rsidR="00F0236A" w:rsidRPr="00073574" w:rsidRDefault="00F0236A" w:rsidP="00DF36E1">
            <w:pPr>
              <w:pStyle w:val="Tabletext"/>
              <w:jc w:val="center"/>
              <w:rPr>
                <w:b/>
                <w:bCs/>
                <w:sz w:val="24"/>
                <w:szCs w:val="24"/>
              </w:rPr>
            </w:pPr>
            <w:r w:rsidRPr="00073574">
              <w:rPr>
                <w:b/>
                <w:bCs/>
                <w:sz w:val="24"/>
                <w:szCs w:val="24"/>
              </w:rPr>
              <w:t>Ongoing</w:t>
            </w:r>
          </w:p>
        </w:tc>
        <w:tc>
          <w:tcPr>
            <w:tcW w:w="1627" w:type="dxa"/>
            <w:tcBorders>
              <w:top w:val="single" w:sz="12" w:space="0" w:color="auto"/>
            </w:tcBorders>
            <w:shd w:val="clear" w:color="auto" w:fill="auto"/>
            <w:vAlign w:val="center"/>
          </w:tcPr>
          <w:p w14:paraId="1D0AEF70"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47906C29" w14:textId="77777777" w:rsidR="00F0236A" w:rsidRPr="00073574" w:rsidRDefault="00F0236A" w:rsidP="00DF36E1">
            <w:pPr>
              <w:pStyle w:val="Tabletext"/>
              <w:jc w:val="center"/>
              <w:rPr>
                <w:b/>
                <w:bCs/>
                <w:sz w:val="24"/>
                <w:szCs w:val="24"/>
              </w:rPr>
            </w:pPr>
          </w:p>
        </w:tc>
      </w:tr>
      <w:tr w:rsidR="00F0236A" w:rsidRPr="00073574" w14:paraId="033B3BAF" w14:textId="77777777" w:rsidTr="7277BFE4">
        <w:trPr>
          <w:trHeight w:val="666"/>
          <w:jc w:val="center"/>
        </w:trPr>
        <w:tc>
          <w:tcPr>
            <w:tcW w:w="1134" w:type="dxa"/>
            <w:vMerge/>
          </w:tcPr>
          <w:p w14:paraId="275CCA8A" w14:textId="77777777" w:rsidR="00F0236A" w:rsidRPr="00073574" w:rsidRDefault="00F0236A" w:rsidP="00DF36E1">
            <w:pPr>
              <w:pStyle w:val="Tabletext"/>
              <w:rPr>
                <w:sz w:val="24"/>
                <w:szCs w:val="24"/>
              </w:rPr>
            </w:pPr>
          </w:p>
        </w:tc>
        <w:tc>
          <w:tcPr>
            <w:tcW w:w="8798" w:type="dxa"/>
            <w:gridSpan w:val="4"/>
            <w:tcBorders>
              <w:bottom w:val="single" w:sz="12" w:space="0" w:color="auto"/>
            </w:tcBorders>
            <w:shd w:val="clear" w:color="auto" w:fill="auto"/>
          </w:tcPr>
          <w:p w14:paraId="79E8E158" w14:textId="50058D2F" w:rsidR="00FE747B" w:rsidRPr="00073574" w:rsidRDefault="00F0236A" w:rsidP="002E241A">
            <w:pPr>
              <w:pStyle w:val="ListParagraph"/>
              <w:numPr>
                <w:ilvl w:val="0"/>
                <w:numId w:val="41"/>
              </w:numPr>
              <w:contextualSpacing w:val="0"/>
            </w:pPr>
            <w:r w:rsidRPr="00073574">
              <w:t>Q28/16 continues the development of the Continua Design Guidelines (ITU-T H.810 series) in cooperation with PCHA.</w:t>
            </w:r>
            <w:r w:rsidR="2F926180" w:rsidRPr="00073574">
              <w:t xml:space="preserve"> About 60 documents (Recs and Technical Papers) are currently in-force that resulted from this collaboration and are regularly updated.</w:t>
            </w:r>
          </w:p>
          <w:p w14:paraId="7F9A7255" w14:textId="1F9DCB6E" w:rsidR="00FE747B" w:rsidRPr="00073574" w:rsidRDefault="0B5B2FBB" w:rsidP="002E241A">
            <w:pPr>
              <w:pStyle w:val="ListParagraph"/>
              <w:numPr>
                <w:ilvl w:val="0"/>
                <w:numId w:val="41"/>
              </w:numPr>
              <w:contextualSpacing w:val="0"/>
              <w:rPr>
                <w:rFonts w:eastAsia="Times New Roman"/>
              </w:rPr>
            </w:pPr>
            <w:r w:rsidRPr="00073574">
              <w:t xml:space="preserve">Q28/16 achieved at the July 2018 SG16 meeting </w:t>
            </w:r>
            <w:hyperlink r:id="rId686">
              <w:r w:rsidRPr="00073574">
                <w:rPr>
                  <w:color w:val="2B579A"/>
                  <w:u w:val="single"/>
                  <w:shd w:val="clear" w:color="auto" w:fill="E6E6E6"/>
                </w:rPr>
                <w:t>ITU-T H.870</w:t>
              </w:r>
            </w:hyperlink>
            <w:r w:rsidRPr="00073574">
              <w:t xml:space="preserve"> </w:t>
            </w:r>
            <w:r w:rsidR="002D4D1F" w:rsidRPr="00073574">
              <w:t>“</w:t>
            </w:r>
            <w:r w:rsidRPr="00073574">
              <w:t>Guidelines for safe listening devices/systems</w:t>
            </w:r>
            <w:r w:rsidR="002D4D1F" w:rsidRPr="00073574">
              <w:t>”</w:t>
            </w:r>
            <w:r w:rsidRPr="00073574">
              <w:t xml:space="preserve">, its first outcome of a series of technical standards on the desired behaviour of safe listening music players. </w:t>
            </w:r>
            <w:r w:rsidR="136D29D0" w:rsidRPr="00073574">
              <w:t>Q26/16 produced a derivate specification found in ITU-T H.871 on personal sound amplifiers.</w:t>
            </w:r>
            <w:r w:rsidR="752D1CD6" w:rsidRPr="00073574">
              <w:t xml:space="preserve"> With WHO, Q28/16 is working on a 2nd edition of H.870 as well as on </w:t>
            </w:r>
            <w:r w:rsidR="04D0954D" w:rsidRPr="00073574">
              <w:t>its</w:t>
            </w:r>
            <w:r w:rsidR="752D1CD6" w:rsidRPr="00073574">
              <w:t xml:space="preserve"> conformance testing specification</w:t>
            </w:r>
            <w:r w:rsidR="16974E50" w:rsidRPr="00073574">
              <w:t>.</w:t>
            </w:r>
          </w:p>
          <w:p w14:paraId="623D748E" w14:textId="17A3513E" w:rsidR="00FE747B" w:rsidRPr="00073574" w:rsidRDefault="0B5B2FBB" w:rsidP="001874AB">
            <w:pPr>
              <w:pStyle w:val="ListParagraph"/>
              <w:numPr>
                <w:ilvl w:val="0"/>
                <w:numId w:val="41"/>
              </w:numPr>
              <w:contextualSpacing w:val="0"/>
            </w:pPr>
            <w:r w:rsidRPr="00073574">
              <w:t xml:space="preserve">Q28/16 also completed a new </w:t>
            </w:r>
            <w:hyperlink r:id="rId687">
              <w:r w:rsidRPr="00073574">
                <w:rPr>
                  <w:color w:val="2B579A"/>
                  <w:u w:val="single"/>
                  <w:shd w:val="clear" w:color="auto" w:fill="E6E6E6"/>
                </w:rPr>
                <w:t>ITU-T F.780.1</w:t>
              </w:r>
            </w:hyperlink>
            <w:r w:rsidRPr="00073574">
              <w:t xml:space="preserve"> “</w:t>
            </w:r>
            <w:r w:rsidR="6BABBE41" w:rsidRPr="00073574">
              <w:t>F</w:t>
            </w:r>
            <w:r w:rsidRPr="00073574">
              <w:t>ramework for telemedicine systems using ultra-</w:t>
            </w:r>
            <w:r w:rsidR="00474531" w:rsidRPr="00073574">
              <w:t>high-definition</w:t>
            </w:r>
            <w:r w:rsidRPr="00073574">
              <w:t xml:space="preserve"> imaging” in July 2018</w:t>
            </w:r>
            <w:r w:rsidR="50843E6E" w:rsidRPr="00073574">
              <w:t xml:space="preserve"> and started work on a conformance testing specification for it</w:t>
            </w:r>
            <w:r w:rsidRPr="00073574">
              <w:t>.</w:t>
            </w:r>
          </w:p>
          <w:p w14:paraId="4037FE83" w14:textId="2A1D04A0" w:rsidR="00E00D6B" w:rsidRPr="00073574" w:rsidRDefault="5F6DC738" w:rsidP="002E241A">
            <w:pPr>
              <w:pStyle w:val="ListParagraph"/>
              <w:numPr>
                <w:ilvl w:val="0"/>
                <w:numId w:val="41"/>
              </w:numPr>
              <w:contextualSpacing w:val="0"/>
              <w:rPr>
                <w:rFonts w:eastAsia="Times New Roman"/>
              </w:rPr>
            </w:pPr>
            <w:r w:rsidRPr="00073574">
              <w:rPr>
                <w:rFonts w:eastAsia="Times New Roman"/>
              </w:rPr>
              <w:lastRenderedPageBreak/>
              <w:t>Q2/20 is currently working on draft Recommendation ITU-T Y.</w:t>
            </w:r>
            <w:r w:rsidR="00AE6663" w:rsidRPr="00073574">
              <w:rPr>
                <w:rFonts w:eastAsia="Times New Roman"/>
              </w:rPr>
              <w:t xml:space="preserve">4214 (ex </w:t>
            </w:r>
            <w:r w:rsidRPr="00073574">
              <w:rPr>
                <w:rFonts w:eastAsia="Times New Roman"/>
              </w:rPr>
              <w:t>Y.IoT-CEIHMon-Reqts</w:t>
            </w:r>
            <w:r w:rsidR="00AE6663" w:rsidRPr="00073574">
              <w:rPr>
                <w:rFonts w:eastAsia="Times New Roman"/>
              </w:rPr>
              <w:t>)</w:t>
            </w:r>
            <w:r w:rsidRPr="00073574">
              <w:rPr>
                <w:rFonts w:eastAsia="Times New Roman"/>
              </w:rPr>
              <w:t xml:space="preserve"> “Requirements of IoT-based civil engineering infrastructure health monitoring system”.</w:t>
            </w:r>
          </w:p>
          <w:p w14:paraId="5B8BD594" w14:textId="2797D49D" w:rsidR="00E00D6B" w:rsidRPr="00073574" w:rsidRDefault="687D1447" w:rsidP="002E241A">
            <w:pPr>
              <w:pStyle w:val="ListParagraph"/>
              <w:numPr>
                <w:ilvl w:val="0"/>
                <w:numId w:val="41"/>
              </w:numPr>
              <w:contextualSpacing w:val="0"/>
            </w:pPr>
            <w:r w:rsidRPr="00073574">
              <w:t>Q3/20 is currently working on draft Recommendation ITU-T Y.cnce-IoT-arch “Functional architecture of cellular-radio network capability exposure for smart hospital based on Internet of things”</w:t>
            </w:r>
            <w:r w:rsidR="00A531FC" w:rsidRPr="00073574">
              <w:t xml:space="preserve"> and Y.RA-PHE “</w:t>
            </w:r>
            <w:r w:rsidR="000771EF" w:rsidRPr="00073574">
              <w:t>Requirements and reference architecture of smart service for public health emergency</w:t>
            </w:r>
            <w:r w:rsidRPr="00073574">
              <w:t>”.</w:t>
            </w:r>
          </w:p>
          <w:p w14:paraId="0854D720" w14:textId="03920F09" w:rsidR="0089259D" w:rsidRPr="00073574" w:rsidRDefault="655941A5" w:rsidP="002E241A">
            <w:pPr>
              <w:pStyle w:val="ListParagraph"/>
              <w:numPr>
                <w:ilvl w:val="0"/>
                <w:numId w:val="41"/>
              </w:numPr>
              <w:spacing w:after="40"/>
              <w:contextualSpacing w:val="0"/>
              <w:rPr>
                <w:rFonts w:eastAsia="Times New Roman"/>
              </w:rPr>
            </w:pPr>
            <w:r w:rsidRPr="00073574">
              <w:t>Q4/20 is currently working on draft Recommendation ITU-T Y.eHealth-Semantic “</w:t>
            </w:r>
            <w:r w:rsidR="00F440D3" w:rsidRPr="00073574">
              <w:rPr>
                <w:rFonts w:eastAsia="Times New Roman"/>
              </w:rPr>
              <w:t>Framework to support Web of Objects ontology based semantic mediation of eHealth services</w:t>
            </w:r>
            <w:r w:rsidRPr="00073574">
              <w:t>”.</w:t>
            </w:r>
          </w:p>
          <w:p w14:paraId="3E7BAE3C" w14:textId="5B40D45F" w:rsidR="00F0236A" w:rsidRPr="00073574" w:rsidRDefault="4AFFFFEE" w:rsidP="002E241A">
            <w:pPr>
              <w:pStyle w:val="ListParagraph"/>
              <w:numPr>
                <w:ilvl w:val="0"/>
                <w:numId w:val="41"/>
              </w:numPr>
              <w:spacing w:after="40"/>
              <w:contextualSpacing w:val="0"/>
            </w:pPr>
            <w:r w:rsidRPr="00073574">
              <w:t xml:space="preserve">SG20 </w:t>
            </w:r>
            <w:r w:rsidR="00FC6730" w:rsidRPr="00073574">
              <w:t xml:space="preserve">approved </w:t>
            </w:r>
            <w:hyperlink r:id="rId688" w:history="1">
              <w:r w:rsidR="00F0236A" w:rsidRPr="00073574">
                <w:rPr>
                  <w:rStyle w:val="Hyperlink"/>
                </w:rPr>
                <w:t xml:space="preserve">Recommendation </w:t>
              </w:r>
              <w:r w:rsidR="687D1447" w:rsidRPr="00073574">
                <w:rPr>
                  <w:rStyle w:val="Hyperlink"/>
                </w:rPr>
                <w:t xml:space="preserve">ITU-T </w:t>
              </w:r>
              <w:r w:rsidR="71C3E47A" w:rsidRPr="00073574">
                <w:rPr>
                  <w:rStyle w:val="Hyperlink"/>
                </w:rPr>
                <w:t>Y.4908</w:t>
              </w:r>
            </w:hyperlink>
            <w:r w:rsidR="71C3E47A" w:rsidRPr="00073574">
              <w:t xml:space="preserve"> </w:t>
            </w:r>
            <w:r w:rsidR="00AF559C" w:rsidRPr="00073574">
              <w:t>“</w:t>
            </w:r>
            <w:r w:rsidR="00F0236A" w:rsidRPr="00073574">
              <w:t>Performance evaluation frameworks of e-health systems in the IoT</w:t>
            </w:r>
            <w:r w:rsidR="00AF559C" w:rsidRPr="00073574">
              <w:t>”</w:t>
            </w:r>
            <w:r w:rsidR="00F0236A" w:rsidRPr="00073574">
              <w:t>.</w:t>
            </w:r>
            <w:r w:rsidR="00DC066B" w:rsidRPr="00073574">
              <w:t xml:space="preserve"> U4SSC published</w:t>
            </w:r>
            <w:r w:rsidR="000D4BA9" w:rsidRPr="00073574">
              <w:t xml:space="preserve"> a new report on</w:t>
            </w:r>
            <w:r w:rsidR="00DC066B" w:rsidRPr="00073574">
              <w:t xml:space="preserve"> </w:t>
            </w:r>
            <w:r w:rsidR="000D4BA9" w:rsidRPr="00073574">
              <w:t>Smart public health emergency management and ICT implementations in December 2021.</w:t>
            </w:r>
          </w:p>
          <w:p w14:paraId="0C6469CB" w14:textId="033EB42C" w:rsidR="00A63333" w:rsidRPr="00073574" w:rsidRDefault="0065070E" w:rsidP="002E241A">
            <w:pPr>
              <w:pStyle w:val="ListParagraph"/>
              <w:numPr>
                <w:ilvl w:val="0"/>
                <w:numId w:val="41"/>
              </w:numPr>
              <w:spacing w:after="40"/>
              <w:contextualSpacing w:val="0"/>
            </w:pPr>
            <w:r w:rsidRPr="00073574">
              <w:t>Joint</w:t>
            </w:r>
            <w:r w:rsidR="00A81EA1" w:rsidRPr="00073574">
              <w:t xml:space="preserve">ly with </w:t>
            </w:r>
            <w:r w:rsidRPr="00073574">
              <w:t xml:space="preserve">SG16 and SG20, </w:t>
            </w:r>
            <w:r w:rsidR="00A2127D" w:rsidRPr="00073574">
              <w:t xml:space="preserve">SG17 organized </w:t>
            </w:r>
            <w:r w:rsidR="00B765D9" w:rsidRPr="00073574">
              <w:t>two joint ITU/WHO workshops on digital COVID</w:t>
            </w:r>
            <w:r w:rsidRPr="00073574">
              <w:t>-19</w:t>
            </w:r>
            <w:r w:rsidR="00B765D9" w:rsidRPr="00073574">
              <w:t xml:space="preserve"> </w:t>
            </w:r>
            <w:r w:rsidR="00465301" w:rsidRPr="00073574">
              <w:t>certificates</w:t>
            </w:r>
            <w:r w:rsidR="00B765D9" w:rsidRPr="00073574">
              <w:t xml:space="preserve"> </w:t>
            </w:r>
            <w:r w:rsidR="00A81EA1" w:rsidRPr="00073574">
              <w:t xml:space="preserve">on 11 August and 28 November 2021, </w:t>
            </w:r>
            <w:r w:rsidR="00B765D9" w:rsidRPr="00073574">
              <w:t xml:space="preserve">to promote </w:t>
            </w:r>
            <w:r w:rsidR="00B80F99" w:rsidRPr="00073574">
              <w:t>ITU</w:t>
            </w:r>
            <w:r w:rsidR="00A81EA1" w:rsidRPr="00073574">
              <w:t>-T</w:t>
            </w:r>
            <w:r w:rsidR="00B80F99" w:rsidRPr="00073574">
              <w:t xml:space="preserve"> </w:t>
            </w:r>
            <w:r w:rsidR="0052626A" w:rsidRPr="00073574">
              <w:t xml:space="preserve">ICT security </w:t>
            </w:r>
            <w:r w:rsidR="00B80F99" w:rsidRPr="00073574">
              <w:t xml:space="preserve">standards on </w:t>
            </w:r>
            <w:r w:rsidR="0052626A" w:rsidRPr="00073574">
              <w:t xml:space="preserve">public key infrastructure, </w:t>
            </w:r>
            <w:r w:rsidR="00875605" w:rsidRPr="00073574">
              <w:t xml:space="preserve">digital identity management </w:t>
            </w:r>
            <w:r w:rsidR="00E81B79" w:rsidRPr="00073574">
              <w:t xml:space="preserve">and </w:t>
            </w:r>
            <w:r w:rsidR="00B80F99" w:rsidRPr="00073574">
              <w:t xml:space="preserve">digital </w:t>
            </w:r>
            <w:r w:rsidR="00E81B79" w:rsidRPr="00073574">
              <w:t xml:space="preserve">trust </w:t>
            </w:r>
            <w:r w:rsidR="00875605" w:rsidRPr="00073574">
              <w:t>f</w:t>
            </w:r>
            <w:r w:rsidR="00B80F99" w:rsidRPr="00073574">
              <w:t xml:space="preserve">ramework </w:t>
            </w:r>
            <w:r w:rsidR="00246F8C" w:rsidRPr="00073574">
              <w:t>for implementation of global interoperable digital COVID</w:t>
            </w:r>
            <w:r w:rsidRPr="00073574">
              <w:t>-19</w:t>
            </w:r>
            <w:r w:rsidR="00246F8C" w:rsidRPr="00073574">
              <w:t xml:space="preserve"> </w:t>
            </w:r>
            <w:r w:rsidR="00465301" w:rsidRPr="00073574">
              <w:t>certificates</w:t>
            </w:r>
            <w:r w:rsidR="00246F8C" w:rsidRPr="00073574">
              <w:t xml:space="preserve"> to facilitate global </w:t>
            </w:r>
            <w:r w:rsidRPr="00073574">
              <w:t>combat against COVID-19 pandemic.</w:t>
            </w:r>
          </w:p>
        </w:tc>
      </w:tr>
      <w:tr w:rsidR="00F0236A" w:rsidRPr="00073574" w14:paraId="26EE9E74" w14:textId="77777777" w:rsidTr="7277BFE4">
        <w:trPr>
          <w:jc w:val="center"/>
        </w:trPr>
        <w:tc>
          <w:tcPr>
            <w:tcW w:w="1134" w:type="dxa"/>
            <w:vMerge w:val="restart"/>
            <w:tcBorders>
              <w:top w:val="single" w:sz="12" w:space="0" w:color="auto"/>
            </w:tcBorders>
            <w:shd w:val="clear" w:color="auto" w:fill="auto"/>
          </w:tcPr>
          <w:p w14:paraId="126D5F20" w14:textId="77777777" w:rsidR="00F0236A" w:rsidRPr="00073574" w:rsidRDefault="00F0236A" w:rsidP="005B5893">
            <w:pPr>
              <w:pStyle w:val="Tabletext"/>
              <w:rPr>
                <w:b/>
                <w:bCs/>
                <w:sz w:val="24"/>
                <w:szCs w:val="24"/>
              </w:rPr>
            </w:pPr>
            <w:r w:rsidRPr="00073574">
              <w:rPr>
                <w:b/>
                <w:bCs/>
                <w:sz w:val="24"/>
                <w:szCs w:val="24"/>
              </w:rPr>
              <w:lastRenderedPageBreak/>
              <w:t>78-05</w:t>
            </w:r>
          </w:p>
        </w:tc>
        <w:tc>
          <w:tcPr>
            <w:tcW w:w="4562" w:type="dxa"/>
            <w:tcBorders>
              <w:top w:val="single" w:sz="12" w:space="0" w:color="auto"/>
            </w:tcBorders>
            <w:shd w:val="clear" w:color="auto" w:fill="auto"/>
          </w:tcPr>
          <w:p w14:paraId="08E70B19" w14:textId="77777777" w:rsidR="00F0236A" w:rsidRPr="00073574" w:rsidRDefault="00F0236A" w:rsidP="00980D27">
            <w:pPr>
              <w:pStyle w:val="Tabletext"/>
              <w:keepNext/>
              <w:keepLines/>
              <w:rPr>
                <w:b/>
                <w:bCs/>
                <w:sz w:val="24"/>
                <w:szCs w:val="24"/>
              </w:rPr>
            </w:pPr>
            <w:r w:rsidRPr="00073574">
              <w:rPr>
                <w:b/>
                <w:bCs/>
                <w:sz w:val="24"/>
                <w:szCs w:val="24"/>
              </w:rPr>
              <w:t>SG16 and SG20, in collaboration with relevant SGs, particular SG11 and SG17, for ensuring the broad deployment of e-health services in diverse operating conditions, to study communication protocols relating to e-health, especially among heterogeneous networks (i. SGs 16+20 3)</w:t>
            </w:r>
          </w:p>
        </w:tc>
        <w:tc>
          <w:tcPr>
            <w:tcW w:w="1273" w:type="dxa"/>
            <w:tcBorders>
              <w:top w:val="single" w:sz="12" w:space="0" w:color="auto"/>
            </w:tcBorders>
            <w:shd w:val="clear" w:color="auto" w:fill="auto"/>
            <w:vAlign w:val="center"/>
          </w:tcPr>
          <w:p w14:paraId="22A1789A" w14:textId="77777777" w:rsidR="00F0236A" w:rsidRPr="00073574" w:rsidRDefault="00F0236A" w:rsidP="005B5893">
            <w:pPr>
              <w:pStyle w:val="Tabletext"/>
              <w:jc w:val="center"/>
              <w:rPr>
                <w:b/>
                <w:bCs/>
                <w:sz w:val="24"/>
                <w:szCs w:val="24"/>
              </w:rPr>
            </w:pPr>
            <w:r w:rsidRPr="00073574">
              <w:rPr>
                <w:b/>
                <w:bCs/>
                <w:sz w:val="24"/>
                <w:szCs w:val="24"/>
              </w:rPr>
              <w:t>Ongoing</w:t>
            </w:r>
          </w:p>
        </w:tc>
        <w:tc>
          <w:tcPr>
            <w:tcW w:w="1627" w:type="dxa"/>
            <w:tcBorders>
              <w:top w:val="single" w:sz="12" w:space="0" w:color="auto"/>
            </w:tcBorders>
            <w:shd w:val="clear" w:color="auto" w:fill="auto"/>
            <w:vAlign w:val="center"/>
          </w:tcPr>
          <w:p w14:paraId="279C8077" w14:textId="77777777" w:rsidR="00F0236A" w:rsidRPr="00073574" w:rsidRDefault="00F0236A" w:rsidP="005B5893">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39F92AE0" w14:textId="77777777" w:rsidR="00F0236A" w:rsidRPr="00073574" w:rsidRDefault="00F0236A" w:rsidP="005B5893">
            <w:pPr>
              <w:pStyle w:val="Tabletext"/>
              <w:jc w:val="center"/>
              <w:rPr>
                <w:b/>
                <w:bCs/>
                <w:sz w:val="24"/>
                <w:szCs w:val="24"/>
              </w:rPr>
            </w:pPr>
          </w:p>
        </w:tc>
      </w:tr>
      <w:tr w:rsidR="00F0236A" w:rsidRPr="00073574" w14:paraId="417B1DE9" w14:textId="77777777" w:rsidTr="7277BFE4">
        <w:trPr>
          <w:jc w:val="center"/>
        </w:trPr>
        <w:tc>
          <w:tcPr>
            <w:tcW w:w="1134" w:type="dxa"/>
            <w:vMerge/>
          </w:tcPr>
          <w:p w14:paraId="2B41A222" w14:textId="77777777" w:rsidR="00F0236A" w:rsidRPr="00073574" w:rsidRDefault="00F0236A" w:rsidP="005B5893">
            <w:pPr>
              <w:pStyle w:val="Tabletext"/>
              <w:rPr>
                <w:sz w:val="24"/>
                <w:szCs w:val="24"/>
              </w:rPr>
            </w:pPr>
          </w:p>
        </w:tc>
        <w:tc>
          <w:tcPr>
            <w:tcW w:w="8798" w:type="dxa"/>
            <w:gridSpan w:val="4"/>
            <w:tcBorders>
              <w:bottom w:val="single" w:sz="12" w:space="0" w:color="auto"/>
            </w:tcBorders>
            <w:shd w:val="clear" w:color="auto" w:fill="auto"/>
          </w:tcPr>
          <w:p w14:paraId="0FF5AB9A" w14:textId="798612A2" w:rsidR="00F0236A" w:rsidRPr="00073574" w:rsidRDefault="00F0236A" w:rsidP="001E63F9">
            <w:pPr>
              <w:spacing w:before="40"/>
              <w:rPr>
                <w:szCs w:val="22"/>
              </w:rPr>
            </w:pPr>
            <w:r w:rsidRPr="00073574">
              <w:rPr>
                <w:szCs w:val="22"/>
              </w:rPr>
              <w:t>ITU-T cooperates with PCHA and WHO for dissemination of exiting ITU-T Recommendations.</w:t>
            </w:r>
          </w:p>
          <w:p w14:paraId="69BE84F5" w14:textId="7EA4C2FD" w:rsidR="00FE747B" w:rsidRPr="00073574" w:rsidRDefault="0B5B2FBB" w:rsidP="00973D16">
            <w:r w:rsidRPr="00073574">
              <w:t>Q28/16 continues the development of the Continua Design Guidelines (ITU-T H.810</w:t>
            </w:r>
            <w:r w:rsidR="5884401D" w:rsidRPr="00073574">
              <w:t>-H.850</w:t>
            </w:r>
            <w:r w:rsidRPr="00073574">
              <w:t xml:space="preserve"> series) in cooperation with PCHA.</w:t>
            </w:r>
          </w:p>
          <w:p w14:paraId="0AE251A9" w14:textId="77777777" w:rsidR="00FE747B" w:rsidRPr="00073574" w:rsidRDefault="3013B4A1" w:rsidP="4DCAE4D5">
            <w:pPr>
              <w:spacing w:after="40"/>
            </w:pPr>
            <w:r w:rsidRPr="00073574">
              <w:t>ITU-T SG16 works with WHO and its experts on safe listening, including promotion of adoption of H.870. In particular, a</w:t>
            </w:r>
            <w:r w:rsidR="66BEB0AF" w:rsidRPr="00073574">
              <w:t>n</w:t>
            </w:r>
            <w:r w:rsidRPr="00073574">
              <w:t xml:space="preserve"> </w:t>
            </w:r>
            <w:r w:rsidR="00DF47A6" w:rsidRPr="00073574">
              <w:t xml:space="preserve">ITU-T </w:t>
            </w:r>
            <w:hyperlink r:id="rId689" w:history="1">
              <w:r w:rsidR="21E94B21" w:rsidRPr="00073574">
                <w:t xml:space="preserve">H.870 </w:t>
              </w:r>
              <w:r w:rsidRPr="00073574">
                <w:rPr>
                  <w:rStyle w:val="Hyperlink"/>
                </w:rPr>
                <w:t>adoption tool kit</w:t>
              </w:r>
            </w:hyperlink>
            <w:r w:rsidRPr="00073574">
              <w:t xml:space="preserve"> was developed with the assistance of ITU-D</w:t>
            </w:r>
            <w:r w:rsidR="27EA191E" w:rsidRPr="00073574">
              <w:t xml:space="preserve"> and launched in February 2019.</w:t>
            </w:r>
          </w:p>
          <w:p w14:paraId="5EC4DDBA" w14:textId="6FBB868D" w:rsidR="000B77C7" w:rsidRPr="00073574" w:rsidRDefault="00DF1D89" w:rsidP="4DCAE4D5">
            <w:pPr>
              <w:spacing w:after="40"/>
            </w:pPr>
            <w:r w:rsidRPr="00073574">
              <w:t>See action 78-04 above, the</w:t>
            </w:r>
            <w:r w:rsidR="000B77C7" w:rsidRPr="00073574">
              <w:t xml:space="preserve"> two joint ITU/WHO workshops on digital COVID-19 </w:t>
            </w:r>
            <w:r w:rsidR="00465301" w:rsidRPr="00073574">
              <w:t>certificates</w:t>
            </w:r>
            <w:r w:rsidR="000B77C7" w:rsidRPr="00073574">
              <w:t xml:space="preserve"> promote ITU-T ICT security standards </w:t>
            </w:r>
            <w:r w:rsidRPr="00073574">
              <w:t>based</w:t>
            </w:r>
            <w:r w:rsidR="000B77C7" w:rsidRPr="00073574">
              <w:t xml:space="preserve"> global interoperable digital COVID-19 </w:t>
            </w:r>
            <w:r w:rsidR="00465301" w:rsidRPr="00073574">
              <w:t>certificates</w:t>
            </w:r>
            <w:r w:rsidR="00D92076" w:rsidRPr="00073574">
              <w:t xml:space="preserve"> and relevant authentication</w:t>
            </w:r>
            <w:r w:rsidR="00CD6530" w:rsidRPr="00073574">
              <w:t>.</w:t>
            </w:r>
          </w:p>
        </w:tc>
      </w:tr>
      <w:tr w:rsidR="00F0236A" w:rsidRPr="00073574" w14:paraId="63CFD98C" w14:textId="77777777" w:rsidTr="7277BFE4">
        <w:trPr>
          <w:cantSplit/>
          <w:jc w:val="center"/>
        </w:trPr>
        <w:tc>
          <w:tcPr>
            <w:tcW w:w="1134" w:type="dxa"/>
            <w:vMerge w:val="restart"/>
            <w:tcBorders>
              <w:top w:val="single" w:sz="12" w:space="0" w:color="auto"/>
            </w:tcBorders>
            <w:shd w:val="clear" w:color="auto" w:fill="auto"/>
          </w:tcPr>
          <w:p w14:paraId="2B37385B" w14:textId="77777777" w:rsidR="00F0236A" w:rsidRPr="00073574" w:rsidRDefault="00F0236A" w:rsidP="00CC7DA9">
            <w:pPr>
              <w:pStyle w:val="Tabletext"/>
              <w:rPr>
                <w:b/>
                <w:bCs/>
                <w:sz w:val="24"/>
                <w:szCs w:val="24"/>
              </w:rPr>
            </w:pPr>
            <w:r w:rsidRPr="00073574">
              <w:rPr>
                <w:b/>
                <w:bCs/>
                <w:sz w:val="24"/>
                <w:szCs w:val="24"/>
              </w:rPr>
              <w:t>78-06</w:t>
            </w:r>
          </w:p>
        </w:tc>
        <w:tc>
          <w:tcPr>
            <w:tcW w:w="4562" w:type="dxa"/>
            <w:tcBorders>
              <w:top w:val="single" w:sz="12" w:space="0" w:color="auto"/>
            </w:tcBorders>
            <w:shd w:val="clear" w:color="auto" w:fill="auto"/>
          </w:tcPr>
          <w:p w14:paraId="0079C431" w14:textId="77777777" w:rsidR="00F0236A" w:rsidRPr="00073574" w:rsidRDefault="00F0236A" w:rsidP="00DF36E1">
            <w:pPr>
              <w:pStyle w:val="Tabletext"/>
              <w:rPr>
                <w:b/>
                <w:bCs/>
                <w:sz w:val="24"/>
                <w:szCs w:val="24"/>
              </w:rPr>
            </w:pPr>
            <w:r w:rsidRPr="00073574">
              <w:rPr>
                <w:b/>
                <w:bCs/>
                <w:sz w:val="24"/>
                <w:szCs w:val="24"/>
              </w:rPr>
              <w:t>SG16 and SG20, in collaboration with relevant SGs, particular SG11 and SG17, to give priority to study of security standards relating to e-health (i. SGs 16+20 4)</w:t>
            </w:r>
          </w:p>
        </w:tc>
        <w:tc>
          <w:tcPr>
            <w:tcW w:w="1273" w:type="dxa"/>
            <w:tcBorders>
              <w:top w:val="single" w:sz="12" w:space="0" w:color="auto"/>
            </w:tcBorders>
            <w:shd w:val="clear" w:color="auto" w:fill="auto"/>
            <w:vAlign w:val="center"/>
          </w:tcPr>
          <w:p w14:paraId="5A684A11" w14:textId="77777777" w:rsidR="00F0236A" w:rsidRPr="00073574" w:rsidRDefault="00F0236A" w:rsidP="00DF36E1">
            <w:pPr>
              <w:pStyle w:val="Tabletext"/>
              <w:jc w:val="center"/>
              <w:rPr>
                <w:b/>
                <w:bCs/>
                <w:sz w:val="24"/>
                <w:szCs w:val="24"/>
              </w:rPr>
            </w:pPr>
            <w:r w:rsidRPr="00073574">
              <w:rPr>
                <w:b/>
                <w:bCs/>
                <w:sz w:val="24"/>
                <w:szCs w:val="24"/>
              </w:rPr>
              <w:t>Ongoing</w:t>
            </w:r>
          </w:p>
        </w:tc>
        <w:tc>
          <w:tcPr>
            <w:tcW w:w="1627" w:type="dxa"/>
            <w:tcBorders>
              <w:top w:val="single" w:sz="12" w:space="0" w:color="auto"/>
            </w:tcBorders>
            <w:shd w:val="clear" w:color="auto" w:fill="auto"/>
            <w:vAlign w:val="center"/>
          </w:tcPr>
          <w:p w14:paraId="6DEE45D7"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68FA4256" w14:textId="77777777" w:rsidR="00F0236A" w:rsidRPr="00073574" w:rsidRDefault="00F0236A" w:rsidP="00DF36E1">
            <w:pPr>
              <w:pStyle w:val="Tabletext"/>
              <w:jc w:val="center"/>
              <w:rPr>
                <w:b/>
                <w:bCs/>
                <w:sz w:val="24"/>
                <w:szCs w:val="24"/>
              </w:rPr>
            </w:pPr>
          </w:p>
        </w:tc>
      </w:tr>
      <w:tr w:rsidR="00F0236A" w:rsidRPr="00073574" w14:paraId="7DB53794" w14:textId="77777777" w:rsidTr="004B0421">
        <w:trPr>
          <w:trHeight w:val="728"/>
          <w:jc w:val="center"/>
        </w:trPr>
        <w:tc>
          <w:tcPr>
            <w:tcW w:w="1134" w:type="dxa"/>
            <w:vMerge/>
          </w:tcPr>
          <w:p w14:paraId="37D9B6D0" w14:textId="77777777" w:rsidR="00F0236A" w:rsidRPr="00073574" w:rsidRDefault="00F0236A" w:rsidP="00DF36E1">
            <w:pPr>
              <w:pStyle w:val="Tabletext"/>
              <w:rPr>
                <w:sz w:val="24"/>
                <w:szCs w:val="24"/>
              </w:rPr>
            </w:pPr>
          </w:p>
        </w:tc>
        <w:tc>
          <w:tcPr>
            <w:tcW w:w="8798" w:type="dxa"/>
            <w:gridSpan w:val="4"/>
            <w:tcBorders>
              <w:bottom w:val="single" w:sz="12" w:space="0" w:color="auto"/>
            </w:tcBorders>
            <w:shd w:val="clear" w:color="auto" w:fill="auto"/>
          </w:tcPr>
          <w:p w14:paraId="36471311" w14:textId="77777777" w:rsidR="00F0236A" w:rsidRPr="00073574" w:rsidRDefault="00F0236A" w:rsidP="001E63F9">
            <w:pPr>
              <w:spacing w:before="40"/>
              <w:rPr>
                <w:szCs w:val="22"/>
              </w:rPr>
            </w:pPr>
            <w:r w:rsidRPr="00073574">
              <w:rPr>
                <w:szCs w:val="22"/>
              </w:rPr>
              <w:t xml:space="preserve">A significant number of contributions are regularly received by Q28/16 on e-health to progress its currently </w:t>
            </w:r>
            <w:hyperlink r:id="rId690" w:history="1">
              <w:r w:rsidRPr="00073574">
                <w:rPr>
                  <w:rStyle w:val="Hyperlink"/>
                  <w:szCs w:val="22"/>
                </w:rPr>
                <w:t>open work items</w:t>
              </w:r>
            </w:hyperlink>
            <w:r w:rsidRPr="00073574">
              <w:rPr>
                <w:szCs w:val="22"/>
              </w:rPr>
              <w:t>.</w:t>
            </w:r>
          </w:p>
          <w:p w14:paraId="23368CCD" w14:textId="77777777" w:rsidR="00F0236A" w:rsidRPr="00073574" w:rsidRDefault="00F0236A" w:rsidP="00DF36E1">
            <w:r w:rsidRPr="00073574">
              <w:t>See 78-04.</w:t>
            </w:r>
          </w:p>
          <w:p w14:paraId="32EB8FC1" w14:textId="77777777" w:rsidR="00B63335" w:rsidRPr="00073574" w:rsidRDefault="00B63335">
            <w:r w:rsidRPr="00073574">
              <w:t>SG13 work on trusted ICT contributes to the privacy sensitive information sharing as applied to e-health.</w:t>
            </w:r>
            <w:r w:rsidR="00596787" w:rsidRPr="00073574">
              <w:rPr>
                <w:color w:val="000000"/>
                <w:sz w:val="27"/>
                <w:szCs w:val="27"/>
              </w:rPr>
              <w:t xml:space="preserve"> </w:t>
            </w:r>
            <w:r w:rsidR="00596787" w:rsidRPr="00073574">
              <w:t>ITU-T SG13 published three technical reports on trust provisioning for future ICT infrastructures and services and six Recommendations (ITU-T Y.3051-Y.3056).</w:t>
            </w:r>
          </w:p>
          <w:p w14:paraId="5FB35448" w14:textId="4C45F688" w:rsidR="00CD6530" w:rsidRPr="00073574" w:rsidRDefault="00CD6530">
            <w:r w:rsidRPr="00073574">
              <w:lastRenderedPageBreak/>
              <w:t xml:space="preserve">SG17 is </w:t>
            </w:r>
            <w:r w:rsidR="000752E0" w:rsidRPr="00073574">
              <w:t>studying</w:t>
            </w:r>
            <w:r w:rsidRPr="00073574">
              <w:t xml:space="preserve"> on decentralized identity management and PKI based on distributed ledger technology, </w:t>
            </w:r>
            <w:r w:rsidR="00157DEE" w:rsidRPr="00073574">
              <w:t xml:space="preserve">developed </w:t>
            </w:r>
            <w:r w:rsidR="0074080F" w:rsidRPr="00073574">
              <w:t xml:space="preserve">ITU-T </w:t>
            </w:r>
            <w:r w:rsidR="00157DEE" w:rsidRPr="00073574">
              <w:t xml:space="preserve">X.1403 </w:t>
            </w:r>
            <w:r w:rsidR="00157DEE" w:rsidRPr="00073574">
              <w:rPr>
                <w:i/>
                <w:iCs/>
              </w:rPr>
              <w:t xml:space="preserve">Security guidelines for using DLT for decentralized identity management </w:t>
            </w:r>
            <w:r w:rsidR="00157DEE" w:rsidRPr="00073574">
              <w:t>and is working on</w:t>
            </w:r>
            <w:r w:rsidR="00157DEE" w:rsidRPr="00073574">
              <w:rPr>
                <w:i/>
                <w:iCs/>
              </w:rPr>
              <w:t xml:space="preserve"> </w:t>
            </w:r>
            <w:r w:rsidRPr="00073574">
              <w:t>X.</w:t>
            </w:r>
            <w:r w:rsidR="009C1C30" w:rsidRPr="00073574">
              <w:t xml:space="preserve">srdidm </w:t>
            </w:r>
            <w:r w:rsidR="00D42C4A" w:rsidRPr="00073574">
              <w:rPr>
                <w:i/>
                <w:iCs/>
              </w:rPr>
              <w:t xml:space="preserve">Security requirements for decentralized identity management systems using distributed ledger technology, </w:t>
            </w:r>
          </w:p>
        </w:tc>
      </w:tr>
      <w:tr w:rsidR="00F0236A" w:rsidRPr="00073574" w14:paraId="2C9ECEE3" w14:textId="77777777" w:rsidTr="7277BFE4">
        <w:trPr>
          <w:jc w:val="center"/>
        </w:trPr>
        <w:tc>
          <w:tcPr>
            <w:tcW w:w="1134" w:type="dxa"/>
            <w:vMerge w:val="restart"/>
            <w:tcBorders>
              <w:top w:val="single" w:sz="12" w:space="0" w:color="auto"/>
            </w:tcBorders>
            <w:shd w:val="clear" w:color="auto" w:fill="auto"/>
          </w:tcPr>
          <w:p w14:paraId="2C221869" w14:textId="77777777" w:rsidR="00F0236A" w:rsidRPr="00073574" w:rsidRDefault="00F0236A" w:rsidP="000366FF">
            <w:pPr>
              <w:pStyle w:val="Tabletext"/>
              <w:keepNext/>
              <w:keepLines/>
              <w:rPr>
                <w:b/>
                <w:bCs/>
                <w:sz w:val="24"/>
                <w:szCs w:val="24"/>
              </w:rPr>
            </w:pPr>
            <w:r w:rsidRPr="00073574">
              <w:rPr>
                <w:b/>
                <w:bCs/>
                <w:sz w:val="24"/>
                <w:szCs w:val="24"/>
              </w:rPr>
              <w:lastRenderedPageBreak/>
              <w:t>78-07</w:t>
            </w:r>
          </w:p>
        </w:tc>
        <w:tc>
          <w:tcPr>
            <w:tcW w:w="4562" w:type="dxa"/>
            <w:tcBorders>
              <w:top w:val="single" w:sz="12" w:space="0" w:color="auto"/>
            </w:tcBorders>
            <w:shd w:val="clear" w:color="auto" w:fill="auto"/>
          </w:tcPr>
          <w:p w14:paraId="330F407F" w14:textId="77777777" w:rsidR="00F0236A" w:rsidRPr="00073574" w:rsidRDefault="00F0236A" w:rsidP="000366FF">
            <w:pPr>
              <w:pStyle w:val="Tabletext"/>
              <w:keepNext/>
              <w:keepLines/>
              <w:rPr>
                <w:b/>
                <w:bCs/>
                <w:sz w:val="24"/>
                <w:szCs w:val="24"/>
              </w:rPr>
            </w:pPr>
            <w:r w:rsidRPr="00073574">
              <w:rPr>
                <w:b/>
                <w:bCs/>
                <w:sz w:val="24"/>
                <w:szCs w:val="24"/>
              </w:rPr>
              <w:t>SG16 and SG20, in collaboration with relevant SGs, particular SG11 and SG17, to coordinate activities and studies relating to e-health among the relevant study groups, focus groups and other relevant groups in ITU-T, the ITU Radiocommunication Sector (ITU-R) and ITU</w:t>
            </w:r>
            <w:r w:rsidRPr="00073574">
              <w:rPr>
                <w:b/>
                <w:bCs/>
                <w:sz w:val="24"/>
                <w:szCs w:val="24"/>
              </w:rPr>
              <w:noBreakHyphen/>
              <w:t>D, in order in particular to foster awareness of telecommunication/ICT standards pertaining to e-health (i. SGs 16+20 2)</w:t>
            </w:r>
          </w:p>
        </w:tc>
        <w:tc>
          <w:tcPr>
            <w:tcW w:w="1273" w:type="dxa"/>
            <w:tcBorders>
              <w:top w:val="single" w:sz="12" w:space="0" w:color="auto"/>
            </w:tcBorders>
            <w:shd w:val="clear" w:color="auto" w:fill="auto"/>
            <w:vAlign w:val="center"/>
          </w:tcPr>
          <w:p w14:paraId="6B2A257F" w14:textId="77777777" w:rsidR="00F0236A" w:rsidRPr="00073574" w:rsidRDefault="00F0236A" w:rsidP="000366FF">
            <w:pPr>
              <w:pStyle w:val="Tabletext"/>
              <w:keepNext/>
              <w:keepLines/>
              <w:jc w:val="center"/>
              <w:rPr>
                <w:b/>
                <w:bCs/>
                <w:sz w:val="24"/>
                <w:szCs w:val="24"/>
              </w:rPr>
            </w:pPr>
            <w:r w:rsidRPr="00073574">
              <w:rPr>
                <w:b/>
                <w:bCs/>
                <w:sz w:val="24"/>
                <w:szCs w:val="24"/>
              </w:rPr>
              <w:t>Ongoing</w:t>
            </w:r>
          </w:p>
        </w:tc>
        <w:tc>
          <w:tcPr>
            <w:tcW w:w="1627" w:type="dxa"/>
            <w:tcBorders>
              <w:top w:val="single" w:sz="12" w:space="0" w:color="auto"/>
            </w:tcBorders>
            <w:shd w:val="clear" w:color="auto" w:fill="auto"/>
            <w:vAlign w:val="center"/>
          </w:tcPr>
          <w:p w14:paraId="4AED5F6A" w14:textId="77777777" w:rsidR="00F0236A" w:rsidRPr="00073574" w:rsidDel="009A05C2" w:rsidRDefault="00F0236A" w:rsidP="000366FF">
            <w:pPr>
              <w:pStyle w:val="Tabletext"/>
              <w:keepNext/>
              <w:keepLines/>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0F723D1A" w14:textId="77777777" w:rsidR="00F0236A" w:rsidRPr="00073574" w:rsidRDefault="00F0236A" w:rsidP="000366FF">
            <w:pPr>
              <w:pStyle w:val="Tabletext"/>
              <w:keepNext/>
              <w:keepLines/>
              <w:jc w:val="center"/>
              <w:rPr>
                <w:b/>
                <w:bCs/>
                <w:sz w:val="24"/>
                <w:szCs w:val="24"/>
              </w:rPr>
            </w:pPr>
          </w:p>
        </w:tc>
      </w:tr>
      <w:tr w:rsidR="00F0236A" w:rsidRPr="00073574" w14:paraId="5CDD9849" w14:textId="77777777" w:rsidTr="7277BFE4">
        <w:trPr>
          <w:jc w:val="center"/>
        </w:trPr>
        <w:tc>
          <w:tcPr>
            <w:tcW w:w="1134" w:type="dxa"/>
            <w:vMerge/>
            <w:vAlign w:val="center"/>
          </w:tcPr>
          <w:p w14:paraId="63739608" w14:textId="77777777" w:rsidR="00F0236A" w:rsidRPr="00073574" w:rsidRDefault="00F0236A" w:rsidP="000366FF">
            <w:pPr>
              <w:pStyle w:val="Tabletext"/>
              <w:keepNext/>
              <w:keepLines/>
              <w:rPr>
                <w:sz w:val="24"/>
                <w:szCs w:val="24"/>
              </w:rPr>
            </w:pPr>
          </w:p>
        </w:tc>
        <w:tc>
          <w:tcPr>
            <w:tcW w:w="8798" w:type="dxa"/>
            <w:gridSpan w:val="4"/>
            <w:shd w:val="clear" w:color="auto" w:fill="auto"/>
          </w:tcPr>
          <w:p w14:paraId="29FDA3F9" w14:textId="5E51AD64" w:rsidR="00F0236A" w:rsidRPr="00073574" w:rsidRDefault="00F0236A" w:rsidP="000366FF">
            <w:pPr>
              <w:keepNext/>
              <w:keepLines/>
              <w:tabs>
                <w:tab w:val="left" w:pos="794"/>
                <w:tab w:val="left" w:pos="1191"/>
                <w:tab w:val="left" w:pos="1588"/>
                <w:tab w:val="left" w:pos="1985"/>
              </w:tabs>
              <w:overflowPunct w:val="0"/>
              <w:autoSpaceDE w:val="0"/>
              <w:autoSpaceDN w:val="0"/>
              <w:adjustRightInd w:val="0"/>
              <w:spacing w:before="40" w:after="40"/>
              <w:rPr>
                <w:szCs w:val="22"/>
              </w:rPr>
            </w:pPr>
            <w:r w:rsidRPr="00073574">
              <w:rPr>
                <w:szCs w:val="22"/>
              </w:rPr>
              <w:t xml:space="preserve">SG16 created in January 2017 a JCA on multimedia aspects of </w:t>
            </w:r>
            <w:r w:rsidR="00DA664B" w:rsidRPr="00073574">
              <w:rPr>
                <w:szCs w:val="22"/>
              </w:rPr>
              <w:t>E-services</w:t>
            </w:r>
            <w:r w:rsidRPr="00073574">
              <w:rPr>
                <w:szCs w:val="22"/>
              </w:rPr>
              <w:t xml:space="preserve"> </w:t>
            </w:r>
            <w:r w:rsidR="00DA664B" w:rsidRPr="00073574">
              <w:t>(</w:t>
            </w:r>
            <w:hyperlink r:id="rId691" w:history="1">
              <w:r w:rsidR="00DA664B" w:rsidRPr="00073574">
                <w:rPr>
                  <w:rStyle w:val="Hyperlink"/>
                </w:rPr>
                <w:t>JCA-M</w:t>
              </w:r>
              <w:r w:rsidR="002D4D1F" w:rsidRPr="00073574">
                <w:rPr>
                  <w:rStyle w:val="Hyperlink"/>
                </w:rPr>
                <w:t>m</w:t>
              </w:r>
              <w:r w:rsidR="00DA664B" w:rsidRPr="00073574">
                <w:rPr>
                  <w:rStyle w:val="Hyperlink"/>
                </w:rPr>
                <w:t>eS</w:t>
              </w:r>
            </w:hyperlink>
            <w:r w:rsidR="00DA664B" w:rsidRPr="00073574">
              <w:t xml:space="preserve">) </w:t>
            </w:r>
            <w:r w:rsidRPr="00073574">
              <w:rPr>
                <w:szCs w:val="22"/>
              </w:rPr>
              <w:t>that includes coordination of the standardization work on e-health.</w:t>
            </w:r>
          </w:p>
          <w:p w14:paraId="4F191713" w14:textId="0825B79A" w:rsidR="00332F9D" w:rsidRPr="00073574" w:rsidRDefault="75CC2D3A" w:rsidP="000366FF">
            <w:pPr>
              <w:keepNext/>
              <w:keepLines/>
              <w:tabs>
                <w:tab w:val="left" w:pos="794"/>
                <w:tab w:val="left" w:pos="1191"/>
                <w:tab w:val="left" w:pos="1588"/>
                <w:tab w:val="left" w:pos="1985"/>
              </w:tabs>
              <w:overflowPunct w:val="0"/>
              <w:autoSpaceDE w:val="0"/>
              <w:autoSpaceDN w:val="0"/>
              <w:adjustRightInd w:val="0"/>
              <w:spacing w:before="40" w:after="40"/>
            </w:pPr>
            <w:r w:rsidRPr="00073574">
              <w:t>FG NET2030 (2018</w:t>
            </w:r>
            <w:r w:rsidR="00E464B6" w:rsidRPr="00073574">
              <w:t xml:space="preserve"> </w:t>
            </w:r>
            <w:r w:rsidR="002D4D1F" w:rsidRPr="00073574">
              <w:t>–</w:t>
            </w:r>
            <w:r w:rsidR="00E464B6" w:rsidRPr="00073574">
              <w:t xml:space="preserve"> 2020</w:t>
            </w:r>
            <w:r w:rsidRPr="00073574">
              <w:t xml:space="preserve">) </w:t>
            </w:r>
            <w:r w:rsidR="00634D4D" w:rsidRPr="00073574">
              <w:t>wa</w:t>
            </w:r>
            <w:r w:rsidRPr="00073574">
              <w:t>s looking after the e-health future solutions (remote surgery, remote patient monitoring and e-medicine).</w:t>
            </w:r>
          </w:p>
          <w:p w14:paraId="172DC22E" w14:textId="77777777" w:rsidR="00332F9D" w:rsidRPr="00073574" w:rsidRDefault="559A5D51" w:rsidP="7277BFE4">
            <w:pPr>
              <w:keepNext/>
              <w:keepLines/>
              <w:tabs>
                <w:tab w:val="left" w:pos="794"/>
                <w:tab w:val="left" w:pos="1191"/>
                <w:tab w:val="left" w:pos="1588"/>
                <w:tab w:val="left" w:pos="1985"/>
              </w:tabs>
              <w:overflowPunct w:val="0"/>
              <w:autoSpaceDE w:val="0"/>
              <w:autoSpaceDN w:val="0"/>
              <w:adjustRightInd w:val="0"/>
              <w:spacing w:before="40" w:after="40"/>
            </w:pPr>
            <w:r w:rsidRPr="00073574">
              <w:t xml:space="preserve">SG20 through the JCA on IoT and SC&amp;C </w:t>
            </w:r>
            <w:r w:rsidR="66B6A45A" w:rsidRPr="00073574">
              <w:t>provides a platform for information sharing and coordination</w:t>
            </w:r>
            <w:r w:rsidRPr="00073574">
              <w:t xml:space="preserve"> of the standardization work on digital he</w:t>
            </w:r>
            <w:r w:rsidR="1853E17C" w:rsidRPr="00073574">
              <w:t>alth and relevant IoT aspects.</w:t>
            </w:r>
          </w:p>
          <w:p w14:paraId="644F9A41" w14:textId="0D863919" w:rsidR="006901E6" w:rsidRPr="00073574" w:rsidRDefault="006901E6" w:rsidP="00477AAE">
            <w:pPr>
              <w:keepNext/>
              <w:keepLines/>
              <w:tabs>
                <w:tab w:val="left" w:pos="794"/>
                <w:tab w:val="left" w:pos="1191"/>
                <w:tab w:val="left" w:pos="1588"/>
                <w:tab w:val="left" w:pos="1985"/>
              </w:tabs>
              <w:overflowPunct w:val="0"/>
              <w:autoSpaceDE w:val="0"/>
              <w:autoSpaceDN w:val="0"/>
              <w:adjustRightInd w:val="0"/>
              <w:spacing w:before="40" w:after="40"/>
            </w:pPr>
            <w:r w:rsidRPr="00073574">
              <w:t xml:space="preserve">TSAG </w:t>
            </w:r>
            <w:r w:rsidR="00477AAE" w:rsidRPr="00073574">
              <w:t>Oct</w:t>
            </w:r>
            <w:r w:rsidR="00165D51" w:rsidRPr="00073574">
              <w:t>ober</w:t>
            </w:r>
            <w:r w:rsidR="00477AAE" w:rsidRPr="00073574">
              <w:t xml:space="preserve"> 2021 meeting established a new </w:t>
            </w:r>
            <w:r w:rsidR="00477AAE" w:rsidRPr="00073574">
              <w:rPr>
                <w:i/>
                <w:iCs/>
              </w:rPr>
              <w:t>ITU-T Joint Coordination Activity on digital COVID-19 certificate</w:t>
            </w:r>
            <w:r w:rsidR="00477AAE" w:rsidRPr="00073574">
              <w:t xml:space="preserve"> </w:t>
            </w:r>
            <w:r w:rsidR="00477AAE" w:rsidRPr="00073574">
              <w:rPr>
                <w:i/>
                <w:iCs/>
              </w:rPr>
              <w:t>(ITU-T JCA-DCC)</w:t>
            </w:r>
            <w:r w:rsidR="00477AAE" w:rsidRPr="00073574">
              <w:t xml:space="preserve"> under the auspices of TSAG chaired by Mr Heung-Youl Youm</w:t>
            </w:r>
            <w:r w:rsidR="008928CE" w:rsidRPr="00073574">
              <w:t>.</w:t>
            </w:r>
          </w:p>
        </w:tc>
      </w:tr>
    </w:tbl>
    <w:p w14:paraId="254C5F54" w14:textId="2DBE3F87" w:rsidR="1EE68BAF" w:rsidRPr="00073574" w:rsidRDefault="1EE68BAF">
      <w:bookmarkStart w:id="467" w:name="Item78_01"/>
      <w:bookmarkStart w:id="468" w:name="Item78_02"/>
      <w:bookmarkStart w:id="469" w:name="Item78_04"/>
      <w:bookmarkStart w:id="470" w:name="Item78_05"/>
      <w:bookmarkStart w:id="471" w:name="Item78_06"/>
      <w:bookmarkStart w:id="472" w:name="Item78_07"/>
      <w:bookmarkEnd w:id="467"/>
      <w:bookmarkEnd w:id="468"/>
      <w:bookmarkEnd w:id="469"/>
      <w:bookmarkEnd w:id="470"/>
      <w:bookmarkEnd w:id="471"/>
      <w:bookmarkEnd w:id="472"/>
    </w:p>
    <w:p w14:paraId="3C281F35" w14:textId="77777777" w:rsidR="00F0236A" w:rsidRPr="00073574" w:rsidRDefault="0053741E" w:rsidP="00F0236A">
      <w:pPr>
        <w:rPr>
          <w:sz w:val="24"/>
        </w:rPr>
      </w:pPr>
      <w:hyperlink w:anchor="Top" w:history="1">
        <w:r w:rsidR="00F0236A" w:rsidRPr="00073574">
          <w:rPr>
            <w:rStyle w:val="Hyperlink"/>
            <w:rFonts w:eastAsia="Times New Roman"/>
            <w:sz w:val="24"/>
          </w:rPr>
          <w:t>» Top</w:t>
        </w:r>
      </w:hyperlink>
    </w:p>
    <w:p w14:paraId="6A42034D" w14:textId="77777777" w:rsidR="00F0236A" w:rsidRPr="00073574" w:rsidRDefault="00F0236A" w:rsidP="00F0236A">
      <w:pPr>
        <w:rPr>
          <w:sz w:val="24"/>
        </w:rPr>
      </w:pPr>
    </w:p>
    <w:p w14:paraId="01859305" w14:textId="71493A23" w:rsidR="00F0236A" w:rsidRPr="00073574" w:rsidRDefault="00F0236A" w:rsidP="00F0236A">
      <w:pPr>
        <w:pStyle w:val="Heading1"/>
        <w:keepNext/>
        <w:rPr>
          <w:sz w:val="24"/>
          <w:szCs w:val="24"/>
          <w:lang w:val="en-GB"/>
        </w:rPr>
      </w:pPr>
      <w:bookmarkStart w:id="473" w:name="_Toc471715395"/>
      <w:bookmarkStart w:id="474" w:name="_Toc93425281"/>
      <w:r w:rsidRPr="00073574">
        <w:rPr>
          <w:sz w:val="24"/>
          <w:szCs w:val="24"/>
          <w:lang w:val="en-GB"/>
        </w:rPr>
        <w:t xml:space="preserve">Resolution 79 </w:t>
      </w:r>
      <w:r w:rsidR="002D4D1F" w:rsidRPr="00073574">
        <w:rPr>
          <w:sz w:val="24"/>
          <w:szCs w:val="24"/>
          <w:lang w:val="en-GB"/>
        </w:rPr>
        <w:t>–</w:t>
      </w:r>
      <w:r w:rsidRPr="00073574">
        <w:rPr>
          <w:sz w:val="24"/>
          <w:szCs w:val="24"/>
          <w:lang w:val="en-GB"/>
        </w:rPr>
        <w:t xml:space="preserve"> The role of telecommunications/ information and communication technology in handling and controlling e-waste from telecommunication and information technology equipment and methods of treating it</w:t>
      </w:r>
      <w:bookmarkEnd w:id="473"/>
      <w:bookmarkEnd w:id="474"/>
    </w:p>
    <w:p w14:paraId="7C65C575" w14:textId="77777777" w:rsidR="00F0236A" w:rsidRPr="00073574" w:rsidRDefault="00F0236A" w:rsidP="00F0236A">
      <w:pPr>
        <w:keepNext/>
        <w:rPr>
          <w:b/>
          <w:bCs/>
          <w:sz w:val="24"/>
        </w:rPr>
      </w:pPr>
      <w:r w:rsidRPr="00073574">
        <w:rPr>
          <w:b/>
          <w:bCs/>
          <w:sz w:val="24"/>
        </w:rPr>
        <w:t>Resolution 79</w:t>
      </w:r>
    </w:p>
    <w:p w14:paraId="675524DF" w14:textId="77777777" w:rsidR="00F0236A" w:rsidRPr="00073574" w:rsidRDefault="00F0236A" w:rsidP="00F0236A">
      <w:pPr>
        <w:pStyle w:val="Call"/>
        <w:rPr>
          <w:sz w:val="24"/>
          <w:szCs w:val="24"/>
          <w:lang w:val="en-GB"/>
        </w:rPr>
      </w:pPr>
      <w:r w:rsidRPr="00073574">
        <w:rPr>
          <w:sz w:val="24"/>
          <w:szCs w:val="24"/>
          <w:lang w:val="en-GB"/>
        </w:rPr>
        <w:t>resolves to instruct the Director of the Telecommunication Standardization Bureau, in collaboration with the Director of the Telecommunication Development Bureau</w:t>
      </w:r>
    </w:p>
    <w:p w14:paraId="48745EB2" w14:textId="77777777" w:rsidR="00F0236A" w:rsidRPr="00073574" w:rsidRDefault="00F0236A" w:rsidP="00F0236A">
      <w:pPr>
        <w:rPr>
          <w:sz w:val="24"/>
        </w:rPr>
      </w:pPr>
      <w:r w:rsidRPr="00073574">
        <w:rPr>
          <w:sz w:val="24"/>
        </w:rPr>
        <w:t>1</w:t>
      </w:r>
      <w:r w:rsidRPr="00073574">
        <w:rPr>
          <w:sz w:val="24"/>
        </w:rPr>
        <w:tab/>
        <w:t>to pursue and strengthen the development of ITU activities in regard to handling and controlling e-waste from telecommunication and information technology equipment and methods of treating it;</w:t>
      </w:r>
    </w:p>
    <w:p w14:paraId="3361AAC8" w14:textId="77777777" w:rsidR="00F0236A" w:rsidRPr="00073574" w:rsidRDefault="00F0236A" w:rsidP="00F0236A">
      <w:pPr>
        <w:rPr>
          <w:sz w:val="24"/>
        </w:rPr>
      </w:pPr>
      <w:r w:rsidRPr="00073574">
        <w:rPr>
          <w:sz w:val="24"/>
        </w:rPr>
        <w:t>2</w:t>
      </w:r>
      <w:r w:rsidRPr="00073574">
        <w:rPr>
          <w:sz w:val="24"/>
        </w:rPr>
        <w:tab/>
        <w:t>to assist developing countries to undertake proper assessment of the size of e-waste;</w:t>
      </w:r>
    </w:p>
    <w:p w14:paraId="44E18582" w14:textId="77777777" w:rsidR="00F0236A" w:rsidRPr="00073574" w:rsidRDefault="00F0236A" w:rsidP="00F0236A">
      <w:pPr>
        <w:rPr>
          <w:sz w:val="24"/>
        </w:rPr>
      </w:pPr>
      <w:r w:rsidRPr="00073574">
        <w:rPr>
          <w:sz w:val="24"/>
        </w:rPr>
        <w:t>3</w:t>
      </w:r>
      <w:r w:rsidRPr="00073574">
        <w:rPr>
          <w:sz w:val="24"/>
        </w:rPr>
        <w:tab/>
        <w:t>to address the handling and controlling of e</w:t>
      </w:r>
      <w:r w:rsidRPr="00073574">
        <w:rPr>
          <w:sz w:val="24"/>
        </w:rPr>
        <w:noBreakHyphen/>
        <w:t>waste and to contribute to global efforts designed to deal with the increasing hazards which arise therefrom;</w:t>
      </w:r>
    </w:p>
    <w:p w14:paraId="1ACBB7AD" w14:textId="77777777" w:rsidR="00F0236A" w:rsidRPr="00073574" w:rsidRDefault="00F0236A" w:rsidP="00F0236A">
      <w:pPr>
        <w:rPr>
          <w:sz w:val="24"/>
        </w:rPr>
      </w:pPr>
      <w:r w:rsidRPr="00073574">
        <w:rPr>
          <w:sz w:val="24"/>
        </w:rPr>
        <w:t>4</w:t>
      </w:r>
      <w:r w:rsidRPr="00073574">
        <w:rPr>
          <w:sz w:val="24"/>
        </w:rPr>
        <w:tab/>
        <w:t>to work in collaboration with the relevant stakeholders, including academia and relevant organizations, and to coordinate activities relating to e-waste among the ITU study groups, focus groups and other relevant groups;</w:t>
      </w:r>
    </w:p>
    <w:p w14:paraId="14522D76" w14:textId="77777777" w:rsidR="00F0236A" w:rsidRPr="00073574" w:rsidRDefault="00F0236A" w:rsidP="00F0236A">
      <w:pPr>
        <w:rPr>
          <w:sz w:val="24"/>
        </w:rPr>
      </w:pPr>
      <w:r w:rsidRPr="00073574">
        <w:rPr>
          <w:sz w:val="24"/>
        </w:rPr>
        <w:lastRenderedPageBreak/>
        <w:t>5</w:t>
      </w:r>
      <w:r w:rsidRPr="00073574">
        <w:rPr>
          <w:sz w:val="24"/>
        </w:rPr>
        <w:tab/>
        <w:t>to organize seminars and workshops to enhance awareness of the hazards of e-waste and the methods of treating it, particularly in developing countries, and gauge the needs of the developing countries, which are the countries that suffer most from the hazards of e-waste,</w:t>
      </w:r>
    </w:p>
    <w:p w14:paraId="2FA6B187" w14:textId="77777777" w:rsidR="00F0236A" w:rsidRPr="00073574" w:rsidRDefault="00F0236A" w:rsidP="00F0236A">
      <w:pPr>
        <w:pStyle w:val="Call"/>
        <w:rPr>
          <w:sz w:val="24"/>
          <w:szCs w:val="24"/>
          <w:lang w:val="en-GB"/>
        </w:rPr>
      </w:pPr>
      <w:r w:rsidRPr="00073574">
        <w:rPr>
          <w:sz w:val="24"/>
          <w:szCs w:val="24"/>
          <w:lang w:val="en-GB"/>
        </w:rPr>
        <w:t>instructs ITU-T Study Group 5, in collaboration with the relevant ITU study groups</w:t>
      </w:r>
    </w:p>
    <w:p w14:paraId="28F56196" w14:textId="77777777" w:rsidR="00F0236A" w:rsidRPr="00073574" w:rsidRDefault="00F0236A" w:rsidP="00F0236A">
      <w:pPr>
        <w:rPr>
          <w:sz w:val="24"/>
        </w:rPr>
      </w:pPr>
      <w:r w:rsidRPr="00073574">
        <w:rPr>
          <w:sz w:val="24"/>
        </w:rPr>
        <w:t>1</w:t>
      </w:r>
      <w:r w:rsidRPr="00073574">
        <w:rPr>
          <w:sz w:val="24"/>
        </w:rPr>
        <w:tab/>
        <w:t>to develop and document examples of best practice for handling and controlling e-waste resulting from telecommunications/ICT and methods of treating and recycling it, for dissemination among ITU Member States and Sector Members;</w:t>
      </w:r>
    </w:p>
    <w:p w14:paraId="68AD6D4A" w14:textId="77777777" w:rsidR="00F0236A" w:rsidRPr="00073574" w:rsidRDefault="00F0236A" w:rsidP="00F0236A">
      <w:pPr>
        <w:rPr>
          <w:sz w:val="24"/>
        </w:rPr>
      </w:pPr>
      <w:r w:rsidRPr="00073574">
        <w:rPr>
          <w:sz w:val="24"/>
        </w:rPr>
        <w:t>2</w:t>
      </w:r>
      <w:r w:rsidRPr="00073574">
        <w:rPr>
          <w:sz w:val="24"/>
        </w:rPr>
        <w:tab/>
        <w:t>to develop Recommendations, methodologies and other publications relating to handling and controlling e-waste resulting from telecommunications/ICT and methods of treating it, within the relevant study groups, focus groups and other relevant groups in ITU, in order, in particular, to foster awareness of the environmental hazards of e-waste;</w:t>
      </w:r>
    </w:p>
    <w:p w14:paraId="604699C1" w14:textId="77777777" w:rsidR="00F0236A" w:rsidRPr="00073574" w:rsidRDefault="00F0236A" w:rsidP="00F0236A">
      <w:pPr>
        <w:rPr>
          <w:sz w:val="24"/>
        </w:rPr>
      </w:pPr>
      <w:r w:rsidRPr="00073574">
        <w:rPr>
          <w:sz w:val="24"/>
        </w:rPr>
        <w:t>3</w:t>
      </w:r>
      <w:r w:rsidRPr="00073574">
        <w:rPr>
          <w:sz w:val="24"/>
        </w:rPr>
        <w:tab/>
        <w:t xml:space="preserve">to study the impact of used telecommunication/ICT equipment and products brought into developing countries and give appropriate guidance, taking into account </w:t>
      </w:r>
      <w:r w:rsidRPr="00073574">
        <w:rPr>
          <w:i/>
          <w:iCs/>
          <w:sz w:val="24"/>
        </w:rPr>
        <w:t>recognizing further</w:t>
      </w:r>
      <w:r w:rsidRPr="00073574">
        <w:rPr>
          <w:sz w:val="24"/>
        </w:rPr>
        <w:t xml:space="preserve"> above, to assist developing countries,</w:t>
      </w:r>
    </w:p>
    <w:p w14:paraId="0F857435" w14:textId="77777777" w:rsidR="00F0236A" w:rsidRPr="00073574" w:rsidRDefault="00F0236A" w:rsidP="00F0236A">
      <w:pPr>
        <w:pStyle w:val="Call"/>
        <w:rPr>
          <w:sz w:val="24"/>
          <w:szCs w:val="24"/>
          <w:lang w:val="en-GB"/>
        </w:rPr>
      </w:pPr>
      <w:r w:rsidRPr="00073574">
        <w:rPr>
          <w:sz w:val="24"/>
          <w:szCs w:val="24"/>
          <w:lang w:val="en-GB"/>
        </w:rPr>
        <w:t>invites Member States</w:t>
      </w:r>
    </w:p>
    <w:p w14:paraId="0DC7C8BC" w14:textId="77777777" w:rsidR="00F0236A" w:rsidRPr="00073574" w:rsidRDefault="00F0236A" w:rsidP="00F0236A">
      <w:pPr>
        <w:rPr>
          <w:sz w:val="24"/>
        </w:rPr>
      </w:pPr>
      <w:r w:rsidRPr="00073574">
        <w:rPr>
          <w:sz w:val="24"/>
        </w:rPr>
        <w:t>1</w:t>
      </w:r>
      <w:r w:rsidRPr="00073574">
        <w:rPr>
          <w:sz w:val="24"/>
        </w:rPr>
        <w:tab/>
        <w:t>to take all necessary measures to handle and control e-waste in order to mitigate the hazards which can arise from used telecommunication/ICT equipment;</w:t>
      </w:r>
    </w:p>
    <w:p w14:paraId="446C7F9B" w14:textId="77777777" w:rsidR="00F0236A" w:rsidRPr="00073574" w:rsidRDefault="00F0236A" w:rsidP="00F0236A">
      <w:pPr>
        <w:rPr>
          <w:sz w:val="24"/>
        </w:rPr>
      </w:pPr>
      <w:r w:rsidRPr="00073574">
        <w:rPr>
          <w:sz w:val="24"/>
        </w:rPr>
        <w:t>2</w:t>
      </w:r>
      <w:r w:rsidRPr="00073574">
        <w:rPr>
          <w:sz w:val="24"/>
        </w:rPr>
        <w:tab/>
        <w:t>to cooperate with each other in this area;</w:t>
      </w:r>
    </w:p>
    <w:p w14:paraId="116836B4" w14:textId="77777777" w:rsidR="00F0236A" w:rsidRPr="00073574" w:rsidRDefault="00F0236A" w:rsidP="00F0236A">
      <w:pPr>
        <w:rPr>
          <w:sz w:val="24"/>
        </w:rPr>
      </w:pPr>
      <w:r w:rsidRPr="00073574">
        <w:rPr>
          <w:sz w:val="24"/>
        </w:rPr>
        <w:t>3</w:t>
      </w:r>
      <w:r w:rsidRPr="00073574">
        <w:rPr>
          <w:sz w:val="24"/>
        </w:rPr>
        <w:tab/>
        <w:t>to include e-waste management policies in their national ICT strategies,</w:t>
      </w:r>
    </w:p>
    <w:p w14:paraId="66073F40" w14:textId="77777777" w:rsidR="00F0236A" w:rsidRPr="00073574" w:rsidRDefault="00F0236A" w:rsidP="00F0236A">
      <w:pPr>
        <w:pStyle w:val="Call"/>
        <w:rPr>
          <w:sz w:val="24"/>
          <w:szCs w:val="24"/>
          <w:lang w:val="en-GB"/>
        </w:rPr>
      </w:pPr>
      <w:r w:rsidRPr="00073574">
        <w:rPr>
          <w:sz w:val="24"/>
          <w:szCs w:val="24"/>
          <w:lang w:val="en-GB"/>
        </w:rPr>
        <w:t>encourages Member States, Sector Members and academia</w:t>
      </w:r>
    </w:p>
    <w:p w14:paraId="3F126C5E" w14:textId="77777777" w:rsidR="00F0236A" w:rsidRPr="00073574" w:rsidRDefault="00F0236A" w:rsidP="00F0236A">
      <w:pPr>
        <w:spacing w:after="240"/>
        <w:rPr>
          <w:sz w:val="24"/>
        </w:rPr>
      </w:pPr>
      <w:r w:rsidRPr="00073574">
        <w:rPr>
          <w:sz w:val="24"/>
        </w:rPr>
        <w:t>to participate actively in ITU-T studies on e-waste, through the submission of contributions and by other appropriate means.</w:t>
      </w:r>
    </w:p>
    <w:tbl>
      <w:tblPr>
        <w:tblW w:w="99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35"/>
        <w:gridCol w:w="5015"/>
        <w:gridCol w:w="1300"/>
        <w:gridCol w:w="1146"/>
        <w:gridCol w:w="1336"/>
      </w:tblGrid>
      <w:tr w:rsidR="00F0236A" w:rsidRPr="00073574" w14:paraId="03290069" w14:textId="77777777" w:rsidTr="7277BFE4">
        <w:trPr>
          <w:tblHeader/>
          <w:jc w:val="center"/>
        </w:trPr>
        <w:tc>
          <w:tcPr>
            <w:tcW w:w="1135" w:type="dxa"/>
            <w:tcBorders>
              <w:top w:val="single" w:sz="12" w:space="0" w:color="auto"/>
              <w:bottom w:val="single" w:sz="12" w:space="0" w:color="auto"/>
            </w:tcBorders>
            <w:shd w:val="clear" w:color="auto" w:fill="auto"/>
            <w:vAlign w:val="center"/>
          </w:tcPr>
          <w:p w14:paraId="40D41E20" w14:textId="77777777" w:rsidR="00F0236A" w:rsidRPr="00073574" w:rsidRDefault="00F0236A" w:rsidP="00DF36E1">
            <w:pPr>
              <w:pStyle w:val="Tablehead"/>
              <w:rPr>
                <w:sz w:val="24"/>
                <w:szCs w:val="24"/>
              </w:rPr>
            </w:pPr>
            <w:r w:rsidRPr="00073574">
              <w:rPr>
                <w:sz w:val="24"/>
                <w:szCs w:val="24"/>
              </w:rPr>
              <w:t>Action Item</w:t>
            </w:r>
          </w:p>
        </w:tc>
        <w:tc>
          <w:tcPr>
            <w:tcW w:w="5015" w:type="dxa"/>
            <w:tcBorders>
              <w:top w:val="single" w:sz="12" w:space="0" w:color="auto"/>
              <w:bottom w:val="single" w:sz="12" w:space="0" w:color="auto"/>
            </w:tcBorders>
            <w:shd w:val="clear" w:color="auto" w:fill="auto"/>
            <w:vAlign w:val="center"/>
            <w:hideMark/>
          </w:tcPr>
          <w:p w14:paraId="24949282" w14:textId="77777777" w:rsidR="00F0236A" w:rsidRPr="00073574" w:rsidRDefault="00F0236A" w:rsidP="00DF36E1">
            <w:pPr>
              <w:pStyle w:val="Tablehead"/>
              <w:rPr>
                <w:sz w:val="24"/>
                <w:szCs w:val="24"/>
              </w:rPr>
            </w:pPr>
            <w:r w:rsidRPr="00073574">
              <w:rPr>
                <w:sz w:val="24"/>
                <w:szCs w:val="24"/>
              </w:rPr>
              <w:t>Action</w:t>
            </w:r>
          </w:p>
        </w:tc>
        <w:tc>
          <w:tcPr>
            <w:tcW w:w="1300" w:type="dxa"/>
            <w:tcBorders>
              <w:top w:val="single" w:sz="12" w:space="0" w:color="auto"/>
              <w:bottom w:val="single" w:sz="12" w:space="0" w:color="auto"/>
            </w:tcBorders>
            <w:shd w:val="clear" w:color="auto" w:fill="auto"/>
            <w:vAlign w:val="center"/>
            <w:hideMark/>
          </w:tcPr>
          <w:p w14:paraId="72C559BE" w14:textId="77777777" w:rsidR="00F0236A" w:rsidRPr="00073574" w:rsidRDefault="00F0236A" w:rsidP="00DF36E1">
            <w:pPr>
              <w:pStyle w:val="Tablehead"/>
              <w:rPr>
                <w:sz w:val="24"/>
                <w:szCs w:val="24"/>
              </w:rPr>
            </w:pPr>
            <w:r w:rsidRPr="00073574">
              <w:rPr>
                <w:sz w:val="24"/>
                <w:szCs w:val="24"/>
              </w:rPr>
              <w:t>Milestone</w:t>
            </w:r>
          </w:p>
        </w:tc>
        <w:tc>
          <w:tcPr>
            <w:tcW w:w="1146" w:type="dxa"/>
            <w:tcBorders>
              <w:top w:val="single" w:sz="12" w:space="0" w:color="auto"/>
              <w:bottom w:val="single" w:sz="12" w:space="0" w:color="auto"/>
            </w:tcBorders>
            <w:shd w:val="clear" w:color="auto" w:fill="auto"/>
          </w:tcPr>
          <w:p w14:paraId="1810CA08" w14:textId="77777777" w:rsidR="00F0236A" w:rsidRPr="00073574" w:rsidRDefault="00F0236A" w:rsidP="00DF36E1">
            <w:pPr>
              <w:pStyle w:val="Tablehead"/>
              <w:rPr>
                <w:sz w:val="24"/>
                <w:szCs w:val="24"/>
              </w:rPr>
            </w:pPr>
            <w:r w:rsidRPr="00073574">
              <w:rPr>
                <w:sz w:val="24"/>
                <w:szCs w:val="24"/>
              </w:rPr>
              <w:t>Periodic goals met</w:t>
            </w:r>
          </w:p>
        </w:tc>
        <w:tc>
          <w:tcPr>
            <w:tcW w:w="1336" w:type="dxa"/>
            <w:tcBorders>
              <w:top w:val="single" w:sz="12" w:space="0" w:color="auto"/>
              <w:bottom w:val="single" w:sz="12" w:space="0" w:color="auto"/>
            </w:tcBorders>
            <w:shd w:val="clear" w:color="auto" w:fill="auto"/>
            <w:vAlign w:val="center"/>
          </w:tcPr>
          <w:p w14:paraId="5723600F" w14:textId="77777777" w:rsidR="00F0236A" w:rsidRPr="00073574" w:rsidRDefault="00F0236A" w:rsidP="00DF36E1">
            <w:pPr>
              <w:pStyle w:val="Tablehead"/>
              <w:rPr>
                <w:sz w:val="24"/>
                <w:szCs w:val="24"/>
              </w:rPr>
            </w:pPr>
            <w:r w:rsidRPr="00073574">
              <w:rPr>
                <w:sz w:val="24"/>
                <w:szCs w:val="24"/>
              </w:rPr>
              <w:t>Completed</w:t>
            </w:r>
          </w:p>
        </w:tc>
      </w:tr>
      <w:tr w:rsidR="00F0236A" w:rsidRPr="00073574" w14:paraId="3E95D12D" w14:textId="77777777" w:rsidTr="7277BFE4">
        <w:trPr>
          <w:cantSplit/>
          <w:jc w:val="center"/>
        </w:trPr>
        <w:tc>
          <w:tcPr>
            <w:tcW w:w="1135" w:type="dxa"/>
            <w:vMerge w:val="restart"/>
            <w:tcBorders>
              <w:top w:val="single" w:sz="12" w:space="0" w:color="auto"/>
            </w:tcBorders>
            <w:shd w:val="clear" w:color="auto" w:fill="auto"/>
          </w:tcPr>
          <w:p w14:paraId="57017145" w14:textId="77777777" w:rsidR="00F0236A" w:rsidRPr="00073574" w:rsidRDefault="00F0236A" w:rsidP="00DF36E1">
            <w:pPr>
              <w:pStyle w:val="Tabletext"/>
              <w:rPr>
                <w:b/>
                <w:bCs/>
                <w:sz w:val="24"/>
                <w:szCs w:val="24"/>
              </w:rPr>
            </w:pPr>
            <w:r w:rsidRPr="00073574">
              <w:rPr>
                <w:b/>
                <w:bCs/>
                <w:sz w:val="24"/>
                <w:szCs w:val="24"/>
              </w:rPr>
              <w:t>79-01</w:t>
            </w:r>
          </w:p>
        </w:tc>
        <w:tc>
          <w:tcPr>
            <w:tcW w:w="5015" w:type="dxa"/>
            <w:tcBorders>
              <w:top w:val="single" w:sz="12" w:space="0" w:color="auto"/>
              <w:bottom w:val="single" w:sz="2" w:space="0" w:color="auto"/>
            </w:tcBorders>
            <w:shd w:val="clear" w:color="auto" w:fill="auto"/>
            <w:hideMark/>
          </w:tcPr>
          <w:p w14:paraId="6D633597" w14:textId="77777777" w:rsidR="00F0236A" w:rsidRPr="00073574" w:rsidRDefault="00F0236A" w:rsidP="00DF36E1">
            <w:pPr>
              <w:pStyle w:val="Tabletext"/>
              <w:rPr>
                <w:b/>
                <w:bCs/>
                <w:sz w:val="24"/>
                <w:szCs w:val="24"/>
              </w:rPr>
            </w:pPr>
            <w:r w:rsidRPr="00073574">
              <w:rPr>
                <w:b/>
                <w:bCs/>
                <w:sz w:val="24"/>
                <w:szCs w:val="24"/>
              </w:rPr>
              <w:t>TSB Director, in collaboration with BDT Director, to develop ITU activities to handle, control and treat e-waste of telecommunication and IT equipment (resolves 1)</w:t>
            </w:r>
          </w:p>
        </w:tc>
        <w:tc>
          <w:tcPr>
            <w:tcW w:w="1300" w:type="dxa"/>
            <w:tcBorders>
              <w:top w:val="single" w:sz="12" w:space="0" w:color="auto"/>
              <w:bottom w:val="single" w:sz="2" w:space="0" w:color="auto"/>
            </w:tcBorders>
            <w:shd w:val="clear" w:color="auto" w:fill="auto"/>
            <w:vAlign w:val="center"/>
          </w:tcPr>
          <w:p w14:paraId="120BC450"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46" w:type="dxa"/>
            <w:tcBorders>
              <w:top w:val="single" w:sz="12" w:space="0" w:color="auto"/>
              <w:bottom w:val="single" w:sz="2" w:space="0" w:color="auto"/>
            </w:tcBorders>
            <w:shd w:val="clear" w:color="auto" w:fill="auto"/>
            <w:vAlign w:val="center"/>
          </w:tcPr>
          <w:p w14:paraId="6876FE9C" w14:textId="233D5FBE" w:rsidR="00F0236A" w:rsidRPr="00073574" w:rsidRDefault="008B46FD" w:rsidP="00DF36E1">
            <w:pPr>
              <w:pStyle w:val="Tabletext"/>
              <w:jc w:val="center"/>
              <w:rPr>
                <w:b/>
                <w:bCs/>
                <w:sz w:val="24"/>
                <w:szCs w:val="24"/>
              </w:rPr>
            </w:pPr>
            <w:r w:rsidRPr="00073574">
              <w:rPr>
                <w:b/>
                <w:bCs/>
                <w:sz w:val="24"/>
                <w:szCs w:val="24"/>
              </w:rPr>
              <w:t>√</w:t>
            </w:r>
          </w:p>
        </w:tc>
        <w:tc>
          <w:tcPr>
            <w:tcW w:w="1336" w:type="dxa"/>
            <w:tcBorders>
              <w:top w:val="single" w:sz="12" w:space="0" w:color="auto"/>
              <w:bottom w:val="single" w:sz="2" w:space="0" w:color="auto"/>
            </w:tcBorders>
            <w:shd w:val="clear" w:color="auto" w:fill="auto"/>
            <w:vAlign w:val="center"/>
          </w:tcPr>
          <w:p w14:paraId="3812A6CD" w14:textId="77777777" w:rsidR="00F0236A" w:rsidRPr="00073574" w:rsidRDefault="00F0236A" w:rsidP="00DF36E1">
            <w:pPr>
              <w:pStyle w:val="Tabletext"/>
              <w:jc w:val="center"/>
              <w:rPr>
                <w:b/>
                <w:bCs/>
                <w:sz w:val="24"/>
                <w:szCs w:val="24"/>
              </w:rPr>
            </w:pPr>
          </w:p>
        </w:tc>
      </w:tr>
      <w:tr w:rsidR="00F0236A" w:rsidRPr="00073574" w14:paraId="2E11D435" w14:textId="77777777" w:rsidTr="7277BFE4">
        <w:trPr>
          <w:cantSplit/>
          <w:jc w:val="center"/>
        </w:trPr>
        <w:tc>
          <w:tcPr>
            <w:tcW w:w="1135" w:type="dxa"/>
            <w:vMerge/>
          </w:tcPr>
          <w:p w14:paraId="148688DC" w14:textId="77777777" w:rsidR="00F0236A" w:rsidRPr="00073574" w:rsidRDefault="00F0236A" w:rsidP="00DF36E1">
            <w:pPr>
              <w:pStyle w:val="Tabletext"/>
              <w:rPr>
                <w:sz w:val="24"/>
                <w:szCs w:val="24"/>
              </w:rPr>
            </w:pPr>
          </w:p>
        </w:tc>
        <w:tc>
          <w:tcPr>
            <w:tcW w:w="8797" w:type="dxa"/>
            <w:gridSpan w:val="4"/>
            <w:tcBorders>
              <w:top w:val="single" w:sz="2" w:space="0" w:color="auto"/>
              <w:bottom w:val="single" w:sz="12" w:space="0" w:color="auto"/>
            </w:tcBorders>
            <w:shd w:val="clear" w:color="auto" w:fill="auto"/>
          </w:tcPr>
          <w:p w14:paraId="083D2DC7" w14:textId="24A68032" w:rsidR="008B46FD" w:rsidRPr="00073574" w:rsidRDefault="008B46FD" w:rsidP="008906C1">
            <w:pPr>
              <w:pStyle w:val="Tabletext"/>
              <w:rPr>
                <w:szCs w:val="22"/>
              </w:rPr>
            </w:pPr>
            <w:r w:rsidRPr="00073574">
              <w:rPr>
                <w:szCs w:val="22"/>
              </w:rPr>
              <w:t xml:space="preserve">The </w:t>
            </w:r>
            <w:hyperlink r:id="rId692" w:history="1">
              <w:r w:rsidRPr="00073574">
                <w:rPr>
                  <w:rStyle w:val="Hyperlink"/>
                  <w:szCs w:val="22"/>
                </w:rPr>
                <w:t>ITU-T, Environment, Climate Change and Circular Economy</w:t>
              </w:r>
            </w:hyperlink>
            <w:r w:rsidRPr="00073574">
              <w:rPr>
                <w:szCs w:val="22"/>
              </w:rPr>
              <w:t xml:space="preserve"> portal </w:t>
            </w:r>
            <w:r w:rsidR="008906C1" w:rsidRPr="00073574">
              <w:rPr>
                <w:szCs w:val="22"/>
              </w:rPr>
              <w:t>features reports, events such as the Green Standards Week, material for training, and activities on e-waste and circular economy.</w:t>
            </w:r>
          </w:p>
        </w:tc>
      </w:tr>
      <w:tr w:rsidR="00F0236A" w:rsidRPr="00073574" w14:paraId="1E7D03C8" w14:textId="77777777" w:rsidTr="7277BFE4">
        <w:trPr>
          <w:cantSplit/>
          <w:jc w:val="center"/>
        </w:trPr>
        <w:tc>
          <w:tcPr>
            <w:tcW w:w="1135" w:type="dxa"/>
            <w:vMerge w:val="restart"/>
            <w:tcBorders>
              <w:top w:val="single" w:sz="12" w:space="0" w:color="auto"/>
            </w:tcBorders>
            <w:shd w:val="clear" w:color="auto" w:fill="auto"/>
          </w:tcPr>
          <w:p w14:paraId="7D06AF78" w14:textId="77777777" w:rsidR="00F0236A" w:rsidRPr="00073574" w:rsidRDefault="00F0236A" w:rsidP="00C3461B">
            <w:pPr>
              <w:pStyle w:val="Tabletext"/>
              <w:rPr>
                <w:b/>
                <w:bCs/>
                <w:sz w:val="24"/>
                <w:szCs w:val="24"/>
              </w:rPr>
            </w:pPr>
            <w:r w:rsidRPr="00073574">
              <w:rPr>
                <w:b/>
                <w:bCs/>
                <w:sz w:val="24"/>
                <w:szCs w:val="24"/>
              </w:rPr>
              <w:t>79-02</w:t>
            </w:r>
          </w:p>
        </w:tc>
        <w:tc>
          <w:tcPr>
            <w:tcW w:w="5015" w:type="dxa"/>
            <w:tcBorders>
              <w:top w:val="single" w:sz="12" w:space="0" w:color="auto"/>
            </w:tcBorders>
            <w:shd w:val="clear" w:color="auto" w:fill="auto"/>
          </w:tcPr>
          <w:p w14:paraId="048693F8" w14:textId="77777777" w:rsidR="00F0236A" w:rsidRPr="00073574" w:rsidRDefault="00F0236A" w:rsidP="00C3461B">
            <w:pPr>
              <w:pStyle w:val="Tabletext"/>
              <w:rPr>
                <w:b/>
                <w:bCs/>
                <w:sz w:val="24"/>
                <w:szCs w:val="24"/>
              </w:rPr>
            </w:pPr>
            <w:r w:rsidRPr="00073574">
              <w:rPr>
                <w:b/>
                <w:bCs/>
                <w:sz w:val="24"/>
                <w:szCs w:val="24"/>
              </w:rPr>
              <w:t>TSB Director, in collaboration with BDT Director, to assist developing countries to undertake proper assessment of the size of e-waste (resolves 2)</w:t>
            </w:r>
          </w:p>
        </w:tc>
        <w:tc>
          <w:tcPr>
            <w:tcW w:w="1300" w:type="dxa"/>
            <w:tcBorders>
              <w:top w:val="single" w:sz="12" w:space="0" w:color="auto"/>
            </w:tcBorders>
            <w:shd w:val="clear" w:color="auto" w:fill="auto"/>
            <w:vAlign w:val="center"/>
          </w:tcPr>
          <w:p w14:paraId="39E750DC" w14:textId="77777777" w:rsidR="00F0236A" w:rsidRPr="00073574" w:rsidRDefault="00F0236A" w:rsidP="00C3461B">
            <w:pPr>
              <w:pStyle w:val="Tabletext"/>
              <w:jc w:val="center"/>
              <w:rPr>
                <w:b/>
                <w:bCs/>
                <w:sz w:val="24"/>
                <w:szCs w:val="24"/>
              </w:rPr>
            </w:pPr>
            <w:r w:rsidRPr="00073574">
              <w:rPr>
                <w:b/>
                <w:bCs/>
                <w:sz w:val="24"/>
                <w:szCs w:val="24"/>
              </w:rPr>
              <w:t>Ongoing</w:t>
            </w:r>
          </w:p>
        </w:tc>
        <w:tc>
          <w:tcPr>
            <w:tcW w:w="1146" w:type="dxa"/>
            <w:tcBorders>
              <w:top w:val="single" w:sz="12" w:space="0" w:color="auto"/>
            </w:tcBorders>
            <w:shd w:val="clear" w:color="auto" w:fill="auto"/>
            <w:vAlign w:val="center"/>
          </w:tcPr>
          <w:p w14:paraId="7A15D180" w14:textId="77777777" w:rsidR="00F0236A" w:rsidRPr="00073574" w:rsidRDefault="00F0236A" w:rsidP="00C3461B">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32130394" w14:textId="77777777" w:rsidR="00F0236A" w:rsidRPr="00073574" w:rsidRDefault="00F0236A" w:rsidP="00C3461B">
            <w:pPr>
              <w:pStyle w:val="Tabletext"/>
              <w:jc w:val="center"/>
              <w:rPr>
                <w:b/>
                <w:bCs/>
                <w:sz w:val="24"/>
                <w:szCs w:val="24"/>
              </w:rPr>
            </w:pPr>
          </w:p>
        </w:tc>
      </w:tr>
      <w:tr w:rsidR="00F0236A" w:rsidRPr="00073574" w14:paraId="0F90C40A" w14:textId="77777777" w:rsidTr="00C3461B">
        <w:trPr>
          <w:jc w:val="center"/>
        </w:trPr>
        <w:tc>
          <w:tcPr>
            <w:tcW w:w="1135" w:type="dxa"/>
            <w:vMerge/>
          </w:tcPr>
          <w:p w14:paraId="3D06E048" w14:textId="77777777" w:rsidR="00F0236A" w:rsidRPr="00073574" w:rsidRDefault="00F0236A" w:rsidP="00C3461B">
            <w:pPr>
              <w:pStyle w:val="Tabletext"/>
              <w:rPr>
                <w:sz w:val="24"/>
                <w:szCs w:val="24"/>
              </w:rPr>
            </w:pPr>
          </w:p>
        </w:tc>
        <w:tc>
          <w:tcPr>
            <w:tcW w:w="8797" w:type="dxa"/>
            <w:gridSpan w:val="4"/>
            <w:tcBorders>
              <w:bottom w:val="single" w:sz="12" w:space="0" w:color="auto"/>
            </w:tcBorders>
            <w:shd w:val="clear" w:color="auto" w:fill="auto"/>
          </w:tcPr>
          <w:p w14:paraId="4BD6EEB7" w14:textId="7D3A431F" w:rsidR="00F0236A" w:rsidRPr="00073574" w:rsidRDefault="00F0236A" w:rsidP="00C3461B">
            <w:pPr>
              <w:pStyle w:val="Tabletext"/>
              <w:rPr>
                <w:szCs w:val="22"/>
              </w:rPr>
            </w:pPr>
            <w:r w:rsidRPr="00073574">
              <w:rPr>
                <w:szCs w:val="22"/>
              </w:rPr>
              <w:t xml:space="preserve">ITU-T SG5 together with UNIDO </w:t>
            </w:r>
            <w:r w:rsidR="001F4E92" w:rsidRPr="00073574">
              <w:rPr>
                <w:szCs w:val="22"/>
              </w:rPr>
              <w:t>started</w:t>
            </w:r>
            <w:r w:rsidRPr="00073574">
              <w:rPr>
                <w:szCs w:val="22"/>
              </w:rPr>
              <w:t xml:space="preserve"> the implementation of the project </w:t>
            </w:r>
            <w:r w:rsidR="002D4D1F" w:rsidRPr="00073574">
              <w:rPr>
                <w:szCs w:val="22"/>
              </w:rPr>
              <w:t>“</w:t>
            </w:r>
            <w:r w:rsidRPr="00073574">
              <w:rPr>
                <w:szCs w:val="22"/>
              </w:rPr>
              <w:t>Strengthening of National Initiatives and Enhancement of Regional Cooperation for the Environmentally Sound Management of POPs in Waste of Electronic or Electrical Equipment (WEEE) in Latin-American Countries.</w:t>
            </w:r>
            <w:r w:rsidR="00CE728C" w:rsidRPr="00073574">
              <w:rPr>
                <w:szCs w:val="22"/>
              </w:rPr>
              <w:t xml:space="preserve"> As part of this project, ITU-T developed one case study on the implementation of Recommendation ITU-T L.1031 “Guideline for achieving the e-waste targets of the Connect 2030 Agenda” and Recommendation ITU-T L.1032 “Guidelines and certification schemes for e-waste recyclers” in Costa Rica.</w:t>
            </w:r>
          </w:p>
        </w:tc>
      </w:tr>
      <w:tr w:rsidR="00F0236A" w:rsidRPr="00073574" w14:paraId="7DEB5C29" w14:textId="77777777" w:rsidTr="7277BFE4">
        <w:trPr>
          <w:jc w:val="center"/>
        </w:trPr>
        <w:tc>
          <w:tcPr>
            <w:tcW w:w="1135" w:type="dxa"/>
            <w:vMerge w:val="restart"/>
            <w:tcBorders>
              <w:top w:val="single" w:sz="12" w:space="0" w:color="auto"/>
            </w:tcBorders>
            <w:shd w:val="clear" w:color="auto" w:fill="auto"/>
          </w:tcPr>
          <w:p w14:paraId="3FBD7A24" w14:textId="77777777" w:rsidR="00F0236A" w:rsidRPr="00073574" w:rsidRDefault="00F0236A" w:rsidP="007D22B2">
            <w:pPr>
              <w:pStyle w:val="Tabletext"/>
              <w:rPr>
                <w:b/>
                <w:bCs/>
                <w:sz w:val="24"/>
                <w:szCs w:val="24"/>
              </w:rPr>
            </w:pPr>
            <w:r w:rsidRPr="00073574">
              <w:rPr>
                <w:b/>
                <w:bCs/>
                <w:sz w:val="24"/>
                <w:szCs w:val="24"/>
              </w:rPr>
              <w:lastRenderedPageBreak/>
              <w:t>79-03</w:t>
            </w:r>
          </w:p>
        </w:tc>
        <w:tc>
          <w:tcPr>
            <w:tcW w:w="5015" w:type="dxa"/>
            <w:tcBorders>
              <w:top w:val="single" w:sz="12" w:space="0" w:color="auto"/>
            </w:tcBorders>
            <w:shd w:val="clear" w:color="auto" w:fill="auto"/>
            <w:hideMark/>
          </w:tcPr>
          <w:p w14:paraId="63038DFE" w14:textId="77777777" w:rsidR="00F0236A" w:rsidRPr="00073574" w:rsidRDefault="00F0236A" w:rsidP="00DF36E1">
            <w:pPr>
              <w:pStyle w:val="Tabletext"/>
              <w:rPr>
                <w:b/>
                <w:bCs/>
                <w:sz w:val="24"/>
                <w:szCs w:val="24"/>
              </w:rPr>
            </w:pPr>
            <w:r w:rsidRPr="00073574">
              <w:rPr>
                <w:b/>
                <w:bCs/>
                <w:sz w:val="24"/>
                <w:szCs w:val="24"/>
              </w:rPr>
              <w:t>TSB Director, in collaboration with BDT Director, to organize seminars and workshops for developing countries and gauge their needs for e-waste (resolves 5)</w:t>
            </w:r>
          </w:p>
        </w:tc>
        <w:tc>
          <w:tcPr>
            <w:tcW w:w="1300" w:type="dxa"/>
            <w:tcBorders>
              <w:top w:val="single" w:sz="12" w:space="0" w:color="auto"/>
            </w:tcBorders>
            <w:shd w:val="clear" w:color="auto" w:fill="auto"/>
            <w:vAlign w:val="center"/>
          </w:tcPr>
          <w:p w14:paraId="1A6B3E17"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46" w:type="dxa"/>
            <w:tcBorders>
              <w:top w:val="single" w:sz="12" w:space="0" w:color="auto"/>
            </w:tcBorders>
            <w:shd w:val="clear" w:color="auto" w:fill="auto"/>
            <w:vAlign w:val="center"/>
          </w:tcPr>
          <w:p w14:paraId="1F39B2A7"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03877049" w14:textId="77777777" w:rsidR="00F0236A" w:rsidRPr="00073574" w:rsidRDefault="00F0236A" w:rsidP="00DF36E1">
            <w:pPr>
              <w:pStyle w:val="Tabletext"/>
              <w:jc w:val="center"/>
              <w:rPr>
                <w:b/>
                <w:bCs/>
                <w:sz w:val="24"/>
                <w:szCs w:val="24"/>
              </w:rPr>
            </w:pPr>
          </w:p>
        </w:tc>
      </w:tr>
      <w:tr w:rsidR="00F0236A" w:rsidRPr="00073574" w14:paraId="3C131D8E" w14:textId="77777777" w:rsidTr="7277BFE4">
        <w:trPr>
          <w:jc w:val="center"/>
        </w:trPr>
        <w:tc>
          <w:tcPr>
            <w:tcW w:w="1135" w:type="dxa"/>
            <w:vMerge/>
          </w:tcPr>
          <w:p w14:paraId="493B8136" w14:textId="77777777" w:rsidR="00F0236A" w:rsidRPr="00073574" w:rsidRDefault="00F0236A" w:rsidP="00DF36E1">
            <w:pPr>
              <w:pStyle w:val="Tabletext"/>
              <w:rPr>
                <w:sz w:val="24"/>
                <w:szCs w:val="24"/>
              </w:rPr>
            </w:pPr>
          </w:p>
        </w:tc>
        <w:tc>
          <w:tcPr>
            <w:tcW w:w="8797" w:type="dxa"/>
            <w:gridSpan w:val="4"/>
            <w:tcBorders>
              <w:bottom w:val="single" w:sz="12" w:space="0" w:color="auto"/>
            </w:tcBorders>
            <w:shd w:val="clear" w:color="auto" w:fill="auto"/>
          </w:tcPr>
          <w:p w14:paraId="68412FCE" w14:textId="5F91F1B3" w:rsidR="00F0236A" w:rsidRPr="00073574" w:rsidRDefault="00F0236A" w:rsidP="00DF36E1">
            <w:pPr>
              <w:pStyle w:val="Tabletext"/>
              <w:rPr>
                <w:szCs w:val="22"/>
              </w:rPr>
            </w:pPr>
            <w:r w:rsidRPr="00073574">
              <w:rPr>
                <w:szCs w:val="22"/>
              </w:rPr>
              <w:t xml:space="preserve">A Forum on </w:t>
            </w:r>
            <w:r w:rsidR="002D4D1F" w:rsidRPr="00073574">
              <w:rPr>
                <w:szCs w:val="22"/>
              </w:rPr>
              <w:t>“</w:t>
            </w:r>
            <w:r w:rsidRPr="00073574">
              <w:rPr>
                <w:szCs w:val="22"/>
              </w:rPr>
              <w:t>Environment, climate change and circular economy</w:t>
            </w:r>
            <w:r w:rsidR="002D4D1F" w:rsidRPr="00073574">
              <w:rPr>
                <w:szCs w:val="22"/>
              </w:rPr>
              <w:t>”</w:t>
            </w:r>
            <w:r w:rsidRPr="00073574">
              <w:rPr>
                <w:szCs w:val="22"/>
              </w:rPr>
              <w:t xml:space="preserve"> was held on 4 and 5 April 2017 in Manizales, Colombia.</w:t>
            </w:r>
          </w:p>
          <w:p w14:paraId="19119923" w14:textId="0A46069E" w:rsidR="00E00D6B" w:rsidRPr="00073574" w:rsidRDefault="00E00D6B" w:rsidP="00DF36E1">
            <w:pPr>
              <w:pStyle w:val="Tabletext"/>
              <w:rPr>
                <w:szCs w:val="22"/>
              </w:rPr>
            </w:pPr>
            <w:r w:rsidRPr="00073574">
              <w:rPr>
                <w:szCs w:val="22"/>
              </w:rPr>
              <w:t>A workshop on “The role of International Standards and of the Basel Convention in tackling e-waste and achieving a Circular Economy” was held on 23 March 2018 in Geneva, Switzerland.</w:t>
            </w:r>
          </w:p>
          <w:p w14:paraId="57B46BA5" w14:textId="7D9CCFB8" w:rsidR="00482E5F" w:rsidRPr="00073574" w:rsidRDefault="00482E5F" w:rsidP="00E00D6B">
            <w:pPr>
              <w:pStyle w:val="Tabletext"/>
              <w:rPr>
                <w:szCs w:val="22"/>
              </w:rPr>
            </w:pPr>
            <w:r w:rsidRPr="00073574">
              <w:rPr>
                <w:szCs w:val="22"/>
              </w:rPr>
              <w:t>The 12</w:t>
            </w:r>
            <w:r w:rsidR="00474531">
              <w:rPr>
                <w:szCs w:val="22"/>
              </w:rPr>
              <w:t>th</w:t>
            </w:r>
            <w:r w:rsidRPr="00073574">
              <w:rPr>
                <w:szCs w:val="22"/>
              </w:rPr>
              <w:t xml:space="preserve"> ITU Symposium on ICT, Environment and Climate Change </w:t>
            </w:r>
            <w:r w:rsidR="00E00D6B" w:rsidRPr="00073574">
              <w:rPr>
                <w:szCs w:val="22"/>
              </w:rPr>
              <w:t>was</w:t>
            </w:r>
            <w:r w:rsidRPr="00073574">
              <w:rPr>
                <w:szCs w:val="22"/>
              </w:rPr>
              <w:t xml:space="preserve"> held on 9 April 2018 in Zanzibar, Tanzania.</w:t>
            </w:r>
          </w:p>
          <w:p w14:paraId="3E04044B" w14:textId="6E7E523F" w:rsidR="003D12CB" w:rsidRPr="00073574" w:rsidRDefault="003D12CB" w:rsidP="00E00D6B">
            <w:pPr>
              <w:pStyle w:val="Tabletext"/>
              <w:rPr>
                <w:szCs w:val="22"/>
              </w:rPr>
            </w:pPr>
            <w:r w:rsidRPr="00073574">
              <w:rPr>
                <w:szCs w:val="22"/>
              </w:rPr>
              <w:t xml:space="preserve">A </w:t>
            </w:r>
            <w:hyperlink r:id="rId693" w:history="1">
              <w:r w:rsidRPr="00073574">
                <w:rPr>
                  <w:rStyle w:val="Hyperlink"/>
                  <w:szCs w:val="22"/>
                </w:rPr>
                <w:t>Thematic Workshop on Connecting the Circular model of E-waste Management to the Sustainable Development Goals</w:t>
              </w:r>
            </w:hyperlink>
            <w:r w:rsidRPr="00073574">
              <w:rPr>
                <w:szCs w:val="22"/>
              </w:rPr>
              <w:t xml:space="preserve"> was held on 11 April 2019 in Geneva, Switzerland.</w:t>
            </w:r>
          </w:p>
          <w:p w14:paraId="0AD40599" w14:textId="7B752929" w:rsidR="00257794" w:rsidRPr="00073574" w:rsidRDefault="00257794" w:rsidP="00E00D6B">
            <w:pPr>
              <w:pStyle w:val="Tabletext"/>
              <w:rPr>
                <w:szCs w:val="22"/>
              </w:rPr>
            </w:pPr>
            <w:r w:rsidRPr="00073574">
              <w:rPr>
                <w:szCs w:val="22"/>
              </w:rPr>
              <w:t>The 13</w:t>
            </w:r>
            <w:r w:rsidR="00474531">
              <w:rPr>
                <w:szCs w:val="22"/>
              </w:rPr>
              <w:t>th</w:t>
            </w:r>
            <w:r w:rsidRPr="00073574">
              <w:rPr>
                <w:szCs w:val="22"/>
              </w:rPr>
              <w:t xml:space="preserve"> Symposium on ICT, Environment and Climate Change was organized on 13 May 2019 in Geneva, Switzerland.</w:t>
            </w:r>
          </w:p>
          <w:p w14:paraId="6588D620" w14:textId="66339FDF" w:rsidR="00257794" w:rsidRPr="00073574" w:rsidRDefault="00257794" w:rsidP="00E00D6B">
            <w:pPr>
              <w:pStyle w:val="Tabletext"/>
              <w:rPr>
                <w:szCs w:val="22"/>
              </w:rPr>
            </w:pPr>
            <w:r w:rsidRPr="00073574">
              <w:rPr>
                <w:szCs w:val="22"/>
              </w:rPr>
              <w:t>A Forum on Smart Sustainable Africa w</w:t>
            </w:r>
            <w:r w:rsidR="0089259D" w:rsidRPr="00073574">
              <w:rPr>
                <w:szCs w:val="22"/>
              </w:rPr>
              <w:t>as</w:t>
            </w:r>
            <w:r w:rsidRPr="00073574">
              <w:rPr>
                <w:szCs w:val="22"/>
              </w:rPr>
              <w:t xml:space="preserve"> held on 28 August 2019 and a Training on E-waste management and Circular Economy </w:t>
            </w:r>
            <w:r w:rsidR="0049722A" w:rsidRPr="00073574">
              <w:rPr>
                <w:szCs w:val="22"/>
              </w:rPr>
              <w:t>was</w:t>
            </w:r>
            <w:r w:rsidRPr="00073574">
              <w:rPr>
                <w:szCs w:val="22"/>
              </w:rPr>
              <w:t xml:space="preserve"> held on 30 August 2019. Both events will take place during the 1</w:t>
            </w:r>
            <w:r w:rsidR="00474531">
              <w:rPr>
                <w:szCs w:val="22"/>
              </w:rPr>
              <w:t>st</w:t>
            </w:r>
            <w:r w:rsidRPr="00073574">
              <w:rPr>
                <w:szCs w:val="22"/>
              </w:rPr>
              <w:t xml:space="preserve"> Digital African Week in Abuja, Nigeria.</w:t>
            </w:r>
          </w:p>
          <w:p w14:paraId="4B64DFC3" w14:textId="784BB5A6" w:rsidR="003D12CB" w:rsidRPr="00073574" w:rsidRDefault="1A8FE9FD" w:rsidP="00CE728C">
            <w:pPr>
              <w:numPr>
                <w:ilvl w:val="0"/>
                <w:numId w:val="65"/>
              </w:numPr>
              <w:shd w:val="clear" w:color="auto" w:fill="FFFFFF" w:themeFill="background1"/>
              <w:spacing w:before="40" w:after="40"/>
              <w:textAlignment w:val="baseline"/>
              <w:rPr>
                <w:rFonts w:eastAsia="Times New Roman"/>
                <w:lang w:eastAsia="en-GB"/>
              </w:rPr>
            </w:pPr>
            <w:r w:rsidRPr="00073574">
              <w:t xml:space="preserve">A </w:t>
            </w:r>
            <w:hyperlink r:id="rId694" w:history="1">
              <w:r w:rsidRPr="00073574">
                <w:rPr>
                  <w:rStyle w:val="Hyperlink"/>
                  <w:color w:val="3789BD"/>
                  <w:bdr w:val="none" w:sz="0" w:space="0" w:color="auto" w:frame="1"/>
                </w:rPr>
                <w:t xml:space="preserve">Forum on </w:t>
              </w:r>
              <w:r w:rsidR="002D4D1F" w:rsidRPr="00073574">
                <w:rPr>
                  <w:rStyle w:val="Hyperlink"/>
                  <w:color w:val="3789BD"/>
                  <w:bdr w:val="none" w:sz="0" w:space="0" w:color="auto" w:frame="1"/>
                </w:rPr>
                <w:t>“</w:t>
              </w:r>
              <w:r w:rsidRPr="00073574">
                <w:rPr>
                  <w:rStyle w:val="Hyperlink"/>
                  <w:color w:val="3789BD"/>
                  <w:bdr w:val="none" w:sz="0" w:space="0" w:color="auto" w:frame="1"/>
                </w:rPr>
                <w:t>Frontier Technologies to Tackle Climate Change and Achieve a Circular Economy</w:t>
              </w:r>
              <w:r w:rsidR="002D4D1F" w:rsidRPr="00073574">
                <w:rPr>
                  <w:rStyle w:val="Hyperlink"/>
                  <w:color w:val="3789BD"/>
                  <w:bdr w:val="none" w:sz="0" w:space="0" w:color="auto" w:frame="1"/>
                </w:rPr>
                <w:t>”</w:t>
              </w:r>
            </w:hyperlink>
            <w:r w:rsidRPr="00073574">
              <w:rPr>
                <w:color w:val="444444"/>
              </w:rPr>
              <w:t xml:space="preserve"> </w:t>
            </w:r>
            <w:r w:rsidR="5E61530E" w:rsidRPr="00073574">
              <w:t>was</w:t>
            </w:r>
            <w:r w:rsidRPr="00073574">
              <w:t xml:space="preserve"> on 1 October 2019 in Valencia, Spain. This Forum </w:t>
            </w:r>
            <w:r w:rsidR="5E61530E" w:rsidRPr="00073574">
              <w:t>took</w:t>
            </w:r>
            <w:r w:rsidRPr="00073574">
              <w:t xml:space="preserve"> place during the 9</w:t>
            </w:r>
            <w:r w:rsidRPr="00073574">
              <w:rPr>
                <w:vertAlign w:val="superscript"/>
              </w:rPr>
              <w:t>th</w:t>
            </w:r>
            <w:r w:rsidRPr="00073574">
              <w:t xml:space="preserve"> Green Standards Week.</w:t>
            </w:r>
          </w:p>
          <w:p w14:paraId="4F5BDF80" w14:textId="0B848AE2" w:rsidR="003D12CB" w:rsidRPr="00073574" w:rsidRDefault="1F445F01" w:rsidP="00CE728C">
            <w:pPr>
              <w:numPr>
                <w:ilvl w:val="0"/>
                <w:numId w:val="65"/>
              </w:numPr>
              <w:shd w:val="clear" w:color="auto" w:fill="FFFFFF" w:themeFill="background1"/>
              <w:spacing w:before="40" w:after="40"/>
              <w:textAlignment w:val="baseline"/>
              <w:rPr>
                <w:color w:val="444444"/>
                <w:lang w:eastAsia="en-GB"/>
              </w:rPr>
            </w:pPr>
            <w:r w:rsidRPr="00073574">
              <w:t xml:space="preserve">A </w:t>
            </w:r>
            <w:r w:rsidR="78C9BE06" w:rsidRPr="00073574">
              <w:t>webinar on</w:t>
            </w:r>
            <w:r w:rsidR="771205DC" w:rsidRPr="00073574">
              <w:t xml:space="preserve"> “Using International Standards to tackle the e-waste challenge</w:t>
            </w:r>
            <w:r w:rsidR="002D4D1F" w:rsidRPr="00073574">
              <w:t>”</w:t>
            </w:r>
            <w:r w:rsidR="771205DC" w:rsidRPr="00073574">
              <w:t xml:space="preserve"> </w:t>
            </w:r>
            <w:r w:rsidR="2911BD4B" w:rsidRPr="00073574">
              <w:t xml:space="preserve">was held </w:t>
            </w:r>
            <w:r w:rsidR="771205DC" w:rsidRPr="00073574">
              <w:t>on 1 and 2 April 2020</w:t>
            </w:r>
            <w:r w:rsidR="773CC4F1" w:rsidRPr="00073574">
              <w:t>. Another webinar on Explore a circular vision for the ICT sector was held on 14 and 16 April 2020.</w:t>
            </w:r>
          </w:p>
          <w:p w14:paraId="0C1B1EE5" w14:textId="3F244AD6" w:rsidR="0000330B" w:rsidRPr="00073574" w:rsidRDefault="00C14CBF" w:rsidP="00CE728C">
            <w:pPr>
              <w:numPr>
                <w:ilvl w:val="0"/>
                <w:numId w:val="65"/>
              </w:numPr>
              <w:shd w:val="clear" w:color="auto" w:fill="FFFFFF" w:themeFill="background1"/>
              <w:spacing w:before="40" w:after="40"/>
              <w:textAlignment w:val="baseline"/>
              <w:rPr>
                <w:color w:val="444444"/>
                <w:lang w:eastAsia="en-GB"/>
              </w:rPr>
            </w:pPr>
            <w:r w:rsidRPr="00073574">
              <w:rPr>
                <w:color w:val="444444"/>
              </w:rPr>
              <w:t xml:space="preserve">A </w:t>
            </w:r>
            <w:hyperlink r:id="rId695" w:history="1">
              <w:r w:rsidRPr="00073574">
                <w:rPr>
                  <w:rStyle w:val="Hyperlink"/>
                </w:rPr>
                <w:t xml:space="preserve">session on </w:t>
              </w:r>
              <w:r w:rsidR="002D4D1F" w:rsidRPr="00073574">
                <w:rPr>
                  <w:rStyle w:val="Hyperlink"/>
                </w:rPr>
                <w:t>“</w:t>
              </w:r>
              <w:r w:rsidRPr="00073574">
                <w:rPr>
                  <w:rStyle w:val="Hyperlink"/>
                </w:rPr>
                <w:t>Using international standards to build smart sustainable cities and tackle climate change, e-waste and nature loss</w:t>
              </w:r>
              <w:r w:rsidR="002D4D1F" w:rsidRPr="00073574">
                <w:rPr>
                  <w:rStyle w:val="Hyperlink"/>
                </w:rPr>
                <w:t>”</w:t>
              </w:r>
            </w:hyperlink>
            <w:r w:rsidRPr="00073574">
              <w:rPr>
                <w:color w:val="444444"/>
              </w:rPr>
              <w:t xml:space="preserve"> was held on 15 October 2020.</w:t>
            </w:r>
          </w:p>
          <w:p w14:paraId="1EBC2850" w14:textId="77777777" w:rsidR="00C14CBF" w:rsidRPr="00073574" w:rsidRDefault="00C14CBF" w:rsidP="001C22B4">
            <w:pPr>
              <w:shd w:val="clear" w:color="auto" w:fill="FFFFFF" w:themeFill="background1"/>
              <w:spacing w:before="40" w:after="40"/>
              <w:textAlignment w:val="baseline"/>
              <w:rPr>
                <w:lang w:eastAsia="en-GB"/>
              </w:rPr>
            </w:pPr>
            <w:r w:rsidRPr="00073574">
              <w:rPr>
                <w:lang w:eastAsia="en-GB"/>
              </w:rPr>
              <w:t>A series of Sustainable Digital Transformation Dialogues were held from 28 to 30 September 2021:</w:t>
            </w:r>
          </w:p>
          <w:p w14:paraId="33635383" w14:textId="77777777" w:rsidR="00C14CBF" w:rsidRPr="00073574" w:rsidRDefault="00C14CBF" w:rsidP="00CE728C">
            <w:pPr>
              <w:numPr>
                <w:ilvl w:val="0"/>
                <w:numId w:val="65"/>
              </w:numPr>
              <w:shd w:val="clear" w:color="auto" w:fill="FFFFFF" w:themeFill="background1"/>
              <w:spacing w:after="40"/>
              <w:textAlignment w:val="baseline"/>
              <w:rPr>
                <w:lang w:eastAsia="en-GB"/>
              </w:rPr>
            </w:pPr>
            <w:r w:rsidRPr="00073574">
              <w:rPr>
                <w:lang w:eastAsia="en-GB"/>
              </w:rPr>
              <w:t>Sustainable Digital Transformation in Africa, 28 September 2021</w:t>
            </w:r>
          </w:p>
          <w:p w14:paraId="0487A940" w14:textId="77777777" w:rsidR="00C14CBF" w:rsidRPr="00073574" w:rsidRDefault="00C14CBF" w:rsidP="00CE728C">
            <w:pPr>
              <w:numPr>
                <w:ilvl w:val="0"/>
                <w:numId w:val="65"/>
              </w:numPr>
              <w:shd w:val="clear" w:color="auto" w:fill="FFFFFF" w:themeFill="background1"/>
              <w:spacing w:after="40"/>
              <w:textAlignment w:val="baseline"/>
              <w:rPr>
                <w:lang w:eastAsia="en-GB"/>
              </w:rPr>
            </w:pPr>
            <w:r w:rsidRPr="00073574">
              <w:rPr>
                <w:lang w:eastAsia="en-GB"/>
              </w:rPr>
              <w:t>Sustainable Digital Transformation in the Arab region, 29 September 2021</w:t>
            </w:r>
          </w:p>
          <w:p w14:paraId="4F2A8EEA" w14:textId="77777777" w:rsidR="00C14CBF" w:rsidRPr="00073574" w:rsidRDefault="00C14CBF" w:rsidP="00CE728C">
            <w:pPr>
              <w:numPr>
                <w:ilvl w:val="0"/>
                <w:numId w:val="65"/>
              </w:numPr>
              <w:shd w:val="clear" w:color="auto" w:fill="FFFFFF" w:themeFill="background1"/>
              <w:spacing w:after="40"/>
              <w:textAlignment w:val="baseline"/>
              <w:rPr>
                <w:color w:val="444444"/>
                <w:lang w:eastAsia="en-GB"/>
              </w:rPr>
            </w:pPr>
            <w:r w:rsidRPr="00073574">
              <w:rPr>
                <w:lang w:eastAsia="en-GB"/>
              </w:rPr>
              <w:t>Sustainable Digital Transformation in Latin America, 30 September 2021</w:t>
            </w:r>
            <w:r w:rsidR="001C22B4" w:rsidRPr="00073574">
              <w:rPr>
                <w:lang w:eastAsia="en-GB"/>
              </w:rPr>
              <w:t>.</w:t>
            </w:r>
          </w:p>
          <w:p w14:paraId="46D363A4" w14:textId="77777777" w:rsidR="00CE728C" w:rsidRPr="00073574" w:rsidRDefault="00CE728C" w:rsidP="00CE728C">
            <w:pPr>
              <w:shd w:val="clear" w:color="auto" w:fill="FFFFFF"/>
              <w:textAlignment w:val="baseline"/>
              <w:rPr>
                <w:color w:val="444444"/>
                <w:szCs w:val="22"/>
                <w:lang w:eastAsia="en-GB"/>
              </w:rPr>
            </w:pPr>
            <w:r w:rsidRPr="00073574">
              <w:rPr>
                <w:color w:val="444444"/>
                <w:lang w:eastAsia="en-GB"/>
              </w:rPr>
              <w:t xml:space="preserve">The 10th </w:t>
            </w:r>
            <w:r w:rsidRPr="00073574">
              <w:rPr>
                <w:color w:val="444444"/>
                <w:szCs w:val="22"/>
                <w:lang w:eastAsia="en-GB"/>
              </w:rPr>
              <w:t>Green Standards Week took place from 14 to 16 December 2021. The structure of the 10th GSW was the following:</w:t>
            </w:r>
          </w:p>
          <w:p w14:paraId="36A26FCF" w14:textId="615856ED" w:rsidR="00CE728C" w:rsidRPr="00073574" w:rsidRDefault="00CE728C" w:rsidP="00585DAF">
            <w:pPr>
              <w:numPr>
                <w:ilvl w:val="0"/>
                <w:numId w:val="65"/>
              </w:numPr>
              <w:shd w:val="clear" w:color="auto" w:fill="FFFFFF"/>
              <w:spacing w:before="0"/>
              <w:textAlignment w:val="baseline"/>
              <w:rPr>
                <w:rFonts w:eastAsia="Times New Roman"/>
                <w:color w:val="444444"/>
                <w:szCs w:val="22"/>
                <w:lang w:eastAsia="en-GB"/>
              </w:rPr>
            </w:pPr>
            <w:r w:rsidRPr="000E2C5F">
              <w:rPr>
                <w:rStyle w:val="Strong"/>
                <w:szCs w:val="22"/>
                <w:bdr w:val="none" w:sz="0" w:space="0" w:color="auto" w:frame="1"/>
              </w:rPr>
              <w:t>Day 1: </w:t>
            </w:r>
            <w:hyperlink r:id="rId696" w:history="1">
              <w:r w:rsidRPr="00073574">
                <w:rPr>
                  <w:rStyle w:val="Strong"/>
                  <w:color w:val="3789BD"/>
                  <w:szCs w:val="22"/>
                  <w:bdr w:val="none" w:sz="0" w:space="0" w:color="auto" w:frame="1"/>
                </w:rPr>
                <w:t>14 December 2021:</w:t>
              </w:r>
              <w:r w:rsidR="00585DAF" w:rsidRPr="00073574">
                <w:rPr>
                  <w:rStyle w:val="Strong"/>
                  <w:color w:val="3789BD"/>
                  <w:szCs w:val="22"/>
                  <w:bdr w:val="none" w:sz="0" w:space="0" w:color="auto" w:frame="1"/>
                </w:rPr>
                <w:t xml:space="preserve"> </w:t>
              </w:r>
              <w:r w:rsidRPr="00073574">
                <w:rPr>
                  <w:rStyle w:val="Hyperlink"/>
                  <w:color w:val="3789BD"/>
                  <w:szCs w:val="22"/>
                  <w:bdr w:val="none" w:sz="0" w:space="0" w:color="auto" w:frame="1"/>
                </w:rPr>
                <w:t>High-level dialogue on sustainable e-waste management and the circular economy in Latin America</w:t>
              </w:r>
            </w:hyperlink>
          </w:p>
          <w:p w14:paraId="10A81AE3" w14:textId="380C9B66" w:rsidR="00CE728C" w:rsidRPr="00073574" w:rsidRDefault="00CE728C" w:rsidP="00585DAF">
            <w:pPr>
              <w:numPr>
                <w:ilvl w:val="0"/>
                <w:numId w:val="65"/>
              </w:numPr>
              <w:shd w:val="clear" w:color="auto" w:fill="FFFFFF"/>
              <w:spacing w:before="0"/>
              <w:textAlignment w:val="baseline"/>
              <w:rPr>
                <w:color w:val="444444"/>
                <w:szCs w:val="22"/>
              </w:rPr>
            </w:pPr>
            <w:r w:rsidRPr="000E2C5F">
              <w:rPr>
                <w:rStyle w:val="Strong"/>
                <w:szCs w:val="22"/>
                <w:bdr w:val="none" w:sz="0" w:space="0" w:color="auto" w:frame="1"/>
              </w:rPr>
              <w:t>Day 2: </w:t>
            </w:r>
            <w:hyperlink r:id="rId697" w:history="1">
              <w:r w:rsidRPr="00073574">
                <w:rPr>
                  <w:rStyle w:val="Strong"/>
                  <w:color w:val="3789BD"/>
                  <w:szCs w:val="22"/>
                  <w:bdr w:val="none" w:sz="0" w:space="0" w:color="auto" w:frame="1"/>
                </w:rPr>
                <w:t>15 December 2021:</w:t>
              </w:r>
              <w:r w:rsidR="00585DAF" w:rsidRPr="00073574">
                <w:rPr>
                  <w:rStyle w:val="Strong"/>
                  <w:color w:val="3789BD"/>
                  <w:szCs w:val="22"/>
                  <w:bdr w:val="none" w:sz="0" w:space="0" w:color="auto" w:frame="1"/>
                </w:rPr>
                <w:t xml:space="preserve"> </w:t>
              </w:r>
              <w:r w:rsidRPr="00073574">
                <w:rPr>
                  <w:rStyle w:val="Hyperlink"/>
                  <w:color w:val="3789BD"/>
                  <w:szCs w:val="22"/>
                  <w:bdr w:val="none" w:sz="0" w:space="0" w:color="auto" w:frame="1"/>
                </w:rPr>
                <w:t>Sustainable e-waste management in Costa Rica</w:t>
              </w:r>
            </w:hyperlink>
          </w:p>
          <w:p w14:paraId="0AD8D940" w14:textId="12FC9B94" w:rsidR="00C14CBF" w:rsidRPr="00073574" w:rsidRDefault="00CE728C" w:rsidP="00585DAF">
            <w:pPr>
              <w:numPr>
                <w:ilvl w:val="0"/>
                <w:numId w:val="65"/>
              </w:numPr>
              <w:shd w:val="clear" w:color="auto" w:fill="FFFFFF"/>
              <w:spacing w:before="0"/>
              <w:textAlignment w:val="baseline"/>
              <w:rPr>
                <w:rFonts w:ascii="inherit" w:hAnsi="inherit" w:cs="Arial" w:hint="eastAsia"/>
                <w:color w:val="444444"/>
                <w:sz w:val="18"/>
                <w:szCs w:val="18"/>
              </w:rPr>
            </w:pPr>
            <w:r w:rsidRPr="000E2C5F">
              <w:rPr>
                <w:rStyle w:val="Strong"/>
                <w:szCs w:val="22"/>
                <w:bdr w:val="none" w:sz="0" w:space="0" w:color="auto" w:frame="1"/>
              </w:rPr>
              <w:t>Day 3: </w:t>
            </w:r>
            <w:hyperlink r:id="rId698" w:history="1">
              <w:r w:rsidRPr="00073574">
                <w:rPr>
                  <w:rStyle w:val="Strong"/>
                  <w:color w:val="3789BD"/>
                  <w:szCs w:val="22"/>
                  <w:bdr w:val="none" w:sz="0" w:space="0" w:color="auto" w:frame="1"/>
                </w:rPr>
                <w:t>16 December 2021:</w:t>
              </w:r>
              <w:r w:rsidR="00585DAF" w:rsidRPr="00073574">
                <w:rPr>
                  <w:rStyle w:val="Strong"/>
                  <w:color w:val="3789BD"/>
                  <w:szCs w:val="22"/>
                  <w:bdr w:val="none" w:sz="0" w:space="0" w:color="auto" w:frame="1"/>
                </w:rPr>
                <w:t xml:space="preserve"> </w:t>
              </w:r>
              <w:r w:rsidRPr="00073574">
                <w:rPr>
                  <w:rStyle w:val="Hyperlink"/>
                  <w:color w:val="3789BD"/>
                  <w:szCs w:val="22"/>
                  <w:bdr w:val="none" w:sz="0" w:space="0" w:color="auto" w:frame="1"/>
                </w:rPr>
                <w:t>Beyond COP26 – Accelerating Net-Zero Through a Sustainable Digital Transformation</w:t>
              </w:r>
            </w:hyperlink>
          </w:p>
        </w:tc>
      </w:tr>
      <w:tr w:rsidR="00F0236A" w:rsidRPr="00073574" w14:paraId="4409C6B1" w14:textId="77777777" w:rsidTr="7277BFE4">
        <w:trPr>
          <w:cantSplit/>
          <w:jc w:val="center"/>
        </w:trPr>
        <w:tc>
          <w:tcPr>
            <w:tcW w:w="1135" w:type="dxa"/>
            <w:vMerge w:val="restart"/>
            <w:tcBorders>
              <w:top w:val="single" w:sz="12" w:space="0" w:color="auto"/>
            </w:tcBorders>
            <w:shd w:val="clear" w:color="auto" w:fill="auto"/>
          </w:tcPr>
          <w:p w14:paraId="446197FE" w14:textId="77777777" w:rsidR="00F0236A" w:rsidRPr="00073574" w:rsidRDefault="00F0236A" w:rsidP="00F30338">
            <w:pPr>
              <w:pStyle w:val="Tabletext"/>
              <w:rPr>
                <w:b/>
                <w:bCs/>
                <w:sz w:val="24"/>
                <w:szCs w:val="24"/>
              </w:rPr>
            </w:pPr>
            <w:r w:rsidRPr="00073574">
              <w:rPr>
                <w:b/>
                <w:bCs/>
                <w:sz w:val="24"/>
                <w:szCs w:val="24"/>
              </w:rPr>
              <w:t>79-04</w:t>
            </w:r>
          </w:p>
        </w:tc>
        <w:tc>
          <w:tcPr>
            <w:tcW w:w="5015" w:type="dxa"/>
            <w:tcBorders>
              <w:top w:val="single" w:sz="12" w:space="0" w:color="auto"/>
            </w:tcBorders>
            <w:shd w:val="clear" w:color="auto" w:fill="auto"/>
            <w:hideMark/>
          </w:tcPr>
          <w:p w14:paraId="6F10C915" w14:textId="77777777" w:rsidR="00F0236A" w:rsidRPr="00073574" w:rsidRDefault="00F0236A" w:rsidP="00F30338">
            <w:pPr>
              <w:pStyle w:val="Tabletext"/>
              <w:rPr>
                <w:b/>
                <w:bCs/>
                <w:sz w:val="24"/>
                <w:szCs w:val="24"/>
              </w:rPr>
            </w:pPr>
            <w:r w:rsidRPr="00073574">
              <w:rPr>
                <w:b/>
                <w:bCs/>
                <w:sz w:val="24"/>
                <w:szCs w:val="24"/>
              </w:rPr>
              <w:t>SG5, in collaboration with relevant SGs, to identify, document and disseminate e-waste best practices for ITU membership (i. SG5 1)</w:t>
            </w:r>
          </w:p>
        </w:tc>
        <w:tc>
          <w:tcPr>
            <w:tcW w:w="1300" w:type="dxa"/>
            <w:tcBorders>
              <w:top w:val="single" w:sz="12" w:space="0" w:color="auto"/>
            </w:tcBorders>
            <w:shd w:val="clear" w:color="auto" w:fill="auto"/>
            <w:vAlign w:val="center"/>
          </w:tcPr>
          <w:p w14:paraId="71FF145A" w14:textId="77777777" w:rsidR="00F0236A" w:rsidRPr="00073574" w:rsidRDefault="00F0236A" w:rsidP="00F30338">
            <w:pPr>
              <w:pStyle w:val="Tabletext"/>
              <w:jc w:val="center"/>
              <w:rPr>
                <w:b/>
                <w:bCs/>
                <w:sz w:val="24"/>
                <w:szCs w:val="24"/>
              </w:rPr>
            </w:pPr>
            <w:r w:rsidRPr="00073574">
              <w:rPr>
                <w:b/>
                <w:bCs/>
                <w:sz w:val="24"/>
                <w:szCs w:val="24"/>
              </w:rPr>
              <w:t>Ongoing</w:t>
            </w:r>
          </w:p>
        </w:tc>
        <w:tc>
          <w:tcPr>
            <w:tcW w:w="1146" w:type="dxa"/>
            <w:tcBorders>
              <w:top w:val="single" w:sz="12" w:space="0" w:color="auto"/>
            </w:tcBorders>
            <w:shd w:val="clear" w:color="auto" w:fill="auto"/>
            <w:vAlign w:val="center"/>
          </w:tcPr>
          <w:p w14:paraId="61BCA5EC" w14:textId="77777777" w:rsidR="00F0236A" w:rsidRPr="00073574" w:rsidRDefault="00F0236A" w:rsidP="00F30338">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1D3637DC" w14:textId="77777777" w:rsidR="00F0236A" w:rsidRPr="00073574" w:rsidRDefault="00F0236A" w:rsidP="00F30338">
            <w:pPr>
              <w:pStyle w:val="Tabletext"/>
              <w:jc w:val="center"/>
              <w:rPr>
                <w:b/>
                <w:bCs/>
                <w:sz w:val="24"/>
                <w:szCs w:val="24"/>
              </w:rPr>
            </w:pPr>
          </w:p>
        </w:tc>
      </w:tr>
      <w:tr w:rsidR="00F0236A" w:rsidRPr="00073574" w14:paraId="2FEA32FC" w14:textId="77777777" w:rsidTr="00F30338">
        <w:trPr>
          <w:jc w:val="center"/>
        </w:trPr>
        <w:tc>
          <w:tcPr>
            <w:tcW w:w="1135" w:type="dxa"/>
            <w:vMerge/>
          </w:tcPr>
          <w:p w14:paraId="461850FD" w14:textId="77777777" w:rsidR="00F0236A" w:rsidRPr="00073574" w:rsidRDefault="00F0236A" w:rsidP="00F30338">
            <w:pPr>
              <w:pStyle w:val="Tabletext"/>
              <w:rPr>
                <w:sz w:val="24"/>
                <w:szCs w:val="24"/>
              </w:rPr>
            </w:pPr>
          </w:p>
        </w:tc>
        <w:tc>
          <w:tcPr>
            <w:tcW w:w="8797" w:type="dxa"/>
            <w:gridSpan w:val="4"/>
            <w:shd w:val="clear" w:color="auto" w:fill="auto"/>
          </w:tcPr>
          <w:p w14:paraId="5EECB7A9" w14:textId="2B9F45A8" w:rsidR="00F0236A" w:rsidRPr="00073574" w:rsidRDefault="00F0236A" w:rsidP="00F30338">
            <w:pPr>
              <w:pStyle w:val="Tabletext"/>
            </w:pPr>
            <w:r w:rsidRPr="00073574">
              <w:t xml:space="preserve">SG5 under Q7/5 </w:t>
            </w:r>
            <w:r w:rsidR="002D4D1F" w:rsidRPr="00073574">
              <w:t>–</w:t>
            </w:r>
            <w:r w:rsidRPr="00073574">
              <w:t xml:space="preserve"> </w:t>
            </w:r>
            <w:r w:rsidR="1519E195" w:rsidRPr="00073574">
              <w:t xml:space="preserve">Circular economy including e-waste is working on these topics. Some current work items are: </w:t>
            </w:r>
            <w:r w:rsidR="380FBB45" w:rsidRPr="00073574">
              <w:t xml:space="preserve">ITU-T L.AUVE “Effects of ICT enabled autonomy on vehicles longevity and waste creation”; ITU-T L.CE_Industry 4.0 “Circular Economy and Industry 4.0”; ITU-T L.Counterfeit “Adequate Assessment and Sensitisation on Counterfeit ICT Products and their Environmental Impact”; ITU-T L.ICT_CE “ICT response to circular economy”; </w:t>
            </w:r>
            <w:r w:rsidR="58466F5A" w:rsidRPr="00073574">
              <w:t xml:space="preserve">ITU-T L.E-waste-collection “Guidelines on the collection, pre-treatment, dismantling, </w:t>
            </w:r>
            <w:r w:rsidR="00202FCC" w:rsidRPr="00073574">
              <w:t>valorisation</w:t>
            </w:r>
            <w:r w:rsidR="58466F5A" w:rsidRPr="00073574">
              <w:t xml:space="preserve"> and final disposal of WEEE”</w:t>
            </w:r>
            <w:r w:rsidR="77AC387E" w:rsidRPr="00073574">
              <w:t>;</w:t>
            </w:r>
            <w:r w:rsidR="00C14CBF" w:rsidRPr="00073574">
              <w:t xml:space="preserve">ITU-T L.GDSPP “Requirements for a global digital sustainable product </w:t>
            </w:r>
            <w:r w:rsidR="00C14CBF" w:rsidRPr="00073574">
              <w:lastRenderedPageBreak/>
              <w:t>passport to achieve a circular economy”;</w:t>
            </w:r>
            <w:r w:rsidR="58466F5A" w:rsidRPr="00073574">
              <w:t>; ITU-T L.Mat_frame “Assessment of material efficiency of ICT network goods (circular economy). Part 1: General for server and data storage equipment</w:t>
            </w:r>
            <w:r w:rsidR="002D4D1F" w:rsidRPr="00073574">
              <w:t>”</w:t>
            </w:r>
            <w:r w:rsidR="2C91C691" w:rsidRPr="00073574">
              <w:t xml:space="preserve">; </w:t>
            </w:r>
            <w:r w:rsidR="58466F5A" w:rsidRPr="00073574">
              <w:t>ITU-T L.ME_DD “Assessment of material efficiency of ICT network infrastructure goods (circular economy). Part 2: server and data storage product secure data deletion functionality</w:t>
            </w:r>
            <w:r w:rsidR="002D4D1F" w:rsidRPr="00073574">
              <w:t>”</w:t>
            </w:r>
            <w:r w:rsidR="7ABF6D61" w:rsidRPr="00073574">
              <w:t xml:space="preserve">; </w:t>
            </w:r>
            <w:r w:rsidR="58466F5A" w:rsidRPr="00073574">
              <w:t>ITU-T L.ME_AF “Assessment of material efficiency of ICT network infrastructure goods (circular economy). Part 3: Server and data storage product availability of firmware and of security updates to firmware</w:t>
            </w:r>
            <w:r w:rsidR="002D4D1F" w:rsidRPr="00073574">
              <w:t>”</w:t>
            </w:r>
            <w:r w:rsidR="799A6C2C" w:rsidRPr="00073574">
              <w:t xml:space="preserve">; </w:t>
            </w:r>
            <w:r w:rsidR="58466F5A" w:rsidRPr="00073574">
              <w:t>ITU-T L.ME_RM “Assessment of material efficiency of ICT network infrastructure goods (circular economy). Part 4: Server and data storage product critical raw materials</w:t>
            </w:r>
            <w:r w:rsidR="002D4D1F" w:rsidRPr="00073574">
              <w:t>”</w:t>
            </w:r>
            <w:r w:rsidR="0A77F205" w:rsidRPr="00073574">
              <w:t xml:space="preserve">; </w:t>
            </w:r>
            <w:r w:rsidR="58466F5A" w:rsidRPr="00073574">
              <w:t>ITU-T L.ME_DIS “Assessment of material efficiency of ICT network infrastructure goods (circular economy). Part 5: Server and data storage product disassembly and disassembly instruction</w:t>
            </w:r>
            <w:r w:rsidR="002D4D1F" w:rsidRPr="00073574">
              <w:t>”</w:t>
            </w:r>
            <w:r w:rsidR="00CE728C" w:rsidRPr="00073574">
              <w:t>.</w:t>
            </w:r>
            <w:r w:rsidR="00202FCC" w:rsidRPr="00073574">
              <w:t xml:space="preserve"> </w:t>
            </w:r>
            <w:r w:rsidRPr="00073574">
              <w:t xml:space="preserve">The </w:t>
            </w:r>
            <w:r w:rsidR="1519E195" w:rsidRPr="00073574">
              <w:t xml:space="preserve">complete list of </w:t>
            </w:r>
            <w:r w:rsidRPr="00073574">
              <w:t xml:space="preserve">current ongoing work can be found </w:t>
            </w:r>
            <w:hyperlink r:id="rId699">
              <w:r w:rsidR="1519E195" w:rsidRPr="00073574">
                <w:rPr>
                  <w:rStyle w:val="Hyperlink"/>
                </w:rPr>
                <w:t>here</w:t>
              </w:r>
            </w:hyperlink>
            <w:r w:rsidRPr="00073574">
              <w:t>.</w:t>
            </w:r>
          </w:p>
          <w:p w14:paraId="2DE7C7D6" w14:textId="646A1C66" w:rsidR="0049722A" w:rsidRPr="00073574" w:rsidRDefault="5E61530E" w:rsidP="00F30338">
            <w:pPr>
              <w:pStyle w:val="Tabletext"/>
            </w:pPr>
            <w:r w:rsidRPr="00073574">
              <w:t xml:space="preserve">ITU-T SG5 </w:t>
            </w:r>
            <w:r w:rsidR="3B48920C" w:rsidRPr="00073574">
              <w:t>collaborated</w:t>
            </w:r>
            <w:r w:rsidRPr="00073574">
              <w:t xml:space="preserve"> with the Basel Convention and other partners to develop a MOOC on E-waste in order to provide information on the ITU-T Recommendations on E-waste.</w:t>
            </w:r>
          </w:p>
        </w:tc>
      </w:tr>
      <w:tr w:rsidR="00F0236A" w:rsidRPr="00073574" w14:paraId="29906562" w14:textId="77777777" w:rsidTr="7277BFE4">
        <w:trPr>
          <w:jc w:val="center"/>
        </w:trPr>
        <w:tc>
          <w:tcPr>
            <w:tcW w:w="1135" w:type="dxa"/>
            <w:vMerge w:val="restart"/>
            <w:tcBorders>
              <w:top w:val="single" w:sz="12" w:space="0" w:color="auto"/>
            </w:tcBorders>
            <w:shd w:val="clear" w:color="auto" w:fill="auto"/>
          </w:tcPr>
          <w:p w14:paraId="46B2CA02" w14:textId="77777777" w:rsidR="00F0236A" w:rsidRPr="00073574" w:rsidRDefault="00F0236A" w:rsidP="009317EA">
            <w:pPr>
              <w:pStyle w:val="Tabletext"/>
              <w:rPr>
                <w:b/>
                <w:bCs/>
                <w:sz w:val="24"/>
                <w:szCs w:val="24"/>
              </w:rPr>
            </w:pPr>
            <w:r w:rsidRPr="00073574">
              <w:rPr>
                <w:b/>
                <w:bCs/>
                <w:sz w:val="24"/>
                <w:szCs w:val="24"/>
              </w:rPr>
              <w:lastRenderedPageBreak/>
              <w:t>79-05</w:t>
            </w:r>
          </w:p>
        </w:tc>
        <w:tc>
          <w:tcPr>
            <w:tcW w:w="5015" w:type="dxa"/>
            <w:tcBorders>
              <w:top w:val="single" w:sz="12" w:space="0" w:color="auto"/>
            </w:tcBorders>
            <w:shd w:val="clear" w:color="auto" w:fill="auto"/>
          </w:tcPr>
          <w:p w14:paraId="53FC8E1C" w14:textId="77777777" w:rsidR="00F0236A" w:rsidRPr="00073574" w:rsidRDefault="00F0236A" w:rsidP="00DF36E1">
            <w:pPr>
              <w:pStyle w:val="Tabletext"/>
              <w:rPr>
                <w:b/>
                <w:bCs/>
                <w:sz w:val="24"/>
                <w:szCs w:val="24"/>
              </w:rPr>
            </w:pPr>
            <w:r w:rsidRPr="00073574">
              <w:rPr>
                <w:b/>
                <w:bCs/>
                <w:sz w:val="24"/>
                <w:szCs w:val="24"/>
              </w:rPr>
              <w:t>SG5, in collaboration with relevant SGs, to develop Recommendations, methodologies and other publications on e-waste (i. SG5 2)</w:t>
            </w:r>
          </w:p>
        </w:tc>
        <w:tc>
          <w:tcPr>
            <w:tcW w:w="1300" w:type="dxa"/>
            <w:tcBorders>
              <w:top w:val="single" w:sz="12" w:space="0" w:color="auto"/>
            </w:tcBorders>
            <w:shd w:val="clear" w:color="auto" w:fill="auto"/>
            <w:vAlign w:val="center"/>
          </w:tcPr>
          <w:p w14:paraId="1AE4AAC8"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46" w:type="dxa"/>
            <w:tcBorders>
              <w:top w:val="single" w:sz="12" w:space="0" w:color="auto"/>
            </w:tcBorders>
            <w:shd w:val="clear" w:color="auto" w:fill="auto"/>
            <w:vAlign w:val="center"/>
          </w:tcPr>
          <w:p w14:paraId="51786FA1"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145F5D71" w14:textId="77777777" w:rsidR="00F0236A" w:rsidRPr="00073574" w:rsidRDefault="00F0236A" w:rsidP="00DF36E1">
            <w:pPr>
              <w:pStyle w:val="Tabletext"/>
              <w:jc w:val="center"/>
              <w:rPr>
                <w:b/>
                <w:bCs/>
                <w:sz w:val="24"/>
                <w:szCs w:val="24"/>
              </w:rPr>
            </w:pPr>
          </w:p>
        </w:tc>
      </w:tr>
      <w:tr w:rsidR="00F0236A" w:rsidRPr="00073574" w14:paraId="16C8ABC4" w14:textId="77777777" w:rsidTr="7277BFE4">
        <w:trPr>
          <w:jc w:val="center"/>
        </w:trPr>
        <w:tc>
          <w:tcPr>
            <w:tcW w:w="1135" w:type="dxa"/>
            <w:vMerge/>
          </w:tcPr>
          <w:p w14:paraId="238E3652" w14:textId="77777777" w:rsidR="00F0236A" w:rsidRPr="00073574" w:rsidRDefault="00F0236A" w:rsidP="00DF36E1">
            <w:pPr>
              <w:pStyle w:val="Tabletext"/>
              <w:rPr>
                <w:sz w:val="24"/>
                <w:szCs w:val="24"/>
              </w:rPr>
            </w:pPr>
          </w:p>
        </w:tc>
        <w:tc>
          <w:tcPr>
            <w:tcW w:w="8797" w:type="dxa"/>
            <w:gridSpan w:val="4"/>
            <w:tcBorders>
              <w:bottom w:val="single" w:sz="12" w:space="0" w:color="auto"/>
            </w:tcBorders>
            <w:shd w:val="clear" w:color="auto" w:fill="auto"/>
          </w:tcPr>
          <w:p w14:paraId="071984DF" w14:textId="2C69316D" w:rsidR="00131ECD" w:rsidRPr="00073574" w:rsidRDefault="00F0236A" w:rsidP="00CE728C">
            <w:pPr>
              <w:pStyle w:val="NormalWeb"/>
              <w:numPr>
                <w:ilvl w:val="0"/>
                <w:numId w:val="51"/>
              </w:numPr>
              <w:spacing w:before="40" w:after="120"/>
              <w:rPr>
                <w:sz w:val="22"/>
                <w:szCs w:val="22"/>
                <w:lang w:val="en-GB"/>
              </w:rPr>
            </w:pPr>
            <w:r w:rsidRPr="00073574">
              <w:rPr>
                <w:sz w:val="22"/>
                <w:szCs w:val="22"/>
                <w:lang w:val="en-GB"/>
              </w:rPr>
              <w:t xml:space="preserve">SG5: ITU has approved </w:t>
            </w:r>
            <w:r w:rsidR="00131ECD" w:rsidRPr="00073574">
              <w:rPr>
                <w:sz w:val="22"/>
                <w:szCs w:val="22"/>
                <w:lang w:val="en-GB"/>
              </w:rPr>
              <w:t>the following Recommendat</w:t>
            </w:r>
            <w:r w:rsidR="00AE3375" w:rsidRPr="00073574">
              <w:rPr>
                <w:sz w:val="22"/>
                <w:szCs w:val="22"/>
                <w:lang w:val="en-GB"/>
              </w:rPr>
              <w:t>ions:</w:t>
            </w:r>
          </w:p>
          <w:p w14:paraId="7A54FC4E" w14:textId="52B1CB5F" w:rsidR="00131ECD" w:rsidRPr="00073574" w:rsidRDefault="00131ECD" w:rsidP="00CE728C">
            <w:pPr>
              <w:pStyle w:val="NormalWeb"/>
              <w:numPr>
                <w:ilvl w:val="0"/>
                <w:numId w:val="51"/>
              </w:numPr>
              <w:spacing w:before="120" w:after="0"/>
              <w:rPr>
                <w:sz w:val="22"/>
                <w:szCs w:val="22"/>
                <w:lang w:val="en-GB"/>
              </w:rPr>
            </w:pPr>
            <w:r w:rsidRPr="00073574">
              <w:rPr>
                <w:sz w:val="22"/>
                <w:szCs w:val="22"/>
                <w:lang w:val="en-GB"/>
              </w:rPr>
              <w:t xml:space="preserve">Recommendation ITU-T L.1002 </w:t>
            </w:r>
            <w:r w:rsidR="002D4D1F" w:rsidRPr="00073574">
              <w:rPr>
                <w:sz w:val="22"/>
                <w:szCs w:val="22"/>
                <w:lang w:val="en-GB"/>
              </w:rPr>
              <w:t>“</w:t>
            </w:r>
            <w:r w:rsidRPr="00073574">
              <w:rPr>
                <w:sz w:val="22"/>
                <w:szCs w:val="22"/>
                <w:lang w:val="en-GB"/>
              </w:rPr>
              <w:t>External universal power adapter solutions for portable ICT devices</w:t>
            </w:r>
            <w:r w:rsidR="002D4D1F" w:rsidRPr="00073574">
              <w:rPr>
                <w:sz w:val="22"/>
                <w:szCs w:val="22"/>
                <w:lang w:val="en-GB"/>
              </w:rPr>
              <w:t>”</w:t>
            </w:r>
            <w:r w:rsidRPr="00073574">
              <w:rPr>
                <w:sz w:val="22"/>
                <w:szCs w:val="22"/>
                <w:lang w:val="en-GB"/>
              </w:rPr>
              <w:t xml:space="preserve"> for a universal charger for laptops and other portable devices. The new standard provides for improved energy efficiency and reduced greenhouse gas emissions and is expected to lead to significant reductions in e-waste.</w:t>
            </w:r>
          </w:p>
          <w:p w14:paraId="675A6CA7" w14:textId="1FC382D3" w:rsidR="00F0236A" w:rsidRPr="00073574" w:rsidRDefault="00F0236A" w:rsidP="00CE728C">
            <w:pPr>
              <w:pStyle w:val="NormalWeb"/>
              <w:numPr>
                <w:ilvl w:val="0"/>
                <w:numId w:val="51"/>
              </w:numPr>
              <w:spacing w:before="120" w:after="0"/>
              <w:rPr>
                <w:sz w:val="22"/>
                <w:szCs w:val="22"/>
                <w:lang w:val="en-GB"/>
              </w:rPr>
            </w:pPr>
            <w:r w:rsidRPr="00073574">
              <w:rPr>
                <w:sz w:val="22"/>
                <w:szCs w:val="22"/>
                <w:lang w:val="en-GB"/>
              </w:rPr>
              <w:t xml:space="preserve">Recommendation ITU-T L.1006 </w:t>
            </w:r>
            <w:r w:rsidR="002D4D1F" w:rsidRPr="00073574">
              <w:rPr>
                <w:sz w:val="22"/>
                <w:szCs w:val="22"/>
                <w:lang w:val="en-GB"/>
              </w:rPr>
              <w:t>“</w:t>
            </w:r>
            <w:r w:rsidRPr="00073574">
              <w:rPr>
                <w:sz w:val="22"/>
                <w:szCs w:val="22"/>
                <w:lang w:val="en-GB"/>
              </w:rPr>
              <w:t>Test suites for assessment of the External universal power adapter solutions for stationary information and communication technology devices</w:t>
            </w:r>
            <w:r w:rsidR="002D4D1F" w:rsidRPr="00073574">
              <w:rPr>
                <w:sz w:val="22"/>
                <w:szCs w:val="22"/>
                <w:lang w:val="en-GB"/>
              </w:rPr>
              <w:t>”</w:t>
            </w:r>
            <w:r w:rsidRPr="00073574">
              <w:rPr>
                <w:sz w:val="22"/>
                <w:szCs w:val="22"/>
                <w:lang w:val="en-GB"/>
              </w:rPr>
              <w:t xml:space="preserve"> defines test methods for UPA to demonstrate the compliance with ITU-T Recommendation L.1001.</w:t>
            </w:r>
          </w:p>
          <w:p w14:paraId="57C6FAE4" w14:textId="57171A06" w:rsidR="00AE3375" w:rsidRPr="00073574" w:rsidRDefault="00F0236A" w:rsidP="00CE728C">
            <w:pPr>
              <w:pStyle w:val="NormalWeb"/>
              <w:numPr>
                <w:ilvl w:val="0"/>
                <w:numId w:val="51"/>
              </w:numPr>
              <w:spacing w:before="120" w:after="0"/>
              <w:rPr>
                <w:sz w:val="22"/>
                <w:szCs w:val="22"/>
                <w:lang w:val="en-GB"/>
              </w:rPr>
            </w:pPr>
            <w:r w:rsidRPr="00073574">
              <w:rPr>
                <w:sz w:val="22"/>
                <w:szCs w:val="22"/>
                <w:lang w:val="en-GB"/>
              </w:rPr>
              <w:t xml:space="preserve">Recommendation ITU-T L.1007 </w:t>
            </w:r>
            <w:r w:rsidR="002D4D1F" w:rsidRPr="00073574">
              <w:rPr>
                <w:sz w:val="22"/>
                <w:szCs w:val="22"/>
                <w:lang w:val="en-GB"/>
              </w:rPr>
              <w:t>“</w:t>
            </w:r>
            <w:r w:rsidRPr="00073574">
              <w:rPr>
                <w:sz w:val="22"/>
                <w:szCs w:val="22"/>
                <w:lang w:val="en-GB"/>
              </w:rPr>
              <w:t>Test suites for assessment of the External universal power adapter solutions for portable information and communication technology devices</w:t>
            </w:r>
            <w:r w:rsidR="002D4D1F" w:rsidRPr="00073574">
              <w:rPr>
                <w:sz w:val="22"/>
                <w:szCs w:val="22"/>
                <w:lang w:val="en-GB"/>
              </w:rPr>
              <w:t>”</w:t>
            </w:r>
            <w:r w:rsidRPr="00073574">
              <w:rPr>
                <w:sz w:val="22"/>
                <w:szCs w:val="22"/>
                <w:lang w:val="en-GB"/>
              </w:rPr>
              <w:t xml:space="preserve"> defines test methods for UPA to demonstrate the compliance with ITU-T Recommendation L.1002.</w:t>
            </w:r>
          </w:p>
          <w:p w14:paraId="14F9168D" w14:textId="71154362" w:rsidR="00257794" w:rsidRPr="00073574" w:rsidRDefault="00257794" w:rsidP="00CE728C">
            <w:pPr>
              <w:pStyle w:val="NormalWeb"/>
              <w:numPr>
                <w:ilvl w:val="0"/>
                <w:numId w:val="51"/>
              </w:numPr>
              <w:spacing w:before="120" w:after="0"/>
              <w:rPr>
                <w:sz w:val="22"/>
                <w:szCs w:val="22"/>
                <w:lang w:val="en-GB"/>
              </w:rPr>
            </w:pPr>
            <w:r w:rsidRPr="00073574">
              <w:rPr>
                <w:sz w:val="22"/>
                <w:szCs w:val="22"/>
                <w:lang w:val="en-GB"/>
              </w:rPr>
              <w:t>Recommendation ITU-T L.1015 “Criteria for evaluation of the environmental impact of mobile phones” focuses on the criteria to be used for evaluation of the environmental impact of mobile phones. It considers all life cycle stages of mobile phones such as the design, production, use and end of life management. The Recommendation also defines a minimum level of environmental performance.</w:t>
            </w:r>
          </w:p>
          <w:p w14:paraId="378744F2" w14:textId="51F43E06" w:rsidR="00131ECD" w:rsidRPr="00073574" w:rsidRDefault="00AD6CEA" w:rsidP="00CE728C">
            <w:pPr>
              <w:pStyle w:val="NormalWeb"/>
              <w:numPr>
                <w:ilvl w:val="0"/>
                <w:numId w:val="51"/>
              </w:numPr>
              <w:spacing w:before="120" w:after="0"/>
              <w:rPr>
                <w:sz w:val="22"/>
                <w:szCs w:val="22"/>
                <w:lang w:val="en-GB"/>
              </w:rPr>
            </w:pPr>
            <w:r w:rsidRPr="00073574">
              <w:rPr>
                <w:sz w:val="22"/>
                <w:szCs w:val="22"/>
                <w:lang w:val="en-GB"/>
              </w:rPr>
              <w:t>Recommendation ITU-T L.1020 “</w:t>
            </w:r>
            <w:r w:rsidR="009B60E1" w:rsidRPr="00073574">
              <w:rPr>
                <w:sz w:val="22"/>
                <w:szCs w:val="22"/>
                <w:lang w:val="en-GB"/>
              </w:rPr>
              <w:t xml:space="preserve">Circular Economy: </w:t>
            </w:r>
            <w:r w:rsidRPr="00073574">
              <w:rPr>
                <w:sz w:val="22"/>
                <w:szCs w:val="22"/>
                <w:lang w:val="en-GB"/>
              </w:rPr>
              <w:t>Guide for Operators and Suppliers on approaches to migrate towards circular ICT goods and networks”</w:t>
            </w:r>
            <w:r w:rsidR="009B60E1" w:rsidRPr="00073574">
              <w:rPr>
                <w:sz w:val="22"/>
                <w:szCs w:val="22"/>
                <w:lang w:val="en-GB"/>
              </w:rPr>
              <w:t xml:space="preserve"> suggests approaches of circular economy (CE) for information and communication technology (ICT) goods and networks. It focuses particularly on the next steps in improving circularity in the operators′ supply chain</w:t>
            </w:r>
            <w:r w:rsidRPr="00073574">
              <w:rPr>
                <w:sz w:val="22"/>
                <w:szCs w:val="22"/>
                <w:lang w:val="en-GB"/>
              </w:rPr>
              <w:t>.</w:t>
            </w:r>
          </w:p>
          <w:p w14:paraId="26ECAF89" w14:textId="2C4E4DF8" w:rsidR="009B60E1" w:rsidRPr="00073574" w:rsidRDefault="00AD6CEA" w:rsidP="002E241A">
            <w:pPr>
              <w:pStyle w:val="NormalWeb"/>
              <w:numPr>
                <w:ilvl w:val="0"/>
                <w:numId w:val="51"/>
              </w:numPr>
              <w:spacing w:before="120" w:after="0"/>
              <w:rPr>
                <w:sz w:val="22"/>
                <w:szCs w:val="22"/>
                <w:lang w:val="en-GB"/>
              </w:rPr>
            </w:pPr>
            <w:r w:rsidRPr="00073574">
              <w:rPr>
                <w:sz w:val="22"/>
                <w:szCs w:val="22"/>
                <w:lang w:val="en-GB"/>
              </w:rPr>
              <w:t xml:space="preserve">Recommendation ITU-T L.1021 “Extended Producer Responsibility </w:t>
            </w:r>
            <w:r w:rsidR="002D4D1F" w:rsidRPr="00073574">
              <w:rPr>
                <w:sz w:val="22"/>
                <w:szCs w:val="22"/>
                <w:lang w:val="en-GB"/>
              </w:rPr>
              <w:t>–</w:t>
            </w:r>
            <w:r w:rsidRPr="00073574">
              <w:rPr>
                <w:sz w:val="22"/>
                <w:szCs w:val="22"/>
                <w:lang w:val="en-GB"/>
              </w:rPr>
              <w:t xml:space="preserve"> Guidelines for Sustainable E-waste Management” offers a description of the extended producer responsibility system in dealing with e- waste. The Recommendation goes in details regarding the different existing forms of EPR globally, not only in theoretical terms but also with a practical view to their feasibility, challenges and pre- requisites.</w:t>
            </w:r>
          </w:p>
          <w:p w14:paraId="110EFB75" w14:textId="449D6DC0" w:rsidR="0049722A" w:rsidRPr="00073574" w:rsidRDefault="5E61530E" w:rsidP="002E241A">
            <w:pPr>
              <w:pStyle w:val="NormalWeb"/>
              <w:numPr>
                <w:ilvl w:val="0"/>
                <w:numId w:val="51"/>
              </w:numPr>
              <w:spacing w:before="120" w:after="0"/>
              <w:rPr>
                <w:sz w:val="22"/>
                <w:szCs w:val="22"/>
                <w:lang w:val="en-GB"/>
              </w:rPr>
            </w:pPr>
            <w:r w:rsidRPr="00073574">
              <w:rPr>
                <w:sz w:val="22"/>
                <w:szCs w:val="22"/>
                <w:lang w:val="en-GB"/>
              </w:rPr>
              <w:t xml:space="preserve">Recommendation ITU-T L.1022 “Circular Economy: Definitions and concepts for material efficiency for ICT” contains a guide to the circular economy (CE) aspects, </w:t>
            </w:r>
            <w:r w:rsidRPr="00073574">
              <w:rPr>
                <w:sz w:val="22"/>
                <w:szCs w:val="22"/>
                <w:lang w:val="en-GB"/>
              </w:rPr>
              <w:lastRenderedPageBreak/>
              <w:t>parameters, metrics and indicators for information and communication technology (ICT) based on current approaches, concepts and metrics of the CE as defined in existing standards, while considering their applicability for ICT.</w:t>
            </w:r>
          </w:p>
          <w:p w14:paraId="0C7476FC" w14:textId="5311EB40" w:rsidR="4B5356D7" w:rsidRPr="00073574" w:rsidRDefault="4B5356D7" w:rsidP="002E241A">
            <w:pPr>
              <w:pStyle w:val="NormalWeb"/>
              <w:numPr>
                <w:ilvl w:val="0"/>
                <w:numId w:val="51"/>
              </w:numPr>
              <w:spacing w:before="120" w:after="0"/>
              <w:rPr>
                <w:sz w:val="22"/>
                <w:szCs w:val="22"/>
                <w:lang w:val="en-GB"/>
              </w:rPr>
            </w:pPr>
            <w:r w:rsidRPr="00073574">
              <w:rPr>
                <w:sz w:val="22"/>
                <w:szCs w:val="22"/>
                <w:lang w:val="en-GB"/>
              </w:rPr>
              <w:t>Recommendation ITU-T L.1023 “</w:t>
            </w:r>
            <w:r w:rsidR="0794AE6B" w:rsidRPr="00073574">
              <w:rPr>
                <w:sz w:val="22"/>
                <w:szCs w:val="22"/>
                <w:lang w:val="en-GB"/>
              </w:rPr>
              <w:t>Assessment Method for Circular Scoring</w:t>
            </w:r>
            <w:r w:rsidR="002D4D1F" w:rsidRPr="00073574">
              <w:rPr>
                <w:sz w:val="22"/>
                <w:szCs w:val="22"/>
                <w:lang w:val="en-GB"/>
              </w:rPr>
              <w:t>”</w:t>
            </w:r>
            <w:r w:rsidR="63D6CDC0" w:rsidRPr="00073574">
              <w:rPr>
                <w:sz w:val="22"/>
                <w:szCs w:val="22"/>
                <w:lang w:val="en-GB"/>
              </w:rPr>
              <w:t xml:space="preserve">. </w:t>
            </w:r>
            <w:r w:rsidR="01F7BBF3" w:rsidRPr="00073574">
              <w:rPr>
                <w:sz w:val="22"/>
                <w:szCs w:val="22"/>
                <w:lang w:val="en-GB"/>
              </w:rPr>
              <w:t>This Recommendation outlines an assessment methodology for circularity scoring of ICT goods.</w:t>
            </w:r>
          </w:p>
          <w:p w14:paraId="2630DCB2" w14:textId="6ACF6480" w:rsidR="00C14CBF" w:rsidRPr="00073574" w:rsidRDefault="00C14CBF" w:rsidP="002E241A">
            <w:pPr>
              <w:pStyle w:val="NormalWeb"/>
              <w:numPr>
                <w:ilvl w:val="0"/>
                <w:numId w:val="51"/>
              </w:numPr>
              <w:spacing w:before="120" w:after="0"/>
              <w:rPr>
                <w:sz w:val="22"/>
                <w:szCs w:val="22"/>
                <w:lang w:val="en-GB"/>
              </w:rPr>
            </w:pPr>
            <w:r w:rsidRPr="00073574">
              <w:rPr>
                <w:sz w:val="22"/>
                <w:szCs w:val="22"/>
                <w:lang w:val="en-GB"/>
              </w:rPr>
              <w:t>Recommendation ITU-T L.1024 “The potential impact of selling services instead of equipment on waste creation and the environment – Effects on global information and communication technology” utilizes information compiled from stakeholders that provides insights into cases in the information and communication technology (ICT) ecosystem, in which ICT goods are sold as services or subscriptions rather than products</w:t>
            </w:r>
            <w:r w:rsidR="007A75D6" w:rsidRPr="00073574">
              <w:rPr>
                <w:sz w:val="22"/>
                <w:szCs w:val="22"/>
                <w:lang w:val="en-GB"/>
              </w:rPr>
              <w:t>.</w:t>
            </w:r>
          </w:p>
          <w:p w14:paraId="38CBC200" w14:textId="72DFFBAB" w:rsidR="009B60E1" w:rsidRPr="00073574" w:rsidRDefault="009B60E1" w:rsidP="002E241A">
            <w:pPr>
              <w:pStyle w:val="NormalWeb"/>
              <w:numPr>
                <w:ilvl w:val="0"/>
                <w:numId w:val="51"/>
              </w:numPr>
              <w:spacing w:before="120" w:after="0"/>
              <w:rPr>
                <w:sz w:val="22"/>
                <w:szCs w:val="22"/>
                <w:lang w:val="en-GB"/>
              </w:rPr>
            </w:pPr>
            <w:r w:rsidRPr="00073574">
              <w:rPr>
                <w:sz w:val="22"/>
                <w:szCs w:val="22"/>
                <w:lang w:val="en-GB"/>
              </w:rPr>
              <w:t>Recommendation ITU-T L.1030 “E-waste management framework for countries” provides a management framework for e-waste to countries. It summarizes the different steps that countries need to adopt in order to put in place an e-waste management system. The different steps of the e-waste management system described in this Recommendation will be further elaborated in future Recommendations.</w:t>
            </w:r>
          </w:p>
          <w:p w14:paraId="08BB53B4" w14:textId="66C5C420" w:rsidR="009B60E1" w:rsidRPr="00073574" w:rsidRDefault="129EE506" w:rsidP="00CE728C">
            <w:pPr>
              <w:pStyle w:val="NormalWeb"/>
              <w:numPr>
                <w:ilvl w:val="0"/>
                <w:numId w:val="51"/>
              </w:numPr>
              <w:spacing w:before="120" w:after="0"/>
              <w:rPr>
                <w:sz w:val="22"/>
                <w:szCs w:val="22"/>
                <w:lang w:val="en-GB"/>
              </w:rPr>
            </w:pPr>
            <w:r w:rsidRPr="00073574">
              <w:rPr>
                <w:sz w:val="22"/>
                <w:szCs w:val="22"/>
                <w:lang w:val="en-GB"/>
              </w:rPr>
              <w:t>Recommendation ITU-T L.1031 “Guideline on implementing the e-waste reduction target of the Connect 2020 Agenda” describes a three-step approach to address the e-waste reduction target of the Connect 2020 Agenda. These steps consist of guidance on developing an e-waste inventory, approaches to design e-waste prevention and reduction programs, and the supportive measures required for successfully implementing the Connect 2020 e-waste target.</w:t>
            </w:r>
          </w:p>
          <w:p w14:paraId="5285FF8D" w14:textId="717ACD04" w:rsidR="009B60E1" w:rsidRPr="00073574" w:rsidRDefault="338695E7" w:rsidP="00CE728C">
            <w:pPr>
              <w:pStyle w:val="NormalWeb"/>
              <w:numPr>
                <w:ilvl w:val="0"/>
                <w:numId w:val="51"/>
              </w:numPr>
              <w:spacing w:before="120" w:after="0"/>
              <w:rPr>
                <w:sz w:val="22"/>
                <w:szCs w:val="22"/>
                <w:lang w:val="en-GB"/>
              </w:rPr>
            </w:pPr>
            <w:r w:rsidRPr="00073574">
              <w:rPr>
                <w:sz w:val="22"/>
                <w:szCs w:val="22"/>
                <w:lang w:val="en-GB"/>
              </w:rPr>
              <w:t>Recommendation ITU-T L.1032 “Guidelines and certification schemes for e-waste recyclers</w:t>
            </w:r>
            <w:r w:rsidR="002D4D1F" w:rsidRPr="00073574">
              <w:rPr>
                <w:sz w:val="22"/>
                <w:szCs w:val="22"/>
                <w:lang w:val="en-GB"/>
              </w:rPr>
              <w:t>”</w:t>
            </w:r>
            <w:r w:rsidRPr="00073574">
              <w:rPr>
                <w:sz w:val="22"/>
                <w:szCs w:val="22"/>
                <w:lang w:val="en-GB"/>
              </w:rPr>
              <w:t xml:space="preserve"> </w:t>
            </w:r>
            <w:r w:rsidR="2276C0EA" w:rsidRPr="00073574">
              <w:rPr>
                <w:sz w:val="22"/>
                <w:szCs w:val="22"/>
                <w:lang w:val="en-GB"/>
              </w:rPr>
              <w:t>is part of a series of ITU-T Recommendations that considers requirements for recyclers of waste information and communication technology (ICT). This Recommendation addresses, in particular, the informal sector that is involved in waste electrical and electronic equipment (WEEE) collection and dismantling.</w:t>
            </w:r>
          </w:p>
          <w:p w14:paraId="130736A9" w14:textId="533D83D2" w:rsidR="009B60E1" w:rsidRPr="00073574" w:rsidRDefault="00CE728C" w:rsidP="00F36491">
            <w:pPr>
              <w:pStyle w:val="ListParagraph"/>
              <w:numPr>
                <w:ilvl w:val="0"/>
                <w:numId w:val="51"/>
              </w:numPr>
              <w:contextualSpacing w:val="0"/>
            </w:pPr>
            <w:r w:rsidRPr="00073574">
              <w:t>Recommendation ITU-T L.1033 “Guidance for institutions of higher learning to contribute in the effective life cycle management of e-equipment and e-waste”</w:t>
            </w:r>
          </w:p>
        </w:tc>
      </w:tr>
      <w:tr w:rsidR="00F0236A" w:rsidRPr="00073574" w14:paraId="02B0603D" w14:textId="77777777" w:rsidTr="7277BFE4">
        <w:trPr>
          <w:cantSplit/>
          <w:jc w:val="center"/>
        </w:trPr>
        <w:tc>
          <w:tcPr>
            <w:tcW w:w="1135" w:type="dxa"/>
            <w:vMerge w:val="restart"/>
            <w:tcBorders>
              <w:top w:val="single" w:sz="12" w:space="0" w:color="auto"/>
            </w:tcBorders>
            <w:shd w:val="clear" w:color="auto" w:fill="auto"/>
          </w:tcPr>
          <w:p w14:paraId="2B7244CA" w14:textId="77777777" w:rsidR="00F0236A" w:rsidRPr="00073574" w:rsidRDefault="00F0236A" w:rsidP="00DF36E1">
            <w:pPr>
              <w:pStyle w:val="Tabletext"/>
              <w:rPr>
                <w:b/>
                <w:bCs/>
                <w:sz w:val="24"/>
                <w:szCs w:val="24"/>
              </w:rPr>
            </w:pPr>
            <w:r w:rsidRPr="00073574">
              <w:rPr>
                <w:b/>
                <w:bCs/>
                <w:sz w:val="24"/>
                <w:szCs w:val="24"/>
              </w:rPr>
              <w:lastRenderedPageBreak/>
              <w:t>79-06</w:t>
            </w:r>
          </w:p>
        </w:tc>
        <w:tc>
          <w:tcPr>
            <w:tcW w:w="5015" w:type="dxa"/>
            <w:tcBorders>
              <w:top w:val="single" w:sz="12" w:space="0" w:color="auto"/>
            </w:tcBorders>
            <w:shd w:val="clear" w:color="auto" w:fill="auto"/>
          </w:tcPr>
          <w:p w14:paraId="59C5B0E7" w14:textId="77777777" w:rsidR="00F0236A" w:rsidRPr="00073574" w:rsidRDefault="00F0236A" w:rsidP="00DF36E1">
            <w:pPr>
              <w:pStyle w:val="Tabletext"/>
              <w:rPr>
                <w:b/>
                <w:bCs/>
                <w:sz w:val="24"/>
                <w:szCs w:val="24"/>
              </w:rPr>
            </w:pPr>
            <w:r w:rsidRPr="00073574">
              <w:rPr>
                <w:b/>
                <w:bCs/>
                <w:sz w:val="24"/>
                <w:szCs w:val="24"/>
              </w:rPr>
              <w:t>SG5, in collaboration with relevant SGs, to study the impact of telecom/ICT e-waste to developing countries and give guidance to assist developing countries (i. SG5 3)</w:t>
            </w:r>
          </w:p>
        </w:tc>
        <w:tc>
          <w:tcPr>
            <w:tcW w:w="1300" w:type="dxa"/>
            <w:tcBorders>
              <w:top w:val="single" w:sz="12" w:space="0" w:color="auto"/>
            </w:tcBorders>
            <w:shd w:val="clear" w:color="auto" w:fill="auto"/>
            <w:vAlign w:val="center"/>
          </w:tcPr>
          <w:p w14:paraId="10207E9D"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46" w:type="dxa"/>
            <w:tcBorders>
              <w:top w:val="single" w:sz="12" w:space="0" w:color="auto"/>
            </w:tcBorders>
            <w:shd w:val="clear" w:color="auto" w:fill="auto"/>
            <w:vAlign w:val="center"/>
          </w:tcPr>
          <w:p w14:paraId="49A607B4"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018266DA" w14:textId="77777777" w:rsidR="00F0236A" w:rsidRPr="00073574" w:rsidRDefault="00F0236A" w:rsidP="00DF36E1">
            <w:pPr>
              <w:pStyle w:val="Tabletext"/>
              <w:jc w:val="center"/>
              <w:rPr>
                <w:b/>
                <w:bCs/>
                <w:sz w:val="24"/>
                <w:szCs w:val="24"/>
              </w:rPr>
            </w:pPr>
          </w:p>
        </w:tc>
      </w:tr>
      <w:tr w:rsidR="00F0236A" w:rsidRPr="00073574" w14:paraId="3886DE7C" w14:textId="77777777" w:rsidTr="7277BFE4">
        <w:trPr>
          <w:cantSplit/>
          <w:jc w:val="center"/>
        </w:trPr>
        <w:tc>
          <w:tcPr>
            <w:tcW w:w="1135" w:type="dxa"/>
            <w:vMerge/>
            <w:vAlign w:val="center"/>
          </w:tcPr>
          <w:p w14:paraId="4368A9A0" w14:textId="77777777" w:rsidR="00F0236A" w:rsidRPr="00073574" w:rsidRDefault="00F0236A" w:rsidP="00DF36E1">
            <w:pPr>
              <w:pStyle w:val="Tabletext"/>
              <w:rPr>
                <w:sz w:val="24"/>
                <w:szCs w:val="24"/>
              </w:rPr>
            </w:pPr>
          </w:p>
        </w:tc>
        <w:tc>
          <w:tcPr>
            <w:tcW w:w="8797" w:type="dxa"/>
            <w:gridSpan w:val="4"/>
            <w:shd w:val="clear" w:color="auto" w:fill="auto"/>
          </w:tcPr>
          <w:p w14:paraId="21403D92" w14:textId="77777777" w:rsidR="00F0236A" w:rsidRPr="00073574" w:rsidRDefault="00F0236A" w:rsidP="00DF36E1">
            <w:pPr>
              <w:pStyle w:val="Tabletext"/>
              <w:rPr>
                <w:szCs w:val="22"/>
              </w:rPr>
            </w:pPr>
            <w:r w:rsidRPr="00073574">
              <w:rPr>
                <w:szCs w:val="22"/>
              </w:rPr>
              <w:t>See 79-04.</w:t>
            </w:r>
          </w:p>
        </w:tc>
      </w:tr>
    </w:tbl>
    <w:bookmarkStart w:id="475" w:name="Item79_01"/>
    <w:bookmarkStart w:id="476" w:name="Item79_02"/>
    <w:bookmarkStart w:id="477" w:name="Item79_03"/>
    <w:bookmarkStart w:id="478" w:name="Item79_04"/>
    <w:bookmarkStart w:id="479" w:name="Item79_05"/>
    <w:bookmarkStart w:id="480" w:name="Item79_06"/>
    <w:bookmarkEnd w:id="475"/>
    <w:bookmarkEnd w:id="476"/>
    <w:bookmarkEnd w:id="477"/>
    <w:bookmarkEnd w:id="478"/>
    <w:bookmarkEnd w:id="479"/>
    <w:bookmarkEnd w:id="480"/>
    <w:p w14:paraId="291209B9" w14:textId="77777777" w:rsidR="00F0236A" w:rsidRPr="00073574" w:rsidRDefault="00F0236A" w:rsidP="00F0236A">
      <w:pPr>
        <w:rPr>
          <w:sz w:val="24"/>
        </w:rPr>
      </w:pPr>
      <w:r w:rsidRPr="00073574">
        <w:rPr>
          <w:color w:val="2B579A"/>
          <w:shd w:val="clear" w:color="auto" w:fill="E6E6E6"/>
        </w:rPr>
        <w:fldChar w:fldCharType="begin"/>
      </w:r>
      <w:r w:rsidRPr="00073574">
        <w:rPr>
          <w:sz w:val="24"/>
        </w:rPr>
        <w:instrText xml:space="preserve"> HYPERLINK \l "Top" </w:instrText>
      </w:r>
      <w:r w:rsidRPr="00073574">
        <w:rPr>
          <w:color w:val="2B579A"/>
          <w:shd w:val="clear" w:color="auto" w:fill="E6E6E6"/>
        </w:rPr>
        <w:fldChar w:fldCharType="separate"/>
      </w:r>
      <w:r w:rsidRPr="00073574">
        <w:rPr>
          <w:rStyle w:val="Hyperlink"/>
          <w:rFonts w:eastAsia="Times New Roman"/>
          <w:sz w:val="24"/>
        </w:rPr>
        <w:t>» Top</w:t>
      </w:r>
      <w:r w:rsidRPr="00073574">
        <w:rPr>
          <w:rStyle w:val="Hyperlink"/>
          <w:rFonts w:eastAsia="Times New Roman"/>
          <w:sz w:val="24"/>
        </w:rPr>
        <w:fldChar w:fldCharType="end"/>
      </w:r>
    </w:p>
    <w:p w14:paraId="340BCD68" w14:textId="77777777" w:rsidR="00F0236A" w:rsidRPr="00073574" w:rsidRDefault="00F0236A" w:rsidP="00F0236A">
      <w:pPr>
        <w:rPr>
          <w:sz w:val="24"/>
        </w:rPr>
      </w:pPr>
    </w:p>
    <w:p w14:paraId="43D3E865" w14:textId="0F17F955" w:rsidR="00F0236A" w:rsidRPr="00073574" w:rsidRDefault="00F0236A" w:rsidP="005B5893">
      <w:pPr>
        <w:pStyle w:val="Heading1"/>
        <w:keepNext/>
        <w:keepLines/>
        <w:rPr>
          <w:sz w:val="24"/>
          <w:szCs w:val="24"/>
          <w:lang w:val="en-GB"/>
        </w:rPr>
      </w:pPr>
      <w:bookmarkStart w:id="481" w:name="_Toc471715396"/>
      <w:bookmarkStart w:id="482" w:name="_Toc93425282"/>
      <w:r w:rsidRPr="00073574">
        <w:rPr>
          <w:sz w:val="24"/>
          <w:szCs w:val="24"/>
          <w:lang w:val="en-GB"/>
        </w:rPr>
        <w:lastRenderedPageBreak/>
        <w:t xml:space="preserve">Resolution 80 </w:t>
      </w:r>
      <w:r w:rsidR="002D4D1F" w:rsidRPr="00073574">
        <w:rPr>
          <w:sz w:val="24"/>
          <w:szCs w:val="24"/>
          <w:lang w:val="en-GB"/>
        </w:rPr>
        <w:t>–</w:t>
      </w:r>
      <w:r w:rsidRPr="00073574">
        <w:rPr>
          <w:sz w:val="24"/>
          <w:szCs w:val="24"/>
          <w:lang w:val="en-GB"/>
        </w:rPr>
        <w:t xml:space="preserve"> Acknowledging the active involvement of the membership in the development of ITU Telecommunication Standardization Sector deliverables</w:t>
      </w:r>
      <w:bookmarkEnd w:id="481"/>
      <w:bookmarkEnd w:id="482"/>
    </w:p>
    <w:p w14:paraId="33874DD3" w14:textId="77777777" w:rsidR="00F0236A" w:rsidRPr="00073574" w:rsidRDefault="00F0236A" w:rsidP="005B5893">
      <w:pPr>
        <w:keepNext/>
        <w:keepLines/>
        <w:rPr>
          <w:b/>
          <w:bCs/>
          <w:sz w:val="24"/>
        </w:rPr>
      </w:pPr>
      <w:r w:rsidRPr="00073574">
        <w:rPr>
          <w:b/>
          <w:bCs/>
          <w:sz w:val="24"/>
        </w:rPr>
        <w:t>Resolution 80</w:t>
      </w:r>
    </w:p>
    <w:p w14:paraId="68C1570A" w14:textId="77777777" w:rsidR="00F0236A" w:rsidRPr="00073574" w:rsidRDefault="00F0236A">
      <w:pPr>
        <w:pStyle w:val="Call"/>
        <w:rPr>
          <w:sz w:val="24"/>
          <w:szCs w:val="24"/>
          <w:lang w:val="en-GB" w:eastAsia="en-AU"/>
        </w:rPr>
      </w:pPr>
      <w:r w:rsidRPr="00073574">
        <w:rPr>
          <w:sz w:val="24"/>
          <w:szCs w:val="24"/>
          <w:lang w:val="en-GB" w:eastAsia="en-AU"/>
        </w:rPr>
        <w:t>resolves</w:t>
      </w:r>
    </w:p>
    <w:p w14:paraId="5C350E19" w14:textId="77777777" w:rsidR="00F0236A" w:rsidRPr="00073574" w:rsidRDefault="00F0236A" w:rsidP="005B5893">
      <w:pPr>
        <w:keepNext/>
        <w:keepLines/>
        <w:rPr>
          <w:sz w:val="24"/>
          <w:lang w:eastAsia="en-AU"/>
        </w:rPr>
      </w:pPr>
      <w:r w:rsidRPr="00073574">
        <w:rPr>
          <w:sz w:val="24"/>
        </w:rPr>
        <w:t>that it is important to acknowledge significant contributors to the work of ITU-T,</w:t>
      </w:r>
    </w:p>
    <w:p w14:paraId="7A6AAB65" w14:textId="77777777" w:rsidR="00F0236A" w:rsidRPr="00073574" w:rsidRDefault="00F0236A" w:rsidP="00F0236A">
      <w:pPr>
        <w:pStyle w:val="Call"/>
        <w:rPr>
          <w:sz w:val="24"/>
          <w:szCs w:val="24"/>
          <w:lang w:val="en-GB" w:eastAsia="en-AU"/>
        </w:rPr>
      </w:pPr>
      <w:r w:rsidRPr="00073574">
        <w:rPr>
          <w:sz w:val="24"/>
          <w:szCs w:val="24"/>
          <w:lang w:val="en-GB" w:eastAsia="en-AU"/>
        </w:rPr>
        <w:t>instructs the Director of the Telecommunication Standardization Bureau</w:t>
      </w:r>
    </w:p>
    <w:p w14:paraId="693E4B7B" w14:textId="77777777" w:rsidR="00F0236A" w:rsidRPr="00073574" w:rsidRDefault="00F0236A" w:rsidP="00F0236A">
      <w:pPr>
        <w:rPr>
          <w:sz w:val="24"/>
        </w:rPr>
      </w:pPr>
      <w:r w:rsidRPr="00073574">
        <w:rPr>
          <w:sz w:val="24"/>
        </w:rPr>
        <w:t>to acknowledge the value of active participation of the membership, in particular academia, universities and their associated research establishments, in the standardization activities of ITU, by collaborating closely with Member States and their respective bodies that formulate public policies in areas such as education, science, technology, industry and commerce in order to highlight the importance of contribution to ITU-T study group deliverables,</w:t>
      </w:r>
    </w:p>
    <w:p w14:paraId="15E2AF63" w14:textId="77777777" w:rsidR="00F0236A" w:rsidRPr="00073574" w:rsidRDefault="00F0236A" w:rsidP="00F0236A">
      <w:pPr>
        <w:pStyle w:val="Call"/>
        <w:rPr>
          <w:sz w:val="24"/>
          <w:szCs w:val="24"/>
          <w:lang w:val="en-GB" w:eastAsia="en-AU"/>
        </w:rPr>
      </w:pPr>
      <w:r w:rsidRPr="00073574">
        <w:rPr>
          <w:sz w:val="24"/>
          <w:szCs w:val="24"/>
          <w:lang w:val="en-GB" w:eastAsia="en-AU"/>
        </w:rPr>
        <w:t>instructs the Telecommunication Standardization Advisory Group</w:t>
      </w:r>
    </w:p>
    <w:p w14:paraId="346F2C8D" w14:textId="77777777" w:rsidR="00F0236A" w:rsidRPr="00073574" w:rsidRDefault="00F0236A" w:rsidP="00F0236A">
      <w:pPr>
        <w:rPr>
          <w:sz w:val="24"/>
          <w:lang w:eastAsia="en-AU"/>
        </w:rPr>
      </w:pPr>
      <w:r w:rsidRPr="00073574">
        <w:rPr>
          <w:sz w:val="24"/>
          <w:lang w:eastAsia="en-AU"/>
        </w:rPr>
        <w:t>to establish criteria that guide study groups</w:t>
      </w:r>
      <w:r w:rsidRPr="00073574">
        <w:rPr>
          <w:sz w:val="24"/>
        </w:rPr>
        <w:t xml:space="preserve"> </w:t>
      </w:r>
      <w:r w:rsidRPr="00073574">
        <w:rPr>
          <w:sz w:val="24"/>
          <w:lang w:eastAsia="en-AU"/>
        </w:rPr>
        <w:t>to clearly acknowledge contributors to the development of study group deliverables;</w:t>
      </w:r>
    </w:p>
    <w:p w14:paraId="280CF0EB" w14:textId="77777777" w:rsidR="00F0236A" w:rsidRPr="00073574" w:rsidRDefault="00F0236A" w:rsidP="00F0236A">
      <w:pPr>
        <w:pStyle w:val="Call"/>
        <w:rPr>
          <w:sz w:val="24"/>
          <w:szCs w:val="24"/>
          <w:lang w:val="en-GB" w:eastAsia="en-AU"/>
        </w:rPr>
      </w:pPr>
      <w:r w:rsidRPr="00073574">
        <w:rPr>
          <w:sz w:val="24"/>
          <w:szCs w:val="24"/>
          <w:lang w:val="en-GB" w:eastAsia="en-AU"/>
        </w:rPr>
        <w:t>instructs the study groups of the ITU Telecommunication Standardization Sector</w:t>
      </w:r>
    </w:p>
    <w:p w14:paraId="13833D18" w14:textId="77777777" w:rsidR="00F0236A" w:rsidRPr="00073574" w:rsidRDefault="00F0236A" w:rsidP="00F0236A">
      <w:pPr>
        <w:rPr>
          <w:sz w:val="24"/>
        </w:rPr>
      </w:pPr>
      <w:r w:rsidRPr="00073574">
        <w:rPr>
          <w:sz w:val="24"/>
        </w:rPr>
        <w:t>to acknowledge contributors to the development of study group deliverables, in particular those from academia, universities and associated research establishments, based on the criteria established by the Telecommunication Standardization Advisory Group (TSAG),</w:t>
      </w:r>
    </w:p>
    <w:p w14:paraId="2CCB6D67" w14:textId="77777777" w:rsidR="00F0236A" w:rsidRPr="00073574" w:rsidRDefault="00F0236A" w:rsidP="00F0236A">
      <w:pPr>
        <w:pStyle w:val="Call"/>
        <w:rPr>
          <w:sz w:val="24"/>
          <w:szCs w:val="24"/>
          <w:lang w:val="en-GB" w:eastAsia="en-AU"/>
        </w:rPr>
      </w:pPr>
      <w:r w:rsidRPr="00073574">
        <w:rPr>
          <w:sz w:val="24"/>
          <w:szCs w:val="24"/>
          <w:lang w:val="en-GB" w:eastAsia="en-AU"/>
        </w:rPr>
        <w:t>invites Member States</w:t>
      </w:r>
    </w:p>
    <w:p w14:paraId="1330DE4A" w14:textId="77777777" w:rsidR="00F0236A" w:rsidRPr="00073574" w:rsidRDefault="00F0236A" w:rsidP="00F0236A">
      <w:pPr>
        <w:spacing w:after="240"/>
        <w:rPr>
          <w:sz w:val="24"/>
        </w:rPr>
      </w:pPr>
      <w:r w:rsidRPr="00073574">
        <w:rPr>
          <w:sz w:val="24"/>
        </w:rPr>
        <w:t>to collaborate with ITU-T and to encourage research funding organizations and/or research institutions in their countries to acknowledge the criteria established by TSAG in the evaluation of the productivity of professionals from academia, universities and associated research establishments.</w:t>
      </w:r>
    </w:p>
    <w:tbl>
      <w:tblPr>
        <w:tblW w:w="99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17"/>
        <w:gridCol w:w="4777"/>
        <w:gridCol w:w="1563"/>
        <w:gridCol w:w="1139"/>
        <w:gridCol w:w="1336"/>
      </w:tblGrid>
      <w:tr w:rsidR="00F0236A" w:rsidRPr="00073574" w14:paraId="6C6CF881" w14:textId="77777777" w:rsidTr="634A3A28">
        <w:trPr>
          <w:tblHeader/>
          <w:jc w:val="center"/>
        </w:trPr>
        <w:tc>
          <w:tcPr>
            <w:tcW w:w="1117" w:type="dxa"/>
            <w:tcBorders>
              <w:top w:val="single" w:sz="12" w:space="0" w:color="auto"/>
              <w:bottom w:val="single" w:sz="12" w:space="0" w:color="auto"/>
            </w:tcBorders>
            <w:shd w:val="clear" w:color="auto" w:fill="auto"/>
            <w:vAlign w:val="center"/>
          </w:tcPr>
          <w:p w14:paraId="54CC7680" w14:textId="77777777" w:rsidR="00F0236A" w:rsidRPr="00073574" w:rsidRDefault="00F0236A" w:rsidP="008B1BCF">
            <w:pPr>
              <w:pStyle w:val="Tablehead"/>
              <w:keepNext w:val="0"/>
              <w:rPr>
                <w:sz w:val="24"/>
                <w:szCs w:val="24"/>
              </w:rPr>
            </w:pPr>
            <w:r w:rsidRPr="00073574">
              <w:rPr>
                <w:sz w:val="24"/>
                <w:szCs w:val="24"/>
              </w:rPr>
              <w:t>Action Item</w:t>
            </w:r>
          </w:p>
        </w:tc>
        <w:tc>
          <w:tcPr>
            <w:tcW w:w="4777" w:type="dxa"/>
            <w:tcBorders>
              <w:top w:val="single" w:sz="12" w:space="0" w:color="auto"/>
              <w:bottom w:val="single" w:sz="12" w:space="0" w:color="auto"/>
            </w:tcBorders>
            <w:shd w:val="clear" w:color="auto" w:fill="auto"/>
            <w:vAlign w:val="center"/>
            <w:hideMark/>
          </w:tcPr>
          <w:p w14:paraId="42EB007D" w14:textId="77777777" w:rsidR="00F0236A" w:rsidRPr="00073574" w:rsidRDefault="00F0236A" w:rsidP="00DF36E1">
            <w:pPr>
              <w:pStyle w:val="Tablehead"/>
              <w:keepLines/>
              <w:rPr>
                <w:sz w:val="24"/>
                <w:szCs w:val="24"/>
              </w:rPr>
            </w:pPr>
            <w:r w:rsidRPr="00073574">
              <w:rPr>
                <w:sz w:val="24"/>
                <w:szCs w:val="24"/>
              </w:rPr>
              <w:t>Action</w:t>
            </w:r>
          </w:p>
        </w:tc>
        <w:tc>
          <w:tcPr>
            <w:tcW w:w="1563" w:type="dxa"/>
            <w:tcBorders>
              <w:top w:val="single" w:sz="12" w:space="0" w:color="auto"/>
              <w:bottom w:val="single" w:sz="12" w:space="0" w:color="auto"/>
            </w:tcBorders>
            <w:shd w:val="clear" w:color="auto" w:fill="auto"/>
            <w:vAlign w:val="center"/>
            <w:hideMark/>
          </w:tcPr>
          <w:p w14:paraId="4C7E9C24" w14:textId="77777777" w:rsidR="00F0236A" w:rsidRPr="00073574" w:rsidRDefault="00F0236A" w:rsidP="00DF36E1">
            <w:pPr>
              <w:pStyle w:val="Tablehead"/>
              <w:keepLines/>
              <w:rPr>
                <w:sz w:val="24"/>
                <w:szCs w:val="24"/>
              </w:rPr>
            </w:pPr>
            <w:r w:rsidRPr="00073574">
              <w:rPr>
                <w:sz w:val="24"/>
                <w:szCs w:val="24"/>
              </w:rPr>
              <w:t>Milestone</w:t>
            </w:r>
          </w:p>
        </w:tc>
        <w:tc>
          <w:tcPr>
            <w:tcW w:w="1139" w:type="dxa"/>
            <w:tcBorders>
              <w:top w:val="single" w:sz="12" w:space="0" w:color="auto"/>
              <w:bottom w:val="single" w:sz="12" w:space="0" w:color="auto"/>
            </w:tcBorders>
            <w:shd w:val="clear" w:color="auto" w:fill="auto"/>
          </w:tcPr>
          <w:p w14:paraId="3038FE06" w14:textId="77777777" w:rsidR="00F0236A" w:rsidRPr="00073574" w:rsidRDefault="00F0236A" w:rsidP="00DF36E1">
            <w:pPr>
              <w:pStyle w:val="Tablehead"/>
              <w:keepLines/>
              <w:rPr>
                <w:sz w:val="24"/>
                <w:szCs w:val="24"/>
              </w:rPr>
            </w:pPr>
            <w:r w:rsidRPr="00073574">
              <w:rPr>
                <w:sz w:val="24"/>
                <w:szCs w:val="24"/>
              </w:rPr>
              <w:t>Periodic goals met</w:t>
            </w:r>
          </w:p>
        </w:tc>
        <w:tc>
          <w:tcPr>
            <w:tcW w:w="1336" w:type="dxa"/>
            <w:tcBorders>
              <w:top w:val="single" w:sz="12" w:space="0" w:color="auto"/>
              <w:bottom w:val="single" w:sz="12" w:space="0" w:color="auto"/>
            </w:tcBorders>
            <w:shd w:val="clear" w:color="auto" w:fill="auto"/>
            <w:vAlign w:val="center"/>
          </w:tcPr>
          <w:p w14:paraId="15760A11" w14:textId="77777777" w:rsidR="00F0236A" w:rsidRPr="00073574" w:rsidRDefault="00F0236A" w:rsidP="00DF36E1">
            <w:pPr>
              <w:pStyle w:val="Tablehead"/>
              <w:keepLines/>
              <w:rPr>
                <w:sz w:val="24"/>
                <w:szCs w:val="24"/>
              </w:rPr>
            </w:pPr>
            <w:r w:rsidRPr="00073574">
              <w:rPr>
                <w:sz w:val="24"/>
                <w:szCs w:val="24"/>
              </w:rPr>
              <w:t>Completed</w:t>
            </w:r>
          </w:p>
        </w:tc>
      </w:tr>
      <w:tr w:rsidR="00F0236A" w:rsidRPr="00073574" w14:paraId="33E98809" w14:textId="77777777" w:rsidTr="634A3A28">
        <w:trPr>
          <w:jc w:val="center"/>
        </w:trPr>
        <w:tc>
          <w:tcPr>
            <w:tcW w:w="1117" w:type="dxa"/>
            <w:vMerge w:val="restart"/>
            <w:tcBorders>
              <w:top w:val="single" w:sz="12" w:space="0" w:color="auto"/>
            </w:tcBorders>
            <w:shd w:val="clear" w:color="auto" w:fill="auto"/>
          </w:tcPr>
          <w:p w14:paraId="2B864DE6" w14:textId="77777777" w:rsidR="00F0236A" w:rsidRPr="00073574" w:rsidRDefault="00F0236A" w:rsidP="00154E96">
            <w:pPr>
              <w:pStyle w:val="Tabletext"/>
              <w:rPr>
                <w:b/>
                <w:bCs/>
                <w:sz w:val="24"/>
                <w:szCs w:val="24"/>
              </w:rPr>
            </w:pPr>
            <w:r w:rsidRPr="00073574">
              <w:rPr>
                <w:b/>
                <w:bCs/>
                <w:sz w:val="24"/>
                <w:szCs w:val="24"/>
              </w:rPr>
              <w:t>80-01</w:t>
            </w:r>
          </w:p>
        </w:tc>
        <w:tc>
          <w:tcPr>
            <w:tcW w:w="4777" w:type="dxa"/>
            <w:tcBorders>
              <w:top w:val="single" w:sz="12" w:space="0" w:color="auto"/>
              <w:bottom w:val="single" w:sz="2" w:space="0" w:color="auto"/>
            </w:tcBorders>
            <w:shd w:val="clear" w:color="auto" w:fill="auto"/>
            <w:hideMark/>
          </w:tcPr>
          <w:p w14:paraId="5A672CB9" w14:textId="77777777" w:rsidR="00F0236A" w:rsidRPr="00073574" w:rsidRDefault="00F0236A" w:rsidP="00154E96">
            <w:pPr>
              <w:pStyle w:val="Tabletext"/>
              <w:rPr>
                <w:b/>
                <w:bCs/>
                <w:sz w:val="24"/>
                <w:szCs w:val="24"/>
              </w:rPr>
            </w:pPr>
            <w:r w:rsidRPr="00073574">
              <w:rPr>
                <w:b/>
                <w:bCs/>
                <w:sz w:val="24"/>
                <w:szCs w:val="24"/>
              </w:rPr>
              <w:t>TSB Director to collaborate with Member States to acknowledge the value of active membership participation and contribution to ITU-T SG deliverables (i. TSBDir)</w:t>
            </w:r>
          </w:p>
        </w:tc>
        <w:tc>
          <w:tcPr>
            <w:tcW w:w="1563" w:type="dxa"/>
            <w:tcBorders>
              <w:top w:val="single" w:sz="12" w:space="0" w:color="auto"/>
              <w:bottom w:val="single" w:sz="2" w:space="0" w:color="auto"/>
            </w:tcBorders>
            <w:shd w:val="clear" w:color="auto" w:fill="auto"/>
            <w:vAlign w:val="center"/>
          </w:tcPr>
          <w:p w14:paraId="432B8994" w14:textId="77777777" w:rsidR="00F0236A" w:rsidRPr="00073574" w:rsidRDefault="00F0236A" w:rsidP="00154E96">
            <w:pPr>
              <w:pStyle w:val="Tabletext"/>
              <w:jc w:val="center"/>
              <w:rPr>
                <w:b/>
                <w:bCs/>
                <w:sz w:val="24"/>
                <w:szCs w:val="24"/>
              </w:rPr>
            </w:pPr>
            <w:r w:rsidRPr="00073574">
              <w:rPr>
                <w:b/>
                <w:bCs/>
                <w:sz w:val="24"/>
                <w:szCs w:val="24"/>
              </w:rPr>
              <w:t>Ongoing</w:t>
            </w:r>
          </w:p>
        </w:tc>
        <w:tc>
          <w:tcPr>
            <w:tcW w:w="1139" w:type="dxa"/>
            <w:tcBorders>
              <w:top w:val="single" w:sz="12" w:space="0" w:color="auto"/>
              <w:bottom w:val="single" w:sz="2" w:space="0" w:color="auto"/>
            </w:tcBorders>
            <w:shd w:val="clear" w:color="auto" w:fill="auto"/>
            <w:vAlign w:val="center"/>
          </w:tcPr>
          <w:p w14:paraId="7849BA78" w14:textId="1323EB2B" w:rsidR="00F0236A" w:rsidRPr="00073574" w:rsidRDefault="006A3FF2" w:rsidP="00154E96">
            <w:pPr>
              <w:pStyle w:val="Tabletext"/>
              <w:jc w:val="center"/>
              <w:rPr>
                <w:b/>
                <w:bCs/>
                <w:sz w:val="24"/>
                <w:szCs w:val="24"/>
              </w:rPr>
            </w:pPr>
            <w:r w:rsidRPr="00073574">
              <w:rPr>
                <w:b/>
                <w:bCs/>
                <w:sz w:val="24"/>
                <w:szCs w:val="24"/>
              </w:rPr>
              <w:t>√</w:t>
            </w:r>
          </w:p>
        </w:tc>
        <w:tc>
          <w:tcPr>
            <w:tcW w:w="1336" w:type="dxa"/>
            <w:tcBorders>
              <w:top w:val="single" w:sz="12" w:space="0" w:color="auto"/>
              <w:bottom w:val="single" w:sz="2" w:space="0" w:color="auto"/>
            </w:tcBorders>
            <w:shd w:val="clear" w:color="auto" w:fill="auto"/>
            <w:vAlign w:val="center"/>
          </w:tcPr>
          <w:p w14:paraId="3F838747" w14:textId="77777777" w:rsidR="00F0236A" w:rsidRPr="00073574" w:rsidRDefault="00F0236A" w:rsidP="00154E96">
            <w:pPr>
              <w:pStyle w:val="Tabletext"/>
              <w:jc w:val="center"/>
              <w:rPr>
                <w:b/>
                <w:bCs/>
                <w:sz w:val="24"/>
                <w:szCs w:val="24"/>
              </w:rPr>
            </w:pPr>
          </w:p>
        </w:tc>
      </w:tr>
      <w:tr w:rsidR="00F0236A" w:rsidRPr="00073574" w14:paraId="679EF524" w14:textId="77777777" w:rsidTr="634A3A28">
        <w:trPr>
          <w:jc w:val="center"/>
        </w:trPr>
        <w:tc>
          <w:tcPr>
            <w:tcW w:w="1117" w:type="dxa"/>
            <w:vMerge/>
          </w:tcPr>
          <w:p w14:paraId="2114818F" w14:textId="77777777" w:rsidR="00F0236A" w:rsidRPr="00073574" w:rsidRDefault="00F0236A" w:rsidP="00741E3C">
            <w:pPr>
              <w:pStyle w:val="Tabletext"/>
              <w:rPr>
                <w:sz w:val="24"/>
                <w:szCs w:val="24"/>
              </w:rPr>
            </w:pPr>
          </w:p>
        </w:tc>
        <w:tc>
          <w:tcPr>
            <w:tcW w:w="8815" w:type="dxa"/>
            <w:gridSpan w:val="4"/>
            <w:tcBorders>
              <w:top w:val="single" w:sz="2" w:space="0" w:color="auto"/>
              <w:bottom w:val="single" w:sz="12" w:space="0" w:color="auto"/>
            </w:tcBorders>
            <w:shd w:val="clear" w:color="auto" w:fill="auto"/>
          </w:tcPr>
          <w:p w14:paraId="154B7383" w14:textId="73CE25D6" w:rsidR="006A2466" w:rsidRPr="00073574" w:rsidRDefault="006A2466" w:rsidP="00154E96">
            <w:r w:rsidRPr="00073574">
              <w:t>At WTSA-12, Resolution 80 was approved with the aim of stimulating further participation of academia, universities and their associated research establishments in the work of ITU-T through the acknowledgment of their contributions to the development of ITU-T deliverables.</w:t>
            </w:r>
          </w:p>
          <w:p w14:paraId="0A9B2848" w14:textId="468E72AF" w:rsidR="006A2466" w:rsidRPr="00073574" w:rsidRDefault="006A2466" w:rsidP="00154E96">
            <w:r w:rsidRPr="00073574">
              <w:t>The rationale behind this was that the performance of academics is evaluated on their publications (books, papers, patents, etc.), courses taught, thesis advisory roles, and research projects accomplished, while the efforts applied to writing, editing or presenting contributions to ITU-T, do not count towards grants and career progression for academia members.</w:t>
            </w:r>
          </w:p>
          <w:p w14:paraId="7D6514C4" w14:textId="77777777" w:rsidR="006A2466" w:rsidRPr="00073574" w:rsidRDefault="006A2466">
            <w:r w:rsidRPr="00073574">
              <w:t>Incentive mechanisms were thought to be necessary to make key standardization processes, such as authorship of contributions and editorship, more attractive to academia members.</w:t>
            </w:r>
          </w:p>
          <w:p w14:paraId="29DA8F67" w14:textId="61D28BCC" w:rsidR="006A2466" w:rsidRPr="00073574" w:rsidRDefault="006A2466">
            <w:r w:rsidRPr="00073574">
              <w:t>Therefore, this Resolution 80 called on ITU-T to modify the publication procedures for its standardization documents, including Recommendations, by acknowledging somewhere in each document detailed information about its editorship and main contributors.</w:t>
            </w:r>
          </w:p>
          <w:p w14:paraId="40BC20FC" w14:textId="77777777" w:rsidR="006A2466" w:rsidRPr="00073574" w:rsidRDefault="006A2466">
            <w:r w:rsidRPr="00073574">
              <w:lastRenderedPageBreak/>
              <w:t>However, the ITU Legal Affairs Unit (LAU) clearly stated that ITU solely holds copyrights on its publications (cf. Resolution 66 of Plenipotentiary Conference), and that the so-called “contributors” should not be perceived as co-authors of the texts in question.</w:t>
            </w:r>
          </w:p>
          <w:p w14:paraId="0C4A30BA" w14:textId="7668CFE3" w:rsidR="006A2466" w:rsidRPr="00073574" w:rsidRDefault="006A2466">
            <w:r w:rsidRPr="00073574">
              <w:t xml:space="preserve">At its meeting held in June 2013, TSAG agreed to task ITU-T SG9 to explore different mechanisms to implement Resolution 80. Based on ITU-T SG9 analysis, at its meeting in February 2016, TSAG approved a set of options (Guidelines </w:t>
            </w:r>
            <w:hyperlink r:id="rId700" w:history="1">
              <w:r w:rsidRPr="00073574">
                <w:rPr>
                  <w:rStyle w:val="Hyperlink"/>
                </w:rPr>
                <w:t>TD 899 (GEN/9)</w:t>
              </w:r>
            </w:hyperlink>
            <w:r w:rsidRPr="00073574">
              <w:t xml:space="preserve">: 1. </w:t>
            </w:r>
            <w:r w:rsidR="002D4D1F" w:rsidRPr="00073574">
              <w:t>U</w:t>
            </w:r>
            <w:r w:rsidRPr="00073574">
              <w:t xml:space="preserve">se of bibliographic references, 2. </w:t>
            </w:r>
            <w:r w:rsidR="002D4D1F" w:rsidRPr="00073574">
              <w:t>L</w:t>
            </w:r>
            <w:r w:rsidRPr="00073574">
              <w:t xml:space="preserve">ists of participants and contributors per meeting, and 3. </w:t>
            </w:r>
            <w:r w:rsidR="002D4D1F" w:rsidRPr="00073574">
              <w:t>L</w:t>
            </w:r>
            <w:r w:rsidRPr="00073574">
              <w:t>ists of contributors’ names on a given Recommendation’s webpage) to acknowledge contributors to the development of SGs deliverables and encouraged all SGs to implement them.</w:t>
            </w:r>
          </w:p>
          <w:p w14:paraId="153C067F" w14:textId="77777777" w:rsidR="006A2466" w:rsidRPr="00073574" w:rsidRDefault="006A2466">
            <w:r w:rsidRPr="00073574">
              <w:t>WTSA-16 approved a slightly revised version of Res. 80, strengthening the need to acknowledge contributors to the development of SGs deliverables and to study new criteria. Nonetheless, some legal points were not fully settled and would require further discussion and clarification. In particular, the notion of “significant contribution” is hard to define and poses a constraint in the effective implementation of the Resolution.</w:t>
            </w:r>
          </w:p>
          <w:p w14:paraId="3AD1EF15" w14:textId="0D8B577F" w:rsidR="006A2466" w:rsidRPr="00073574" w:rsidRDefault="006A2466">
            <w:r w:rsidRPr="00073574">
              <w:t>The collective nature of the ITU standardization process was reiterated by LAU</w:t>
            </w:r>
            <w:r w:rsidRPr="00073574">
              <w:rPr>
                <w:rFonts w:eastAsia="Times New Roman"/>
              </w:rPr>
              <w:t xml:space="preserve">. Hence, no contributors/authors can be acknowledged within the text of the Recommendation itself. </w:t>
            </w:r>
            <w:r w:rsidRPr="00073574">
              <w:t>This poses the need to redirect efforts towards exploring alternative solutions.</w:t>
            </w:r>
          </w:p>
          <w:p w14:paraId="30DB924C" w14:textId="77777777" w:rsidR="00F0236A" w:rsidRPr="00073574" w:rsidRDefault="006A2466">
            <w:pPr>
              <w:pStyle w:val="Tabletext"/>
            </w:pPr>
            <w:r w:rsidRPr="00073574">
              <w:t xml:space="preserve">For a detailed summary of all actions undertaken with respect to WTSA Resolution 80, please see </w:t>
            </w:r>
            <w:hyperlink r:id="rId701" w:history="1">
              <w:r w:rsidRPr="00073574">
                <w:rPr>
                  <w:rStyle w:val="Hyperlink"/>
                  <w:rFonts w:eastAsiaTheme="majorEastAsia"/>
                </w:rPr>
                <w:t>WTSA-16 Contribution 59</w:t>
              </w:r>
            </w:hyperlink>
            <w:r w:rsidRPr="00073574">
              <w:t>.</w:t>
            </w:r>
          </w:p>
          <w:p w14:paraId="2ABB1EF2" w14:textId="06CD6226" w:rsidR="0073440F" w:rsidRPr="00073574" w:rsidRDefault="007F60A8" w:rsidP="00154E96">
            <w:pPr>
              <w:spacing w:after="120"/>
            </w:pPr>
            <w:r w:rsidRPr="00073574">
              <w:t xml:space="preserve">Moreover, in line with option 1 of the guidelines (“Bibliographic references for the purpose of acknowledging input to the content of an ITU-T Recommendation will consist of peer-reviewed publications and/or books that are considered useful for the understanding and/or development of the deliverable”), researchers that are members of the ITU are encouraged to submit their research work to the scientific, peer-reviewed publications of the ITU which are free of charge for both authors and readers: the </w:t>
            </w:r>
            <w:hyperlink r:id="rId702" w:history="1">
              <w:r w:rsidRPr="00073574">
                <w:rPr>
                  <w:rStyle w:val="Hyperlink"/>
                </w:rPr>
                <w:t>ITU Kaleidoscope academic conferences</w:t>
              </w:r>
            </w:hyperlink>
            <w:r w:rsidRPr="00073574">
              <w:t xml:space="preserve"> Proceedings and the </w:t>
            </w:r>
            <w:hyperlink r:id="rId703" w:history="1">
              <w:r w:rsidRPr="00073574">
                <w:rPr>
                  <w:rStyle w:val="Hyperlink"/>
                </w:rPr>
                <w:t>ITU Journal on Future and Evolving Technologies</w:t>
              </w:r>
            </w:hyperlink>
            <w:r w:rsidRPr="00073574">
              <w:t xml:space="preserve"> (ITU J-FET).</w:t>
            </w:r>
          </w:p>
        </w:tc>
      </w:tr>
      <w:tr w:rsidR="00F0236A" w:rsidRPr="00073574" w14:paraId="7BDDD7F9" w14:textId="77777777" w:rsidTr="634A3A28">
        <w:trPr>
          <w:jc w:val="center"/>
        </w:trPr>
        <w:tc>
          <w:tcPr>
            <w:tcW w:w="1117" w:type="dxa"/>
            <w:vMerge w:val="restart"/>
            <w:tcBorders>
              <w:top w:val="single" w:sz="12" w:space="0" w:color="auto"/>
            </w:tcBorders>
            <w:shd w:val="clear" w:color="auto" w:fill="auto"/>
          </w:tcPr>
          <w:p w14:paraId="582F4E01" w14:textId="77777777" w:rsidR="00F0236A" w:rsidRPr="00073574" w:rsidRDefault="00F0236A" w:rsidP="00DF36E1">
            <w:pPr>
              <w:pStyle w:val="Tabletext"/>
              <w:rPr>
                <w:b/>
                <w:bCs/>
                <w:sz w:val="24"/>
                <w:szCs w:val="24"/>
              </w:rPr>
            </w:pPr>
            <w:r w:rsidRPr="00073574">
              <w:rPr>
                <w:b/>
                <w:bCs/>
                <w:sz w:val="24"/>
                <w:szCs w:val="24"/>
              </w:rPr>
              <w:lastRenderedPageBreak/>
              <w:t>80-02</w:t>
            </w:r>
          </w:p>
        </w:tc>
        <w:tc>
          <w:tcPr>
            <w:tcW w:w="4777" w:type="dxa"/>
            <w:tcBorders>
              <w:top w:val="single" w:sz="12" w:space="0" w:color="auto"/>
            </w:tcBorders>
            <w:shd w:val="clear" w:color="auto" w:fill="auto"/>
            <w:hideMark/>
          </w:tcPr>
          <w:p w14:paraId="29D053BB" w14:textId="77777777" w:rsidR="00F0236A" w:rsidRPr="00073574" w:rsidRDefault="00F0236A" w:rsidP="00DF36E1">
            <w:pPr>
              <w:pStyle w:val="Tabletext"/>
              <w:rPr>
                <w:b/>
                <w:bCs/>
                <w:sz w:val="24"/>
                <w:szCs w:val="24"/>
              </w:rPr>
            </w:pPr>
            <w:r w:rsidRPr="00073574">
              <w:rPr>
                <w:b/>
                <w:bCs/>
                <w:sz w:val="24"/>
                <w:szCs w:val="24"/>
              </w:rPr>
              <w:t>TSAG to establish criteria that guide study groups options on how to clearly acknowledge contributors (i. TSAG)</w:t>
            </w:r>
          </w:p>
        </w:tc>
        <w:tc>
          <w:tcPr>
            <w:tcW w:w="1563" w:type="dxa"/>
            <w:tcBorders>
              <w:top w:val="single" w:sz="12" w:space="0" w:color="auto"/>
            </w:tcBorders>
            <w:shd w:val="clear" w:color="auto" w:fill="auto"/>
            <w:vAlign w:val="center"/>
          </w:tcPr>
          <w:p w14:paraId="3828FED5" w14:textId="77777777" w:rsidR="00F0236A" w:rsidRPr="00073574" w:rsidRDefault="00F0236A" w:rsidP="00DF36E1">
            <w:pPr>
              <w:pStyle w:val="Tabletext"/>
              <w:jc w:val="center"/>
              <w:rPr>
                <w:b/>
                <w:bCs/>
                <w:sz w:val="24"/>
                <w:szCs w:val="24"/>
              </w:rPr>
            </w:pPr>
            <w:r w:rsidRPr="00073574">
              <w:rPr>
                <w:b/>
                <w:bCs/>
                <w:sz w:val="24"/>
                <w:szCs w:val="24"/>
              </w:rPr>
              <w:t>TSAG meetings</w:t>
            </w:r>
          </w:p>
        </w:tc>
        <w:tc>
          <w:tcPr>
            <w:tcW w:w="1139" w:type="dxa"/>
            <w:tcBorders>
              <w:top w:val="single" w:sz="12" w:space="0" w:color="auto"/>
            </w:tcBorders>
            <w:shd w:val="clear" w:color="auto" w:fill="auto"/>
            <w:vAlign w:val="center"/>
          </w:tcPr>
          <w:p w14:paraId="17C4F950" w14:textId="129750FB" w:rsidR="00F0236A" w:rsidRPr="00073574" w:rsidRDefault="00156E4C"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7A9D33EC" w14:textId="77777777" w:rsidR="00F0236A" w:rsidRPr="00073574" w:rsidRDefault="00F0236A" w:rsidP="00DF36E1">
            <w:pPr>
              <w:pStyle w:val="Tabletext"/>
              <w:jc w:val="center"/>
              <w:rPr>
                <w:b/>
                <w:bCs/>
                <w:sz w:val="24"/>
                <w:szCs w:val="24"/>
              </w:rPr>
            </w:pPr>
          </w:p>
        </w:tc>
      </w:tr>
      <w:tr w:rsidR="00F0236A" w:rsidRPr="00073574" w14:paraId="302BB4DD" w14:textId="77777777" w:rsidTr="634A3A28">
        <w:trPr>
          <w:jc w:val="center"/>
        </w:trPr>
        <w:tc>
          <w:tcPr>
            <w:tcW w:w="1117" w:type="dxa"/>
            <w:vMerge/>
          </w:tcPr>
          <w:p w14:paraId="08B35363" w14:textId="77777777" w:rsidR="00F0236A" w:rsidRPr="00073574" w:rsidRDefault="00F0236A" w:rsidP="00DF36E1">
            <w:pPr>
              <w:pStyle w:val="Tabletext"/>
              <w:rPr>
                <w:sz w:val="24"/>
                <w:szCs w:val="24"/>
              </w:rPr>
            </w:pPr>
          </w:p>
        </w:tc>
        <w:tc>
          <w:tcPr>
            <w:tcW w:w="8815" w:type="dxa"/>
            <w:gridSpan w:val="4"/>
            <w:shd w:val="clear" w:color="auto" w:fill="auto"/>
          </w:tcPr>
          <w:p w14:paraId="6292AE0B" w14:textId="0F254678" w:rsidR="00F0236A" w:rsidRPr="00073574" w:rsidRDefault="00DC5AF1" w:rsidP="00DF36E1">
            <w:pPr>
              <w:pStyle w:val="Tabletext"/>
              <w:rPr>
                <w:szCs w:val="22"/>
              </w:rPr>
            </w:pPr>
            <w:r w:rsidRPr="00073574">
              <w:rPr>
                <w:szCs w:val="22"/>
              </w:rPr>
              <w:t>See 80-01.</w:t>
            </w:r>
          </w:p>
        </w:tc>
      </w:tr>
      <w:tr w:rsidR="00F0236A" w:rsidRPr="00073574" w:rsidDel="009D2372" w14:paraId="23F5E823" w14:textId="77777777" w:rsidTr="634A3A28">
        <w:trPr>
          <w:jc w:val="center"/>
        </w:trPr>
        <w:tc>
          <w:tcPr>
            <w:tcW w:w="1117" w:type="dxa"/>
            <w:vMerge w:val="restart"/>
            <w:tcBorders>
              <w:top w:val="single" w:sz="12" w:space="0" w:color="auto"/>
            </w:tcBorders>
            <w:shd w:val="clear" w:color="auto" w:fill="auto"/>
          </w:tcPr>
          <w:p w14:paraId="17C64619" w14:textId="77777777" w:rsidR="00F0236A" w:rsidRPr="00073574" w:rsidDel="009D2372" w:rsidRDefault="00F0236A" w:rsidP="003C4463">
            <w:pPr>
              <w:pStyle w:val="Tabletext"/>
              <w:keepNext/>
              <w:keepLines/>
              <w:rPr>
                <w:b/>
                <w:bCs/>
                <w:sz w:val="24"/>
                <w:szCs w:val="24"/>
              </w:rPr>
            </w:pPr>
            <w:r w:rsidRPr="00073574">
              <w:rPr>
                <w:b/>
                <w:bCs/>
                <w:sz w:val="24"/>
                <w:szCs w:val="24"/>
              </w:rPr>
              <w:t>80-04</w:t>
            </w:r>
          </w:p>
        </w:tc>
        <w:tc>
          <w:tcPr>
            <w:tcW w:w="4777" w:type="dxa"/>
            <w:tcBorders>
              <w:top w:val="single" w:sz="12" w:space="0" w:color="auto"/>
            </w:tcBorders>
            <w:shd w:val="clear" w:color="auto" w:fill="auto"/>
          </w:tcPr>
          <w:p w14:paraId="2C7BEF52" w14:textId="77777777" w:rsidR="00F0236A" w:rsidRPr="00073574" w:rsidDel="009D2372" w:rsidRDefault="00F0236A" w:rsidP="00DF36E1">
            <w:pPr>
              <w:pStyle w:val="Tabletext"/>
              <w:rPr>
                <w:b/>
                <w:bCs/>
                <w:sz w:val="24"/>
                <w:szCs w:val="24"/>
              </w:rPr>
            </w:pPr>
            <w:r w:rsidRPr="00073574">
              <w:rPr>
                <w:b/>
                <w:bCs/>
                <w:sz w:val="24"/>
                <w:szCs w:val="24"/>
              </w:rPr>
              <w:t>ITU-T study groups to acknowledge contributors to the development of study group deliverables, in particular those from academia, universities and associated research establishments, based on the criteria established by the TSAG (i. SGs)</w:t>
            </w:r>
          </w:p>
        </w:tc>
        <w:tc>
          <w:tcPr>
            <w:tcW w:w="1563" w:type="dxa"/>
            <w:tcBorders>
              <w:top w:val="single" w:sz="12" w:space="0" w:color="auto"/>
            </w:tcBorders>
            <w:shd w:val="clear" w:color="auto" w:fill="auto"/>
            <w:vAlign w:val="center"/>
          </w:tcPr>
          <w:p w14:paraId="2998E625" w14:textId="77777777" w:rsidR="00F0236A" w:rsidRPr="00073574" w:rsidDel="009D2372" w:rsidRDefault="00F0236A" w:rsidP="00DF36E1">
            <w:pPr>
              <w:pStyle w:val="Tabletext"/>
              <w:jc w:val="center"/>
              <w:rPr>
                <w:b/>
                <w:bCs/>
                <w:sz w:val="24"/>
                <w:szCs w:val="24"/>
              </w:rPr>
            </w:pPr>
            <w:r w:rsidRPr="00073574">
              <w:rPr>
                <w:b/>
                <w:bCs/>
                <w:sz w:val="24"/>
                <w:szCs w:val="24"/>
              </w:rPr>
              <w:t>Ongoing</w:t>
            </w:r>
          </w:p>
        </w:tc>
        <w:tc>
          <w:tcPr>
            <w:tcW w:w="1139" w:type="dxa"/>
            <w:tcBorders>
              <w:top w:val="single" w:sz="12" w:space="0" w:color="auto"/>
            </w:tcBorders>
            <w:shd w:val="clear" w:color="auto" w:fill="auto"/>
            <w:vAlign w:val="center"/>
          </w:tcPr>
          <w:p w14:paraId="69C1EC9C" w14:textId="77777777" w:rsidR="00F0236A" w:rsidRPr="00073574" w:rsidDel="009D2372"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4F9F0E56" w14:textId="77777777" w:rsidR="00F0236A" w:rsidRPr="00073574" w:rsidDel="009D2372" w:rsidRDefault="00F0236A" w:rsidP="00DF36E1">
            <w:pPr>
              <w:pStyle w:val="Tabletext"/>
              <w:jc w:val="center"/>
              <w:rPr>
                <w:b/>
                <w:bCs/>
                <w:sz w:val="24"/>
                <w:szCs w:val="24"/>
              </w:rPr>
            </w:pPr>
          </w:p>
        </w:tc>
      </w:tr>
      <w:tr w:rsidR="00F0236A" w:rsidRPr="00073574" w:rsidDel="009D2372" w14:paraId="27A73110" w14:textId="77777777" w:rsidTr="634A3A28">
        <w:trPr>
          <w:jc w:val="center"/>
        </w:trPr>
        <w:tc>
          <w:tcPr>
            <w:tcW w:w="1117" w:type="dxa"/>
            <w:vMerge/>
            <w:vAlign w:val="center"/>
          </w:tcPr>
          <w:p w14:paraId="2BD759F6" w14:textId="77777777" w:rsidR="00F0236A" w:rsidRPr="00073574" w:rsidRDefault="00F0236A" w:rsidP="00DF36E1">
            <w:pPr>
              <w:pStyle w:val="Tabletext"/>
              <w:rPr>
                <w:sz w:val="24"/>
                <w:szCs w:val="24"/>
              </w:rPr>
            </w:pPr>
          </w:p>
        </w:tc>
        <w:tc>
          <w:tcPr>
            <w:tcW w:w="8815" w:type="dxa"/>
            <w:gridSpan w:val="4"/>
            <w:shd w:val="clear" w:color="auto" w:fill="auto"/>
          </w:tcPr>
          <w:p w14:paraId="7FA304A3" w14:textId="5837E8DE" w:rsidR="00F0236A" w:rsidRPr="00073574" w:rsidRDefault="00F0236A" w:rsidP="002E241A">
            <w:pPr>
              <w:pStyle w:val="ListParagraph"/>
              <w:numPr>
                <w:ilvl w:val="0"/>
                <w:numId w:val="24"/>
              </w:numPr>
              <w:spacing w:before="40"/>
              <w:ind w:left="368" w:hanging="357"/>
              <w:contextualSpacing w:val="0"/>
            </w:pPr>
            <w:r w:rsidRPr="00073574">
              <w:t>In SG2</w:t>
            </w:r>
            <w:r w:rsidR="002D4D1F" w:rsidRPr="00073574">
              <w:t>’</w:t>
            </w:r>
            <w:r w:rsidRPr="00073574">
              <w:t>s meeting in September 2016 in the last study period, it was noted that the TSAG meeting of 1-5 February 2016 agreed that the trial in SG9 be rolled out to other ITU-T Study Groups who would then have options as derived by the TSB from the SG9 guidelines. The Chairman invited SG2 Questions to consider which of the options would be suitable for implementation in SG2, taking into account the SG9 Guidelines, some aspects of which are still under study.</w:t>
            </w:r>
          </w:p>
          <w:p w14:paraId="53BE76C1" w14:textId="5F7148D8" w:rsidR="006C3F4A" w:rsidRPr="00073574" w:rsidRDefault="006C3F4A" w:rsidP="002E241A">
            <w:pPr>
              <w:pStyle w:val="ListParagraph"/>
              <w:numPr>
                <w:ilvl w:val="0"/>
                <w:numId w:val="24"/>
              </w:numPr>
              <w:ind w:left="368" w:hanging="357"/>
              <w:contextualSpacing w:val="0"/>
            </w:pPr>
            <w:r w:rsidRPr="00073574">
              <w:t xml:space="preserve">SG3 continue to actively encourage and to increase </w:t>
            </w:r>
            <w:r w:rsidR="00D67FDF" w:rsidRPr="00073574">
              <w:t>participants</w:t>
            </w:r>
            <w:r w:rsidRPr="00073574">
              <w:t xml:space="preserve"> from research institutions and academia.</w:t>
            </w:r>
          </w:p>
          <w:p w14:paraId="2BF5CBFD" w14:textId="77777777" w:rsidR="00F0236A" w:rsidRPr="00073574" w:rsidRDefault="00F0236A" w:rsidP="002E241A">
            <w:pPr>
              <w:pStyle w:val="ListParagraph"/>
              <w:numPr>
                <w:ilvl w:val="0"/>
                <w:numId w:val="24"/>
              </w:numPr>
              <w:ind w:left="368" w:hanging="357"/>
              <w:contextualSpacing w:val="0"/>
            </w:pPr>
            <w:r w:rsidRPr="00073574">
              <w:t>SG5 and SG20 actively encourage the participation of Academia in the work under study.</w:t>
            </w:r>
          </w:p>
          <w:p w14:paraId="0F9F7C9C" w14:textId="08085B03" w:rsidR="00F0236A" w:rsidRPr="00073574" w:rsidRDefault="00F0236A" w:rsidP="002E241A">
            <w:pPr>
              <w:pStyle w:val="ListParagraph"/>
              <w:numPr>
                <w:ilvl w:val="0"/>
                <w:numId w:val="24"/>
              </w:numPr>
              <w:ind w:left="360"/>
              <w:contextualSpacing w:val="0"/>
            </w:pPr>
            <w:r w:rsidRPr="00073574">
              <w:lastRenderedPageBreak/>
              <w:t>SG9 has actively contributed for the implementation of Resolution 80 in the last Study Period, in coordination with TSAG, and plans to continue being active in this field.</w:t>
            </w:r>
            <w:r w:rsidR="002D4D1F" w:rsidRPr="00073574">
              <w:t xml:space="preserve"> Academic participants are welcomed and </w:t>
            </w:r>
            <w:r w:rsidR="007F602F" w:rsidRPr="00073574">
              <w:t>encouraged</w:t>
            </w:r>
            <w:r w:rsidR="002D4D1F" w:rsidRPr="00073574">
              <w:t xml:space="preserve"> by SG9 Management. SG9 welcomed two new academia members in ITU-T in this Stud Period, one of them was appointed Rapporteur for Q11/9 and co-chair of IRG-AVA.</w:t>
            </w:r>
          </w:p>
          <w:p w14:paraId="41C02CA1" w14:textId="397D3FF2" w:rsidR="00074EDA" w:rsidRPr="00073574" w:rsidRDefault="00074EDA" w:rsidP="002E241A">
            <w:pPr>
              <w:pStyle w:val="ListParagraph"/>
              <w:numPr>
                <w:ilvl w:val="0"/>
                <w:numId w:val="24"/>
              </w:numPr>
              <w:ind w:left="360"/>
              <w:contextualSpacing w:val="0"/>
            </w:pPr>
            <w:r w:rsidRPr="00073574">
              <w:t>SG11 encourages Academia to participate in the work of the group. Most of them are very active as they are in charge of the development several standards.</w:t>
            </w:r>
            <w:r w:rsidR="002B6913" w:rsidRPr="00073574">
              <w:t xml:space="preserve"> In March 2020, a new SME member joined SG11.</w:t>
            </w:r>
          </w:p>
          <w:p w14:paraId="72A6E1ED" w14:textId="3B1FEEE3" w:rsidR="00207CAE" w:rsidRPr="00073574" w:rsidRDefault="00207CAE" w:rsidP="002E241A">
            <w:pPr>
              <w:pStyle w:val="ListParagraph"/>
              <w:numPr>
                <w:ilvl w:val="0"/>
                <w:numId w:val="24"/>
              </w:numPr>
              <w:ind w:left="360"/>
              <w:contextualSpacing w:val="0"/>
            </w:pPr>
            <w:r w:rsidRPr="00073574">
              <w:t>SG12: Academia participate and are among the top contributors (number of contributions).</w:t>
            </w:r>
          </w:p>
          <w:p w14:paraId="4ADC807A" w14:textId="3FBC3F53" w:rsidR="00A110C2" w:rsidRPr="00073574" w:rsidRDefault="1C638F80" w:rsidP="634A3A28">
            <w:pPr>
              <w:pStyle w:val="ListParagraph"/>
              <w:numPr>
                <w:ilvl w:val="0"/>
                <w:numId w:val="24"/>
              </w:numPr>
              <w:ind w:left="360"/>
              <w:contextualSpacing w:val="0"/>
              <w:rPr>
                <w:sz w:val="24"/>
              </w:rPr>
            </w:pPr>
            <w:r w:rsidRPr="00073574">
              <w:t>SG13 maintained on ongoing basis an acknowledgement webpage since the beginning of the study period until September 2019. Co-authors of the FG NET2030 White Paper are listed on this publication. The same applies to the second deliverable of this FG “New Services and Capabilities for Network 2030: Description, Technical Gap and Performance Target Analysis”</w:t>
            </w:r>
            <w:r w:rsidR="007F602F" w:rsidRPr="00073574">
              <w:t xml:space="preserve"> </w:t>
            </w:r>
            <w:r w:rsidR="46048FBF" w:rsidRPr="00073574">
              <w:t>and FG NET2030 technical specification on NET2030 architecture.</w:t>
            </w:r>
            <w:r w:rsidR="00294650" w:rsidRPr="00073574">
              <w:t xml:space="preserve"> The first Deliverable of the FG-AN </w:t>
            </w:r>
            <w:r w:rsidR="00F2618B" w:rsidRPr="00073574">
              <w:t xml:space="preserve">(on use cases for </w:t>
            </w:r>
            <w:r w:rsidR="0030464D" w:rsidRPr="00073574">
              <w:t>Autonomous Networks</w:t>
            </w:r>
            <w:r w:rsidR="00F2618B" w:rsidRPr="00073574">
              <w:t>), lists all the contributors to this publication.</w:t>
            </w:r>
          </w:p>
          <w:p w14:paraId="24644D3F" w14:textId="6BECBBC0" w:rsidR="00671D11" w:rsidRPr="00073574" w:rsidDel="009D2372" w:rsidRDefault="061F88F5" w:rsidP="002E241A">
            <w:pPr>
              <w:pStyle w:val="ListParagraph"/>
              <w:numPr>
                <w:ilvl w:val="0"/>
                <w:numId w:val="24"/>
              </w:numPr>
              <w:spacing w:after="40"/>
              <w:ind w:left="357" w:hanging="357"/>
              <w:contextualSpacing w:val="0"/>
              <w:rPr>
                <w:rFonts w:eastAsia="Times New Roman"/>
              </w:rPr>
            </w:pPr>
            <w:r w:rsidRPr="00073574">
              <w:t>SG16 encourages the participation of Academia in the work under study.</w:t>
            </w:r>
          </w:p>
          <w:p w14:paraId="783F18CC" w14:textId="2FD74857" w:rsidR="00671D11" w:rsidRPr="00073574" w:rsidDel="009D2372" w:rsidRDefault="155F3D4A" w:rsidP="002E241A">
            <w:pPr>
              <w:pStyle w:val="ListParagraph"/>
              <w:numPr>
                <w:ilvl w:val="0"/>
                <w:numId w:val="24"/>
              </w:numPr>
              <w:spacing w:after="40"/>
              <w:ind w:left="357" w:hanging="357"/>
              <w:contextualSpacing w:val="0"/>
            </w:pPr>
            <w:r w:rsidRPr="00073574">
              <w:rPr>
                <w:rFonts w:eastAsia="Times New Roman"/>
              </w:rPr>
              <w:t>A link was added to the SG17 web page to acknowledge the SG17 management team, SG17 Rapporteurs and Associate Rapporteurs.</w:t>
            </w:r>
          </w:p>
        </w:tc>
      </w:tr>
    </w:tbl>
    <w:bookmarkStart w:id="483" w:name="Item80_04"/>
    <w:bookmarkEnd w:id="483"/>
    <w:p w14:paraId="5411FC77" w14:textId="77777777" w:rsidR="00F0236A" w:rsidRPr="00073574" w:rsidRDefault="00F0236A" w:rsidP="00F0236A">
      <w:pPr>
        <w:rPr>
          <w:sz w:val="24"/>
        </w:rPr>
      </w:pPr>
      <w:r w:rsidRPr="00073574">
        <w:rPr>
          <w:color w:val="2B579A"/>
          <w:shd w:val="clear" w:color="auto" w:fill="E6E6E6"/>
        </w:rPr>
        <w:lastRenderedPageBreak/>
        <w:fldChar w:fldCharType="begin"/>
      </w:r>
      <w:r w:rsidRPr="00073574">
        <w:rPr>
          <w:sz w:val="24"/>
        </w:rPr>
        <w:instrText xml:space="preserve"> HYPERLINK \l "Top" </w:instrText>
      </w:r>
      <w:r w:rsidRPr="00073574">
        <w:rPr>
          <w:color w:val="2B579A"/>
          <w:shd w:val="clear" w:color="auto" w:fill="E6E6E6"/>
        </w:rPr>
        <w:fldChar w:fldCharType="separate"/>
      </w:r>
      <w:r w:rsidRPr="00073574">
        <w:rPr>
          <w:rStyle w:val="Hyperlink"/>
          <w:rFonts w:eastAsia="Times New Roman"/>
          <w:sz w:val="24"/>
        </w:rPr>
        <w:t>» Top</w:t>
      </w:r>
      <w:r w:rsidRPr="00073574">
        <w:rPr>
          <w:rStyle w:val="Hyperlink"/>
          <w:rFonts w:eastAsia="Times New Roman"/>
          <w:sz w:val="24"/>
        </w:rPr>
        <w:fldChar w:fldCharType="end"/>
      </w:r>
    </w:p>
    <w:p w14:paraId="510F5046" w14:textId="77777777" w:rsidR="00F0236A" w:rsidRPr="00073574" w:rsidRDefault="00F0236A" w:rsidP="007D22B2">
      <w:pPr>
        <w:pStyle w:val="Heading1"/>
        <w:keepNext/>
        <w:keepLines/>
        <w:rPr>
          <w:sz w:val="24"/>
          <w:szCs w:val="24"/>
          <w:lang w:val="en-GB"/>
        </w:rPr>
      </w:pPr>
      <w:bookmarkStart w:id="484" w:name="_Opinion_1_-"/>
      <w:bookmarkStart w:id="485" w:name="_Resolution_83_-"/>
      <w:bookmarkStart w:id="486" w:name="_Toc471715397"/>
      <w:bookmarkStart w:id="487" w:name="_Toc93425283"/>
      <w:bookmarkEnd w:id="484"/>
      <w:bookmarkEnd w:id="485"/>
      <w:r w:rsidRPr="00073574">
        <w:rPr>
          <w:sz w:val="24"/>
          <w:szCs w:val="24"/>
          <w:lang w:val="en-GB"/>
        </w:rPr>
        <w:t>Resolution 83 – Evaluation of the implementation of resolutions of the World Telecommunication Standardization Assembly</w:t>
      </w:r>
      <w:bookmarkEnd w:id="486"/>
      <w:bookmarkEnd w:id="487"/>
    </w:p>
    <w:p w14:paraId="53876E9C" w14:textId="77777777" w:rsidR="00F0236A" w:rsidRPr="00073574" w:rsidRDefault="00F0236A" w:rsidP="007D22B2">
      <w:pPr>
        <w:keepNext/>
        <w:keepLines/>
        <w:rPr>
          <w:b/>
          <w:bCs/>
          <w:sz w:val="24"/>
        </w:rPr>
      </w:pPr>
      <w:r w:rsidRPr="00073574">
        <w:rPr>
          <w:b/>
          <w:bCs/>
          <w:sz w:val="24"/>
        </w:rPr>
        <w:t>Resolution 83</w:t>
      </w:r>
    </w:p>
    <w:p w14:paraId="0DAB4711" w14:textId="77777777" w:rsidR="00F0236A" w:rsidRPr="00073574" w:rsidRDefault="00F0236A" w:rsidP="007D22B2">
      <w:pPr>
        <w:pStyle w:val="Call"/>
        <w:rPr>
          <w:sz w:val="24"/>
          <w:szCs w:val="24"/>
          <w:lang w:val="en-GB"/>
        </w:rPr>
      </w:pPr>
      <w:r w:rsidRPr="00073574">
        <w:rPr>
          <w:sz w:val="24"/>
          <w:szCs w:val="24"/>
          <w:lang w:val="en-GB"/>
        </w:rPr>
        <w:t>resolves to invite Member States and Sector Members</w:t>
      </w:r>
    </w:p>
    <w:p w14:paraId="7ED21C55" w14:textId="77777777" w:rsidR="00F0236A" w:rsidRPr="00073574" w:rsidRDefault="00F0236A" w:rsidP="007D22B2">
      <w:pPr>
        <w:keepNext/>
        <w:keepLines/>
        <w:rPr>
          <w:sz w:val="24"/>
        </w:rPr>
      </w:pPr>
      <w:r w:rsidRPr="00073574">
        <w:rPr>
          <w:sz w:val="24"/>
        </w:rPr>
        <w:t>1</w:t>
      </w:r>
      <w:r w:rsidRPr="00073574">
        <w:rPr>
          <w:sz w:val="24"/>
        </w:rPr>
        <w:tab/>
        <w:t>to indicate, as part of the preparatory meetings for WTSA, the status of implementation of the resolutions adopted for the previous study period;</w:t>
      </w:r>
    </w:p>
    <w:p w14:paraId="5D95DBD1" w14:textId="77777777" w:rsidR="00F0236A" w:rsidRPr="00073574" w:rsidRDefault="00F0236A" w:rsidP="00F0236A">
      <w:pPr>
        <w:rPr>
          <w:i/>
          <w:sz w:val="24"/>
        </w:rPr>
      </w:pPr>
      <w:r w:rsidRPr="00073574">
        <w:rPr>
          <w:sz w:val="24"/>
        </w:rPr>
        <w:t>2</w:t>
      </w:r>
      <w:r w:rsidRPr="00073574">
        <w:rPr>
          <w:sz w:val="24"/>
        </w:rPr>
        <w:tab/>
        <w:t>to make proposals to improve the implementation of resolutions,</w:t>
      </w:r>
    </w:p>
    <w:p w14:paraId="591ED357" w14:textId="77777777" w:rsidR="00F0236A" w:rsidRPr="00073574" w:rsidRDefault="00F0236A" w:rsidP="00F0236A">
      <w:pPr>
        <w:pStyle w:val="Call"/>
        <w:rPr>
          <w:sz w:val="24"/>
          <w:szCs w:val="24"/>
          <w:lang w:val="en-GB" w:eastAsia="en-AU"/>
        </w:rPr>
      </w:pPr>
      <w:r w:rsidRPr="00073574">
        <w:rPr>
          <w:sz w:val="24"/>
          <w:szCs w:val="24"/>
          <w:lang w:val="en-GB" w:eastAsia="en-AU"/>
        </w:rPr>
        <w:t>instructs the Director of the Telecommunication Standardization Bureau, in collaboration with Directors of the other Bureaux</w:t>
      </w:r>
    </w:p>
    <w:p w14:paraId="0E9E9876" w14:textId="77777777" w:rsidR="00F0236A" w:rsidRPr="00073574" w:rsidRDefault="00F0236A" w:rsidP="00F0236A">
      <w:pPr>
        <w:rPr>
          <w:sz w:val="24"/>
        </w:rPr>
      </w:pPr>
      <w:r w:rsidRPr="00073574">
        <w:rPr>
          <w:sz w:val="24"/>
        </w:rPr>
        <w:t>to take the necessary actions to assess the implementation of WTSA resolutions by all parties concerned,</w:t>
      </w:r>
    </w:p>
    <w:p w14:paraId="754B90E6" w14:textId="77777777" w:rsidR="00F0236A" w:rsidRPr="00073574" w:rsidRDefault="00F0236A" w:rsidP="00F0236A">
      <w:pPr>
        <w:pStyle w:val="Call"/>
        <w:rPr>
          <w:sz w:val="24"/>
          <w:szCs w:val="24"/>
          <w:lang w:val="en-GB" w:eastAsia="en-AU"/>
        </w:rPr>
      </w:pPr>
      <w:r w:rsidRPr="00073574">
        <w:rPr>
          <w:sz w:val="24"/>
          <w:szCs w:val="24"/>
          <w:lang w:val="en-GB" w:eastAsia="en-AU"/>
        </w:rPr>
        <w:t>instructs the Director of the Telecommunication Standardization Bureau</w:t>
      </w:r>
    </w:p>
    <w:p w14:paraId="6F02C3EF" w14:textId="77777777" w:rsidR="00F0236A" w:rsidRPr="00073574" w:rsidRDefault="00F0236A" w:rsidP="00F0236A">
      <w:pPr>
        <w:spacing w:after="240"/>
        <w:rPr>
          <w:sz w:val="24"/>
        </w:rPr>
      </w:pPr>
      <w:r w:rsidRPr="00073574">
        <w:rPr>
          <w:sz w:val="24"/>
        </w:rPr>
        <w:t>to take account of the implementation of WTSA resolutions and submit an assessment report to TSAG.</w:t>
      </w:r>
    </w:p>
    <w:tbl>
      <w:tblPr>
        <w:tblW w:w="99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32"/>
        <w:gridCol w:w="4985"/>
        <w:gridCol w:w="1336"/>
        <w:gridCol w:w="1143"/>
        <w:gridCol w:w="1336"/>
      </w:tblGrid>
      <w:tr w:rsidR="00F0236A" w:rsidRPr="00073574" w14:paraId="26AEB9AF" w14:textId="77777777" w:rsidTr="00834DDA">
        <w:trPr>
          <w:tblHeader/>
          <w:jc w:val="center"/>
        </w:trPr>
        <w:tc>
          <w:tcPr>
            <w:tcW w:w="1132" w:type="dxa"/>
            <w:tcBorders>
              <w:top w:val="single" w:sz="12" w:space="0" w:color="auto"/>
              <w:bottom w:val="single" w:sz="12" w:space="0" w:color="auto"/>
            </w:tcBorders>
            <w:shd w:val="clear" w:color="auto" w:fill="auto"/>
            <w:vAlign w:val="center"/>
          </w:tcPr>
          <w:p w14:paraId="582395BE" w14:textId="77777777" w:rsidR="00F0236A" w:rsidRPr="00073574" w:rsidRDefault="00F0236A" w:rsidP="008F2BEB">
            <w:pPr>
              <w:pStyle w:val="Tablehead"/>
              <w:keepNext w:val="0"/>
              <w:rPr>
                <w:sz w:val="24"/>
                <w:szCs w:val="24"/>
              </w:rPr>
            </w:pPr>
            <w:r w:rsidRPr="00073574">
              <w:rPr>
                <w:sz w:val="24"/>
                <w:szCs w:val="24"/>
              </w:rPr>
              <w:lastRenderedPageBreak/>
              <w:t>Action Item</w:t>
            </w:r>
          </w:p>
        </w:tc>
        <w:tc>
          <w:tcPr>
            <w:tcW w:w="4985" w:type="dxa"/>
            <w:tcBorders>
              <w:top w:val="single" w:sz="12" w:space="0" w:color="auto"/>
              <w:bottom w:val="single" w:sz="12" w:space="0" w:color="auto"/>
            </w:tcBorders>
            <w:shd w:val="clear" w:color="auto" w:fill="auto"/>
            <w:vAlign w:val="center"/>
            <w:hideMark/>
          </w:tcPr>
          <w:p w14:paraId="683485D8" w14:textId="77777777" w:rsidR="00F0236A" w:rsidRPr="00073574" w:rsidRDefault="00F0236A" w:rsidP="00DF36E1">
            <w:pPr>
              <w:pStyle w:val="Tablehead"/>
              <w:rPr>
                <w:sz w:val="24"/>
                <w:szCs w:val="24"/>
              </w:rPr>
            </w:pPr>
            <w:r w:rsidRPr="00073574">
              <w:rPr>
                <w:sz w:val="24"/>
                <w:szCs w:val="24"/>
              </w:rPr>
              <w:t>Action</w:t>
            </w:r>
          </w:p>
        </w:tc>
        <w:tc>
          <w:tcPr>
            <w:tcW w:w="1336" w:type="dxa"/>
            <w:tcBorders>
              <w:top w:val="single" w:sz="12" w:space="0" w:color="auto"/>
              <w:bottom w:val="single" w:sz="12" w:space="0" w:color="auto"/>
            </w:tcBorders>
            <w:shd w:val="clear" w:color="auto" w:fill="auto"/>
            <w:vAlign w:val="center"/>
            <w:hideMark/>
          </w:tcPr>
          <w:p w14:paraId="41FF97EB" w14:textId="77777777" w:rsidR="00F0236A" w:rsidRPr="00073574" w:rsidRDefault="00F0236A" w:rsidP="00DF36E1">
            <w:pPr>
              <w:pStyle w:val="Tablehead"/>
              <w:rPr>
                <w:sz w:val="24"/>
                <w:szCs w:val="24"/>
              </w:rPr>
            </w:pPr>
            <w:r w:rsidRPr="00073574">
              <w:rPr>
                <w:sz w:val="24"/>
                <w:szCs w:val="24"/>
              </w:rPr>
              <w:t>Milestone</w:t>
            </w:r>
          </w:p>
        </w:tc>
        <w:tc>
          <w:tcPr>
            <w:tcW w:w="1143" w:type="dxa"/>
            <w:tcBorders>
              <w:top w:val="single" w:sz="12" w:space="0" w:color="auto"/>
              <w:bottom w:val="single" w:sz="12" w:space="0" w:color="auto"/>
            </w:tcBorders>
            <w:shd w:val="clear" w:color="auto" w:fill="auto"/>
          </w:tcPr>
          <w:p w14:paraId="0573F428" w14:textId="77777777" w:rsidR="00F0236A" w:rsidRPr="00073574" w:rsidRDefault="00F0236A" w:rsidP="00DF36E1">
            <w:pPr>
              <w:pStyle w:val="Tablehead"/>
              <w:rPr>
                <w:sz w:val="24"/>
                <w:szCs w:val="24"/>
              </w:rPr>
            </w:pPr>
            <w:r w:rsidRPr="00073574">
              <w:rPr>
                <w:sz w:val="24"/>
                <w:szCs w:val="24"/>
              </w:rPr>
              <w:t>Periodic goals met</w:t>
            </w:r>
          </w:p>
        </w:tc>
        <w:tc>
          <w:tcPr>
            <w:tcW w:w="1336" w:type="dxa"/>
            <w:tcBorders>
              <w:top w:val="single" w:sz="12" w:space="0" w:color="auto"/>
              <w:bottom w:val="single" w:sz="12" w:space="0" w:color="auto"/>
            </w:tcBorders>
            <w:shd w:val="clear" w:color="auto" w:fill="auto"/>
            <w:vAlign w:val="center"/>
          </w:tcPr>
          <w:p w14:paraId="4C6A5794" w14:textId="77777777" w:rsidR="00F0236A" w:rsidRPr="00073574" w:rsidRDefault="00F0236A" w:rsidP="00DF36E1">
            <w:pPr>
              <w:pStyle w:val="Tablehead"/>
              <w:rPr>
                <w:sz w:val="24"/>
                <w:szCs w:val="24"/>
              </w:rPr>
            </w:pPr>
            <w:r w:rsidRPr="00073574">
              <w:rPr>
                <w:sz w:val="24"/>
                <w:szCs w:val="24"/>
              </w:rPr>
              <w:t>Completed</w:t>
            </w:r>
          </w:p>
        </w:tc>
      </w:tr>
      <w:tr w:rsidR="00F0236A" w:rsidRPr="00073574" w14:paraId="6A7D08F4" w14:textId="77777777" w:rsidTr="00834DDA">
        <w:trPr>
          <w:cantSplit/>
          <w:jc w:val="center"/>
        </w:trPr>
        <w:tc>
          <w:tcPr>
            <w:tcW w:w="1132" w:type="dxa"/>
            <w:vMerge w:val="restart"/>
            <w:tcBorders>
              <w:top w:val="single" w:sz="12" w:space="0" w:color="auto"/>
            </w:tcBorders>
            <w:shd w:val="clear" w:color="auto" w:fill="auto"/>
          </w:tcPr>
          <w:p w14:paraId="18163E27" w14:textId="77777777" w:rsidR="00F0236A" w:rsidRPr="00073574" w:rsidRDefault="00F0236A" w:rsidP="00DF36E1">
            <w:pPr>
              <w:pStyle w:val="Tabletext"/>
              <w:rPr>
                <w:b/>
                <w:bCs/>
                <w:sz w:val="24"/>
                <w:szCs w:val="24"/>
              </w:rPr>
            </w:pPr>
            <w:r w:rsidRPr="00073574">
              <w:rPr>
                <w:b/>
                <w:bCs/>
                <w:sz w:val="24"/>
                <w:szCs w:val="24"/>
              </w:rPr>
              <w:t>83-01</w:t>
            </w:r>
          </w:p>
        </w:tc>
        <w:tc>
          <w:tcPr>
            <w:tcW w:w="4985" w:type="dxa"/>
            <w:tcBorders>
              <w:top w:val="single" w:sz="12" w:space="0" w:color="auto"/>
              <w:bottom w:val="single" w:sz="2" w:space="0" w:color="auto"/>
            </w:tcBorders>
            <w:shd w:val="clear" w:color="auto" w:fill="auto"/>
            <w:hideMark/>
          </w:tcPr>
          <w:p w14:paraId="285B0DE6" w14:textId="77777777" w:rsidR="00F0236A" w:rsidRPr="00073574" w:rsidRDefault="00F0236A" w:rsidP="00DF36E1">
            <w:pPr>
              <w:pStyle w:val="Tabletext"/>
              <w:rPr>
                <w:b/>
                <w:bCs/>
                <w:sz w:val="24"/>
                <w:szCs w:val="24"/>
              </w:rPr>
            </w:pPr>
            <w:r w:rsidRPr="00073574">
              <w:rPr>
                <w:b/>
                <w:bCs/>
                <w:sz w:val="24"/>
                <w:szCs w:val="24"/>
              </w:rPr>
              <w:t>TSB Director to take the necessary actions to assess the implementation of WTSA resolutions by all parties concerned (i. TSBDir)</w:t>
            </w:r>
          </w:p>
        </w:tc>
        <w:tc>
          <w:tcPr>
            <w:tcW w:w="1336" w:type="dxa"/>
            <w:tcBorders>
              <w:top w:val="single" w:sz="12" w:space="0" w:color="auto"/>
              <w:bottom w:val="single" w:sz="2" w:space="0" w:color="auto"/>
            </w:tcBorders>
            <w:shd w:val="clear" w:color="auto" w:fill="auto"/>
            <w:vAlign w:val="center"/>
          </w:tcPr>
          <w:p w14:paraId="4830FF14"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43" w:type="dxa"/>
            <w:tcBorders>
              <w:top w:val="single" w:sz="12" w:space="0" w:color="auto"/>
              <w:bottom w:val="single" w:sz="2" w:space="0" w:color="auto"/>
            </w:tcBorders>
            <w:shd w:val="clear" w:color="auto" w:fill="auto"/>
            <w:vAlign w:val="center"/>
          </w:tcPr>
          <w:p w14:paraId="1AB689E5"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bottom w:val="single" w:sz="2" w:space="0" w:color="auto"/>
            </w:tcBorders>
            <w:shd w:val="clear" w:color="auto" w:fill="auto"/>
            <w:vAlign w:val="center"/>
          </w:tcPr>
          <w:p w14:paraId="67D4D1AF" w14:textId="77777777" w:rsidR="00F0236A" w:rsidRPr="00073574" w:rsidRDefault="00F0236A" w:rsidP="00DF36E1">
            <w:pPr>
              <w:pStyle w:val="Tabletext"/>
              <w:jc w:val="center"/>
              <w:rPr>
                <w:b/>
                <w:bCs/>
                <w:sz w:val="24"/>
                <w:szCs w:val="24"/>
              </w:rPr>
            </w:pPr>
          </w:p>
        </w:tc>
      </w:tr>
      <w:tr w:rsidR="00F0236A" w:rsidRPr="00073574" w14:paraId="5A4AC4C9" w14:textId="77777777" w:rsidTr="00091191">
        <w:trPr>
          <w:jc w:val="center"/>
        </w:trPr>
        <w:tc>
          <w:tcPr>
            <w:tcW w:w="1132" w:type="dxa"/>
            <w:vMerge/>
            <w:tcBorders>
              <w:bottom w:val="single" w:sz="12" w:space="0" w:color="auto"/>
            </w:tcBorders>
            <w:shd w:val="clear" w:color="auto" w:fill="auto"/>
          </w:tcPr>
          <w:p w14:paraId="59CD656F" w14:textId="77777777" w:rsidR="00F0236A" w:rsidRPr="00073574" w:rsidRDefault="00F0236A" w:rsidP="00DF36E1">
            <w:pPr>
              <w:pStyle w:val="Tabletext"/>
              <w:rPr>
                <w:sz w:val="24"/>
                <w:szCs w:val="24"/>
              </w:rPr>
            </w:pPr>
          </w:p>
        </w:tc>
        <w:tc>
          <w:tcPr>
            <w:tcW w:w="8800" w:type="dxa"/>
            <w:gridSpan w:val="4"/>
            <w:tcBorders>
              <w:top w:val="single" w:sz="2" w:space="0" w:color="auto"/>
              <w:bottom w:val="single" w:sz="12" w:space="0" w:color="auto"/>
            </w:tcBorders>
            <w:shd w:val="clear" w:color="auto" w:fill="auto"/>
          </w:tcPr>
          <w:p w14:paraId="3EBCD561" w14:textId="77777777" w:rsidR="00F0236A" w:rsidRPr="00073574" w:rsidRDefault="00F0236A" w:rsidP="00886934">
            <w:pPr>
              <w:pStyle w:val="Tabletext"/>
              <w:rPr>
                <w:szCs w:val="22"/>
              </w:rPr>
            </w:pPr>
            <w:r w:rsidRPr="00073574">
              <w:rPr>
                <w:szCs w:val="22"/>
              </w:rPr>
              <w:t>The May 2017 TSAG meeting considered the plan to establish a new Rapporteur Group later during this study period and closer to the next WTSA, with the objective to review the WTSA Resolutions and the achieved progress during the current study period.</w:t>
            </w:r>
          </w:p>
          <w:p w14:paraId="37B949A3" w14:textId="78F42C9B" w:rsidR="00260F2C" w:rsidRPr="00073574" w:rsidRDefault="00260F2C" w:rsidP="00DF36E1">
            <w:pPr>
              <w:pStyle w:val="Tabletext"/>
              <w:jc w:val="both"/>
              <w:rPr>
                <w:szCs w:val="22"/>
              </w:rPr>
            </w:pPr>
            <w:r w:rsidRPr="00073574">
              <w:rPr>
                <w:szCs w:val="22"/>
              </w:rPr>
              <w:t>The February/March 2018 TSAG meeting established TSAG RG-ResReview.</w:t>
            </w:r>
          </w:p>
        </w:tc>
      </w:tr>
      <w:tr w:rsidR="00F0236A" w:rsidRPr="00073574" w14:paraId="6A8E04E2" w14:textId="77777777" w:rsidTr="00834DDA">
        <w:trPr>
          <w:cantSplit/>
          <w:jc w:val="center"/>
        </w:trPr>
        <w:tc>
          <w:tcPr>
            <w:tcW w:w="1132" w:type="dxa"/>
            <w:vMerge w:val="restart"/>
            <w:tcBorders>
              <w:top w:val="single" w:sz="12" w:space="0" w:color="auto"/>
            </w:tcBorders>
            <w:shd w:val="clear" w:color="auto" w:fill="auto"/>
          </w:tcPr>
          <w:p w14:paraId="016C334E" w14:textId="77777777" w:rsidR="00F0236A" w:rsidRPr="00073574" w:rsidRDefault="00F0236A" w:rsidP="00DF36E1">
            <w:pPr>
              <w:pStyle w:val="Tabletext"/>
              <w:rPr>
                <w:b/>
                <w:bCs/>
                <w:sz w:val="24"/>
                <w:szCs w:val="24"/>
              </w:rPr>
            </w:pPr>
            <w:r w:rsidRPr="00073574">
              <w:rPr>
                <w:b/>
                <w:bCs/>
                <w:sz w:val="24"/>
                <w:szCs w:val="24"/>
              </w:rPr>
              <w:t>83-02</w:t>
            </w:r>
          </w:p>
        </w:tc>
        <w:tc>
          <w:tcPr>
            <w:tcW w:w="4985" w:type="dxa"/>
            <w:tcBorders>
              <w:top w:val="single" w:sz="12" w:space="0" w:color="auto"/>
            </w:tcBorders>
            <w:shd w:val="clear" w:color="auto" w:fill="auto"/>
            <w:hideMark/>
          </w:tcPr>
          <w:p w14:paraId="2EF8FA79" w14:textId="77777777" w:rsidR="00F0236A" w:rsidRPr="00073574" w:rsidRDefault="00F0236A" w:rsidP="00DF36E1">
            <w:pPr>
              <w:pStyle w:val="Tabletext"/>
              <w:rPr>
                <w:b/>
                <w:bCs/>
                <w:sz w:val="24"/>
                <w:szCs w:val="24"/>
              </w:rPr>
            </w:pPr>
            <w:r w:rsidRPr="00073574">
              <w:rPr>
                <w:b/>
                <w:bCs/>
                <w:sz w:val="24"/>
                <w:szCs w:val="24"/>
              </w:rPr>
              <w:t>TSB Director to take account of the implementation of WTSA resolutions and submit an assessment report to TSAG (i. TSBDir)</w:t>
            </w:r>
          </w:p>
        </w:tc>
        <w:tc>
          <w:tcPr>
            <w:tcW w:w="1336" w:type="dxa"/>
            <w:tcBorders>
              <w:top w:val="single" w:sz="12" w:space="0" w:color="auto"/>
            </w:tcBorders>
            <w:shd w:val="clear" w:color="auto" w:fill="auto"/>
            <w:vAlign w:val="center"/>
          </w:tcPr>
          <w:p w14:paraId="20ADC435" w14:textId="704E6E78" w:rsidR="00F0236A" w:rsidRPr="00073574" w:rsidRDefault="00F0236A" w:rsidP="00FF38C9">
            <w:pPr>
              <w:pStyle w:val="Tabletext"/>
              <w:jc w:val="center"/>
              <w:rPr>
                <w:b/>
                <w:bCs/>
                <w:sz w:val="24"/>
                <w:szCs w:val="24"/>
              </w:rPr>
            </w:pPr>
            <w:r w:rsidRPr="00073574">
              <w:rPr>
                <w:b/>
                <w:bCs/>
                <w:sz w:val="24"/>
                <w:szCs w:val="24"/>
              </w:rPr>
              <w:t>Ongoing</w:t>
            </w:r>
            <w:r w:rsidRPr="00073574">
              <w:rPr>
                <w:b/>
                <w:bCs/>
                <w:sz w:val="24"/>
                <w:szCs w:val="24"/>
              </w:rPr>
              <w:br/>
              <w:t>TSAG 20</w:t>
            </w:r>
            <w:r w:rsidR="00FF38C9" w:rsidRPr="00073574">
              <w:rPr>
                <w:b/>
                <w:bCs/>
                <w:sz w:val="24"/>
                <w:szCs w:val="24"/>
              </w:rPr>
              <w:t>2</w:t>
            </w:r>
            <w:r w:rsidR="00117493" w:rsidRPr="00073574">
              <w:rPr>
                <w:b/>
                <w:bCs/>
                <w:sz w:val="24"/>
                <w:szCs w:val="24"/>
              </w:rPr>
              <w:t>1</w:t>
            </w:r>
          </w:p>
        </w:tc>
        <w:tc>
          <w:tcPr>
            <w:tcW w:w="1143" w:type="dxa"/>
            <w:tcBorders>
              <w:top w:val="single" w:sz="12" w:space="0" w:color="auto"/>
            </w:tcBorders>
            <w:shd w:val="clear" w:color="auto" w:fill="auto"/>
            <w:vAlign w:val="center"/>
          </w:tcPr>
          <w:p w14:paraId="454CF8D6"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34F30831" w14:textId="24315998" w:rsidR="00F0236A" w:rsidRPr="00073574" w:rsidRDefault="00A52FCD" w:rsidP="00DF36E1">
            <w:pPr>
              <w:pStyle w:val="Tabletext"/>
              <w:jc w:val="center"/>
              <w:rPr>
                <w:b/>
                <w:bCs/>
                <w:sz w:val="24"/>
                <w:szCs w:val="24"/>
              </w:rPr>
            </w:pPr>
            <w:r w:rsidRPr="00073574">
              <w:rPr>
                <w:b/>
                <w:bCs/>
                <w:sz w:val="24"/>
                <w:szCs w:val="24"/>
              </w:rPr>
              <w:t>√</w:t>
            </w:r>
          </w:p>
        </w:tc>
      </w:tr>
      <w:tr w:rsidR="00F0236A" w:rsidRPr="00073574" w14:paraId="2F9513A3" w14:textId="77777777" w:rsidTr="00DF36E1">
        <w:trPr>
          <w:cantSplit/>
          <w:jc w:val="center"/>
        </w:trPr>
        <w:tc>
          <w:tcPr>
            <w:tcW w:w="1132" w:type="dxa"/>
            <w:vMerge/>
            <w:shd w:val="clear" w:color="auto" w:fill="auto"/>
            <w:vAlign w:val="center"/>
          </w:tcPr>
          <w:p w14:paraId="655E3E12" w14:textId="77777777" w:rsidR="00F0236A" w:rsidRPr="00073574" w:rsidRDefault="00F0236A" w:rsidP="00DF36E1">
            <w:pPr>
              <w:pStyle w:val="Tabletext"/>
              <w:rPr>
                <w:sz w:val="24"/>
                <w:szCs w:val="24"/>
              </w:rPr>
            </w:pPr>
          </w:p>
        </w:tc>
        <w:tc>
          <w:tcPr>
            <w:tcW w:w="8800" w:type="dxa"/>
            <w:gridSpan w:val="4"/>
            <w:shd w:val="clear" w:color="auto" w:fill="auto"/>
          </w:tcPr>
          <w:p w14:paraId="6B802EEC" w14:textId="73ED6549" w:rsidR="00F0236A" w:rsidRPr="00073574" w:rsidRDefault="00F0236A" w:rsidP="00260F2C">
            <w:pPr>
              <w:pStyle w:val="Tabletext"/>
              <w:rPr>
                <w:szCs w:val="22"/>
              </w:rPr>
            </w:pPr>
            <w:r w:rsidRPr="00073574">
              <w:rPr>
                <w:szCs w:val="22"/>
              </w:rPr>
              <w:t>Progress on implementation of the WTSA Resolutions is reported in this document. The WTSA-16 Action plan was submitted (</w:t>
            </w:r>
            <w:hyperlink r:id="rId704" w:history="1">
              <w:r w:rsidR="00BA0B92" w:rsidRPr="00073574">
                <w:rPr>
                  <w:rStyle w:val="Hyperlink"/>
                  <w:szCs w:val="22"/>
                </w:rPr>
                <w:t>TSAG-</w:t>
              </w:r>
              <w:r w:rsidR="00112C75" w:rsidRPr="00073574">
                <w:rPr>
                  <w:rStyle w:val="Hyperlink"/>
                  <w:szCs w:val="22"/>
                </w:rPr>
                <w:t>TD</w:t>
              </w:r>
              <w:r w:rsidRPr="00073574">
                <w:rPr>
                  <w:rStyle w:val="Hyperlink"/>
                  <w:szCs w:val="22"/>
                </w:rPr>
                <w:t>25</w:t>
              </w:r>
              <w:r w:rsidR="00260F2C" w:rsidRPr="00073574">
                <w:rPr>
                  <w:rStyle w:val="Hyperlink"/>
                  <w:szCs w:val="22"/>
                </w:rPr>
                <w:t>-</w:t>
              </w:r>
              <w:r w:rsidRPr="00073574">
                <w:rPr>
                  <w:rStyle w:val="Hyperlink"/>
                  <w:szCs w:val="22"/>
                </w:rPr>
                <w:t>R1</w:t>
              </w:r>
            </w:hyperlink>
            <w:r w:rsidR="00260F2C" w:rsidRPr="00073574">
              <w:rPr>
                <w:szCs w:val="22"/>
              </w:rPr>
              <w:t xml:space="preserve">, </w:t>
            </w:r>
            <w:hyperlink r:id="rId705" w:history="1">
              <w:r w:rsidR="00260F2C" w:rsidRPr="00073574">
                <w:rPr>
                  <w:rStyle w:val="Hyperlink"/>
                  <w:szCs w:val="22"/>
                </w:rPr>
                <w:t>TSAG-TD139-R1</w:t>
              </w:r>
            </w:hyperlink>
            <w:r w:rsidR="00B82567" w:rsidRPr="00073574">
              <w:rPr>
                <w:rStyle w:val="Hyperlink"/>
                <w:szCs w:val="22"/>
                <w:u w:val="none"/>
              </w:rPr>
              <w:t xml:space="preserve">, </w:t>
            </w:r>
            <w:hyperlink r:id="rId706" w:history="1">
              <w:r w:rsidR="00B82567" w:rsidRPr="00073574">
                <w:rPr>
                  <w:rStyle w:val="Hyperlink"/>
                  <w:szCs w:val="22"/>
                </w:rPr>
                <w:t>TSAG-TD292</w:t>
              </w:r>
            </w:hyperlink>
            <w:r w:rsidR="00960943" w:rsidRPr="00843F07">
              <w:rPr>
                <w:rStyle w:val="Hyperlink"/>
                <w:szCs w:val="22"/>
                <w:u w:val="none"/>
              </w:rPr>
              <w:t xml:space="preserve">, </w:t>
            </w:r>
            <w:hyperlink r:id="rId707" w:history="1">
              <w:r w:rsidR="00960943" w:rsidRPr="00073574">
                <w:rPr>
                  <w:rStyle w:val="Hyperlink"/>
                  <w:szCs w:val="22"/>
                </w:rPr>
                <w:t>TSAG-TD467</w:t>
              </w:r>
            </w:hyperlink>
            <w:r w:rsidR="0048715F" w:rsidRPr="00073574">
              <w:rPr>
                <w:rStyle w:val="Hyperlink"/>
                <w:color w:val="auto"/>
                <w:szCs w:val="22"/>
                <w:u w:val="none"/>
              </w:rPr>
              <w:t xml:space="preserve">, </w:t>
            </w:r>
            <w:hyperlink r:id="rId708" w:history="1">
              <w:r w:rsidR="0048715F" w:rsidRPr="00073574">
                <w:rPr>
                  <w:rStyle w:val="Hyperlink"/>
                </w:rPr>
                <w:t>TSAG-TD657</w:t>
              </w:r>
            </w:hyperlink>
            <w:r w:rsidR="0048715F" w:rsidRPr="00073574">
              <w:rPr>
                <w:rStyle w:val="Hyperlink"/>
                <w:color w:val="auto"/>
                <w:u w:val="none"/>
              </w:rPr>
              <w:t xml:space="preserve">, </w:t>
            </w:r>
            <w:hyperlink r:id="rId709" w:history="1">
              <w:r w:rsidR="0048715F" w:rsidRPr="00073574">
                <w:rPr>
                  <w:rStyle w:val="Hyperlink"/>
                  <w:szCs w:val="22"/>
                </w:rPr>
                <w:t>TSAG-TD</w:t>
              </w:r>
              <w:r w:rsidR="00834DDA" w:rsidRPr="00073574">
                <w:rPr>
                  <w:rStyle w:val="Hyperlink"/>
                  <w:szCs w:val="22"/>
                </w:rPr>
                <w:t>789</w:t>
              </w:r>
            </w:hyperlink>
            <w:r w:rsidR="00117493" w:rsidRPr="00073574">
              <w:rPr>
                <w:szCs w:val="22"/>
              </w:rPr>
              <w:t xml:space="preserve">, </w:t>
            </w:r>
            <w:hyperlink r:id="rId710" w:history="1">
              <w:r w:rsidR="00117493" w:rsidRPr="00073574">
                <w:rPr>
                  <w:rStyle w:val="Hyperlink"/>
                  <w:szCs w:val="22"/>
                </w:rPr>
                <w:t>TSAG-TD932</w:t>
              </w:r>
            </w:hyperlink>
            <w:r w:rsidR="00BF02AB" w:rsidRPr="00843F07">
              <w:rPr>
                <w:rStyle w:val="Hyperlink"/>
                <w:szCs w:val="22"/>
                <w:u w:val="none"/>
              </w:rPr>
              <w:t xml:space="preserve">, </w:t>
            </w:r>
            <w:hyperlink r:id="rId711" w:history="1">
              <w:r w:rsidR="00C45420" w:rsidRPr="00073574">
                <w:rPr>
                  <w:rStyle w:val="Hyperlink"/>
                  <w:szCs w:val="22"/>
                  <w:lang w:eastAsia="zh-CN"/>
                </w:rPr>
                <w:t>TS</w:t>
              </w:r>
              <w:r w:rsidR="00C45420" w:rsidRPr="00073574">
                <w:rPr>
                  <w:rStyle w:val="Hyperlink"/>
                  <w:szCs w:val="22"/>
                </w:rPr>
                <w:t>AG-T</w:t>
              </w:r>
              <w:r w:rsidR="00C45420" w:rsidRPr="00073574">
                <w:rPr>
                  <w:rStyle w:val="Hyperlink"/>
                  <w:szCs w:val="22"/>
                  <w:lang w:eastAsia="zh-CN"/>
                </w:rPr>
                <w:t>D1031</w:t>
              </w:r>
            </w:hyperlink>
            <w:r w:rsidR="0033253D" w:rsidRPr="00843F07">
              <w:rPr>
                <w:rStyle w:val="Hyperlink"/>
                <w:color w:val="auto"/>
                <w:szCs w:val="22"/>
                <w:u w:val="none"/>
                <w:lang w:eastAsia="zh-CN"/>
              </w:rPr>
              <w:t>,</w:t>
            </w:r>
            <w:r w:rsidR="0033253D" w:rsidRPr="00843F07">
              <w:rPr>
                <w:rStyle w:val="Hyperlink"/>
                <w:color w:val="auto"/>
                <w:szCs w:val="22"/>
                <w:u w:val="none"/>
              </w:rPr>
              <w:t xml:space="preserve"> and</w:t>
            </w:r>
            <w:r w:rsidR="0033253D" w:rsidRPr="00843F07">
              <w:rPr>
                <w:rStyle w:val="Hyperlink"/>
                <w:color w:val="auto"/>
                <w:szCs w:val="22"/>
              </w:rPr>
              <w:t xml:space="preserve"> </w:t>
            </w:r>
            <w:hyperlink r:id="rId712" w:history="1">
              <w:r w:rsidR="0033253D" w:rsidRPr="00073574">
                <w:rPr>
                  <w:rStyle w:val="Hyperlink"/>
                  <w:rFonts w:asciiTheme="majorBidi" w:hAnsiTheme="majorBidi" w:cstheme="majorBidi"/>
                  <w:szCs w:val="22"/>
                  <w:lang w:eastAsia="zh-CN"/>
                </w:rPr>
                <w:t>TS</w:t>
              </w:r>
              <w:r w:rsidR="0033253D" w:rsidRPr="00073574">
                <w:rPr>
                  <w:rStyle w:val="Hyperlink"/>
                  <w:rFonts w:asciiTheme="majorBidi" w:hAnsiTheme="majorBidi" w:cstheme="majorBidi"/>
                  <w:szCs w:val="22"/>
                </w:rPr>
                <w:t>AG-T</w:t>
              </w:r>
              <w:r w:rsidR="0033253D" w:rsidRPr="00073574">
                <w:rPr>
                  <w:rStyle w:val="Hyperlink"/>
                  <w:rFonts w:asciiTheme="majorBidi" w:hAnsiTheme="majorBidi" w:cstheme="majorBidi"/>
                  <w:szCs w:val="22"/>
                  <w:lang w:eastAsia="zh-CN"/>
                </w:rPr>
                <w:t>D1186</w:t>
              </w:r>
            </w:hyperlink>
            <w:r w:rsidR="00260F2C" w:rsidRPr="00073574">
              <w:rPr>
                <w:szCs w:val="22"/>
              </w:rPr>
              <w:t>)</w:t>
            </w:r>
            <w:r w:rsidRPr="00073574">
              <w:rPr>
                <w:szCs w:val="22"/>
              </w:rPr>
              <w:t xml:space="preserve"> and presented to TSAG.</w:t>
            </w:r>
          </w:p>
        </w:tc>
      </w:tr>
    </w:tbl>
    <w:bookmarkStart w:id="488" w:name="Item83_01"/>
    <w:bookmarkStart w:id="489" w:name="Item83_02"/>
    <w:bookmarkEnd w:id="488"/>
    <w:bookmarkEnd w:id="489"/>
    <w:p w14:paraId="051F3075" w14:textId="77777777" w:rsidR="00F0236A" w:rsidRPr="00073574" w:rsidRDefault="00F0236A" w:rsidP="00F0236A">
      <w:pPr>
        <w:rPr>
          <w:sz w:val="24"/>
        </w:rPr>
      </w:pPr>
      <w:r w:rsidRPr="00073574">
        <w:rPr>
          <w:color w:val="2B579A"/>
          <w:shd w:val="clear" w:color="auto" w:fill="E6E6E6"/>
        </w:rPr>
        <w:fldChar w:fldCharType="begin"/>
      </w:r>
      <w:r w:rsidRPr="00073574">
        <w:rPr>
          <w:sz w:val="24"/>
        </w:rPr>
        <w:instrText xml:space="preserve"> HYPERLINK \l "Top" </w:instrText>
      </w:r>
      <w:r w:rsidRPr="00073574">
        <w:rPr>
          <w:color w:val="2B579A"/>
          <w:shd w:val="clear" w:color="auto" w:fill="E6E6E6"/>
        </w:rPr>
        <w:fldChar w:fldCharType="separate"/>
      </w:r>
      <w:r w:rsidRPr="00073574">
        <w:rPr>
          <w:rStyle w:val="Hyperlink"/>
          <w:rFonts w:eastAsia="Times New Roman"/>
          <w:sz w:val="24"/>
        </w:rPr>
        <w:t>» Top</w:t>
      </w:r>
      <w:r w:rsidRPr="00073574">
        <w:rPr>
          <w:rStyle w:val="Hyperlink"/>
          <w:rFonts w:eastAsia="Times New Roman"/>
          <w:sz w:val="24"/>
        </w:rPr>
        <w:fldChar w:fldCharType="end"/>
      </w:r>
    </w:p>
    <w:p w14:paraId="18929C9F" w14:textId="77777777" w:rsidR="00F0236A" w:rsidRPr="00073574" w:rsidRDefault="00F0236A" w:rsidP="005B5893">
      <w:pPr>
        <w:pStyle w:val="Heading1"/>
        <w:keepNext/>
        <w:keepLines/>
        <w:rPr>
          <w:sz w:val="24"/>
          <w:szCs w:val="24"/>
          <w:lang w:val="en-GB"/>
        </w:rPr>
      </w:pPr>
      <w:bookmarkStart w:id="490" w:name="_Resolution_84_-"/>
      <w:bookmarkStart w:id="491" w:name="_Toc471715398"/>
      <w:bookmarkStart w:id="492" w:name="_Toc93425284"/>
      <w:bookmarkEnd w:id="490"/>
      <w:r w:rsidRPr="00073574">
        <w:rPr>
          <w:sz w:val="24"/>
          <w:szCs w:val="24"/>
          <w:lang w:val="en-GB"/>
        </w:rPr>
        <w:t>Resolution 84 – Studies concerning the protection of users of telecommunication/information and communication technology services</w:t>
      </w:r>
      <w:bookmarkEnd w:id="491"/>
      <w:bookmarkEnd w:id="492"/>
    </w:p>
    <w:p w14:paraId="4B8F485E" w14:textId="77777777" w:rsidR="00F0236A" w:rsidRPr="00073574" w:rsidRDefault="00F0236A" w:rsidP="005B5893">
      <w:pPr>
        <w:keepNext/>
        <w:keepLines/>
        <w:rPr>
          <w:b/>
          <w:bCs/>
          <w:sz w:val="24"/>
        </w:rPr>
      </w:pPr>
      <w:r w:rsidRPr="00073574">
        <w:rPr>
          <w:b/>
          <w:bCs/>
          <w:sz w:val="24"/>
        </w:rPr>
        <w:t>Resolution 84</w:t>
      </w:r>
    </w:p>
    <w:p w14:paraId="52D8185C" w14:textId="77777777" w:rsidR="00F0236A" w:rsidRPr="00073574" w:rsidRDefault="00F0236A">
      <w:pPr>
        <w:pStyle w:val="Call"/>
        <w:rPr>
          <w:sz w:val="24"/>
          <w:szCs w:val="24"/>
          <w:lang w:val="en-GB" w:eastAsia="en-AU"/>
        </w:rPr>
      </w:pPr>
      <w:r w:rsidRPr="00073574">
        <w:rPr>
          <w:sz w:val="24"/>
          <w:szCs w:val="24"/>
          <w:lang w:val="en-GB" w:eastAsia="en-AU"/>
        </w:rPr>
        <w:t>resolves</w:t>
      </w:r>
    </w:p>
    <w:p w14:paraId="472B75EF" w14:textId="77777777" w:rsidR="00F0236A" w:rsidRPr="00073574" w:rsidRDefault="00F0236A" w:rsidP="005B5893">
      <w:pPr>
        <w:keepNext/>
        <w:keepLines/>
        <w:rPr>
          <w:sz w:val="24"/>
        </w:rPr>
      </w:pPr>
      <w:r w:rsidRPr="00073574">
        <w:rPr>
          <w:sz w:val="24"/>
        </w:rPr>
        <w:t>1</w:t>
      </w:r>
      <w:r w:rsidRPr="00073574">
        <w:rPr>
          <w:sz w:val="24"/>
        </w:rPr>
        <w:tab/>
        <w:t>to continue developing relevant ITU-T Recommendations in order to provide solutions ensuring and protecting the rights of users and consumers of telecommunication/ICT services, notably in the areas of quality, security and tariff mechanisms;</w:t>
      </w:r>
    </w:p>
    <w:p w14:paraId="69583CF8" w14:textId="77777777" w:rsidR="00F0236A" w:rsidRPr="00073574" w:rsidRDefault="00F0236A" w:rsidP="00F0236A">
      <w:pPr>
        <w:rPr>
          <w:sz w:val="24"/>
        </w:rPr>
      </w:pPr>
      <w:r w:rsidRPr="00073574">
        <w:rPr>
          <w:sz w:val="24"/>
        </w:rPr>
        <w:t>2</w:t>
      </w:r>
      <w:r w:rsidRPr="00073574">
        <w:rPr>
          <w:sz w:val="24"/>
        </w:rPr>
        <w:tab/>
        <w:t>that the study groups concerned should expedite work on Recommendations that would provide additional detail and guidance for the implementation of this resolution;</w:t>
      </w:r>
    </w:p>
    <w:p w14:paraId="7927EC8D" w14:textId="77777777" w:rsidR="00F0236A" w:rsidRPr="00073574" w:rsidRDefault="00F0236A" w:rsidP="00F0236A">
      <w:pPr>
        <w:rPr>
          <w:sz w:val="24"/>
        </w:rPr>
      </w:pPr>
      <w:r w:rsidRPr="00073574">
        <w:rPr>
          <w:sz w:val="24"/>
        </w:rPr>
        <w:t>3</w:t>
      </w:r>
      <w:r w:rsidRPr="00073574">
        <w:rPr>
          <w:sz w:val="24"/>
        </w:rPr>
        <w:tab/>
        <w:t>that ITU-T Study Group 3, where appropriate with ITU-T Study Groups 2, 12 and 17, within their mandates, should carry out studies, including on standards for the protection of consumers and users of telecommunication/ICT services,</w:t>
      </w:r>
    </w:p>
    <w:p w14:paraId="0BAAE419" w14:textId="77777777" w:rsidR="00F0236A" w:rsidRPr="00073574" w:rsidRDefault="00F0236A" w:rsidP="00F0236A">
      <w:pPr>
        <w:pStyle w:val="Call"/>
        <w:rPr>
          <w:sz w:val="24"/>
          <w:szCs w:val="24"/>
          <w:lang w:val="en-GB" w:eastAsia="en-AU"/>
        </w:rPr>
      </w:pPr>
      <w:r w:rsidRPr="00073574">
        <w:rPr>
          <w:sz w:val="24"/>
          <w:szCs w:val="24"/>
          <w:lang w:val="en-GB" w:eastAsia="en-AU"/>
        </w:rPr>
        <w:t>invites the Director of the Telecommunication Standardization Bureau</w:t>
      </w:r>
    </w:p>
    <w:p w14:paraId="35FD44C3" w14:textId="77777777" w:rsidR="00F0236A" w:rsidRPr="00073574" w:rsidRDefault="00F0236A" w:rsidP="00F0236A">
      <w:pPr>
        <w:rPr>
          <w:sz w:val="24"/>
        </w:rPr>
      </w:pPr>
      <w:r w:rsidRPr="00073574">
        <w:rPr>
          <w:sz w:val="24"/>
        </w:rPr>
        <w:t>1</w:t>
      </w:r>
      <w:r w:rsidRPr="00073574">
        <w:rPr>
          <w:sz w:val="24"/>
        </w:rPr>
        <w:tab/>
        <w:t>to assist the Director of the Telecommunication Development Bureau in the implementation of Resolution 196 (Busan, 2014);</w:t>
      </w:r>
    </w:p>
    <w:p w14:paraId="5043B0B9" w14:textId="77777777" w:rsidR="00F0236A" w:rsidRPr="00073574" w:rsidRDefault="00F0236A" w:rsidP="00F0236A">
      <w:pPr>
        <w:spacing w:after="240"/>
        <w:rPr>
          <w:sz w:val="24"/>
        </w:rPr>
      </w:pPr>
      <w:r w:rsidRPr="00073574">
        <w:rPr>
          <w:sz w:val="24"/>
        </w:rPr>
        <w:t>2</w:t>
      </w:r>
      <w:r w:rsidRPr="00073574">
        <w:rPr>
          <w:sz w:val="24"/>
        </w:rPr>
        <w:tab/>
        <w:t>to strengthen relations with other standards development organizations involved in resolving issues of protection of telecommunication/ICT service users,</w:t>
      </w:r>
    </w:p>
    <w:p w14:paraId="4FDF98C6" w14:textId="77777777" w:rsidR="00F0236A" w:rsidRPr="00073574" w:rsidRDefault="00F0236A" w:rsidP="00F0236A">
      <w:pPr>
        <w:pStyle w:val="Call"/>
        <w:rPr>
          <w:sz w:val="24"/>
          <w:szCs w:val="24"/>
          <w:lang w:val="en-GB" w:eastAsia="en-AU"/>
        </w:rPr>
      </w:pPr>
      <w:r w:rsidRPr="00073574">
        <w:rPr>
          <w:sz w:val="24"/>
          <w:szCs w:val="24"/>
          <w:lang w:val="en-GB" w:eastAsia="en-AU"/>
        </w:rPr>
        <w:t>invites Member States</w:t>
      </w:r>
    </w:p>
    <w:p w14:paraId="4FF4CF87" w14:textId="77777777" w:rsidR="00F0236A" w:rsidRPr="00073574" w:rsidRDefault="00F0236A" w:rsidP="00F0236A">
      <w:pPr>
        <w:rPr>
          <w:sz w:val="24"/>
        </w:rPr>
      </w:pPr>
      <w:r w:rsidRPr="00073574">
        <w:rPr>
          <w:sz w:val="24"/>
        </w:rPr>
        <w:t>to consider the creation of an enabling environment in which telecommunication operators can provide telecommunication/ICT services for their users, with the appropriate quality, level of confidence and security, and stimulating competitive, fair and affordable prices, and in order in general to protect users of telecommunication/ICT services,</w:t>
      </w:r>
    </w:p>
    <w:p w14:paraId="7DCA4196" w14:textId="77777777" w:rsidR="00F0236A" w:rsidRPr="00073574" w:rsidRDefault="00F0236A" w:rsidP="00F0236A">
      <w:pPr>
        <w:pStyle w:val="Call"/>
        <w:rPr>
          <w:sz w:val="24"/>
          <w:szCs w:val="24"/>
          <w:lang w:val="en-GB" w:eastAsia="en-AU"/>
        </w:rPr>
      </w:pPr>
      <w:r w:rsidRPr="00073574">
        <w:rPr>
          <w:sz w:val="24"/>
          <w:szCs w:val="24"/>
          <w:lang w:val="en-GB" w:eastAsia="en-AU"/>
        </w:rPr>
        <w:lastRenderedPageBreak/>
        <w:t>invites Member States, Sector Members, Associates and academia</w:t>
      </w:r>
    </w:p>
    <w:p w14:paraId="534305A3" w14:textId="77777777" w:rsidR="00F0236A" w:rsidRPr="00073574" w:rsidRDefault="00F0236A" w:rsidP="00F0236A">
      <w:pPr>
        <w:spacing w:after="240"/>
        <w:rPr>
          <w:sz w:val="24"/>
        </w:rPr>
      </w:pPr>
      <w:r w:rsidRPr="00073574">
        <w:rPr>
          <w:sz w:val="24"/>
        </w:rPr>
        <w:t>to contribute to this work by submitting contributions to the relevant ITU-T study groups on Questions related to the protection of users of telecommunication/ICT services, and to collaborate on implementing this resolution.</w:t>
      </w:r>
    </w:p>
    <w:tbl>
      <w:tblPr>
        <w:tblW w:w="99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30"/>
        <w:gridCol w:w="4988"/>
        <w:gridCol w:w="1335"/>
        <w:gridCol w:w="1143"/>
        <w:gridCol w:w="1336"/>
      </w:tblGrid>
      <w:tr w:rsidR="00F0236A" w:rsidRPr="00073574" w14:paraId="2A5EB039" w14:textId="77777777" w:rsidTr="539711DF">
        <w:trPr>
          <w:tblHeader/>
          <w:jc w:val="center"/>
        </w:trPr>
        <w:tc>
          <w:tcPr>
            <w:tcW w:w="1130" w:type="dxa"/>
            <w:tcBorders>
              <w:top w:val="single" w:sz="12" w:space="0" w:color="auto"/>
              <w:bottom w:val="single" w:sz="12" w:space="0" w:color="auto"/>
            </w:tcBorders>
            <w:shd w:val="clear" w:color="auto" w:fill="auto"/>
            <w:vAlign w:val="center"/>
          </w:tcPr>
          <w:p w14:paraId="4D3C18A7" w14:textId="77777777" w:rsidR="00F0236A" w:rsidRPr="00073574" w:rsidRDefault="00F0236A" w:rsidP="007D22B2">
            <w:pPr>
              <w:pStyle w:val="Tablehead"/>
              <w:keepNext w:val="0"/>
              <w:rPr>
                <w:sz w:val="24"/>
                <w:szCs w:val="24"/>
              </w:rPr>
            </w:pPr>
            <w:r w:rsidRPr="00073574">
              <w:rPr>
                <w:sz w:val="24"/>
                <w:szCs w:val="24"/>
              </w:rPr>
              <w:t>Action Item</w:t>
            </w:r>
          </w:p>
        </w:tc>
        <w:tc>
          <w:tcPr>
            <w:tcW w:w="4988" w:type="dxa"/>
            <w:tcBorders>
              <w:top w:val="single" w:sz="12" w:space="0" w:color="auto"/>
              <w:bottom w:val="single" w:sz="12" w:space="0" w:color="auto"/>
            </w:tcBorders>
            <w:shd w:val="clear" w:color="auto" w:fill="auto"/>
            <w:vAlign w:val="center"/>
            <w:hideMark/>
          </w:tcPr>
          <w:p w14:paraId="158AA1BA" w14:textId="77777777" w:rsidR="00F0236A" w:rsidRPr="00073574" w:rsidRDefault="00F0236A" w:rsidP="00DF36E1">
            <w:pPr>
              <w:pStyle w:val="Tablehead"/>
              <w:rPr>
                <w:sz w:val="24"/>
                <w:szCs w:val="24"/>
              </w:rPr>
            </w:pPr>
            <w:r w:rsidRPr="00073574">
              <w:rPr>
                <w:sz w:val="24"/>
                <w:szCs w:val="24"/>
              </w:rPr>
              <w:t>Action</w:t>
            </w:r>
          </w:p>
        </w:tc>
        <w:tc>
          <w:tcPr>
            <w:tcW w:w="1335" w:type="dxa"/>
            <w:tcBorders>
              <w:top w:val="single" w:sz="12" w:space="0" w:color="auto"/>
              <w:bottom w:val="single" w:sz="12" w:space="0" w:color="auto"/>
            </w:tcBorders>
            <w:shd w:val="clear" w:color="auto" w:fill="auto"/>
            <w:vAlign w:val="center"/>
            <w:hideMark/>
          </w:tcPr>
          <w:p w14:paraId="026B14FF" w14:textId="77777777" w:rsidR="00F0236A" w:rsidRPr="00073574" w:rsidRDefault="00F0236A" w:rsidP="00DF36E1">
            <w:pPr>
              <w:pStyle w:val="Tablehead"/>
              <w:rPr>
                <w:sz w:val="24"/>
                <w:szCs w:val="24"/>
              </w:rPr>
            </w:pPr>
            <w:r w:rsidRPr="00073574">
              <w:rPr>
                <w:sz w:val="24"/>
                <w:szCs w:val="24"/>
              </w:rPr>
              <w:t>Milestone</w:t>
            </w:r>
          </w:p>
        </w:tc>
        <w:tc>
          <w:tcPr>
            <w:tcW w:w="1143" w:type="dxa"/>
            <w:tcBorders>
              <w:top w:val="single" w:sz="12" w:space="0" w:color="auto"/>
              <w:bottom w:val="single" w:sz="12" w:space="0" w:color="auto"/>
            </w:tcBorders>
            <w:shd w:val="clear" w:color="auto" w:fill="auto"/>
          </w:tcPr>
          <w:p w14:paraId="6111257E" w14:textId="77777777" w:rsidR="00F0236A" w:rsidRPr="00073574" w:rsidRDefault="00F0236A" w:rsidP="00DF36E1">
            <w:pPr>
              <w:pStyle w:val="Tablehead"/>
              <w:rPr>
                <w:sz w:val="24"/>
                <w:szCs w:val="24"/>
              </w:rPr>
            </w:pPr>
            <w:r w:rsidRPr="00073574">
              <w:rPr>
                <w:sz w:val="24"/>
                <w:szCs w:val="24"/>
              </w:rPr>
              <w:t>Periodic goals met</w:t>
            </w:r>
          </w:p>
        </w:tc>
        <w:tc>
          <w:tcPr>
            <w:tcW w:w="1336" w:type="dxa"/>
            <w:tcBorders>
              <w:top w:val="single" w:sz="12" w:space="0" w:color="auto"/>
              <w:bottom w:val="single" w:sz="12" w:space="0" w:color="auto"/>
            </w:tcBorders>
            <w:shd w:val="clear" w:color="auto" w:fill="auto"/>
            <w:vAlign w:val="center"/>
          </w:tcPr>
          <w:p w14:paraId="69D84F14" w14:textId="77777777" w:rsidR="00F0236A" w:rsidRPr="00073574" w:rsidRDefault="00F0236A" w:rsidP="00DF36E1">
            <w:pPr>
              <w:pStyle w:val="Tablehead"/>
              <w:rPr>
                <w:sz w:val="24"/>
                <w:szCs w:val="24"/>
              </w:rPr>
            </w:pPr>
            <w:r w:rsidRPr="00073574">
              <w:rPr>
                <w:sz w:val="24"/>
                <w:szCs w:val="24"/>
              </w:rPr>
              <w:t>Completed</w:t>
            </w:r>
          </w:p>
        </w:tc>
      </w:tr>
      <w:tr w:rsidR="00F0236A" w:rsidRPr="00073574" w14:paraId="2C005134" w14:textId="77777777" w:rsidTr="539711DF">
        <w:trPr>
          <w:jc w:val="center"/>
        </w:trPr>
        <w:tc>
          <w:tcPr>
            <w:tcW w:w="1130" w:type="dxa"/>
            <w:vMerge w:val="restart"/>
            <w:tcBorders>
              <w:top w:val="single" w:sz="12" w:space="0" w:color="auto"/>
            </w:tcBorders>
            <w:shd w:val="clear" w:color="auto" w:fill="auto"/>
          </w:tcPr>
          <w:p w14:paraId="0D9B3B26" w14:textId="77777777" w:rsidR="00F0236A" w:rsidRPr="00073574" w:rsidRDefault="00F0236A" w:rsidP="00DF36E1">
            <w:pPr>
              <w:pStyle w:val="Tabletext"/>
              <w:rPr>
                <w:b/>
                <w:bCs/>
                <w:sz w:val="24"/>
                <w:szCs w:val="24"/>
              </w:rPr>
            </w:pPr>
            <w:r w:rsidRPr="00073574">
              <w:rPr>
                <w:b/>
                <w:bCs/>
                <w:sz w:val="24"/>
                <w:szCs w:val="24"/>
              </w:rPr>
              <w:t>84-01</w:t>
            </w:r>
          </w:p>
        </w:tc>
        <w:tc>
          <w:tcPr>
            <w:tcW w:w="4988" w:type="dxa"/>
            <w:tcBorders>
              <w:top w:val="single" w:sz="12" w:space="0" w:color="auto"/>
              <w:bottom w:val="single" w:sz="2" w:space="0" w:color="auto"/>
            </w:tcBorders>
            <w:shd w:val="clear" w:color="auto" w:fill="auto"/>
            <w:hideMark/>
          </w:tcPr>
          <w:p w14:paraId="1738DC60" w14:textId="77777777" w:rsidR="00F0236A" w:rsidRPr="00073574" w:rsidRDefault="00F0236A" w:rsidP="00DF36E1">
            <w:pPr>
              <w:pStyle w:val="Tabletext"/>
              <w:rPr>
                <w:b/>
                <w:bCs/>
                <w:sz w:val="24"/>
                <w:szCs w:val="24"/>
              </w:rPr>
            </w:pPr>
            <w:r w:rsidRPr="00073574">
              <w:rPr>
                <w:b/>
                <w:bCs/>
                <w:sz w:val="24"/>
                <w:szCs w:val="24"/>
              </w:rPr>
              <w:t>ITU-T Study Groups (SGs 3, 12, 17) to continue developing relevant ITU-T Recommendations in order to provide solutions ensuring and protecting the rights of users and consumers of telecommunication/ICT services, notably in the areas of quality, security and tariff mechanisms, and to expedite work on those Recommendations that would provide additional detail and guidance for the implementation of this resolution (resolves 1, 2)</w:t>
            </w:r>
          </w:p>
        </w:tc>
        <w:tc>
          <w:tcPr>
            <w:tcW w:w="1335" w:type="dxa"/>
            <w:tcBorders>
              <w:top w:val="single" w:sz="12" w:space="0" w:color="auto"/>
              <w:bottom w:val="single" w:sz="2" w:space="0" w:color="auto"/>
            </w:tcBorders>
            <w:shd w:val="clear" w:color="auto" w:fill="auto"/>
            <w:vAlign w:val="center"/>
          </w:tcPr>
          <w:p w14:paraId="7B6B11DC"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43" w:type="dxa"/>
            <w:tcBorders>
              <w:top w:val="single" w:sz="12" w:space="0" w:color="auto"/>
              <w:bottom w:val="single" w:sz="2" w:space="0" w:color="auto"/>
            </w:tcBorders>
            <w:shd w:val="clear" w:color="auto" w:fill="auto"/>
            <w:vAlign w:val="center"/>
          </w:tcPr>
          <w:p w14:paraId="55990D99"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6BAB76FA" w14:textId="77777777" w:rsidR="00F0236A" w:rsidRPr="00073574" w:rsidRDefault="00F0236A" w:rsidP="00DF36E1">
            <w:pPr>
              <w:pStyle w:val="Tabletext"/>
              <w:jc w:val="center"/>
              <w:rPr>
                <w:b/>
                <w:bCs/>
                <w:sz w:val="24"/>
                <w:szCs w:val="24"/>
              </w:rPr>
            </w:pPr>
          </w:p>
        </w:tc>
      </w:tr>
      <w:tr w:rsidR="00F0236A" w:rsidRPr="00073574" w14:paraId="3BCFBF55" w14:textId="77777777" w:rsidTr="539711DF">
        <w:trPr>
          <w:jc w:val="center"/>
        </w:trPr>
        <w:tc>
          <w:tcPr>
            <w:tcW w:w="1130" w:type="dxa"/>
            <w:vMerge/>
          </w:tcPr>
          <w:p w14:paraId="2337FF73" w14:textId="77777777" w:rsidR="00F0236A" w:rsidRPr="00073574" w:rsidRDefault="00F0236A" w:rsidP="00DF36E1">
            <w:pPr>
              <w:pStyle w:val="Tabletext"/>
              <w:rPr>
                <w:sz w:val="24"/>
                <w:szCs w:val="24"/>
              </w:rPr>
            </w:pPr>
          </w:p>
        </w:tc>
        <w:tc>
          <w:tcPr>
            <w:tcW w:w="8802" w:type="dxa"/>
            <w:gridSpan w:val="4"/>
            <w:tcBorders>
              <w:top w:val="single" w:sz="2" w:space="0" w:color="auto"/>
              <w:bottom w:val="single" w:sz="12" w:space="0" w:color="auto"/>
            </w:tcBorders>
            <w:shd w:val="clear" w:color="auto" w:fill="auto"/>
          </w:tcPr>
          <w:p w14:paraId="69EE6053" w14:textId="2563CCE6" w:rsidR="005319F7" w:rsidRPr="00073574" w:rsidRDefault="005319F7" w:rsidP="002E241A">
            <w:pPr>
              <w:pStyle w:val="ListParagraph"/>
              <w:numPr>
                <w:ilvl w:val="0"/>
                <w:numId w:val="24"/>
              </w:numPr>
              <w:spacing w:before="40"/>
              <w:ind w:left="368" w:hanging="357"/>
              <w:contextualSpacing w:val="0"/>
            </w:pPr>
            <w:r w:rsidRPr="00073574">
              <w:t xml:space="preserve">SG3: Recommendation </w:t>
            </w:r>
            <w:r w:rsidR="00E007E9" w:rsidRPr="00073574">
              <w:t xml:space="preserve">ITU-T D.263 </w:t>
            </w:r>
            <w:r w:rsidRPr="00073574">
              <w:t>on Costs, Charges and Competition for Mobile Financial Services (MFS)</w:t>
            </w:r>
            <w:r w:rsidR="00E007E9" w:rsidRPr="00073574">
              <w:t xml:space="preserve"> was approved</w:t>
            </w:r>
            <w:r w:rsidR="00FF4331" w:rsidRPr="00073574">
              <w:t>.</w:t>
            </w:r>
            <w:r w:rsidR="0001359C" w:rsidRPr="00073574">
              <w:t xml:space="preserve"> SG3 agreed</w:t>
            </w:r>
            <w:r w:rsidR="006F79F8" w:rsidRPr="00073574">
              <w:t xml:space="preserve"> the</w:t>
            </w:r>
            <w:r w:rsidR="0001359C" w:rsidRPr="00073574">
              <w:t xml:space="preserve"> ITU-T Technical Report DSTR-DFSUAAFR on Digital Financial Services – Review of DFS User Agreements in Africa: A Consumer Protection Perspective</w:t>
            </w:r>
            <w:r w:rsidR="000C48A4" w:rsidRPr="00073574">
              <w:t>, and ITU-T Technical Report DSTR-DFSCP on Digital Financial Services – Commonly identified Consumer Protection themes for Digital Financial Services</w:t>
            </w:r>
            <w:r w:rsidR="0001359C" w:rsidRPr="00073574">
              <w:t>.</w:t>
            </w:r>
            <w:r w:rsidR="000704C5" w:rsidRPr="00073574">
              <w:t xml:space="preserve"> SG3 is studying </w:t>
            </w:r>
            <w:r w:rsidR="0073083A" w:rsidRPr="00073574">
              <w:t>the</w:t>
            </w:r>
            <w:r w:rsidR="000704C5" w:rsidRPr="00073574">
              <w:t xml:space="preserve"> work item D.ConsumerMFS the aspects of consumer protection in mobile financial services, and </w:t>
            </w:r>
            <w:r w:rsidR="0073083A" w:rsidRPr="00073574">
              <w:t xml:space="preserve">the </w:t>
            </w:r>
            <w:r w:rsidR="000704C5" w:rsidRPr="00073574">
              <w:t>work item D.OTTConsumer the customer redress mechanism and consumer protection.</w:t>
            </w:r>
            <w:r w:rsidR="00A20350" w:rsidRPr="00073574">
              <w:t xml:space="preserve"> SG3 </w:t>
            </w:r>
            <w:r w:rsidR="007F602F" w:rsidRPr="00073574">
              <w:t>approved</w:t>
            </w:r>
            <w:r w:rsidR="00EE42AE" w:rsidRPr="00073574">
              <w:t xml:space="preserve"> Recommendation </w:t>
            </w:r>
            <w:r w:rsidR="00772DB0" w:rsidRPr="00073574">
              <w:t xml:space="preserve">ITU-T D.1102, </w:t>
            </w:r>
            <w:r w:rsidR="0085274B" w:rsidRPr="00073574">
              <w:t xml:space="preserve">Customer redress and consumer protection mechanisms for OTTs. </w:t>
            </w:r>
          </w:p>
          <w:p w14:paraId="364FA429" w14:textId="6FAD94E7" w:rsidR="00F0236A" w:rsidRPr="00073574" w:rsidRDefault="00F0236A" w:rsidP="002E241A">
            <w:pPr>
              <w:pStyle w:val="ListParagraph"/>
              <w:numPr>
                <w:ilvl w:val="0"/>
                <w:numId w:val="24"/>
              </w:numPr>
              <w:ind w:left="368" w:hanging="357"/>
              <w:contextualSpacing w:val="0"/>
            </w:pPr>
            <w:r w:rsidRPr="00073574">
              <w:t>SG12</w:t>
            </w:r>
            <w:r w:rsidR="00D019E3" w:rsidRPr="00073574">
              <w:t>:</w:t>
            </w:r>
            <w:r w:rsidRPr="00073574">
              <w:t xml:space="preserve"> </w:t>
            </w:r>
            <w:r w:rsidR="00222A3C" w:rsidRPr="00073574">
              <w:t xml:space="preserve">A work plan for Res.95 was adopted in January 2017 and circulated widely. </w:t>
            </w:r>
            <w:r w:rsidR="00D019E3" w:rsidRPr="00073574">
              <w:t>T</w:t>
            </w:r>
            <w:r w:rsidRPr="00073574">
              <w:t xml:space="preserve">he work of Q12/12 and </w:t>
            </w:r>
            <w:r w:rsidR="00D019E3" w:rsidRPr="00073574">
              <w:t>activities undertaken in response to</w:t>
            </w:r>
            <w:r w:rsidRPr="00073574">
              <w:t xml:space="preserve"> Resolution 95 on service quality</w:t>
            </w:r>
            <w:r w:rsidR="00D019E3" w:rsidRPr="00073574">
              <w:t xml:space="preserve"> address the protection of users of telecommunication/information and communication technology services</w:t>
            </w:r>
            <w:r w:rsidRPr="00073574">
              <w:t>.</w:t>
            </w:r>
          </w:p>
          <w:p w14:paraId="10843AC8" w14:textId="2EE3C162" w:rsidR="00F0236A" w:rsidRPr="00073574" w:rsidRDefault="00F0236A" w:rsidP="00B45B40">
            <w:pPr>
              <w:pStyle w:val="ListParagraph"/>
              <w:numPr>
                <w:ilvl w:val="0"/>
                <w:numId w:val="24"/>
              </w:numPr>
              <w:ind w:left="368" w:hanging="357"/>
              <w:contextualSpacing w:val="0"/>
            </w:pPr>
            <w:r w:rsidRPr="00073574">
              <w:t xml:space="preserve">SG17 approved ITU-T X.1058 | </w:t>
            </w:r>
            <w:r w:rsidRPr="00073574">
              <w:rPr>
                <w:rFonts w:asciiTheme="majorBidi" w:hAnsiTheme="majorBidi" w:cstheme="majorBidi"/>
                <w:bdr w:val="none" w:sz="0" w:space="0" w:color="auto" w:frame="1"/>
              </w:rPr>
              <w:t>ISO/IEC 29151</w:t>
            </w:r>
            <w:r w:rsidRPr="00073574">
              <w:rPr>
                <w:szCs w:val="22"/>
              </w:rPr>
              <w:t xml:space="preserve"> </w:t>
            </w:r>
            <w:r w:rsidRPr="00073574">
              <w:rPr>
                <w:rFonts w:asciiTheme="majorBidi" w:hAnsiTheme="majorBidi" w:cstheme="majorBidi"/>
                <w:i/>
                <w:bdr w:val="none" w:sz="0" w:space="0" w:color="auto" w:frame="1"/>
              </w:rPr>
              <w:t>Information technology – Security techniques – Code of practice for personally identifiable information protection</w:t>
            </w:r>
            <w:r w:rsidR="73578F0F" w:rsidRPr="00073574">
              <w:rPr>
                <w:rFonts w:asciiTheme="majorBidi" w:hAnsiTheme="majorBidi" w:cstheme="majorBidi"/>
                <w:bdr w:val="none" w:sz="0" w:space="0" w:color="auto" w:frame="1"/>
              </w:rPr>
              <w:t xml:space="preserve">, </w:t>
            </w:r>
            <w:r w:rsidR="00722DAA" w:rsidRPr="00073574" w:rsidDel="002552A4">
              <w:t xml:space="preserve">ITU-T </w:t>
            </w:r>
            <w:r w:rsidR="73578F0F" w:rsidRPr="00073574">
              <w:rPr>
                <w:rFonts w:asciiTheme="majorBidi" w:hAnsiTheme="majorBidi" w:cstheme="majorBidi"/>
                <w:bdr w:val="none" w:sz="0" w:space="0" w:color="auto" w:frame="1"/>
              </w:rPr>
              <w:t xml:space="preserve">X.1148 </w:t>
            </w:r>
            <w:r w:rsidR="528DCB9A" w:rsidRPr="00073574">
              <w:rPr>
                <w:rFonts w:asciiTheme="majorBidi" w:hAnsiTheme="majorBidi" w:cstheme="majorBidi"/>
                <w:i/>
              </w:rPr>
              <w:t>Framework of de-identification process for telecommunication service providers</w:t>
            </w:r>
            <w:r w:rsidR="528DCB9A" w:rsidRPr="00073574">
              <w:rPr>
                <w:rFonts w:asciiTheme="majorBidi" w:hAnsiTheme="majorBidi" w:cstheme="majorBidi"/>
              </w:rPr>
              <w:t>,</w:t>
            </w:r>
            <w:r w:rsidR="528DCB9A" w:rsidRPr="00073574">
              <w:rPr>
                <w:rFonts w:asciiTheme="majorBidi" w:hAnsiTheme="majorBidi" w:cstheme="majorBidi"/>
                <w:bdr w:val="none" w:sz="0" w:space="0" w:color="auto" w:frame="1"/>
              </w:rPr>
              <w:t xml:space="preserve"> </w:t>
            </w:r>
            <w:r w:rsidR="00033E28" w:rsidRPr="00073574">
              <w:t xml:space="preserve">ITU-T </w:t>
            </w:r>
            <w:r w:rsidR="6B6EF0AD" w:rsidRPr="00073574">
              <w:rPr>
                <w:rFonts w:asciiTheme="majorBidi" w:hAnsiTheme="majorBidi" w:cstheme="majorBidi"/>
                <w:bdr w:val="none" w:sz="0" w:space="0" w:color="auto" w:frame="1"/>
              </w:rPr>
              <w:t xml:space="preserve">X.1363 </w:t>
            </w:r>
            <w:r w:rsidR="6B6EF0AD" w:rsidRPr="00073574">
              <w:rPr>
                <w:rFonts w:asciiTheme="majorBidi" w:hAnsiTheme="majorBidi" w:cstheme="majorBidi"/>
                <w:i/>
              </w:rPr>
              <w:t>T</w:t>
            </w:r>
            <w:r w:rsidR="6B6EF0AD" w:rsidRPr="00073574">
              <w:rPr>
                <w:rFonts w:eastAsia="Times New Roman"/>
                <w:i/>
              </w:rPr>
              <w:t xml:space="preserve">echnical framework of PII (Personally Identifiable Information) handling system in IoT environment, </w:t>
            </w:r>
            <w:r w:rsidR="6B6EF0AD" w:rsidRPr="00073574">
              <w:rPr>
                <w:rFonts w:eastAsia="Times New Roman"/>
                <w:iCs/>
              </w:rPr>
              <w:t>and</w:t>
            </w:r>
            <w:r w:rsidR="009444A1" w:rsidRPr="00073574">
              <w:rPr>
                <w:rFonts w:eastAsia="Times New Roman"/>
                <w:i/>
              </w:rPr>
              <w:t xml:space="preserve"> </w:t>
            </w:r>
            <w:r w:rsidR="00C00836" w:rsidRPr="00073574">
              <w:t xml:space="preserve">ITU-T </w:t>
            </w:r>
            <w:r w:rsidR="009444A1" w:rsidRPr="00073574">
              <w:rPr>
                <w:rFonts w:eastAsia="Times New Roman"/>
                <w:iCs/>
              </w:rPr>
              <w:t>X.Sup</w:t>
            </w:r>
            <w:r w:rsidR="00675B88" w:rsidRPr="00073574">
              <w:rPr>
                <w:rFonts w:eastAsia="Times New Roman"/>
                <w:iCs/>
              </w:rPr>
              <w:t>32</w:t>
            </w:r>
            <w:r w:rsidR="00675B88" w:rsidRPr="00073574">
              <w:rPr>
                <w:rFonts w:eastAsia="Times New Roman"/>
                <w:i/>
              </w:rPr>
              <w:t xml:space="preserve"> Supplement to ITU-T X.1058 - Code of practice for personally identifiable information protection for telecommunications organizations. </w:t>
            </w:r>
            <w:r w:rsidR="00675B88" w:rsidRPr="00073574">
              <w:rPr>
                <w:rFonts w:eastAsia="Times New Roman"/>
                <w:iCs/>
              </w:rPr>
              <w:t>SG17</w:t>
            </w:r>
            <w:r w:rsidR="6B6EF0AD" w:rsidRPr="00073574">
              <w:rPr>
                <w:rFonts w:eastAsia="Times New Roman"/>
                <w:iCs/>
              </w:rPr>
              <w:t xml:space="preserve"> </w:t>
            </w:r>
            <w:r w:rsidR="3EE03FB7" w:rsidRPr="00073574">
              <w:rPr>
                <w:rFonts w:cstheme="minorBidi"/>
              </w:rPr>
              <w:t>is working on</w:t>
            </w:r>
            <w:r w:rsidR="69546461" w:rsidRPr="00073574">
              <w:rPr>
                <w:rFonts w:cstheme="minorBidi"/>
              </w:rPr>
              <w:t xml:space="preserve"> </w:t>
            </w:r>
            <w:r w:rsidR="00453F5F" w:rsidRPr="00073574">
              <w:rPr>
                <w:rFonts w:cstheme="minorBidi"/>
              </w:rPr>
              <w:t xml:space="preserve">X.guide-cdd </w:t>
            </w:r>
            <w:r w:rsidR="00453F5F" w:rsidRPr="00073574">
              <w:rPr>
                <w:rFonts w:cstheme="minorBidi"/>
                <w:i/>
                <w:iCs/>
              </w:rPr>
              <w:t>Security guidelines for combining de-identified data using trusted third party</w:t>
            </w:r>
            <w:r w:rsidR="00453F5F" w:rsidRPr="00073574">
              <w:rPr>
                <w:rFonts w:cstheme="minorBidi"/>
              </w:rPr>
              <w:t xml:space="preserve">, </w:t>
            </w:r>
            <w:r w:rsidRPr="00073574">
              <w:rPr>
                <w:rFonts w:cstheme="minorBidi"/>
              </w:rPr>
              <w:t>X.</w:t>
            </w:r>
            <w:r w:rsidR="50A92DD8" w:rsidRPr="00073574">
              <w:rPr>
                <w:rFonts w:cstheme="minorBidi"/>
              </w:rPr>
              <w:t xml:space="preserve">rdda </w:t>
            </w:r>
            <w:r w:rsidR="50A92DD8" w:rsidRPr="00073574">
              <w:rPr>
                <w:rFonts w:cstheme="minorBidi"/>
                <w:i/>
              </w:rPr>
              <w:t>Requirements for data de-identification assurance,</w:t>
            </w:r>
            <w:r w:rsidR="50A92DD8" w:rsidRPr="00073574">
              <w:rPr>
                <w:rFonts w:cstheme="minorBidi"/>
              </w:rPr>
              <w:t xml:space="preserve"> </w:t>
            </w:r>
            <w:r w:rsidR="00453F5F" w:rsidRPr="00073574">
              <w:rPr>
                <w:rFonts w:cstheme="minorBidi"/>
              </w:rPr>
              <w:t xml:space="preserve">X.vide </w:t>
            </w:r>
            <w:r w:rsidR="00B51E7E" w:rsidRPr="00073574">
              <w:rPr>
                <w:rFonts w:cstheme="minorBidi"/>
                <w:i/>
                <w:iCs/>
              </w:rPr>
              <w:t>Guideline of visual feature protection and secure sharing mechanisms for de-identification</w:t>
            </w:r>
            <w:r w:rsidR="3EE03FB7" w:rsidRPr="00073574">
              <w:t xml:space="preserve"> and</w:t>
            </w:r>
            <w:r w:rsidR="00F92809" w:rsidRPr="00073574">
              <w:t xml:space="preserve"> X.sa-dsm </w:t>
            </w:r>
            <w:r w:rsidR="00E34AB5" w:rsidRPr="00073574">
              <w:rPr>
                <w:i/>
                <w:iCs/>
              </w:rPr>
              <w:t>Security architecture of data sharing management based on the distributed ledger technology</w:t>
            </w:r>
            <w:r w:rsidRPr="00073574">
              <w:t>.</w:t>
            </w:r>
          </w:p>
        </w:tc>
      </w:tr>
      <w:tr w:rsidR="00F0236A" w:rsidRPr="00073574" w14:paraId="5E8E3C2F" w14:textId="77777777" w:rsidTr="539711DF">
        <w:trPr>
          <w:jc w:val="center"/>
        </w:trPr>
        <w:tc>
          <w:tcPr>
            <w:tcW w:w="1130" w:type="dxa"/>
            <w:vMerge w:val="restart"/>
            <w:tcBorders>
              <w:top w:val="single" w:sz="12" w:space="0" w:color="auto"/>
            </w:tcBorders>
            <w:shd w:val="clear" w:color="auto" w:fill="auto"/>
          </w:tcPr>
          <w:p w14:paraId="2BEBEDF5" w14:textId="77777777" w:rsidR="00F0236A" w:rsidRPr="00073574" w:rsidRDefault="00F0236A" w:rsidP="004417AB">
            <w:pPr>
              <w:pStyle w:val="Tabletext"/>
              <w:keepNext/>
              <w:keepLines/>
              <w:rPr>
                <w:b/>
                <w:bCs/>
                <w:sz w:val="24"/>
                <w:szCs w:val="24"/>
              </w:rPr>
            </w:pPr>
            <w:r w:rsidRPr="00073574">
              <w:rPr>
                <w:b/>
                <w:bCs/>
                <w:sz w:val="24"/>
                <w:szCs w:val="24"/>
              </w:rPr>
              <w:lastRenderedPageBreak/>
              <w:t>84-02</w:t>
            </w:r>
          </w:p>
        </w:tc>
        <w:tc>
          <w:tcPr>
            <w:tcW w:w="4988" w:type="dxa"/>
            <w:tcBorders>
              <w:top w:val="single" w:sz="12" w:space="0" w:color="auto"/>
            </w:tcBorders>
            <w:shd w:val="clear" w:color="auto" w:fill="auto"/>
            <w:hideMark/>
          </w:tcPr>
          <w:p w14:paraId="15148DD3" w14:textId="77777777" w:rsidR="00F0236A" w:rsidRPr="00073574" w:rsidRDefault="00F0236A" w:rsidP="004417AB">
            <w:pPr>
              <w:pStyle w:val="Tabletext"/>
              <w:keepNext/>
              <w:keepLines/>
              <w:rPr>
                <w:b/>
                <w:bCs/>
                <w:sz w:val="24"/>
                <w:szCs w:val="24"/>
              </w:rPr>
            </w:pPr>
            <w:r w:rsidRPr="00073574">
              <w:rPr>
                <w:b/>
                <w:bCs/>
                <w:sz w:val="24"/>
                <w:szCs w:val="24"/>
              </w:rPr>
              <w:t>ITU-T SG3, where appropriate with ITU-T Study Groups 2, 12 and 17, within their mandates, should carry out studies, including on standards for the protection of consumers and users of telecommunication/ICT services (resolves 3)</w:t>
            </w:r>
          </w:p>
        </w:tc>
        <w:tc>
          <w:tcPr>
            <w:tcW w:w="1335" w:type="dxa"/>
            <w:tcBorders>
              <w:top w:val="single" w:sz="12" w:space="0" w:color="auto"/>
            </w:tcBorders>
            <w:shd w:val="clear" w:color="auto" w:fill="auto"/>
            <w:vAlign w:val="center"/>
          </w:tcPr>
          <w:p w14:paraId="50918582" w14:textId="77777777" w:rsidR="00F0236A" w:rsidRPr="00073574" w:rsidRDefault="00F0236A" w:rsidP="004417AB">
            <w:pPr>
              <w:pStyle w:val="Tabletext"/>
              <w:keepNext/>
              <w:keepLines/>
              <w:jc w:val="center"/>
              <w:rPr>
                <w:b/>
                <w:bCs/>
                <w:sz w:val="24"/>
                <w:szCs w:val="24"/>
              </w:rPr>
            </w:pPr>
            <w:r w:rsidRPr="00073574">
              <w:rPr>
                <w:b/>
                <w:bCs/>
                <w:sz w:val="24"/>
                <w:szCs w:val="24"/>
              </w:rPr>
              <w:t>Ongoing</w:t>
            </w:r>
          </w:p>
        </w:tc>
        <w:tc>
          <w:tcPr>
            <w:tcW w:w="1143" w:type="dxa"/>
            <w:tcBorders>
              <w:top w:val="single" w:sz="12" w:space="0" w:color="auto"/>
            </w:tcBorders>
            <w:shd w:val="clear" w:color="auto" w:fill="auto"/>
            <w:vAlign w:val="center"/>
          </w:tcPr>
          <w:p w14:paraId="79BBAC5B" w14:textId="77777777" w:rsidR="00F0236A" w:rsidRPr="00073574" w:rsidRDefault="00F0236A" w:rsidP="004417AB">
            <w:pPr>
              <w:pStyle w:val="Tabletext"/>
              <w:keepNext/>
              <w:keepLines/>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2FD020FC" w14:textId="77777777" w:rsidR="00F0236A" w:rsidRPr="00073574" w:rsidRDefault="00F0236A" w:rsidP="004417AB">
            <w:pPr>
              <w:pStyle w:val="Tabletext"/>
              <w:keepNext/>
              <w:keepLines/>
              <w:jc w:val="center"/>
              <w:rPr>
                <w:b/>
                <w:bCs/>
                <w:sz w:val="24"/>
                <w:szCs w:val="24"/>
              </w:rPr>
            </w:pPr>
          </w:p>
        </w:tc>
      </w:tr>
      <w:tr w:rsidR="00F0236A" w:rsidRPr="00073574" w14:paraId="48F9CB9E" w14:textId="77777777" w:rsidTr="539711DF">
        <w:trPr>
          <w:jc w:val="center"/>
        </w:trPr>
        <w:tc>
          <w:tcPr>
            <w:tcW w:w="1130" w:type="dxa"/>
            <w:vMerge/>
          </w:tcPr>
          <w:p w14:paraId="11A7D2B6" w14:textId="77777777" w:rsidR="00F0236A" w:rsidRPr="00073574" w:rsidRDefault="00F0236A" w:rsidP="004417AB">
            <w:pPr>
              <w:pStyle w:val="Tabletext"/>
              <w:keepNext/>
              <w:keepLines/>
              <w:rPr>
                <w:sz w:val="24"/>
                <w:szCs w:val="24"/>
              </w:rPr>
            </w:pPr>
          </w:p>
        </w:tc>
        <w:tc>
          <w:tcPr>
            <w:tcW w:w="8802" w:type="dxa"/>
            <w:gridSpan w:val="4"/>
            <w:tcBorders>
              <w:bottom w:val="single" w:sz="12" w:space="0" w:color="auto"/>
            </w:tcBorders>
            <w:shd w:val="clear" w:color="auto" w:fill="auto"/>
          </w:tcPr>
          <w:p w14:paraId="6E4B385A" w14:textId="5393FC67" w:rsidR="00F0236A" w:rsidRPr="00073574" w:rsidRDefault="00F0236A" w:rsidP="002E241A">
            <w:pPr>
              <w:pStyle w:val="ListParagraph"/>
              <w:keepNext/>
              <w:keepLines/>
              <w:numPr>
                <w:ilvl w:val="0"/>
                <w:numId w:val="24"/>
              </w:numPr>
              <w:spacing w:before="40"/>
              <w:ind w:left="368" w:hanging="357"/>
              <w:contextualSpacing w:val="0"/>
            </w:pPr>
            <w:r w:rsidRPr="00073574">
              <w:t>SG3 agreed to hold an interim rapporteur group meeting (RGM) of Q12/3. Discussions will include protection of consumers and users of Mobile Financial Services.</w:t>
            </w:r>
            <w:r w:rsidR="005319F7" w:rsidRPr="00073574">
              <w:t xml:space="preserve"> The RGM on Q12/3 agreed on a baseline text for a new Draft Recommendation on Principles for increased adoption and use of MFS through effective consumer protection mechanisms.</w:t>
            </w:r>
            <w:r w:rsidR="00F05454" w:rsidRPr="00073574">
              <w:t xml:space="preserve"> SG3 agreed </w:t>
            </w:r>
            <w:r w:rsidR="006F79F8" w:rsidRPr="00073574">
              <w:t xml:space="preserve">the </w:t>
            </w:r>
            <w:r w:rsidR="00F05454" w:rsidRPr="00073574">
              <w:t xml:space="preserve">ITU-T Technical Report DSTR-DFSUAAFR on Digital Financial Services – Review of DFS User Agreements in Africa: A Consumer Protection Perspective, and ITU-T Technical Report DSTR-DFSCP on Digital Financial Services – Commonly identified Consumer Protection themes for Digital Financial Services. SG3 is studying in work item D.ConsumerMFS the aspects of consumer protection in mobile financial services, and </w:t>
            </w:r>
            <w:r w:rsidR="002C44A7" w:rsidRPr="00073574">
              <w:t>developed Recommendation ITU-T D.1102,</w:t>
            </w:r>
            <w:r w:rsidR="00F05454" w:rsidRPr="00073574">
              <w:t xml:space="preserve"> the customer redress mechanism and consumer protection.</w:t>
            </w:r>
          </w:p>
          <w:p w14:paraId="56BDC34A" w14:textId="77777777" w:rsidR="00F0236A" w:rsidRPr="00073574" w:rsidRDefault="00F0236A" w:rsidP="002E241A">
            <w:pPr>
              <w:pStyle w:val="ListParagraph"/>
              <w:keepNext/>
              <w:keepLines/>
              <w:numPr>
                <w:ilvl w:val="0"/>
                <w:numId w:val="24"/>
              </w:numPr>
              <w:spacing w:after="40"/>
              <w:ind w:left="357" w:hanging="357"/>
              <w:contextualSpacing w:val="0"/>
              <w:rPr>
                <w:sz w:val="24"/>
              </w:rPr>
            </w:pPr>
            <w:r w:rsidRPr="00073574">
              <w:t>SG12: see 84-01.</w:t>
            </w:r>
          </w:p>
        </w:tc>
      </w:tr>
      <w:tr w:rsidR="00F0236A" w:rsidRPr="00073574" w14:paraId="6DD1E157" w14:textId="77777777" w:rsidTr="539711DF">
        <w:trPr>
          <w:jc w:val="center"/>
        </w:trPr>
        <w:tc>
          <w:tcPr>
            <w:tcW w:w="1130" w:type="dxa"/>
            <w:vMerge w:val="restart"/>
            <w:tcBorders>
              <w:top w:val="single" w:sz="12" w:space="0" w:color="auto"/>
            </w:tcBorders>
            <w:shd w:val="clear" w:color="auto" w:fill="auto"/>
          </w:tcPr>
          <w:p w14:paraId="32054F28" w14:textId="77777777" w:rsidR="00F0236A" w:rsidRPr="00073574" w:rsidRDefault="00F0236A" w:rsidP="008A1C73">
            <w:pPr>
              <w:pStyle w:val="Tabletext"/>
              <w:rPr>
                <w:b/>
                <w:bCs/>
                <w:sz w:val="24"/>
                <w:szCs w:val="24"/>
              </w:rPr>
            </w:pPr>
            <w:r w:rsidRPr="00073574">
              <w:rPr>
                <w:b/>
                <w:bCs/>
                <w:sz w:val="24"/>
                <w:szCs w:val="24"/>
              </w:rPr>
              <w:t>84-03</w:t>
            </w:r>
          </w:p>
        </w:tc>
        <w:tc>
          <w:tcPr>
            <w:tcW w:w="4988" w:type="dxa"/>
            <w:tcBorders>
              <w:top w:val="single" w:sz="12" w:space="0" w:color="auto"/>
            </w:tcBorders>
            <w:shd w:val="clear" w:color="auto" w:fill="auto"/>
          </w:tcPr>
          <w:p w14:paraId="10BA7472" w14:textId="77777777" w:rsidR="00F0236A" w:rsidRPr="00073574" w:rsidRDefault="00F0236A" w:rsidP="00DF36E1">
            <w:pPr>
              <w:pStyle w:val="Tabletext"/>
              <w:rPr>
                <w:b/>
                <w:bCs/>
                <w:sz w:val="24"/>
                <w:szCs w:val="24"/>
              </w:rPr>
            </w:pPr>
            <w:r w:rsidRPr="00073574">
              <w:rPr>
                <w:b/>
                <w:bCs/>
                <w:sz w:val="24"/>
                <w:szCs w:val="24"/>
              </w:rPr>
              <w:t>TSB Director to assist the Director of the Telecommunication Development Bureau in the implementation of Resolution 196 (Busan, 2014) (i. TSBDir 1)</w:t>
            </w:r>
          </w:p>
        </w:tc>
        <w:tc>
          <w:tcPr>
            <w:tcW w:w="1335" w:type="dxa"/>
            <w:tcBorders>
              <w:top w:val="single" w:sz="12" w:space="0" w:color="auto"/>
            </w:tcBorders>
            <w:shd w:val="clear" w:color="auto" w:fill="auto"/>
            <w:vAlign w:val="center"/>
          </w:tcPr>
          <w:p w14:paraId="5C11F4C2"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43" w:type="dxa"/>
            <w:tcBorders>
              <w:top w:val="single" w:sz="12" w:space="0" w:color="auto"/>
            </w:tcBorders>
            <w:shd w:val="clear" w:color="auto" w:fill="auto"/>
            <w:vAlign w:val="center"/>
          </w:tcPr>
          <w:p w14:paraId="37E78AEC"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48C94E69" w14:textId="77777777" w:rsidR="00F0236A" w:rsidRPr="00073574" w:rsidRDefault="00F0236A" w:rsidP="00DF36E1">
            <w:pPr>
              <w:pStyle w:val="Tabletext"/>
              <w:jc w:val="center"/>
              <w:rPr>
                <w:b/>
                <w:bCs/>
                <w:sz w:val="24"/>
                <w:szCs w:val="24"/>
              </w:rPr>
            </w:pPr>
          </w:p>
        </w:tc>
      </w:tr>
      <w:tr w:rsidR="00F0236A" w:rsidRPr="00073574" w14:paraId="78033ABA" w14:textId="77777777" w:rsidTr="539711DF">
        <w:trPr>
          <w:jc w:val="center"/>
        </w:trPr>
        <w:tc>
          <w:tcPr>
            <w:tcW w:w="1130" w:type="dxa"/>
            <w:vMerge/>
          </w:tcPr>
          <w:p w14:paraId="27BEC696" w14:textId="77777777" w:rsidR="00F0236A" w:rsidRPr="00073574" w:rsidRDefault="00F0236A" w:rsidP="00DF36E1">
            <w:pPr>
              <w:pStyle w:val="Tabletext"/>
              <w:rPr>
                <w:sz w:val="24"/>
                <w:szCs w:val="24"/>
              </w:rPr>
            </w:pPr>
          </w:p>
        </w:tc>
        <w:tc>
          <w:tcPr>
            <w:tcW w:w="8802" w:type="dxa"/>
            <w:gridSpan w:val="4"/>
            <w:tcBorders>
              <w:bottom w:val="single" w:sz="12" w:space="0" w:color="auto"/>
            </w:tcBorders>
            <w:shd w:val="clear" w:color="auto" w:fill="auto"/>
          </w:tcPr>
          <w:p w14:paraId="5CD52542" w14:textId="583940FE" w:rsidR="00F0236A" w:rsidRPr="00073574" w:rsidRDefault="00F0236A" w:rsidP="00E15AC7">
            <w:pPr>
              <w:spacing w:before="40" w:after="40"/>
            </w:pPr>
            <w:r w:rsidRPr="00073574">
              <w:rPr>
                <w:szCs w:val="22"/>
              </w:rPr>
              <w:t xml:space="preserve">See SG12 action item 84-01, </w:t>
            </w:r>
            <w:r w:rsidR="008E2665" w:rsidRPr="00073574">
              <w:rPr>
                <w:szCs w:val="22"/>
              </w:rPr>
              <w:t>was</w:t>
            </w:r>
            <w:r w:rsidRPr="00073574">
              <w:rPr>
                <w:szCs w:val="22"/>
              </w:rPr>
              <w:t xml:space="preserve"> communicated to the BDT</w:t>
            </w:r>
            <w:r w:rsidR="008E2665" w:rsidRPr="00073574">
              <w:rPr>
                <w:szCs w:val="22"/>
              </w:rPr>
              <w:t>. A</w:t>
            </w:r>
            <w:r w:rsidR="00D019E3" w:rsidRPr="00073574">
              <w:rPr>
                <w:szCs w:val="22"/>
              </w:rPr>
              <w:t>ctive exchange of information with BDT and ITU-D Study Groups</w:t>
            </w:r>
            <w:r w:rsidRPr="00073574">
              <w:rPr>
                <w:szCs w:val="22"/>
              </w:rPr>
              <w:t>.</w:t>
            </w:r>
          </w:p>
        </w:tc>
      </w:tr>
      <w:tr w:rsidR="00F0236A" w:rsidRPr="00073574" w14:paraId="51459A95" w14:textId="77777777" w:rsidTr="539711DF">
        <w:trPr>
          <w:jc w:val="center"/>
        </w:trPr>
        <w:tc>
          <w:tcPr>
            <w:tcW w:w="1130" w:type="dxa"/>
            <w:vMerge w:val="restart"/>
            <w:tcBorders>
              <w:top w:val="single" w:sz="12" w:space="0" w:color="auto"/>
            </w:tcBorders>
            <w:shd w:val="clear" w:color="auto" w:fill="auto"/>
          </w:tcPr>
          <w:p w14:paraId="2EF0E509" w14:textId="77777777" w:rsidR="00F0236A" w:rsidRPr="00073574" w:rsidRDefault="00F0236A" w:rsidP="003C4463">
            <w:pPr>
              <w:pStyle w:val="Tabletext"/>
              <w:keepNext/>
              <w:keepLines/>
              <w:rPr>
                <w:b/>
                <w:bCs/>
                <w:sz w:val="24"/>
                <w:szCs w:val="24"/>
              </w:rPr>
            </w:pPr>
            <w:r w:rsidRPr="00073574">
              <w:rPr>
                <w:b/>
                <w:bCs/>
                <w:sz w:val="24"/>
                <w:szCs w:val="24"/>
              </w:rPr>
              <w:t>84-04</w:t>
            </w:r>
          </w:p>
        </w:tc>
        <w:tc>
          <w:tcPr>
            <w:tcW w:w="4988" w:type="dxa"/>
            <w:tcBorders>
              <w:top w:val="single" w:sz="12" w:space="0" w:color="auto"/>
            </w:tcBorders>
            <w:shd w:val="clear" w:color="auto" w:fill="auto"/>
          </w:tcPr>
          <w:p w14:paraId="6A8F60A9" w14:textId="77777777" w:rsidR="00F0236A" w:rsidRPr="00073574" w:rsidRDefault="00F0236A" w:rsidP="00DF36E1">
            <w:pPr>
              <w:pStyle w:val="Tabletext"/>
              <w:rPr>
                <w:b/>
                <w:bCs/>
                <w:sz w:val="24"/>
                <w:szCs w:val="24"/>
              </w:rPr>
            </w:pPr>
            <w:r w:rsidRPr="00073574">
              <w:rPr>
                <w:b/>
                <w:bCs/>
                <w:sz w:val="24"/>
                <w:szCs w:val="24"/>
              </w:rPr>
              <w:t>TSB Director to strengthen relations with other standards development organizations involved in resolving issues of protection of telecommunication/ICT service users (i. TSBDir 2)</w:t>
            </w:r>
          </w:p>
        </w:tc>
        <w:tc>
          <w:tcPr>
            <w:tcW w:w="1335" w:type="dxa"/>
            <w:tcBorders>
              <w:top w:val="single" w:sz="12" w:space="0" w:color="auto"/>
            </w:tcBorders>
            <w:shd w:val="clear" w:color="auto" w:fill="auto"/>
            <w:vAlign w:val="center"/>
          </w:tcPr>
          <w:p w14:paraId="197C1DCC"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43" w:type="dxa"/>
            <w:tcBorders>
              <w:top w:val="single" w:sz="12" w:space="0" w:color="auto"/>
            </w:tcBorders>
            <w:shd w:val="clear" w:color="auto" w:fill="auto"/>
            <w:vAlign w:val="center"/>
          </w:tcPr>
          <w:p w14:paraId="498FCBE3"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2C8DA6D2" w14:textId="77777777" w:rsidR="00F0236A" w:rsidRPr="00073574" w:rsidRDefault="00F0236A" w:rsidP="00DF36E1">
            <w:pPr>
              <w:pStyle w:val="Tabletext"/>
              <w:jc w:val="center"/>
              <w:rPr>
                <w:b/>
                <w:bCs/>
                <w:sz w:val="24"/>
                <w:szCs w:val="24"/>
              </w:rPr>
            </w:pPr>
          </w:p>
        </w:tc>
      </w:tr>
      <w:tr w:rsidR="00F0236A" w:rsidRPr="00073574" w14:paraId="64C6F550" w14:textId="77777777" w:rsidTr="539711DF">
        <w:trPr>
          <w:jc w:val="center"/>
        </w:trPr>
        <w:tc>
          <w:tcPr>
            <w:tcW w:w="1130" w:type="dxa"/>
            <w:vMerge/>
            <w:vAlign w:val="center"/>
          </w:tcPr>
          <w:p w14:paraId="76482D3A" w14:textId="77777777" w:rsidR="00F0236A" w:rsidRPr="00073574" w:rsidRDefault="00F0236A" w:rsidP="00DF36E1">
            <w:pPr>
              <w:pStyle w:val="Tabletext"/>
              <w:rPr>
                <w:sz w:val="24"/>
                <w:szCs w:val="24"/>
              </w:rPr>
            </w:pPr>
          </w:p>
        </w:tc>
        <w:tc>
          <w:tcPr>
            <w:tcW w:w="8802" w:type="dxa"/>
            <w:gridSpan w:val="4"/>
            <w:shd w:val="clear" w:color="auto" w:fill="auto"/>
          </w:tcPr>
          <w:p w14:paraId="49FC07E0" w14:textId="246D6ED7" w:rsidR="00F0236A" w:rsidRPr="00073574" w:rsidRDefault="00D019E3" w:rsidP="002E241A">
            <w:pPr>
              <w:pStyle w:val="ListParagraph"/>
              <w:numPr>
                <w:ilvl w:val="0"/>
                <w:numId w:val="24"/>
              </w:numPr>
              <w:spacing w:before="40" w:after="40"/>
              <w:ind w:left="357" w:hanging="357"/>
              <w:contextualSpacing w:val="0"/>
              <w:rPr>
                <w:sz w:val="24"/>
              </w:rPr>
            </w:pPr>
            <w:r w:rsidRPr="00073574">
              <w:t xml:space="preserve">Collaboration between </w:t>
            </w:r>
            <w:r w:rsidR="00F0236A" w:rsidRPr="00073574">
              <w:t xml:space="preserve">SG12 </w:t>
            </w:r>
            <w:r w:rsidR="00137ECC" w:rsidRPr="00073574">
              <w:t>and</w:t>
            </w:r>
            <w:r w:rsidR="00F0236A" w:rsidRPr="00073574">
              <w:t xml:space="preserve"> ETSI TC STQ </w:t>
            </w:r>
            <w:r w:rsidRPr="00073574">
              <w:t>and other SDOs working on QoS and QoE matters</w:t>
            </w:r>
            <w:r w:rsidR="00F0236A" w:rsidRPr="00073574">
              <w:t>.</w:t>
            </w:r>
          </w:p>
        </w:tc>
      </w:tr>
    </w:tbl>
    <w:bookmarkStart w:id="493" w:name="Item84_01"/>
    <w:bookmarkStart w:id="494" w:name="Item84_02"/>
    <w:bookmarkStart w:id="495" w:name="Item84_03"/>
    <w:bookmarkStart w:id="496" w:name="Item84_04"/>
    <w:bookmarkEnd w:id="493"/>
    <w:bookmarkEnd w:id="494"/>
    <w:bookmarkEnd w:id="495"/>
    <w:bookmarkEnd w:id="496"/>
    <w:p w14:paraId="3FBDEF34" w14:textId="77777777" w:rsidR="00F0236A" w:rsidRPr="00073574" w:rsidRDefault="00F0236A" w:rsidP="00F0236A">
      <w:pPr>
        <w:rPr>
          <w:sz w:val="24"/>
        </w:rPr>
      </w:pPr>
      <w:r w:rsidRPr="00073574">
        <w:rPr>
          <w:color w:val="2B579A"/>
          <w:shd w:val="clear" w:color="auto" w:fill="E6E6E6"/>
        </w:rPr>
        <w:fldChar w:fldCharType="begin"/>
      </w:r>
      <w:r w:rsidRPr="00073574">
        <w:rPr>
          <w:sz w:val="24"/>
        </w:rPr>
        <w:instrText xml:space="preserve"> HYPERLINK \l "Top" </w:instrText>
      </w:r>
      <w:r w:rsidRPr="00073574">
        <w:rPr>
          <w:color w:val="2B579A"/>
          <w:shd w:val="clear" w:color="auto" w:fill="E6E6E6"/>
        </w:rPr>
        <w:fldChar w:fldCharType="separate"/>
      </w:r>
      <w:r w:rsidRPr="00073574">
        <w:rPr>
          <w:rStyle w:val="Hyperlink"/>
          <w:rFonts w:eastAsia="Times New Roman"/>
          <w:sz w:val="24"/>
        </w:rPr>
        <w:t>» Top</w:t>
      </w:r>
      <w:r w:rsidRPr="00073574">
        <w:rPr>
          <w:rStyle w:val="Hyperlink"/>
          <w:rFonts w:eastAsia="Times New Roman"/>
          <w:sz w:val="24"/>
        </w:rPr>
        <w:fldChar w:fldCharType="end"/>
      </w:r>
    </w:p>
    <w:p w14:paraId="748E825E" w14:textId="77777777" w:rsidR="00F0236A" w:rsidRPr="00073574" w:rsidRDefault="00F0236A" w:rsidP="005B5893">
      <w:pPr>
        <w:pStyle w:val="Heading1"/>
        <w:rPr>
          <w:sz w:val="24"/>
          <w:szCs w:val="24"/>
          <w:lang w:val="en-GB"/>
        </w:rPr>
      </w:pPr>
      <w:bookmarkStart w:id="497" w:name="_Resolution_85_-"/>
      <w:bookmarkStart w:id="498" w:name="_Toc471715399"/>
      <w:bookmarkStart w:id="499" w:name="_Toc93425285"/>
      <w:bookmarkEnd w:id="497"/>
      <w:r w:rsidRPr="00073574">
        <w:rPr>
          <w:sz w:val="24"/>
          <w:szCs w:val="24"/>
          <w:lang w:val="en-GB"/>
        </w:rPr>
        <w:t>Resolution 85 - Strengthening and diversifying the resources of the ITU Telecommunication Standardization Sector</w:t>
      </w:r>
      <w:bookmarkEnd w:id="498"/>
      <w:bookmarkEnd w:id="499"/>
    </w:p>
    <w:p w14:paraId="1A2C403E" w14:textId="77777777" w:rsidR="00F0236A" w:rsidRPr="00073574" w:rsidRDefault="00F0236A" w:rsidP="005B5893">
      <w:pPr>
        <w:rPr>
          <w:b/>
          <w:bCs/>
          <w:sz w:val="24"/>
        </w:rPr>
      </w:pPr>
      <w:r w:rsidRPr="00073574">
        <w:rPr>
          <w:b/>
          <w:bCs/>
          <w:sz w:val="24"/>
        </w:rPr>
        <w:t>Resolution 85</w:t>
      </w:r>
    </w:p>
    <w:p w14:paraId="2EA95A2C" w14:textId="77777777" w:rsidR="00F0236A" w:rsidRPr="00073574" w:rsidRDefault="00F0236A" w:rsidP="005B5893">
      <w:pPr>
        <w:pStyle w:val="Call"/>
        <w:keepNext w:val="0"/>
        <w:keepLines w:val="0"/>
        <w:rPr>
          <w:sz w:val="24"/>
          <w:szCs w:val="24"/>
          <w:lang w:val="en-GB" w:eastAsia="en-AU"/>
        </w:rPr>
      </w:pPr>
      <w:r w:rsidRPr="00073574">
        <w:rPr>
          <w:sz w:val="24"/>
          <w:szCs w:val="24"/>
          <w:lang w:val="en-GB" w:eastAsia="en-AU"/>
        </w:rPr>
        <w:t>resolves to instruct the Director of the Telecommunication Standardization Bureau</w:t>
      </w:r>
    </w:p>
    <w:p w14:paraId="31F5270C" w14:textId="77777777" w:rsidR="00F0236A" w:rsidRPr="00073574" w:rsidRDefault="00F0236A" w:rsidP="005B5893">
      <w:pPr>
        <w:spacing w:after="240"/>
        <w:rPr>
          <w:sz w:val="24"/>
        </w:rPr>
      </w:pPr>
      <w:r w:rsidRPr="00073574">
        <w:rPr>
          <w:sz w:val="24"/>
        </w:rPr>
        <w:t>to participate in the study referred to in noting b) above, for possible new measures to generate additional revenue for ITU-T, including revenues that may be obtained from INRs and conformance and interoperability testing.</w:t>
      </w:r>
    </w:p>
    <w:tbl>
      <w:tblPr>
        <w:tblW w:w="99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32"/>
        <w:gridCol w:w="4985"/>
        <w:gridCol w:w="1336"/>
        <w:gridCol w:w="1143"/>
        <w:gridCol w:w="1336"/>
      </w:tblGrid>
      <w:tr w:rsidR="00F0236A" w:rsidRPr="00073574" w14:paraId="26FA3E7F" w14:textId="77777777" w:rsidTr="00DF36E1">
        <w:trPr>
          <w:cantSplit/>
          <w:tblHeader/>
          <w:jc w:val="center"/>
        </w:trPr>
        <w:tc>
          <w:tcPr>
            <w:tcW w:w="1132" w:type="dxa"/>
            <w:tcBorders>
              <w:top w:val="single" w:sz="12" w:space="0" w:color="auto"/>
              <w:bottom w:val="single" w:sz="12" w:space="0" w:color="auto"/>
            </w:tcBorders>
            <w:shd w:val="clear" w:color="auto" w:fill="auto"/>
            <w:vAlign w:val="center"/>
          </w:tcPr>
          <w:p w14:paraId="24E7C1C4" w14:textId="77777777" w:rsidR="00F0236A" w:rsidRPr="00073574" w:rsidRDefault="00F0236A" w:rsidP="00DF36E1">
            <w:pPr>
              <w:pStyle w:val="Tablehead"/>
              <w:rPr>
                <w:sz w:val="24"/>
                <w:szCs w:val="24"/>
              </w:rPr>
            </w:pPr>
            <w:r w:rsidRPr="00073574">
              <w:rPr>
                <w:sz w:val="24"/>
                <w:szCs w:val="24"/>
              </w:rPr>
              <w:lastRenderedPageBreak/>
              <w:t>Action Item</w:t>
            </w:r>
          </w:p>
        </w:tc>
        <w:tc>
          <w:tcPr>
            <w:tcW w:w="4985" w:type="dxa"/>
            <w:tcBorders>
              <w:top w:val="single" w:sz="12" w:space="0" w:color="auto"/>
              <w:bottom w:val="single" w:sz="12" w:space="0" w:color="auto"/>
            </w:tcBorders>
            <w:shd w:val="clear" w:color="auto" w:fill="auto"/>
            <w:vAlign w:val="center"/>
            <w:hideMark/>
          </w:tcPr>
          <w:p w14:paraId="6A013DD7" w14:textId="77777777" w:rsidR="00F0236A" w:rsidRPr="00073574" w:rsidRDefault="00F0236A" w:rsidP="00DF36E1">
            <w:pPr>
              <w:pStyle w:val="Tablehead"/>
              <w:rPr>
                <w:sz w:val="24"/>
                <w:szCs w:val="24"/>
              </w:rPr>
            </w:pPr>
            <w:r w:rsidRPr="00073574">
              <w:rPr>
                <w:sz w:val="24"/>
                <w:szCs w:val="24"/>
              </w:rPr>
              <w:t>Action</w:t>
            </w:r>
          </w:p>
        </w:tc>
        <w:tc>
          <w:tcPr>
            <w:tcW w:w="1336" w:type="dxa"/>
            <w:tcBorders>
              <w:top w:val="single" w:sz="12" w:space="0" w:color="auto"/>
              <w:bottom w:val="single" w:sz="12" w:space="0" w:color="auto"/>
            </w:tcBorders>
            <w:shd w:val="clear" w:color="auto" w:fill="auto"/>
            <w:vAlign w:val="center"/>
            <w:hideMark/>
          </w:tcPr>
          <w:p w14:paraId="4CAE3F71" w14:textId="77777777" w:rsidR="00F0236A" w:rsidRPr="00073574" w:rsidRDefault="00F0236A" w:rsidP="00DF36E1">
            <w:pPr>
              <w:pStyle w:val="Tablehead"/>
              <w:rPr>
                <w:sz w:val="24"/>
                <w:szCs w:val="24"/>
              </w:rPr>
            </w:pPr>
            <w:r w:rsidRPr="00073574">
              <w:rPr>
                <w:sz w:val="24"/>
                <w:szCs w:val="24"/>
              </w:rPr>
              <w:t>Milestone</w:t>
            </w:r>
          </w:p>
        </w:tc>
        <w:tc>
          <w:tcPr>
            <w:tcW w:w="1143" w:type="dxa"/>
            <w:tcBorders>
              <w:top w:val="single" w:sz="12" w:space="0" w:color="auto"/>
              <w:bottom w:val="single" w:sz="12" w:space="0" w:color="auto"/>
            </w:tcBorders>
            <w:shd w:val="clear" w:color="auto" w:fill="auto"/>
          </w:tcPr>
          <w:p w14:paraId="53C49FD3" w14:textId="77777777" w:rsidR="00F0236A" w:rsidRPr="00073574" w:rsidRDefault="00F0236A" w:rsidP="00DF36E1">
            <w:pPr>
              <w:pStyle w:val="Tablehead"/>
              <w:rPr>
                <w:sz w:val="24"/>
                <w:szCs w:val="24"/>
              </w:rPr>
            </w:pPr>
            <w:r w:rsidRPr="00073574">
              <w:rPr>
                <w:sz w:val="24"/>
                <w:szCs w:val="24"/>
              </w:rPr>
              <w:t>Periodic goals met</w:t>
            </w:r>
          </w:p>
        </w:tc>
        <w:tc>
          <w:tcPr>
            <w:tcW w:w="1336" w:type="dxa"/>
            <w:tcBorders>
              <w:top w:val="single" w:sz="12" w:space="0" w:color="auto"/>
              <w:bottom w:val="single" w:sz="12" w:space="0" w:color="auto"/>
            </w:tcBorders>
            <w:shd w:val="clear" w:color="auto" w:fill="auto"/>
            <w:vAlign w:val="center"/>
          </w:tcPr>
          <w:p w14:paraId="39345052" w14:textId="77777777" w:rsidR="00F0236A" w:rsidRPr="00073574" w:rsidRDefault="00F0236A" w:rsidP="00DF36E1">
            <w:pPr>
              <w:pStyle w:val="Tablehead"/>
              <w:rPr>
                <w:sz w:val="24"/>
                <w:szCs w:val="24"/>
              </w:rPr>
            </w:pPr>
            <w:r w:rsidRPr="00073574">
              <w:rPr>
                <w:sz w:val="24"/>
                <w:szCs w:val="24"/>
              </w:rPr>
              <w:t>Completed</w:t>
            </w:r>
          </w:p>
        </w:tc>
      </w:tr>
      <w:tr w:rsidR="00F0236A" w:rsidRPr="00073574" w14:paraId="199AB95E" w14:textId="77777777" w:rsidTr="00BD6575">
        <w:trPr>
          <w:cantSplit/>
          <w:jc w:val="center"/>
        </w:trPr>
        <w:tc>
          <w:tcPr>
            <w:tcW w:w="1132" w:type="dxa"/>
            <w:vMerge w:val="restart"/>
            <w:tcBorders>
              <w:top w:val="single" w:sz="12" w:space="0" w:color="auto"/>
            </w:tcBorders>
            <w:shd w:val="clear" w:color="auto" w:fill="auto"/>
          </w:tcPr>
          <w:p w14:paraId="693C4668" w14:textId="77777777" w:rsidR="00F0236A" w:rsidRPr="00073574" w:rsidRDefault="00F0236A" w:rsidP="00DF36E1">
            <w:pPr>
              <w:pStyle w:val="Tabletext"/>
              <w:rPr>
                <w:b/>
                <w:bCs/>
                <w:sz w:val="24"/>
                <w:szCs w:val="24"/>
              </w:rPr>
            </w:pPr>
            <w:r w:rsidRPr="00073574">
              <w:rPr>
                <w:b/>
                <w:bCs/>
                <w:sz w:val="24"/>
                <w:szCs w:val="24"/>
              </w:rPr>
              <w:t>85-01</w:t>
            </w:r>
          </w:p>
        </w:tc>
        <w:tc>
          <w:tcPr>
            <w:tcW w:w="4985" w:type="dxa"/>
            <w:tcBorders>
              <w:top w:val="single" w:sz="12" w:space="0" w:color="auto"/>
              <w:bottom w:val="single" w:sz="2" w:space="0" w:color="auto"/>
            </w:tcBorders>
            <w:shd w:val="clear" w:color="auto" w:fill="auto"/>
            <w:hideMark/>
          </w:tcPr>
          <w:p w14:paraId="4865ED6E" w14:textId="77777777" w:rsidR="00F0236A" w:rsidRPr="00073574" w:rsidRDefault="00F0236A" w:rsidP="00DF36E1">
            <w:pPr>
              <w:pStyle w:val="Tabletext"/>
              <w:rPr>
                <w:b/>
                <w:bCs/>
                <w:sz w:val="24"/>
                <w:szCs w:val="24"/>
              </w:rPr>
            </w:pPr>
            <w:r w:rsidRPr="00073574">
              <w:rPr>
                <w:b/>
                <w:bCs/>
                <w:sz w:val="24"/>
                <w:szCs w:val="24"/>
              </w:rPr>
              <w:t>TSB Director to participate in the study identifying all possible sources of revenue for the Union without restriction to INR, for possible new measures to generate additional revenue for ITU-T, including revenues that may be obtained from INRs and conformance and interoperability testing (resolves i. TSBDir)</w:t>
            </w:r>
          </w:p>
        </w:tc>
        <w:tc>
          <w:tcPr>
            <w:tcW w:w="1336" w:type="dxa"/>
            <w:tcBorders>
              <w:top w:val="single" w:sz="12" w:space="0" w:color="auto"/>
              <w:bottom w:val="single" w:sz="2" w:space="0" w:color="auto"/>
            </w:tcBorders>
            <w:shd w:val="clear" w:color="auto" w:fill="auto"/>
            <w:vAlign w:val="center"/>
          </w:tcPr>
          <w:p w14:paraId="09527326" w14:textId="30CD26A8" w:rsidR="00F0236A" w:rsidRPr="00073574" w:rsidRDefault="00F0236A" w:rsidP="005F5654">
            <w:pPr>
              <w:pStyle w:val="Tabletext"/>
              <w:jc w:val="center"/>
              <w:rPr>
                <w:b/>
                <w:bCs/>
                <w:sz w:val="24"/>
                <w:szCs w:val="24"/>
              </w:rPr>
            </w:pPr>
            <w:r w:rsidRPr="00073574">
              <w:rPr>
                <w:b/>
                <w:bCs/>
                <w:sz w:val="24"/>
                <w:szCs w:val="24"/>
              </w:rPr>
              <w:t>Council 20</w:t>
            </w:r>
            <w:r w:rsidR="005F5654" w:rsidRPr="00073574">
              <w:rPr>
                <w:b/>
                <w:bCs/>
                <w:sz w:val="24"/>
                <w:szCs w:val="24"/>
              </w:rPr>
              <w:t>2</w:t>
            </w:r>
            <w:r w:rsidR="00E92E1E" w:rsidRPr="00073574">
              <w:rPr>
                <w:b/>
                <w:bCs/>
                <w:sz w:val="24"/>
                <w:szCs w:val="24"/>
              </w:rPr>
              <w:t>1</w:t>
            </w:r>
          </w:p>
        </w:tc>
        <w:tc>
          <w:tcPr>
            <w:tcW w:w="1143" w:type="dxa"/>
            <w:tcBorders>
              <w:top w:val="single" w:sz="12" w:space="0" w:color="auto"/>
              <w:bottom w:val="single" w:sz="2" w:space="0" w:color="auto"/>
            </w:tcBorders>
            <w:shd w:val="clear" w:color="auto" w:fill="auto"/>
            <w:vAlign w:val="center"/>
          </w:tcPr>
          <w:p w14:paraId="3B1838A5" w14:textId="12CFFED9" w:rsidR="00F0236A" w:rsidRPr="00073574" w:rsidRDefault="00DA2B6E" w:rsidP="00DF36E1">
            <w:pPr>
              <w:pStyle w:val="Tabletext"/>
              <w:jc w:val="center"/>
              <w:rPr>
                <w:b/>
                <w:bCs/>
                <w:sz w:val="24"/>
                <w:szCs w:val="24"/>
              </w:rPr>
            </w:pPr>
            <w:r w:rsidRPr="00073574">
              <w:rPr>
                <w:b/>
                <w:bCs/>
                <w:sz w:val="24"/>
                <w:szCs w:val="24"/>
              </w:rPr>
              <w:t>√</w:t>
            </w:r>
          </w:p>
        </w:tc>
        <w:tc>
          <w:tcPr>
            <w:tcW w:w="1336" w:type="dxa"/>
            <w:tcBorders>
              <w:top w:val="single" w:sz="12" w:space="0" w:color="auto"/>
              <w:bottom w:val="single" w:sz="2" w:space="0" w:color="auto"/>
            </w:tcBorders>
            <w:shd w:val="clear" w:color="auto" w:fill="auto"/>
            <w:vAlign w:val="center"/>
          </w:tcPr>
          <w:p w14:paraId="2B41E27E" w14:textId="4A55B738" w:rsidR="00F0236A" w:rsidRPr="00073574" w:rsidRDefault="00E87C0E" w:rsidP="00DF36E1">
            <w:pPr>
              <w:pStyle w:val="Tabletext"/>
              <w:jc w:val="center"/>
              <w:rPr>
                <w:b/>
                <w:bCs/>
                <w:sz w:val="24"/>
                <w:szCs w:val="24"/>
              </w:rPr>
            </w:pPr>
            <w:r w:rsidRPr="00073574">
              <w:rPr>
                <w:b/>
                <w:bCs/>
                <w:sz w:val="24"/>
                <w:szCs w:val="24"/>
              </w:rPr>
              <w:t>√</w:t>
            </w:r>
          </w:p>
        </w:tc>
      </w:tr>
      <w:tr w:rsidR="00F0236A" w:rsidRPr="00073574" w14:paraId="5E1AF339" w14:textId="77777777" w:rsidTr="00DF36E1">
        <w:trPr>
          <w:cantSplit/>
          <w:jc w:val="center"/>
        </w:trPr>
        <w:tc>
          <w:tcPr>
            <w:tcW w:w="1132" w:type="dxa"/>
            <w:vMerge/>
            <w:shd w:val="clear" w:color="auto" w:fill="auto"/>
            <w:vAlign w:val="center"/>
          </w:tcPr>
          <w:p w14:paraId="5FC60A76" w14:textId="77777777" w:rsidR="00F0236A" w:rsidRPr="00073574" w:rsidRDefault="00F0236A" w:rsidP="00DF36E1">
            <w:pPr>
              <w:pStyle w:val="Tabletext"/>
              <w:rPr>
                <w:sz w:val="24"/>
                <w:szCs w:val="24"/>
              </w:rPr>
            </w:pPr>
          </w:p>
        </w:tc>
        <w:tc>
          <w:tcPr>
            <w:tcW w:w="8800" w:type="dxa"/>
            <w:gridSpan w:val="4"/>
            <w:tcBorders>
              <w:top w:val="single" w:sz="2" w:space="0" w:color="auto"/>
            </w:tcBorders>
            <w:shd w:val="clear" w:color="auto" w:fill="auto"/>
          </w:tcPr>
          <w:p w14:paraId="4B8C3D5D" w14:textId="48FCCE13" w:rsidR="00F0236A" w:rsidRPr="00073574" w:rsidRDefault="00F0236A" w:rsidP="00DF36E1">
            <w:pPr>
              <w:pStyle w:val="Tabletext"/>
              <w:rPr>
                <w:szCs w:val="22"/>
              </w:rPr>
            </w:pPr>
            <w:r w:rsidRPr="00073574">
              <w:rPr>
                <w:szCs w:val="22"/>
              </w:rPr>
              <w:t xml:space="preserve">See </w:t>
            </w:r>
            <w:hyperlink r:id="rId713" w:history="1">
              <w:r w:rsidRPr="00073574">
                <w:rPr>
                  <w:rStyle w:val="Hyperlink"/>
                  <w:szCs w:val="22"/>
                </w:rPr>
                <w:t>C17/43</w:t>
              </w:r>
            </w:hyperlink>
            <w:r w:rsidRPr="00073574">
              <w:rPr>
                <w:szCs w:val="22"/>
              </w:rPr>
              <w:t xml:space="preserve">, </w:t>
            </w:r>
            <w:hyperlink r:id="rId714" w:history="1">
              <w:r w:rsidRPr="00073574">
                <w:rPr>
                  <w:rStyle w:val="Hyperlink"/>
                  <w:rFonts w:asciiTheme="majorBidi" w:hAnsiTheme="majorBidi" w:cstheme="majorBidi"/>
                  <w:szCs w:val="22"/>
                </w:rPr>
                <w:t>CWG-FHR 8/18</w:t>
              </w:r>
            </w:hyperlink>
            <w:r w:rsidR="001F00C5" w:rsidRPr="007928CB">
              <w:rPr>
                <w:rStyle w:val="Hyperlink"/>
                <w:rFonts w:asciiTheme="majorBidi" w:hAnsiTheme="majorBidi" w:cstheme="majorBidi"/>
                <w:szCs w:val="22"/>
                <w:u w:val="none"/>
              </w:rPr>
              <w:t xml:space="preserve">, </w:t>
            </w:r>
            <w:hyperlink r:id="rId715" w:history="1">
              <w:r w:rsidR="001F00C5" w:rsidRPr="00073574">
                <w:rPr>
                  <w:rStyle w:val="Hyperlink"/>
                  <w:rFonts w:asciiTheme="majorBidi" w:hAnsiTheme="majorBidi" w:cstheme="majorBidi"/>
                  <w:szCs w:val="22"/>
                </w:rPr>
                <w:t>C19/47</w:t>
              </w:r>
            </w:hyperlink>
            <w:r w:rsidR="00264B3B" w:rsidRPr="00073574">
              <w:t>,</w:t>
            </w:r>
            <w:r w:rsidR="00947B5A" w:rsidRPr="00073574">
              <w:t xml:space="preserve"> </w:t>
            </w:r>
            <w:hyperlink r:id="rId716" w:history="1">
              <w:r w:rsidR="00947B5A" w:rsidRPr="00073574">
                <w:rPr>
                  <w:rStyle w:val="Hyperlink"/>
                </w:rPr>
                <w:t>C20/47</w:t>
              </w:r>
            </w:hyperlink>
            <w:r w:rsidR="00947B5A" w:rsidRPr="00073574">
              <w:t>,</w:t>
            </w:r>
            <w:r w:rsidR="00264B3B" w:rsidRPr="00073574">
              <w:t xml:space="preserve"> </w:t>
            </w:r>
            <w:hyperlink r:id="rId717" w:history="1">
              <w:r w:rsidR="00264B3B" w:rsidRPr="00073574">
                <w:rPr>
                  <w:rStyle w:val="Hyperlink"/>
                </w:rPr>
                <w:t>C21/47</w:t>
              </w:r>
            </w:hyperlink>
            <w:r w:rsidR="00BE7FAC" w:rsidRPr="00073574">
              <w:t>.</w:t>
            </w:r>
          </w:p>
        </w:tc>
      </w:tr>
    </w:tbl>
    <w:bookmarkStart w:id="500" w:name="Item85_01"/>
    <w:bookmarkEnd w:id="500"/>
    <w:p w14:paraId="4AF1B4C3" w14:textId="77777777" w:rsidR="00F0236A" w:rsidRPr="00073574" w:rsidRDefault="00F0236A" w:rsidP="00F0236A">
      <w:pPr>
        <w:rPr>
          <w:sz w:val="24"/>
        </w:rPr>
      </w:pPr>
      <w:r w:rsidRPr="00073574">
        <w:rPr>
          <w:color w:val="2B579A"/>
          <w:shd w:val="clear" w:color="auto" w:fill="E6E6E6"/>
        </w:rPr>
        <w:fldChar w:fldCharType="begin"/>
      </w:r>
      <w:r w:rsidRPr="00073574">
        <w:rPr>
          <w:sz w:val="24"/>
        </w:rPr>
        <w:instrText xml:space="preserve"> HYPERLINK \l "Top" </w:instrText>
      </w:r>
      <w:r w:rsidRPr="00073574">
        <w:rPr>
          <w:color w:val="2B579A"/>
          <w:shd w:val="clear" w:color="auto" w:fill="E6E6E6"/>
        </w:rPr>
        <w:fldChar w:fldCharType="separate"/>
      </w:r>
      <w:r w:rsidRPr="00073574">
        <w:rPr>
          <w:rStyle w:val="Hyperlink"/>
          <w:rFonts w:eastAsia="Times New Roman"/>
          <w:sz w:val="24"/>
        </w:rPr>
        <w:t>» Top</w:t>
      </w:r>
      <w:r w:rsidRPr="00073574">
        <w:rPr>
          <w:rStyle w:val="Hyperlink"/>
          <w:rFonts w:eastAsia="Times New Roman"/>
          <w:sz w:val="24"/>
        </w:rPr>
        <w:fldChar w:fldCharType="end"/>
      </w:r>
    </w:p>
    <w:p w14:paraId="35B07BA0" w14:textId="77777777" w:rsidR="00F0236A" w:rsidRPr="00073574" w:rsidRDefault="00F0236A" w:rsidP="00F0236A">
      <w:pPr>
        <w:pStyle w:val="Heading1"/>
        <w:keepNext/>
        <w:keepLines/>
        <w:rPr>
          <w:sz w:val="24"/>
          <w:szCs w:val="24"/>
          <w:lang w:val="en-GB"/>
        </w:rPr>
      </w:pPr>
      <w:bookmarkStart w:id="501" w:name="_Resolution_86_-"/>
      <w:bookmarkStart w:id="502" w:name="_Toc471715400"/>
      <w:bookmarkStart w:id="503" w:name="_Toc93425286"/>
      <w:bookmarkEnd w:id="501"/>
      <w:r w:rsidRPr="00073574">
        <w:rPr>
          <w:sz w:val="24"/>
          <w:szCs w:val="24"/>
          <w:lang w:val="en-GB"/>
        </w:rPr>
        <w:t>Resolution 86 - Facilitating the implementation of the Smart Africa Manifesto</w:t>
      </w:r>
      <w:bookmarkEnd w:id="502"/>
      <w:bookmarkEnd w:id="503"/>
    </w:p>
    <w:p w14:paraId="4E837A59" w14:textId="77777777" w:rsidR="00F0236A" w:rsidRPr="00073574" w:rsidRDefault="00F0236A" w:rsidP="00F0236A">
      <w:pPr>
        <w:keepNext/>
        <w:keepLines/>
        <w:rPr>
          <w:b/>
          <w:bCs/>
          <w:sz w:val="24"/>
        </w:rPr>
      </w:pPr>
      <w:r w:rsidRPr="00073574">
        <w:rPr>
          <w:b/>
          <w:bCs/>
          <w:sz w:val="24"/>
        </w:rPr>
        <w:t>Resolution 86</w:t>
      </w:r>
    </w:p>
    <w:p w14:paraId="24F97E47" w14:textId="77777777" w:rsidR="00F0236A" w:rsidRPr="00073574" w:rsidRDefault="00F0236A" w:rsidP="00F0236A">
      <w:pPr>
        <w:pStyle w:val="Call"/>
        <w:rPr>
          <w:sz w:val="24"/>
          <w:szCs w:val="24"/>
          <w:lang w:val="en-GB" w:eastAsia="en-AU"/>
        </w:rPr>
      </w:pPr>
      <w:r w:rsidRPr="00073574">
        <w:rPr>
          <w:sz w:val="24"/>
          <w:szCs w:val="24"/>
          <w:lang w:val="en-GB" w:eastAsia="en-AU"/>
        </w:rPr>
        <w:t>resolves to invite study groups of the ITU Telecommunication Standardization Sector</w:t>
      </w:r>
    </w:p>
    <w:p w14:paraId="126E2A62" w14:textId="77777777" w:rsidR="00F0236A" w:rsidRPr="00073574" w:rsidRDefault="00F0236A" w:rsidP="00F0236A">
      <w:pPr>
        <w:spacing w:after="240"/>
        <w:rPr>
          <w:sz w:val="24"/>
        </w:rPr>
      </w:pPr>
      <w:r w:rsidRPr="00073574">
        <w:rPr>
          <w:sz w:val="24"/>
        </w:rPr>
        <w:t>1</w:t>
      </w:r>
      <w:r w:rsidRPr="00073574">
        <w:rPr>
          <w:sz w:val="24"/>
        </w:rPr>
        <w:tab/>
        <w:t>to develop ITU-T Recommendations aimed at implementing emerging technologies, with a special focus on developing countries;</w:t>
      </w:r>
    </w:p>
    <w:p w14:paraId="275CBB1C" w14:textId="77777777" w:rsidR="00F0236A" w:rsidRPr="00073574" w:rsidRDefault="00F0236A" w:rsidP="00F0236A">
      <w:pPr>
        <w:spacing w:after="240"/>
        <w:rPr>
          <w:sz w:val="24"/>
        </w:rPr>
      </w:pPr>
      <w:r w:rsidRPr="00073574">
        <w:rPr>
          <w:sz w:val="24"/>
        </w:rPr>
        <w:t>2</w:t>
      </w:r>
      <w:r w:rsidRPr="00073574">
        <w:rPr>
          <w:sz w:val="24"/>
        </w:rPr>
        <w:tab/>
        <w:t>to collaborate with the Smart Africa office in regard to standards relating to emerging technologies, with more emphasis on use cases and scenarios for developing countries through regional meetings, forums, workshops, etc.,</w:t>
      </w:r>
    </w:p>
    <w:p w14:paraId="2B82DBEB" w14:textId="62DF484E" w:rsidR="00F0236A" w:rsidRPr="00073574" w:rsidRDefault="00F0236A" w:rsidP="00F0236A">
      <w:pPr>
        <w:pStyle w:val="Call"/>
        <w:rPr>
          <w:sz w:val="24"/>
          <w:szCs w:val="24"/>
          <w:lang w:val="en-GB" w:eastAsia="en-AU"/>
        </w:rPr>
      </w:pPr>
      <w:r w:rsidRPr="00073574">
        <w:rPr>
          <w:sz w:val="24"/>
          <w:szCs w:val="24"/>
          <w:lang w:val="en-GB" w:eastAsia="en-AU"/>
        </w:rPr>
        <w:t>instructs the Director of the Telecommunication Standardization Bureau, in collaboration with the Director of the Telec</w:t>
      </w:r>
      <w:r w:rsidR="00E31596" w:rsidRPr="00073574">
        <w:rPr>
          <w:sz w:val="24"/>
          <w:szCs w:val="24"/>
          <w:lang w:val="en-GB" w:eastAsia="en-AU"/>
        </w:rPr>
        <w:t>ommunication Development Bureau</w:t>
      </w:r>
    </w:p>
    <w:p w14:paraId="563B896E" w14:textId="77777777" w:rsidR="00F0236A" w:rsidRPr="00073574" w:rsidRDefault="00F0236A" w:rsidP="00F0236A">
      <w:pPr>
        <w:spacing w:after="240"/>
        <w:rPr>
          <w:sz w:val="24"/>
        </w:rPr>
      </w:pPr>
      <w:r w:rsidRPr="00073574">
        <w:rPr>
          <w:sz w:val="24"/>
        </w:rPr>
        <w:t>1</w:t>
      </w:r>
      <w:r w:rsidRPr="00073574">
        <w:rPr>
          <w:sz w:val="24"/>
        </w:rPr>
        <w:tab/>
        <w:t>to establish mechanisms for collaboration and cooperation between ITU-T study groups and the Smart Africa office in the development of standards;</w:t>
      </w:r>
    </w:p>
    <w:p w14:paraId="4514309B" w14:textId="77777777" w:rsidR="00F0236A" w:rsidRPr="00073574" w:rsidRDefault="00F0236A" w:rsidP="00F0236A">
      <w:pPr>
        <w:spacing w:after="240"/>
        <w:rPr>
          <w:sz w:val="24"/>
        </w:rPr>
      </w:pPr>
      <w:r w:rsidRPr="00073574">
        <w:rPr>
          <w:sz w:val="24"/>
        </w:rPr>
        <w:t>2</w:t>
      </w:r>
      <w:r w:rsidRPr="00073574">
        <w:rPr>
          <w:sz w:val="24"/>
        </w:rPr>
        <w:tab/>
        <w:t>to continue supporting the Smart Africa Manifesto in accordance with Resolution 195 (Busan, 2014);</w:t>
      </w:r>
    </w:p>
    <w:p w14:paraId="32997683" w14:textId="77777777" w:rsidR="00F0236A" w:rsidRPr="00073574" w:rsidRDefault="00F0236A" w:rsidP="00F0236A">
      <w:pPr>
        <w:spacing w:after="240"/>
        <w:rPr>
          <w:sz w:val="24"/>
        </w:rPr>
      </w:pPr>
      <w:r w:rsidRPr="00073574">
        <w:rPr>
          <w:sz w:val="24"/>
        </w:rPr>
        <w:t>3</w:t>
      </w:r>
      <w:r w:rsidRPr="00073574">
        <w:rPr>
          <w:sz w:val="24"/>
        </w:rPr>
        <w:tab/>
        <w:t>to provide assistance to Smart Africa and African regional groups from within the assigned budget in order to support pilot projects aimed at speeding up the implementation of ITU standards and Recommendations;</w:t>
      </w:r>
    </w:p>
    <w:p w14:paraId="44644F04" w14:textId="3DEE0E3E" w:rsidR="00F0236A" w:rsidRPr="00073574" w:rsidRDefault="00F0236A" w:rsidP="00F0236A">
      <w:pPr>
        <w:spacing w:after="240"/>
        <w:rPr>
          <w:sz w:val="24"/>
        </w:rPr>
      </w:pPr>
      <w:r w:rsidRPr="00073574">
        <w:rPr>
          <w:sz w:val="24"/>
        </w:rPr>
        <w:t>4</w:t>
      </w:r>
      <w:r w:rsidRPr="00073574">
        <w:rPr>
          <w:sz w:val="24"/>
        </w:rPr>
        <w:tab/>
        <w:t>to strengthen training and guide Smart Africa member states, partner organizations and industries in their adoption of ITU-T standards.</w:t>
      </w:r>
    </w:p>
    <w:tbl>
      <w:tblPr>
        <w:tblW w:w="99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31"/>
        <w:gridCol w:w="4986"/>
        <w:gridCol w:w="1336"/>
        <w:gridCol w:w="1143"/>
        <w:gridCol w:w="1336"/>
      </w:tblGrid>
      <w:tr w:rsidR="00F0236A" w:rsidRPr="00073574" w14:paraId="2C2ACE98" w14:textId="77777777" w:rsidTr="634A3A28">
        <w:trPr>
          <w:tblHeader/>
          <w:jc w:val="center"/>
        </w:trPr>
        <w:tc>
          <w:tcPr>
            <w:tcW w:w="1131" w:type="dxa"/>
            <w:tcBorders>
              <w:top w:val="single" w:sz="12" w:space="0" w:color="auto"/>
              <w:bottom w:val="single" w:sz="12" w:space="0" w:color="auto"/>
            </w:tcBorders>
            <w:shd w:val="clear" w:color="auto" w:fill="auto"/>
            <w:vAlign w:val="center"/>
          </w:tcPr>
          <w:p w14:paraId="5738149C" w14:textId="77777777" w:rsidR="00F0236A" w:rsidRPr="00073574" w:rsidRDefault="00F0236A" w:rsidP="0048177F">
            <w:pPr>
              <w:pStyle w:val="Tablehead"/>
              <w:keepNext w:val="0"/>
              <w:rPr>
                <w:sz w:val="24"/>
                <w:szCs w:val="24"/>
              </w:rPr>
            </w:pPr>
            <w:r w:rsidRPr="00073574">
              <w:rPr>
                <w:sz w:val="24"/>
                <w:szCs w:val="24"/>
              </w:rPr>
              <w:t>Action Item</w:t>
            </w:r>
          </w:p>
        </w:tc>
        <w:tc>
          <w:tcPr>
            <w:tcW w:w="4986" w:type="dxa"/>
            <w:tcBorders>
              <w:top w:val="single" w:sz="12" w:space="0" w:color="auto"/>
              <w:bottom w:val="single" w:sz="12" w:space="0" w:color="auto"/>
            </w:tcBorders>
            <w:shd w:val="clear" w:color="auto" w:fill="auto"/>
            <w:vAlign w:val="center"/>
            <w:hideMark/>
          </w:tcPr>
          <w:p w14:paraId="1D7B7B71" w14:textId="77777777" w:rsidR="00F0236A" w:rsidRPr="00073574" w:rsidRDefault="00F0236A" w:rsidP="0048177F">
            <w:pPr>
              <w:pStyle w:val="Tablehead"/>
              <w:keepNext w:val="0"/>
              <w:rPr>
                <w:sz w:val="24"/>
                <w:szCs w:val="24"/>
              </w:rPr>
            </w:pPr>
            <w:r w:rsidRPr="00073574">
              <w:rPr>
                <w:sz w:val="24"/>
                <w:szCs w:val="24"/>
              </w:rPr>
              <w:t>Action</w:t>
            </w:r>
          </w:p>
        </w:tc>
        <w:tc>
          <w:tcPr>
            <w:tcW w:w="1336" w:type="dxa"/>
            <w:tcBorders>
              <w:top w:val="single" w:sz="12" w:space="0" w:color="auto"/>
              <w:bottom w:val="single" w:sz="12" w:space="0" w:color="auto"/>
            </w:tcBorders>
            <w:shd w:val="clear" w:color="auto" w:fill="auto"/>
            <w:vAlign w:val="center"/>
            <w:hideMark/>
          </w:tcPr>
          <w:p w14:paraId="253B5E91" w14:textId="77777777" w:rsidR="00F0236A" w:rsidRPr="00073574" w:rsidRDefault="00F0236A" w:rsidP="0048177F">
            <w:pPr>
              <w:pStyle w:val="Tablehead"/>
              <w:keepNext w:val="0"/>
              <w:rPr>
                <w:sz w:val="24"/>
                <w:szCs w:val="24"/>
              </w:rPr>
            </w:pPr>
            <w:r w:rsidRPr="00073574">
              <w:rPr>
                <w:sz w:val="24"/>
                <w:szCs w:val="24"/>
              </w:rPr>
              <w:t>Milestone</w:t>
            </w:r>
          </w:p>
        </w:tc>
        <w:tc>
          <w:tcPr>
            <w:tcW w:w="1143" w:type="dxa"/>
            <w:tcBorders>
              <w:top w:val="single" w:sz="12" w:space="0" w:color="auto"/>
              <w:bottom w:val="single" w:sz="12" w:space="0" w:color="auto"/>
            </w:tcBorders>
            <w:shd w:val="clear" w:color="auto" w:fill="auto"/>
          </w:tcPr>
          <w:p w14:paraId="71A7A336" w14:textId="77777777" w:rsidR="00F0236A" w:rsidRPr="00073574" w:rsidRDefault="00F0236A" w:rsidP="0048177F">
            <w:pPr>
              <w:pStyle w:val="Tablehead"/>
              <w:keepNext w:val="0"/>
              <w:rPr>
                <w:sz w:val="24"/>
                <w:szCs w:val="24"/>
              </w:rPr>
            </w:pPr>
            <w:r w:rsidRPr="00073574">
              <w:rPr>
                <w:sz w:val="24"/>
                <w:szCs w:val="24"/>
              </w:rPr>
              <w:t>Periodic goals met</w:t>
            </w:r>
          </w:p>
        </w:tc>
        <w:tc>
          <w:tcPr>
            <w:tcW w:w="1336" w:type="dxa"/>
            <w:tcBorders>
              <w:top w:val="single" w:sz="12" w:space="0" w:color="auto"/>
              <w:bottom w:val="single" w:sz="12" w:space="0" w:color="auto"/>
            </w:tcBorders>
            <w:shd w:val="clear" w:color="auto" w:fill="auto"/>
            <w:vAlign w:val="center"/>
          </w:tcPr>
          <w:p w14:paraId="472D33D8" w14:textId="77777777" w:rsidR="00F0236A" w:rsidRPr="00073574" w:rsidRDefault="00F0236A" w:rsidP="0048177F">
            <w:pPr>
              <w:pStyle w:val="Tablehead"/>
              <w:keepNext w:val="0"/>
              <w:rPr>
                <w:sz w:val="24"/>
                <w:szCs w:val="24"/>
              </w:rPr>
            </w:pPr>
            <w:r w:rsidRPr="00073574">
              <w:rPr>
                <w:sz w:val="24"/>
                <w:szCs w:val="24"/>
              </w:rPr>
              <w:t>Completed</w:t>
            </w:r>
          </w:p>
        </w:tc>
      </w:tr>
      <w:tr w:rsidR="00F0236A" w:rsidRPr="00073574" w14:paraId="0C194FBF" w14:textId="77777777" w:rsidTr="634A3A28">
        <w:trPr>
          <w:jc w:val="center"/>
        </w:trPr>
        <w:tc>
          <w:tcPr>
            <w:tcW w:w="1131" w:type="dxa"/>
            <w:vMerge w:val="restart"/>
            <w:tcBorders>
              <w:top w:val="single" w:sz="12" w:space="0" w:color="auto"/>
            </w:tcBorders>
            <w:shd w:val="clear" w:color="auto" w:fill="auto"/>
          </w:tcPr>
          <w:p w14:paraId="014470FE" w14:textId="77777777" w:rsidR="00F0236A" w:rsidRPr="00073574" w:rsidRDefault="00F0236A" w:rsidP="0048177F">
            <w:pPr>
              <w:pStyle w:val="Tabletext"/>
              <w:rPr>
                <w:b/>
                <w:bCs/>
                <w:sz w:val="24"/>
                <w:szCs w:val="24"/>
              </w:rPr>
            </w:pPr>
            <w:r w:rsidRPr="00073574">
              <w:rPr>
                <w:b/>
                <w:bCs/>
                <w:sz w:val="24"/>
                <w:szCs w:val="24"/>
              </w:rPr>
              <w:t>86-01</w:t>
            </w:r>
          </w:p>
        </w:tc>
        <w:tc>
          <w:tcPr>
            <w:tcW w:w="4986" w:type="dxa"/>
            <w:tcBorders>
              <w:top w:val="single" w:sz="12" w:space="0" w:color="auto"/>
              <w:bottom w:val="single" w:sz="2" w:space="0" w:color="auto"/>
            </w:tcBorders>
            <w:shd w:val="clear" w:color="auto" w:fill="auto"/>
            <w:hideMark/>
          </w:tcPr>
          <w:p w14:paraId="39AF7699" w14:textId="77777777" w:rsidR="00F0236A" w:rsidRPr="00073574" w:rsidRDefault="00F0236A" w:rsidP="0048177F">
            <w:pPr>
              <w:pStyle w:val="Tabletext"/>
              <w:rPr>
                <w:b/>
                <w:bCs/>
                <w:sz w:val="24"/>
                <w:szCs w:val="24"/>
              </w:rPr>
            </w:pPr>
            <w:r w:rsidRPr="00073574">
              <w:rPr>
                <w:b/>
                <w:bCs/>
                <w:sz w:val="24"/>
                <w:szCs w:val="24"/>
              </w:rPr>
              <w:t>All ITU-T Study Groups to develop ITU-T Recommendations aimed at implementing emerging technologies, with a special focus on developing countries (resolves 1)</w:t>
            </w:r>
          </w:p>
        </w:tc>
        <w:tc>
          <w:tcPr>
            <w:tcW w:w="1336" w:type="dxa"/>
            <w:tcBorders>
              <w:top w:val="single" w:sz="12" w:space="0" w:color="auto"/>
              <w:bottom w:val="single" w:sz="2" w:space="0" w:color="auto"/>
            </w:tcBorders>
            <w:shd w:val="clear" w:color="auto" w:fill="auto"/>
            <w:vAlign w:val="center"/>
          </w:tcPr>
          <w:p w14:paraId="1B659983" w14:textId="77777777" w:rsidR="00F0236A" w:rsidRPr="00073574" w:rsidRDefault="00F0236A" w:rsidP="0048177F">
            <w:pPr>
              <w:pStyle w:val="Tabletext"/>
              <w:jc w:val="center"/>
              <w:rPr>
                <w:b/>
                <w:bCs/>
                <w:sz w:val="24"/>
                <w:szCs w:val="24"/>
              </w:rPr>
            </w:pPr>
            <w:r w:rsidRPr="00073574">
              <w:rPr>
                <w:b/>
                <w:bCs/>
                <w:sz w:val="24"/>
                <w:szCs w:val="24"/>
              </w:rPr>
              <w:t>Ongoing</w:t>
            </w:r>
          </w:p>
        </w:tc>
        <w:tc>
          <w:tcPr>
            <w:tcW w:w="1143" w:type="dxa"/>
            <w:tcBorders>
              <w:top w:val="single" w:sz="12" w:space="0" w:color="auto"/>
              <w:bottom w:val="single" w:sz="2" w:space="0" w:color="auto"/>
            </w:tcBorders>
            <w:shd w:val="clear" w:color="auto" w:fill="auto"/>
            <w:vAlign w:val="center"/>
          </w:tcPr>
          <w:p w14:paraId="23BEF1EF" w14:textId="77777777" w:rsidR="00F0236A" w:rsidRPr="00073574" w:rsidRDefault="00F0236A" w:rsidP="0048177F">
            <w:pPr>
              <w:pStyle w:val="Tabletext"/>
              <w:jc w:val="center"/>
              <w:rPr>
                <w:b/>
                <w:bCs/>
                <w:sz w:val="24"/>
                <w:szCs w:val="24"/>
              </w:rPr>
            </w:pPr>
            <w:r w:rsidRPr="00073574">
              <w:rPr>
                <w:b/>
                <w:bCs/>
                <w:sz w:val="24"/>
                <w:szCs w:val="24"/>
              </w:rPr>
              <w:t>√</w:t>
            </w:r>
          </w:p>
        </w:tc>
        <w:tc>
          <w:tcPr>
            <w:tcW w:w="1336" w:type="dxa"/>
            <w:tcBorders>
              <w:top w:val="single" w:sz="12" w:space="0" w:color="auto"/>
              <w:bottom w:val="single" w:sz="2" w:space="0" w:color="auto"/>
            </w:tcBorders>
            <w:shd w:val="clear" w:color="auto" w:fill="auto"/>
            <w:vAlign w:val="center"/>
          </w:tcPr>
          <w:p w14:paraId="6F543244" w14:textId="77777777" w:rsidR="00F0236A" w:rsidRPr="00073574" w:rsidRDefault="00F0236A" w:rsidP="0048177F">
            <w:pPr>
              <w:pStyle w:val="Tabletext"/>
              <w:jc w:val="center"/>
              <w:rPr>
                <w:b/>
                <w:bCs/>
                <w:sz w:val="24"/>
                <w:szCs w:val="24"/>
              </w:rPr>
            </w:pPr>
          </w:p>
        </w:tc>
      </w:tr>
      <w:tr w:rsidR="00F0236A" w:rsidRPr="00073574" w14:paraId="70962487" w14:textId="77777777" w:rsidTr="634A3A28">
        <w:trPr>
          <w:jc w:val="center"/>
        </w:trPr>
        <w:tc>
          <w:tcPr>
            <w:tcW w:w="1131" w:type="dxa"/>
            <w:vMerge/>
          </w:tcPr>
          <w:p w14:paraId="4214FB5F" w14:textId="77777777" w:rsidR="00F0236A" w:rsidRPr="00073574" w:rsidRDefault="00F0236A" w:rsidP="0048177F">
            <w:pPr>
              <w:pStyle w:val="Tabletext"/>
              <w:rPr>
                <w:sz w:val="24"/>
                <w:szCs w:val="24"/>
              </w:rPr>
            </w:pPr>
          </w:p>
        </w:tc>
        <w:tc>
          <w:tcPr>
            <w:tcW w:w="8801" w:type="dxa"/>
            <w:gridSpan w:val="4"/>
            <w:tcBorders>
              <w:top w:val="single" w:sz="2" w:space="0" w:color="auto"/>
              <w:bottom w:val="single" w:sz="12" w:space="0" w:color="auto"/>
            </w:tcBorders>
            <w:shd w:val="clear" w:color="auto" w:fill="auto"/>
          </w:tcPr>
          <w:p w14:paraId="39FC5310" w14:textId="77777777" w:rsidR="00F0236A" w:rsidRPr="00073574" w:rsidRDefault="00F0236A" w:rsidP="00E15AC7">
            <w:pPr>
              <w:spacing w:before="40"/>
              <w:rPr>
                <w:szCs w:val="22"/>
              </w:rPr>
            </w:pPr>
            <w:r w:rsidRPr="00073574">
              <w:rPr>
                <w:szCs w:val="22"/>
              </w:rPr>
              <w:t>See also action item 44-11.</w:t>
            </w:r>
          </w:p>
          <w:p w14:paraId="72789CA4" w14:textId="6B146DEC" w:rsidR="005C4179" w:rsidRPr="00073574" w:rsidRDefault="00F756DD" w:rsidP="00590449">
            <w:pPr>
              <w:pStyle w:val="ListParagraph"/>
              <w:numPr>
                <w:ilvl w:val="0"/>
                <w:numId w:val="40"/>
              </w:numPr>
              <w:contextualSpacing w:val="0"/>
            </w:pPr>
            <w:r w:rsidRPr="00073574">
              <w:lastRenderedPageBreak/>
              <w:t xml:space="preserve">SG2 created </w:t>
            </w:r>
            <w:r w:rsidR="00232E75" w:rsidRPr="00073574">
              <w:t xml:space="preserve">the </w:t>
            </w:r>
            <w:hyperlink r:id="rId718" w:history="1">
              <w:r w:rsidR="006610BF" w:rsidRPr="00073574">
                <w:rPr>
                  <w:rStyle w:val="Hyperlink"/>
                </w:rPr>
                <w:t>Focus Group on AI for Natural Disaster Management (FG-AI4NDM)</w:t>
              </w:r>
            </w:hyperlink>
            <w:r w:rsidR="00DA7871" w:rsidRPr="00073574">
              <w:t xml:space="preserve"> at its meeting on 18 December 2021</w:t>
            </w:r>
            <w:r w:rsidR="000C2FC7" w:rsidRPr="00073574">
              <w:t xml:space="preserve">, </w:t>
            </w:r>
            <w:r w:rsidR="0014375B" w:rsidRPr="00073574">
              <w:t>reco</w:t>
            </w:r>
            <w:r w:rsidR="00433B8A" w:rsidRPr="00073574">
              <w:t>gnizing that the situation is particularly acute in small island developing states (SIDS) and least developed countries (LDC</w:t>
            </w:r>
            <w:r w:rsidR="00E96B7F" w:rsidRPr="00073574">
              <w:t>s</w:t>
            </w:r>
            <w:r w:rsidR="00433B8A" w:rsidRPr="00073574">
              <w:t>), and for vulnerable populations.</w:t>
            </w:r>
            <w:r w:rsidR="00B64912" w:rsidRPr="00073574">
              <w:t xml:space="preserve"> The focus group met for the first time</w:t>
            </w:r>
            <w:r w:rsidR="00AD2E7E" w:rsidRPr="00073574">
              <w:t xml:space="preserve"> in March 2021</w:t>
            </w:r>
            <w:r w:rsidR="00850A18" w:rsidRPr="00073574">
              <w:t xml:space="preserve"> and </w:t>
            </w:r>
            <w:r w:rsidR="008D1421" w:rsidRPr="00073574">
              <w:t xml:space="preserve">organized its activities into </w:t>
            </w:r>
            <w:r w:rsidR="00B76A33" w:rsidRPr="00073574">
              <w:t>fou</w:t>
            </w:r>
            <w:r w:rsidR="008D1421" w:rsidRPr="00073574">
              <w:t xml:space="preserve">r working groups: </w:t>
            </w:r>
            <w:r w:rsidR="00920C21" w:rsidRPr="00073574">
              <w:t>WG-Data, WG-Modelling</w:t>
            </w:r>
            <w:r w:rsidR="00571B7E" w:rsidRPr="00073574">
              <w:t>, WG-Comms</w:t>
            </w:r>
            <w:r w:rsidR="00920C21" w:rsidRPr="00073574">
              <w:t xml:space="preserve"> and WG-Roadmaps</w:t>
            </w:r>
            <w:r w:rsidR="00C21EB0" w:rsidRPr="00073574">
              <w:t>.</w:t>
            </w:r>
            <w:r w:rsidR="006A47DA" w:rsidRPr="00073574">
              <w:t xml:space="preserve"> The FG-AI4NDM has been exploring various use-cases through ten Topic Group</w:t>
            </w:r>
            <w:r w:rsidR="002622A5" w:rsidRPr="00073574">
              <w:t>s</w:t>
            </w:r>
            <w:r w:rsidR="006A47DA" w:rsidRPr="00073574">
              <w:t xml:space="preserve"> and one Work Stream on </w:t>
            </w:r>
            <w:r w:rsidR="00E21427" w:rsidRPr="00073574">
              <w:t>“Tools supporting AI for Natural Disaster Management”.</w:t>
            </w:r>
          </w:p>
          <w:p w14:paraId="20D3EEAA" w14:textId="09C9F8AA" w:rsidR="00D2054D" w:rsidRPr="00073574" w:rsidRDefault="00D2054D" w:rsidP="00D2054D">
            <w:pPr>
              <w:pStyle w:val="ListParagraph"/>
              <w:numPr>
                <w:ilvl w:val="0"/>
                <w:numId w:val="40"/>
              </w:numPr>
              <w:contextualSpacing w:val="0"/>
            </w:pPr>
            <w:r w:rsidRPr="00073574">
              <w:t xml:space="preserve">SG3RG-AFR determined draft </w:t>
            </w:r>
            <w:r w:rsidR="00B26173" w:rsidRPr="00073574">
              <w:t>new</w:t>
            </w:r>
            <w:r w:rsidRPr="00073574">
              <w:t xml:space="preserve"> regional Recommendation ITU-T D.608R “OTT Voice Bypass”, as per </w:t>
            </w:r>
            <w:r w:rsidR="002D7D7A" w:rsidRPr="00073574">
              <w:t>Section 9.2 of WTSA Resolution 1.</w:t>
            </w:r>
          </w:p>
          <w:p w14:paraId="1F21E4E6" w14:textId="0B0183BF" w:rsidR="00892A6C" w:rsidRPr="00073574" w:rsidRDefault="414FA63A" w:rsidP="002E241A">
            <w:pPr>
              <w:pStyle w:val="ListParagraph"/>
              <w:numPr>
                <w:ilvl w:val="0"/>
                <w:numId w:val="40"/>
              </w:numPr>
              <w:contextualSpacing w:val="0"/>
            </w:pPr>
            <w:r w:rsidRPr="00073574">
              <w:t xml:space="preserve">SG5 created the Focus Group on Environmental Efficiency for AI and other emerging technologies (FG-AI4EE). The FG-AI4EE held its first meeting on 12 December 2019 and </w:t>
            </w:r>
            <w:r w:rsidR="266A60FB" w:rsidRPr="00073574">
              <w:t>is carrying out</w:t>
            </w:r>
            <w:r w:rsidRPr="00073574">
              <w:t xml:space="preserve"> its work within three working groups:</w:t>
            </w:r>
          </w:p>
          <w:p w14:paraId="2D8A0848" w14:textId="3508D685" w:rsidR="00892A6C" w:rsidRPr="00073574" w:rsidRDefault="00892A6C" w:rsidP="002E241A">
            <w:pPr>
              <w:pStyle w:val="ListParagraph"/>
              <w:numPr>
                <w:ilvl w:val="1"/>
                <w:numId w:val="40"/>
              </w:numPr>
              <w:ind w:left="1077" w:hanging="357"/>
            </w:pPr>
            <w:r w:rsidRPr="00073574">
              <w:t>Requirements of AI and other Emerging Technologies to Ensure Environmental Efficiency</w:t>
            </w:r>
          </w:p>
          <w:p w14:paraId="2F1A6CE8" w14:textId="25689C6A" w:rsidR="00892A6C" w:rsidRPr="00073574" w:rsidRDefault="00892A6C" w:rsidP="002E241A">
            <w:pPr>
              <w:pStyle w:val="ListParagraph"/>
              <w:numPr>
                <w:ilvl w:val="1"/>
                <w:numId w:val="40"/>
              </w:numPr>
              <w:ind w:left="1077" w:hanging="357"/>
            </w:pPr>
            <w:r w:rsidRPr="00073574">
              <w:t>Assessment and Measurement of the Environmental Efficiency of AI and Emerging Technologies</w:t>
            </w:r>
          </w:p>
          <w:p w14:paraId="3945443B" w14:textId="688A43E5" w:rsidR="00892A6C" w:rsidRPr="00073574" w:rsidRDefault="00892A6C" w:rsidP="002E241A">
            <w:pPr>
              <w:pStyle w:val="ListParagraph"/>
              <w:numPr>
                <w:ilvl w:val="1"/>
                <w:numId w:val="40"/>
              </w:numPr>
              <w:ind w:left="1077" w:hanging="357"/>
            </w:pPr>
            <w:r w:rsidRPr="00073574">
              <w:t>Implementation Guidelines of AI and Emerging Technologies for Environmental Efficiency</w:t>
            </w:r>
            <w:r w:rsidR="00973D16" w:rsidRPr="00073574">
              <w:t>.</w:t>
            </w:r>
          </w:p>
          <w:p w14:paraId="02106BA6" w14:textId="0D0DF248" w:rsidR="00C627E0" w:rsidRPr="00073574" w:rsidRDefault="5FF411D4" w:rsidP="00C627E0">
            <w:pPr>
              <w:pStyle w:val="ListParagraph"/>
              <w:numPr>
                <w:ilvl w:val="0"/>
                <w:numId w:val="40"/>
              </w:numPr>
              <w:contextualSpacing w:val="0"/>
              <w:rPr>
                <w:sz w:val="24"/>
              </w:rPr>
            </w:pPr>
            <w:r w:rsidRPr="00073574">
              <w:t xml:space="preserve">SG9 has a specific Question (Q4/9) to take into account studies related to developing countries. Contributions to SG9 from developing countries are increasing since the last Study Period and this allows taking into account developing countries needs when drafting ITU-T Recommendations. SG9 </w:t>
            </w:r>
            <w:r w:rsidR="00C627E0" w:rsidRPr="00073574">
              <w:t>was</w:t>
            </w:r>
            <w:r w:rsidRPr="00073574">
              <w:t xml:space="preserve"> planning a meeting in Gambia, Africa in September 2020</w:t>
            </w:r>
            <w:r w:rsidR="00C627E0" w:rsidRPr="00073574">
              <w:t xml:space="preserve"> which was postponed to 2023 due to COVID-19. Q4/9 developed and approved one </w:t>
            </w:r>
            <w:r w:rsidR="000F0E0E" w:rsidRPr="00073574">
              <w:t>Recommendation</w:t>
            </w:r>
            <w:r w:rsidR="00C627E0" w:rsidRPr="00073574">
              <w:t xml:space="preserve"> and one Supplement specifically addressing developing countries issues: ITU-T</w:t>
            </w:r>
            <w:r w:rsidR="00C627E0" w:rsidRPr="006E7E4A">
              <w:rPr>
                <w:szCs w:val="22"/>
              </w:rPr>
              <w:t xml:space="preserve"> </w:t>
            </w:r>
            <w:hyperlink r:id="rId719" w:tooltip="See more details" w:history="1">
              <w:r w:rsidR="00C627E0" w:rsidRPr="006E7E4A">
                <w:rPr>
                  <w:rStyle w:val="Hyperlink"/>
                  <w:color w:val="3789BD"/>
                  <w:szCs w:val="22"/>
                  <w:bdr w:val="none" w:sz="0" w:space="0" w:color="auto" w:frame="1"/>
                  <w:shd w:val="clear" w:color="auto" w:fill="F0F0F0"/>
                </w:rPr>
                <w:t>J.1401 and J Sup.11.</w:t>
              </w:r>
            </w:hyperlink>
            <w:r w:rsidR="00C627E0" w:rsidRPr="00073574">
              <w:t xml:space="preserve"> See </w:t>
            </w:r>
            <w:hyperlink r:id="rId720" w:history="1">
              <w:r w:rsidR="00C627E0" w:rsidRPr="00073574">
                <w:rPr>
                  <w:rStyle w:val="Hyperlink"/>
                </w:rPr>
                <w:t>here</w:t>
              </w:r>
            </w:hyperlink>
            <w:r w:rsidR="00C627E0" w:rsidRPr="00073574">
              <w:t>.</w:t>
            </w:r>
          </w:p>
          <w:p w14:paraId="37083345" w14:textId="6985E9CD" w:rsidR="00E45B30" w:rsidRPr="00073574" w:rsidRDefault="74C41384" w:rsidP="002E241A">
            <w:pPr>
              <w:pStyle w:val="ListParagraph"/>
              <w:numPr>
                <w:ilvl w:val="0"/>
                <w:numId w:val="40"/>
              </w:numPr>
              <w:contextualSpacing w:val="0"/>
            </w:pPr>
            <w:r w:rsidRPr="00073574">
              <w:t xml:space="preserve">SG11 </w:t>
            </w:r>
            <w:r w:rsidR="61B71896" w:rsidRPr="00073574">
              <w:t xml:space="preserve">is developing </w:t>
            </w:r>
            <w:r w:rsidR="6EE5B517" w:rsidRPr="00073574">
              <w:t xml:space="preserve"> new Supplement Q.Sup.CFS-AFR “Guidelines on combating counterfeit and stolen mobile devices in African region”</w:t>
            </w:r>
            <w:r w:rsidRPr="00073574">
              <w:t>.</w:t>
            </w:r>
          </w:p>
          <w:p w14:paraId="7D4EAEDF" w14:textId="593CB912" w:rsidR="00207CAE" w:rsidRPr="00073574" w:rsidRDefault="7D906A54" w:rsidP="002E241A">
            <w:pPr>
              <w:pStyle w:val="ListParagraph"/>
              <w:numPr>
                <w:ilvl w:val="0"/>
                <w:numId w:val="40"/>
              </w:numPr>
              <w:contextualSpacing w:val="0"/>
            </w:pPr>
            <w:r w:rsidRPr="00073574">
              <w:t>SG12: the work of Question 12/12 “Operational aspects of telecommunication network service quality” is particularly relevant to and attracts participation of delegates from developing countries. Also see Resolution 95.</w:t>
            </w:r>
          </w:p>
          <w:p w14:paraId="25BE0F73" w14:textId="559D729A" w:rsidR="00F0236A" w:rsidRPr="00073574" w:rsidRDefault="00F0236A" w:rsidP="001F61B5">
            <w:pPr>
              <w:pStyle w:val="ListParagraph"/>
              <w:numPr>
                <w:ilvl w:val="0"/>
                <w:numId w:val="40"/>
              </w:numPr>
              <w:ind w:left="357" w:hanging="357"/>
              <w:contextualSpacing w:val="0"/>
              <w:rPr>
                <w:rFonts w:eastAsia="Times New Roman"/>
              </w:rPr>
            </w:pPr>
            <w:r w:rsidRPr="00073574">
              <w:t xml:space="preserve">SG13 has Question Q5/13 </w:t>
            </w:r>
            <w:r w:rsidR="003C7E25" w:rsidRPr="00073574">
              <w:t>"</w:t>
            </w:r>
            <w:r w:rsidRPr="00073574">
              <w:t>Applying networks of future and innovation in developing countries</w:t>
            </w:r>
            <w:r w:rsidR="003C7E25" w:rsidRPr="00073574">
              <w:t>"</w:t>
            </w:r>
            <w:r w:rsidRPr="00073574">
              <w:t xml:space="preserve"> </w:t>
            </w:r>
            <w:r w:rsidR="00562A9D" w:rsidRPr="00073574">
              <w:t xml:space="preserve">(since 2021 title is “Applying Future Networks and Innovation in Developing Countries”) </w:t>
            </w:r>
            <w:r w:rsidRPr="00073574">
              <w:t>dealing with innovations for developing countries, to name.</w:t>
            </w:r>
            <w:r w:rsidR="07FF44B2" w:rsidRPr="00073574">
              <w:t xml:space="preserve"> Has a SG13RG-AFR each meeting of which is co-located with the workshop on new challenges or opportunities for Africa. Published in November 2017 the Supplement 46 to Y.3500-series of Recs “Scenarios of Implementing Cloud Computing in networks of developing countries” largely based on the replies to the questionnaires and contributions from Africa.</w:t>
            </w:r>
            <w:r w:rsidR="6F4317B0" w:rsidRPr="00073574">
              <w:t xml:space="preserve"> For two new </w:t>
            </w:r>
            <w:r w:rsidR="0EC82341" w:rsidRPr="00073574">
              <w:t>q</w:t>
            </w:r>
            <w:r w:rsidR="6F4317B0" w:rsidRPr="00073574">
              <w:t xml:space="preserve">uestionnaires designated for developing </w:t>
            </w:r>
            <w:r w:rsidR="597D3478" w:rsidRPr="00073574">
              <w:t>countries</w:t>
            </w:r>
            <w:r w:rsidR="6F4317B0" w:rsidRPr="00073574">
              <w:t xml:space="preserve"> see </w:t>
            </w:r>
            <w:r w:rsidR="0EC82341" w:rsidRPr="00073574">
              <w:t xml:space="preserve">action 44-11 </w:t>
            </w:r>
            <w:r w:rsidR="6F4317B0" w:rsidRPr="00073574">
              <w:t>above.</w:t>
            </w:r>
            <w:r w:rsidR="1533B725" w:rsidRPr="00073574">
              <w:t xml:space="preserve"> A new SG13RG-EECAT was set up in March 2019 and had inaugural meeting</w:t>
            </w:r>
            <w:r w:rsidR="4ADB905E" w:rsidRPr="00073574">
              <w:t xml:space="preserve"> in May 2019 in St Petersburg</w:t>
            </w:r>
            <w:r w:rsidR="1533B725" w:rsidRPr="00073574">
              <w:t xml:space="preserve">. It brought </w:t>
            </w:r>
            <w:r w:rsidR="5F1F13D0" w:rsidRPr="00073574">
              <w:t>5</w:t>
            </w:r>
            <w:r w:rsidR="1533B725" w:rsidRPr="00073574">
              <w:t xml:space="preserve"> proposals for a </w:t>
            </w:r>
            <w:r w:rsidR="1533B725" w:rsidRPr="006E7E4A">
              <w:t>new work items of inter</w:t>
            </w:r>
            <w:r w:rsidR="4ADB905E" w:rsidRPr="006E7E4A">
              <w:t>e</w:t>
            </w:r>
            <w:r w:rsidR="1533B725" w:rsidRPr="006E7E4A">
              <w:t>st for EECAT region</w:t>
            </w:r>
            <w:r w:rsidR="1533B725" w:rsidRPr="00073574">
              <w:t>.</w:t>
            </w:r>
            <w:r w:rsidR="2C446FF0" w:rsidRPr="00073574">
              <w:t xml:space="preserve"> Supplement 64 to </w:t>
            </w:r>
            <w:r w:rsidR="001F61B5" w:rsidRPr="00073574">
              <w:t xml:space="preserve">ITU-T </w:t>
            </w:r>
            <w:r w:rsidR="2C446FF0" w:rsidRPr="00073574">
              <w:t>Y.3100-series "</w:t>
            </w:r>
            <w:r w:rsidR="2C446FF0" w:rsidRPr="006E7E4A">
              <w:t>Awareness on Use Cases and Migration Aspects of IMT-2020</w:t>
            </w:r>
            <w:r w:rsidR="2C446FF0" w:rsidRPr="00073574">
              <w:t xml:space="preserve">", Supplement 65 to </w:t>
            </w:r>
            <w:r w:rsidR="001F61B5" w:rsidRPr="00073574">
              <w:t xml:space="preserve">ITU-T </w:t>
            </w:r>
            <w:r w:rsidR="2C446FF0" w:rsidRPr="00073574">
              <w:t>Y.3600-series "</w:t>
            </w:r>
            <w:r w:rsidR="190CE306" w:rsidRPr="006E7E4A">
              <w:t>Big Data Adoption</w:t>
            </w:r>
            <w:r w:rsidR="190CE306" w:rsidRPr="00073574">
              <w:rPr>
                <w:rFonts w:eastAsia="Verdana"/>
                <w:color w:val="000000" w:themeColor="text1"/>
              </w:rPr>
              <w:t xml:space="preserve"> in Developing Countries</w:t>
            </w:r>
            <w:r w:rsidR="2C446FF0" w:rsidRPr="00073574">
              <w:t>" and technical report "</w:t>
            </w:r>
            <w:r w:rsidR="3CFD261B" w:rsidRPr="00073574">
              <w:rPr>
                <w:color w:val="000000" w:themeColor="text1"/>
              </w:rPr>
              <w:t>Use of ITU-T Recommendations by Developing Countries</w:t>
            </w:r>
            <w:r w:rsidR="2C446FF0" w:rsidRPr="00073574">
              <w:t>" were approved in July 2020 an</w:t>
            </w:r>
            <w:r w:rsidR="6248F0AD" w:rsidRPr="00073574">
              <w:t xml:space="preserve">d aim to provide guidance for the </w:t>
            </w:r>
            <w:r w:rsidR="68378869" w:rsidRPr="00073574">
              <w:t>d</w:t>
            </w:r>
            <w:r w:rsidR="6248F0AD" w:rsidRPr="00073574">
              <w:t>evelop</w:t>
            </w:r>
            <w:r w:rsidR="6451F25D" w:rsidRPr="00073574">
              <w:t>ing</w:t>
            </w:r>
            <w:r w:rsidR="6248F0AD" w:rsidRPr="00073574">
              <w:t xml:space="preserve"> </w:t>
            </w:r>
            <w:r w:rsidR="000F0E0E" w:rsidRPr="00073574">
              <w:t>countries</w:t>
            </w:r>
            <w:r w:rsidR="26AF811C" w:rsidRPr="00073574">
              <w:t>.</w:t>
            </w:r>
          </w:p>
          <w:p w14:paraId="65C7E31C" w14:textId="39B75B0D" w:rsidR="00D73570" w:rsidRPr="00073574" w:rsidRDefault="5B5C3C92" w:rsidP="002E241A">
            <w:pPr>
              <w:pStyle w:val="ListParagraph"/>
              <w:numPr>
                <w:ilvl w:val="0"/>
                <w:numId w:val="40"/>
              </w:numPr>
              <w:contextualSpacing w:val="0"/>
              <w:rPr>
                <w:rFonts w:eastAsia="Times New Roman"/>
              </w:rPr>
            </w:pPr>
            <w:r w:rsidRPr="00073574">
              <w:t>SG15 had two work items to provide solutions to developing countries: "Optical fibre cables for direct surface application" (L.dsa) and "Criteria for optical cable installation with minimal existing infrastructure" (L.cci). L.dsa was approved as Recommendation ITU-T L.110 in August 2017. Draft L.cci was approved as L.163 in November 2018.</w:t>
            </w:r>
            <w:r w:rsidR="0D982075" w:rsidRPr="00073574">
              <w:t xml:space="preserve"> These </w:t>
            </w:r>
            <w:r w:rsidR="0D982075" w:rsidRPr="00073574">
              <w:lastRenderedPageBreak/>
              <w:t xml:space="preserve">Recommendations were promoted at WSIS Forum 2019 and Telecom World 2019 exhibiting manufactured cables according to Recommendation ITU-T L.110. </w:t>
            </w:r>
            <w:r w:rsidR="1861164F" w:rsidRPr="00073574">
              <w:t xml:space="preserve"> SG15 organized a session “Bridging the digital divide: how ITU-T standards enable installation of optical fibre cable in remote areas” for WSIS Forum 2020 to promote standards on optical fibre for developing countries (</w:t>
            </w:r>
            <w:r w:rsidR="5E20D861" w:rsidRPr="00073574">
              <w:t xml:space="preserve">ITU-T </w:t>
            </w:r>
            <w:r w:rsidR="1861164F" w:rsidRPr="00073574">
              <w:t xml:space="preserve">L.110, L.163 and L.1700). Details are at </w:t>
            </w:r>
            <w:hyperlink r:id="rId721" w:history="1">
              <w:r w:rsidR="008973A4" w:rsidRPr="00073574">
                <w:rPr>
                  <w:rStyle w:val="Hyperlink"/>
                </w:rPr>
                <w:t>https://www.itu.int/net4/wsis/forum/2020/Agenda/Session/267</w:t>
              </w:r>
            </w:hyperlink>
            <w:r w:rsidR="1861164F" w:rsidRPr="00073574">
              <w:t>.</w:t>
            </w:r>
            <w:r w:rsidR="008973A4" w:rsidRPr="00073574">
              <w:t xml:space="preserve"> A delegate from SG15 participated in WSIS2021 sessions “WSIS Stocktaking Series: The Coronavirus Response – ICT Case Repository” (twice – 3 February and 9 March 2021) and “WSIS Stocktaking Interactive Session” (21 May 2021).</w:t>
            </w:r>
          </w:p>
          <w:p w14:paraId="3FE25AEE" w14:textId="069B6AF9" w:rsidR="00DA664B" w:rsidRPr="00073574" w:rsidRDefault="63F6BC14" w:rsidP="005A4825">
            <w:pPr>
              <w:pStyle w:val="ListParagraph"/>
              <w:numPr>
                <w:ilvl w:val="0"/>
                <w:numId w:val="40"/>
              </w:numPr>
              <w:spacing w:after="120"/>
              <w:contextualSpacing w:val="0"/>
              <w:rPr>
                <w:sz w:val="24"/>
              </w:rPr>
            </w:pPr>
            <w:r w:rsidRPr="00073574">
              <w:t xml:space="preserve">SG16 continues work on </w:t>
            </w:r>
            <w:hyperlink r:id="rId722">
              <w:r w:rsidRPr="00073574">
                <w:rPr>
                  <w:rStyle w:val="Hyperlink"/>
                </w:rPr>
                <w:t>FTSP.EH-DEV</w:t>
              </w:r>
            </w:hyperlink>
            <w:r w:rsidRPr="00073574">
              <w:t xml:space="preserve"> - Issues list for enhancing accessibility to e-health services and applications in developing countries, initiated in January 2018.</w:t>
            </w:r>
          </w:p>
          <w:p w14:paraId="2D169FBA" w14:textId="5817B718" w:rsidR="00C926DB" w:rsidRPr="00073574" w:rsidRDefault="00C926DB" w:rsidP="005A4825">
            <w:pPr>
              <w:pStyle w:val="ListParagraph"/>
              <w:numPr>
                <w:ilvl w:val="0"/>
                <w:numId w:val="40"/>
              </w:numPr>
              <w:spacing w:after="120"/>
              <w:contextualSpacing w:val="0"/>
              <w:rPr>
                <w:sz w:val="24"/>
              </w:rPr>
            </w:pPr>
            <w:r w:rsidRPr="00073574">
              <w:t xml:space="preserve">SG17 developed Recommendation </w:t>
            </w:r>
            <w:r w:rsidR="00E7583D" w:rsidRPr="00073574">
              <w:t xml:space="preserve">ITU-T </w:t>
            </w:r>
            <w:r w:rsidRPr="00073574">
              <w:t xml:space="preserve">X.1060 Framework </w:t>
            </w:r>
            <w:r w:rsidR="000A7E6E" w:rsidRPr="00073574">
              <w:t>for the</w:t>
            </w:r>
            <w:r w:rsidRPr="00073574">
              <w:t xml:space="preserve"> creation and operation of </w:t>
            </w:r>
            <w:r w:rsidR="000A7E6E" w:rsidRPr="00073574">
              <w:t xml:space="preserve">a </w:t>
            </w:r>
            <w:r w:rsidRPr="00073574">
              <w:t>cyber defence centre</w:t>
            </w:r>
            <w:r w:rsidR="007E6CE2" w:rsidRPr="00073574">
              <w:t xml:space="preserve"> which was interested by African countries</w:t>
            </w:r>
            <w:r w:rsidR="00C52800" w:rsidRPr="00073574">
              <w:t xml:space="preserve"> for implementation</w:t>
            </w:r>
            <w:r w:rsidR="007E6CE2" w:rsidRPr="00073574">
              <w:t xml:space="preserve">. See </w:t>
            </w:r>
            <w:r w:rsidR="009E6982" w:rsidRPr="00073574">
              <w:t xml:space="preserve">action 54-01 for more details. </w:t>
            </w:r>
          </w:p>
          <w:p w14:paraId="257B45D2" w14:textId="77AA2883" w:rsidR="00A77196" w:rsidRPr="00073574" w:rsidRDefault="7523D9F6" w:rsidP="00C91D91">
            <w:pPr>
              <w:pStyle w:val="ListParagraph"/>
              <w:numPr>
                <w:ilvl w:val="0"/>
                <w:numId w:val="40"/>
              </w:numPr>
              <w:ind w:left="357" w:hanging="357"/>
              <w:contextualSpacing w:val="0"/>
            </w:pPr>
            <w:r w:rsidRPr="00073574">
              <w:t>SG20 is working on draft Recommendation ITU-T Y.SRC “Requirements for deployment of smart services in rural communities”</w:t>
            </w:r>
            <w:r w:rsidR="00037791" w:rsidRPr="00073574">
              <w:t>,</w:t>
            </w:r>
            <w:r w:rsidRPr="00073574">
              <w:t xml:space="preserve"> ITU-T Y.smart-evacuation “Framework of smart evacuation during emergencies in smart cities and communities”</w:t>
            </w:r>
            <w:r w:rsidR="00037791" w:rsidRPr="00073574">
              <w:t xml:space="preserve">, ITU-T Y.eHealth-Semantic “Framework to support </w:t>
            </w:r>
            <w:r w:rsidR="004F7DA8" w:rsidRPr="00073574">
              <w:t>Web of Objects ontology based semantic mediation of eHealth services</w:t>
            </w:r>
            <w:r w:rsidR="00037791" w:rsidRPr="00073574">
              <w:t>”</w:t>
            </w:r>
            <w:r w:rsidR="00282660" w:rsidRPr="00073574">
              <w:t xml:space="preserve">, </w:t>
            </w:r>
            <w:r w:rsidR="00037791" w:rsidRPr="00073574">
              <w:t>ITU-T Y.RA-PHE “Requirements and reference architecture of smart service for public health emergency”</w:t>
            </w:r>
            <w:r w:rsidR="00282660" w:rsidRPr="00073574">
              <w:t xml:space="preserve"> and </w:t>
            </w:r>
            <w:r w:rsidR="00547688" w:rsidRPr="00073574">
              <w:t>draft Supplement ITU-T Y.Sup.DTAfrica “Digital Transformation of Cities and Communities in Africa”</w:t>
            </w:r>
            <w:r w:rsidR="00037791" w:rsidRPr="00073574">
              <w:t>.</w:t>
            </w:r>
          </w:p>
          <w:p w14:paraId="3A87191A" w14:textId="77777777" w:rsidR="007B055C" w:rsidRPr="00073574" w:rsidRDefault="007B055C" w:rsidP="000F0E0E">
            <w:pPr>
              <w:pStyle w:val="ListParagraph"/>
              <w:numPr>
                <w:ilvl w:val="0"/>
                <w:numId w:val="40"/>
              </w:numPr>
              <w:ind w:left="357" w:hanging="357"/>
              <w:contextualSpacing w:val="0"/>
            </w:pPr>
            <w:r w:rsidRPr="00073574">
              <w:t xml:space="preserve">SG20 established a </w:t>
            </w:r>
            <w:r w:rsidR="0050256B" w:rsidRPr="00073574">
              <w:t xml:space="preserve">new </w:t>
            </w:r>
            <w:hyperlink r:id="rId723" w:history="1">
              <w:r w:rsidR="0050256B" w:rsidRPr="00073574">
                <w:rPr>
                  <w:rStyle w:val="Hyperlink"/>
                </w:rPr>
                <w:t>ITU-T</w:t>
              </w:r>
              <w:r w:rsidR="00317B92" w:rsidRPr="00073574">
                <w:rPr>
                  <w:rStyle w:val="Hyperlink"/>
                </w:rPr>
                <w:t xml:space="preserve"> Focus Group on</w:t>
              </w:r>
              <w:r w:rsidR="0050256B" w:rsidRPr="00073574">
                <w:rPr>
                  <w:rStyle w:val="Hyperlink"/>
                </w:rPr>
                <w:t xml:space="preserve"> </w:t>
              </w:r>
              <w:r w:rsidR="00CC580E" w:rsidRPr="00073574">
                <w:rPr>
                  <w:rStyle w:val="Hyperlink"/>
                </w:rPr>
                <w:t>Artificial Intelligence (AI) and Internet of Things (IoT) for Digital Agriculture (FG-AI4A)</w:t>
              </w:r>
            </w:hyperlink>
            <w:r w:rsidR="00317B92" w:rsidRPr="00073574">
              <w:t xml:space="preserve">. </w:t>
            </w:r>
            <w:r w:rsidR="004F3270" w:rsidRPr="00073574">
              <w:t>F</w:t>
            </w:r>
            <w:r w:rsidR="008D0133" w:rsidRPr="00073574">
              <w:t xml:space="preserve">G-AI4A </w:t>
            </w:r>
            <w:r w:rsidR="004F3270" w:rsidRPr="00073574">
              <w:t>will serve as an open platform to explore the potential of AI and IoT to support innovative practices for agricultural production processes.</w:t>
            </w:r>
          </w:p>
          <w:p w14:paraId="0E1DFCC3" w14:textId="6D574F69" w:rsidR="001B36C6" w:rsidRPr="00073574" w:rsidRDefault="001B36C6" w:rsidP="005A4825">
            <w:pPr>
              <w:pStyle w:val="ListParagraph"/>
              <w:numPr>
                <w:ilvl w:val="0"/>
                <w:numId w:val="40"/>
              </w:numPr>
              <w:contextualSpacing w:val="0"/>
            </w:pPr>
            <w:r w:rsidRPr="00073574">
              <w:t>SG20 established a new</w:t>
            </w:r>
            <w:r w:rsidR="004C24A1" w:rsidRPr="00073574">
              <w:t xml:space="preserve"> Correspondence Group on Artificial intelligence of Things (CG-AIoT).</w:t>
            </w:r>
          </w:p>
          <w:p w14:paraId="200B67B4" w14:textId="4A2CD69E" w:rsidR="00A77196" w:rsidRPr="00073574" w:rsidRDefault="00D82C61" w:rsidP="005A4825">
            <w:pPr>
              <w:pStyle w:val="ListParagraph"/>
              <w:numPr>
                <w:ilvl w:val="0"/>
                <w:numId w:val="40"/>
              </w:numPr>
              <w:contextualSpacing w:val="0"/>
            </w:pPr>
            <w:r w:rsidRPr="00073574">
              <w:t>U4SSC created a new Thematic Group on Digital Transformation for People Oriented Cities.</w:t>
            </w:r>
          </w:p>
        </w:tc>
      </w:tr>
      <w:tr w:rsidR="00F0236A" w:rsidRPr="00073574" w14:paraId="10164255" w14:textId="77777777" w:rsidTr="634A3A28">
        <w:trPr>
          <w:jc w:val="center"/>
        </w:trPr>
        <w:tc>
          <w:tcPr>
            <w:tcW w:w="1131" w:type="dxa"/>
            <w:vMerge w:val="restart"/>
            <w:tcBorders>
              <w:top w:val="single" w:sz="12" w:space="0" w:color="auto"/>
            </w:tcBorders>
            <w:shd w:val="clear" w:color="auto" w:fill="auto"/>
          </w:tcPr>
          <w:p w14:paraId="4B043B77" w14:textId="77777777" w:rsidR="00F0236A" w:rsidRPr="00073574" w:rsidRDefault="00F0236A" w:rsidP="00A7495D">
            <w:pPr>
              <w:pStyle w:val="Tabletext"/>
              <w:rPr>
                <w:b/>
                <w:bCs/>
                <w:sz w:val="24"/>
                <w:szCs w:val="24"/>
              </w:rPr>
            </w:pPr>
            <w:r w:rsidRPr="00073574">
              <w:rPr>
                <w:b/>
                <w:bCs/>
                <w:sz w:val="24"/>
                <w:szCs w:val="24"/>
              </w:rPr>
              <w:lastRenderedPageBreak/>
              <w:t>86-02</w:t>
            </w:r>
          </w:p>
        </w:tc>
        <w:tc>
          <w:tcPr>
            <w:tcW w:w="4986" w:type="dxa"/>
            <w:tcBorders>
              <w:top w:val="single" w:sz="12" w:space="0" w:color="auto"/>
              <w:bottom w:val="single" w:sz="4" w:space="0" w:color="auto"/>
            </w:tcBorders>
            <w:shd w:val="clear" w:color="auto" w:fill="auto"/>
          </w:tcPr>
          <w:p w14:paraId="7C6A17C6" w14:textId="77777777" w:rsidR="00F0236A" w:rsidRPr="00073574" w:rsidRDefault="00F0236A" w:rsidP="00E75CE1">
            <w:pPr>
              <w:pStyle w:val="Tabletext"/>
              <w:keepNext/>
              <w:keepLines/>
              <w:rPr>
                <w:b/>
                <w:bCs/>
                <w:sz w:val="24"/>
                <w:szCs w:val="24"/>
              </w:rPr>
            </w:pPr>
            <w:r w:rsidRPr="00073574">
              <w:rPr>
                <w:b/>
                <w:bCs/>
                <w:sz w:val="24"/>
                <w:szCs w:val="24"/>
              </w:rPr>
              <w:t>All ITU-T Study Groups to collaborate with the Smart Africa office in regard to standards relating to emerging technologies, with more emphasis on use cases and scenarios for developing countries through regional meetings, forums, workshops, etc (resolves 2)</w:t>
            </w:r>
          </w:p>
        </w:tc>
        <w:tc>
          <w:tcPr>
            <w:tcW w:w="1336" w:type="dxa"/>
            <w:tcBorders>
              <w:top w:val="single" w:sz="12" w:space="0" w:color="auto"/>
              <w:bottom w:val="single" w:sz="4" w:space="0" w:color="auto"/>
            </w:tcBorders>
            <w:shd w:val="clear" w:color="auto" w:fill="auto"/>
            <w:vAlign w:val="center"/>
          </w:tcPr>
          <w:p w14:paraId="0D1EF514" w14:textId="77777777" w:rsidR="00F0236A" w:rsidRPr="00073574" w:rsidRDefault="00F0236A" w:rsidP="00E75CE1">
            <w:pPr>
              <w:pStyle w:val="Tabletext"/>
              <w:keepNext/>
              <w:keepLines/>
              <w:jc w:val="center"/>
              <w:rPr>
                <w:b/>
                <w:bCs/>
                <w:sz w:val="24"/>
                <w:szCs w:val="24"/>
              </w:rPr>
            </w:pPr>
            <w:r w:rsidRPr="00073574">
              <w:rPr>
                <w:b/>
                <w:bCs/>
                <w:sz w:val="24"/>
                <w:szCs w:val="24"/>
              </w:rPr>
              <w:t>Ongoing</w:t>
            </w:r>
          </w:p>
        </w:tc>
        <w:tc>
          <w:tcPr>
            <w:tcW w:w="1143" w:type="dxa"/>
            <w:tcBorders>
              <w:top w:val="single" w:sz="12" w:space="0" w:color="auto"/>
              <w:bottom w:val="single" w:sz="4" w:space="0" w:color="auto"/>
            </w:tcBorders>
            <w:shd w:val="clear" w:color="auto" w:fill="auto"/>
            <w:vAlign w:val="center"/>
          </w:tcPr>
          <w:p w14:paraId="77ACB456" w14:textId="0B7BCDE6" w:rsidR="00F0236A" w:rsidRPr="00073574" w:rsidRDefault="000C1394" w:rsidP="00E75CE1">
            <w:pPr>
              <w:pStyle w:val="Tabletext"/>
              <w:keepNext/>
              <w:keepLines/>
              <w:jc w:val="center"/>
              <w:rPr>
                <w:b/>
                <w:bCs/>
                <w:sz w:val="24"/>
                <w:szCs w:val="24"/>
              </w:rPr>
            </w:pPr>
            <w:r w:rsidRPr="00073574">
              <w:rPr>
                <w:b/>
                <w:bCs/>
                <w:sz w:val="24"/>
                <w:szCs w:val="24"/>
              </w:rPr>
              <w:t>√</w:t>
            </w:r>
          </w:p>
        </w:tc>
        <w:tc>
          <w:tcPr>
            <w:tcW w:w="1336" w:type="dxa"/>
            <w:tcBorders>
              <w:top w:val="single" w:sz="12" w:space="0" w:color="auto"/>
              <w:bottom w:val="single" w:sz="4" w:space="0" w:color="auto"/>
            </w:tcBorders>
            <w:shd w:val="clear" w:color="auto" w:fill="auto"/>
            <w:vAlign w:val="center"/>
          </w:tcPr>
          <w:p w14:paraId="378F50A9" w14:textId="77777777" w:rsidR="00F0236A" w:rsidRPr="00073574" w:rsidRDefault="00F0236A" w:rsidP="00E75CE1">
            <w:pPr>
              <w:pStyle w:val="Tabletext"/>
              <w:keepNext/>
              <w:keepLines/>
              <w:jc w:val="center"/>
              <w:rPr>
                <w:b/>
                <w:bCs/>
                <w:sz w:val="24"/>
                <w:szCs w:val="24"/>
              </w:rPr>
            </w:pPr>
          </w:p>
        </w:tc>
      </w:tr>
      <w:tr w:rsidR="00F0236A" w:rsidRPr="00073574" w14:paraId="2F2C9B90" w14:textId="77777777" w:rsidTr="634A3A28">
        <w:trPr>
          <w:jc w:val="center"/>
        </w:trPr>
        <w:tc>
          <w:tcPr>
            <w:tcW w:w="1131" w:type="dxa"/>
            <w:vMerge/>
          </w:tcPr>
          <w:p w14:paraId="40FB6FAD" w14:textId="77777777" w:rsidR="00F0236A" w:rsidRPr="00073574" w:rsidRDefault="00F0236A" w:rsidP="00E75CE1">
            <w:pPr>
              <w:pStyle w:val="Tabletext"/>
              <w:keepNext/>
              <w:keepLines/>
              <w:rPr>
                <w:sz w:val="24"/>
                <w:szCs w:val="24"/>
              </w:rPr>
            </w:pPr>
          </w:p>
        </w:tc>
        <w:tc>
          <w:tcPr>
            <w:tcW w:w="8801" w:type="dxa"/>
            <w:gridSpan w:val="4"/>
            <w:tcBorders>
              <w:top w:val="single" w:sz="4" w:space="0" w:color="auto"/>
              <w:bottom w:val="single" w:sz="12" w:space="0" w:color="auto"/>
            </w:tcBorders>
            <w:shd w:val="clear" w:color="auto" w:fill="auto"/>
          </w:tcPr>
          <w:p w14:paraId="7B8956E8" w14:textId="77777777" w:rsidR="00F0236A" w:rsidRPr="00073574" w:rsidRDefault="7D906A54" w:rsidP="00C91D91">
            <w:pPr>
              <w:pStyle w:val="ListParagraph"/>
              <w:numPr>
                <w:ilvl w:val="0"/>
                <w:numId w:val="40"/>
              </w:numPr>
              <w:ind w:left="357" w:hanging="357"/>
              <w:contextualSpacing w:val="0"/>
            </w:pPr>
            <w:r w:rsidRPr="00073574">
              <w:t>SG12: Participation of Smart Africa representative in SG12RG-AFR meeting (Kigali, March 2019)</w:t>
            </w:r>
          </w:p>
          <w:p w14:paraId="0C7B9DF0" w14:textId="1A93D8D7" w:rsidR="00647860" w:rsidRPr="00073574" w:rsidRDefault="00647860" w:rsidP="000F0E0E">
            <w:pPr>
              <w:pStyle w:val="ListParagraph"/>
              <w:numPr>
                <w:ilvl w:val="0"/>
                <w:numId w:val="40"/>
              </w:numPr>
              <w:ind w:left="357" w:hanging="357"/>
              <w:contextualSpacing w:val="0"/>
            </w:pPr>
            <w:r w:rsidRPr="00073574">
              <w:t xml:space="preserve">SG17 regional group for Africa is </w:t>
            </w:r>
            <w:r w:rsidR="00EA04CE" w:rsidRPr="00073574">
              <w:t xml:space="preserve">working on implementation of ITU-T X.1060 Framework for the creation and </w:t>
            </w:r>
            <w:r w:rsidR="000F0E0E" w:rsidRPr="00073574">
              <w:t>operation</w:t>
            </w:r>
            <w:r w:rsidR="00EA04CE" w:rsidRPr="00073574">
              <w:t xml:space="preserve"> of a cyber defence centre in Africa. See action 54-01.</w:t>
            </w:r>
          </w:p>
          <w:p w14:paraId="08F80D8D" w14:textId="42B9C5C5" w:rsidR="00F0236A" w:rsidRPr="00073574" w:rsidRDefault="003E73AF" w:rsidP="00C91D91">
            <w:pPr>
              <w:pStyle w:val="ListParagraph"/>
              <w:numPr>
                <w:ilvl w:val="0"/>
                <w:numId w:val="40"/>
              </w:numPr>
              <w:ind w:left="357" w:hanging="357"/>
              <w:contextualSpacing w:val="0"/>
            </w:pPr>
            <w:r w:rsidRPr="00073574">
              <w:t xml:space="preserve">SG20: ITU </w:t>
            </w:r>
            <w:r w:rsidR="00E243F8" w:rsidRPr="00073574">
              <w:t xml:space="preserve">organized </w:t>
            </w:r>
            <w:hyperlink r:id="rId724" w:history="1">
              <w:r w:rsidR="00303182" w:rsidRPr="00073574">
                <w:rPr>
                  <w:rStyle w:val="Hyperlink"/>
                </w:rPr>
                <w:t>Virtual Forum on “Accelerating Digital Transformation in Africa”</w:t>
              </w:r>
            </w:hyperlink>
            <w:r w:rsidR="00FD02E5" w:rsidRPr="00073574">
              <w:t>, which took place on 2 June 2021.</w:t>
            </w:r>
            <w:r w:rsidR="00F61621" w:rsidRPr="00073574">
              <w:t xml:space="preserve"> </w:t>
            </w:r>
            <w:r w:rsidR="00771F21" w:rsidRPr="00073574">
              <w:t>The forum was followed by the third meeting of ITU-T Study Group 20 Regional Group for Africa (SG20RG-AFR), which took place virtually on 3 June 2021.</w:t>
            </w:r>
          </w:p>
        </w:tc>
      </w:tr>
      <w:tr w:rsidR="00F0236A" w:rsidRPr="00073574" w14:paraId="2E4C2B4D" w14:textId="77777777" w:rsidTr="634A3A28">
        <w:trPr>
          <w:jc w:val="center"/>
        </w:trPr>
        <w:tc>
          <w:tcPr>
            <w:tcW w:w="1131" w:type="dxa"/>
            <w:vMerge w:val="restart"/>
            <w:tcBorders>
              <w:top w:val="single" w:sz="12" w:space="0" w:color="auto"/>
            </w:tcBorders>
            <w:shd w:val="clear" w:color="auto" w:fill="auto"/>
          </w:tcPr>
          <w:p w14:paraId="5D58A5C6" w14:textId="77777777" w:rsidR="00F0236A" w:rsidRPr="00073574" w:rsidRDefault="00F0236A" w:rsidP="000A186F">
            <w:pPr>
              <w:pStyle w:val="Tabletext"/>
              <w:rPr>
                <w:b/>
                <w:bCs/>
                <w:sz w:val="24"/>
                <w:szCs w:val="24"/>
              </w:rPr>
            </w:pPr>
            <w:r w:rsidRPr="00073574">
              <w:rPr>
                <w:b/>
                <w:bCs/>
                <w:sz w:val="24"/>
                <w:szCs w:val="24"/>
              </w:rPr>
              <w:t>86-03</w:t>
            </w:r>
          </w:p>
        </w:tc>
        <w:tc>
          <w:tcPr>
            <w:tcW w:w="4986" w:type="dxa"/>
            <w:tcBorders>
              <w:top w:val="single" w:sz="12" w:space="0" w:color="auto"/>
              <w:bottom w:val="single" w:sz="4" w:space="0" w:color="auto"/>
            </w:tcBorders>
            <w:shd w:val="clear" w:color="auto" w:fill="auto"/>
          </w:tcPr>
          <w:p w14:paraId="2CDC7B31" w14:textId="77777777" w:rsidR="00F0236A" w:rsidRPr="00073574" w:rsidRDefault="00F0236A" w:rsidP="0048177F">
            <w:pPr>
              <w:pStyle w:val="Tabletext"/>
              <w:rPr>
                <w:b/>
                <w:bCs/>
                <w:sz w:val="24"/>
                <w:szCs w:val="24"/>
              </w:rPr>
            </w:pPr>
            <w:r w:rsidRPr="00073574">
              <w:rPr>
                <w:b/>
                <w:bCs/>
                <w:sz w:val="24"/>
                <w:szCs w:val="24"/>
              </w:rPr>
              <w:t xml:space="preserve">TSB Director to establish mechanisms for collaboration and cooperation between ITU-T </w:t>
            </w:r>
            <w:r w:rsidRPr="00073574">
              <w:rPr>
                <w:b/>
                <w:bCs/>
                <w:sz w:val="24"/>
                <w:szCs w:val="24"/>
              </w:rPr>
              <w:lastRenderedPageBreak/>
              <w:t>study groups and the Smart Africa office in the development of standards (i. TSBDir 1)</w:t>
            </w:r>
          </w:p>
        </w:tc>
        <w:tc>
          <w:tcPr>
            <w:tcW w:w="1336" w:type="dxa"/>
            <w:tcBorders>
              <w:top w:val="single" w:sz="12" w:space="0" w:color="auto"/>
              <w:bottom w:val="single" w:sz="4" w:space="0" w:color="auto"/>
            </w:tcBorders>
            <w:shd w:val="clear" w:color="auto" w:fill="auto"/>
            <w:vAlign w:val="center"/>
          </w:tcPr>
          <w:p w14:paraId="216ECD9C" w14:textId="77777777" w:rsidR="00F0236A" w:rsidRPr="00073574" w:rsidRDefault="00F0236A" w:rsidP="0048177F">
            <w:pPr>
              <w:pStyle w:val="Tabletext"/>
              <w:jc w:val="center"/>
              <w:rPr>
                <w:b/>
                <w:bCs/>
                <w:sz w:val="24"/>
                <w:szCs w:val="24"/>
              </w:rPr>
            </w:pPr>
            <w:r w:rsidRPr="00073574">
              <w:rPr>
                <w:b/>
                <w:bCs/>
                <w:sz w:val="24"/>
                <w:szCs w:val="24"/>
              </w:rPr>
              <w:lastRenderedPageBreak/>
              <w:t>Ongoing</w:t>
            </w:r>
          </w:p>
        </w:tc>
        <w:tc>
          <w:tcPr>
            <w:tcW w:w="1143" w:type="dxa"/>
            <w:tcBorders>
              <w:top w:val="single" w:sz="12" w:space="0" w:color="auto"/>
              <w:bottom w:val="single" w:sz="4" w:space="0" w:color="auto"/>
            </w:tcBorders>
            <w:shd w:val="clear" w:color="auto" w:fill="auto"/>
            <w:vAlign w:val="center"/>
          </w:tcPr>
          <w:p w14:paraId="32D2A61A" w14:textId="2BA55CAE" w:rsidR="00F0236A" w:rsidRPr="00073574" w:rsidRDefault="00515A96" w:rsidP="0048177F">
            <w:pPr>
              <w:pStyle w:val="Tabletext"/>
              <w:jc w:val="center"/>
              <w:rPr>
                <w:b/>
                <w:bCs/>
                <w:sz w:val="24"/>
                <w:szCs w:val="24"/>
              </w:rPr>
            </w:pPr>
            <w:r w:rsidRPr="00073574">
              <w:rPr>
                <w:b/>
                <w:bCs/>
                <w:sz w:val="24"/>
                <w:szCs w:val="24"/>
              </w:rPr>
              <w:t>√</w:t>
            </w:r>
          </w:p>
        </w:tc>
        <w:tc>
          <w:tcPr>
            <w:tcW w:w="1336" w:type="dxa"/>
            <w:tcBorders>
              <w:top w:val="single" w:sz="12" w:space="0" w:color="auto"/>
              <w:bottom w:val="single" w:sz="4" w:space="0" w:color="auto"/>
            </w:tcBorders>
            <w:shd w:val="clear" w:color="auto" w:fill="auto"/>
            <w:vAlign w:val="center"/>
          </w:tcPr>
          <w:p w14:paraId="563AF169" w14:textId="77777777" w:rsidR="00F0236A" w:rsidRPr="00073574" w:rsidRDefault="00F0236A" w:rsidP="0048177F">
            <w:pPr>
              <w:pStyle w:val="Tabletext"/>
              <w:jc w:val="center"/>
              <w:rPr>
                <w:b/>
                <w:bCs/>
                <w:sz w:val="24"/>
                <w:szCs w:val="24"/>
              </w:rPr>
            </w:pPr>
          </w:p>
        </w:tc>
      </w:tr>
      <w:tr w:rsidR="00F0236A" w:rsidRPr="00073574" w14:paraId="4CC99107" w14:textId="77777777" w:rsidTr="634A3A28">
        <w:trPr>
          <w:jc w:val="center"/>
        </w:trPr>
        <w:tc>
          <w:tcPr>
            <w:tcW w:w="1131" w:type="dxa"/>
            <w:vMerge/>
          </w:tcPr>
          <w:p w14:paraId="3B2600DD" w14:textId="77777777" w:rsidR="00F0236A" w:rsidRPr="00073574" w:rsidRDefault="00F0236A" w:rsidP="0048177F">
            <w:pPr>
              <w:pStyle w:val="Tabletext"/>
              <w:rPr>
                <w:sz w:val="24"/>
                <w:szCs w:val="24"/>
              </w:rPr>
            </w:pPr>
          </w:p>
        </w:tc>
        <w:tc>
          <w:tcPr>
            <w:tcW w:w="8801" w:type="dxa"/>
            <w:gridSpan w:val="4"/>
            <w:tcBorders>
              <w:top w:val="single" w:sz="4" w:space="0" w:color="auto"/>
              <w:bottom w:val="single" w:sz="12" w:space="0" w:color="auto"/>
            </w:tcBorders>
            <w:shd w:val="clear" w:color="auto" w:fill="auto"/>
          </w:tcPr>
          <w:p w14:paraId="381504FF" w14:textId="1AE76141" w:rsidR="00515A96" w:rsidRPr="00073574" w:rsidRDefault="0053741E" w:rsidP="001F61B5">
            <w:pPr>
              <w:pStyle w:val="ListParagraph"/>
              <w:numPr>
                <w:ilvl w:val="0"/>
                <w:numId w:val="40"/>
              </w:numPr>
              <w:spacing w:after="40"/>
              <w:ind w:left="357" w:hanging="357"/>
              <w:contextualSpacing w:val="0"/>
            </w:pPr>
            <w:hyperlink r:id="rId725">
              <w:r w:rsidR="00515A96" w:rsidRPr="00073574">
                <w:rPr>
                  <w:rStyle w:val="Hyperlink"/>
                </w:rPr>
                <w:t>1st Digital African Week</w:t>
              </w:r>
            </w:hyperlink>
            <w:r w:rsidR="00515A96" w:rsidRPr="00073574">
              <w:t xml:space="preserve"> took place on 27-30 August 2019, Abuja, Nigeria in conjunction with </w:t>
            </w:r>
            <w:hyperlink r:id="rId726">
              <w:r w:rsidR="00515A96" w:rsidRPr="00073574">
                <w:rPr>
                  <w:rStyle w:val="Hyperlink"/>
                </w:rPr>
                <w:t>ITU-T Study Group 5 Regional Group for Africa (ITU-T SG5RG-AFR)</w:t>
              </w:r>
            </w:hyperlink>
            <w:r w:rsidR="00515A96" w:rsidRPr="00073574">
              <w:t xml:space="preserve"> and </w:t>
            </w:r>
            <w:hyperlink r:id="rId727">
              <w:r w:rsidR="00515A96" w:rsidRPr="00073574">
                <w:rPr>
                  <w:rStyle w:val="Hyperlink"/>
                </w:rPr>
                <w:t>ITU-T Study Group 20 Regional Group for Africa (ITU-T SG20RG-AFR)</w:t>
              </w:r>
            </w:hyperlink>
            <w:r w:rsidR="00515A96" w:rsidRPr="00073574">
              <w:t xml:space="preserve"> to foster the implementation of ITU-T Recommendations with the support of the Smart Africa office.</w:t>
            </w:r>
          </w:p>
          <w:p w14:paraId="08D0D33E" w14:textId="3605EB48" w:rsidR="003E41F3" w:rsidRPr="00073574" w:rsidRDefault="00F42A11" w:rsidP="002055CC">
            <w:pPr>
              <w:pStyle w:val="ListParagraph"/>
              <w:numPr>
                <w:ilvl w:val="0"/>
                <w:numId w:val="40"/>
              </w:numPr>
              <w:spacing w:after="40"/>
              <w:ind w:left="357" w:hanging="357"/>
              <w:contextualSpacing w:val="0"/>
            </w:pPr>
            <w:r w:rsidRPr="00073574">
              <w:t>The session “</w:t>
            </w:r>
            <w:hyperlink r:id="rId728" w:history="1">
              <w:r w:rsidRPr="00073574">
                <w:rPr>
                  <w:rStyle w:val="Hyperlink"/>
                </w:rPr>
                <w:t>Sustainable Digital Transformation in Africa</w:t>
              </w:r>
            </w:hyperlink>
            <w:r w:rsidRPr="00073574">
              <w:t>” was held on 28 September 2021 during t</w:t>
            </w:r>
            <w:r w:rsidR="00ED3342" w:rsidRPr="00073574">
              <w:t xml:space="preserve">he </w:t>
            </w:r>
            <w:hyperlink r:id="rId729" w:history="1">
              <w:r w:rsidR="00ED3342" w:rsidRPr="00073574">
                <w:rPr>
                  <w:rStyle w:val="Hyperlink"/>
                </w:rPr>
                <w:t>Sustainable Digital Transformation Dialogues</w:t>
              </w:r>
            </w:hyperlink>
            <w:r w:rsidR="00667BA7" w:rsidRPr="00073574">
              <w:t>.</w:t>
            </w:r>
          </w:p>
          <w:p w14:paraId="3BFBFA99" w14:textId="4EC120F2" w:rsidR="00F0236A" w:rsidRPr="00073574" w:rsidRDefault="001F61B5" w:rsidP="00472C0B">
            <w:pPr>
              <w:pStyle w:val="ListParagraph"/>
              <w:numPr>
                <w:ilvl w:val="0"/>
                <w:numId w:val="40"/>
              </w:numPr>
              <w:spacing w:after="40"/>
              <w:ind w:left="357" w:hanging="357"/>
              <w:contextualSpacing w:val="0"/>
            </w:pPr>
            <w:r w:rsidRPr="00073574">
              <w:t>The seventh SG13 Regional Workshop on "Standardization of future networks towards building a better connected Africa", Abuja, Nigeria, 3-4 February 2020, had a presentation about the activities of Smart Africa.</w:t>
            </w:r>
          </w:p>
        </w:tc>
      </w:tr>
      <w:tr w:rsidR="00F0236A" w:rsidRPr="00073574" w14:paraId="677F02B2" w14:textId="77777777" w:rsidTr="634A3A28">
        <w:trPr>
          <w:jc w:val="center"/>
        </w:trPr>
        <w:tc>
          <w:tcPr>
            <w:tcW w:w="1131" w:type="dxa"/>
            <w:vMerge w:val="restart"/>
            <w:tcBorders>
              <w:top w:val="single" w:sz="12" w:space="0" w:color="auto"/>
            </w:tcBorders>
            <w:shd w:val="clear" w:color="auto" w:fill="auto"/>
          </w:tcPr>
          <w:p w14:paraId="6BCDA463" w14:textId="77777777" w:rsidR="00F0236A" w:rsidRPr="00073574" w:rsidRDefault="00F0236A" w:rsidP="0048177F">
            <w:pPr>
              <w:pStyle w:val="Tabletext"/>
              <w:rPr>
                <w:b/>
                <w:bCs/>
                <w:sz w:val="24"/>
                <w:szCs w:val="24"/>
              </w:rPr>
            </w:pPr>
            <w:r w:rsidRPr="00073574">
              <w:rPr>
                <w:b/>
                <w:bCs/>
                <w:sz w:val="24"/>
                <w:szCs w:val="24"/>
              </w:rPr>
              <w:t>86-04</w:t>
            </w:r>
          </w:p>
        </w:tc>
        <w:tc>
          <w:tcPr>
            <w:tcW w:w="4986" w:type="dxa"/>
            <w:tcBorders>
              <w:top w:val="single" w:sz="12" w:space="0" w:color="auto"/>
              <w:bottom w:val="single" w:sz="4" w:space="0" w:color="auto"/>
            </w:tcBorders>
            <w:shd w:val="clear" w:color="auto" w:fill="auto"/>
          </w:tcPr>
          <w:p w14:paraId="4B286AEB" w14:textId="77777777" w:rsidR="00F0236A" w:rsidRPr="00073574" w:rsidRDefault="00F0236A" w:rsidP="0048177F">
            <w:pPr>
              <w:pStyle w:val="Tabletext"/>
              <w:rPr>
                <w:b/>
                <w:bCs/>
                <w:sz w:val="24"/>
                <w:szCs w:val="24"/>
              </w:rPr>
            </w:pPr>
            <w:r w:rsidRPr="00073574">
              <w:rPr>
                <w:b/>
                <w:bCs/>
                <w:sz w:val="24"/>
                <w:szCs w:val="24"/>
              </w:rPr>
              <w:t>TSB Director to continue supporting the Smart Africa Manifesto in accordance with Resolution 195 (Busan, 2014) (i. TSBDir 2)</w:t>
            </w:r>
          </w:p>
        </w:tc>
        <w:tc>
          <w:tcPr>
            <w:tcW w:w="1336" w:type="dxa"/>
            <w:tcBorders>
              <w:top w:val="single" w:sz="12" w:space="0" w:color="auto"/>
              <w:bottom w:val="single" w:sz="4" w:space="0" w:color="auto"/>
            </w:tcBorders>
            <w:shd w:val="clear" w:color="auto" w:fill="auto"/>
            <w:vAlign w:val="center"/>
          </w:tcPr>
          <w:p w14:paraId="689A8413" w14:textId="77777777" w:rsidR="00F0236A" w:rsidRPr="00073574" w:rsidRDefault="00F0236A" w:rsidP="0048177F">
            <w:pPr>
              <w:pStyle w:val="Tabletext"/>
              <w:jc w:val="center"/>
              <w:rPr>
                <w:b/>
                <w:bCs/>
                <w:sz w:val="24"/>
                <w:szCs w:val="24"/>
              </w:rPr>
            </w:pPr>
            <w:r w:rsidRPr="00073574">
              <w:rPr>
                <w:b/>
                <w:bCs/>
                <w:sz w:val="24"/>
                <w:szCs w:val="24"/>
              </w:rPr>
              <w:t>Ongoing</w:t>
            </w:r>
          </w:p>
        </w:tc>
        <w:tc>
          <w:tcPr>
            <w:tcW w:w="1143" w:type="dxa"/>
            <w:tcBorders>
              <w:top w:val="single" w:sz="12" w:space="0" w:color="auto"/>
              <w:bottom w:val="single" w:sz="4" w:space="0" w:color="auto"/>
            </w:tcBorders>
            <w:shd w:val="clear" w:color="auto" w:fill="auto"/>
            <w:vAlign w:val="center"/>
          </w:tcPr>
          <w:p w14:paraId="0AC9AA6B" w14:textId="77777777" w:rsidR="00F0236A" w:rsidRPr="00073574" w:rsidRDefault="00F0236A" w:rsidP="0048177F">
            <w:pPr>
              <w:pStyle w:val="Tabletext"/>
              <w:jc w:val="center"/>
              <w:rPr>
                <w:b/>
                <w:bCs/>
                <w:sz w:val="24"/>
                <w:szCs w:val="24"/>
              </w:rPr>
            </w:pPr>
            <w:r w:rsidRPr="00073574">
              <w:rPr>
                <w:b/>
                <w:bCs/>
                <w:sz w:val="24"/>
                <w:szCs w:val="24"/>
              </w:rPr>
              <w:t>√</w:t>
            </w:r>
          </w:p>
        </w:tc>
        <w:tc>
          <w:tcPr>
            <w:tcW w:w="1336" w:type="dxa"/>
            <w:tcBorders>
              <w:top w:val="single" w:sz="12" w:space="0" w:color="auto"/>
              <w:bottom w:val="single" w:sz="4" w:space="0" w:color="auto"/>
            </w:tcBorders>
            <w:shd w:val="clear" w:color="auto" w:fill="auto"/>
            <w:vAlign w:val="center"/>
          </w:tcPr>
          <w:p w14:paraId="759B725B" w14:textId="77777777" w:rsidR="00F0236A" w:rsidRPr="00073574" w:rsidRDefault="00F0236A" w:rsidP="0048177F">
            <w:pPr>
              <w:pStyle w:val="Tabletext"/>
              <w:jc w:val="center"/>
              <w:rPr>
                <w:b/>
                <w:bCs/>
                <w:sz w:val="24"/>
                <w:szCs w:val="24"/>
              </w:rPr>
            </w:pPr>
          </w:p>
        </w:tc>
      </w:tr>
      <w:tr w:rsidR="00F0236A" w:rsidRPr="00073574" w14:paraId="3BC27D1A" w14:textId="77777777" w:rsidTr="634A3A28">
        <w:trPr>
          <w:jc w:val="center"/>
        </w:trPr>
        <w:tc>
          <w:tcPr>
            <w:tcW w:w="1131" w:type="dxa"/>
            <w:vMerge/>
          </w:tcPr>
          <w:p w14:paraId="0E974766" w14:textId="77777777" w:rsidR="00F0236A" w:rsidRPr="00073574" w:rsidRDefault="00F0236A" w:rsidP="0048177F">
            <w:pPr>
              <w:pStyle w:val="Tabletext"/>
              <w:rPr>
                <w:sz w:val="24"/>
                <w:szCs w:val="24"/>
              </w:rPr>
            </w:pPr>
          </w:p>
        </w:tc>
        <w:tc>
          <w:tcPr>
            <w:tcW w:w="8801" w:type="dxa"/>
            <w:gridSpan w:val="4"/>
            <w:tcBorders>
              <w:top w:val="single" w:sz="4" w:space="0" w:color="auto"/>
              <w:bottom w:val="single" w:sz="12" w:space="0" w:color="auto"/>
            </w:tcBorders>
            <w:shd w:val="clear" w:color="auto" w:fill="auto"/>
          </w:tcPr>
          <w:p w14:paraId="5C9ADAA3" w14:textId="77777777" w:rsidR="00F0236A" w:rsidRPr="00073574" w:rsidRDefault="00F0236A" w:rsidP="0048177F">
            <w:pPr>
              <w:pStyle w:val="Tabletext"/>
              <w:rPr>
                <w:szCs w:val="22"/>
              </w:rPr>
            </w:pPr>
            <w:r w:rsidRPr="00073574">
              <w:rPr>
                <w:szCs w:val="22"/>
              </w:rPr>
              <w:t>Ongoing.</w:t>
            </w:r>
          </w:p>
        </w:tc>
      </w:tr>
      <w:tr w:rsidR="00F0236A" w:rsidRPr="00073574" w14:paraId="06D2C2F5" w14:textId="77777777" w:rsidTr="634A3A28">
        <w:trPr>
          <w:jc w:val="center"/>
        </w:trPr>
        <w:tc>
          <w:tcPr>
            <w:tcW w:w="1131" w:type="dxa"/>
            <w:vMerge w:val="restart"/>
            <w:tcBorders>
              <w:top w:val="single" w:sz="12" w:space="0" w:color="auto"/>
            </w:tcBorders>
            <w:shd w:val="clear" w:color="auto" w:fill="auto"/>
          </w:tcPr>
          <w:p w14:paraId="2F4618C7" w14:textId="77777777" w:rsidR="00F0236A" w:rsidRPr="00073574" w:rsidRDefault="00F0236A" w:rsidP="00900703">
            <w:pPr>
              <w:pStyle w:val="Tabletext"/>
              <w:rPr>
                <w:b/>
                <w:bCs/>
                <w:sz w:val="24"/>
                <w:szCs w:val="24"/>
              </w:rPr>
            </w:pPr>
            <w:r w:rsidRPr="00073574">
              <w:rPr>
                <w:b/>
                <w:bCs/>
                <w:sz w:val="24"/>
                <w:szCs w:val="24"/>
              </w:rPr>
              <w:t>86-05</w:t>
            </w:r>
          </w:p>
        </w:tc>
        <w:tc>
          <w:tcPr>
            <w:tcW w:w="4986" w:type="dxa"/>
            <w:tcBorders>
              <w:top w:val="single" w:sz="12" w:space="0" w:color="auto"/>
              <w:bottom w:val="single" w:sz="4" w:space="0" w:color="auto"/>
            </w:tcBorders>
            <w:shd w:val="clear" w:color="auto" w:fill="auto"/>
          </w:tcPr>
          <w:p w14:paraId="2F3144F7" w14:textId="77777777" w:rsidR="00F0236A" w:rsidRPr="00073574" w:rsidRDefault="00F0236A" w:rsidP="00900703">
            <w:pPr>
              <w:pStyle w:val="Tabletext"/>
              <w:rPr>
                <w:b/>
                <w:bCs/>
                <w:sz w:val="24"/>
                <w:szCs w:val="24"/>
              </w:rPr>
            </w:pPr>
            <w:r w:rsidRPr="00073574">
              <w:rPr>
                <w:b/>
                <w:bCs/>
                <w:sz w:val="24"/>
                <w:szCs w:val="24"/>
              </w:rPr>
              <w:t>TSB Director to provide assistance to Smart Africa and African regional groups from within the assigned budget in order to support pilot projects aimed at speeding up the implementation of ITU standards and Recommendations (i. TSBDir 3)</w:t>
            </w:r>
          </w:p>
        </w:tc>
        <w:tc>
          <w:tcPr>
            <w:tcW w:w="1336" w:type="dxa"/>
            <w:tcBorders>
              <w:top w:val="single" w:sz="12" w:space="0" w:color="auto"/>
              <w:bottom w:val="single" w:sz="4" w:space="0" w:color="auto"/>
            </w:tcBorders>
            <w:shd w:val="clear" w:color="auto" w:fill="auto"/>
            <w:vAlign w:val="center"/>
          </w:tcPr>
          <w:p w14:paraId="102F73D4" w14:textId="77777777" w:rsidR="00F0236A" w:rsidRPr="00073574" w:rsidRDefault="00F0236A" w:rsidP="00900703">
            <w:pPr>
              <w:pStyle w:val="Tabletext"/>
              <w:jc w:val="center"/>
              <w:rPr>
                <w:b/>
                <w:bCs/>
                <w:sz w:val="24"/>
                <w:szCs w:val="24"/>
              </w:rPr>
            </w:pPr>
            <w:r w:rsidRPr="00073574">
              <w:rPr>
                <w:b/>
                <w:bCs/>
                <w:sz w:val="24"/>
                <w:szCs w:val="24"/>
              </w:rPr>
              <w:t>Ongoing</w:t>
            </w:r>
          </w:p>
        </w:tc>
        <w:tc>
          <w:tcPr>
            <w:tcW w:w="1143" w:type="dxa"/>
            <w:tcBorders>
              <w:top w:val="single" w:sz="12" w:space="0" w:color="auto"/>
              <w:bottom w:val="single" w:sz="4" w:space="0" w:color="auto"/>
            </w:tcBorders>
            <w:shd w:val="clear" w:color="auto" w:fill="auto"/>
            <w:vAlign w:val="center"/>
          </w:tcPr>
          <w:p w14:paraId="077B330F" w14:textId="77777777" w:rsidR="00F0236A" w:rsidRPr="00073574" w:rsidRDefault="00F0236A" w:rsidP="00900703">
            <w:pPr>
              <w:pStyle w:val="Tabletext"/>
              <w:jc w:val="center"/>
              <w:rPr>
                <w:b/>
                <w:bCs/>
                <w:sz w:val="24"/>
                <w:szCs w:val="24"/>
              </w:rPr>
            </w:pPr>
            <w:r w:rsidRPr="00073574">
              <w:rPr>
                <w:b/>
                <w:bCs/>
                <w:sz w:val="24"/>
                <w:szCs w:val="24"/>
              </w:rPr>
              <w:t>√</w:t>
            </w:r>
          </w:p>
        </w:tc>
        <w:tc>
          <w:tcPr>
            <w:tcW w:w="1336" w:type="dxa"/>
            <w:tcBorders>
              <w:top w:val="single" w:sz="12" w:space="0" w:color="auto"/>
              <w:bottom w:val="single" w:sz="4" w:space="0" w:color="auto"/>
            </w:tcBorders>
            <w:shd w:val="clear" w:color="auto" w:fill="auto"/>
            <w:vAlign w:val="center"/>
          </w:tcPr>
          <w:p w14:paraId="1C626BEA" w14:textId="77777777" w:rsidR="00F0236A" w:rsidRPr="00073574" w:rsidRDefault="00F0236A" w:rsidP="00900703">
            <w:pPr>
              <w:pStyle w:val="Tabletext"/>
              <w:jc w:val="center"/>
              <w:rPr>
                <w:b/>
                <w:bCs/>
                <w:sz w:val="24"/>
                <w:szCs w:val="24"/>
              </w:rPr>
            </w:pPr>
          </w:p>
        </w:tc>
      </w:tr>
      <w:tr w:rsidR="00F0236A" w:rsidRPr="00073574" w14:paraId="006AE230" w14:textId="77777777" w:rsidTr="634A3A28">
        <w:trPr>
          <w:jc w:val="center"/>
        </w:trPr>
        <w:tc>
          <w:tcPr>
            <w:tcW w:w="1131" w:type="dxa"/>
            <w:vMerge/>
          </w:tcPr>
          <w:p w14:paraId="5E8DE766" w14:textId="77777777" w:rsidR="00F0236A" w:rsidRPr="00073574" w:rsidRDefault="00F0236A" w:rsidP="00900703">
            <w:pPr>
              <w:pStyle w:val="Tabletext"/>
              <w:rPr>
                <w:sz w:val="24"/>
                <w:szCs w:val="24"/>
              </w:rPr>
            </w:pPr>
          </w:p>
        </w:tc>
        <w:tc>
          <w:tcPr>
            <w:tcW w:w="8801" w:type="dxa"/>
            <w:gridSpan w:val="4"/>
            <w:tcBorders>
              <w:top w:val="single" w:sz="4" w:space="0" w:color="auto"/>
              <w:bottom w:val="single" w:sz="12" w:space="0" w:color="auto"/>
            </w:tcBorders>
            <w:shd w:val="clear" w:color="auto" w:fill="auto"/>
          </w:tcPr>
          <w:p w14:paraId="04F32F51" w14:textId="77777777" w:rsidR="00F0236A" w:rsidRPr="00073574" w:rsidRDefault="00F0236A" w:rsidP="00900703">
            <w:pPr>
              <w:pStyle w:val="Tabletext"/>
              <w:rPr>
                <w:szCs w:val="22"/>
              </w:rPr>
            </w:pPr>
            <w:r w:rsidRPr="00073574">
              <w:rPr>
                <w:szCs w:val="22"/>
              </w:rPr>
              <w:t>Ongoing.</w:t>
            </w:r>
          </w:p>
        </w:tc>
      </w:tr>
      <w:tr w:rsidR="00F0236A" w:rsidRPr="00073574" w14:paraId="195E8BF8" w14:textId="77777777" w:rsidTr="634A3A28">
        <w:trPr>
          <w:jc w:val="center"/>
        </w:trPr>
        <w:tc>
          <w:tcPr>
            <w:tcW w:w="1131" w:type="dxa"/>
            <w:vMerge w:val="restart"/>
            <w:tcBorders>
              <w:top w:val="single" w:sz="12" w:space="0" w:color="auto"/>
            </w:tcBorders>
            <w:shd w:val="clear" w:color="auto" w:fill="auto"/>
          </w:tcPr>
          <w:p w14:paraId="1F7401EA" w14:textId="77777777" w:rsidR="00F0236A" w:rsidRPr="00073574" w:rsidRDefault="00F0236A" w:rsidP="00E75CE1">
            <w:pPr>
              <w:pStyle w:val="Tabletext"/>
              <w:rPr>
                <w:b/>
                <w:bCs/>
                <w:sz w:val="24"/>
                <w:szCs w:val="24"/>
              </w:rPr>
            </w:pPr>
            <w:r w:rsidRPr="00073574">
              <w:rPr>
                <w:b/>
                <w:bCs/>
                <w:sz w:val="24"/>
                <w:szCs w:val="24"/>
              </w:rPr>
              <w:t>86-06</w:t>
            </w:r>
          </w:p>
        </w:tc>
        <w:tc>
          <w:tcPr>
            <w:tcW w:w="4986" w:type="dxa"/>
            <w:tcBorders>
              <w:top w:val="single" w:sz="12" w:space="0" w:color="auto"/>
              <w:bottom w:val="single" w:sz="4" w:space="0" w:color="auto"/>
            </w:tcBorders>
            <w:shd w:val="clear" w:color="auto" w:fill="auto"/>
          </w:tcPr>
          <w:p w14:paraId="407A2382" w14:textId="77777777" w:rsidR="00F0236A" w:rsidRPr="00073574" w:rsidRDefault="00F0236A" w:rsidP="00900703">
            <w:pPr>
              <w:pStyle w:val="Tabletext"/>
              <w:keepNext/>
              <w:keepLines/>
              <w:rPr>
                <w:b/>
                <w:bCs/>
                <w:sz w:val="24"/>
                <w:szCs w:val="24"/>
              </w:rPr>
            </w:pPr>
            <w:r w:rsidRPr="00073574">
              <w:rPr>
                <w:b/>
                <w:bCs/>
                <w:sz w:val="24"/>
                <w:szCs w:val="24"/>
              </w:rPr>
              <w:t>TSB Director to strengthen training and guide Smart Africa member states, partner organizations and industries in their adoption of ITU-T standards (i. TSBDir 4)</w:t>
            </w:r>
          </w:p>
        </w:tc>
        <w:tc>
          <w:tcPr>
            <w:tcW w:w="1336" w:type="dxa"/>
            <w:tcBorders>
              <w:top w:val="single" w:sz="12" w:space="0" w:color="auto"/>
              <w:bottom w:val="single" w:sz="4" w:space="0" w:color="auto"/>
            </w:tcBorders>
            <w:shd w:val="clear" w:color="auto" w:fill="auto"/>
            <w:vAlign w:val="center"/>
          </w:tcPr>
          <w:p w14:paraId="28B10BBB" w14:textId="77777777" w:rsidR="00F0236A" w:rsidRPr="00073574" w:rsidRDefault="00F0236A" w:rsidP="0048177F">
            <w:pPr>
              <w:pStyle w:val="Tabletext"/>
              <w:jc w:val="center"/>
              <w:rPr>
                <w:b/>
                <w:bCs/>
                <w:sz w:val="24"/>
                <w:szCs w:val="24"/>
              </w:rPr>
            </w:pPr>
            <w:r w:rsidRPr="00073574">
              <w:rPr>
                <w:b/>
                <w:bCs/>
                <w:sz w:val="24"/>
                <w:szCs w:val="24"/>
              </w:rPr>
              <w:t>Ongoing</w:t>
            </w:r>
          </w:p>
        </w:tc>
        <w:tc>
          <w:tcPr>
            <w:tcW w:w="1143" w:type="dxa"/>
            <w:tcBorders>
              <w:top w:val="single" w:sz="12" w:space="0" w:color="auto"/>
              <w:bottom w:val="single" w:sz="4" w:space="0" w:color="auto"/>
            </w:tcBorders>
            <w:shd w:val="clear" w:color="auto" w:fill="auto"/>
            <w:vAlign w:val="center"/>
          </w:tcPr>
          <w:p w14:paraId="2B1BCA78" w14:textId="77777777" w:rsidR="00F0236A" w:rsidRPr="00073574" w:rsidRDefault="00F0236A" w:rsidP="0048177F">
            <w:pPr>
              <w:pStyle w:val="Tabletext"/>
              <w:jc w:val="center"/>
              <w:rPr>
                <w:b/>
                <w:bCs/>
                <w:sz w:val="24"/>
                <w:szCs w:val="24"/>
              </w:rPr>
            </w:pPr>
            <w:r w:rsidRPr="00073574">
              <w:rPr>
                <w:b/>
                <w:bCs/>
                <w:sz w:val="24"/>
                <w:szCs w:val="24"/>
              </w:rPr>
              <w:t>√</w:t>
            </w:r>
          </w:p>
        </w:tc>
        <w:tc>
          <w:tcPr>
            <w:tcW w:w="1336" w:type="dxa"/>
            <w:tcBorders>
              <w:top w:val="single" w:sz="12" w:space="0" w:color="auto"/>
              <w:bottom w:val="single" w:sz="4" w:space="0" w:color="auto"/>
            </w:tcBorders>
            <w:shd w:val="clear" w:color="auto" w:fill="auto"/>
            <w:vAlign w:val="center"/>
          </w:tcPr>
          <w:p w14:paraId="643326A6" w14:textId="77777777" w:rsidR="00F0236A" w:rsidRPr="00073574" w:rsidRDefault="00F0236A" w:rsidP="0048177F">
            <w:pPr>
              <w:pStyle w:val="Tabletext"/>
              <w:jc w:val="center"/>
              <w:rPr>
                <w:b/>
                <w:bCs/>
                <w:sz w:val="24"/>
                <w:szCs w:val="24"/>
              </w:rPr>
            </w:pPr>
          </w:p>
        </w:tc>
      </w:tr>
      <w:tr w:rsidR="00F0236A" w:rsidRPr="00073574" w14:paraId="4A15C6AA" w14:textId="77777777" w:rsidTr="634A3A28">
        <w:trPr>
          <w:jc w:val="center"/>
        </w:trPr>
        <w:tc>
          <w:tcPr>
            <w:tcW w:w="1131" w:type="dxa"/>
            <w:vMerge/>
            <w:vAlign w:val="center"/>
          </w:tcPr>
          <w:p w14:paraId="5B2C5E84" w14:textId="77777777" w:rsidR="00F0236A" w:rsidRPr="00073574" w:rsidRDefault="00F0236A" w:rsidP="0048177F">
            <w:pPr>
              <w:pStyle w:val="Tabletext"/>
              <w:rPr>
                <w:sz w:val="24"/>
                <w:szCs w:val="24"/>
              </w:rPr>
            </w:pPr>
          </w:p>
        </w:tc>
        <w:tc>
          <w:tcPr>
            <w:tcW w:w="8801" w:type="dxa"/>
            <w:gridSpan w:val="4"/>
            <w:tcBorders>
              <w:top w:val="single" w:sz="4" w:space="0" w:color="auto"/>
            </w:tcBorders>
            <w:shd w:val="clear" w:color="auto" w:fill="auto"/>
          </w:tcPr>
          <w:p w14:paraId="5032DB59" w14:textId="77777777" w:rsidR="00F0236A" w:rsidRPr="00073574" w:rsidRDefault="00F0236A" w:rsidP="0048177F">
            <w:pPr>
              <w:pStyle w:val="Tabletext"/>
              <w:rPr>
                <w:szCs w:val="22"/>
              </w:rPr>
            </w:pPr>
            <w:r w:rsidRPr="00073574">
              <w:rPr>
                <w:szCs w:val="22"/>
              </w:rPr>
              <w:t>Ongoing.</w:t>
            </w:r>
          </w:p>
        </w:tc>
      </w:tr>
    </w:tbl>
    <w:bookmarkStart w:id="504" w:name="Item86_01"/>
    <w:bookmarkStart w:id="505" w:name="Item86_02"/>
    <w:bookmarkStart w:id="506" w:name="Item86_03"/>
    <w:bookmarkStart w:id="507" w:name="Item86_04"/>
    <w:bookmarkStart w:id="508" w:name="Item86_05"/>
    <w:bookmarkStart w:id="509" w:name="Item86_06"/>
    <w:bookmarkEnd w:id="504"/>
    <w:bookmarkEnd w:id="505"/>
    <w:bookmarkEnd w:id="506"/>
    <w:bookmarkEnd w:id="507"/>
    <w:bookmarkEnd w:id="508"/>
    <w:bookmarkEnd w:id="509"/>
    <w:p w14:paraId="40733FB9" w14:textId="77777777" w:rsidR="00F0236A" w:rsidRPr="00073574" w:rsidRDefault="00F0236A" w:rsidP="00F0236A">
      <w:pPr>
        <w:rPr>
          <w:sz w:val="24"/>
        </w:rPr>
      </w:pPr>
      <w:r w:rsidRPr="00073574">
        <w:rPr>
          <w:color w:val="2B579A"/>
          <w:shd w:val="clear" w:color="auto" w:fill="E6E6E6"/>
        </w:rPr>
        <w:fldChar w:fldCharType="begin"/>
      </w:r>
      <w:r w:rsidRPr="00073574">
        <w:rPr>
          <w:sz w:val="24"/>
        </w:rPr>
        <w:instrText xml:space="preserve"> HYPERLINK \l "Top" </w:instrText>
      </w:r>
      <w:r w:rsidRPr="00073574">
        <w:rPr>
          <w:color w:val="2B579A"/>
          <w:shd w:val="clear" w:color="auto" w:fill="E6E6E6"/>
        </w:rPr>
        <w:fldChar w:fldCharType="separate"/>
      </w:r>
      <w:r w:rsidRPr="00073574">
        <w:rPr>
          <w:rStyle w:val="Hyperlink"/>
          <w:rFonts w:eastAsia="Times New Roman"/>
          <w:sz w:val="24"/>
        </w:rPr>
        <w:t>» Top</w:t>
      </w:r>
      <w:r w:rsidRPr="00073574">
        <w:rPr>
          <w:rStyle w:val="Hyperlink"/>
          <w:rFonts w:eastAsia="Times New Roman"/>
          <w:sz w:val="24"/>
        </w:rPr>
        <w:fldChar w:fldCharType="end"/>
      </w:r>
    </w:p>
    <w:p w14:paraId="20607F7D" w14:textId="77777777" w:rsidR="00F0236A" w:rsidRPr="00073574" w:rsidRDefault="00F0236A" w:rsidP="00980D27">
      <w:pPr>
        <w:pStyle w:val="Heading1"/>
        <w:keepNext/>
        <w:keepLines/>
        <w:rPr>
          <w:sz w:val="24"/>
          <w:szCs w:val="24"/>
          <w:lang w:val="en-GB"/>
        </w:rPr>
      </w:pPr>
      <w:bookmarkStart w:id="510" w:name="_Resolution_87_-"/>
      <w:bookmarkStart w:id="511" w:name="_Toc471715401"/>
      <w:bookmarkStart w:id="512" w:name="_Toc93425287"/>
      <w:bookmarkEnd w:id="510"/>
      <w:r w:rsidRPr="00073574">
        <w:rPr>
          <w:sz w:val="24"/>
          <w:szCs w:val="24"/>
          <w:lang w:val="en-GB"/>
        </w:rPr>
        <w:t>Resolution 87 - Participation of the ITU Telecommunication Standardization Sector in the periodic review and revision of the International Telecommunication Regulations</w:t>
      </w:r>
      <w:bookmarkEnd w:id="511"/>
      <w:bookmarkEnd w:id="512"/>
    </w:p>
    <w:p w14:paraId="3107ABBD" w14:textId="77777777" w:rsidR="00F0236A" w:rsidRPr="00073574" w:rsidRDefault="00F0236A" w:rsidP="00980D27">
      <w:pPr>
        <w:keepNext/>
        <w:keepLines/>
        <w:rPr>
          <w:b/>
          <w:bCs/>
          <w:sz w:val="24"/>
        </w:rPr>
      </w:pPr>
      <w:r w:rsidRPr="00073574">
        <w:rPr>
          <w:b/>
          <w:bCs/>
          <w:sz w:val="24"/>
        </w:rPr>
        <w:t>Resolution 87</w:t>
      </w:r>
    </w:p>
    <w:p w14:paraId="0E543686" w14:textId="77777777" w:rsidR="00F0236A" w:rsidRPr="00073574" w:rsidRDefault="00F0236A" w:rsidP="00980D27">
      <w:pPr>
        <w:pStyle w:val="Call"/>
        <w:rPr>
          <w:sz w:val="24"/>
          <w:szCs w:val="24"/>
          <w:lang w:val="en-GB" w:eastAsia="en-AU"/>
        </w:rPr>
      </w:pPr>
      <w:r w:rsidRPr="00073574">
        <w:rPr>
          <w:sz w:val="24"/>
          <w:szCs w:val="24"/>
          <w:lang w:val="en-GB" w:eastAsia="en-AU"/>
        </w:rPr>
        <w:t>resolves to instruct the Director of the Telecommunication Standardization Bureau</w:t>
      </w:r>
    </w:p>
    <w:p w14:paraId="4FBC6362" w14:textId="2CA2E887" w:rsidR="00F0236A" w:rsidRPr="00073574" w:rsidRDefault="00F0236A" w:rsidP="00980D27">
      <w:pPr>
        <w:keepNext/>
        <w:keepLines/>
        <w:spacing w:after="240"/>
        <w:rPr>
          <w:sz w:val="24"/>
        </w:rPr>
      </w:pPr>
      <w:r w:rsidRPr="00073574">
        <w:rPr>
          <w:sz w:val="24"/>
        </w:rPr>
        <w:t>1</w:t>
      </w:r>
      <w:r w:rsidRPr="00073574">
        <w:rPr>
          <w:sz w:val="24"/>
        </w:rPr>
        <w:tab/>
        <w:t>to undertake the necessary activities within the Director</w:t>
      </w:r>
      <w:r w:rsidR="003C7E25" w:rsidRPr="00073574">
        <w:rPr>
          <w:sz w:val="24"/>
        </w:rPr>
        <w:t>'</w:t>
      </w:r>
      <w:r w:rsidRPr="00073574">
        <w:rPr>
          <w:sz w:val="24"/>
        </w:rPr>
        <w:t>s field of competence in order to fully implement Resolution 146 (Rev. Busan, 2014) and Council Resolution 1379;</w:t>
      </w:r>
    </w:p>
    <w:p w14:paraId="093D82FE" w14:textId="77777777" w:rsidR="00F0236A" w:rsidRPr="00073574" w:rsidRDefault="00F0236A" w:rsidP="00F0236A">
      <w:pPr>
        <w:spacing w:after="240"/>
        <w:rPr>
          <w:sz w:val="24"/>
        </w:rPr>
      </w:pPr>
      <w:r w:rsidRPr="00073574">
        <w:rPr>
          <w:sz w:val="24"/>
        </w:rPr>
        <w:t>2</w:t>
      </w:r>
      <w:r w:rsidRPr="00073574">
        <w:rPr>
          <w:sz w:val="24"/>
        </w:rPr>
        <w:tab/>
        <w:t>to submit the result of these activities to EG-ITR,</w:t>
      </w:r>
    </w:p>
    <w:p w14:paraId="17D6FC54" w14:textId="77777777" w:rsidR="00F0236A" w:rsidRPr="00073574" w:rsidRDefault="00F0236A" w:rsidP="00F0236A">
      <w:pPr>
        <w:pStyle w:val="Call"/>
        <w:rPr>
          <w:sz w:val="24"/>
          <w:szCs w:val="24"/>
          <w:lang w:val="en-GB" w:eastAsia="en-AU"/>
        </w:rPr>
      </w:pPr>
      <w:r w:rsidRPr="00073574">
        <w:rPr>
          <w:sz w:val="24"/>
          <w:szCs w:val="24"/>
          <w:lang w:val="en-GB" w:eastAsia="en-AU"/>
        </w:rPr>
        <w:t>instructs the Telecommunication Standardization Advisory Group</w:t>
      </w:r>
    </w:p>
    <w:p w14:paraId="2D9AE2E1" w14:textId="77777777" w:rsidR="00F0236A" w:rsidRPr="00073574" w:rsidRDefault="00F0236A" w:rsidP="00F0236A">
      <w:pPr>
        <w:spacing w:after="240"/>
        <w:rPr>
          <w:sz w:val="24"/>
        </w:rPr>
      </w:pPr>
      <w:r w:rsidRPr="00073574">
        <w:rPr>
          <w:sz w:val="24"/>
        </w:rPr>
        <w:t>to provide advice to the Director of the Telecommunication Standardization Bureau consistent with Resolution 146 (Rev. Busan, 2014) and Council Resolution 1379,</w:t>
      </w:r>
    </w:p>
    <w:p w14:paraId="29FEACB4" w14:textId="77777777" w:rsidR="00F0236A" w:rsidRPr="00073574" w:rsidRDefault="00F0236A" w:rsidP="00F0236A">
      <w:pPr>
        <w:pStyle w:val="Call"/>
        <w:rPr>
          <w:sz w:val="24"/>
          <w:szCs w:val="24"/>
          <w:lang w:val="en-GB" w:eastAsia="en-AU"/>
        </w:rPr>
      </w:pPr>
      <w:r w:rsidRPr="00073574">
        <w:rPr>
          <w:sz w:val="24"/>
          <w:szCs w:val="24"/>
          <w:lang w:val="en-GB" w:eastAsia="en-AU"/>
        </w:rPr>
        <w:lastRenderedPageBreak/>
        <w:t>invites Member States and Sector Members</w:t>
      </w:r>
    </w:p>
    <w:p w14:paraId="2A343C80" w14:textId="77777777" w:rsidR="00F0236A" w:rsidRPr="00073574" w:rsidRDefault="00F0236A" w:rsidP="00F0236A">
      <w:pPr>
        <w:spacing w:after="240"/>
        <w:rPr>
          <w:sz w:val="24"/>
        </w:rPr>
      </w:pPr>
      <w:r w:rsidRPr="00073574">
        <w:rPr>
          <w:sz w:val="24"/>
        </w:rPr>
        <w:t>to participate in and contribute to the implementation of this resolution.</w:t>
      </w:r>
    </w:p>
    <w:tbl>
      <w:tblPr>
        <w:tblW w:w="99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31"/>
        <w:gridCol w:w="4986"/>
        <w:gridCol w:w="1336"/>
        <w:gridCol w:w="1143"/>
        <w:gridCol w:w="1336"/>
      </w:tblGrid>
      <w:tr w:rsidR="00F0236A" w:rsidRPr="00073574" w14:paraId="46B20E65" w14:textId="77777777" w:rsidTr="00532914">
        <w:trPr>
          <w:jc w:val="center"/>
        </w:trPr>
        <w:tc>
          <w:tcPr>
            <w:tcW w:w="1131" w:type="dxa"/>
            <w:tcBorders>
              <w:top w:val="single" w:sz="12" w:space="0" w:color="auto"/>
              <w:bottom w:val="single" w:sz="12" w:space="0" w:color="auto"/>
            </w:tcBorders>
            <w:shd w:val="clear" w:color="auto" w:fill="auto"/>
            <w:vAlign w:val="center"/>
          </w:tcPr>
          <w:p w14:paraId="3101BC70" w14:textId="77777777" w:rsidR="00F0236A" w:rsidRPr="00073574" w:rsidRDefault="00F0236A" w:rsidP="002274A4">
            <w:pPr>
              <w:pStyle w:val="Tablehead"/>
              <w:keepLines/>
              <w:rPr>
                <w:sz w:val="24"/>
                <w:szCs w:val="24"/>
              </w:rPr>
            </w:pPr>
            <w:r w:rsidRPr="00073574">
              <w:rPr>
                <w:sz w:val="24"/>
                <w:szCs w:val="24"/>
              </w:rPr>
              <w:t>Action Item</w:t>
            </w:r>
          </w:p>
        </w:tc>
        <w:tc>
          <w:tcPr>
            <w:tcW w:w="4986" w:type="dxa"/>
            <w:tcBorders>
              <w:top w:val="single" w:sz="12" w:space="0" w:color="auto"/>
              <w:bottom w:val="single" w:sz="12" w:space="0" w:color="auto"/>
            </w:tcBorders>
            <w:shd w:val="clear" w:color="auto" w:fill="auto"/>
            <w:vAlign w:val="center"/>
            <w:hideMark/>
          </w:tcPr>
          <w:p w14:paraId="2AA6E889" w14:textId="77777777" w:rsidR="00F0236A" w:rsidRPr="00073574" w:rsidRDefault="00F0236A" w:rsidP="002274A4">
            <w:pPr>
              <w:pStyle w:val="Tablehead"/>
              <w:keepLines/>
              <w:rPr>
                <w:sz w:val="24"/>
                <w:szCs w:val="24"/>
              </w:rPr>
            </w:pPr>
            <w:r w:rsidRPr="00073574">
              <w:rPr>
                <w:sz w:val="24"/>
                <w:szCs w:val="24"/>
              </w:rPr>
              <w:t>Action</w:t>
            </w:r>
          </w:p>
        </w:tc>
        <w:tc>
          <w:tcPr>
            <w:tcW w:w="1336" w:type="dxa"/>
            <w:tcBorders>
              <w:top w:val="single" w:sz="12" w:space="0" w:color="auto"/>
              <w:bottom w:val="single" w:sz="12" w:space="0" w:color="auto"/>
            </w:tcBorders>
            <w:shd w:val="clear" w:color="auto" w:fill="auto"/>
            <w:vAlign w:val="center"/>
            <w:hideMark/>
          </w:tcPr>
          <w:p w14:paraId="60338D0F" w14:textId="77777777" w:rsidR="00F0236A" w:rsidRPr="00073574" w:rsidRDefault="00F0236A" w:rsidP="00DF36E1">
            <w:pPr>
              <w:pStyle w:val="Tablehead"/>
              <w:rPr>
                <w:sz w:val="24"/>
                <w:szCs w:val="24"/>
              </w:rPr>
            </w:pPr>
            <w:r w:rsidRPr="00073574">
              <w:rPr>
                <w:sz w:val="24"/>
                <w:szCs w:val="24"/>
              </w:rPr>
              <w:t>Milestone</w:t>
            </w:r>
          </w:p>
        </w:tc>
        <w:tc>
          <w:tcPr>
            <w:tcW w:w="1143" w:type="dxa"/>
            <w:tcBorders>
              <w:top w:val="single" w:sz="12" w:space="0" w:color="auto"/>
              <w:bottom w:val="single" w:sz="12" w:space="0" w:color="auto"/>
            </w:tcBorders>
            <w:shd w:val="clear" w:color="auto" w:fill="auto"/>
          </w:tcPr>
          <w:p w14:paraId="34B7689E" w14:textId="77777777" w:rsidR="00F0236A" w:rsidRPr="00073574" w:rsidRDefault="00F0236A" w:rsidP="00DF36E1">
            <w:pPr>
              <w:pStyle w:val="Tablehead"/>
              <w:rPr>
                <w:sz w:val="24"/>
                <w:szCs w:val="24"/>
              </w:rPr>
            </w:pPr>
            <w:r w:rsidRPr="00073574">
              <w:rPr>
                <w:sz w:val="24"/>
                <w:szCs w:val="24"/>
              </w:rPr>
              <w:t>Periodic goals met</w:t>
            </w:r>
          </w:p>
        </w:tc>
        <w:tc>
          <w:tcPr>
            <w:tcW w:w="1336" w:type="dxa"/>
            <w:tcBorders>
              <w:top w:val="single" w:sz="12" w:space="0" w:color="auto"/>
              <w:bottom w:val="single" w:sz="12" w:space="0" w:color="auto"/>
            </w:tcBorders>
            <w:shd w:val="clear" w:color="auto" w:fill="auto"/>
            <w:vAlign w:val="center"/>
          </w:tcPr>
          <w:p w14:paraId="7B354C03" w14:textId="77777777" w:rsidR="00F0236A" w:rsidRPr="00073574" w:rsidRDefault="00F0236A" w:rsidP="00DF36E1">
            <w:pPr>
              <w:pStyle w:val="Tablehead"/>
              <w:rPr>
                <w:sz w:val="24"/>
                <w:szCs w:val="24"/>
              </w:rPr>
            </w:pPr>
            <w:r w:rsidRPr="00073574">
              <w:rPr>
                <w:sz w:val="24"/>
                <w:szCs w:val="24"/>
              </w:rPr>
              <w:t>Completed</w:t>
            </w:r>
          </w:p>
        </w:tc>
      </w:tr>
      <w:tr w:rsidR="00F0236A" w:rsidRPr="00073574" w14:paraId="7ABF83D5" w14:textId="77777777" w:rsidTr="00532914">
        <w:trPr>
          <w:jc w:val="center"/>
        </w:trPr>
        <w:tc>
          <w:tcPr>
            <w:tcW w:w="1131" w:type="dxa"/>
            <w:vMerge w:val="restart"/>
            <w:tcBorders>
              <w:top w:val="single" w:sz="12" w:space="0" w:color="auto"/>
            </w:tcBorders>
            <w:shd w:val="clear" w:color="auto" w:fill="auto"/>
          </w:tcPr>
          <w:p w14:paraId="37DF038C" w14:textId="77777777" w:rsidR="00F0236A" w:rsidRPr="00073574" w:rsidRDefault="00F0236A" w:rsidP="002274A4">
            <w:pPr>
              <w:pStyle w:val="Tabletext"/>
              <w:keepNext/>
              <w:keepLines/>
              <w:rPr>
                <w:b/>
                <w:bCs/>
                <w:sz w:val="24"/>
                <w:szCs w:val="24"/>
              </w:rPr>
            </w:pPr>
            <w:r w:rsidRPr="00073574">
              <w:rPr>
                <w:b/>
                <w:bCs/>
                <w:sz w:val="24"/>
                <w:szCs w:val="24"/>
              </w:rPr>
              <w:t>87-01</w:t>
            </w:r>
          </w:p>
        </w:tc>
        <w:tc>
          <w:tcPr>
            <w:tcW w:w="4986" w:type="dxa"/>
            <w:tcBorders>
              <w:top w:val="single" w:sz="12" w:space="0" w:color="auto"/>
              <w:bottom w:val="single" w:sz="2" w:space="0" w:color="auto"/>
            </w:tcBorders>
            <w:shd w:val="clear" w:color="auto" w:fill="auto"/>
            <w:hideMark/>
          </w:tcPr>
          <w:p w14:paraId="0197D6F3" w14:textId="488639D5" w:rsidR="00F0236A" w:rsidRPr="00073574" w:rsidRDefault="00F0236A" w:rsidP="00C37D59">
            <w:pPr>
              <w:pStyle w:val="Tabletext"/>
              <w:keepNext/>
              <w:keepLines/>
              <w:rPr>
                <w:b/>
                <w:bCs/>
                <w:sz w:val="24"/>
                <w:szCs w:val="24"/>
              </w:rPr>
            </w:pPr>
            <w:r w:rsidRPr="00073574">
              <w:rPr>
                <w:b/>
                <w:bCs/>
                <w:sz w:val="24"/>
                <w:szCs w:val="24"/>
              </w:rPr>
              <w:t>TSB Director to undertake the necessary activities within the Director</w:t>
            </w:r>
            <w:r w:rsidR="003C7E25" w:rsidRPr="00073574">
              <w:rPr>
                <w:b/>
                <w:bCs/>
                <w:sz w:val="24"/>
                <w:szCs w:val="24"/>
              </w:rPr>
              <w:t>'</w:t>
            </w:r>
            <w:r w:rsidRPr="00073574">
              <w:rPr>
                <w:b/>
                <w:bCs/>
                <w:sz w:val="24"/>
                <w:szCs w:val="24"/>
              </w:rPr>
              <w:t>s field of competence in order to fully implement Resolution 146 (Rev. Busan, 2014) and Council Resolution 1379 (resolves TSBDir i. 1)</w:t>
            </w:r>
          </w:p>
        </w:tc>
        <w:tc>
          <w:tcPr>
            <w:tcW w:w="1336" w:type="dxa"/>
            <w:tcBorders>
              <w:top w:val="single" w:sz="12" w:space="0" w:color="auto"/>
              <w:bottom w:val="single" w:sz="2" w:space="0" w:color="auto"/>
            </w:tcBorders>
            <w:shd w:val="clear" w:color="auto" w:fill="auto"/>
            <w:vAlign w:val="center"/>
          </w:tcPr>
          <w:p w14:paraId="391DC786"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43" w:type="dxa"/>
            <w:tcBorders>
              <w:top w:val="single" w:sz="12" w:space="0" w:color="auto"/>
              <w:bottom w:val="single" w:sz="2" w:space="0" w:color="auto"/>
            </w:tcBorders>
            <w:shd w:val="clear" w:color="auto" w:fill="auto"/>
            <w:vAlign w:val="center"/>
          </w:tcPr>
          <w:p w14:paraId="467C2FB4" w14:textId="70B4F12E" w:rsidR="00F0236A" w:rsidRPr="00073574" w:rsidRDefault="00532914" w:rsidP="00DF36E1">
            <w:pPr>
              <w:pStyle w:val="Tabletext"/>
              <w:jc w:val="center"/>
              <w:rPr>
                <w:b/>
                <w:bCs/>
                <w:sz w:val="24"/>
                <w:szCs w:val="24"/>
              </w:rPr>
            </w:pPr>
            <w:r w:rsidRPr="00073574">
              <w:rPr>
                <w:b/>
                <w:bCs/>
                <w:sz w:val="24"/>
                <w:szCs w:val="24"/>
              </w:rPr>
              <w:t>√</w:t>
            </w:r>
          </w:p>
        </w:tc>
        <w:tc>
          <w:tcPr>
            <w:tcW w:w="1336" w:type="dxa"/>
            <w:tcBorders>
              <w:top w:val="single" w:sz="12" w:space="0" w:color="auto"/>
              <w:bottom w:val="single" w:sz="2" w:space="0" w:color="auto"/>
            </w:tcBorders>
            <w:shd w:val="clear" w:color="auto" w:fill="auto"/>
            <w:vAlign w:val="center"/>
          </w:tcPr>
          <w:p w14:paraId="253EF165" w14:textId="77777777" w:rsidR="00F0236A" w:rsidRPr="00073574" w:rsidRDefault="00F0236A" w:rsidP="00DF36E1">
            <w:pPr>
              <w:pStyle w:val="Tabletext"/>
              <w:jc w:val="center"/>
              <w:rPr>
                <w:b/>
                <w:bCs/>
                <w:sz w:val="24"/>
                <w:szCs w:val="24"/>
              </w:rPr>
            </w:pPr>
          </w:p>
        </w:tc>
      </w:tr>
      <w:tr w:rsidR="00F0236A" w:rsidRPr="00073574" w14:paraId="1FD31B97" w14:textId="77777777" w:rsidTr="00BD6575">
        <w:trPr>
          <w:jc w:val="center"/>
        </w:trPr>
        <w:tc>
          <w:tcPr>
            <w:tcW w:w="1131" w:type="dxa"/>
            <w:vMerge/>
            <w:tcBorders>
              <w:bottom w:val="single" w:sz="12" w:space="0" w:color="auto"/>
            </w:tcBorders>
            <w:shd w:val="clear" w:color="auto" w:fill="auto"/>
          </w:tcPr>
          <w:p w14:paraId="203181E9" w14:textId="77777777" w:rsidR="00F0236A" w:rsidRPr="00073574" w:rsidRDefault="00F0236A" w:rsidP="00DF36E1">
            <w:pPr>
              <w:pStyle w:val="Tabletext"/>
              <w:rPr>
                <w:sz w:val="24"/>
                <w:szCs w:val="24"/>
              </w:rPr>
            </w:pPr>
          </w:p>
        </w:tc>
        <w:tc>
          <w:tcPr>
            <w:tcW w:w="8801" w:type="dxa"/>
            <w:gridSpan w:val="4"/>
            <w:tcBorders>
              <w:top w:val="single" w:sz="2" w:space="0" w:color="auto"/>
              <w:bottom w:val="single" w:sz="12" w:space="0" w:color="auto"/>
            </w:tcBorders>
            <w:shd w:val="clear" w:color="auto" w:fill="auto"/>
          </w:tcPr>
          <w:p w14:paraId="5F8F190E" w14:textId="77777777" w:rsidR="001F037E" w:rsidRPr="00073574" w:rsidRDefault="001F037E" w:rsidP="001F037E">
            <w:pPr>
              <w:pStyle w:val="Tabletext"/>
              <w:rPr>
                <w:szCs w:val="22"/>
              </w:rPr>
            </w:pPr>
            <w:r w:rsidRPr="00073574">
              <w:rPr>
                <w:szCs w:val="22"/>
              </w:rPr>
              <w:t>TSB Director reported to the 3rd meeting of the Expert Group (17-19 January 2018) on the responses received from the ITU-T study groups regarding the International Telecommunication Regulations. Further updates by some ITU-T study groups were presented at TSAG 26 February – 2 March 2018. TSB Director conducted additional consultations with ITU-T Study Group Chairmen and reported the results in EG-ITRs-4/INF/2 to EG-ITR in April 2018.</w:t>
            </w:r>
          </w:p>
          <w:p w14:paraId="2651811E" w14:textId="0FC129A5" w:rsidR="00B901C1" w:rsidRPr="00073574" w:rsidRDefault="00B901C1" w:rsidP="001F037E">
            <w:pPr>
              <w:pStyle w:val="Tabletext"/>
              <w:rPr>
                <w:szCs w:val="22"/>
              </w:rPr>
            </w:pPr>
            <w:r w:rsidRPr="00073574">
              <w:rPr>
                <w:szCs w:val="22"/>
              </w:rPr>
              <w:t xml:space="preserve">TSBDir submitted an update in </w:t>
            </w:r>
            <w:hyperlink r:id="rId730" w:history="1">
              <w:r w:rsidRPr="00073574">
                <w:rPr>
                  <w:rStyle w:val="Hyperlink"/>
                  <w:szCs w:val="22"/>
                </w:rPr>
                <w:t>EG-ITRs-5/INF/01</w:t>
              </w:r>
            </w:hyperlink>
            <w:r w:rsidRPr="00073574">
              <w:rPr>
                <w:szCs w:val="22"/>
              </w:rPr>
              <w:t xml:space="preserve"> to the 5th EG-ITR meeting, provides some TSB secretariat updates (relative to EG-ITRs-4/INF/02) on the identified list of Recommendations.</w:t>
            </w:r>
          </w:p>
        </w:tc>
      </w:tr>
      <w:tr w:rsidR="00F0236A" w:rsidRPr="00073574" w14:paraId="3E3C600D" w14:textId="77777777" w:rsidTr="00532914">
        <w:trPr>
          <w:jc w:val="center"/>
        </w:trPr>
        <w:tc>
          <w:tcPr>
            <w:tcW w:w="1131" w:type="dxa"/>
            <w:vMerge w:val="restart"/>
            <w:tcBorders>
              <w:top w:val="single" w:sz="12" w:space="0" w:color="auto"/>
            </w:tcBorders>
            <w:shd w:val="clear" w:color="auto" w:fill="auto"/>
          </w:tcPr>
          <w:p w14:paraId="00D63279" w14:textId="77777777" w:rsidR="00F0236A" w:rsidRPr="00073574" w:rsidRDefault="00F0236A" w:rsidP="008B1BCF">
            <w:pPr>
              <w:pStyle w:val="Tabletext"/>
              <w:keepNext/>
              <w:keepLines/>
              <w:rPr>
                <w:b/>
                <w:bCs/>
                <w:sz w:val="24"/>
                <w:szCs w:val="24"/>
              </w:rPr>
            </w:pPr>
            <w:r w:rsidRPr="00073574">
              <w:rPr>
                <w:b/>
                <w:bCs/>
                <w:sz w:val="24"/>
                <w:szCs w:val="24"/>
              </w:rPr>
              <w:t>87-02</w:t>
            </w:r>
          </w:p>
        </w:tc>
        <w:tc>
          <w:tcPr>
            <w:tcW w:w="4986" w:type="dxa"/>
            <w:tcBorders>
              <w:top w:val="single" w:sz="12" w:space="0" w:color="auto"/>
              <w:bottom w:val="single" w:sz="4" w:space="0" w:color="auto"/>
            </w:tcBorders>
            <w:shd w:val="clear" w:color="auto" w:fill="auto"/>
          </w:tcPr>
          <w:p w14:paraId="345AEB6E" w14:textId="77777777" w:rsidR="00F0236A" w:rsidRPr="00073574" w:rsidRDefault="00F0236A" w:rsidP="00DF36E1">
            <w:pPr>
              <w:pStyle w:val="Tabletext"/>
              <w:rPr>
                <w:b/>
                <w:bCs/>
                <w:sz w:val="24"/>
                <w:szCs w:val="24"/>
              </w:rPr>
            </w:pPr>
            <w:r w:rsidRPr="00073574">
              <w:rPr>
                <w:b/>
                <w:bCs/>
                <w:sz w:val="24"/>
                <w:szCs w:val="24"/>
              </w:rPr>
              <w:t>TSB Director to submit the result of these activities to EG-ITR (resolves TSBDir i. 2)</w:t>
            </w:r>
          </w:p>
        </w:tc>
        <w:tc>
          <w:tcPr>
            <w:tcW w:w="1336" w:type="dxa"/>
            <w:tcBorders>
              <w:top w:val="single" w:sz="12" w:space="0" w:color="auto"/>
              <w:bottom w:val="single" w:sz="4" w:space="0" w:color="auto"/>
            </w:tcBorders>
            <w:shd w:val="clear" w:color="auto" w:fill="auto"/>
            <w:vAlign w:val="center"/>
          </w:tcPr>
          <w:p w14:paraId="1F069988" w14:textId="6219BD27" w:rsidR="00F0236A" w:rsidRPr="00073574" w:rsidRDefault="00F0236A" w:rsidP="001D7555">
            <w:pPr>
              <w:pStyle w:val="Tabletext"/>
              <w:jc w:val="center"/>
              <w:rPr>
                <w:b/>
                <w:bCs/>
                <w:sz w:val="24"/>
                <w:szCs w:val="24"/>
              </w:rPr>
            </w:pPr>
            <w:r w:rsidRPr="00073574">
              <w:rPr>
                <w:b/>
                <w:bCs/>
                <w:sz w:val="24"/>
                <w:szCs w:val="24"/>
              </w:rPr>
              <w:t>Council 20</w:t>
            </w:r>
            <w:r w:rsidR="001D7555" w:rsidRPr="00073574">
              <w:rPr>
                <w:b/>
                <w:bCs/>
                <w:sz w:val="24"/>
                <w:szCs w:val="24"/>
              </w:rPr>
              <w:t>2</w:t>
            </w:r>
            <w:r w:rsidR="00FA0EC8" w:rsidRPr="00073574">
              <w:rPr>
                <w:b/>
                <w:bCs/>
                <w:sz w:val="24"/>
                <w:szCs w:val="24"/>
              </w:rPr>
              <w:t>1</w:t>
            </w:r>
          </w:p>
        </w:tc>
        <w:tc>
          <w:tcPr>
            <w:tcW w:w="1143" w:type="dxa"/>
            <w:tcBorders>
              <w:top w:val="single" w:sz="12" w:space="0" w:color="auto"/>
              <w:bottom w:val="single" w:sz="4" w:space="0" w:color="auto"/>
            </w:tcBorders>
            <w:shd w:val="clear" w:color="auto" w:fill="auto"/>
            <w:vAlign w:val="center"/>
          </w:tcPr>
          <w:p w14:paraId="5B3CA8B8"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bottom w:val="single" w:sz="4" w:space="0" w:color="auto"/>
            </w:tcBorders>
            <w:shd w:val="clear" w:color="auto" w:fill="auto"/>
            <w:vAlign w:val="center"/>
          </w:tcPr>
          <w:p w14:paraId="412186C7" w14:textId="77777777" w:rsidR="00F0236A" w:rsidRPr="00073574" w:rsidRDefault="00F0236A" w:rsidP="00DF36E1">
            <w:pPr>
              <w:pStyle w:val="Tabletext"/>
              <w:jc w:val="center"/>
              <w:rPr>
                <w:b/>
                <w:bCs/>
                <w:sz w:val="24"/>
                <w:szCs w:val="24"/>
              </w:rPr>
            </w:pPr>
          </w:p>
        </w:tc>
      </w:tr>
      <w:tr w:rsidR="00F0236A" w:rsidRPr="00073574" w14:paraId="1A584E49" w14:textId="77777777" w:rsidTr="00BD6575">
        <w:trPr>
          <w:jc w:val="center"/>
        </w:trPr>
        <w:tc>
          <w:tcPr>
            <w:tcW w:w="1131" w:type="dxa"/>
            <w:vMerge/>
            <w:tcBorders>
              <w:bottom w:val="single" w:sz="12" w:space="0" w:color="auto"/>
            </w:tcBorders>
            <w:shd w:val="clear" w:color="auto" w:fill="auto"/>
          </w:tcPr>
          <w:p w14:paraId="2D3DB1CF" w14:textId="77777777" w:rsidR="00F0236A" w:rsidRPr="00073574" w:rsidRDefault="00F0236A" w:rsidP="00DF36E1">
            <w:pPr>
              <w:pStyle w:val="Tabletext"/>
              <w:rPr>
                <w:sz w:val="24"/>
                <w:szCs w:val="24"/>
              </w:rPr>
            </w:pPr>
          </w:p>
        </w:tc>
        <w:tc>
          <w:tcPr>
            <w:tcW w:w="8801" w:type="dxa"/>
            <w:gridSpan w:val="4"/>
            <w:tcBorders>
              <w:top w:val="single" w:sz="4" w:space="0" w:color="auto"/>
              <w:bottom w:val="single" w:sz="12" w:space="0" w:color="auto"/>
            </w:tcBorders>
            <w:shd w:val="clear" w:color="auto" w:fill="auto"/>
          </w:tcPr>
          <w:p w14:paraId="2CEECE59" w14:textId="77777777" w:rsidR="00F0236A" w:rsidRPr="00073574" w:rsidRDefault="00F0236A" w:rsidP="0064668C">
            <w:pPr>
              <w:pStyle w:val="Tabletext"/>
              <w:rPr>
                <w:szCs w:val="22"/>
              </w:rPr>
            </w:pPr>
            <w:r w:rsidRPr="00073574">
              <w:rPr>
                <w:szCs w:val="22"/>
              </w:rPr>
              <w:t xml:space="preserve">See </w:t>
            </w:r>
            <w:hyperlink r:id="rId731" w:history="1">
              <w:r w:rsidRPr="00073574">
                <w:rPr>
                  <w:rStyle w:val="Hyperlink"/>
                  <w:szCs w:val="22"/>
                </w:rPr>
                <w:t>C17/26</w:t>
              </w:r>
            </w:hyperlink>
            <w:r w:rsidRPr="00073574">
              <w:rPr>
                <w:rStyle w:val="Hyperlink"/>
                <w:szCs w:val="22"/>
              </w:rPr>
              <w:t xml:space="preserve">, </w:t>
            </w:r>
            <w:hyperlink r:id="rId732" w:history="1">
              <w:r w:rsidR="0064668C" w:rsidRPr="00073574">
                <w:rPr>
                  <w:rStyle w:val="Hyperlink"/>
                  <w:szCs w:val="22"/>
                </w:rPr>
                <w:t>EG-ITRs-3/5</w:t>
              </w:r>
            </w:hyperlink>
            <w:r w:rsidR="0064668C" w:rsidRPr="00073574">
              <w:rPr>
                <w:rStyle w:val="Hyperlink"/>
                <w:szCs w:val="22"/>
              </w:rPr>
              <w:t xml:space="preserve"> </w:t>
            </w:r>
            <w:r w:rsidR="0064668C" w:rsidRPr="00073574">
              <w:t>with the TSB Director’s input on ITRs</w:t>
            </w:r>
            <w:r w:rsidRPr="00073574">
              <w:rPr>
                <w:szCs w:val="22"/>
              </w:rPr>
              <w:t>.</w:t>
            </w:r>
          </w:p>
          <w:p w14:paraId="32DB18EF" w14:textId="606F01E6" w:rsidR="00D7132A" w:rsidRPr="00073574" w:rsidRDefault="00D7132A" w:rsidP="0064668C">
            <w:pPr>
              <w:pStyle w:val="Tabletext"/>
              <w:rPr>
                <w:szCs w:val="22"/>
              </w:rPr>
            </w:pPr>
            <w:r w:rsidRPr="00073574">
              <w:rPr>
                <w:szCs w:val="22"/>
              </w:rPr>
              <w:t xml:space="preserve">TSBDir submitted an update in </w:t>
            </w:r>
            <w:hyperlink r:id="rId733" w:history="1">
              <w:r w:rsidRPr="00073574">
                <w:rPr>
                  <w:rStyle w:val="Hyperlink"/>
                  <w:szCs w:val="22"/>
                </w:rPr>
                <w:t>EG-ITRs-5/INF/01</w:t>
              </w:r>
            </w:hyperlink>
            <w:r w:rsidRPr="00073574">
              <w:rPr>
                <w:szCs w:val="22"/>
              </w:rPr>
              <w:t xml:space="preserve"> to the 5th EG-ITR meeting, provides some TSB secretariat updates (relative to EG-ITRs-4/INF/02) on the identified list of Recommendations.</w:t>
            </w:r>
          </w:p>
        </w:tc>
      </w:tr>
      <w:tr w:rsidR="00F0236A" w:rsidRPr="00073574" w14:paraId="02E4A0D7" w14:textId="77777777" w:rsidTr="00532914">
        <w:trPr>
          <w:jc w:val="center"/>
        </w:trPr>
        <w:tc>
          <w:tcPr>
            <w:tcW w:w="1131" w:type="dxa"/>
            <w:vMerge w:val="restart"/>
            <w:tcBorders>
              <w:top w:val="single" w:sz="12" w:space="0" w:color="auto"/>
            </w:tcBorders>
            <w:shd w:val="clear" w:color="auto" w:fill="auto"/>
          </w:tcPr>
          <w:p w14:paraId="48C0089B" w14:textId="77777777" w:rsidR="00F0236A" w:rsidRPr="00073574" w:rsidRDefault="00F0236A" w:rsidP="00C245B1">
            <w:pPr>
              <w:pStyle w:val="Tabletext"/>
              <w:rPr>
                <w:b/>
                <w:bCs/>
                <w:sz w:val="24"/>
                <w:szCs w:val="24"/>
              </w:rPr>
            </w:pPr>
            <w:r w:rsidRPr="00073574">
              <w:rPr>
                <w:b/>
                <w:bCs/>
                <w:sz w:val="24"/>
                <w:szCs w:val="24"/>
              </w:rPr>
              <w:t>87-03</w:t>
            </w:r>
          </w:p>
        </w:tc>
        <w:tc>
          <w:tcPr>
            <w:tcW w:w="4986" w:type="dxa"/>
            <w:tcBorders>
              <w:top w:val="single" w:sz="12" w:space="0" w:color="auto"/>
              <w:bottom w:val="single" w:sz="4" w:space="0" w:color="auto"/>
            </w:tcBorders>
            <w:shd w:val="clear" w:color="auto" w:fill="auto"/>
          </w:tcPr>
          <w:p w14:paraId="0A170418" w14:textId="77777777" w:rsidR="00F0236A" w:rsidRPr="00073574" w:rsidRDefault="00F0236A" w:rsidP="00DF36E1">
            <w:pPr>
              <w:pStyle w:val="Tabletext"/>
              <w:rPr>
                <w:b/>
                <w:bCs/>
                <w:sz w:val="24"/>
                <w:szCs w:val="24"/>
              </w:rPr>
            </w:pPr>
            <w:r w:rsidRPr="00073574">
              <w:rPr>
                <w:b/>
                <w:bCs/>
                <w:sz w:val="24"/>
                <w:szCs w:val="24"/>
              </w:rPr>
              <w:t>TSAG to provide advice to the Director of the Telecommunication Standardization Bureau consistent with Resolution 146 (Rev. Busan, 2014) and Council Resolution 1379 (i. TSAG)</w:t>
            </w:r>
          </w:p>
        </w:tc>
        <w:tc>
          <w:tcPr>
            <w:tcW w:w="1336" w:type="dxa"/>
            <w:tcBorders>
              <w:top w:val="single" w:sz="12" w:space="0" w:color="auto"/>
              <w:bottom w:val="single" w:sz="4" w:space="0" w:color="auto"/>
            </w:tcBorders>
            <w:shd w:val="clear" w:color="auto" w:fill="auto"/>
            <w:vAlign w:val="center"/>
          </w:tcPr>
          <w:p w14:paraId="3004C1C5" w14:textId="77777777" w:rsidR="00F0236A" w:rsidRPr="00073574" w:rsidRDefault="00F0236A" w:rsidP="00DF36E1">
            <w:pPr>
              <w:pStyle w:val="Tabletext"/>
              <w:jc w:val="center"/>
              <w:rPr>
                <w:b/>
                <w:bCs/>
                <w:sz w:val="24"/>
                <w:szCs w:val="24"/>
              </w:rPr>
            </w:pPr>
            <w:r w:rsidRPr="00073574">
              <w:rPr>
                <w:b/>
                <w:bCs/>
                <w:sz w:val="24"/>
                <w:szCs w:val="24"/>
              </w:rPr>
              <w:t>TSAG meetings</w:t>
            </w:r>
          </w:p>
        </w:tc>
        <w:tc>
          <w:tcPr>
            <w:tcW w:w="1143" w:type="dxa"/>
            <w:tcBorders>
              <w:top w:val="single" w:sz="12" w:space="0" w:color="auto"/>
              <w:bottom w:val="single" w:sz="4" w:space="0" w:color="auto"/>
            </w:tcBorders>
            <w:shd w:val="clear" w:color="auto" w:fill="auto"/>
            <w:vAlign w:val="center"/>
          </w:tcPr>
          <w:p w14:paraId="418A6D1F"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bottom w:val="single" w:sz="4" w:space="0" w:color="auto"/>
            </w:tcBorders>
            <w:shd w:val="clear" w:color="auto" w:fill="auto"/>
            <w:vAlign w:val="center"/>
          </w:tcPr>
          <w:p w14:paraId="76890DD5" w14:textId="77777777" w:rsidR="00F0236A" w:rsidRPr="00073574" w:rsidRDefault="00F0236A" w:rsidP="00DF36E1">
            <w:pPr>
              <w:pStyle w:val="Tabletext"/>
              <w:jc w:val="center"/>
              <w:rPr>
                <w:b/>
                <w:bCs/>
                <w:sz w:val="24"/>
                <w:szCs w:val="24"/>
              </w:rPr>
            </w:pPr>
          </w:p>
        </w:tc>
      </w:tr>
      <w:tr w:rsidR="00F0236A" w:rsidRPr="00073574" w14:paraId="7166B143" w14:textId="77777777" w:rsidTr="00FB1596">
        <w:trPr>
          <w:jc w:val="center"/>
        </w:trPr>
        <w:tc>
          <w:tcPr>
            <w:tcW w:w="1131" w:type="dxa"/>
            <w:vMerge/>
            <w:tcBorders>
              <w:bottom w:val="single" w:sz="12" w:space="0" w:color="auto"/>
            </w:tcBorders>
            <w:shd w:val="clear" w:color="auto" w:fill="auto"/>
            <w:vAlign w:val="center"/>
          </w:tcPr>
          <w:p w14:paraId="17FB0058" w14:textId="77777777" w:rsidR="00F0236A" w:rsidRPr="00073574" w:rsidRDefault="00F0236A" w:rsidP="00DF36E1">
            <w:pPr>
              <w:pStyle w:val="Tabletext"/>
              <w:rPr>
                <w:sz w:val="24"/>
                <w:szCs w:val="24"/>
              </w:rPr>
            </w:pPr>
          </w:p>
        </w:tc>
        <w:tc>
          <w:tcPr>
            <w:tcW w:w="8801" w:type="dxa"/>
            <w:gridSpan w:val="4"/>
            <w:tcBorders>
              <w:top w:val="single" w:sz="4" w:space="0" w:color="auto"/>
              <w:bottom w:val="single" w:sz="12" w:space="0" w:color="auto"/>
            </w:tcBorders>
            <w:shd w:val="clear" w:color="auto" w:fill="auto"/>
          </w:tcPr>
          <w:p w14:paraId="1348F834" w14:textId="77777777" w:rsidR="00F0236A" w:rsidRPr="00073574" w:rsidRDefault="00F0236A" w:rsidP="00DF36E1">
            <w:pPr>
              <w:pStyle w:val="Tabletext"/>
              <w:rPr>
                <w:szCs w:val="22"/>
              </w:rPr>
            </w:pPr>
            <w:r w:rsidRPr="00073574">
              <w:rPr>
                <w:szCs w:val="22"/>
              </w:rPr>
              <w:t xml:space="preserve">The May 2017 TSAG meeting </w:t>
            </w:r>
            <w:r w:rsidRPr="00073574">
              <w:rPr>
                <w:rFonts w:asciiTheme="majorBidi" w:eastAsia="SimSun" w:hAnsiTheme="majorBidi" w:cstheme="majorBidi"/>
                <w:bCs/>
                <w:szCs w:val="22"/>
              </w:rPr>
              <w:t xml:space="preserve">recognized the wide disparity of views and considered the relevant provisions in </w:t>
            </w:r>
            <w:r w:rsidRPr="00073574">
              <w:rPr>
                <w:szCs w:val="22"/>
              </w:rPr>
              <w:t xml:space="preserve">Resolution 146 (Rev., Busan, 2014), Resolution 1379 of ITU Council, and Resolution 87 (Hammamet, 2016), and conducted further consultation through the TSAG Chairman with the Chairman of the Expert Group on ITRs. The meeting concluded to task the Chairman of TSAG to collect any relevant background information on the implementation of the 2012 ITRs from the ITU-T study groups, and to provide that information to the TSB Director for him to include in his report to the expert group when it meets in September 2017. TSAG sent liaison statement </w:t>
            </w:r>
            <w:hyperlink r:id="rId734" w:history="1">
              <w:r w:rsidRPr="00073574">
                <w:rPr>
                  <w:rStyle w:val="Hyperlink"/>
                  <w:szCs w:val="22"/>
                </w:rPr>
                <w:t>LS008</w:t>
              </w:r>
            </w:hyperlink>
            <w:r w:rsidRPr="00073574">
              <w:rPr>
                <w:szCs w:val="22"/>
              </w:rPr>
              <w:t xml:space="preserve"> to all ITU-T Study Groups requesting them to provide any relevant background information on the implementation of the existing 2012 ITRs.</w:t>
            </w:r>
          </w:p>
        </w:tc>
      </w:tr>
    </w:tbl>
    <w:bookmarkStart w:id="513" w:name="Item87_01"/>
    <w:bookmarkStart w:id="514" w:name="Item87_02"/>
    <w:bookmarkStart w:id="515" w:name="Item87_03"/>
    <w:bookmarkEnd w:id="513"/>
    <w:bookmarkEnd w:id="514"/>
    <w:bookmarkEnd w:id="515"/>
    <w:p w14:paraId="0BAB5765" w14:textId="77777777" w:rsidR="00F0236A" w:rsidRPr="00073574" w:rsidRDefault="00F0236A" w:rsidP="00F0236A">
      <w:pPr>
        <w:rPr>
          <w:sz w:val="24"/>
        </w:rPr>
      </w:pPr>
      <w:r w:rsidRPr="00073574">
        <w:rPr>
          <w:color w:val="2B579A"/>
          <w:shd w:val="clear" w:color="auto" w:fill="E6E6E6"/>
        </w:rPr>
        <w:fldChar w:fldCharType="begin"/>
      </w:r>
      <w:r w:rsidRPr="00073574">
        <w:rPr>
          <w:sz w:val="24"/>
        </w:rPr>
        <w:instrText xml:space="preserve"> HYPERLINK \l "Top" </w:instrText>
      </w:r>
      <w:r w:rsidRPr="00073574">
        <w:rPr>
          <w:color w:val="2B579A"/>
          <w:shd w:val="clear" w:color="auto" w:fill="E6E6E6"/>
        </w:rPr>
        <w:fldChar w:fldCharType="separate"/>
      </w:r>
      <w:r w:rsidRPr="00073574">
        <w:rPr>
          <w:rStyle w:val="Hyperlink"/>
          <w:rFonts w:eastAsia="Times New Roman"/>
          <w:sz w:val="24"/>
        </w:rPr>
        <w:t>» Top</w:t>
      </w:r>
      <w:r w:rsidRPr="00073574">
        <w:rPr>
          <w:rStyle w:val="Hyperlink"/>
          <w:rFonts w:eastAsia="Times New Roman"/>
          <w:sz w:val="24"/>
        </w:rPr>
        <w:fldChar w:fldCharType="end"/>
      </w:r>
    </w:p>
    <w:p w14:paraId="47448180" w14:textId="77777777" w:rsidR="00F0236A" w:rsidRPr="00073574" w:rsidRDefault="00F0236A" w:rsidP="00980D27">
      <w:pPr>
        <w:pStyle w:val="Heading1"/>
        <w:keepNext/>
        <w:keepLines/>
        <w:rPr>
          <w:sz w:val="24"/>
          <w:szCs w:val="24"/>
          <w:lang w:val="en-GB"/>
        </w:rPr>
      </w:pPr>
      <w:bookmarkStart w:id="516" w:name="_Resolution_88_-"/>
      <w:bookmarkStart w:id="517" w:name="_Toc471715402"/>
      <w:bookmarkStart w:id="518" w:name="_Toc93425288"/>
      <w:bookmarkEnd w:id="516"/>
      <w:r w:rsidRPr="00073574">
        <w:rPr>
          <w:sz w:val="24"/>
          <w:szCs w:val="24"/>
          <w:lang w:val="en-GB"/>
        </w:rPr>
        <w:lastRenderedPageBreak/>
        <w:t>Resolution 88 - International mobile roaming</w:t>
      </w:r>
      <w:bookmarkEnd w:id="517"/>
      <w:bookmarkEnd w:id="518"/>
    </w:p>
    <w:p w14:paraId="2A28F41A" w14:textId="77777777" w:rsidR="00F0236A" w:rsidRPr="00073574" w:rsidRDefault="00F0236A" w:rsidP="00980D27">
      <w:pPr>
        <w:keepNext/>
        <w:keepLines/>
        <w:rPr>
          <w:b/>
          <w:bCs/>
          <w:sz w:val="24"/>
        </w:rPr>
      </w:pPr>
      <w:r w:rsidRPr="00073574">
        <w:rPr>
          <w:b/>
          <w:bCs/>
          <w:sz w:val="24"/>
        </w:rPr>
        <w:t>Resolution 88</w:t>
      </w:r>
    </w:p>
    <w:p w14:paraId="002952CE" w14:textId="77777777" w:rsidR="00F0236A" w:rsidRPr="00073574" w:rsidRDefault="00F0236A" w:rsidP="00980D27">
      <w:pPr>
        <w:pStyle w:val="Call"/>
        <w:rPr>
          <w:sz w:val="24"/>
          <w:szCs w:val="24"/>
          <w:lang w:val="en-GB" w:eastAsia="en-AU"/>
        </w:rPr>
      </w:pPr>
      <w:r w:rsidRPr="00073574">
        <w:rPr>
          <w:sz w:val="24"/>
          <w:szCs w:val="24"/>
          <w:lang w:val="en-GB" w:eastAsia="en-AU"/>
        </w:rPr>
        <w:t>resolves</w:t>
      </w:r>
    </w:p>
    <w:p w14:paraId="4C5A55A5" w14:textId="77777777" w:rsidR="00F0236A" w:rsidRPr="00073574" w:rsidRDefault="00F0236A" w:rsidP="00980D27">
      <w:pPr>
        <w:keepNext/>
        <w:keepLines/>
        <w:spacing w:after="240"/>
        <w:rPr>
          <w:sz w:val="24"/>
        </w:rPr>
      </w:pPr>
      <w:r w:rsidRPr="00073574">
        <w:rPr>
          <w:sz w:val="24"/>
        </w:rPr>
        <w:t>that ITU-T Study Group 3 must continue to study the economic effects of IMR rates,</w:t>
      </w:r>
    </w:p>
    <w:p w14:paraId="4094663F" w14:textId="77777777" w:rsidR="00F0236A" w:rsidRPr="00073574" w:rsidRDefault="00F0236A" w:rsidP="00F0236A">
      <w:pPr>
        <w:pStyle w:val="Call"/>
        <w:rPr>
          <w:sz w:val="24"/>
          <w:szCs w:val="24"/>
          <w:lang w:val="en-GB" w:eastAsia="en-AU"/>
        </w:rPr>
      </w:pPr>
      <w:r w:rsidRPr="00073574">
        <w:rPr>
          <w:sz w:val="24"/>
          <w:szCs w:val="24"/>
          <w:lang w:val="en-GB" w:eastAsia="en-AU"/>
        </w:rPr>
        <w:t>instructs the Director of the Telecommunication Standardization Bureau</w:t>
      </w:r>
    </w:p>
    <w:p w14:paraId="182355CE" w14:textId="77777777" w:rsidR="00F0236A" w:rsidRPr="00073574" w:rsidRDefault="00F0236A" w:rsidP="00F0236A">
      <w:pPr>
        <w:spacing w:after="240"/>
        <w:rPr>
          <w:sz w:val="24"/>
        </w:rPr>
      </w:pPr>
      <w:r w:rsidRPr="00073574">
        <w:rPr>
          <w:sz w:val="24"/>
        </w:rPr>
        <w:t>1</w:t>
      </w:r>
      <w:r w:rsidRPr="00073574">
        <w:rPr>
          <w:sz w:val="24"/>
        </w:rPr>
        <w:tab/>
        <w:t>to organize initiatives, in collaboration with the Director of the Telecommunication Development Bureau (BDT), to raise awareness of the benefits to the consumer of lowering IMR rates;</w:t>
      </w:r>
    </w:p>
    <w:p w14:paraId="1E9F8E4A" w14:textId="77777777" w:rsidR="00F0236A" w:rsidRPr="00073574" w:rsidRDefault="00F0236A" w:rsidP="00F0236A">
      <w:pPr>
        <w:spacing w:after="240"/>
        <w:rPr>
          <w:sz w:val="24"/>
        </w:rPr>
      </w:pPr>
      <w:r w:rsidRPr="00073574">
        <w:rPr>
          <w:sz w:val="24"/>
        </w:rPr>
        <w:t>2</w:t>
      </w:r>
      <w:r w:rsidRPr="00073574">
        <w:rPr>
          <w:sz w:val="24"/>
        </w:rPr>
        <w:tab/>
        <w:t>to propose cooperative approaches to foster the implementation of Recommendations ITU-T D.98 and ITU-T D.97, and to lower IMR rates among the Member States, by promoting capacity-building programmes, workshops and guidelines for international cooperation agreements,</w:t>
      </w:r>
    </w:p>
    <w:p w14:paraId="6A22672D" w14:textId="77777777" w:rsidR="00F0236A" w:rsidRPr="00073574" w:rsidRDefault="00F0236A" w:rsidP="00F0236A">
      <w:pPr>
        <w:pStyle w:val="Call"/>
        <w:rPr>
          <w:sz w:val="24"/>
          <w:szCs w:val="24"/>
          <w:lang w:val="en-GB" w:eastAsia="en-AU"/>
        </w:rPr>
      </w:pPr>
      <w:r w:rsidRPr="00073574">
        <w:rPr>
          <w:sz w:val="24"/>
          <w:szCs w:val="24"/>
          <w:lang w:val="en-GB" w:eastAsia="en-AU"/>
        </w:rPr>
        <w:t>invites Member States</w:t>
      </w:r>
    </w:p>
    <w:p w14:paraId="44DD0F53" w14:textId="77777777" w:rsidR="00F0236A" w:rsidRPr="00073574" w:rsidRDefault="00F0236A" w:rsidP="00F0236A">
      <w:pPr>
        <w:spacing w:after="240"/>
        <w:rPr>
          <w:sz w:val="24"/>
        </w:rPr>
      </w:pPr>
      <w:r w:rsidRPr="00073574">
        <w:rPr>
          <w:sz w:val="24"/>
        </w:rPr>
        <w:t>1</w:t>
      </w:r>
      <w:r w:rsidRPr="00073574">
        <w:rPr>
          <w:sz w:val="24"/>
        </w:rPr>
        <w:tab/>
        <w:t>to take measures towards the implementation of Recommendations ITU-T D.98 and ITU-T D.97;</w:t>
      </w:r>
    </w:p>
    <w:p w14:paraId="6FA1C528" w14:textId="77777777" w:rsidR="00F0236A" w:rsidRPr="00073574" w:rsidRDefault="00F0236A" w:rsidP="00F0236A">
      <w:pPr>
        <w:spacing w:after="240"/>
        <w:rPr>
          <w:sz w:val="24"/>
        </w:rPr>
      </w:pPr>
      <w:r w:rsidRPr="00073574">
        <w:rPr>
          <w:sz w:val="24"/>
        </w:rPr>
        <w:t>2</w:t>
      </w:r>
      <w:r w:rsidRPr="00073574">
        <w:rPr>
          <w:sz w:val="24"/>
        </w:rPr>
        <w:tab/>
        <w:t>to collaborate in the efforts to lower IMR rates by taking regulatory measures when applicable.</w:t>
      </w:r>
    </w:p>
    <w:tbl>
      <w:tblPr>
        <w:tblW w:w="99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31"/>
        <w:gridCol w:w="4986"/>
        <w:gridCol w:w="1336"/>
        <w:gridCol w:w="1143"/>
        <w:gridCol w:w="1336"/>
      </w:tblGrid>
      <w:tr w:rsidR="00F0236A" w:rsidRPr="00073574" w14:paraId="029C6521" w14:textId="77777777" w:rsidTr="000E0FA3">
        <w:trPr>
          <w:jc w:val="center"/>
        </w:trPr>
        <w:tc>
          <w:tcPr>
            <w:tcW w:w="1131" w:type="dxa"/>
            <w:tcBorders>
              <w:top w:val="single" w:sz="12" w:space="0" w:color="auto"/>
              <w:bottom w:val="single" w:sz="12" w:space="0" w:color="auto"/>
            </w:tcBorders>
            <w:shd w:val="clear" w:color="auto" w:fill="auto"/>
            <w:vAlign w:val="center"/>
          </w:tcPr>
          <w:p w14:paraId="2C157FDA" w14:textId="77777777" w:rsidR="00F0236A" w:rsidRPr="00073574" w:rsidRDefault="00F0236A" w:rsidP="00C80BCE">
            <w:pPr>
              <w:pStyle w:val="Tablehead"/>
              <w:keepNext w:val="0"/>
              <w:rPr>
                <w:sz w:val="24"/>
                <w:szCs w:val="24"/>
              </w:rPr>
            </w:pPr>
            <w:r w:rsidRPr="00073574">
              <w:rPr>
                <w:sz w:val="24"/>
                <w:szCs w:val="24"/>
              </w:rPr>
              <w:t>Action Item</w:t>
            </w:r>
          </w:p>
        </w:tc>
        <w:tc>
          <w:tcPr>
            <w:tcW w:w="4986" w:type="dxa"/>
            <w:tcBorders>
              <w:top w:val="single" w:sz="12" w:space="0" w:color="auto"/>
              <w:bottom w:val="single" w:sz="12" w:space="0" w:color="auto"/>
            </w:tcBorders>
            <w:shd w:val="clear" w:color="auto" w:fill="auto"/>
            <w:vAlign w:val="center"/>
            <w:hideMark/>
          </w:tcPr>
          <w:p w14:paraId="4FD68C76" w14:textId="77777777" w:rsidR="00F0236A" w:rsidRPr="00073574" w:rsidRDefault="00F0236A" w:rsidP="00DF36E1">
            <w:pPr>
              <w:pStyle w:val="Tablehead"/>
              <w:rPr>
                <w:sz w:val="24"/>
                <w:szCs w:val="24"/>
              </w:rPr>
            </w:pPr>
            <w:r w:rsidRPr="00073574">
              <w:rPr>
                <w:sz w:val="24"/>
                <w:szCs w:val="24"/>
              </w:rPr>
              <w:t>Action</w:t>
            </w:r>
          </w:p>
        </w:tc>
        <w:tc>
          <w:tcPr>
            <w:tcW w:w="1336" w:type="dxa"/>
            <w:tcBorders>
              <w:top w:val="single" w:sz="12" w:space="0" w:color="auto"/>
              <w:bottom w:val="single" w:sz="12" w:space="0" w:color="auto"/>
            </w:tcBorders>
            <w:shd w:val="clear" w:color="auto" w:fill="auto"/>
            <w:vAlign w:val="center"/>
            <w:hideMark/>
          </w:tcPr>
          <w:p w14:paraId="74D76288" w14:textId="77777777" w:rsidR="00F0236A" w:rsidRPr="00073574" w:rsidRDefault="00F0236A" w:rsidP="00DF36E1">
            <w:pPr>
              <w:pStyle w:val="Tablehead"/>
              <w:rPr>
                <w:sz w:val="24"/>
                <w:szCs w:val="24"/>
              </w:rPr>
            </w:pPr>
            <w:r w:rsidRPr="00073574">
              <w:rPr>
                <w:sz w:val="24"/>
                <w:szCs w:val="24"/>
              </w:rPr>
              <w:t>Milestone</w:t>
            </w:r>
          </w:p>
        </w:tc>
        <w:tc>
          <w:tcPr>
            <w:tcW w:w="1143" w:type="dxa"/>
            <w:tcBorders>
              <w:top w:val="single" w:sz="12" w:space="0" w:color="auto"/>
              <w:bottom w:val="single" w:sz="12" w:space="0" w:color="auto"/>
            </w:tcBorders>
            <w:shd w:val="clear" w:color="auto" w:fill="auto"/>
          </w:tcPr>
          <w:p w14:paraId="05EBE92E" w14:textId="77777777" w:rsidR="00F0236A" w:rsidRPr="00073574" w:rsidRDefault="00F0236A" w:rsidP="00DF36E1">
            <w:pPr>
              <w:pStyle w:val="Tablehead"/>
              <w:rPr>
                <w:sz w:val="24"/>
                <w:szCs w:val="24"/>
              </w:rPr>
            </w:pPr>
            <w:r w:rsidRPr="00073574">
              <w:rPr>
                <w:sz w:val="24"/>
                <w:szCs w:val="24"/>
              </w:rPr>
              <w:t>Periodic goals met</w:t>
            </w:r>
          </w:p>
        </w:tc>
        <w:tc>
          <w:tcPr>
            <w:tcW w:w="1336" w:type="dxa"/>
            <w:tcBorders>
              <w:top w:val="single" w:sz="12" w:space="0" w:color="auto"/>
              <w:bottom w:val="single" w:sz="12" w:space="0" w:color="auto"/>
            </w:tcBorders>
            <w:shd w:val="clear" w:color="auto" w:fill="auto"/>
            <w:vAlign w:val="center"/>
          </w:tcPr>
          <w:p w14:paraId="465D413C" w14:textId="77777777" w:rsidR="00F0236A" w:rsidRPr="00073574" w:rsidRDefault="00F0236A" w:rsidP="00DF36E1">
            <w:pPr>
              <w:pStyle w:val="Tablehead"/>
              <w:rPr>
                <w:sz w:val="24"/>
                <w:szCs w:val="24"/>
              </w:rPr>
            </w:pPr>
            <w:r w:rsidRPr="00073574">
              <w:rPr>
                <w:sz w:val="24"/>
                <w:szCs w:val="24"/>
              </w:rPr>
              <w:t>Completed</w:t>
            </w:r>
          </w:p>
        </w:tc>
      </w:tr>
      <w:tr w:rsidR="00F0236A" w:rsidRPr="00073574" w14:paraId="774AAA70" w14:textId="77777777" w:rsidTr="007D7FE2">
        <w:trPr>
          <w:jc w:val="center"/>
        </w:trPr>
        <w:tc>
          <w:tcPr>
            <w:tcW w:w="1131" w:type="dxa"/>
            <w:vMerge w:val="restart"/>
            <w:tcBorders>
              <w:top w:val="single" w:sz="12" w:space="0" w:color="auto"/>
            </w:tcBorders>
            <w:shd w:val="clear" w:color="auto" w:fill="auto"/>
          </w:tcPr>
          <w:p w14:paraId="44E05DA8" w14:textId="77777777" w:rsidR="00F0236A" w:rsidRPr="00073574" w:rsidRDefault="00F0236A" w:rsidP="00DF36E1">
            <w:pPr>
              <w:pStyle w:val="Tabletext"/>
              <w:keepNext/>
              <w:keepLines/>
              <w:rPr>
                <w:b/>
                <w:bCs/>
                <w:sz w:val="24"/>
                <w:szCs w:val="24"/>
              </w:rPr>
            </w:pPr>
            <w:r w:rsidRPr="00073574">
              <w:rPr>
                <w:b/>
                <w:bCs/>
                <w:sz w:val="24"/>
                <w:szCs w:val="24"/>
              </w:rPr>
              <w:t>88-01</w:t>
            </w:r>
          </w:p>
        </w:tc>
        <w:tc>
          <w:tcPr>
            <w:tcW w:w="4986" w:type="dxa"/>
            <w:tcBorders>
              <w:top w:val="single" w:sz="12" w:space="0" w:color="auto"/>
              <w:bottom w:val="single" w:sz="2" w:space="0" w:color="auto"/>
            </w:tcBorders>
            <w:shd w:val="clear" w:color="auto" w:fill="auto"/>
            <w:hideMark/>
          </w:tcPr>
          <w:p w14:paraId="6E75D87D" w14:textId="77777777" w:rsidR="00F0236A" w:rsidRPr="00073574" w:rsidRDefault="00F0236A" w:rsidP="00DF36E1">
            <w:pPr>
              <w:pStyle w:val="Tabletext"/>
              <w:keepNext/>
              <w:keepLines/>
              <w:rPr>
                <w:b/>
                <w:bCs/>
                <w:sz w:val="24"/>
                <w:szCs w:val="24"/>
              </w:rPr>
            </w:pPr>
            <w:r w:rsidRPr="00073574">
              <w:rPr>
                <w:b/>
                <w:bCs/>
                <w:sz w:val="24"/>
                <w:szCs w:val="24"/>
              </w:rPr>
              <w:t>ITU-T SG3 continue to study the economic effects of IMR rates (resolves)</w:t>
            </w:r>
          </w:p>
        </w:tc>
        <w:tc>
          <w:tcPr>
            <w:tcW w:w="1336" w:type="dxa"/>
            <w:tcBorders>
              <w:top w:val="single" w:sz="12" w:space="0" w:color="auto"/>
              <w:bottom w:val="single" w:sz="2" w:space="0" w:color="auto"/>
            </w:tcBorders>
            <w:shd w:val="clear" w:color="auto" w:fill="auto"/>
            <w:vAlign w:val="center"/>
          </w:tcPr>
          <w:p w14:paraId="39FF17D1"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43" w:type="dxa"/>
            <w:tcBorders>
              <w:top w:val="single" w:sz="12" w:space="0" w:color="auto"/>
              <w:bottom w:val="single" w:sz="2" w:space="0" w:color="auto"/>
            </w:tcBorders>
            <w:shd w:val="clear" w:color="auto" w:fill="auto"/>
            <w:vAlign w:val="center"/>
          </w:tcPr>
          <w:p w14:paraId="0A416FB1"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bottom w:val="single" w:sz="2" w:space="0" w:color="auto"/>
            </w:tcBorders>
            <w:shd w:val="clear" w:color="auto" w:fill="auto"/>
            <w:vAlign w:val="center"/>
          </w:tcPr>
          <w:p w14:paraId="0B6686B6" w14:textId="77777777" w:rsidR="00F0236A" w:rsidRPr="00073574" w:rsidRDefault="00F0236A" w:rsidP="00DF36E1">
            <w:pPr>
              <w:pStyle w:val="Tabletext"/>
              <w:jc w:val="center"/>
              <w:rPr>
                <w:b/>
                <w:bCs/>
                <w:sz w:val="24"/>
                <w:szCs w:val="24"/>
              </w:rPr>
            </w:pPr>
          </w:p>
        </w:tc>
      </w:tr>
      <w:tr w:rsidR="00F0236A" w:rsidRPr="00073574" w14:paraId="3D2D2946" w14:textId="77777777" w:rsidTr="007D7FE2">
        <w:trPr>
          <w:jc w:val="center"/>
        </w:trPr>
        <w:tc>
          <w:tcPr>
            <w:tcW w:w="1131" w:type="dxa"/>
            <w:vMerge/>
            <w:tcBorders>
              <w:bottom w:val="single" w:sz="12" w:space="0" w:color="auto"/>
            </w:tcBorders>
            <w:shd w:val="clear" w:color="auto" w:fill="auto"/>
          </w:tcPr>
          <w:p w14:paraId="06797EFB" w14:textId="77777777" w:rsidR="00F0236A" w:rsidRPr="00073574" w:rsidRDefault="00F0236A" w:rsidP="00DF36E1">
            <w:pPr>
              <w:pStyle w:val="Tabletext"/>
              <w:rPr>
                <w:sz w:val="24"/>
                <w:szCs w:val="24"/>
              </w:rPr>
            </w:pPr>
          </w:p>
        </w:tc>
        <w:tc>
          <w:tcPr>
            <w:tcW w:w="8801" w:type="dxa"/>
            <w:gridSpan w:val="4"/>
            <w:tcBorders>
              <w:top w:val="single" w:sz="2" w:space="0" w:color="auto"/>
              <w:bottom w:val="single" w:sz="12" w:space="0" w:color="auto"/>
            </w:tcBorders>
            <w:shd w:val="clear" w:color="auto" w:fill="auto"/>
          </w:tcPr>
          <w:p w14:paraId="23E4E66E" w14:textId="77777777" w:rsidR="00F0236A" w:rsidRPr="00073574" w:rsidRDefault="00F0236A" w:rsidP="00BB745F">
            <w:pPr>
              <w:pStyle w:val="Tabletext"/>
              <w:rPr>
                <w:szCs w:val="22"/>
              </w:rPr>
            </w:pPr>
            <w:r w:rsidRPr="00073574">
              <w:rPr>
                <w:szCs w:val="22"/>
              </w:rPr>
              <w:t>SG3 agreed to hold a Rapporteur Group</w:t>
            </w:r>
            <w:r w:rsidR="00BB745F" w:rsidRPr="00073574" w:rsidDel="00BB745F">
              <w:rPr>
                <w:szCs w:val="22"/>
              </w:rPr>
              <w:t xml:space="preserve"> </w:t>
            </w:r>
            <w:r w:rsidRPr="00073574">
              <w:rPr>
                <w:szCs w:val="22"/>
              </w:rPr>
              <w:t xml:space="preserve">meeting on Q7/3 </w:t>
            </w:r>
            <w:r w:rsidR="00BB745F" w:rsidRPr="00073574">
              <w:rPr>
                <w:szCs w:val="22"/>
              </w:rPr>
              <w:t>in January 2017</w:t>
            </w:r>
            <w:r w:rsidR="00FF4331" w:rsidRPr="00073574">
              <w:rPr>
                <w:szCs w:val="22"/>
              </w:rPr>
              <w:t xml:space="preserve"> </w:t>
            </w:r>
            <w:r w:rsidRPr="00073574">
              <w:rPr>
                <w:szCs w:val="22"/>
              </w:rPr>
              <w:t>to discuss contributions received on IMR.</w:t>
            </w:r>
          </w:p>
          <w:p w14:paraId="7D5B5D8C" w14:textId="77777777" w:rsidR="0095715A" w:rsidRPr="00073574" w:rsidRDefault="00C6717B" w:rsidP="0095715A">
            <w:pPr>
              <w:pStyle w:val="Tabletext"/>
              <w:rPr>
                <w:szCs w:val="22"/>
              </w:rPr>
            </w:pPr>
            <w:r w:rsidRPr="00073574">
              <w:rPr>
                <w:szCs w:val="22"/>
              </w:rPr>
              <w:t xml:space="preserve">In April 2019, </w:t>
            </w:r>
            <w:r w:rsidR="0095715A" w:rsidRPr="00073574">
              <w:rPr>
                <w:szCs w:val="22"/>
              </w:rPr>
              <w:t>SG3 established a new work item for a technical study on r</w:t>
            </w:r>
            <w:r w:rsidR="00A51E16" w:rsidRPr="00073574">
              <w:rPr>
                <w:szCs w:val="22"/>
              </w:rPr>
              <w:t>o</w:t>
            </w:r>
            <w:r w:rsidR="0095715A" w:rsidRPr="00073574">
              <w:rPr>
                <w:szCs w:val="22"/>
              </w:rPr>
              <w:t>aming aspects of IoT and M2M</w:t>
            </w:r>
            <w:r w:rsidR="00EF3A4C" w:rsidRPr="00073574">
              <w:rPr>
                <w:szCs w:val="22"/>
              </w:rPr>
              <w:t>; liaison cooperation with SG2 is taking place on this subject.</w:t>
            </w:r>
            <w:r w:rsidR="00A51E16" w:rsidRPr="00073574">
              <w:rPr>
                <w:szCs w:val="22"/>
              </w:rPr>
              <w:t xml:space="preserve"> SG3 is studying in various work items </w:t>
            </w:r>
            <w:r w:rsidR="008E5FAB" w:rsidRPr="00073574">
              <w:rPr>
                <w:szCs w:val="22"/>
              </w:rPr>
              <w:t xml:space="preserve">at international level (TR_IoTM2M_roaming, D.IoT/M2M Roaming) and regional level (STUDY_ROAMREG, D.ONARegionalRoaming, D6_R_ROAM, D7_R_ROAM) tariff, </w:t>
            </w:r>
            <w:r w:rsidR="00A51E16" w:rsidRPr="00073574">
              <w:rPr>
                <w:szCs w:val="22"/>
              </w:rPr>
              <w:t>economic and policy issues of roaming.</w:t>
            </w:r>
          </w:p>
          <w:p w14:paraId="7E09130F" w14:textId="42C9C5AF" w:rsidR="008306EF" w:rsidRPr="00073574" w:rsidRDefault="008306EF" w:rsidP="0095715A">
            <w:pPr>
              <w:pStyle w:val="Tabletext"/>
              <w:rPr>
                <w:szCs w:val="22"/>
              </w:rPr>
            </w:pPr>
            <w:r w:rsidRPr="00073574">
              <w:rPr>
                <w:szCs w:val="22"/>
              </w:rPr>
              <w:t>SG3 finalized and issued in TSB Circular 168 Cor.1 on 14 May 2019 a questionnaire on the implementation status of Recommendations ITU-T D.98 and D.97 on international mobile roaming; SG3 is considering the results of Circular 168.</w:t>
            </w:r>
          </w:p>
        </w:tc>
      </w:tr>
      <w:tr w:rsidR="00F0236A" w:rsidRPr="00073574" w14:paraId="620949D9" w14:textId="77777777" w:rsidTr="000E0FA3">
        <w:trPr>
          <w:cantSplit/>
          <w:jc w:val="center"/>
        </w:trPr>
        <w:tc>
          <w:tcPr>
            <w:tcW w:w="1131" w:type="dxa"/>
            <w:vMerge w:val="restart"/>
            <w:tcBorders>
              <w:top w:val="single" w:sz="12" w:space="0" w:color="auto"/>
            </w:tcBorders>
            <w:shd w:val="clear" w:color="auto" w:fill="auto"/>
          </w:tcPr>
          <w:p w14:paraId="089541F8" w14:textId="77777777" w:rsidR="00F0236A" w:rsidRPr="00073574" w:rsidRDefault="00F0236A" w:rsidP="00E75CE1">
            <w:pPr>
              <w:pStyle w:val="Tabletext"/>
              <w:rPr>
                <w:b/>
                <w:bCs/>
                <w:sz w:val="24"/>
                <w:szCs w:val="24"/>
              </w:rPr>
            </w:pPr>
            <w:r w:rsidRPr="00073574">
              <w:rPr>
                <w:b/>
                <w:bCs/>
                <w:sz w:val="24"/>
                <w:szCs w:val="24"/>
              </w:rPr>
              <w:t>88-02</w:t>
            </w:r>
          </w:p>
        </w:tc>
        <w:tc>
          <w:tcPr>
            <w:tcW w:w="4986" w:type="dxa"/>
            <w:tcBorders>
              <w:top w:val="single" w:sz="12" w:space="0" w:color="auto"/>
              <w:bottom w:val="single" w:sz="4" w:space="0" w:color="auto"/>
            </w:tcBorders>
            <w:shd w:val="clear" w:color="auto" w:fill="auto"/>
          </w:tcPr>
          <w:p w14:paraId="61106AE8" w14:textId="77777777" w:rsidR="00F0236A" w:rsidRPr="00073574" w:rsidRDefault="00F0236A" w:rsidP="00DF36E1">
            <w:pPr>
              <w:pStyle w:val="Tabletext"/>
              <w:rPr>
                <w:b/>
                <w:bCs/>
                <w:sz w:val="24"/>
                <w:szCs w:val="24"/>
              </w:rPr>
            </w:pPr>
            <w:r w:rsidRPr="00073574">
              <w:rPr>
                <w:b/>
                <w:bCs/>
                <w:sz w:val="24"/>
                <w:szCs w:val="24"/>
              </w:rPr>
              <w:t>TSB Director to organize initiatives, in collaboration with the Director of the Telecommunication Development Bureau (BDT), to raise awareness of the benefits to the consumer of lowering IMR rates (i. TSBDir 1)</w:t>
            </w:r>
          </w:p>
        </w:tc>
        <w:tc>
          <w:tcPr>
            <w:tcW w:w="1336" w:type="dxa"/>
            <w:tcBorders>
              <w:top w:val="single" w:sz="12" w:space="0" w:color="auto"/>
              <w:bottom w:val="single" w:sz="4" w:space="0" w:color="auto"/>
            </w:tcBorders>
            <w:shd w:val="clear" w:color="auto" w:fill="auto"/>
            <w:vAlign w:val="center"/>
          </w:tcPr>
          <w:p w14:paraId="4DE23FBD"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43" w:type="dxa"/>
            <w:tcBorders>
              <w:top w:val="single" w:sz="12" w:space="0" w:color="auto"/>
              <w:bottom w:val="single" w:sz="4" w:space="0" w:color="auto"/>
            </w:tcBorders>
            <w:shd w:val="clear" w:color="auto" w:fill="auto"/>
            <w:vAlign w:val="center"/>
          </w:tcPr>
          <w:p w14:paraId="7BB4205B" w14:textId="43E33E97" w:rsidR="00F0236A" w:rsidRPr="00073574" w:rsidRDefault="009C743A" w:rsidP="00DF36E1">
            <w:pPr>
              <w:pStyle w:val="Tabletext"/>
              <w:jc w:val="center"/>
              <w:rPr>
                <w:b/>
                <w:bCs/>
                <w:sz w:val="24"/>
                <w:szCs w:val="24"/>
              </w:rPr>
            </w:pPr>
            <w:r w:rsidRPr="00073574">
              <w:rPr>
                <w:b/>
                <w:bCs/>
                <w:sz w:val="24"/>
                <w:szCs w:val="24"/>
              </w:rPr>
              <w:t>√</w:t>
            </w:r>
          </w:p>
        </w:tc>
        <w:tc>
          <w:tcPr>
            <w:tcW w:w="1336" w:type="dxa"/>
            <w:tcBorders>
              <w:top w:val="single" w:sz="12" w:space="0" w:color="auto"/>
              <w:bottom w:val="single" w:sz="4" w:space="0" w:color="auto"/>
            </w:tcBorders>
            <w:shd w:val="clear" w:color="auto" w:fill="auto"/>
            <w:vAlign w:val="center"/>
          </w:tcPr>
          <w:p w14:paraId="484A3613" w14:textId="77777777" w:rsidR="00F0236A" w:rsidRPr="00073574" w:rsidRDefault="00F0236A" w:rsidP="00DF36E1">
            <w:pPr>
              <w:pStyle w:val="Tabletext"/>
              <w:jc w:val="center"/>
              <w:rPr>
                <w:b/>
                <w:bCs/>
                <w:sz w:val="24"/>
                <w:szCs w:val="24"/>
              </w:rPr>
            </w:pPr>
          </w:p>
        </w:tc>
      </w:tr>
      <w:tr w:rsidR="00F0236A" w:rsidRPr="00073574" w14:paraId="4C9D6CA8" w14:textId="77777777" w:rsidTr="00BD6575">
        <w:trPr>
          <w:cantSplit/>
          <w:jc w:val="center"/>
        </w:trPr>
        <w:tc>
          <w:tcPr>
            <w:tcW w:w="1131" w:type="dxa"/>
            <w:vMerge/>
            <w:tcBorders>
              <w:bottom w:val="single" w:sz="12" w:space="0" w:color="auto"/>
            </w:tcBorders>
            <w:shd w:val="clear" w:color="auto" w:fill="auto"/>
          </w:tcPr>
          <w:p w14:paraId="1962E699" w14:textId="77777777" w:rsidR="00F0236A" w:rsidRPr="00073574" w:rsidRDefault="00F0236A" w:rsidP="00DF36E1">
            <w:pPr>
              <w:pStyle w:val="Tabletext"/>
              <w:rPr>
                <w:sz w:val="24"/>
                <w:szCs w:val="24"/>
              </w:rPr>
            </w:pPr>
          </w:p>
        </w:tc>
        <w:tc>
          <w:tcPr>
            <w:tcW w:w="8801" w:type="dxa"/>
            <w:gridSpan w:val="4"/>
            <w:tcBorders>
              <w:top w:val="single" w:sz="4" w:space="0" w:color="auto"/>
              <w:bottom w:val="single" w:sz="12" w:space="0" w:color="auto"/>
            </w:tcBorders>
            <w:shd w:val="clear" w:color="auto" w:fill="auto"/>
          </w:tcPr>
          <w:p w14:paraId="02352A1E" w14:textId="5D98AF44" w:rsidR="009C743A" w:rsidRPr="00073574" w:rsidRDefault="009C743A" w:rsidP="009C743A">
            <w:pPr>
              <w:pStyle w:val="Tabletext"/>
              <w:rPr>
                <w:szCs w:val="22"/>
              </w:rPr>
            </w:pPr>
            <w:r w:rsidRPr="00073574">
              <w:rPr>
                <w:szCs w:val="22"/>
              </w:rPr>
              <w:t xml:space="preserve">TSB developed a new </w:t>
            </w:r>
            <w:hyperlink r:id="rId735" w:tgtFrame="_blank" w:history="1">
              <w:r w:rsidRPr="00073574">
                <w:rPr>
                  <w:rStyle w:val="Hyperlink"/>
                  <w:rFonts w:eastAsiaTheme="majorEastAsia"/>
                </w:rPr>
                <w:t>online tool for international mobile roaming cost analysis</w:t>
              </w:r>
            </w:hyperlink>
            <w:r w:rsidRPr="00073574">
              <w:t xml:space="preserve"> which helps to forecast the cost of international mobile roaming voice calls compared to domestic mobile voice calls.</w:t>
            </w:r>
          </w:p>
        </w:tc>
      </w:tr>
      <w:tr w:rsidR="00F0236A" w:rsidRPr="00073574" w14:paraId="792D3BDC" w14:textId="77777777" w:rsidTr="000E0FA3">
        <w:trPr>
          <w:cantSplit/>
          <w:jc w:val="center"/>
        </w:trPr>
        <w:tc>
          <w:tcPr>
            <w:tcW w:w="1131" w:type="dxa"/>
            <w:vMerge w:val="restart"/>
            <w:tcBorders>
              <w:top w:val="single" w:sz="12" w:space="0" w:color="auto"/>
            </w:tcBorders>
            <w:shd w:val="clear" w:color="auto" w:fill="auto"/>
          </w:tcPr>
          <w:p w14:paraId="4E5E45DF" w14:textId="77777777" w:rsidR="00F0236A" w:rsidRPr="00073574" w:rsidRDefault="00F0236A" w:rsidP="00DF36E1">
            <w:pPr>
              <w:pStyle w:val="Tabletext"/>
              <w:rPr>
                <w:b/>
                <w:bCs/>
                <w:sz w:val="24"/>
                <w:szCs w:val="24"/>
              </w:rPr>
            </w:pPr>
            <w:r w:rsidRPr="00073574">
              <w:rPr>
                <w:b/>
                <w:bCs/>
                <w:sz w:val="24"/>
                <w:szCs w:val="24"/>
              </w:rPr>
              <w:lastRenderedPageBreak/>
              <w:t>88-03</w:t>
            </w:r>
          </w:p>
        </w:tc>
        <w:tc>
          <w:tcPr>
            <w:tcW w:w="4986" w:type="dxa"/>
            <w:tcBorders>
              <w:top w:val="single" w:sz="12" w:space="0" w:color="auto"/>
              <w:bottom w:val="single" w:sz="4" w:space="0" w:color="auto"/>
            </w:tcBorders>
            <w:shd w:val="clear" w:color="auto" w:fill="auto"/>
          </w:tcPr>
          <w:p w14:paraId="11AB4884" w14:textId="77777777" w:rsidR="00F0236A" w:rsidRPr="00073574" w:rsidRDefault="00F0236A" w:rsidP="00DF36E1">
            <w:pPr>
              <w:pStyle w:val="Tabletext"/>
              <w:rPr>
                <w:b/>
                <w:bCs/>
                <w:sz w:val="24"/>
                <w:szCs w:val="24"/>
              </w:rPr>
            </w:pPr>
            <w:r w:rsidRPr="00073574">
              <w:rPr>
                <w:b/>
                <w:bCs/>
                <w:sz w:val="24"/>
                <w:szCs w:val="24"/>
              </w:rPr>
              <w:t>TSB Director to propose cooperative approaches to foster the implementation of Recommendations ITU-T D.98 and ITU-T D.97, and to lower IMR rates among the Member States, by promoting capacity-building programmes, workshops and guidelines for international cooperation agreements (i. TSBDir 2)</w:t>
            </w:r>
          </w:p>
        </w:tc>
        <w:tc>
          <w:tcPr>
            <w:tcW w:w="1336" w:type="dxa"/>
            <w:tcBorders>
              <w:top w:val="single" w:sz="12" w:space="0" w:color="auto"/>
              <w:bottom w:val="single" w:sz="4" w:space="0" w:color="auto"/>
            </w:tcBorders>
            <w:shd w:val="clear" w:color="auto" w:fill="auto"/>
            <w:vAlign w:val="center"/>
          </w:tcPr>
          <w:p w14:paraId="7309B4E2"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43" w:type="dxa"/>
            <w:tcBorders>
              <w:top w:val="single" w:sz="12" w:space="0" w:color="auto"/>
              <w:bottom w:val="single" w:sz="4" w:space="0" w:color="auto"/>
            </w:tcBorders>
            <w:shd w:val="clear" w:color="auto" w:fill="auto"/>
            <w:vAlign w:val="center"/>
          </w:tcPr>
          <w:p w14:paraId="566D4680" w14:textId="561EC3F5" w:rsidR="00F0236A" w:rsidRPr="00073574" w:rsidRDefault="000E0FA3" w:rsidP="00DF36E1">
            <w:pPr>
              <w:pStyle w:val="Tabletext"/>
              <w:jc w:val="center"/>
              <w:rPr>
                <w:b/>
                <w:bCs/>
                <w:sz w:val="24"/>
                <w:szCs w:val="24"/>
              </w:rPr>
            </w:pPr>
            <w:r w:rsidRPr="00073574">
              <w:rPr>
                <w:b/>
                <w:bCs/>
                <w:sz w:val="24"/>
                <w:szCs w:val="24"/>
              </w:rPr>
              <w:t>√</w:t>
            </w:r>
          </w:p>
        </w:tc>
        <w:tc>
          <w:tcPr>
            <w:tcW w:w="1336" w:type="dxa"/>
            <w:tcBorders>
              <w:top w:val="single" w:sz="12" w:space="0" w:color="auto"/>
              <w:bottom w:val="single" w:sz="4" w:space="0" w:color="auto"/>
            </w:tcBorders>
            <w:shd w:val="clear" w:color="auto" w:fill="auto"/>
            <w:vAlign w:val="center"/>
          </w:tcPr>
          <w:p w14:paraId="393674D7" w14:textId="77777777" w:rsidR="00F0236A" w:rsidRPr="00073574" w:rsidRDefault="00F0236A" w:rsidP="00DF36E1">
            <w:pPr>
              <w:pStyle w:val="Tabletext"/>
              <w:jc w:val="center"/>
              <w:rPr>
                <w:b/>
                <w:bCs/>
                <w:sz w:val="24"/>
                <w:szCs w:val="24"/>
              </w:rPr>
            </w:pPr>
          </w:p>
        </w:tc>
      </w:tr>
      <w:tr w:rsidR="00F0236A" w:rsidRPr="00073574" w14:paraId="5939F937" w14:textId="77777777" w:rsidTr="00DF36E1">
        <w:trPr>
          <w:cantSplit/>
          <w:jc w:val="center"/>
        </w:trPr>
        <w:tc>
          <w:tcPr>
            <w:tcW w:w="1131" w:type="dxa"/>
            <w:vMerge/>
            <w:tcBorders>
              <w:bottom w:val="single" w:sz="12" w:space="0" w:color="auto"/>
            </w:tcBorders>
            <w:shd w:val="clear" w:color="auto" w:fill="auto"/>
            <w:vAlign w:val="center"/>
          </w:tcPr>
          <w:p w14:paraId="575E6C5E" w14:textId="77777777" w:rsidR="00F0236A" w:rsidRPr="00073574" w:rsidRDefault="00F0236A" w:rsidP="00DF36E1">
            <w:pPr>
              <w:pStyle w:val="Tabletext"/>
              <w:rPr>
                <w:sz w:val="24"/>
                <w:szCs w:val="24"/>
              </w:rPr>
            </w:pPr>
          </w:p>
        </w:tc>
        <w:tc>
          <w:tcPr>
            <w:tcW w:w="8801" w:type="dxa"/>
            <w:gridSpan w:val="4"/>
            <w:tcBorders>
              <w:top w:val="single" w:sz="4" w:space="0" w:color="auto"/>
              <w:bottom w:val="single" w:sz="12" w:space="0" w:color="auto"/>
            </w:tcBorders>
            <w:shd w:val="clear" w:color="auto" w:fill="auto"/>
          </w:tcPr>
          <w:p w14:paraId="26317EF9" w14:textId="77777777" w:rsidR="00F0236A" w:rsidRPr="00073574" w:rsidRDefault="000E0FA3" w:rsidP="00DF36E1">
            <w:pPr>
              <w:pStyle w:val="Tabletext"/>
              <w:rPr>
                <w:szCs w:val="22"/>
              </w:rPr>
            </w:pPr>
            <w:r w:rsidRPr="00073574">
              <w:rPr>
                <w:szCs w:val="22"/>
              </w:rPr>
              <w:t>See 44-19</w:t>
            </w:r>
            <w:r w:rsidR="00FA7FEE" w:rsidRPr="00073574">
              <w:rPr>
                <w:szCs w:val="22"/>
              </w:rPr>
              <w:t>.</w:t>
            </w:r>
          </w:p>
          <w:p w14:paraId="5C703F51" w14:textId="693C55B4" w:rsidR="00FA7FEE" w:rsidRPr="00073574" w:rsidRDefault="00FA7FEE" w:rsidP="00DB2DED">
            <w:pPr>
              <w:spacing w:after="120"/>
              <w:rPr>
                <w:szCs w:val="22"/>
              </w:rPr>
            </w:pPr>
            <w:r w:rsidRPr="00073574">
              <w:rPr>
                <w:rFonts w:eastAsia="Times New Roman"/>
                <w:szCs w:val="22"/>
              </w:rPr>
              <w:t>SG3 finalized a questionnaire on the implementation status of Recommenda</w:t>
            </w:r>
            <w:r w:rsidR="00DB2DED" w:rsidRPr="00073574">
              <w:rPr>
                <w:rFonts w:eastAsia="Times New Roman"/>
                <w:szCs w:val="22"/>
              </w:rPr>
              <w:t>tions ITU-T D.98 and D.97,</w:t>
            </w:r>
            <w:r w:rsidRPr="00073574">
              <w:rPr>
                <w:rFonts w:eastAsia="Times New Roman"/>
                <w:szCs w:val="22"/>
              </w:rPr>
              <w:t xml:space="preserve"> issued in a TSB Circular letter </w:t>
            </w:r>
            <w:r w:rsidRPr="00073574">
              <w:rPr>
                <w:bCs/>
                <w:szCs w:val="22"/>
              </w:rPr>
              <w:t xml:space="preserve">168 Cor.1 </w:t>
            </w:r>
            <w:r w:rsidR="00DB2DED" w:rsidRPr="00073574">
              <w:rPr>
                <w:bCs/>
                <w:szCs w:val="22"/>
              </w:rPr>
              <w:t>on</w:t>
            </w:r>
            <w:r w:rsidRPr="00073574">
              <w:rPr>
                <w:bCs/>
                <w:szCs w:val="22"/>
              </w:rPr>
              <w:t xml:space="preserve"> 14 May 2019 </w:t>
            </w:r>
            <w:r w:rsidRPr="00073574">
              <w:rPr>
                <w:rFonts w:eastAsia="Times New Roman"/>
                <w:szCs w:val="22"/>
              </w:rPr>
              <w:t>to all Member States and all ITU-T Sector Members.</w:t>
            </w:r>
            <w:r w:rsidR="004C664B" w:rsidRPr="00073574">
              <w:rPr>
                <w:rFonts w:eastAsia="Times New Roman"/>
                <w:szCs w:val="22"/>
              </w:rPr>
              <w:t xml:space="preserve"> </w:t>
            </w:r>
            <w:r w:rsidR="004C664B" w:rsidRPr="00073574">
              <w:rPr>
                <w:szCs w:val="22"/>
              </w:rPr>
              <w:t>SG3 is considering the results of Circular 168.</w:t>
            </w:r>
          </w:p>
        </w:tc>
      </w:tr>
    </w:tbl>
    <w:bookmarkStart w:id="519" w:name="Item88_01"/>
    <w:bookmarkStart w:id="520" w:name="Item88_02"/>
    <w:bookmarkStart w:id="521" w:name="Item88_03"/>
    <w:bookmarkEnd w:id="519"/>
    <w:bookmarkEnd w:id="520"/>
    <w:bookmarkEnd w:id="521"/>
    <w:p w14:paraId="201A9750" w14:textId="77777777" w:rsidR="00F0236A" w:rsidRPr="00073574" w:rsidRDefault="00F0236A" w:rsidP="00F0236A">
      <w:pPr>
        <w:rPr>
          <w:sz w:val="24"/>
        </w:rPr>
      </w:pPr>
      <w:r w:rsidRPr="00073574">
        <w:rPr>
          <w:color w:val="2B579A"/>
          <w:shd w:val="clear" w:color="auto" w:fill="E6E6E6"/>
        </w:rPr>
        <w:fldChar w:fldCharType="begin"/>
      </w:r>
      <w:r w:rsidRPr="00073574">
        <w:rPr>
          <w:sz w:val="24"/>
        </w:rPr>
        <w:instrText xml:space="preserve"> HYPERLINK \l "Top" </w:instrText>
      </w:r>
      <w:r w:rsidRPr="00073574">
        <w:rPr>
          <w:color w:val="2B579A"/>
          <w:shd w:val="clear" w:color="auto" w:fill="E6E6E6"/>
        </w:rPr>
        <w:fldChar w:fldCharType="separate"/>
      </w:r>
      <w:r w:rsidRPr="00073574">
        <w:rPr>
          <w:rStyle w:val="Hyperlink"/>
          <w:rFonts w:eastAsia="Times New Roman"/>
          <w:sz w:val="24"/>
        </w:rPr>
        <w:t>» Top</w:t>
      </w:r>
      <w:r w:rsidRPr="00073574">
        <w:rPr>
          <w:rStyle w:val="Hyperlink"/>
          <w:rFonts w:eastAsia="Times New Roman"/>
          <w:sz w:val="24"/>
        </w:rPr>
        <w:fldChar w:fldCharType="end"/>
      </w:r>
    </w:p>
    <w:p w14:paraId="372B93DB" w14:textId="77777777" w:rsidR="00F0236A" w:rsidRPr="00073574" w:rsidRDefault="00F0236A" w:rsidP="00E75CE1">
      <w:pPr>
        <w:pStyle w:val="Heading1"/>
        <w:keepNext/>
        <w:keepLines/>
        <w:rPr>
          <w:sz w:val="24"/>
          <w:szCs w:val="24"/>
          <w:lang w:val="en-GB"/>
        </w:rPr>
      </w:pPr>
      <w:bookmarkStart w:id="522" w:name="_Resolution_89_-"/>
      <w:bookmarkStart w:id="523" w:name="_Toc471715403"/>
      <w:bookmarkStart w:id="524" w:name="_Toc93425289"/>
      <w:bookmarkEnd w:id="522"/>
      <w:r w:rsidRPr="00073574">
        <w:rPr>
          <w:sz w:val="24"/>
          <w:szCs w:val="24"/>
          <w:lang w:val="en-GB"/>
        </w:rPr>
        <w:t>Resolution 89 - Promoting the use of information and communication technologies to bridge the financial inclusion gap</w:t>
      </w:r>
      <w:bookmarkEnd w:id="523"/>
      <w:bookmarkEnd w:id="524"/>
    </w:p>
    <w:p w14:paraId="1DD41074" w14:textId="77777777" w:rsidR="00F0236A" w:rsidRPr="00073574" w:rsidRDefault="00F0236A" w:rsidP="00E75CE1">
      <w:pPr>
        <w:keepNext/>
        <w:keepLines/>
        <w:rPr>
          <w:b/>
          <w:bCs/>
          <w:sz w:val="24"/>
        </w:rPr>
      </w:pPr>
      <w:r w:rsidRPr="00073574">
        <w:rPr>
          <w:b/>
          <w:bCs/>
          <w:sz w:val="24"/>
        </w:rPr>
        <w:t>Resolution 89</w:t>
      </w:r>
    </w:p>
    <w:p w14:paraId="6B87E816" w14:textId="77777777" w:rsidR="00F0236A" w:rsidRPr="00073574" w:rsidRDefault="00F0236A" w:rsidP="00E75CE1">
      <w:pPr>
        <w:pStyle w:val="Call"/>
        <w:rPr>
          <w:sz w:val="24"/>
          <w:szCs w:val="24"/>
          <w:lang w:val="en-GB" w:eastAsia="en-AU"/>
        </w:rPr>
      </w:pPr>
      <w:r w:rsidRPr="00073574">
        <w:rPr>
          <w:sz w:val="24"/>
          <w:szCs w:val="24"/>
          <w:lang w:val="en-GB" w:eastAsia="en-AU"/>
        </w:rPr>
        <w:t>resolves</w:t>
      </w:r>
    </w:p>
    <w:p w14:paraId="57DF8BCD" w14:textId="77777777" w:rsidR="00F0236A" w:rsidRPr="00073574" w:rsidRDefault="00F0236A" w:rsidP="00E75CE1">
      <w:pPr>
        <w:keepNext/>
        <w:keepLines/>
        <w:spacing w:after="240"/>
        <w:rPr>
          <w:sz w:val="24"/>
        </w:rPr>
      </w:pPr>
      <w:r w:rsidRPr="00073574">
        <w:rPr>
          <w:sz w:val="24"/>
        </w:rPr>
        <w:t>1</w:t>
      </w:r>
      <w:r w:rsidRPr="00073574">
        <w:rPr>
          <w:sz w:val="24"/>
        </w:rPr>
        <w:tab/>
        <w:t>to continue and further develop the ITU-T work programme, including the ongoing work in Study Groups 2 and 3, in order to contribute to the wider global efforts to enhance financial inclusion, as part of the United Nations processes;</w:t>
      </w:r>
    </w:p>
    <w:p w14:paraId="36032265" w14:textId="77777777" w:rsidR="00F0236A" w:rsidRPr="00073574" w:rsidRDefault="00F0236A" w:rsidP="00F0236A">
      <w:pPr>
        <w:spacing w:after="240"/>
        <w:rPr>
          <w:sz w:val="24"/>
        </w:rPr>
      </w:pPr>
      <w:r w:rsidRPr="00073574">
        <w:rPr>
          <w:sz w:val="24"/>
        </w:rPr>
        <w:t>2</w:t>
      </w:r>
      <w:r w:rsidRPr="00073574">
        <w:rPr>
          <w:sz w:val="24"/>
        </w:rPr>
        <w:tab/>
        <w:t>to conduct studies and develop standards and guidelines in the areas of interoperability, digitization of payments, consumer protection, quality of service, big data and security of digital financial services transactions, where such studies, standards and guidelines do not duplicate efforts taking place in other institutions and relate to the mandate of the Union;</w:t>
      </w:r>
    </w:p>
    <w:p w14:paraId="314B5E40" w14:textId="77777777" w:rsidR="00F0236A" w:rsidRPr="00073574" w:rsidRDefault="00F0236A" w:rsidP="00F0236A">
      <w:pPr>
        <w:spacing w:after="240"/>
        <w:rPr>
          <w:sz w:val="24"/>
        </w:rPr>
      </w:pPr>
      <w:r w:rsidRPr="00073574">
        <w:rPr>
          <w:sz w:val="24"/>
        </w:rPr>
        <w:t>3</w:t>
      </w:r>
      <w:r w:rsidRPr="00073574">
        <w:rPr>
          <w:sz w:val="24"/>
        </w:rPr>
        <w:tab/>
        <w:t>to encourage collaboration between telecommunication regulators and financial services authorities to develop and implement standards and guidelines;</w:t>
      </w:r>
    </w:p>
    <w:p w14:paraId="336B83C2" w14:textId="77777777" w:rsidR="00F0236A" w:rsidRPr="00073574" w:rsidRDefault="00F0236A" w:rsidP="00F0236A">
      <w:pPr>
        <w:spacing w:after="240"/>
        <w:rPr>
          <w:sz w:val="24"/>
        </w:rPr>
      </w:pPr>
      <w:r w:rsidRPr="00073574">
        <w:rPr>
          <w:sz w:val="24"/>
        </w:rPr>
        <w:t>4</w:t>
      </w:r>
      <w:r w:rsidRPr="00073574">
        <w:rPr>
          <w:sz w:val="24"/>
        </w:rPr>
        <w:tab/>
        <w:t>to encourage the use of innovative digital tools and technologies, as appropriate, to advance financial inclusion,</w:t>
      </w:r>
    </w:p>
    <w:p w14:paraId="3EAA8065" w14:textId="6E5EE2B4" w:rsidR="00F0236A" w:rsidRPr="00073574" w:rsidRDefault="00F0236A" w:rsidP="00F0236A">
      <w:pPr>
        <w:pStyle w:val="Call"/>
        <w:rPr>
          <w:sz w:val="24"/>
          <w:szCs w:val="24"/>
          <w:lang w:val="en-GB" w:eastAsia="en-AU"/>
        </w:rPr>
      </w:pPr>
      <w:r w:rsidRPr="00073574">
        <w:rPr>
          <w:sz w:val="24"/>
          <w:szCs w:val="24"/>
          <w:lang w:val="en-GB" w:eastAsia="en-AU"/>
        </w:rPr>
        <w:t>instructs the Director of the Telecommunication Standardization Bureau, in collaboration with the</w:t>
      </w:r>
      <w:r w:rsidR="00E31596" w:rsidRPr="00073574">
        <w:rPr>
          <w:sz w:val="24"/>
          <w:szCs w:val="24"/>
          <w:lang w:val="en-GB" w:eastAsia="en-AU"/>
        </w:rPr>
        <w:t xml:space="preserve"> Directors of the other Bureaux</w:t>
      </w:r>
    </w:p>
    <w:p w14:paraId="2E0C7125" w14:textId="77777777" w:rsidR="00F0236A" w:rsidRPr="00073574" w:rsidRDefault="00F0236A" w:rsidP="00F0236A">
      <w:pPr>
        <w:spacing w:after="240"/>
        <w:rPr>
          <w:sz w:val="24"/>
        </w:rPr>
      </w:pPr>
      <w:r w:rsidRPr="00073574">
        <w:rPr>
          <w:sz w:val="24"/>
        </w:rPr>
        <w:t>1</w:t>
      </w:r>
      <w:r w:rsidRPr="00073574">
        <w:rPr>
          <w:sz w:val="24"/>
        </w:rPr>
        <w:tab/>
        <w:t>to report on progress on the implementation of this resolution annually to the Council, and to the 2020 world telecommunication standardization assembly;</w:t>
      </w:r>
    </w:p>
    <w:p w14:paraId="2E5D52BD" w14:textId="77777777" w:rsidR="00F0236A" w:rsidRPr="00073574" w:rsidRDefault="00F0236A" w:rsidP="00F0236A">
      <w:pPr>
        <w:spacing w:after="240"/>
        <w:rPr>
          <w:sz w:val="24"/>
        </w:rPr>
      </w:pPr>
      <w:r w:rsidRPr="00073574">
        <w:rPr>
          <w:sz w:val="24"/>
        </w:rPr>
        <w:t>2</w:t>
      </w:r>
      <w:r w:rsidRPr="00073574">
        <w:rPr>
          <w:sz w:val="24"/>
        </w:rPr>
        <w:tab/>
        <w:t>to support the development of reports and best practices on digital financial inclusion, taking into consideration relevant studies, where clearly within the mandate of the Union and not duplicative of work for which other SDOs and institutions are responsible;</w:t>
      </w:r>
    </w:p>
    <w:p w14:paraId="4D3BDC46" w14:textId="77777777" w:rsidR="00F0236A" w:rsidRPr="00073574" w:rsidRDefault="00F0236A" w:rsidP="00F0236A">
      <w:pPr>
        <w:spacing w:after="240"/>
        <w:rPr>
          <w:sz w:val="24"/>
        </w:rPr>
      </w:pPr>
      <w:r w:rsidRPr="00073574">
        <w:rPr>
          <w:sz w:val="24"/>
        </w:rPr>
        <w:t>3</w:t>
      </w:r>
      <w:r w:rsidRPr="00073574">
        <w:rPr>
          <w:sz w:val="24"/>
        </w:rPr>
        <w:tab/>
        <w:t>to establish a platform or, where possible, connect to those already existing, for peer learning, dialogue and experience-sharing in digital financial services among countries and regions, regulators from telecommunication and financial services sectors, industry experts and international and regional organizations;</w:t>
      </w:r>
    </w:p>
    <w:p w14:paraId="0C7E4B70" w14:textId="32395A85" w:rsidR="00F0236A" w:rsidRPr="00073574" w:rsidRDefault="00F0236A" w:rsidP="00F0236A">
      <w:pPr>
        <w:spacing w:after="240"/>
        <w:rPr>
          <w:sz w:val="24"/>
        </w:rPr>
      </w:pPr>
      <w:r w:rsidRPr="00073574">
        <w:rPr>
          <w:sz w:val="24"/>
        </w:rPr>
        <w:t>4</w:t>
      </w:r>
      <w:r w:rsidRPr="00073574">
        <w:rPr>
          <w:sz w:val="24"/>
        </w:rPr>
        <w:tab/>
        <w:t xml:space="preserve">to organize workshops and seminars for the ITU membership in collaboration with other relevant SDOs and institutions with primary responsibility for financial services </w:t>
      </w:r>
      <w:r w:rsidRPr="00073574">
        <w:rPr>
          <w:sz w:val="24"/>
        </w:rPr>
        <w:lastRenderedPageBreak/>
        <w:t>standards development, implementation and capacity building, in order to raise awareness and identify regulators</w:t>
      </w:r>
      <w:r w:rsidR="003C7E25" w:rsidRPr="00073574">
        <w:rPr>
          <w:sz w:val="24"/>
        </w:rPr>
        <w:t>'</w:t>
      </w:r>
      <w:r w:rsidRPr="00073574">
        <w:rPr>
          <w:sz w:val="24"/>
        </w:rPr>
        <w:t xml:space="preserve"> particular needs and challenges in enhancing financial inclusion,</w:t>
      </w:r>
    </w:p>
    <w:p w14:paraId="6420D1A4" w14:textId="77777777" w:rsidR="00F0236A" w:rsidRPr="00073574" w:rsidRDefault="00F0236A" w:rsidP="00F0236A">
      <w:pPr>
        <w:pStyle w:val="Call"/>
        <w:tabs>
          <w:tab w:val="left" w:pos="10402"/>
        </w:tabs>
        <w:rPr>
          <w:sz w:val="24"/>
          <w:szCs w:val="24"/>
          <w:lang w:val="en-GB" w:eastAsia="en-AU"/>
        </w:rPr>
      </w:pPr>
      <w:r w:rsidRPr="00073574">
        <w:rPr>
          <w:sz w:val="24"/>
          <w:szCs w:val="24"/>
          <w:lang w:val="en-GB" w:eastAsia="en-AU"/>
        </w:rPr>
        <w:t>instructs the relevant study groups of the ITU Telecommunication Standardization Sector</w:t>
      </w:r>
    </w:p>
    <w:p w14:paraId="5A176521" w14:textId="77777777" w:rsidR="00F0236A" w:rsidRPr="00073574" w:rsidRDefault="00F0236A" w:rsidP="00F0236A">
      <w:pPr>
        <w:spacing w:after="240"/>
        <w:rPr>
          <w:sz w:val="24"/>
        </w:rPr>
      </w:pPr>
      <w:r w:rsidRPr="00073574">
        <w:rPr>
          <w:sz w:val="24"/>
        </w:rPr>
        <w:t>1</w:t>
      </w:r>
      <w:r w:rsidRPr="00073574">
        <w:rPr>
          <w:sz w:val="24"/>
        </w:rPr>
        <w:tab/>
        <w:t>to organize the necessary work and studies in order to expand and accelerate the work on digital financial services, starting with their first meeting in the next study period;</w:t>
      </w:r>
    </w:p>
    <w:p w14:paraId="4E8F9A0C" w14:textId="77777777" w:rsidR="00F0236A" w:rsidRPr="00073574" w:rsidRDefault="00F0236A" w:rsidP="00F0236A">
      <w:pPr>
        <w:spacing w:after="240"/>
        <w:rPr>
          <w:sz w:val="24"/>
        </w:rPr>
      </w:pPr>
      <w:r w:rsidRPr="00073574">
        <w:rPr>
          <w:sz w:val="24"/>
        </w:rPr>
        <w:t>2</w:t>
      </w:r>
      <w:r w:rsidRPr="00073574">
        <w:rPr>
          <w:sz w:val="24"/>
        </w:rPr>
        <w:tab/>
        <w:t>to coordinate and collaborate with other relevant SDOs and institutions with primary responsibility for financial services standards development, implementation and capacity-building, and with other groups within ITU,</w:t>
      </w:r>
    </w:p>
    <w:p w14:paraId="7615B03F" w14:textId="77777777" w:rsidR="00F0236A" w:rsidRPr="00073574" w:rsidRDefault="00F0236A" w:rsidP="00F0236A">
      <w:pPr>
        <w:pStyle w:val="Call"/>
        <w:rPr>
          <w:sz w:val="24"/>
          <w:szCs w:val="24"/>
          <w:lang w:val="en-GB" w:eastAsia="en-AU"/>
        </w:rPr>
      </w:pPr>
      <w:r w:rsidRPr="00073574">
        <w:rPr>
          <w:sz w:val="24"/>
          <w:szCs w:val="24"/>
          <w:lang w:val="en-GB" w:eastAsia="en-AU"/>
        </w:rPr>
        <w:t>invites the Secretary-General</w:t>
      </w:r>
    </w:p>
    <w:p w14:paraId="391764B0" w14:textId="77777777" w:rsidR="00F0236A" w:rsidRPr="00073574" w:rsidRDefault="00F0236A" w:rsidP="00F0236A">
      <w:pPr>
        <w:spacing w:after="240"/>
        <w:rPr>
          <w:sz w:val="24"/>
        </w:rPr>
      </w:pPr>
      <w:r w:rsidRPr="00073574">
        <w:rPr>
          <w:sz w:val="24"/>
        </w:rPr>
        <w:t>to continue to cooperate and collaborate with other entities within the United Nations and other relevant entities in formulating future international efforts for effectively addressing financial inclusion,</w:t>
      </w:r>
    </w:p>
    <w:p w14:paraId="517E7AE5" w14:textId="77777777" w:rsidR="00F0236A" w:rsidRPr="00073574" w:rsidRDefault="00F0236A" w:rsidP="00F0236A">
      <w:pPr>
        <w:pStyle w:val="Call"/>
        <w:rPr>
          <w:sz w:val="24"/>
          <w:szCs w:val="24"/>
          <w:lang w:val="en-GB" w:eastAsia="en-AU"/>
        </w:rPr>
      </w:pPr>
      <w:r w:rsidRPr="00073574">
        <w:rPr>
          <w:sz w:val="24"/>
          <w:szCs w:val="24"/>
          <w:lang w:val="en-GB" w:eastAsia="en-AU"/>
        </w:rPr>
        <w:t>invites Member States, Sector Members and Associates</w:t>
      </w:r>
    </w:p>
    <w:p w14:paraId="7C3D7D8D" w14:textId="77777777" w:rsidR="00F0236A" w:rsidRPr="00073574" w:rsidRDefault="00F0236A" w:rsidP="00F0236A">
      <w:pPr>
        <w:spacing w:after="240"/>
        <w:rPr>
          <w:sz w:val="24"/>
        </w:rPr>
      </w:pPr>
      <w:r w:rsidRPr="00073574">
        <w:rPr>
          <w:sz w:val="24"/>
        </w:rPr>
        <w:t>1</w:t>
      </w:r>
      <w:r w:rsidRPr="00073574">
        <w:rPr>
          <w:sz w:val="24"/>
        </w:rPr>
        <w:tab/>
        <w:t>to continue to contribute actively to ITU-T study groups on issues related to use of ICTs to enhance financial inclusion, within the mandate of the Union;</w:t>
      </w:r>
    </w:p>
    <w:p w14:paraId="5E068CAC" w14:textId="77777777" w:rsidR="00F0236A" w:rsidRPr="00073574" w:rsidRDefault="00F0236A" w:rsidP="00F0236A">
      <w:pPr>
        <w:spacing w:after="240"/>
        <w:rPr>
          <w:sz w:val="24"/>
        </w:rPr>
      </w:pPr>
      <w:r w:rsidRPr="00073574">
        <w:rPr>
          <w:sz w:val="24"/>
        </w:rPr>
        <w:t>2</w:t>
      </w:r>
      <w:r w:rsidRPr="00073574">
        <w:rPr>
          <w:sz w:val="24"/>
        </w:rPr>
        <w:tab/>
        <w:t>to promote the integration of ICT, financial services and consumer-protection policies in order to enhance usage of digital financial services with the objective of increasing financial inclusion,</w:t>
      </w:r>
    </w:p>
    <w:p w14:paraId="3C4F8577" w14:textId="77777777" w:rsidR="00F0236A" w:rsidRPr="00073574" w:rsidRDefault="00F0236A" w:rsidP="00F0236A">
      <w:pPr>
        <w:pStyle w:val="Call"/>
        <w:rPr>
          <w:sz w:val="24"/>
          <w:szCs w:val="24"/>
          <w:lang w:val="en-GB" w:eastAsia="en-AU"/>
        </w:rPr>
      </w:pPr>
      <w:r w:rsidRPr="00073574">
        <w:rPr>
          <w:sz w:val="24"/>
          <w:szCs w:val="24"/>
          <w:lang w:val="en-GB" w:eastAsia="en-AU"/>
        </w:rPr>
        <w:t>invites Member States</w:t>
      </w:r>
    </w:p>
    <w:p w14:paraId="51BFFE0C" w14:textId="77777777" w:rsidR="00F0236A" w:rsidRPr="00073574" w:rsidRDefault="00F0236A" w:rsidP="00F0236A">
      <w:pPr>
        <w:spacing w:after="240"/>
        <w:rPr>
          <w:sz w:val="24"/>
        </w:rPr>
      </w:pPr>
      <w:r w:rsidRPr="00073574">
        <w:rPr>
          <w:sz w:val="24"/>
        </w:rPr>
        <w:t>1</w:t>
      </w:r>
      <w:r w:rsidRPr="00073574">
        <w:rPr>
          <w:sz w:val="24"/>
        </w:rPr>
        <w:tab/>
        <w:t>to develop and implement national strategies to address financial inclusion as a matter of priority and to leverage ICTs to bring financial services to the unbanked;</w:t>
      </w:r>
    </w:p>
    <w:p w14:paraId="4D81E7B4" w14:textId="77777777" w:rsidR="00F0236A" w:rsidRPr="00073574" w:rsidRDefault="00F0236A" w:rsidP="00F0236A">
      <w:pPr>
        <w:spacing w:after="240"/>
        <w:rPr>
          <w:sz w:val="24"/>
        </w:rPr>
      </w:pPr>
      <w:r w:rsidRPr="00073574">
        <w:rPr>
          <w:sz w:val="24"/>
        </w:rPr>
        <w:t>2</w:t>
      </w:r>
      <w:r w:rsidRPr="00073574">
        <w:rPr>
          <w:sz w:val="24"/>
        </w:rPr>
        <w:tab/>
        <w:t>to undertake reforms that will leverage ICTs to achieve gender equality within the objectives of this resolution;</w:t>
      </w:r>
    </w:p>
    <w:p w14:paraId="0BA2B9F6" w14:textId="77777777" w:rsidR="00F0236A" w:rsidRPr="00073574" w:rsidRDefault="00F0236A" w:rsidP="00F0236A">
      <w:pPr>
        <w:spacing w:after="240"/>
        <w:rPr>
          <w:sz w:val="24"/>
        </w:rPr>
      </w:pPr>
      <w:r w:rsidRPr="00073574">
        <w:rPr>
          <w:sz w:val="24"/>
        </w:rPr>
        <w:t>3</w:t>
      </w:r>
      <w:r w:rsidRPr="00073574">
        <w:rPr>
          <w:sz w:val="24"/>
        </w:rPr>
        <w:tab/>
        <w:t>to increase coordination, as appropriate, among national regulatory authorities, in order to remove obstacles preventing non-bank service providers from accessing payment system infrastructures and financial service providers from accessing communications channels, and to foster conditions for affordable and more secure transfer of remittances in both source and recipient countries, including by promoting competitive and transparent market conditions.</w:t>
      </w:r>
    </w:p>
    <w:tbl>
      <w:tblPr>
        <w:tblW w:w="99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31"/>
        <w:gridCol w:w="4986"/>
        <w:gridCol w:w="1336"/>
        <w:gridCol w:w="1143"/>
        <w:gridCol w:w="1336"/>
      </w:tblGrid>
      <w:tr w:rsidR="00F0236A" w:rsidRPr="00073574" w14:paraId="7A4FC333" w14:textId="77777777" w:rsidTr="634A3A28">
        <w:trPr>
          <w:tblHeader/>
          <w:jc w:val="center"/>
        </w:trPr>
        <w:tc>
          <w:tcPr>
            <w:tcW w:w="1131" w:type="dxa"/>
            <w:tcBorders>
              <w:top w:val="single" w:sz="12" w:space="0" w:color="auto"/>
              <w:bottom w:val="single" w:sz="12" w:space="0" w:color="auto"/>
            </w:tcBorders>
            <w:shd w:val="clear" w:color="auto" w:fill="auto"/>
            <w:vAlign w:val="center"/>
          </w:tcPr>
          <w:p w14:paraId="7CC4D679" w14:textId="77777777" w:rsidR="00F0236A" w:rsidRPr="00073574" w:rsidRDefault="00F0236A" w:rsidP="00CB0C1A">
            <w:pPr>
              <w:pStyle w:val="Tablehead"/>
              <w:keepNext w:val="0"/>
              <w:rPr>
                <w:sz w:val="24"/>
                <w:szCs w:val="24"/>
              </w:rPr>
            </w:pPr>
            <w:r w:rsidRPr="00073574">
              <w:rPr>
                <w:sz w:val="24"/>
                <w:szCs w:val="24"/>
              </w:rPr>
              <w:lastRenderedPageBreak/>
              <w:t>Action Item</w:t>
            </w:r>
          </w:p>
        </w:tc>
        <w:tc>
          <w:tcPr>
            <w:tcW w:w="4986" w:type="dxa"/>
            <w:tcBorders>
              <w:top w:val="single" w:sz="12" w:space="0" w:color="auto"/>
              <w:bottom w:val="single" w:sz="12" w:space="0" w:color="auto"/>
            </w:tcBorders>
            <w:shd w:val="clear" w:color="auto" w:fill="auto"/>
            <w:vAlign w:val="center"/>
            <w:hideMark/>
          </w:tcPr>
          <w:p w14:paraId="2664E46F" w14:textId="77777777" w:rsidR="00F0236A" w:rsidRPr="00073574" w:rsidRDefault="00F0236A" w:rsidP="00DF36E1">
            <w:pPr>
              <w:pStyle w:val="Tablehead"/>
              <w:rPr>
                <w:sz w:val="24"/>
                <w:szCs w:val="24"/>
              </w:rPr>
            </w:pPr>
            <w:r w:rsidRPr="00073574">
              <w:rPr>
                <w:sz w:val="24"/>
                <w:szCs w:val="24"/>
              </w:rPr>
              <w:t>Action</w:t>
            </w:r>
          </w:p>
        </w:tc>
        <w:tc>
          <w:tcPr>
            <w:tcW w:w="1336" w:type="dxa"/>
            <w:tcBorders>
              <w:top w:val="single" w:sz="12" w:space="0" w:color="auto"/>
              <w:bottom w:val="single" w:sz="12" w:space="0" w:color="auto"/>
            </w:tcBorders>
            <w:shd w:val="clear" w:color="auto" w:fill="auto"/>
            <w:vAlign w:val="center"/>
            <w:hideMark/>
          </w:tcPr>
          <w:p w14:paraId="079C2F33" w14:textId="77777777" w:rsidR="00F0236A" w:rsidRPr="00073574" w:rsidRDefault="00F0236A" w:rsidP="00DF36E1">
            <w:pPr>
              <w:pStyle w:val="Tablehead"/>
              <w:rPr>
                <w:sz w:val="24"/>
                <w:szCs w:val="24"/>
              </w:rPr>
            </w:pPr>
            <w:r w:rsidRPr="00073574">
              <w:rPr>
                <w:sz w:val="24"/>
                <w:szCs w:val="24"/>
              </w:rPr>
              <w:t>Milestone</w:t>
            </w:r>
          </w:p>
        </w:tc>
        <w:tc>
          <w:tcPr>
            <w:tcW w:w="1143" w:type="dxa"/>
            <w:tcBorders>
              <w:top w:val="single" w:sz="12" w:space="0" w:color="auto"/>
              <w:bottom w:val="single" w:sz="12" w:space="0" w:color="auto"/>
            </w:tcBorders>
            <w:shd w:val="clear" w:color="auto" w:fill="auto"/>
          </w:tcPr>
          <w:p w14:paraId="0DCB65D6" w14:textId="77777777" w:rsidR="00F0236A" w:rsidRPr="00073574" w:rsidRDefault="00F0236A" w:rsidP="00DF36E1">
            <w:pPr>
              <w:pStyle w:val="Tablehead"/>
              <w:rPr>
                <w:sz w:val="24"/>
                <w:szCs w:val="24"/>
              </w:rPr>
            </w:pPr>
            <w:r w:rsidRPr="00073574">
              <w:rPr>
                <w:sz w:val="24"/>
                <w:szCs w:val="24"/>
              </w:rPr>
              <w:t>Periodic goals met</w:t>
            </w:r>
          </w:p>
        </w:tc>
        <w:tc>
          <w:tcPr>
            <w:tcW w:w="1336" w:type="dxa"/>
            <w:tcBorders>
              <w:top w:val="single" w:sz="12" w:space="0" w:color="auto"/>
              <w:bottom w:val="single" w:sz="12" w:space="0" w:color="auto"/>
            </w:tcBorders>
            <w:shd w:val="clear" w:color="auto" w:fill="auto"/>
            <w:vAlign w:val="center"/>
          </w:tcPr>
          <w:p w14:paraId="4F0E7FF5" w14:textId="77777777" w:rsidR="00F0236A" w:rsidRPr="00073574" w:rsidRDefault="00F0236A" w:rsidP="00DF36E1">
            <w:pPr>
              <w:pStyle w:val="Tablehead"/>
              <w:rPr>
                <w:sz w:val="24"/>
                <w:szCs w:val="24"/>
              </w:rPr>
            </w:pPr>
            <w:r w:rsidRPr="00073574">
              <w:rPr>
                <w:sz w:val="24"/>
                <w:szCs w:val="24"/>
              </w:rPr>
              <w:t>Completed</w:t>
            </w:r>
          </w:p>
        </w:tc>
      </w:tr>
      <w:tr w:rsidR="00F0236A" w:rsidRPr="00073574" w14:paraId="370C9E12" w14:textId="77777777" w:rsidTr="634A3A28">
        <w:trPr>
          <w:jc w:val="center"/>
        </w:trPr>
        <w:tc>
          <w:tcPr>
            <w:tcW w:w="1131" w:type="dxa"/>
            <w:vMerge w:val="restart"/>
            <w:tcBorders>
              <w:top w:val="single" w:sz="12" w:space="0" w:color="auto"/>
            </w:tcBorders>
            <w:shd w:val="clear" w:color="auto" w:fill="auto"/>
          </w:tcPr>
          <w:p w14:paraId="61007CA1" w14:textId="77777777" w:rsidR="00F0236A" w:rsidRPr="00073574" w:rsidRDefault="00F0236A" w:rsidP="009B7030">
            <w:pPr>
              <w:pStyle w:val="Tabletext"/>
              <w:rPr>
                <w:b/>
                <w:bCs/>
                <w:sz w:val="24"/>
                <w:szCs w:val="24"/>
              </w:rPr>
            </w:pPr>
            <w:r w:rsidRPr="00073574">
              <w:rPr>
                <w:b/>
                <w:bCs/>
                <w:sz w:val="24"/>
                <w:szCs w:val="24"/>
              </w:rPr>
              <w:t>89-01</w:t>
            </w:r>
          </w:p>
        </w:tc>
        <w:tc>
          <w:tcPr>
            <w:tcW w:w="4986" w:type="dxa"/>
            <w:tcBorders>
              <w:top w:val="single" w:sz="12" w:space="0" w:color="auto"/>
              <w:bottom w:val="single" w:sz="2" w:space="0" w:color="auto"/>
            </w:tcBorders>
            <w:shd w:val="clear" w:color="auto" w:fill="auto"/>
            <w:hideMark/>
          </w:tcPr>
          <w:p w14:paraId="6ABA0520" w14:textId="77777777" w:rsidR="00F0236A" w:rsidRPr="00073574" w:rsidRDefault="00F0236A" w:rsidP="00980D27">
            <w:pPr>
              <w:pStyle w:val="Tabletext"/>
              <w:keepNext/>
              <w:keepLines/>
              <w:rPr>
                <w:b/>
                <w:bCs/>
                <w:sz w:val="24"/>
                <w:szCs w:val="24"/>
              </w:rPr>
            </w:pPr>
            <w:r w:rsidRPr="00073574">
              <w:rPr>
                <w:b/>
                <w:bCs/>
                <w:sz w:val="24"/>
                <w:szCs w:val="24"/>
              </w:rPr>
              <w:t>ITU-T Study Groups to continue and further develop the ITU-T work programme, including the ongoing work in Study Groups 2 and 3, in order to contribute to the wider global efforts to enhance financial inclusion, as part of the United Nations processes;</w:t>
            </w:r>
          </w:p>
          <w:p w14:paraId="7D639841" w14:textId="77777777" w:rsidR="00F0236A" w:rsidRPr="00073574" w:rsidRDefault="00F0236A" w:rsidP="00980D27">
            <w:pPr>
              <w:pStyle w:val="Tabletext"/>
              <w:keepNext/>
              <w:keepLines/>
              <w:rPr>
                <w:b/>
                <w:bCs/>
                <w:sz w:val="24"/>
                <w:szCs w:val="24"/>
              </w:rPr>
            </w:pPr>
            <w:r w:rsidRPr="00073574">
              <w:rPr>
                <w:b/>
                <w:bCs/>
                <w:sz w:val="24"/>
                <w:szCs w:val="24"/>
              </w:rPr>
              <w:t>and to conduct studies and develop standards and guidelines in the areas of interoperability, digitization of payments, consumer protection, quality of service, big data and security of digital financial services transactions, where such studies, standards and guidelines do not duplicate efforts taking place in other institutions and relate to the mandate of the Union;</w:t>
            </w:r>
          </w:p>
          <w:p w14:paraId="70D4EA93" w14:textId="77777777" w:rsidR="00F0236A" w:rsidRPr="00073574" w:rsidRDefault="00F0236A" w:rsidP="00980D27">
            <w:pPr>
              <w:pStyle w:val="Tabletext"/>
              <w:keepNext/>
              <w:keepLines/>
              <w:rPr>
                <w:b/>
                <w:bCs/>
                <w:sz w:val="24"/>
                <w:szCs w:val="24"/>
              </w:rPr>
            </w:pPr>
            <w:r w:rsidRPr="00073574">
              <w:rPr>
                <w:b/>
                <w:bCs/>
                <w:sz w:val="24"/>
                <w:szCs w:val="24"/>
              </w:rPr>
              <w:t>and to organize the necessary work and studies in order to expand and accelerate the work on digital financial services, starting with their first meeting in the next study period (resolves 1, 2, i. SGs 1)</w:t>
            </w:r>
          </w:p>
        </w:tc>
        <w:tc>
          <w:tcPr>
            <w:tcW w:w="1336" w:type="dxa"/>
            <w:tcBorders>
              <w:top w:val="single" w:sz="12" w:space="0" w:color="auto"/>
              <w:bottom w:val="single" w:sz="2" w:space="0" w:color="auto"/>
            </w:tcBorders>
            <w:shd w:val="clear" w:color="auto" w:fill="auto"/>
            <w:vAlign w:val="center"/>
          </w:tcPr>
          <w:p w14:paraId="3337F813"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43" w:type="dxa"/>
            <w:tcBorders>
              <w:top w:val="single" w:sz="12" w:space="0" w:color="auto"/>
              <w:bottom w:val="single" w:sz="2" w:space="0" w:color="auto"/>
            </w:tcBorders>
            <w:shd w:val="clear" w:color="auto" w:fill="auto"/>
            <w:vAlign w:val="center"/>
          </w:tcPr>
          <w:p w14:paraId="0534AF52"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bottom w:val="single" w:sz="2" w:space="0" w:color="auto"/>
            </w:tcBorders>
            <w:shd w:val="clear" w:color="auto" w:fill="auto"/>
            <w:vAlign w:val="center"/>
          </w:tcPr>
          <w:p w14:paraId="51369C07" w14:textId="77777777" w:rsidR="00F0236A" w:rsidRPr="00073574" w:rsidRDefault="00F0236A" w:rsidP="00DF36E1">
            <w:pPr>
              <w:pStyle w:val="Tabletext"/>
              <w:jc w:val="center"/>
              <w:rPr>
                <w:b/>
                <w:bCs/>
                <w:sz w:val="24"/>
                <w:szCs w:val="24"/>
              </w:rPr>
            </w:pPr>
          </w:p>
        </w:tc>
      </w:tr>
      <w:tr w:rsidR="00F0236A" w:rsidRPr="00073574" w14:paraId="29FAD01F" w14:textId="77777777" w:rsidTr="634A3A28">
        <w:trPr>
          <w:jc w:val="center"/>
        </w:trPr>
        <w:tc>
          <w:tcPr>
            <w:tcW w:w="1131" w:type="dxa"/>
            <w:vMerge/>
          </w:tcPr>
          <w:p w14:paraId="7A18F718" w14:textId="77777777" w:rsidR="00F0236A" w:rsidRPr="00073574" w:rsidRDefault="00F0236A" w:rsidP="00DF36E1">
            <w:pPr>
              <w:pStyle w:val="Tabletext"/>
              <w:rPr>
                <w:sz w:val="24"/>
                <w:szCs w:val="24"/>
              </w:rPr>
            </w:pPr>
          </w:p>
        </w:tc>
        <w:tc>
          <w:tcPr>
            <w:tcW w:w="8801" w:type="dxa"/>
            <w:gridSpan w:val="4"/>
            <w:tcBorders>
              <w:top w:val="single" w:sz="2" w:space="0" w:color="auto"/>
              <w:bottom w:val="single" w:sz="12" w:space="0" w:color="auto"/>
            </w:tcBorders>
            <w:shd w:val="clear" w:color="auto" w:fill="auto"/>
          </w:tcPr>
          <w:p w14:paraId="70524BF1" w14:textId="01439ECF" w:rsidR="00EF5554" w:rsidRPr="00073574" w:rsidRDefault="62B0D9C0" w:rsidP="002E241A">
            <w:pPr>
              <w:pStyle w:val="ListParagraph"/>
              <w:numPr>
                <w:ilvl w:val="0"/>
                <w:numId w:val="40"/>
              </w:numPr>
              <w:spacing w:before="40"/>
              <w:ind w:left="357" w:hanging="357"/>
            </w:pPr>
            <w:r w:rsidRPr="00073574">
              <w:t xml:space="preserve">Reports from FG DFS </w:t>
            </w:r>
            <w:r w:rsidR="3853F3FA" w:rsidRPr="00073574">
              <w:t>were</w:t>
            </w:r>
            <w:r w:rsidRPr="00073574">
              <w:t xml:space="preserve"> forwarded to SGs 2, 3, 12, 16 and 17 to integrate in their work.</w:t>
            </w:r>
          </w:p>
          <w:p w14:paraId="56DF6266" w14:textId="0E4F7D15" w:rsidR="00485632" w:rsidRPr="00073574" w:rsidRDefault="00F0236A" w:rsidP="002E241A">
            <w:pPr>
              <w:pStyle w:val="ListParagraph"/>
              <w:numPr>
                <w:ilvl w:val="0"/>
                <w:numId w:val="40"/>
              </w:numPr>
              <w:ind w:left="357" w:hanging="357"/>
              <w:contextualSpacing w:val="0"/>
            </w:pPr>
            <w:r w:rsidRPr="00073574">
              <w:t xml:space="preserve">SG2 worked on Telecom Finance in the last study period. SG2, after its meeting of 29 March to 7 April 2017, </w:t>
            </w:r>
            <w:r w:rsidR="2A5DF115" w:rsidRPr="00073574">
              <w:t>expressed via a liaison statement its</w:t>
            </w:r>
            <w:r w:rsidRPr="00073574">
              <w:t xml:space="preserve"> willingness to work further on the reports agreed by the ITU-T Focus Group Digital Financial Services in its last meeting in December 2016 if TSAG decides to send these reports to SG2.</w:t>
            </w:r>
            <w:r w:rsidR="2A5DF115" w:rsidRPr="00073574">
              <w:t xml:space="preserve"> SG2-C72: Draft recommendation: Digital Financial Services Terms and Definitions were received in the SG2 meeting of 27 November to 1 December 2017.</w:t>
            </w:r>
            <w:r w:rsidR="2E3FBEFE" w:rsidRPr="00073574">
              <w:t xml:space="preserve"> SG2 lia</w:t>
            </w:r>
            <w:r w:rsidR="4D9764C9" w:rsidRPr="00073574">
              <w:t>is</w:t>
            </w:r>
            <w:r w:rsidR="2E3FBEFE" w:rsidRPr="00073574">
              <w:t>ed with SG3 on the technical report on DFS glossary.</w:t>
            </w:r>
          </w:p>
          <w:p w14:paraId="7E4F1E1A" w14:textId="68C1BE51" w:rsidR="001D582A" w:rsidRPr="00073574" w:rsidRDefault="269BC837" w:rsidP="002E241A">
            <w:pPr>
              <w:pStyle w:val="ListParagraph"/>
              <w:numPr>
                <w:ilvl w:val="0"/>
                <w:numId w:val="40"/>
              </w:numPr>
              <w:contextualSpacing w:val="0"/>
            </w:pPr>
            <w:r w:rsidRPr="00073574">
              <w:t>SG3 agreed on a draft new Questi</w:t>
            </w:r>
            <w:r w:rsidR="50265DB2" w:rsidRPr="00073574">
              <w:t xml:space="preserve">on on Mobile Financial Services, </w:t>
            </w:r>
            <w:r w:rsidRPr="00073574">
              <w:t xml:space="preserve">approved a new work item on Big Data governance, </w:t>
            </w:r>
            <w:r w:rsidR="50265DB2" w:rsidRPr="00073574">
              <w:t xml:space="preserve">on a draft new Question on Mobile Financial Services, and </w:t>
            </w:r>
            <w:r w:rsidRPr="00073574">
              <w:t xml:space="preserve">on a </w:t>
            </w:r>
            <w:r w:rsidR="6CE46B20" w:rsidRPr="00073574">
              <w:t>Glossary</w:t>
            </w:r>
            <w:r w:rsidRPr="00073574">
              <w:t xml:space="preserve"> for Digital Financial Services (DFS). The group also a</w:t>
            </w:r>
            <w:r w:rsidR="75504928" w:rsidRPr="00073574">
              <w:t>pproved</w:t>
            </w:r>
            <w:r w:rsidRPr="00073574">
              <w:t xml:space="preserve"> new Recommendation </w:t>
            </w:r>
            <w:r w:rsidR="75504928" w:rsidRPr="00073574">
              <w:t xml:space="preserve">ITU-T D.263 </w:t>
            </w:r>
            <w:r w:rsidRPr="00073574">
              <w:t xml:space="preserve">on Costs, </w:t>
            </w:r>
            <w:r w:rsidR="75504928" w:rsidRPr="00073574">
              <w:t>c</w:t>
            </w:r>
            <w:r w:rsidRPr="00073574">
              <w:t xml:space="preserve">harges and </w:t>
            </w:r>
            <w:r w:rsidR="75504928" w:rsidRPr="00073574">
              <w:t>c</w:t>
            </w:r>
            <w:r w:rsidRPr="00073574">
              <w:t>ompetition for Mobile Financial Services (MFS).</w:t>
            </w:r>
            <w:r w:rsidR="0D7AC781" w:rsidRPr="00073574">
              <w:t xml:space="preserve"> </w:t>
            </w:r>
            <w:r w:rsidRPr="00073574">
              <w:t>SG3 RGM on Q12/3 agreed on baseline texts for two new Draft Recommendations on Mobile Financial Services</w:t>
            </w:r>
            <w:r w:rsidR="50265DB2" w:rsidRPr="00073574">
              <w:t>.</w:t>
            </w:r>
            <w:r w:rsidR="4D290A2F" w:rsidRPr="00073574">
              <w:t xml:space="preserve"> SG3 agreed nine reports of the Focus Group on Digital Financial Services (FG-DFS) to be published as SG3 Technical Reports.</w:t>
            </w:r>
            <w:r w:rsidR="2C6890CF" w:rsidRPr="00073574">
              <w:t xml:space="preserve"> SG3 is studying in several work item</w:t>
            </w:r>
            <w:r w:rsidR="7794604E" w:rsidRPr="00073574">
              <w:t>s</w:t>
            </w:r>
            <w:r w:rsidR="2C6890CF" w:rsidRPr="00073574">
              <w:t xml:space="preserve"> </w:t>
            </w:r>
            <w:r w:rsidR="23B5E22A" w:rsidRPr="00073574">
              <w:t>(D.AgentMFS, D.ConsumerMFS, D.EMoneyMFS, D.InteropCompetition,</w:t>
            </w:r>
            <w:r w:rsidR="2E3FBEFE" w:rsidRPr="00073574">
              <w:t xml:space="preserve"> </w:t>
            </w:r>
            <w:r w:rsidR="23B5E22A" w:rsidRPr="00073574">
              <w:t xml:space="preserve">D.MFSCM, D.MFScoop) </w:t>
            </w:r>
            <w:r w:rsidR="2C6890CF" w:rsidRPr="00073574">
              <w:t>the economic and policy issues related to mobile financial services.</w:t>
            </w:r>
            <w:r w:rsidR="74485BBA" w:rsidRPr="00073574">
              <w:t xml:space="preserve"> SG3 dev</w:t>
            </w:r>
            <w:r w:rsidR="2E3FBEFE" w:rsidRPr="00073574">
              <w:t>e</w:t>
            </w:r>
            <w:r w:rsidR="74485BBA" w:rsidRPr="00073574">
              <w:t>loped a technical report on the gloassary for digital financial services.</w:t>
            </w:r>
            <w:r w:rsidR="291EF13B" w:rsidRPr="00073574">
              <w:t xml:space="preserve"> SG3 finalized and agreed new D.Suppl4</w:t>
            </w:r>
            <w:r w:rsidR="58DBAD72" w:rsidRPr="00073574">
              <w:t xml:space="preserve"> “</w:t>
            </w:r>
            <w:r w:rsidR="291EF13B" w:rsidRPr="00073574">
              <w:t>ITU-T D.263 – Supplement on Principles for increased adoption and use of mobile financial services (MFSs) through effective consumer protection mechanisms</w:t>
            </w:r>
            <w:r w:rsidR="58DBAD72" w:rsidRPr="00073574">
              <w:t>”</w:t>
            </w:r>
            <w:r w:rsidR="291EF13B" w:rsidRPr="00073574">
              <w:t>.</w:t>
            </w:r>
          </w:p>
          <w:p w14:paraId="2A5C83E2" w14:textId="4235BEC7" w:rsidR="00E7204A" w:rsidRPr="00073574" w:rsidRDefault="68DF0D1E" w:rsidP="002E241A">
            <w:pPr>
              <w:pStyle w:val="ListParagraph"/>
              <w:numPr>
                <w:ilvl w:val="0"/>
                <w:numId w:val="40"/>
              </w:numPr>
              <w:ind w:left="357" w:hanging="357"/>
              <w:contextualSpacing w:val="0"/>
            </w:pPr>
            <w:r w:rsidRPr="00073574">
              <w:t xml:space="preserve">SG11 </w:t>
            </w:r>
            <w:r w:rsidR="74C41384" w:rsidRPr="00073574">
              <w:t>agreed</w:t>
            </w:r>
            <w:r w:rsidRPr="00073574">
              <w:t xml:space="preserve"> a technical report </w:t>
            </w:r>
            <w:r w:rsidR="16018D53" w:rsidRPr="00073574">
              <w:t>on SS7 vulnerabilities and mitigation measures for digital financial services transactions</w:t>
            </w:r>
            <w:r w:rsidR="51C8AA97" w:rsidRPr="00073574">
              <w:t xml:space="preserve"> based on the report from FIGI Security Infrastructure and Trust Working Group</w:t>
            </w:r>
            <w:r w:rsidRPr="00073574">
              <w:t xml:space="preserve">. </w:t>
            </w:r>
            <w:r w:rsidR="74C41384" w:rsidRPr="00073574">
              <w:t xml:space="preserve">SG11 </w:t>
            </w:r>
            <w:r w:rsidR="121B40EB" w:rsidRPr="00073574">
              <w:t xml:space="preserve">approved </w:t>
            </w:r>
            <w:r w:rsidR="72DC5421" w:rsidRPr="00073574">
              <w:t xml:space="preserve">ITU-T Q.3057 </w:t>
            </w:r>
            <w:r w:rsidR="74C41384" w:rsidRPr="00073574">
              <w:t>“Signalling requirements and architecture for interconnection between trustable network entities”</w:t>
            </w:r>
            <w:r w:rsidR="009E7F44" w:rsidRPr="00073574">
              <w:t xml:space="preserve"> and agreed a new Technical Report QSTR-USSD “Low resource requirement, quantum resistant, encryption of USSD messages for use in financial services”</w:t>
            </w:r>
            <w:r w:rsidR="74C41384" w:rsidRPr="00073574">
              <w:t>.</w:t>
            </w:r>
            <w:r w:rsidR="4DC65E96" w:rsidRPr="00073574">
              <w:t xml:space="preserve"> SG11 is developing Q.Pro-Trust “Signalling </w:t>
            </w:r>
            <w:r w:rsidR="4DC65E96" w:rsidRPr="00073574">
              <w:lastRenderedPageBreak/>
              <w:t>procedures and protocols for enabling interconnection between trustable network entities in support of existing and emerging networks”.</w:t>
            </w:r>
          </w:p>
          <w:p w14:paraId="72DE5196" w14:textId="0E4A2551" w:rsidR="00973D16" w:rsidRPr="00073574" w:rsidRDefault="00F0236A" w:rsidP="002E241A">
            <w:pPr>
              <w:pStyle w:val="ListParagraph"/>
              <w:numPr>
                <w:ilvl w:val="0"/>
                <w:numId w:val="40"/>
              </w:numPr>
              <w:contextualSpacing w:val="0"/>
            </w:pPr>
            <w:r w:rsidRPr="00073574">
              <w:t xml:space="preserve">SG12 </w:t>
            </w:r>
            <w:r w:rsidR="7D906A54" w:rsidRPr="00073574">
              <w:t xml:space="preserve">approved Recommendations ITU-T </w:t>
            </w:r>
            <w:r w:rsidR="58C697D5" w:rsidRPr="00073574">
              <w:t>G.1033 “Quality of service and quality of experience aspects of digital financial services” (based on FG DFS outputs) and ITU-T P.1502 “Methodology for QoE testing of digital financial services” (based on FIGI</w:t>
            </w:r>
            <w:r w:rsidR="4EC7C619" w:rsidRPr="00073574">
              <w:t xml:space="preserve"> </w:t>
            </w:r>
            <w:r w:rsidR="4EC7C619" w:rsidRPr="00073574">
              <w:rPr>
                <w:rFonts w:eastAsia="Times New Roman"/>
              </w:rPr>
              <w:t>Security, Infrastructure and Trust Working Group</w:t>
            </w:r>
            <w:r w:rsidR="58C697D5" w:rsidRPr="00073574">
              <w:rPr>
                <w:rFonts w:eastAsia="Times New Roman"/>
              </w:rPr>
              <w:t xml:space="preserve"> outputs)</w:t>
            </w:r>
            <w:r w:rsidRPr="00073574">
              <w:rPr>
                <w:rFonts w:eastAsia="Times New Roman"/>
              </w:rPr>
              <w:t>.</w:t>
            </w:r>
            <w:r w:rsidR="54BDD1E0" w:rsidRPr="00073574">
              <w:rPr>
                <w:rFonts w:eastAsia="Times New Roman"/>
              </w:rPr>
              <w:t xml:space="preserve"> </w:t>
            </w:r>
            <w:r w:rsidR="005243CA" w:rsidRPr="00073574">
              <w:rPr>
                <w:rFonts w:eastAsia="Times New Roman"/>
                <w:color w:val="000000" w:themeColor="text1"/>
              </w:rPr>
              <w:t>A</w:t>
            </w:r>
            <w:r w:rsidR="54BDD1E0" w:rsidRPr="00073574">
              <w:rPr>
                <w:rFonts w:eastAsia="Times New Roman"/>
                <w:color w:val="000000" w:themeColor="text1"/>
              </w:rPr>
              <w:t xml:space="preserve"> dedicated Question to study perceptual and field assessment principles for QoS and QoE of DFS</w:t>
            </w:r>
            <w:r w:rsidR="005243CA" w:rsidRPr="00073574">
              <w:rPr>
                <w:rFonts w:eastAsia="Times New Roman"/>
                <w:color w:val="000000" w:themeColor="text1"/>
              </w:rPr>
              <w:t xml:space="preserve"> (Question 20/12) was created in January 2021</w:t>
            </w:r>
            <w:r w:rsidR="54BDD1E0" w:rsidRPr="00073574">
              <w:rPr>
                <w:rFonts w:eastAsia="Times New Roman"/>
                <w:color w:val="000000" w:themeColor="text1"/>
              </w:rPr>
              <w:t>.</w:t>
            </w:r>
          </w:p>
          <w:p w14:paraId="7CB2A106" w14:textId="3F8860F9" w:rsidR="00F0236A" w:rsidRPr="00073574" w:rsidRDefault="00F0236A" w:rsidP="002E241A">
            <w:pPr>
              <w:pStyle w:val="ListParagraph"/>
              <w:numPr>
                <w:ilvl w:val="0"/>
                <w:numId w:val="40"/>
              </w:numPr>
              <w:contextualSpacing w:val="0"/>
            </w:pPr>
            <w:r w:rsidRPr="00073574">
              <w:t xml:space="preserve">SG13 has </w:t>
            </w:r>
            <w:r w:rsidR="00916866" w:rsidRPr="00073574">
              <w:t>9</w:t>
            </w:r>
            <w:r w:rsidRPr="00073574">
              <w:t xml:space="preserve"> ongoing work items on Big Data</w:t>
            </w:r>
            <w:r w:rsidR="07FF44B2" w:rsidRPr="00073574">
              <w:t xml:space="preserve">, </w:t>
            </w:r>
            <w:r w:rsidR="6A5EF3BB" w:rsidRPr="00073574">
              <w:t xml:space="preserve">approved </w:t>
            </w:r>
            <w:r w:rsidR="00B2169C" w:rsidRPr="00073574">
              <w:t xml:space="preserve">ITU-T </w:t>
            </w:r>
            <w:r w:rsidR="07FF44B2" w:rsidRPr="00073574">
              <w:t>Y.360</w:t>
            </w:r>
            <w:r w:rsidR="455FA865" w:rsidRPr="00073574">
              <w:t>2 on data provenance</w:t>
            </w:r>
            <w:r w:rsidR="00241CDF" w:rsidRPr="00073574">
              <w:t>,</w:t>
            </w:r>
            <w:r w:rsidR="07FF44B2" w:rsidRPr="00073574">
              <w:t xml:space="preserve"> </w:t>
            </w:r>
            <w:r w:rsidR="00B2169C" w:rsidRPr="00073574">
              <w:t>ITU-T</w:t>
            </w:r>
            <w:r w:rsidR="07FF44B2" w:rsidRPr="00073574">
              <w:t xml:space="preserve"> Y.3650 “Framework of big data driven networking”</w:t>
            </w:r>
            <w:r w:rsidR="00241CDF" w:rsidRPr="00073574">
              <w:t>,</w:t>
            </w:r>
            <w:r w:rsidR="07FF44B2" w:rsidRPr="00073574">
              <w:t xml:space="preserve"> </w:t>
            </w:r>
            <w:r w:rsidR="00241CDF" w:rsidRPr="00073574">
              <w:t xml:space="preserve">ITU-T Y.3603 “Big data - Requirements and conceptual model of metadata for data catalogue”,  </w:t>
            </w:r>
            <w:r w:rsidR="00546565" w:rsidRPr="00073574">
              <w:t>Y.3604 “Big data - Overview and requirements for data preservation”</w:t>
            </w:r>
            <w:r w:rsidR="00842DC1" w:rsidRPr="00073574">
              <w:t>, ITU-T Y.3605 “</w:t>
            </w:r>
            <w:r w:rsidR="00D26657" w:rsidRPr="00073574">
              <w:t>Big data - Reference architectur</w:t>
            </w:r>
            <w:r w:rsidR="00CE3176" w:rsidRPr="00073574">
              <w:t>e</w:t>
            </w:r>
            <w:r w:rsidR="00842DC1" w:rsidRPr="00073574">
              <w:t>”</w:t>
            </w:r>
            <w:r w:rsidR="009436A7" w:rsidRPr="00073574">
              <w:t>, Y.36</w:t>
            </w:r>
            <w:r w:rsidR="00CC4156" w:rsidRPr="00073574">
              <w:t>06 “</w:t>
            </w:r>
            <w:r w:rsidR="00CD5C49" w:rsidRPr="00073574">
              <w:t>Big data – Deep packet inspection mechanism for big data in network</w:t>
            </w:r>
            <w:r w:rsidR="00CC4156" w:rsidRPr="00073574">
              <w:t>”</w:t>
            </w:r>
            <w:r w:rsidR="00546565" w:rsidRPr="00073574">
              <w:t xml:space="preserve">. </w:t>
            </w:r>
            <w:r w:rsidR="07FF44B2" w:rsidRPr="00073574">
              <w:t>Focus Group ML5G look</w:t>
            </w:r>
            <w:r w:rsidR="00DD2A66" w:rsidRPr="00073574">
              <w:t>ed</w:t>
            </w:r>
            <w:r w:rsidR="07FF44B2" w:rsidRPr="00073574">
              <w:t xml:space="preserve"> after the machine learning algorithms and data formats.</w:t>
            </w:r>
            <w:r w:rsidR="4794BED8" w:rsidRPr="00073574">
              <w:t xml:space="preserve"> </w:t>
            </w:r>
            <w:r w:rsidR="00072E6B" w:rsidRPr="00073574">
              <w:t xml:space="preserve">Also, SG13 published Y.3600-series Supplement 40 "Big Data Standardisation Roadmap” which will be revised in 2022: </w:t>
            </w:r>
            <w:hyperlink r:id="rId736" w:history="1">
              <w:r w:rsidR="00C47F7B" w:rsidRPr="00073574">
                <w:rPr>
                  <w:rStyle w:val="Hyperlink"/>
                </w:rPr>
                <w:t>https://www.itu.int/rec/T-REC-Y.Sup40/en</w:t>
              </w:r>
            </w:hyperlink>
            <w:r w:rsidR="00C47F7B" w:rsidRPr="00073574">
              <w:t xml:space="preserve"> </w:t>
            </w:r>
            <w:r w:rsidR="6431D98E" w:rsidRPr="00073574">
              <w:t>Since summer 20</w:t>
            </w:r>
            <w:r w:rsidR="4794BED8" w:rsidRPr="00073574">
              <w:t xml:space="preserve">18 SG13 has been working on quantum key distribution network that resulted in approval of the first </w:t>
            </w:r>
            <w:r w:rsidR="00DD21BC" w:rsidRPr="00073574">
              <w:t xml:space="preserve">seven </w:t>
            </w:r>
            <w:r w:rsidR="4794BED8" w:rsidRPr="00073574">
              <w:t>Recommendation</w:t>
            </w:r>
            <w:r w:rsidR="000A2941" w:rsidRPr="00073574">
              <w:t>s, including the basic one,</w:t>
            </w:r>
            <w:r w:rsidR="4794BED8" w:rsidRPr="00073574">
              <w:t xml:space="preserve"> ITU-T Y.3800 “Overview on networks supporting quantum key distribution” in October 2019.</w:t>
            </w:r>
            <w:r w:rsidR="00C41638" w:rsidRPr="00073574">
              <w:t xml:space="preserve"> SG13 maintains the standardization roadmap on QKDN</w:t>
            </w:r>
            <w:r w:rsidR="005A7C11" w:rsidRPr="00073574">
              <w:t xml:space="preserve"> as draft Supplement on its work programme.</w:t>
            </w:r>
          </w:p>
          <w:p w14:paraId="7F3495B4" w14:textId="22459B73" w:rsidR="00DA664B" w:rsidRPr="00073574" w:rsidRDefault="40053A3F" w:rsidP="634A3A28">
            <w:pPr>
              <w:pStyle w:val="ListParagraph"/>
              <w:numPr>
                <w:ilvl w:val="0"/>
                <w:numId w:val="40"/>
              </w:numPr>
              <w:contextualSpacing w:val="0"/>
              <w:rPr>
                <w:rFonts w:eastAsia="Times New Roman"/>
              </w:rPr>
            </w:pPr>
            <w:r w:rsidRPr="00073574">
              <w:t xml:space="preserve">SG16 started in January 2017 a new work item on the use of blockchain for multimedia systems and applications. </w:t>
            </w:r>
            <w:r w:rsidR="63F6BC14" w:rsidRPr="00073574">
              <w:t xml:space="preserve">SG16 continues work on </w:t>
            </w:r>
            <w:hyperlink r:id="rId737">
              <w:r w:rsidR="63F6BC14" w:rsidRPr="00073574">
                <w:rPr>
                  <w:rStyle w:val="Hyperlink"/>
                </w:rPr>
                <w:t>F.HFS-BC</w:t>
              </w:r>
            </w:hyperlink>
            <w:r w:rsidR="63F6BC14" w:rsidRPr="00073574">
              <w:t xml:space="preserve"> - Requirements and framework for blockchain-based human factor service models.</w:t>
            </w:r>
            <w:r w:rsidR="4ED2F29D" w:rsidRPr="00073574">
              <w:rPr>
                <w:rFonts w:eastAsia="Calibri"/>
                <w:color w:val="000000" w:themeColor="text1"/>
              </w:rPr>
              <w:t xml:space="preserve"> T</w:t>
            </w:r>
            <w:r w:rsidR="4ED2F29D" w:rsidRPr="00073574">
              <w:rPr>
                <w:rFonts w:eastAsia="Times New Roman"/>
                <w:color w:val="000000" w:themeColor="text1"/>
              </w:rPr>
              <w:t xml:space="preserve">he new </w:t>
            </w:r>
            <w:hyperlink r:id="rId738">
              <w:r w:rsidR="4ED2F29D" w:rsidRPr="00073574">
                <w:rPr>
                  <w:rStyle w:val="Hyperlink"/>
                  <w:rFonts w:eastAsia="Calibri"/>
                </w:rPr>
                <w:t>Question 22/16</w:t>
              </w:r>
            </w:hyperlink>
            <w:r w:rsidR="4ED2F29D" w:rsidRPr="00073574">
              <w:rPr>
                <w:rFonts w:eastAsia="Times New Roman"/>
                <w:color w:val="000000" w:themeColor="text1"/>
              </w:rPr>
              <w:t xml:space="preserve"> on Distributed ledger technologies (DLT) and e-services continues part of the work of the now closed </w:t>
            </w:r>
            <w:hyperlink r:id="rId739">
              <w:r w:rsidR="4ED2F29D" w:rsidRPr="00073574">
                <w:rPr>
                  <w:rStyle w:val="Hyperlink"/>
                  <w:rFonts w:eastAsia="Calibri"/>
                </w:rPr>
                <w:t>ITU-T Focus Group on distributed ledger technologies</w:t>
              </w:r>
            </w:hyperlink>
            <w:r w:rsidR="4ED2F29D" w:rsidRPr="00073574">
              <w:rPr>
                <w:rFonts w:eastAsia="Times New Roman"/>
                <w:color w:val="000000" w:themeColor="text1"/>
              </w:rPr>
              <w:t>. DLT are building blocks to many verticals, there included digital financial services, in particular when a trusted third party is not involved. Topics of interest for DFS that are being studied by Q22/16 include digital evidence services, digital invoices and smart contracts.</w:t>
            </w:r>
          </w:p>
          <w:p w14:paraId="127FD2E5" w14:textId="18C64C91" w:rsidR="00DA664B" w:rsidRPr="00073574" w:rsidRDefault="2EC59CCD" w:rsidP="002E241A">
            <w:pPr>
              <w:pStyle w:val="ListParagraph"/>
              <w:numPr>
                <w:ilvl w:val="1"/>
                <w:numId w:val="40"/>
              </w:numPr>
              <w:contextualSpacing w:val="0"/>
              <w:rPr>
                <w:rFonts w:eastAsia="Times New Roman"/>
                <w:color w:val="000000" w:themeColor="text1"/>
              </w:rPr>
            </w:pPr>
            <w:r w:rsidRPr="00073574">
              <w:rPr>
                <w:rFonts w:eastAsia="Times New Roman"/>
                <w:color w:val="000000" w:themeColor="text1"/>
              </w:rPr>
              <w:t>Two technical papers and three ITU-T Recommendations have been approved:</w:t>
            </w:r>
          </w:p>
          <w:p w14:paraId="126A494B" w14:textId="6AB66974" w:rsidR="00DA664B" w:rsidRPr="00073574" w:rsidRDefault="0053741E" w:rsidP="002E241A">
            <w:pPr>
              <w:pStyle w:val="ListParagraph"/>
              <w:numPr>
                <w:ilvl w:val="1"/>
                <w:numId w:val="40"/>
              </w:numPr>
              <w:contextualSpacing w:val="0"/>
              <w:rPr>
                <w:rFonts w:eastAsia="Times New Roman"/>
                <w:color w:val="000000" w:themeColor="text1"/>
              </w:rPr>
            </w:pPr>
            <w:hyperlink r:id="rId740">
              <w:r w:rsidR="2EC59CCD" w:rsidRPr="00073574">
                <w:rPr>
                  <w:rStyle w:val="Hyperlink"/>
                  <w:rFonts w:eastAsia="Calibri"/>
                </w:rPr>
                <w:t>ITU-T HSTP.DLT-UC</w:t>
              </w:r>
            </w:hyperlink>
            <w:r w:rsidR="2EC59CCD" w:rsidRPr="00073574">
              <w:rPr>
                <w:rFonts w:eastAsia="Times New Roman"/>
                <w:color w:val="000000" w:themeColor="text1"/>
              </w:rPr>
              <w:t>: Distributed ledger technologies: Use cases</w:t>
            </w:r>
          </w:p>
          <w:p w14:paraId="56FD2B5F" w14:textId="209A409A" w:rsidR="00DA664B" w:rsidRPr="00073574" w:rsidRDefault="0053741E" w:rsidP="002E241A">
            <w:pPr>
              <w:pStyle w:val="ListParagraph"/>
              <w:numPr>
                <w:ilvl w:val="1"/>
                <w:numId w:val="40"/>
              </w:numPr>
              <w:contextualSpacing w:val="0"/>
              <w:rPr>
                <w:rFonts w:eastAsia="Times New Roman"/>
                <w:color w:val="000000" w:themeColor="text1"/>
              </w:rPr>
            </w:pPr>
            <w:hyperlink r:id="rId741">
              <w:r w:rsidR="2EC59CCD" w:rsidRPr="00073574">
                <w:rPr>
                  <w:rStyle w:val="Hyperlink"/>
                  <w:rFonts w:eastAsia="Calibri"/>
                </w:rPr>
                <w:t>ITU-T HSTP.DLT-RF</w:t>
              </w:r>
            </w:hyperlink>
            <w:r w:rsidR="2EC59CCD" w:rsidRPr="00073574">
              <w:rPr>
                <w:rFonts w:eastAsia="Times New Roman"/>
                <w:color w:val="000000" w:themeColor="text1"/>
              </w:rPr>
              <w:t>: Distributed ledger technology: Regulatory framework</w:t>
            </w:r>
          </w:p>
          <w:p w14:paraId="6A9086CA" w14:textId="0B2228D8" w:rsidR="00DA664B" w:rsidRPr="00073574" w:rsidRDefault="0053741E" w:rsidP="002E241A">
            <w:pPr>
              <w:pStyle w:val="ListParagraph"/>
              <w:numPr>
                <w:ilvl w:val="1"/>
                <w:numId w:val="40"/>
              </w:numPr>
              <w:contextualSpacing w:val="0"/>
              <w:rPr>
                <w:rFonts w:eastAsia="Times New Roman"/>
                <w:color w:val="000000" w:themeColor="text1"/>
              </w:rPr>
            </w:pPr>
            <w:hyperlink r:id="rId742">
              <w:r w:rsidR="2EC59CCD" w:rsidRPr="00073574">
                <w:rPr>
                  <w:rStyle w:val="Hyperlink"/>
                  <w:rFonts w:eastAsia="Calibri"/>
                </w:rPr>
                <w:t>ITU-T F.751.0 (ex F.DLS)</w:t>
              </w:r>
            </w:hyperlink>
            <w:r w:rsidR="2EC59CCD" w:rsidRPr="00073574">
              <w:rPr>
                <w:rFonts w:eastAsia="Times New Roman"/>
                <w:color w:val="000000" w:themeColor="text1"/>
              </w:rPr>
              <w:t>: Requirements for distributed ledger systems</w:t>
            </w:r>
          </w:p>
          <w:p w14:paraId="60C1A5A9" w14:textId="116A21A7" w:rsidR="00DA664B" w:rsidRPr="00073574" w:rsidRDefault="0053741E" w:rsidP="002E241A">
            <w:pPr>
              <w:pStyle w:val="ListParagraph"/>
              <w:numPr>
                <w:ilvl w:val="1"/>
                <w:numId w:val="40"/>
              </w:numPr>
              <w:contextualSpacing w:val="0"/>
              <w:rPr>
                <w:rFonts w:eastAsia="Times New Roman"/>
                <w:color w:val="000000" w:themeColor="text1"/>
              </w:rPr>
            </w:pPr>
            <w:hyperlink r:id="rId743">
              <w:r w:rsidR="2EC59CCD" w:rsidRPr="00073574">
                <w:rPr>
                  <w:rStyle w:val="Hyperlink"/>
                  <w:rFonts w:eastAsia="Calibri"/>
                </w:rPr>
                <w:t>ITU-T F.751.1 (ex F.DLT-AC)</w:t>
              </w:r>
            </w:hyperlink>
            <w:r w:rsidR="2EC59CCD" w:rsidRPr="00073574">
              <w:rPr>
                <w:rFonts w:eastAsia="Times New Roman"/>
                <w:color w:val="000000" w:themeColor="text1"/>
              </w:rPr>
              <w:t>: Assessment criteria for distributed ledger technology (DLT) platforms</w:t>
            </w:r>
          </w:p>
          <w:p w14:paraId="3F691D4D" w14:textId="70D60FE7" w:rsidR="00DA664B" w:rsidRPr="00073574" w:rsidRDefault="0053741E" w:rsidP="002E241A">
            <w:pPr>
              <w:pStyle w:val="ListParagraph"/>
              <w:numPr>
                <w:ilvl w:val="1"/>
                <w:numId w:val="40"/>
              </w:numPr>
              <w:contextualSpacing w:val="0"/>
              <w:rPr>
                <w:rFonts w:eastAsia="Times New Roman"/>
                <w:color w:val="000000" w:themeColor="text1"/>
              </w:rPr>
            </w:pPr>
            <w:hyperlink r:id="rId744">
              <w:r w:rsidR="2EC59CCD" w:rsidRPr="00073574">
                <w:rPr>
                  <w:rStyle w:val="Hyperlink"/>
                  <w:rFonts w:eastAsia="Calibri"/>
                </w:rPr>
                <w:t>ITU-T F.751.2 (ex H.DLT)</w:t>
              </w:r>
            </w:hyperlink>
            <w:r w:rsidR="2EC59CCD" w:rsidRPr="00073574">
              <w:rPr>
                <w:rFonts w:eastAsia="Times New Roman"/>
                <w:color w:val="000000" w:themeColor="text1"/>
              </w:rPr>
              <w:t>: Reference framework for distributed ledger technologies</w:t>
            </w:r>
          </w:p>
          <w:p w14:paraId="5EC3A41E" w14:textId="532B1DF7" w:rsidR="00DA664B" w:rsidRPr="00073574" w:rsidRDefault="2EC59CCD" w:rsidP="00B05960">
            <w:pPr>
              <w:ind w:left="567"/>
              <w:rPr>
                <w:color w:val="000000" w:themeColor="text1"/>
                <w:szCs w:val="22"/>
              </w:rPr>
            </w:pPr>
            <w:r w:rsidRPr="00073574">
              <w:rPr>
                <w:rFonts w:eastAsia="Calibri"/>
                <w:color w:val="000000" w:themeColor="text1"/>
                <w:szCs w:val="22"/>
              </w:rPr>
              <w:t>The following work items are now being further developed:</w:t>
            </w:r>
          </w:p>
          <w:p w14:paraId="0627B577" w14:textId="3BD0AC6C" w:rsidR="00DA664B" w:rsidRPr="00073574" w:rsidRDefault="0053741E" w:rsidP="002E241A">
            <w:pPr>
              <w:pStyle w:val="ListParagraph"/>
              <w:numPr>
                <w:ilvl w:val="1"/>
                <w:numId w:val="40"/>
              </w:numPr>
              <w:contextualSpacing w:val="0"/>
              <w:rPr>
                <w:rFonts w:eastAsia="Times New Roman"/>
                <w:color w:val="000000" w:themeColor="text1"/>
              </w:rPr>
            </w:pPr>
            <w:hyperlink r:id="rId745">
              <w:r w:rsidR="2EC59CCD" w:rsidRPr="00073574">
                <w:rPr>
                  <w:rStyle w:val="Hyperlink"/>
                  <w:rFonts w:eastAsia="Calibri"/>
                </w:rPr>
                <w:t>ITU-T F.DLT-FIN</w:t>
              </w:r>
            </w:hyperlink>
            <w:r w:rsidR="2EC59CCD" w:rsidRPr="00073574">
              <w:rPr>
                <w:rFonts w:eastAsia="Times New Roman"/>
                <w:color w:val="000000" w:themeColor="text1"/>
              </w:rPr>
              <w:t>: Financial distributed ledger technology application guideline</w:t>
            </w:r>
          </w:p>
          <w:p w14:paraId="6BE691B5" w14:textId="6AC65CB9" w:rsidR="00DA664B" w:rsidRPr="00073574" w:rsidRDefault="0053741E" w:rsidP="002E241A">
            <w:pPr>
              <w:pStyle w:val="ListParagraph"/>
              <w:numPr>
                <w:ilvl w:val="1"/>
                <w:numId w:val="40"/>
              </w:numPr>
              <w:contextualSpacing w:val="0"/>
              <w:rPr>
                <w:rFonts w:eastAsia="Times New Roman"/>
                <w:color w:val="000000" w:themeColor="text1"/>
              </w:rPr>
            </w:pPr>
            <w:hyperlink r:id="rId746">
              <w:r w:rsidR="2EC59CCD" w:rsidRPr="00073574">
                <w:rPr>
                  <w:rStyle w:val="Hyperlink"/>
                  <w:rFonts w:eastAsia="Calibri"/>
                </w:rPr>
                <w:t>ITU-T H.DLT-DE</w:t>
              </w:r>
            </w:hyperlink>
            <w:r w:rsidR="2EC59CCD" w:rsidRPr="00073574">
              <w:rPr>
                <w:rFonts w:eastAsia="Times New Roman"/>
                <w:color w:val="000000" w:themeColor="text1"/>
              </w:rPr>
              <w:t>: Digital evidence services based on distributed ledger technologies</w:t>
            </w:r>
          </w:p>
          <w:p w14:paraId="1B6E812A" w14:textId="39E4CA24" w:rsidR="00DA664B" w:rsidRPr="00073574" w:rsidRDefault="0053741E" w:rsidP="002E241A">
            <w:pPr>
              <w:pStyle w:val="ListParagraph"/>
              <w:numPr>
                <w:ilvl w:val="1"/>
                <w:numId w:val="40"/>
              </w:numPr>
              <w:contextualSpacing w:val="0"/>
              <w:rPr>
                <w:rFonts w:eastAsia="Times New Roman"/>
                <w:color w:val="000000" w:themeColor="text1"/>
              </w:rPr>
            </w:pPr>
            <w:hyperlink r:id="rId747">
              <w:r w:rsidR="2EC59CCD" w:rsidRPr="00073574">
                <w:rPr>
                  <w:rStyle w:val="Hyperlink"/>
                  <w:rFonts w:eastAsia="Calibri"/>
                </w:rPr>
                <w:t>ITU-T H.DLT-GTI</w:t>
              </w:r>
            </w:hyperlink>
            <w:r w:rsidR="2EC59CCD" w:rsidRPr="00073574">
              <w:rPr>
                <w:rFonts w:eastAsia="Times New Roman"/>
                <w:color w:val="000000" w:themeColor="text1"/>
              </w:rPr>
              <w:t>: DLT governance and technical interoperability framework</w:t>
            </w:r>
          </w:p>
          <w:p w14:paraId="52605083" w14:textId="48031EE2" w:rsidR="00DA664B" w:rsidRPr="00073574" w:rsidRDefault="0053741E" w:rsidP="002E241A">
            <w:pPr>
              <w:pStyle w:val="ListParagraph"/>
              <w:numPr>
                <w:ilvl w:val="1"/>
                <w:numId w:val="40"/>
              </w:numPr>
              <w:contextualSpacing w:val="0"/>
              <w:rPr>
                <w:rFonts w:eastAsia="Times New Roman"/>
                <w:color w:val="000000" w:themeColor="text1"/>
              </w:rPr>
            </w:pPr>
            <w:hyperlink r:id="rId748">
              <w:r w:rsidR="2EC59CCD" w:rsidRPr="00073574">
                <w:rPr>
                  <w:rStyle w:val="Hyperlink"/>
                  <w:rFonts w:eastAsia="Calibri"/>
                </w:rPr>
                <w:t>ITU-T H.DLT-INV</w:t>
              </w:r>
            </w:hyperlink>
            <w:r w:rsidR="2EC59CCD" w:rsidRPr="00073574">
              <w:rPr>
                <w:rFonts w:eastAsia="Times New Roman"/>
                <w:color w:val="000000" w:themeColor="text1"/>
              </w:rPr>
              <w:t>: General framework of DLT-based invoices</w:t>
            </w:r>
          </w:p>
          <w:p w14:paraId="0B4CDF9C" w14:textId="2A5D809E" w:rsidR="00DA664B" w:rsidRPr="00073574" w:rsidRDefault="0053741E" w:rsidP="002E241A">
            <w:pPr>
              <w:pStyle w:val="ListParagraph"/>
              <w:numPr>
                <w:ilvl w:val="1"/>
                <w:numId w:val="40"/>
              </w:numPr>
              <w:contextualSpacing w:val="0"/>
              <w:rPr>
                <w:rFonts w:eastAsia="Times New Roman"/>
                <w:color w:val="000000" w:themeColor="text1"/>
              </w:rPr>
            </w:pPr>
            <w:hyperlink r:id="rId749">
              <w:r w:rsidR="2EC59CCD" w:rsidRPr="00073574">
                <w:rPr>
                  <w:rStyle w:val="Hyperlink"/>
                  <w:rFonts w:eastAsia="Calibri"/>
                </w:rPr>
                <w:t>ITU-T H.DLT-TFR</w:t>
              </w:r>
            </w:hyperlink>
            <w:r w:rsidR="2EC59CCD" w:rsidRPr="00073574">
              <w:rPr>
                <w:rFonts w:eastAsia="Times New Roman"/>
                <w:color w:val="000000" w:themeColor="text1"/>
              </w:rPr>
              <w:t>: Technical framework for DLT regulation</w:t>
            </w:r>
          </w:p>
          <w:p w14:paraId="22BE06B2" w14:textId="47823608" w:rsidR="00DA664B" w:rsidRPr="00073574" w:rsidRDefault="0053741E" w:rsidP="002E241A">
            <w:pPr>
              <w:pStyle w:val="ListParagraph"/>
              <w:numPr>
                <w:ilvl w:val="1"/>
                <w:numId w:val="40"/>
              </w:numPr>
              <w:contextualSpacing w:val="0"/>
              <w:rPr>
                <w:rFonts w:eastAsia="Times New Roman"/>
                <w:color w:val="000000" w:themeColor="text1"/>
              </w:rPr>
            </w:pPr>
            <w:hyperlink r:id="rId750">
              <w:r w:rsidR="2EC59CCD" w:rsidRPr="00073574">
                <w:rPr>
                  <w:rStyle w:val="Hyperlink"/>
                  <w:rFonts w:eastAsia="Calibri"/>
                </w:rPr>
                <w:t>ITU-T H.DLT-VERI</w:t>
              </w:r>
            </w:hyperlink>
            <w:r w:rsidR="2EC59CCD" w:rsidRPr="00073574">
              <w:rPr>
                <w:rFonts w:eastAsia="Times New Roman"/>
                <w:color w:val="000000" w:themeColor="text1"/>
              </w:rPr>
              <w:t>: Formal verification framework for smart contract</w:t>
            </w:r>
          </w:p>
          <w:p w14:paraId="450D3B6C" w14:textId="1A110C5C" w:rsidR="00DA664B" w:rsidRPr="00073574" w:rsidRDefault="0053741E" w:rsidP="002E241A">
            <w:pPr>
              <w:pStyle w:val="ListParagraph"/>
              <w:numPr>
                <w:ilvl w:val="1"/>
                <w:numId w:val="40"/>
              </w:numPr>
              <w:contextualSpacing w:val="0"/>
              <w:rPr>
                <w:rFonts w:eastAsia="Times New Roman"/>
                <w:color w:val="000000" w:themeColor="text1"/>
              </w:rPr>
            </w:pPr>
            <w:hyperlink r:id="rId751">
              <w:r w:rsidR="2EC59CCD" w:rsidRPr="00073574">
                <w:rPr>
                  <w:rStyle w:val="Hyperlink"/>
                  <w:rFonts w:eastAsia="Calibri"/>
                </w:rPr>
                <w:t>ITU-T HSTP.DLT-Risk</w:t>
              </w:r>
            </w:hyperlink>
            <w:r w:rsidR="2EC59CCD" w:rsidRPr="00073574">
              <w:rPr>
                <w:rFonts w:eastAsia="Times New Roman"/>
                <w:color w:val="000000" w:themeColor="text1"/>
              </w:rPr>
              <w:t>: DLT-based application development risks and their mitigations</w:t>
            </w:r>
          </w:p>
          <w:p w14:paraId="6869F419" w14:textId="77D1A716" w:rsidR="00DA664B" w:rsidRPr="00073574" w:rsidRDefault="2EC59CCD" w:rsidP="00B05960">
            <w:pPr>
              <w:ind w:left="720"/>
              <w:rPr>
                <w:color w:val="000000" w:themeColor="text1"/>
                <w:szCs w:val="22"/>
              </w:rPr>
            </w:pPr>
            <w:r w:rsidRPr="00073574">
              <w:rPr>
                <w:rFonts w:eastAsia="Times New Roman"/>
                <w:color w:val="000000" w:themeColor="text1"/>
                <w:szCs w:val="22"/>
              </w:rPr>
              <w:t xml:space="preserve">Updated information can be found at: </w:t>
            </w:r>
            <w:hyperlink r:id="rId752" w:history="1">
              <w:r w:rsidR="002452B3" w:rsidRPr="00073574">
                <w:rPr>
                  <w:rStyle w:val="Hyperlink"/>
                  <w:rFonts w:eastAsia="Calibri"/>
                  <w:szCs w:val="22"/>
                </w:rPr>
                <w:t>https://itu.int/ITU-T/workprog/wp_search.aspx?sg=16&amp;q=22</w:t>
              </w:r>
            </w:hyperlink>
            <w:r w:rsidRPr="00073574">
              <w:rPr>
                <w:rFonts w:eastAsia="Times New Roman"/>
                <w:color w:val="000000" w:themeColor="text1"/>
                <w:szCs w:val="22"/>
              </w:rPr>
              <w:t>.</w:t>
            </w:r>
          </w:p>
          <w:p w14:paraId="06F525EC" w14:textId="5AB9C3D3" w:rsidR="002D0793" w:rsidRPr="00073574" w:rsidRDefault="09051E09" w:rsidP="634A3A28">
            <w:pPr>
              <w:pStyle w:val="ListParagraph"/>
              <w:numPr>
                <w:ilvl w:val="0"/>
                <w:numId w:val="40"/>
              </w:numPr>
              <w:spacing w:line="259" w:lineRule="auto"/>
              <w:rPr>
                <w:rFonts w:eastAsia="Times New Roman"/>
              </w:rPr>
            </w:pPr>
            <w:r w:rsidRPr="00073574">
              <w:t>The technical reports on security for digital financial services (DFS) and Distributed Ledger Technologies for DFS from the Focus Group Digital Financial Se</w:t>
            </w:r>
            <w:r w:rsidR="014FE824" w:rsidRPr="00073574">
              <w:t>rvices were presented at the SG</w:t>
            </w:r>
            <w:r w:rsidRPr="00073574">
              <w:t xml:space="preserve">17 meeting in March </w:t>
            </w:r>
            <w:r w:rsidR="436DFA7D" w:rsidRPr="00073574">
              <w:t>2017</w:t>
            </w:r>
            <w:r w:rsidRPr="00073574">
              <w:t>.</w:t>
            </w:r>
          </w:p>
          <w:p w14:paraId="55E93185" w14:textId="5229A4ED" w:rsidR="002D0793" w:rsidRPr="00073574" w:rsidRDefault="64BD7751" w:rsidP="001F61B5">
            <w:pPr>
              <w:pStyle w:val="ListParagraph"/>
              <w:numPr>
                <w:ilvl w:val="0"/>
                <w:numId w:val="40"/>
              </w:numPr>
              <w:ind w:left="357" w:hanging="357"/>
              <w:contextualSpacing w:val="0"/>
            </w:pPr>
            <w:r w:rsidRPr="00073574">
              <w:t>ITU-T</w:t>
            </w:r>
            <w:r w:rsidR="09051E09" w:rsidRPr="00073574">
              <w:t xml:space="preserve"> </w:t>
            </w:r>
            <w:r w:rsidR="16F1B525" w:rsidRPr="00073574">
              <w:t xml:space="preserve">SG17 has </w:t>
            </w:r>
            <w:r w:rsidR="782AA1FC" w:rsidRPr="00073574">
              <w:t xml:space="preserve">developed Recommendation </w:t>
            </w:r>
            <w:r w:rsidR="334EC45E" w:rsidRPr="00073574">
              <w:t xml:space="preserve">ITU-T </w:t>
            </w:r>
            <w:r w:rsidR="782AA1FC" w:rsidRPr="00073574">
              <w:t xml:space="preserve">X.1149 </w:t>
            </w:r>
            <w:r w:rsidR="782AA1FC" w:rsidRPr="00073574">
              <w:rPr>
                <w:i/>
                <w:iCs/>
              </w:rPr>
              <w:t>Security framework of open platform for FinTech services</w:t>
            </w:r>
            <w:r w:rsidR="00821A48" w:rsidRPr="00073574">
              <w:t>,</w:t>
            </w:r>
            <w:r w:rsidR="782AA1FC" w:rsidRPr="00073574">
              <w:t xml:space="preserve"> </w:t>
            </w:r>
            <w:r w:rsidR="00163C76" w:rsidRPr="00073574">
              <w:t xml:space="preserve">ITU-T </w:t>
            </w:r>
            <w:r w:rsidR="00821A48" w:rsidRPr="00073574">
              <w:t>X.</w:t>
            </w:r>
            <w:r w:rsidR="00C315A6" w:rsidRPr="00073574">
              <w:t xml:space="preserve">1405 </w:t>
            </w:r>
            <w:r w:rsidR="00821A48" w:rsidRPr="00073574">
              <w:rPr>
                <w:i/>
                <w:iCs/>
              </w:rPr>
              <w:t>Security threats and requirements for digital payment services based on distributed ledger technology</w:t>
            </w:r>
            <w:r w:rsidR="00821A48" w:rsidRPr="00073574">
              <w:t xml:space="preserve"> </w:t>
            </w:r>
            <w:r w:rsidR="782AA1FC" w:rsidRPr="00073574">
              <w:t xml:space="preserve">and is </w:t>
            </w:r>
            <w:r w:rsidR="16F1B525" w:rsidRPr="00073574">
              <w:t>work</w:t>
            </w:r>
            <w:r w:rsidR="0FCDB422" w:rsidRPr="00073574">
              <w:t xml:space="preserve">ing on </w:t>
            </w:r>
            <w:r w:rsidR="00C52BC7" w:rsidRPr="00073574">
              <w:t xml:space="preserve">X.saf-dfs </w:t>
            </w:r>
            <w:r w:rsidR="000C64A7" w:rsidRPr="00073574">
              <w:rPr>
                <w:i/>
                <w:iCs/>
              </w:rPr>
              <w:t>Security assurance framework for digital financial services</w:t>
            </w:r>
            <w:r w:rsidR="000C64A7" w:rsidRPr="00073574">
              <w:t>,</w:t>
            </w:r>
            <w:r w:rsidR="008E2F12" w:rsidRPr="00073574">
              <w:t xml:space="preserve">  X.srscm-dlt </w:t>
            </w:r>
            <w:r w:rsidR="005865FA" w:rsidRPr="00073574">
              <w:rPr>
                <w:i/>
                <w:iCs/>
              </w:rPr>
              <w:t>Security Requirements for Smart Contract Management based on the distributed ledger technology</w:t>
            </w:r>
            <w:r w:rsidR="16F1B525" w:rsidRPr="00073574">
              <w:t>.</w:t>
            </w:r>
          </w:p>
          <w:p w14:paraId="2E1693C0" w14:textId="00685E04" w:rsidR="00F0236A" w:rsidRPr="00073574" w:rsidRDefault="00F0236A" w:rsidP="634A3A28">
            <w:pPr>
              <w:pStyle w:val="ListParagraph"/>
              <w:keepNext/>
              <w:keepLines/>
              <w:numPr>
                <w:ilvl w:val="0"/>
                <w:numId w:val="40"/>
              </w:numPr>
              <w:ind w:hanging="357"/>
              <w:contextualSpacing w:val="0"/>
              <w:rPr>
                <w:rFonts w:eastAsia="Times New Roman"/>
                <w:color w:val="000000" w:themeColor="text1"/>
              </w:rPr>
            </w:pPr>
            <w:r w:rsidRPr="00073574">
              <w:t xml:space="preserve">SG20 </w:t>
            </w:r>
            <w:r w:rsidR="07DFA864" w:rsidRPr="00073574">
              <w:t xml:space="preserve">has </w:t>
            </w:r>
            <w:r w:rsidR="6C66CF6D" w:rsidRPr="00073574">
              <w:t xml:space="preserve">approved </w:t>
            </w:r>
            <w:r w:rsidRPr="00073574">
              <w:t>the following Recommendation</w:t>
            </w:r>
            <w:r w:rsidR="6C66CF6D" w:rsidRPr="00073574">
              <w:t>s</w:t>
            </w:r>
            <w:r w:rsidRPr="00073574">
              <w:t>:</w:t>
            </w:r>
          </w:p>
          <w:p w14:paraId="78538FDA" w14:textId="70A9EFF7" w:rsidR="00C32763" w:rsidRPr="00073574" w:rsidRDefault="00C32763" w:rsidP="009A0992">
            <w:pPr>
              <w:pStyle w:val="ListParagraph"/>
              <w:keepNext/>
              <w:keepLines/>
              <w:numPr>
                <w:ilvl w:val="1"/>
                <w:numId w:val="40"/>
              </w:numPr>
              <w:ind w:hanging="357"/>
              <w:contextualSpacing w:val="0"/>
            </w:pPr>
            <w:r w:rsidRPr="00073574">
              <w:t>ITU-T Y.4118 on “</w:t>
            </w:r>
            <w:r w:rsidRPr="00073574">
              <w:rPr>
                <w:rFonts w:eastAsia="Times New Roman"/>
              </w:rPr>
              <w:t>Internet of things requirements and technical capabilities for support of accounting and charging</w:t>
            </w:r>
            <w:r w:rsidRPr="00073574">
              <w:t>” provides accounting and charging requirements for IoT as well as an IoT accounting and charging technical capability framework, in order to assist in the standardization of accounting and charging technical mechanisms for IoT and to facilitate the development of the IoT market. The Recommendation focuses on the network layer capabilities and service support and application support layer capabilities, as well as business use cases applied to IoT.</w:t>
            </w:r>
          </w:p>
          <w:p w14:paraId="2687808A" w14:textId="0319B55F" w:rsidR="00F0236A" w:rsidRPr="00073574" w:rsidRDefault="00124C1F" w:rsidP="009A0992">
            <w:pPr>
              <w:pStyle w:val="ListParagraph"/>
              <w:numPr>
                <w:ilvl w:val="1"/>
                <w:numId w:val="40"/>
              </w:numPr>
              <w:ind w:left="1077" w:hanging="357"/>
              <w:contextualSpacing w:val="0"/>
            </w:pPr>
            <w:r w:rsidRPr="00073574">
              <w:t xml:space="preserve">ITU-T </w:t>
            </w:r>
            <w:r w:rsidR="00F0236A" w:rsidRPr="00073574">
              <w:t xml:space="preserve">Y.4114 </w:t>
            </w:r>
            <w:r w:rsidR="00930DDF" w:rsidRPr="00073574">
              <w:t>on s</w:t>
            </w:r>
            <w:r w:rsidR="00F0236A" w:rsidRPr="00073574">
              <w:t xml:space="preserve">pecific requirements and capabilities of the IoT for Big Data. This Recommendation complements the developments on common requirements of the IoT [ITU-T Y.2066] and functional framework of the IoT [ITU-T Y.2068] in terms of the specific requirements and capabilities that the IoT is expected to support in order to address the challenges related to Big Data. </w:t>
            </w:r>
            <w:r w:rsidR="00930DDF" w:rsidRPr="00073574">
              <w:t>It a</w:t>
            </w:r>
            <w:r w:rsidR="00F0236A" w:rsidRPr="00073574">
              <w:t>lso constitutes a basis for further standardization work (e.g. functional entities, APIs and protocols) concerning Big Data in the IoT.</w:t>
            </w:r>
          </w:p>
          <w:p w14:paraId="0C4FAD65" w14:textId="2D4FC2C6" w:rsidR="00C32763" w:rsidRPr="00073574" w:rsidRDefault="00C32763" w:rsidP="009A0992">
            <w:pPr>
              <w:pStyle w:val="ListParagraph"/>
              <w:numPr>
                <w:ilvl w:val="1"/>
                <w:numId w:val="40"/>
              </w:numPr>
              <w:contextualSpacing w:val="0"/>
            </w:pPr>
            <w:r w:rsidRPr="00073574">
              <w:t>ITU-T Y.4120 “</w:t>
            </w:r>
            <w:r w:rsidRPr="00073574">
              <w:rPr>
                <w:rFonts w:eastAsia="Times New Roman"/>
              </w:rPr>
              <w:t>Requirements of Internet of things applications for smart retail stores</w:t>
            </w:r>
            <w:r w:rsidRPr="00073574">
              <w:t>”</w:t>
            </w:r>
            <w:r w:rsidR="00E2514C" w:rsidRPr="00073574">
              <w:t>. Retail stores are one of the important application fields of the Internet of Things (IoT). The usage of the IoT enables “smart retail stores”. The IoT can enable a safe and efficient retail store management system for non-stop operation (24 hours / 365 days): the collection and monitoring in real time of information related to the various kinds of equipment in stores may allow early detection of equipment failure and accurate prediction of equipment problems. This Recommendation provides requirements of IoT applications for smart retail stores.</w:t>
            </w:r>
          </w:p>
          <w:p w14:paraId="575F1E0B" w14:textId="77777777" w:rsidR="00CD2CA2" w:rsidRPr="00073574" w:rsidRDefault="00CD2CA2" w:rsidP="009A0992">
            <w:pPr>
              <w:pStyle w:val="ListParagraph"/>
              <w:numPr>
                <w:ilvl w:val="1"/>
                <w:numId w:val="40"/>
              </w:numPr>
              <w:ind w:left="1077" w:hanging="357"/>
              <w:contextualSpacing w:val="0"/>
            </w:pPr>
            <w:r w:rsidRPr="00073574">
              <w:t>ITU-T Y.4805 on "Identifier service requirements for the interoperability of Smart City applications" explores the set of requirements for identifier services used in Smart City. An identifier service for Smart City must be scalable and secure, and not only promote interoperability among different Smart City applications, but also compatible with any existing practices in the application domain.</w:t>
            </w:r>
          </w:p>
          <w:p w14:paraId="5F92E1D2" w14:textId="77777777" w:rsidR="00CD2CA2" w:rsidRPr="00073574" w:rsidRDefault="00CD2CA2" w:rsidP="009A0992">
            <w:pPr>
              <w:pStyle w:val="ListParagraph"/>
              <w:numPr>
                <w:ilvl w:val="1"/>
                <w:numId w:val="40"/>
              </w:numPr>
              <w:ind w:left="1077" w:hanging="357"/>
              <w:contextualSpacing w:val="0"/>
            </w:pPr>
            <w:r w:rsidRPr="00073574">
              <w:t>ITU-T Y.4200 on "Requirements for interoperability of smart city platforms". This Recommendation defines the requirements for interoperability of a smart city platform (SCP) and reference points in order to ensure the correct functioning of the city services.</w:t>
            </w:r>
          </w:p>
          <w:p w14:paraId="3172FE5E" w14:textId="77777777" w:rsidR="00DB2123" w:rsidRPr="00073574" w:rsidRDefault="00DB2123" w:rsidP="009A0992">
            <w:pPr>
              <w:pStyle w:val="ListParagraph"/>
              <w:numPr>
                <w:ilvl w:val="1"/>
                <w:numId w:val="40"/>
              </w:numPr>
              <w:ind w:left="1077" w:hanging="357"/>
              <w:contextualSpacing w:val="0"/>
            </w:pPr>
            <w:r w:rsidRPr="00073574">
              <w:lastRenderedPageBreak/>
              <w:t>ITU-T Y.4459 on “Digital entity architecture framework for IoT interoperability” introduces digital entity architecture and its prospective in addressing interoperability and security among IoT applications.</w:t>
            </w:r>
          </w:p>
          <w:p w14:paraId="332EEB04" w14:textId="494234A7" w:rsidR="00D032CF" w:rsidRPr="00073574" w:rsidRDefault="00D032CF" w:rsidP="009A0992">
            <w:pPr>
              <w:pStyle w:val="ListParagraph"/>
              <w:numPr>
                <w:ilvl w:val="1"/>
                <w:numId w:val="40"/>
              </w:numPr>
              <w:ind w:left="1077" w:hanging="357"/>
              <w:contextualSpacing w:val="0"/>
            </w:pPr>
            <w:r w:rsidRPr="00073574">
              <w:t>ITU-T Y.</w:t>
            </w:r>
            <w:r w:rsidR="002950D0" w:rsidRPr="00073574">
              <w:t>4476 on “OID-based resolution framework for transaction of distributed ledger assigned to IoT resources”</w:t>
            </w:r>
            <w:r w:rsidR="002F57C6" w:rsidRPr="00073574">
              <w:t xml:space="preserve"> specifies a resolution framework for the transactions of a distributed ledger assigned to IoT resources. This Recommendation describes the concepts, functional requirements, architecture and procedures of an OID-based resolution framework by using DLT.</w:t>
            </w:r>
          </w:p>
        </w:tc>
      </w:tr>
      <w:tr w:rsidR="00F0236A" w:rsidRPr="00073574" w14:paraId="5A21FBC9" w14:textId="77777777" w:rsidTr="634A3A28">
        <w:trPr>
          <w:jc w:val="center"/>
        </w:trPr>
        <w:tc>
          <w:tcPr>
            <w:tcW w:w="1131" w:type="dxa"/>
            <w:vMerge w:val="restart"/>
            <w:tcBorders>
              <w:top w:val="single" w:sz="12" w:space="0" w:color="auto"/>
            </w:tcBorders>
            <w:shd w:val="clear" w:color="auto" w:fill="auto"/>
          </w:tcPr>
          <w:p w14:paraId="160EFCAC" w14:textId="77777777" w:rsidR="00F0236A" w:rsidRPr="00073574" w:rsidRDefault="00F0236A" w:rsidP="00E75CE1">
            <w:pPr>
              <w:pStyle w:val="Tabletext"/>
              <w:rPr>
                <w:b/>
                <w:bCs/>
                <w:sz w:val="24"/>
                <w:szCs w:val="24"/>
              </w:rPr>
            </w:pPr>
            <w:r w:rsidRPr="00073574">
              <w:rPr>
                <w:b/>
                <w:bCs/>
                <w:sz w:val="24"/>
                <w:szCs w:val="24"/>
              </w:rPr>
              <w:lastRenderedPageBreak/>
              <w:t>89-02</w:t>
            </w:r>
          </w:p>
        </w:tc>
        <w:tc>
          <w:tcPr>
            <w:tcW w:w="4986" w:type="dxa"/>
            <w:tcBorders>
              <w:top w:val="single" w:sz="12" w:space="0" w:color="auto"/>
              <w:bottom w:val="single" w:sz="4" w:space="0" w:color="auto"/>
            </w:tcBorders>
            <w:shd w:val="clear" w:color="auto" w:fill="auto"/>
          </w:tcPr>
          <w:p w14:paraId="580009EE" w14:textId="77777777" w:rsidR="00F0236A" w:rsidRPr="00073574" w:rsidRDefault="00F0236A" w:rsidP="00980D27">
            <w:pPr>
              <w:pStyle w:val="Tabletext"/>
              <w:keepNext/>
              <w:keepLines/>
              <w:rPr>
                <w:b/>
                <w:bCs/>
                <w:sz w:val="24"/>
                <w:szCs w:val="24"/>
              </w:rPr>
            </w:pPr>
            <w:r w:rsidRPr="00073574">
              <w:rPr>
                <w:b/>
                <w:bCs/>
                <w:sz w:val="24"/>
                <w:szCs w:val="24"/>
              </w:rPr>
              <w:t>ITU-T Study Groups to encourage collaboration between telecommunication regulators and financial services authorities to develop and implement standards and guidelines;</w:t>
            </w:r>
          </w:p>
          <w:p w14:paraId="1489D930" w14:textId="77777777" w:rsidR="00F0236A" w:rsidRPr="00073574" w:rsidRDefault="00F0236A" w:rsidP="00980D27">
            <w:pPr>
              <w:pStyle w:val="Tabletext"/>
              <w:keepNext/>
              <w:keepLines/>
              <w:rPr>
                <w:b/>
                <w:bCs/>
                <w:sz w:val="24"/>
                <w:szCs w:val="24"/>
              </w:rPr>
            </w:pPr>
            <w:r w:rsidRPr="00073574">
              <w:rPr>
                <w:b/>
                <w:bCs/>
                <w:sz w:val="24"/>
                <w:szCs w:val="24"/>
              </w:rPr>
              <w:t>and to coordinate and collaborate with other relevant SDOs and institutions with primary responsibility for financial services standards development, implementation and capacity-building, and with other groups within ITU (resolves 3, i. SGs 2)</w:t>
            </w:r>
          </w:p>
        </w:tc>
        <w:tc>
          <w:tcPr>
            <w:tcW w:w="1336" w:type="dxa"/>
            <w:tcBorders>
              <w:top w:val="single" w:sz="12" w:space="0" w:color="auto"/>
              <w:bottom w:val="single" w:sz="4" w:space="0" w:color="auto"/>
            </w:tcBorders>
            <w:shd w:val="clear" w:color="auto" w:fill="auto"/>
            <w:vAlign w:val="center"/>
          </w:tcPr>
          <w:p w14:paraId="075DC53B"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43" w:type="dxa"/>
            <w:tcBorders>
              <w:top w:val="single" w:sz="12" w:space="0" w:color="auto"/>
              <w:bottom w:val="single" w:sz="4" w:space="0" w:color="auto"/>
            </w:tcBorders>
            <w:shd w:val="clear" w:color="auto" w:fill="auto"/>
            <w:vAlign w:val="center"/>
          </w:tcPr>
          <w:p w14:paraId="33642427" w14:textId="5B59EFCA" w:rsidR="00F0236A" w:rsidRPr="00073574" w:rsidRDefault="00D377CF" w:rsidP="00DF36E1">
            <w:pPr>
              <w:pStyle w:val="Tabletext"/>
              <w:jc w:val="center"/>
              <w:rPr>
                <w:b/>
                <w:bCs/>
                <w:sz w:val="24"/>
                <w:szCs w:val="24"/>
              </w:rPr>
            </w:pPr>
            <w:r w:rsidRPr="00073574">
              <w:rPr>
                <w:b/>
                <w:bCs/>
                <w:sz w:val="24"/>
                <w:szCs w:val="24"/>
              </w:rPr>
              <w:t>√</w:t>
            </w:r>
          </w:p>
        </w:tc>
        <w:tc>
          <w:tcPr>
            <w:tcW w:w="1336" w:type="dxa"/>
            <w:tcBorders>
              <w:top w:val="single" w:sz="12" w:space="0" w:color="auto"/>
              <w:bottom w:val="single" w:sz="4" w:space="0" w:color="auto"/>
            </w:tcBorders>
            <w:shd w:val="clear" w:color="auto" w:fill="auto"/>
            <w:vAlign w:val="center"/>
          </w:tcPr>
          <w:p w14:paraId="23CBBD18" w14:textId="77777777" w:rsidR="00F0236A" w:rsidRPr="00073574" w:rsidRDefault="00F0236A" w:rsidP="00DF36E1">
            <w:pPr>
              <w:pStyle w:val="Tabletext"/>
              <w:jc w:val="center"/>
              <w:rPr>
                <w:b/>
                <w:bCs/>
                <w:sz w:val="24"/>
                <w:szCs w:val="24"/>
              </w:rPr>
            </w:pPr>
          </w:p>
        </w:tc>
      </w:tr>
      <w:tr w:rsidR="00F0236A" w:rsidRPr="00073574" w14:paraId="32D7A76C" w14:textId="77777777" w:rsidTr="634A3A28">
        <w:trPr>
          <w:jc w:val="center"/>
        </w:trPr>
        <w:tc>
          <w:tcPr>
            <w:tcW w:w="1131" w:type="dxa"/>
            <w:vMerge/>
          </w:tcPr>
          <w:p w14:paraId="64C54574" w14:textId="77777777" w:rsidR="00F0236A" w:rsidRPr="00073574" w:rsidRDefault="00F0236A" w:rsidP="00DF36E1">
            <w:pPr>
              <w:pStyle w:val="Tabletext"/>
              <w:rPr>
                <w:sz w:val="24"/>
                <w:szCs w:val="24"/>
              </w:rPr>
            </w:pPr>
          </w:p>
        </w:tc>
        <w:tc>
          <w:tcPr>
            <w:tcW w:w="8801" w:type="dxa"/>
            <w:gridSpan w:val="4"/>
            <w:tcBorders>
              <w:top w:val="single" w:sz="4" w:space="0" w:color="auto"/>
              <w:bottom w:val="single" w:sz="12" w:space="0" w:color="auto"/>
            </w:tcBorders>
            <w:shd w:val="clear" w:color="auto" w:fill="auto"/>
          </w:tcPr>
          <w:p w14:paraId="26C7438D" w14:textId="77777777" w:rsidR="00F0236A" w:rsidRPr="00073574" w:rsidRDefault="00BB745F" w:rsidP="00DF36E1">
            <w:pPr>
              <w:pStyle w:val="Tabletext"/>
              <w:rPr>
                <w:szCs w:val="22"/>
              </w:rPr>
            </w:pPr>
            <w:r w:rsidRPr="00073574">
              <w:rPr>
                <w:szCs w:val="22"/>
              </w:rPr>
              <w:t>SG3 continue</w:t>
            </w:r>
            <w:r w:rsidR="00D377CF" w:rsidRPr="00073574">
              <w:rPr>
                <w:szCs w:val="22"/>
              </w:rPr>
              <w:t>s</w:t>
            </w:r>
            <w:r w:rsidRPr="00073574">
              <w:rPr>
                <w:szCs w:val="22"/>
              </w:rPr>
              <w:t xml:space="preserve"> its work on this topic</w:t>
            </w:r>
            <w:r w:rsidR="00315396" w:rsidRPr="00073574">
              <w:rPr>
                <w:szCs w:val="22"/>
              </w:rPr>
              <w:t xml:space="preserve"> (ref</w:t>
            </w:r>
            <w:r w:rsidR="00C876BD" w:rsidRPr="00073574">
              <w:rPr>
                <w:szCs w:val="22"/>
              </w:rPr>
              <w:t>.</w:t>
            </w:r>
            <w:r w:rsidR="00315396" w:rsidRPr="00073574">
              <w:rPr>
                <w:szCs w:val="22"/>
              </w:rPr>
              <w:t xml:space="preserve"> work item D.MFScoop)</w:t>
            </w:r>
            <w:r w:rsidR="00D377CF" w:rsidRPr="00073574">
              <w:rPr>
                <w:szCs w:val="22"/>
              </w:rPr>
              <w:t>.</w:t>
            </w:r>
          </w:p>
          <w:p w14:paraId="41431754" w14:textId="77777777" w:rsidR="0027666B" w:rsidRPr="00073574" w:rsidRDefault="0027666B">
            <w:pPr>
              <w:pStyle w:val="Tabletext"/>
              <w:rPr>
                <w:szCs w:val="22"/>
              </w:rPr>
            </w:pPr>
            <w:r w:rsidRPr="00073574">
              <w:rPr>
                <w:szCs w:val="22"/>
              </w:rPr>
              <w:t>SG9 is organizing a series of workshops on the future of TV in the various regions of the ITU. A session on regulatory and policy aspects is always organized where regulators are invited to speak and discuss on urgent related-issues requiring attention in their region.</w:t>
            </w:r>
          </w:p>
          <w:p w14:paraId="6A81B2D4" w14:textId="760DD0FC" w:rsidR="00AD4E16" w:rsidRPr="00073574" w:rsidRDefault="00AD4E16">
            <w:pPr>
              <w:pStyle w:val="Tabletext"/>
              <w:rPr>
                <w:szCs w:val="22"/>
              </w:rPr>
            </w:pPr>
            <w:r w:rsidRPr="00073574">
              <w:rPr>
                <w:szCs w:val="22"/>
              </w:rPr>
              <w:t>SG11 organized a “Brainstorming session on SS7 vulnerabilities and the impact on different industries including digital financial services” (Geneva, 22 October 2019)</w:t>
            </w:r>
            <w:r w:rsidR="00870DCB" w:rsidRPr="00073574">
              <w:rPr>
                <w:szCs w:val="22"/>
              </w:rPr>
              <w:t>.</w:t>
            </w:r>
            <w:r w:rsidR="004C32BC" w:rsidRPr="00073574">
              <w:rPr>
                <w:szCs w:val="22"/>
              </w:rPr>
              <w:t xml:space="preserve"> On 29 November 2021</w:t>
            </w:r>
            <w:r w:rsidR="001069B5" w:rsidRPr="00073574">
              <w:rPr>
                <w:szCs w:val="22"/>
              </w:rPr>
              <w:t xml:space="preserve">, SG11 in close collaboration with SG2 and SG17 organized ITU Workshop </w:t>
            </w:r>
            <w:r w:rsidR="00A45285" w:rsidRPr="00073574">
              <w:rPr>
                <w:szCs w:val="22"/>
              </w:rPr>
              <w:t xml:space="preserve">on “Improving the security of signalling protocols” which </w:t>
            </w:r>
            <w:r w:rsidR="00807570" w:rsidRPr="00073574">
              <w:rPr>
                <w:szCs w:val="22"/>
              </w:rPr>
              <w:t xml:space="preserve">among other issues, focused on </w:t>
            </w:r>
            <w:r w:rsidR="006F1831" w:rsidRPr="00073574">
              <w:rPr>
                <w:szCs w:val="22"/>
              </w:rPr>
              <w:t xml:space="preserve">the certificate-based </w:t>
            </w:r>
            <w:r w:rsidR="00C026E5" w:rsidRPr="00073574">
              <w:rPr>
                <w:szCs w:val="22"/>
              </w:rPr>
              <w:t xml:space="preserve">signalling </w:t>
            </w:r>
            <w:r w:rsidR="00542E65" w:rsidRPr="00073574">
              <w:rPr>
                <w:szCs w:val="22"/>
              </w:rPr>
              <w:t>solution</w:t>
            </w:r>
            <w:r w:rsidR="006F1831" w:rsidRPr="00073574">
              <w:rPr>
                <w:szCs w:val="22"/>
              </w:rPr>
              <w:t xml:space="preserve"> defined in ITU-T Q</w:t>
            </w:r>
            <w:r w:rsidR="00F13BF8" w:rsidRPr="00073574">
              <w:rPr>
                <w:szCs w:val="22"/>
              </w:rPr>
              <w:t>.</w:t>
            </w:r>
            <w:r w:rsidR="006F1831" w:rsidRPr="00073574">
              <w:rPr>
                <w:szCs w:val="22"/>
              </w:rPr>
              <w:t xml:space="preserve">3057 </w:t>
            </w:r>
            <w:r w:rsidR="00F13BF8" w:rsidRPr="00073574">
              <w:rPr>
                <w:szCs w:val="22"/>
              </w:rPr>
              <w:t xml:space="preserve">as a potential </w:t>
            </w:r>
            <w:r w:rsidR="007A08DB" w:rsidRPr="00073574">
              <w:rPr>
                <w:szCs w:val="22"/>
              </w:rPr>
              <w:t>approach which may help financial institutions to build trustable connection with their customers</w:t>
            </w:r>
            <w:r w:rsidR="00A45285" w:rsidRPr="00073574">
              <w:rPr>
                <w:szCs w:val="22"/>
              </w:rPr>
              <w:t>.</w:t>
            </w:r>
          </w:p>
          <w:p w14:paraId="10AD8EBB" w14:textId="128E2D30" w:rsidR="0033395D" w:rsidRPr="00073574" w:rsidRDefault="0033395D" w:rsidP="00870DCB">
            <w:pPr>
              <w:pStyle w:val="Tabletext"/>
            </w:pPr>
            <w:r w:rsidRPr="00073574">
              <w:t>SG12 workshops address QoS and QoE matters related to digital financial services.</w:t>
            </w:r>
          </w:p>
          <w:p w14:paraId="7F066182" w14:textId="54CD9DA2" w:rsidR="0033395D" w:rsidRPr="00073574" w:rsidRDefault="04765D4D" w:rsidP="7277BFE4">
            <w:pPr>
              <w:pStyle w:val="Tabletext"/>
            </w:pPr>
            <w:r w:rsidRPr="00073574">
              <w:t>The FIGI Security Infrastructure and Trust WG led by TSB set up a FIDO authentication server which can be used by develo</w:t>
            </w:r>
            <w:r w:rsidR="592BE321" w:rsidRPr="00073574">
              <w:t>pers for testing their applications and a Security Lab that can be used to test for vulnerabilities of DFS applications based on USSD, STK and Android.</w:t>
            </w:r>
          </w:p>
        </w:tc>
      </w:tr>
      <w:tr w:rsidR="00F0236A" w:rsidRPr="00073574" w14:paraId="2CC371D1" w14:textId="77777777" w:rsidTr="634A3A28">
        <w:trPr>
          <w:jc w:val="center"/>
        </w:trPr>
        <w:tc>
          <w:tcPr>
            <w:tcW w:w="1131" w:type="dxa"/>
            <w:vMerge w:val="restart"/>
            <w:tcBorders>
              <w:top w:val="single" w:sz="12" w:space="0" w:color="auto"/>
            </w:tcBorders>
            <w:shd w:val="clear" w:color="auto" w:fill="auto"/>
          </w:tcPr>
          <w:p w14:paraId="163EA2FE" w14:textId="77777777" w:rsidR="00F0236A" w:rsidRPr="00073574" w:rsidRDefault="00F0236A" w:rsidP="00B11835">
            <w:pPr>
              <w:pStyle w:val="Tabletext"/>
              <w:keepNext/>
              <w:keepLines/>
              <w:rPr>
                <w:b/>
                <w:bCs/>
                <w:sz w:val="24"/>
                <w:szCs w:val="24"/>
              </w:rPr>
            </w:pPr>
            <w:r w:rsidRPr="00073574">
              <w:rPr>
                <w:b/>
                <w:bCs/>
                <w:sz w:val="24"/>
                <w:szCs w:val="24"/>
              </w:rPr>
              <w:t>89-03</w:t>
            </w:r>
          </w:p>
        </w:tc>
        <w:tc>
          <w:tcPr>
            <w:tcW w:w="4986" w:type="dxa"/>
            <w:tcBorders>
              <w:top w:val="single" w:sz="12" w:space="0" w:color="auto"/>
              <w:bottom w:val="single" w:sz="4" w:space="0" w:color="auto"/>
            </w:tcBorders>
            <w:shd w:val="clear" w:color="auto" w:fill="auto"/>
          </w:tcPr>
          <w:p w14:paraId="7BFFAC0F" w14:textId="77777777" w:rsidR="00F0236A" w:rsidRPr="00073574" w:rsidRDefault="00F0236A" w:rsidP="00B11835">
            <w:pPr>
              <w:pStyle w:val="Tabletext"/>
              <w:keepNext/>
              <w:keepLines/>
              <w:rPr>
                <w:b/>
                <w:bCs/>
                <w:sz w:val="24"/>
                <w:szCs w:val="24"/>
              </w:rPr>
            </w:pPr>
            <w:r w:rsidRPr="00073574">
              <w:rPr>
                <w:b/>
                <w:bCs/>
                <w:sz w:val="24"/>
                <w:szCs w:val="24"/>
              </w:rPr>
              <w:t>ITU-T Study Groups to encourage the use of innovative digital tools and technologies, as appropriate, to advance financial inclusion (resolves 4)</w:t>
            </w:r>
          </w:p>
        </w:tc>
        <w:tc>
          <w:tcPr>
            <w:tcW w:w="1336" w:type="dxa"/>
            <w:tcBorders>
              <w:top w:val="single" w:sz="12" w:space="0" w:color="auto"/>
              <w:bottom w:val="single" w:sz="4" w:space="0" w:color="auto"/>
            </w:tcBorders>
            <w:shd w:val="clear" w:color="auto" w:fill="auto"/>
            <w:vAlign w:val="center"/>
          </w:tcPr>
          <w:p w14:paraId="1A78A7B9" w14:textId="77777777" w:rsidR="00F0236A" w:rsidRPr="00073574" w:rsidRDefault="00F0236A" w:rsidP="00B11835">
            <w:pPr>
              <w:pStyle w:val="Tabletext"/>
              <w:keepNext/>
              <w:keepLines/>
              <w:jc w:val="center"/>
              <w:rPr>
                <w:b/>
                <w:bCs/>
                <w:sz w:val="24"/>
                <w:szCs w:val="24"/>
              </w:rPr>
            </w:pPr>
            <w:r w:rsidRPr="00073574">
              <w:rPr>
                <w:b/>
                <w:bCs/>
                <w:sz w:val="24"/>
                <w:szCs w:val="24"/>
              </w:rPr>
              <w:t>Ongoing</w:t>
            </w:r>
          </w:p>
        </w:tc>
        <w:tc>
          <w:tcPr>
            <w:tcW w:w="1143" w:type="dxa"/>
            <w:tcBorders>
              <w:top w:val="single" w:sz="12" w:space="0" w:color="auto"/>
              <w:bottom w:val="single" w:sz="4" w:space="0" w:color="auto"/>
            </w:tcBorders>
            <w:shd w:val="clear" w:color="auto" w:fill="auto"/>
            <w:vAlign w:val="center"/>
          </w:tcPr>
          <w:p w14:paraId="21C729D1" w14:textId="1A7D48BC" w:rsidR="00F0236A" w:rsidRPr="00073574" w:rsidRDefault="005F5555" w:rsidP="00B11835">
            <w:pPr>
              <w:pStyle w:val="Tabletext"/>
              <w:keepNext/>
              <w:keepLines/>
              <w:jc w:val="center"/>
              <w:rPr>
                <w:b/>
                <w:bCs/>
                <w:sz w:val="24"/>
                <w:szCs w:val="24"/>
              </w:rPr>
            </w:pPr>
            <w:r w:rsidRPr="00073574">
              <w:rPr>
                <w:b/>
                <w:bCs/>
                <w:sz w:val="24"/>
                <w:szCs w:val="24"/>
              </w:rPr>
              <w:t>√</w:t>
            </w:r>
          </w:p>
        </w:tc>
        <w:tc>
          <w:tcPr>
            <w:tcW w:w="1336" w:type="dxa"/>
            <w:tcBorders>
              <w:top w:val="single" w:sz="12" w:space="0" w:color="auto"/>
              <w:bottom w:val="single" w:sz="4" w:space="0" w:color="auto"/>
            </w:tcBorders>
            <w:shd w:val="clear" w:color="auto" w:fill="auto"/>
            <w:vAlign w:val="center"/>
          </w:tcPr>
          <w:p w14:paraId="709C06F2" w14:textId="77777777" w:rsidR="00F0236A" w:rsidRPr="00073574" w:rsidRDefault="00F0236A" w:rsidP="00B11835">
            <w:pPr>
              <w:pStyle w:val="Tabletext"/>
              <w:keepNext/>
              <w:keepLines/>
              <w:jc w:val="center"/>
              <w:rPr>
                <w:b/>
                <w:bCs/>
                <w:sz w:val="24"/>
                <w:szCs w:val="24"/>
              </w:rPr>
            </w:pPr>
          </w:p>
        </w:tc>
      </w:tr>
      <w:tr w:rsidR="00F0236A" w:rsidRPr="00073574" w14:paraId="3EF50F44" w14:textId="77777777" w:rsidTr="634A3A28">
        <w:trPr>
          <w:jc w:val="center"/>
        </w:trPr>
        <w:tc>
          <w:tcPr>
            <w:tcW w:w="1131" w:type="dxa"/>
            <w:vMerge/>
          </w:tcPr>
          <w:p w14:paraId="60F23B29" w14:textId="77777777" w:rsidR="00F0236A" w:rsidRPr="00073574" w:rsidRDefault="00F0236A" w:rsidP="00B11835">
            <w:pPr>
              <w:pStyle w:val="Tabletext"/>
              <w:keepNext/>
              <w:keepLines/>
              <w:rPr>
                <w:sz w:val="24"/>
                <w:szCs w:val="24"/>
              </w:rPr>
            </w:pPr>
          </w:p>
        </w:tc>
        <w:tc>
          <w:tcPr>
            <w:tcW w:w="8801" w:type="dxa"/>
            <w:gridSpan w:val="4"/>
            <w:tcBorders>
              <w:top w:val="single" w:sz="4" w:space="0" w:color="auto"/>
              <w:bottom w:val="single" w:sz="12" w:space="0" w:color="auto"/>
            </w:tcBorders>
            <w:shd w:val="clear" w:color="auto" w:fill="auto"/>
          </w:tcPr>
          <w:p w14:paraId="47D484BD" w14:textId="331A57D8" w:rsidR="00F0236A" w:rsidRPr="00073574" w:rsidRDefault="0033395D" w:rsidP="00B11835">
            <w:pPr>
              <w:pStyle w:val="Tabletext"/>
              <w:keepNext/>
              <w:keepLines/>
              <w:rPr>
                <w:szCs w:val="22"/>
              </w:rPr>
            </w:pPr>
            <w:r w:rsidRPr="00073574">
              <w:rPr>
                <w:szCs w:val="22"/>
              </w:rPr>
              <w:t>SG12: see 89-01 and 89-02</w:t>
            </w:r>
          </w:p>
        </w:tc>
      </w:tr>
      <w:tr w:rsidR="00F0236A" w:rsidRPr="00073574" w14:paraId="78FE1298" w14:textId="77777777" w:rsidTr="634A3A28">
        <w:trPr>
          <w:jc w:val="center"/>
        </w:trPr>
        <w:tc>
          <w:tcPr>
            <w:tcW w:w="1131" w:type="dxa"/>
            <w:vMerge w:val="restart"/>
            <w:tcBorders>
              <w:top w:val="single" w:sz="12" w:space="0" w:color="auto"/>
            </w:tcBorders>
            <w:shd w:val="clear" w:color="auto" w:fill="auto"/>
          </w:tcPr>
          <w:p w14:paraId="5A577DEA" w14:textId="77777777" w:rsidR="00F0236A" w:rsidRPr="00073574" w:rsidRDefault="00F0236A" w:rsidP="005D2D59">
            <w:pPr>
              <w:pStyle w:val="Tabletext"/>
              <w:keepNext/>
              <w:keepLines/>
              <w:rPr>
                <w:b/>
                <w:bCs/>
                <w:sz w:val="24"/>
                <w:szCs w:val="24"/>
              </w:rPr>
            </w:pPr>
            <w:r w:rsidRPr="00073574">
              <w:rPr>
                <w:b/>
                <w:bCs/>
                <w:sz w:val="24"/>
                <w:szCs w:val="24"/>
              </w:rPr>
              <w:t>89-04</w:t>
            </w:r>
          </w:p>
        </w:tc>
        <w:tc>
          <w:tcPr>
            <w:tcW w:w="4986" w:type="dxa"/>
            <w:tcBorders>
              <w:top w:val="single" w:sz="12" w:space="0" w:color="auto"/>
              <w:bottom w:val="single" w:sz="4" w:space="0" w:color="auto"/>
            </w:tcBorders>
            <w:shd w:val="clear" w:color="auto" w:fill="auto"/>
          </w:tcPr>
          <w:p w14:paraId="69866E85" w14:textId="77777777" w:rsidR="00F0236A" w:rsidRPr="00073574" w:rsidRDefault="00F0236A" w:rsidP="00DF36E1">
            <w:pPr>
              <w:pStyle w:val="Tabletext"/>
              <w:rPr>
                <w:b/>
                <w:bCs/>
                <w:sz w:val="24"/>
                <w:szCs w:val="24"/>
              </w:rPr>
            </w:pPr>
            <w:r w:rsidRPr="00073574">
              <w:rPr>
                <w:b/>
                <w:bCs/>
                <w:sz w:val="24"/>
                <w:szCs w:val="24"/>
              </w:rPr>
              <w:t>TSB Director to report on progress on the implementation of this resolution annually to the Council, and to the 2020 world telecommunication standardization assembly (i. TSBDir 1)</w:t>
            </w:r>
          </w:p>
        </w:tc>
        <w:tc>
          <w:tcPr>
            <w:tcW w:w="1336" w:type="dxa"/>
            <w:tcBorders>
              <w:top w:val="single" w:sz="12" w:space="0" w:color="auto"/>
              <w:bottom w:val="single" w:sz="4" w:space="0" w:color="auto"/>
            </w:tcBorders>
            <w:shd w:val="clear" w:color="auto" w:fill="auto"/>
            <w:vAlign w:val="center"/>
          </w:tcPr>
          <w:p w14:paraId="654ACF76" w14:textId="66A6BCCF" w:rsidR="00F0236A" w:rsidRPr="00073574" w:rsidRDefault="00F0236A" w:rsidP="00DF36E1">
            <w:pPr>
              <w:pStyle w:val="Tabletext"/>
              <w:jc w:val="center"/>
              <w:rPr>
                <w:b/>
                <w:bCs/>
                <w:sz w:val="24"/>
                <w:szCs w:val="24"/>
              </w:rPr>
            </w:pPr>
            <w:r w:rsidRPr="00073574">
              <w:rPr>
                <w:b/>
                <w:bCs/>
                <w:sz w:val="24"/>
                <w:szCs w:val="24"/>
              </w:rPr>
              <w:t>Council 20</w:t>
            </w:r>
            <w:r w:rsidR="001D7555" w:rsidRPr="00073574">
              <w:rPr>
                <w:b/>
                <w:bCs/>
                <w:sz w:val="24"/>
                <w:szCs w:val="24"/>
              </w:rPr>
              <w:t>2</w:t>
            </w:r>
            <w:r w:rsidR="00120D10" w:rsidRPr="00073574">
              <w:rPr>
                <w:b/>
                <w:bCs/>
                <w:sz w:val="24"/>
                <w:szCs w:val="24"/>
              </w:rPr>
              <w:t>1</w:t>
            </w:r>
          </w:p>
          <w:p w14:paraId="0205D855" w14:textId="77777777" w:rsidR="00F0236A" w:rsidRPr="00073574" w:rsidRDefault="00F0236A" w:rsidP="00DF36E1">
            <w:pPr>
              <w:pStyle w:val="Tabletext"/>
              <w:jc w:val="center"/>
              <w:rPr>
                <w:b/>
                <w:bCs/>
                <w:sz w:val="24"/>
                <w:szCs w:val="24"/>
              </w:rPr>
            </w:pPr>
            <w:r w:rsidRPr="00073574">
              <w:rPr>
                <w:b/>
                <w:bCs/>
                <w:sz w:val="24"/>
                <w:szCs w:val="24"/>
              </w:rPr>
              <w:t>WTSA-20</w:t>
            </w:r>
          </w:p>
        </w:tc>
        <w:tc>
          <w:tcPr>
            <w:tcW w:w="1143" w:type="dxa"/>
            <w:tcBorders>
              <w:top w:val="single" w:sz="12" w:space="0" w:color="auto"/>
              <w:bottom w:val="single" w:sz="4" w:space="0" w:color="auto"/>
            </w:tcBorders>
            <w:shd w:val="clear" w:color="auto" w:fill="auto"/>
            <w:vAlign w:val="center"/>
          </w:tcPr>
          <w:p w14:paraId="3548EF06"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bottom w:val="single" w:sz="4" w:space="0" w:color="auto"/>
            </w:tcBorders>
            <w:shd w:val="clear" w:color="auto" w:fill="auto"/>
            <w:vAlign w:val="center"/>
          </w:tcPr>
          <w:p w14:paraId="4A069139" w14:textId="4055067D" w:rsidR="00F0236A" w:rsidRPr="00073574" w:rsidRDefault="00710256" w:rsidP="00DF36E1">
            <w:pPr>
              <w:pStyle w:val="Tabletext"/>
              <w:jc w:val="center"/>
              <w:rPr>
                <w:b/>
                <w:bCs/>
                <w:sz w:val="24"/>
                <w:szCs w:val="24"/>
              </w:rPr>
            </w:pPr>
            <w:r w:rsidRPr="00073574">
              <w:rPr>
                <w:b/>
                <w:bCs/>
                <w:sz w:val="24"/>
                <w:szCs w:val="24"/>
              </w:rPr>
              <w:t>√</w:t>
            </w:r>
          </w:p>
        </w:tc>
      </w:tr>
      <w:tr w:rsidR="00F0236A" w:rsidRPr="00073574" w14:paraId="6569562C" w14:textId="77777777" w:rsidTr="634A3A28">
        <w:trPr>
          <w:jc w:val="center"/>
        </w:trPr>
        <w:tc>
          <w:tcPr>
            <w:tcW w:w="1131" w:type="dxa"/>
            <w:vMerge/>
          </w:tcPr>
          <w:p w14:paraId="461C37B8" w14:textId="77777777" w:rsidR="00F0236A" w:rsidRPr="00073574" w:rsidRDefault="00F0236A" w:rsidP="00DF36E1">
            <w:pPr>
              <w:pStyle w:val="Tabletext"/>
              <w:rPr>
                <w:sz w:val="24"/>
                <w:szCs w:val="24"/>
              </w:rPr>
            </w:pPr>
          </w:p>
        </w:tc>
        <w:tc>
          <w:tcPr>
            <w:tcW w:w="8801" w:type="dxa"/>
            <w:gridSpan w:val="4"/>
            <w:tcBorders>
              <w:top w:val="single" w:sz="4" w:space="0" w:color="auto"/>
              <w:bottom w:val="single" w:sz="12" w:space="0" w:color="auto"/>
            </w:tcBorders>
            <w:shd w:val="clear" w:color="auto" w:fill="auto"/>
          </w:tcPr>
          <w:p w14:paraId="10BAEAEF" w14:textId="77777777" w:rsidR="00F0236A" w:rsidRPr="00073574" w:rsidRDefault="00F0236A" w:rsidP="11FB90E8">
            <w:pPr>
              <w:spacing w:before="40" w:after="40"/>
            </w:pPr>
            <w:r w:rsidRPr="00073574">
              <w:t xml:space="preserve">A report (see </w:t>
            </w:r>
            <w:hyperlink r:id="rId753">
              <w:r w:rsidRPr="00073574">
                <w:rPr>
                  <w:rStyle w:val="Hyperlink"/>
                </w:rPr>
                <w:t>C17/68</w:t>
              </w:r>
            </w:hyperlink>
            <w:r w:rsidRPr="00073574">
              <w:t>) has been sent to Council 2017 on the outputs of the ITU-T Focus Group Digital Financial Services and the activities planned for the next phase of digital financial services (DFS).</w:t>
            </w:r>
            <w:r w:rsidR="009E29A9" w:rsidRPr="00073574">
              <w:t xml:space="preserve"> See also C19/35 Annex 1.</w:t>
            </w:r>
            <w:r w:rsidR="1CB0B2AE" w:rsidRPr="00073574">
              <w:t xml:space="preserve"> A report </w:t>
            </w:r>
            <w:r w:rsidR="00C678B7" w:rsidRPr="00073574">
              <w:t xml:space="preserve">(in </w:t>
            </w:r>
            <w:hyperlink r:id="rId754" w:history="1">
              <w:r w:rsidR="00C678B7" w:rsidRPr="00073574">
                <w:rPr>
                  <w:rStyle w:val="Hyperlink"/>
                </w:rPr>
                <w:t>C20/35</w:t>
              </w:r>
            </w:hyperlink>
            <w:r w:rsidR="00C678B7" w:rsidRPr="00073574">
              <w:t xml:space="preserve">) </w:t>
            </w:r>
            <w:r w:rsidR="1CB0B2AE" w:rsidRPr="00073574">
              <w:t xml:space="preserve">was sent to Council 2020 on the </w:t>
            </w:r>
            <w:r w:rsidR="1CB0B2AE" w:rsidRPr="00073574">
              <w:lastRenderedPageBreak/>
              <w:t xml:space="preserve">activities under Financial Inclusion Global Initiative </w:t>
            </w:r>
            <w:r w:rsidR="391A82AC" w:rsidRPr="00073574">
              <w:t xml:space="preserve">(FIGI) </w:t>
            </w:r>
            <w:r w:rsidR="1CB0B2AE" w:rsidRPr="00073574">
              <w:t xml:space="preserve">and the </w:t>
            </w:r>
            <w:r w:rsidR="07551FD1" w:rsidRPr="00073574">
              <w:t>standardization activities in the ITU-T Study Groups and F</w:t>
            </w:r>
            <w:r w:rsidR="275786B8" w:rsidRPr="00073574">
              <w:t xml:space="preserve">ocus Groups </w:t>
            </w:r>
            <w:r w:rsidR="07551FD1" w:rsidRPr="00073574">
              <w:t>related to digital financial services for the period 2019/20.</w:t>
            </w:r>
          </w:p>
          <w:p w14:paraId="42C4D73C" w14:textId="746788D6" w:rsidR="00710256" w:rsidRPr="00073574" w:rsidRDefault="00710256" w:rsidP="11FB90E8">
            <w:pPr>
              <w:spacing w:before="40" w:after="40"/>
            </w:pPr>
            <w:r w:rsidRPr="00073574">
              <w:t>Resolution 89 (</w:t>
            </w:r>
            <w:r w:rsidR="0045311A" w:rsidRPr="00073574">
              <w:t>Hammamet, 2016</w:t>
            </w:r>
            <w:r w:rsidRPr="00073574">
              <w:t xml:space="preserve">) on “Promoting the use of information and communication technologies to bridge the financial inclusion gap” </w:t>
            </w:r>
            <w:r w:rsidR="0045311A" w:rsidRPr="00073574">
              <w:t xml:space="preserve">instructs </w:t>
            </w:r>
            <w:r w:rsidR="000B62FF" w:rsidRPr="00073574">
              <w:t>the TSB Director to report on progress on the implementation of this resolution to the 2020 WTSA.</w:t>
            </w:r>
          </w:p>
          <w:p w14:paraId="3DCBE405" w14:textId="77777777" w:rsidR="00D878BF" w:rsidRPr="00073574" w:rsidRDefault="00D878BF" w:rsidP="00271FDC">
            <w:pPr>
              <w:pStyle w:val="ListParagraph"/>
              <w:numPr>
                <w:ilvl w:val="0"/>
                <w:numId w:val="128"/>
              </w:numPr>
              <w:ind w:left="284" w:hanging="284"/>
              <w:contextualSpacing w:val="0"/>
              <w:rPr>
                <w:b/>
                <w:bCs/>
              </w:rPr>
            </w:pPr>
            <w:r w:rsidRPr="00073574">
              <w:rPr>
                <w:b/>
                <w:bCs/>
              </w:rPr>
              <w:t>Background</w:t>
            </w:r>
          </w:p>
          <w:p w14:paraId="0F192B78" w14:textId="70166DB6" w:rsidR="00D878BF" w:rsidRPr="00073574" w:rsidRDefault="00D878BF" w:rsidP="00271FDC">
            <w:r w:rsidRPr="00073574">
              <w:t xml:space="preserve">Pursuant to WTSA-16 </w:t>
            </w:r>
            <w:hyperlink r:id="rId755" w:history="1">
              <w:r w:rsidRPr="00073574">
                <w:rPr>
                  <w:rStyle w:val="Hyperlink"/>
                </w:rPr>
                <w:t>Resolution 89</w:t>
              </w:r>
            </w:hyperlink>
            <w:r w:rsidRPr="00073574">
              <w:t>, ITU has implemented a number of activities aimed at enhancing the use of ICTs in bridging the financial inclusion gap  through the following:</w:t>
            </w:r>
          </w:p>
          <w:p w14:paraId="53A55556" w14:textId="77777777" w:rsidR="00D878BF" w:rsidRPr="00073574" w:rsidRDefault="00D878BF" w:rsidP="00271FDC">
            <w:pPr>
              <w:pStyle w:val="ListParagraph"/>
              <w:numPr>
                <w:ilvl w:val="0"/>
                <w:numId w:val="129"/>
              </w:numPr>
              <w:ind w:left="714" w:hanging="357"/>
              <w:contextualSpacing w:val="0"/>
            </w:pPr>
            <w:r w:rsidRPr="00073574">
              <w:t>The Financial Inclusion Global Initiative (FIGI) programme</w:t>
            </w:r>
          </w:p>
          <w:p w14:paraId="08C7ADAC" w14:textId="283414CE" w:rsidR="00D878BF" w:rsidRPr="00073574" w:rsidRDefault="00D878BF" w:rsidP="00271FDC">
            <w:pPr>
              <w:pStyle w:val="ListParagraph"/>
              <w:numPr>
                <w:ilvl w:val="0"/>
                <w:numId w:val="129"/>
              </w:numPr>
              <w:ind w:left="714" w:hanging="357"/>
              <w:contextualSpacing w:val="0"/>
            </w:pPr>
            <w:r w:rsidRPr="00073574">
              <w:t>The ITU-T Study Groups and Focus Groups work programme (more details can be found in WTSA-16 Action Plan 89-01 and 89-05)</w:t>
            </w:r>
            <w:r w:rsidR="00271FDC" w:rsidRPr="00073574">
              <w:t>.</w:t>
            </w:r>
          </w:p>
          <w:p w14:paraId="6F5E4266" w14:textId="77777777" w:rsidR="00D878BF" w:rsidRPr="00073574" w:rsidRDefault="00D878BF" w:rsidP="00271FDC">
            <w:pPr>
              <w:pStyle w:val="ListParagraph"/>
              <w:numPr>
                <w:ilvl w:val="0"/>
                <w:numId w:val="129"/>
              </w:numPr>
              <w:ind w:left="714" w:hanging="357"/>
              <w:contextualSpacing w:val="0"/>
            </w:pPr>
            <w:r w:rsidRPr="00073574">
              <w:t>The DFS Security Lab established as part of the activities under FIGI to promote the recommendations on security best practices for digital finance and vulnerability testing in mobile payment applications as well as encourage collaboration among telecon and financial services regulators on security for digital financial services.</w:t>
            </w:r>
          </w:p>
          <w:p w14:paraId="0E2635A0" w14:textId="77777777" w:rsidR="00D878BF" w:rsidRPr="00073574" w:rsidRDefault="00D878BF" w:rsidP="00271FDC">
            <w:pPr>
              <w:pStyle w:val="ListParagraph"/>
              <w:numPr>
                <w:ilvl w:val="0"/>
                <w:numId w:val="129"/>
              </w:numPr>
              <w:ind w:left="714" w:hanging="357"/>
              <w:contextualSpacing w:val="0"/>
            </w:pPr>
            <w:r w:rsidRPr="00073574">
              <w:t>Organisation of webinars on digital financial services (More information can be found in WTSA Action Plan 89-07)</w:t>
            </w:r>
          </w:p>
          <w:p w14:paraId="6AE3E442" w14:textId="141C11F3" w:rsidR="00D878BF" w:rsidRPr="00073574" w:rsidRDefault="00D878BF" w:rsidP="00271FDC">
            <w:pPr>
              <w:pStyle w:val="ListParagraph"/>
              <w:numPr>
                <w:ilvl w:val="0"/>
                <w:numId w:val="129"/>
              </w:numPr>
              <w:ind w:left="714" w:hanging="357"/>
              <w:contextualSpacing w:val="0"/>
            </w:pPr>
            <w:r w:rsidRPr="00073574">
              <w:t>Digital Currency Global Initiative</w:t>
            </w:r>
            <w:r w:rsidR="00271FDC" w:rsidRPr="00073574">
              <w:t>.</w:t>
            </w:r>
          </w:p>
          <w:p w14:paraId="18D3F8A1" w14:textId="7FBF4135" w:rsidR="00D878BF" w:rsidRPr="00073574" w:rsidRDefault="00D878BF" w:rsidP="00271FDC">
            <w:pPr>
              <w:pStyle w:val="ListParagraph"/>
              <w:numPr>
                <w:ilvl w:val="0"/>
                <w:numId w:val="128"/>
              </w:numPr>
              <w:ind w:left="284" w:hanging="284"/>
              <w:contextualSpacing w:val="0"/>
              <w:rPr>
                <w:b/>
                <w:bCs/>
              </w:rPr>
            </w:pPr>
            <w:r w:rsidRPr="00073574">
              <w:rPr>
                <w:b/>
                <w:bCs/>
              </w:rPr>
              <w:t>Financial Inclusion Global Initiative (FIGI)</w:t>
            </w:r>
          </w:p>
          <w:p w14:paraId="16F5F781" w14:textId="77777777" w:rsidR="00D878BF" w:rsidRPr="00073574" w:rsidRDefault="00D878BF" w:rsidP="00271FDC">
            <w:r w:rsidRPr="00073574">
              <w:t>FIGI was established in 2017 as a collective action to advance research in digital finance and accelerate digital financial inclusion in developing countries. FIGI is led jointly by ITU, the World Bank Group and the Committee on Payments and Market Infrastructures, with support from the Bill &amp; Melinda Gates Foundation. FIGI funded national implementations in three countries, namely China, Egypt and Mexico, and established three Working Groups: (1) Electronic Payment Acceptance, (2) Digital ID Working Group led by the World Bank, and (3) Security, Infrastructure and Trust Working Group (SIT WG) led by ITU to support the country implementation.</w:t>
            </w:r>
          </w:p>
          <w:p w14:paraId="22C4DFF9" w14:textId="2F676C91" w:rsidR="00D878BF" w:rsidRPr="00073574" w:rsidRDefault="00D878BF" w:rsidP="00271FDC">
            <w:r w:rsidRPr="00073574">
              <w:t>ITU implemented the following activities under FIGI umbrella between 2017 - 2021:</w:t>
            </w:r>
          </w:p>
          <w:p w14:paraId="75D10EB9" w14:textId="77777777" w:rsidR="00D878BF" w:rsidRPr="00073574" w:rsidRDefault="00D878BF" w:rsidP="00271FDC">
            <w:pPr>
              <w:pStyle w:val="ListParagraph"/>
              <w:numPr>
                <w:ilvl w:val="0"/>
                <w:numId w:val="130"/>
              </w:numPr>
              <w:ind w:left="357" w:hanging="357"/>
              <w:contextualSpacing w:val="0"/>
            </w:pPr>
            <w:r w:rsidRPr="00073574">
              <w:t xml:space="preserve">ITU held three FIGI Symposia attended </w:t>
            </w:r>
            <w:r w:rsidRPr="00073574">
              <w:rPr>
                <w:b/>
                <w:bCs/>
              </w:rPr>
              <w:t xml:space="preserve">by over 2000 participants from 148+ countries </w:t>
            </w:r>
            <w:r w:rsidRPr="00073574">
              <w:t>in 2017, 2019 and 2021. The three FIGI Symposium helped exchange knowledge, insights and lessons learned gathered by FIGI’s working groups, country implementation programs and related stakeholders to understand ‘what works’ for scaling up digital financial services and fostering financial inclusion globally. FIGI Symposia included representation from regulators, industry leaders, digital financial services providers and international partners across the financial and ICT sectors and focused on dialogue. More information about the three FIGI Symposia can be found in WTSA Action Plan 89-07.</w:t>
            </w:r>
          </w:p>
          <w:p w14:paraId="702EC30B" w14:textId="77777777" w:rsidR="00D878BF" w:rsidRPr="00073574" w:rsidRDefault="00D878BF" w:rsidP="00271FDC">
            <w:pPr>
              <w:pStyle w:val="ListParagraph"/>
              <w:numPr>
                <w:ilvl w:val="0"/>
                <w:numId w:val="130"/>
              </w:numPr>
              <w:ind w:left="357" w:hanging="357"/>
              <w:contextualSpacing w:val="0"/>
            </w:pPr>
            <w:r w:rsidRPr="00073574">
              <w:t>The FIGI SIT Working Group led by ITU produced 16 technical reports around areas such as infrastructure security, strong authentication, quality of service, addressing fraud, protection of consumer data and privacy, and securing mobile payment applications. These reports were disseminated to the ITU-T Study Groups 3, 11, 12 and 17 for incorporation in their standardization work and led to new work items, technical reports and ITU-T Recommendations (See WTSA Action Plan 89-05 for more details).</w:t>
            </w:r>
          </w:p>
          <w:p w14:paraId="4CFD764E" w14:textId="77777777" w:rsidR="00D878BF" w:rsidRPr="00073574" w:rsidRDefault="00D878BF" w:rsidP="00271FDC">
            <w:pPr>
              <w:pStyle w:val="ListParagraph"/>
              <w:numPr>
                <w:ilvl w:val="0"/>
                <w:numId w:val="130"/>
              </w:numPr>
              <w:ind w:left="357" w:hanging="357"/>
              <w:contextualSpacing w:val="0"/>
            </w:pPr>
            <w:r w:rsidRPr="00073574">
              <w:t>Setting up of the DFS Security Lab at the ITU to conduct security tests on mobile payment applications and to promote the security recommendations from FIGI at level of emerging economies.</w:t>
            </w:r>
          </w:p>
          <w:p w14:paraId="32B06B2C" w14:textId="77777777" w:rsidR="00D878BF" w:rsidRPr="00073574" w:rsidRDefault="00D878BF" w:rsidP="00D878BF">
            <w:pPr>
              <w:pStyle w:val="ListParagraph"/>
              <w:numPr>
                <w:ilvl w:val="0"/>
                <w:numId w:val="130"/>
              </w:numPr>
              <w:spacing w:before="0" w:after="120"/>
              <w:ind w:left="357" w:hanging="357"/>
              <w:contextualSpacing w:val="0"/>
              <w:jc w:val="both"/>
            </w:pPr>
            <w:r w:rsidRPr="00073574">
              <w:lastRenderedPageBreak/>
              <w:t>FIGI Security Clinics were held on 4-5 December 2019 in Geneva and in November 2020 as online events for Mexico and Egypt to disseminate the recommendations of the FIGI SIT WG (For more information about the Security Clinics please refer to WTSA Action Plan 89-07).</w:t>
            </w:r>
          </w:p>
          <w:p w14:paraId="34D31CD5" w14:textId="77777777" w:rsidR="00D878BF" w:rsidRPr="00073574" w:rsidRDefault="00D878BF" w:rsidP="00271FDC">
            <w:pPr>
              <w:pStyle w:val="ListParagraph"/>
              <w:numPr>
                <w:ilvl w:val="0"/>
                <w:numId w:val="128"/>
              </w:numPr>
              <w:ind w:left="284" w:hanging="284"/>
              <w:contextualSpacing w:val="0"/>
              <w:rPr>
                <w:b/>
                <w:bCs/>
              </w:rPr>
            </w:pPr>
            <w:r w:rsidRPr="00073574">
              <w:rPr>
                <w:b/>
                <w:bCs/>
              </w:rPr>
              <w:t>DFS Security Lab</w:t>
            </w:r>
          </w:p>
          <w:p w14:paraId="59851D32" w14:textId="05E2D835" w:rsidR="00D878BF" w:rsidRPr="00073574" w:rsidRDefault="00D878BF" w:rsidP="00271FDC">
            <w:r w:rsidRPr="00073574">
              <w:t>When it comes to security of mobile payment applications for both those based on USSD or STK and those operating on smartphones and based on Android or iOS, it was observed that there is not a common approach for regulators, developers and DFS providers to test DFS mobile apps in a complex mobile ecosystem in order to verify the level of assurance on security with regards to systemic vulnerabilities. The DFS Security Lab aims to address this issue.</w:t>
            </w:r>
          </w:p>
          <w:p w14:paraId="2A50CAD2" w14:textId="39F7D37C" w:rsidR="00D878BF" w:rsidRPr="00073574" w:rsidRDefault="00D878BF" w:rsidP="00271FDC">
            <w:r w:rsidRPr="00073574">
              <w:t xml:space="preserve">The DFS Security Lab adopts the OWASP Mobile Top 10 Security risks methodology to conduct security testing of mobile payment applications operating on USSD, STK and Android environments and provide guidance to DFS regulators on adopting security best practices for managing security risks to DFS applications and the </w:t>
            </w:r>
            <w:r w:rsidR="00271FDC" w:rsidRPr="00073574">
              <w:t>telecommunications</w:t>
            </w:r>
            <w:r w:rsidRPr="00073574">
              <w:t xml:space="preserve"> infrastructure. The DFS Security Lab is collaborating with DFS regulators (both telecom and Central Banks) in emerging economies to provide guidance on implementation of the security recommendations from FIGI and conduct security tests on mobile payment applications.</w:t>
            </w:r>
          </w:p>
          <w:p w14:paraId="7881A105" w14:textId="77777777" w:rsidR="00D878BF" w:rsidRPr="00A7495D" w:rsidRDefault="00D878BF" w:rsidP="00D878BF">
            <w:pPr>
              <w:pStyle w:val="NoSpacing"/>
              <w:spacing w:before="120"/>
              <w:rPr>
                <w:rFonts w:ascii="Times New Roman" w:hAnsi="Times New Roman" w:cs="Times New Roman"/>
                <w:sz w:val="22"/>
                <w:szCs w:val="22"/>
                <w:lang w:val="en-GB"/>
              </w:rPr>
            </w:pPr>
            <w:r w:rsidRPr="00A7495D">
              <w:rPr>
                <w:rFonts w:ascii="Times New Roman" w:hAnsi="Times New Roman" w:cs="Times New Roman"/>
                <w:sz w:val="22"/>
                <w:szCs w:val="22"/>
                <w:lang w:val="en-GB"/>
              </w:rPr>
              <w:t>The DFS Security Lab services are as follows:</w:t>
            </w:r>
          </w:p>
          <w:p w14:paraId="200B28A4" w14:textId="0E07ABC0" w:rsidR="00D878BF" w:rsidRPr="00A7495D" w:rsidRDefault="00D878BF" w:rsidP="00271FDC">
            <w:pPr>
              <w:pStyle w:val="NoSpacing"/>
              <w:numPr>
                <w:ilvl w:val="0"/>
                <w:numId w:val="131"/>
              </w:numPr>
              <w:spacing w:before="120"/>
              <w:ind w:left="714" w:hanging="357"/>
              <w:rPr>
                <w:rFonts w:ascii="Times New Roman" w:hAnsi="Times New Roman" w:cs="Times New Roman"/>
                <w:sz w:val="22"/>
                <w:szCs w:val="22"/>
                <w:lang w:val="en-GB"/>
              </w:rPr>
            </w:pPr>
            <w:r w:rsidRPr="00A7495D">
              <w:rPr>
                <w:rFonts w:ascii="Times New Roman" w:hAnsi="Times New Roman" w:cs="Times New Roman"/>
                <w:sz w:val="22"/>
                <w:szCs w:val="22"/>
                <w:lang w:val="en-GB"/>
              </w:rPr>
              <w:t>Conduct security tests on mobile payment applications operating on USSD, STK and Android using the OWASP Mobile Top 10 Security Risks</w:t>
            </w:r>
            <w:r w:rsidR="00271FDC" w:rsidRPr="00A7495D">
              <w:rPr>
                <w:rFonts w:ascii="Times New Roman" w:hAnsi="Times New Roman" w:cs="Times New Roman"/>
                <w:sz w:val="22"/>
                <w:szCs w:val="22"/>
                <w:lang w:val="en-GB"/>
              </w:rPr>
              <w:t>.</w:t>
            </w:r>
          </w:p>
          <w:p w14:paraId="6722DDBD" w14:textId="66EA3201" w:rsidR="00D878BF" w:rsidRPr="00A7495D" w:rsidRDefault="00D878BF" w:rsidP="00271FDC">
            <w:pPr>
              <w:pStyle w:val="NoSpacing"/>
              <w:numPr>
                <w:ilvl w:val="0"/>
                <w:numId w:val="131"/>
              </w:numPr>
              <w:spacing w:before="120"/>
              <w:ind w:left="714" w:hanging="357"/>
              <w:rPr>
                <w:rFonts w:ascii="Times New Roman" w:hAnsi="Times New Roman" w:cs="Times New Roman"/>
                <w:sz w:val="22"/>
                <w:szCs w:val="22"/>
                <w:lang w:val="en-GB"/>
              </w:rPr>
            </w:pPr>
            <w:r w:rsidRPr="00A7495D">
              <w:rPr>
                <w:rFonts w:ascii="Times New Roman" w:hAnsi="Times New Roman" w:cs="Times New Roman"/>
                <w:sz w:val="22"/>
                <w:szCs w:val="22"/>
                <w:lang w:val="en-GB"/>
              </w:rPr>
              <w:t xml:space="preserve">Support regulators to implement </w:t>
            </w:r>
            <w:hyperlink r:id="rId756" w:history="1">
              <w:r w:rsidRPr="00A7495D">
                <w:rPr>
                  <w:rStyle w:val="Hyperlink"/>
                  <w:rFonts w:cs="Times New Roman"/>
                  <w:sz w:val="22"/>
                  <w:szCs w:val="22"/>
                  <w:lang w:val="en-GB"/>
                </w:rPr>
                <w:t>DFS security recommendations</w:t>
              </w:r>
            </w:hyperlink>
            <w:r w:rsidRPr="00A7495D">
              <w:rPr>
                <w:rFonts w:ascii="Times New Roman" w:hAnsi="Times New Roman" w:cs="Times New Roman"/>
                <w:sz w:val="22"/>
                <w:szCs w:val="22"/>
                <w:lang w:val="en-GB"/>
              </w:rPr>
              <w:t xml:space="preserve"> from FIGI</w:t>
            </w:r>
            <w:r w:rsidR="00271FDC" w:rsidRPr="00A7495D">
              <w:rPr>
                <w:rFonts w:ascii="Times New Roman" w:hAnsi="Times New Roman" w:cs="Times New Roman"/>
                <w:sz w:val="22"/>
                <w:szCs w:val="22"/>
                <w:lang w:val="en-GB"/>
              </w:rPr>
              <w:t>.</w:t>
            </w:r>
          </w:p>
          <w:p w14:paraId="3FA18469" w14:textId="77777777" w:rsidR="00D878BF" w:rsidRPr="00A7495D" w:rsidRDefault="00D878BF" w:rsidP="00271FDC">
            <w:pPr>
              <w:pStyle w:val="NoSpacing"/>
              <w:numPr>
                <w:ilvl w:val="0"/>
                <w:numId w:val="131"/>
              </w:numPr>
              <w:spacing w:before="120"/>
              <w:ind w:left="714" w:hanging="357"/>
              <w:rPr>
                <w:rFonts w:ascii="Times New Roman" w:hAnsi="Times New Roman" w:cs="Times New Roman"/>
                <w:sz w:val="22"/>
                <w:szCs w:val="22"/>
                <w:lang w:val="en-GB"/>
              </w:rPr>
            </w:pPr>
            <w:r w:rsidRPr="00A7495D">
              <w:rPr>
                <w:rFonts w:ascii="Times New Roman" w:hAnsi="Times New Roman" w:cs="Times New Roman"/>
                <w:sz w:val="22"/>
                <w:szCs w:val="22"/>
                <w:lang w:val="en-GB"/>
              </w:rPr>
              <w:t>Provide guidance on managing the DFS ecosystem security risks and mitigation measures.</w:t>
            </w:r>
          </w:p>
          <w:p w14:paraId="32618770" w14:textId="77777777" w:rsidR="00D878BF" w:rsidRPr="00A7495D" w:rsidRDefault="00D878BF" w:rsidP="00271FDC">
            <w:pPr>
              <w:pStyle w:val="NoSpacing"/>
              <w:numPr>
                <w:ilvl w:val="0"/>
                <w:numId w:val="131"/>
              </w:numPr>
              <w:spacing w:before="120"/>
              <w:ind w:left="714" w:hanging="357"/>
              <w:rPr>
                <w:rFonts w:ascii="Times New Roman" w:hAnsi="Times New Roman" w:cs="Times New Roman"/>
                <w:sz w:val="22"/>
                <w:szCs w:val="22"/>
                <w:lang w:val="en-GB"/>
              </w:rPr>
            </w:pPr>
            <w:r w:rsidRPr="00A7495D">
              <w:rPr>
                <w:rFonts w:ascii="Times New Roman" w:hAnsi="Times New Roman" w:cs="Times New Roman"/>
                <w:sz w:val="22"/>
                <w:szCs w:val="22"/>
                <w:lang w:val="en-GB"/>
              </w:rPr>
              <w:t>Provide developer resources for implementing FIDO authentication using the Lab FIDO authentication server;</w:t>
            </w:r>
          </w:p>
          <w:p w14:paraId="62959E9D" w14:textId="77777777" w:rsidR="00D878BF" w:rsidRPr="00A7495D" w:rsidRDefault="00D878BF" w:rsidP="00271FDC">
            <w:pPr>
              <w:pStyle w:val="NoSpacing"/>
              <w:numPr>
                <w:ilvl w:val="0"/>
                <w:numId w:val="131"/>
              </w:numPr>
              <w:spacing w:before="120"/>
              <w:ind w:left="714" w:hanging="357"/>
              <w:rPr>
                <w:rFonts w:ascii="Times New Roman" w:hAnsi="Times New Roman" w:cs="Times New Roman"/>
                <w:sz w:val="22"/>
                <w:szCs w:val="22"/>
                <w:lang w:val="en-GB"/>
              </w:rPr>
            </w:pPr>
            <w:r w:rsidRPr="00A7495D">
              <w:rPr>
                <w:rFonts w:ascii="Times New Roman" w:hAnsi="Times New Roman" w:cs="Times New Roman"/>
                <w:sz w:val="22"/>
                <w:szCs w:val="22"/>
                <w:lang w:val="en-GB"/>
              </w:rPr>
              <w:t>Organize security clinics targeting DFS regulators and providers to stay up to date with new vulnerabilities and mitigation measures and for guidance on implementation of the security recommendations from FIGI;</w:t>
            </w:r>
          </w:p>
          <w:p w14:paraId="207326A1" w14:textId="36D99CB8" w:rsidR="00D878BF" w:rsidRPr="00073574" w:rsidRDefault="00D878BF" w:rsidP="00271FDC">
            <w:pPr>
              <w:jc w:val="both"/>
              <w:rPr>
                <w:rFonts w:eastAsiaTheme="minorHAnsi"/>
              </w:rPr>
            </w:pPr>
            <w:r w:rsidRPr="00A7495D">
              <w:rPr>
                <w:szCs w:val="22"/>
              </w:rPr>
              <w:t>In 2021, the Security Lab conducted online security clinics for the following</w:t>
            </w:r>
            <w:r w:rsidRPr="00073574">
              <w:t xml:space="preserve"> countries: Nigeria, Uganda, Eswatini, Tunisia, Zimbabwe and Malawi.</w:t>
            </w:r>
          </w:p>
          <w:p w14:paraId="7C9DBEE2" w14:textId="77777777" w:rsidR="00D878BF" w:rsidRPr="00073574" w:rsidRDefault="00D878BF" w:rsidP="00271FDC">
            <w:pPr>
              <w:pStyle w:val="ListParagraph"/>
              <w:numPr>
                <w:ilvl w:val="0"/>
                <w:numId w:val="128"/>
              </w:numPr>
              <w:ind w:left="284" w:hanging="284"/>
              <w:contextualSpacing w:val="0"/>
              <w:rPr>
                <w:b/>
                <w:bCs/>
              </w:rPr>
            </w:pPr>
            <w:r w:rsidRPr="00073574">
              <w:rPr>
                <w:b/>
                <w:bCs/>
              </w:rPr>
              <w:t>Standardization Activities in ITU-T Study Groups and Focus Groups related to DFS</w:t>
            </w:r>
          </w:p>
          <w:p w14:paraId="7EA0BC9A" w14:textId="77777777" w:rsidR="00D878BF" w:rsidRPr="00073574" w:rsidRDefault="00D878BF" w:rsidP="00271FDC">
            <w:r w:rsidRPr="00073574">
              <w:t>ITU-T Study Groups 3, 11, 12, 16, 17 and 20 developed technical reports and ITU-T Recommendations related to digital financial services (see WTSA action Plan 89-01 and 89-05 for more details). The 28 technical reports from Focus Group Digital Financial Services were submitted to all Study Groups for incorporation in their standardization activities. A number of these reports were adopted as technical reports in ITU-T SG 3. The reports from FIGI SIT working groups were also transferred to ITU-T SG3, 11, 12 and 17.</w:t>
            </w:r>
          </w:p>
          <w:p w14:paraId="2A14A6EF" w14:textId="77777777" w:rsidR="00D878BF" w:rsidRPr="00073574" w:rsidRDefault="00D878BF" w:rsidP="00271FDC">
            <w:pPr>
              <w:pStyle w:val="ListParagraph"/>
              <w:numPr>
                <w:ilvl w:val="0"/>
                <w:numId w:val="128"/>
              </w:numPr>
              <w:ind w:left="284" w:hanging="284"/>
              <w:contextualSpacing w:val="0"/>
              <w:rPr>
                <w:b/>
                <w:bCs/>
              </w:rPr>
            </w:pPr>
            <w:r w:rsidRPr="00073574">
              <w:rPr>
                <w:b/>
                <w:bCs/>
              </w:rPr>
              <w:t>Digital Currency Global Initiative</w:t>
            </w:r>
          </w:p>
          <w:p w14:paraId="7554EC5F" w14:textId="77777777" w:rsidR="00D878BF" w:rsidRPr="00073574" w:rsidRDefault="00D878BF" w:rsidP="00D878BF">
            <w:pPr>
              <w:rPr>
                <w:color w:val="000000" w:themeColor="text1"/>
              </w:rPr>
            </w:pPr>
            <w:r w:rsidRPr="00073574">
              <w:rPr>
                <w:color w:val="000000" w:themeColor="text1"/>
              </w:rPr>
              <w:t xml:space="preserve">The </w:t>
            </w:r>
            <w:hyperlink r:id="rId757" w:history="1">
              <w:r w:rsidRPr="00073574">
                <w:rPr>
                  <w:rStyle w:val="Hyperlink"/>
                  <w:rFonts w:eastAsia="Calibri"/>
                  <w:color w:val="0070C0"/>
                </w:rPr>
                <w:t>Digital Currency Global Initiative</w:t>
              </w:r>
            </w:hyperlink>
            <w:r w:rsidRPr="00073574">
              <w:rPr>
                <w:color w:val="000000" w:themeColor="text1"/>
              </w:rPr>
              <w:t xml:space="preserve"> (DCGI) is a collaboration between ITU and Future of Digital Currency Initiative of Stanford University and was established in July 2020. Its main objectives are to:</w:t>
            </w:r>
          </w:p>
          <w:p w14:paraId="55FCF8A3" w14:textId="77777777" w:rsidR="00D878BF" w:rsidRPr="00073574" w:rsidRDefault="00D878BF" w:rsidP="00271FDC">
            <w:pPr>
              <w:pStyle w:val="ListParagraph"/>
              <w:numPr>
                <w:ilvl w:val="0"/>
                <w:numId w:val="2"/>
              </w:numPr>
              <w:contextualSpacing w:val="0"/>
              <w:rPr>
                <w:color w:val="000000" w:themeColor="text1"/>
              </w:rPr>
            </w:pPr>
            <w:r w:rsidRPr="00073574">
              <w:rPr>
                <w:color w:val="000000" w:themeColor="text1"/>
              </w:rPr>
              <w:t>Conduct further research on technical architecture, security, the technical implications and challenges in deployment caused by regulatory and policy requirements for Central Bank Digital Currency and other Digital Currencies, technology trends in digital currency and the use cases related to financial inclusion, operational efficiency and interoperability;</w:t>
            </w:r>
          </w:p>
          <w:p w14:paraId="64DB766E" w14:textId="77777777" w:rsidR="00D878BF" w:rsidRPr="00073574" w:rsidRDefault="00D878BF" w:rsidP="00271FDC">
            <w:pPr>
              <w:pStyle w:val="ListParagraph"/>
              <w:numPr>
                <w:ilvl w:val="0"/>
                <w:numId w:val="2"/>
              </w:numPr>
              <w:ind w:left="714" w:hanging="357"/>
              <w:contextualSpacing w:val="0"/>
              <w:rPr>
                <w:color w:val="000000" w:themeColor="text1"/>
              </w:rPr>
            </w:pPr>
            <w:r w:rsidRPr="00073574">
              <w:rPr>
                <w:color w:val="000000" w:themeColor="text1"/>
              </w:rPr>
              <w:lastRenderedPageBreak/>
              <w:t>Develop a set of metrics by which to evaluate the robustness of various digital currency technologies against the requirements set by various stakeholders;</w:t>
            </w:r>
          </w:p>
          <w:p w14:paraId="525B4568" w14:textId="77777777" w:rsidR="00D878BF" w:rsidRPr="00073574" w:rsidRDefault="00D878BF" w:rsidP="00271FDC">
            <w:pPr>
              <w:pStyle w:val="ListParagraph"/>
              <w:numPr>
                <w:ilvl w:val="0"/>
                <w:numId w:val="2"/>
              </w:numPr>
              <w:ind w:left="714" w:hanging="357"/>
              <w:contextualSpacing w:val="0"/>
              <w:rPr>
                <w:color w:val="000000" w:themeColor="text1"/>
              </w:rPr>
            </w:pPr>
            <w:r w:rsidRPr="00073574">
              <w:rPr>
                <w:color w:val="000000" w:themeColor="text1"/>
              </w:rPr>
              <w:t>Identify areas for standardization to enable implementation of digital currency;</w:t>
            </w:r>
          </w:p>
          <w:p w14:paraId="128292C2" w14:textId="77777777" w:rsidR="00D878BF" w:rsidRPr="00073574" w:rsidRDefault="00D878BF" w:rsidP="00271FDC">
            <w:pPr>
              <w:pStyle w:val="ListParagraph"/>
              <w:numPr>
                <w:ilvl w:val="0"/>
                <w:numId w:val="2"/>
              </w:numPr>
              <w:ind w:left="714" w:hanging="357"/>
              <w:contextualSpacing w:val="0"/>
              <w:rPr>
                <w:color w:val="000000" w:themeColor="text1"/>
              </w:rPr>
            </w:pPr>
            <w:r w:rsidRPr="00073574">
              <w:rPr>
                <w:color w:val="000000" w:themeColor="text1"/>
              </w:rPr>
              <w:t>Organize a conference on an annual basis to share information on best practices, technical standards and lessons learned on digital currency implementation.</w:t>
            </w:r>
          </w:p>
          <w:p w14:paraId="07720642" w14:textId="189A243D" w:rsidR="00D878BF" w:rsidRPr="00073574" w:rsidRDefault="00D878BF" w:rsidP="00271FDC">
            <w:r w:rsidRPr="00073574">
              <w:t>The Digital Currency Global Initiative brings together Central Banks, digital currency platform providers, payment service providers, fintech companies and academia and provides a platform to share the latest findings on implementation of central bank digital currencies, stablecoins, and cryptocurrencies and related use cases. More details about the Digital Currency Global Initiative can be found in WTSA Action Plan 89-06.</w:t>
            </w:r>
          </w:p>
          <w:p w14:paraId="4E0AE0CE" w14:textId="77777777" w:rsidR="00D878BF" w:rsidRPr="00073574" w:rsidRDefault="00D878BF" w:rsidP="00271FDC">
            <w:pPr>
              <w:pStyle w:val="ListParagraph"/>
              <w:numPr>
                <w:ilvl w:val="0"/>
                <w:numId w:val="128"/>
              </w:numPr>
              <w:ind w:left="284" w:hanging="284"/>
              <w:contextualSpacing w:val="0"/>
              <w:rPr>
                <w:b/>
                <w:bCs/>
              </w:rPr>
            </w:pPr>
            <w:r w:rsidRPr="00073574">
              <w:rPr>
                <w:b/>
                <w:bCs/>
              </w:rPr>
              <w:t>Summary</w:t>
            </w:r>
          </w:p>
          <w:p w14:paraId="43927A44" w14:textId="03D5F4A1" w:rsidR="000B62FF" w:rsidRPr="00073574" w:rsidRDefault="00D878BF" w:rsidP="00A80265">
            <w:r w:rsidRPr="00073574">
              <w:t>A number of activities were successfully implemented under the FIGI programme and in the standardization work in the Study Groups and Focus Groups for WTSA-16 Resolution 89 to bridge the financial inclusion gap. The reports from FIGI SIT WG provided additional inputs to the standardization work of ITU-T Study Groups for DFS. In addition, the DFS Security Lab established under FIGI will enable dissemination of the security recommendations and best practices for security of mobile payment applications (from ITU-T SG 17) at level of emerging economies and also provide a platform for DFS regulators in emerging economies to address cybersecurity risks for digital finance. It is expected that the ongoing collaboration with the Gates Foundation on digital financial services post FIGI as well as the Digital Currency Global Initiative with Future of Digital Currency at Stanford University exploring the applications of digital currencies would lead to further inputs to the standardization work of ITU-T Study Groups on digital financial services.</w:t>
            </w:r>
          </w:p>
        </w:tc>
      </w:tr>
      <w:tr w:rsidR="00F0236A" w:rsidRPr="00073574" w14:paraId="28A134C5" w14:textId="77777777" w:rsidTr="634A3A28">
        <w:trPr>
          <w:jc w:val="center"/>
        </w:trPr>
        <w:tc>
          <w:tcPr>
            <w:tcW w:w="1131" w:type="dxa"/>
            <w:vMerge w:val="restart"/>
            <w:tcBorders>
              <w:top w:val="single" w:sz="12" w:space="0" w:color="auto"/>
            </w:tcBorders>
            <w:shd w:val="clear" w:color="auto" w:fill="auto"/>
          </w:tcPr>
          <w:p w14:paraId="151BBD2A" w14:textId="77777777" w:rsidR="00F0236A" w:rsidRPr="00073574" w:rsidRDefault="00F0236A" w:rsidP="006357C1">
            <w:pPr>
              <w:pStyle w:val="Tabletext"/>
              <w:keepNext/>
              <w:keepLines/>
              <w:rPr>
                <w:b/>
                <w:bCs/>
                <w:sz w:val="24"/>
                <w:szCs w:val="24"/>
              </w:rPr>
            </w:pPr>
            <w:r w:rsidRPr="00073574">
              <w:rPr>
                <w:b/>
                <w:bCs/>
                <w:sz w:val="24"/>
                <w:szCs w:val="24"/>
              </w:rPr>
              <w:lastRenderedPageBreak/>
              <w:t>89-05</w:t>
            </w:r>
          </w:p>
        </w:tc>
        <w:tc>
          <w:tcPr>
            <w:tcW w:w="4986" w:type="dxa"/>
            <w:tcBorders>
              <w:top w:val="single" w:sz="12" w:space="0" w:color="auto"/>
              <w:bottom w:val="single" w:sz="4" w:space="0" w:color="auto"/>
            </w:tcBorders>
            <w:shd w:val="clear" w:color="auto" w:fill="auto"/>
          </w:tcPr>
          <w:p w14:paraId="6434AC4D" w14:textId="77777777" w:rsidR="00F0236A" w:rsidRPr="00073574" w:rsidRDefault="00F0236A" w:rsidP="00DF36E1">
            <w:pPr>
              <w:pStyle w:val="Tabletext"/>
              <w:rPr>
                <w:b/>
                <w:bCs/>
                <w:sz w:val="24"/>
                <w:szCs w:val="24"/>
              </w:rPr>
            </w:pPr>
            <w:r w:rsidRPr="00073574">
              <w:rPr>
                <w:b/>
                <w:bCs/>
                <w:sz w:val="24"/>
                <w:szCs w:val="24"/>
              </w:rPr>
              <w:t>TSB Director to support the development of reports and best practices on digital financial inclusion, taking into consideration relevant studies, where clearly within the mandate of the Union and not duplicative of work for which other SDOs and institutions are responsible (i. TSBDir 2)</w:t>
            </w:r>
          </w:p>
        </w:tc>
        <w:tc>
          <w:tcPr>
            <w:tcW w:w="1336" w:type="dxa"/>
            <w:tcBorders>
              <w:top w:val="single" w:sz="12" w:space="0" w:color="auto"/>
              <w:bottom w:val="single" w:sz="4" w:space="0" w:color="auto"/>
            </w:tcBorders>
            <w:shd w:val="clear" w:color="auto" w:fill="auto"/>
            <w:vAlign w:val="center"/>
          </w:tcPr>
          <w:p w14:paraId="53C30114"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43" w:type="dxa"/>
            <w:tcBorders>
              <w:top w:val="single" w:sz="12" w:space="0" w:color="auto"/>
              <w:bottom w:val="single" w:sz="4" w:space="0" w:color="auto"/>
            </w:tcBorders>
            <w:shd w:val="clear" w:color="auto" w:fill="auto"/>
            <w:vAlign w:val="center"/>
          </w:tcPr>
          <w:p w14:paraId="7B0D46CF"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bottom w:val="single" w:sz="4" w:space="0" w:color="auto"/>
            </w:tcBorders>
            <w:shd w:val="clear" w:color="auto" w:fill="auto"/>
            <w:vAlign w:val="center"/>
          </w:tcPr>
          <w:p w14:paraId="47627EA4" w14:textId="77777777" w:rsidR="00F0236A" w:rsidRPr="00073574" w:rsidRDefault="00F0236A" w:rsidP="00DF36E1">
            <w:pPr>
              <w:pStyle w:val="Tabletext"/>
              <w:jc w:val="center"/>
              <w:rPr>
                <w:b/>
                <w:bCs/>
                <w:sz w:val="24"/>
                <w:szCs w:val="24"/>
              </w:rPr>
            </w:pPr>
          </w:p>
        </w:tc>
      </w:tr>
      <w:tr w:rsidR="00F0236A" w:rsidRPr="00073574" w14:paraId="17CB39D2" w14:textId="77777777" w:rsidTr="634A3A28">
        <w:trPr>
          <w:jc w:val="center"/>
        </w:trPr>
        <w:tc>
          <w:tcPr>
            <w:tcW w:w="1131" w:type="dxa"/>
            <w:vMerge/>
          </w:tcPr>
          <w:p w14:paraId="4B721F37" w14:textId="77777777" w:rsidR="00F0236A" w:rsidRPr="00073574" w:rsidRDefault="00F0236A" w:rsidP="00DF36E1">
            <w:pPr>
              <w:pStyle w:val="Tabletext"/>
              <w:rPr>
                <w:sz w:val="24"/>
                <w:szCs w:val="24"/>
              </w:rPr>
            </w:pPr>
          </w:p>
        </w:tc>
        <w:tc>
          <w:tcPr>
            <w:tcW w:w="8801" w:type="dxa"/>
            <w:gridSpan w:val="4"/>
            <w:tcBorders>
              <w:top w:val="single" w:sz="4" w:space="0" w:color="auto"/>
              <w:bottom w:val="single" w:sz="12" w:space="0" w:color="auto"/>
            </w:tcBorders>
            <w:shd w:val="clear" w:color="auto" w:fill="auto"/>
          </w:tcPr>
          <w:p w14:paraId="74245CEA" w14:textId="6D9F9D00" w:rsidR="00F0236A" w:rsidRPr="00073574" w:rsidRDefault="00F0236A" w:rsidP="00E15AC7">
            <w:pPr>
              <w:pStyle w:val="LSForAction"/>
              <w:spacing w:before="40"/>
              <w:rPr>
                <w:rFonts w:eastAsiaTheme="minorEastAsia"/>
                <w:b w:val="0"/>
                <w:bCs w:val="0"/>
                <w:sz w:val="22"/>
                <w:szCs w:val="22"/>
                <w:lang w:eastAsia="ja-JP"/>
              </w:rPr>
            </w:pPr>
            <w:r w:rsidRPr="00073574">
              <w:rPr>
                <w:rFonts w:eastAsiaTheme="minorEastAsia"/>
                <w:b w:val="0"/>
                <w:bCs w:val="0"/>
                <w:sz w:val="22"/>
                <w:szCs w:val="22"/>
                <w:lang w:eastAsia="ja-JP"/>
              </w:rPr>
              <w:t xml:space="preserve">The outputs of the Focus Group </w:t>
            </w:r>
            <w:r w:rsidR="00BB5FF7" w:rsidRPr="00073574">
              <w:rPr>
                <w:rFonts w:eastAsiaTheme="minorEastAsia"/>
                <w:b w:val="0"/>
                <w:bCs w:val="0"/>
                <w:sz w:val="22"/>
                <w:szCs w:val="22"/>
                <w:lang w:eastAsia="ja-JP"/>
              </w:rPr>
              <w:t>were</w:t>
            </w:r>
            <w:r w:rsidRPr="00073574">
              <w:rPr>
                <w:rFonts w:eastAsiaTheme="minorEastAsia"/>
                <w:b w:val="0"/>
                <w:bCs w:val="0"/>
                <w:sz w:val="22"/>
                <w:szCs w:val="22"/>
                <w:lang w:eastAsia="ja-JP"/>
              </w:rPr>
              <w:t xml:space="preserve"> published in March 2017 (See </w:t>
            </w:r>
            <w:hyperlink r:id="rId758" w:history="1">
              <w:r w:rsidR="00BA0B92" w:rsidRPr="00073574">
                <w:rPr>
                  <w:rStyle w:val="Hyperlink"/>
                  <w:rFonts w:eastAsiaTheme="minorEastAsia"/>
                  <w:b w:val="0"/>
                  <w:sz w:val="22"/>
                  <w:szCs w:val="22"/>
                </w:rPr>
                <w:t>TSAG-</w:t>
              </w:r>
              <w:r w:rsidR="00112C75" w:rsidRPr="00073574">
                <w:rPr>
                  <w:rStyle w:val="Hyperlink"/>
                  <w:rFonts w:eastAsiaTheme="minorEastAsia"/>
                  <w:b w:val="0"/>
                  <w:sz w:val="22"/>
                  <w:szCs w:val="22"/>
                </w:rPr>
                <w:t>TD</w:t>
              </w:r>
              <w:r w:rsidRPr="00073574">
                <w:rPr>
                  <w:rStyle w:val="Hyperlink"/>
                  <w:rFonts w:eastAsiaTheme="minorEastAsia"/>
                  <w:b w:val="0"/>
                  <w:sz w:val="22"/>
                  <w:szCs w:val="22"/>
                </w:rPr>
                <w:t>36</w:t>
              </w:r>
            </w:hyperlink>
            <w:r w:rsidRPr="00073574">
              <w:rPr>
                <w:rFonts w:eastAsiaTheme="minorEastAsia"/>
                <w:b w:val="0"/>
                <w:bCs w:val="0"/>
                <w:sz w:val="22"/>
                <w:szCs w:val="22"/>
                <w:lang w:eastAsia="ja-JP"/>
              </w:rPr>
              <w:t>). The Focus Group produced a series of 28 technical reports:</w:t>
            </w:r>
          </w:p>
          <w:p w14:paraId="320D7857" w14:textId="77777777" w:rsidR="00F0236A" w:rsidRPr="00073574" w:rsidRDefault="00F0236A" w:rsidP="00BE0CD0">
            <w:pPr>
              <w:pStyle w:val="enumlev10"/>
              <w:numPr>
                <w:ilvl w:val="0"/>
                <w:numId w:val="76"/>
              </w:numPr>
              <w:tabs>
                <w:tab w:val="left" w:pos="794"/>
                <w:tab w:val="left" w:pos="1191"/>
                <w:tab w:val="left" w:pos="1588"/>
                <w:tab w:val="left" w:pos="1985"/>
              </w:tabs>
              <w:overflowPunct w:val="0"/>
              <w:autoSpaceDE w:val="0"/>
              <w:autoSpaceDN w:val="0"/>
              <w:adjustRightInd w:val="0"/>
              <w:spacing w:before="120"/>
              <w:jc w:val="lowKashida"/>
              <w:rPr>
                <w:rFonts w:eastAsiaTheme="minorEastAsia"/>
                <w:lang w:eastAsia="ja-JP"/>
              </w:rPr>
            </w:pPr>
            <w:r w:rsidRPr="00073574">
              <w:rPr>
                <w:rFonts w:eastAsiaTheme="minorEastAsia"/>
                <w:lang w:eastAsia="ja-JP"/>
              </w:rPr>
              <w:t>DFS Ecosystem (12 technical reports)</w:t>
            </w:r>
          </w:p>
          <w:p w14:paraId="49CE7AD8" w14:textId="77777777" w:rsidR="00F0236A" w:rsidRPr="00073574" w:rsidRDefault="00F0236A" w:rsidP="00BE0CD0">
            <w:pPr>
              <w:pStyle w:val="enumlev10"/>
              <w:numPr>
                <w:ilvl w:val="0"/>
                <w:numId w:val="76"/>
              </w:numPr>
              <w:tabs>
                <w:tab w:val="left" w:pos="794"/>
                <w:tab w:val="left" w:pos="1191"/>
                <w:tab w:val="left" w:pos="1588"/>
                <w:tab w:val="left" w:pos="1985"/>
              </w:tabs>
              <w:overflowPunct w:val="0"/>
              <w:autoSpaceDE w:val="0"/>
              <w:autoSpaceDN w:val="0"/>
              <w:adjustRightInd w:val="0"/>
              <w:spacing w:before="120"/>
              <w:jc w:val="lowKashida"/>
              <w:rPr>
                <w:rFonts w:eastAsiaTheme="minorEastAsia"/>
                <w:lang w:eastAsia="ja-JP"/>
              </w:rPr>
            </w:pPr>
            <w:r w:rsidRPr="00073574">
              <w:rPr>
                <w:rFonts w:eastAsiaTheme="minorEastAsia"/>
                <w:lang w:eastAsia="ja-JP"/>
              </w:rPr>
              <w:t>Interoperability (5 technical reports)</w:t>
            </w:r>
          </w:p>
          <w:p w14:paraId="114B9720" w14:textId="77777777" w:rsidR="00F0236A" w:rsidRPr="00073574" w:rsidRDefault="00F0236A" w:rsidP="00BE0CD0">
            <w:pPr>
              <w:pStyle w:val="enumlev10"/>
              <w:numPr>
                <w:ilvl w:val="0"/>
                <w:numId w:val="76"/>
              </w:numPr>
              <w:tabs>
                <w:tab w:val="left" w:pos="794"/>
                <w:tab w:val="left" w:pos="1191"/>
                <w:tab w:val="left" w:pos="1588"/>
                <w:tab w:val="left" w:pos="1985"/>
              </w:tabs>
              <w:overflowPunct w:val="0"/>
              <w:autoSpaceDE w:val="0"/>
              <w:autoSpaceDN w:val="0"/>
              <w:adjustRightInd w:val="0"/>
              <w:spacing w:before="120"/>
              <w:jc w:val="lowKashida"/>
              <w:rPr>
                <w:rFonts w:eastAsiaTheme="minorEastAsia"/>
                <w:lang w:eastAsia="ja-JP"/>
              </w:rPr>
            </w:pPr>
            <w:r w:rsidRPr="00073574">
              <w:rPr>
                <w:rFonts w:eastAsiaTheme="minorEastAsia"/>
                <w:lang w:eastAsia="ja-JP"/>
              </w:rPr>
              <w:t>Consumer protection (3 technical reports)</w:t>
            </w:r>
          </w:p>
          <w:p w14:paraId="1BF15442" w14:textId="77777777" w:rsidR="00F0236A" w:rsidRPr="00073574" w:rsidRDefault="00F0236A" w:rsidP="00BE0CD0">
            <w:pPr>
              <w:pStyle w:val="enumlev10"/>
              <w:numPr>
                <w:ilvl w:val="0"/>
                <w:numId w:val="76"/>
              </w:numPr>
              <w:tabs>
                <w:tab w:val="left" w:pos="794"/>
                <w:tab w:val="left" w:pos="1191"/>
                <w:tab w:val="left" w:pos="1588"/>
                <w:tab w:val="left" w:pos="1985"/>
              </w:tabs>
              <w:overflowPunct w:val="0"/>
              <w:autoSpaceDE w:val="0"/>
              <w:autoSpaceDN w:val="0"/>
              <w:adjustRightInd w:val="0"/>
              <w:spacing w:before="120"/>
              <w:jc w:val="lowKashida"/>
              <w:rPr>
                <w:rFonts w:eastAsiaTheme="minorEastAsia"/>
                <w:lang w:eastAsia="ja-JP"/>
              </w:rPr>
            </w:pPr>
            <w:r w:rsidRPr="00073574">
              <w:rPr>
                <w:rFonts w:eastAsiaTheme="minorEastAsia"/>
                <w:lang w:eastAsia="ja-JP"/>
              </w:rPr>
              <w:t>Technology, Innovation and Competition (7 technical reports)</w:t>
            </w:r>
          </w:p>
          <w:p w14:paraId="67BAFEB5" w14:textId="77777777" w:rsidR="0072380C" w:rsidRPr="00073574" w:rsidRDefault="00024C5E" w:rsidP="00BE0CD0">
            <w:pPr>
              <w:pStyle w:val="enumlev10"/>
              <w:numPr>
                <w:ilvl w:val="0"/>
                <w:numId w:val="76"/>
              </w:numPr>
              <w:tabs>
                <w:tab w:val="left" w:pos="794"/>
                <w:tab w:val="left" w:pos="1191"/>
                <w:tab w:val="left" w:pos="1588"/>
                <w:tab w:val="left" w:pos="1985"/>
              </w:tabs>
              <w:overflowPunct w:val="0"/>
              <w:autoSpaceDE w:val="0"/>
              <w:autoSpaceDN w:val="0"/>
              <w:adjustRightInd w:val="0"/>
              <w:spacing w:before="120"/>
              <w:jc w:val="lowKashida"/>
              <w:rPr>
                <w:rFonts w:eastAsiaTheme="minorEastAsia"/>
                <w:sz w:val="24"/>
                <w:szCs w:val="24"/>
                <w:lang w:eastAsia="ja-JP"/>
              </w:rPr>
            </w:pPr>
            <w:r w:rsidRPr="00073574">
              <w:rPr>
                <w:rFonts w:eastAsiaTheme="minorEastAsia"/>
                <w:lang w:eastAsia="ja-JP"/>
              </w:rPr>
              <w:t>Main R</w:t>
            </w:r>
            <w:r w:rsidR="00F0236A" w:rsidRPr="00073574">
              <w:rPr>
                <w:rFonts w:eastAsiaTheme="minorEastAsia"/>
                <w:lang w:eastAsia="ja-JP"/>
              </w:rPr>
              <w:t>ecommendations.</w:t>
            </w:r>
          </w:p>
          <w:p w14:paraId="7E7FFC59" w14:textId="016989B5" w:rsidR="0072380C" w:rsidRPr="00073574" w:rsidRDefault="0072380C" w:rsidP="00587A0B">
            <w:pPr>
              <w:pStyle w:val="enumlev10"/>
              <w:tabs>
                <w:tab w:val="left" w:pos="794"/>
                <w:tab w:val="left" w:pos="1191"/>
                <w:tab w:val="left" w:pos="1588"/>
                <w:tab w:val="left" w:pos="1985"/>
              </w:tabs>
              <w:overflowPunct w:val="0"/>
              <w:autoSpaceDE w:val="0"/>
              <w:autoSpaceDN w:val="0"/>
              <w:adjustRightInd w:val="0"/>
              <w:spacing w:before="120" w:after="40"/>
              <w:ind w:left="0" w:firstLine="0"/>
              <w:jc w:val="left"/>
              <w:rPr>
                <w:szCs w:val="22"/>
              </w:rPr>
            </w:pPr>
            <w:r w:rsidRPr="00073574">
              <w:t xml:space="preserve">SG3 agreed nine reports </w:t>
            </w:r>
            <w:r w:rsidRPr="00073574">
              <w:rPr>
                <w:szCs w:val="22"/>
              </w:rPr>
              <w:t>of the Focus Group on Digital Financial Services (FG-DFS) to be published as SG3 Technical Reports.</w:t>
            </w:r>
            <w:r w:rsidR="00DB1549" w:rsidRPr="00073574">
              <w:rPr>
                <w:szCs w:val="22"/>
              </w:rPr>
              <w:t xml:space="preserve"> SG3 </w:t>
            </w:r>
            <w:r w:rsidR="3DEEA41D" w:rsidRPr="00073574">
              <w:rPr>
                <w:szCs w:val="22"/>
              </w:rPr>
              <w:t>developed</w:t>
            </w:r>
            <w:r w:rsidR="00DB1549" w:rsidRPr="00073574">
              <w:rPr>
                <w:szCs w:val="22"/>
              </w:rPr>
              <w:t xml:space="preserve"> a technical report on the </w:t>
            </w:r>
            <w:r w:rsidR="4D7E54C6" w:rsidRPr="00073574">
              <w:rPr>
                <w:szCs w:val="22"/>
              </w:rPr>
              <w:t>glossary</w:t>
            </w:r>
            <w:r w:rsidR="00DB1549" w:rsidRPr="00073574">
              <w:rPr>
                <w:szCs w:val="22"/>
              </w:rPr>
              <w:t xml:space="preserve"> for digital financial services.</w:t>
            </w:r>
            <w:r w:rsidR="5D1EB18D" w:rsidRPr="00073574">
              <w:rPr>
                <w:szCs w:val="22"/>
              </w:rPr>
              <w:t xml:space="preserve"> </w:t>
            </w:r>
            <w:hyperlink r:id="rId759" w:history="1">
              <w:r w:rsidR="5D1EB18D" w:rsidRPr="00073574">
                <w:rPr>
                  <w:rStyle w:val="Hyperlink"/>
                  <w:rFonts w:eastAsia="Calibri"/>
                  <w:szCs w:val="22"/>
                </w:rPr>
                <w:t>Recommendation ITU-T G.1033</w:t>
              </w:r>
            </w:hyperlink>
            <w:r w:rsidR="5D1EB18D" w:rsidRPr="00073574">
              <w:rPr>
                <w:szCs w:val="22"/>
              </w:rPr>
              <w:t xml:space="preserve"> from ITU-T SG 12 highlights important aspects related to quality of service (QoS) and quality of experience (QoE) that require consideration in the context of digital financial services and was based on the QoS </w:t>
            </w:r>
            <w:r w:rsidR="19EE353E" w:rsidRPr="00073574">
              <w:rPr>
                <w:szCs w:val="22"/>
              </w:rPr>
              <w:t>KPIs reports from the FG DFS.</w:t>
            </w:r>
          </w:p>
          <w:p w14:paraId="69552739" w14:textId="4103DC12" w:rsidR="0072380C" w:rsidRPr="00073574" w:rsidRDefault="764A5E4E" w:rsidP="0067297A">
            <w:pPr>
              <w:tabs>
                <w:tab w:val="left" w:pos="794"/>
                <w:tab w:val="left" w:pos="1191"/>
                <w:tab w:val="left" w:pos="1588"/>
                <w:tab w:val="left" w:pos="1985"/>
              </w:tabs>
              <w:overflowPunct w:val="0"/>
              <w:autoSpaceDE w:val="0"/>
              <w:autoSpaceDN w:val="0"/>
              <w:adjustRightInd w:val="0"/>
              <w:spacing w:after="40"/>
              <w:rPr>
                <w:rFonts w:eastAsia="Times New Roman"/>
                <w:szCs w:val="22"/>
              </w:rPr>
            </w:pPr>
            <w:r w:rsidRPr="00073574">
              <w:rPr>
                <w:rFonts w:eastAsia="Times New Roman"/>
                <w:szCs w:val="22"/>
              </w:rPr>
              <w:lastRenderedPageBreak/>
              <w:t xml:space="preserve">The outputs </w:t>
            </w:r>
            <w:r w:rsidR="0765E616" w:rsidRPr="00073574">
              <w:rPr>
                <w:rFonts w:eastAsia="Times New Roman"/>
                <w:szCs w:val="22"/>
              </w:rPr>
              <w:t>of</w:t>
            </w:r>
            <w:r w:rsidRPr="00073574">
              <w:rPr>
                <w:rFonts w:eastAsia="Times New Roman"/>
                <w:szCs w:val="22"/>
              </w:rPr>
              <w:t xml:space="preserve"> ITU-T Focus Group Digital Currency</w:t>
            </w:r>
            <w:r w:rsidR="560BC5B0" w:rsidRPr="00073574">
              <w:rPr>
                <w:rFonts w:eastAsia="Times New Roman"/>
                <w:szCs w:val="22"/>
              </w:rPr>
              <w:t xml:space="preserve"> including Digital Fiat Currency, were published in September 2019 (see </w:t>
            </w:r>
            <w:hyperlink r:id="rId760" w:history="1">
              <w:r w:rsidR="7AB79A09" w:rsidRPr="00073574">
                <w:rPr>
                  <w:rStyle w:val="Hyperlink"/>
                  <w:rFonts w:eastAsia="Calibri"/>
                  <w:szCs w:val="22"/>
                </w:rPr>
                <w:t>TSAG TD 476</w:t>
              </w:r>
            </w:hyperlink>
            <w:r w:rsidR="7AB79A09" w:rsidRPr="00073574">
              <w:rPr>
                <w:rFonts w:eastAsia="Times New Roman"/>
                <w:szCs w:val="22"/>
              </w:rPr>
              <w:t>). The focus group</w:t>
            </w:r>
            <w:r w:rsidRPr="00073574">
              <w:rPr>
                <w:rFonts w:eastAsia="Times New Roman"/>
                <w:szCs w:val="22"/>
              </w:rPr>
              <w:t xml:space="preserve"> produced seven technical reports under three themes:</w:t>
            </w:r>
          </w:p>
          <w:p w14:paraId="3CB2D4B6" w14:textId="5849DD41" w:rsidR="0072380C" w:rsidRPr="00073574" w:rsidRDefault="764A5E4E" w:rsidP="00A80265">
            <w:pPr>
              <w:pStyle w:val="ListParagraph"/>
              <w:numPr>
                <w:ilvl w:val="0"/>
                <w:numId w:val="111"/>
              </w:numPr>
              <w:tabs>
                <w:tab w:val="left" w:pos="794"/>
                <w:tab w:val="left" w:pos="1191"/>
                <w:tab w:val="left" w:pos="1588"/>
                <w:tab w:val="left" w:pos="1985"/>
              </w:tabs>
              <w:overflowPunct w:val="0"/>
              <w:autoSpaceDE w:val="0"/>
              <w:autoSpaceDN w:val="0"/>
              <w:adjustRightInd w:val="0"/>
              <w:spacing w:after="40"/>
              <w:ind w:left="714" w:hanging="357"/>
              <w:contextualSpacing w:val="0"/>
              <w:rPr>
                <w:rFonts w:eastAsia="Times New Roman"/>
              </w:rPr>
            </w:pPr>
            <w:r w:rsidRPr="00073574">
              <w:rPr>
                <w:rFonts w:eastAsia="Times New Roman"/>
              </w:rPr>
              <w:t>Regulatory Requirements and Economic Impact of Central Bank Digital Currency (three technical reports).</w:t>
            </w:r>
          </w:p>
          <w:p w14:paraId="3CDA4CF4" w14:textId="69CFB6E0" w:rsidR="0072380C" w:rsidRPr="00073574" w:rsidRDefault="764A5E4E" w:rsidP="00A80265">
            <w:pPr>
              <w:pStyle w:val="ListParagraph"/>
              <w:numPr>
                <w:ilvl w:val="0"/>
                <w:numId w:val="111"/>
              </w:numPr>
              <w:tabs>
                <w:tab w:val="left" w:pos="794"/>
                <w:tab w:val="left" w:pos="1191"/>
                <w:tab w:val="left" w:pos="1588"/>
                <w:tab w:val="left" w:pos="1985"/>
              </w:tabs>
              <w:overflowPunct w:val="0"/>
              <w:autoSpaceDE w:val="0"/>
              <w:autoSpaceDN w:val="0"/>
              <w:adjustRightInd w:val="0"/>
              <w:spacing w:after="40"/>
              <w:ind w:left="714" w:hanging="357"/>
              <w:contextualSpacing w:val="0"/>
              <w:rPr>
                <w:rFonts w:eastAsia="Times New Roman"/>
              </w:rPr>
            </w:pPr>
            <w:r w:rsidRPr="00073574">
              <w:rPr>
                <w:rFonts w:eastAsia="Times New Roman"/>
              </w:rPr>
              <w:t>Reference Architecture Options and Digital Currency Use Cases (two technical reports).</w:t>
            </w:r>
          </w:p>
          <w:p w14:paraId="51F8E413" w14:textId="5B2E670D" w:rsidR="0072380C" w:rsidRPr="00073574" w:rsidRDefault="764A5E4E" w:rsidP="00A80265">
            <w:pPr>
              <w:pStyle w:val="ListParagraph"/>
              <w:numPr>
                <w:ilvl w:val="0"/>
                <w:numId w:val="111"/>
              </w:numPr>
              <w:tabs>
                <w:tab w:val="left" w:pos="794"/>
                <w:tab w:val="left" w:pos="1191"/>
                <w:tab w:val="left" w:pos="1588"/>
                <w:tab w:val="left" w:pos="1985"/>
              </w:tabs>
              <w:overflowPunct w:val="0"/>
              <w:autoSpaceDE w:val="0"/>
              <w:autoSpaceDN w:val="0"/>
              <w:adjustRightInd w:val="0"/>
              <w:spacing w:after="40"/>
              <w:ind w:left="714" w:hanging="357"/>
              <w:contextualSpacing w:val="0"/>
              <w:rPr>
                <w:rFonts w:eastAsia="Times New Roman"/>
              </w:rPr>
            </w:pPr>
            <w:r w:rsidRPr="00073574">
              <w:rPr>
                <w:rFonts w:eastAsia="Times New Roman"/>
              </w:rPr>
              <w:t>Security (two technical reports).</w:t>
            </w:r>
          </w:p>
          <w:p w14:paraId="307EF026" w14:textId="7060DE3E" w:rsidR="0072380C" w:rsidRPr="00073574" w:rsidRDefault="0F3D6E0C" w:rsidP="00587A0B">
            <w:pPr>
              <w:tabs>
                <w:tab w:val="left" w:pos="794"/>
                <w:tab w:val="left" w:pos="1191"/>
                <w:tab w:val="left" w:pos="1588"/>
                <w:tab w:val="left" w:pos="1985"/>
              </w:tabs>
              <w:overflowPunct w:val="0"/>
              <w:autoSpaceDE w:val="0"/>
              <w:autoSpaceDN w:val="0"/>
              <w:adjustRightInd w:val="0"/>
              <w:spacing w:after="40"/>
              <w:jc w:val="both"/>
              <w:rPr>
                <w:rFonts w:eastAsia="Calibri"/>
                <w:szCs w:val="22"/>
              </w:rPr>
            </w:pPr>
            <w:r w:rsidRPr="00073574">
              <w:rPr>
                <w:rFonts w:eastAsia="Times New Roman"/>
                <w:szCs w:val="22"/>
              </w:rPr>
              <w:t>The reports of the Focus Group have been forwarded by TSAG to ITU-T Study Groups 16 and 17 for integration in their standardization work</w:t>
            </w:r>
            <w:r w:rsidRPr="00073574">
              <w:rPr>
                <w:rFonts w:eastAsia="Calibri"/>
                <w:szCs w:val="22"/>
              </w:rPr>
              <w:t>.</w:t>
            </w:r>
          </w:p>
          <w:p w14:paraId="2D2A0957" w14:textId="7707E22C" w:rsidR="0072380C" w:rsidRPr="00073574" w:rsidRDefault="75285836" w:rsidP="00A80265">
            <w:pPr>
              <w:tabs>
                <w:tab w:val="left" w:pos="794"/>
                <w:tab w:val="left" w:pos="1191"/>
                <w:tab w:val="left" w:pos="1588"/>
                <w:tab w:val="left" w:pos="1985"/>
              </w:tabs>
              <w:overflowPunct w:val="0"/>
              <w:autoSpaceDE w:val="0"/>
              <w:autoSpaceDN w:val="0"/>
              <w:adjustRightInd w:val="0"/>
              <w:spacing w:after="40"/>
              <w:rPr>
                <w:rFonts w:eastAsia="Calibri"/>
                <w:szCs w:val="22"/>
              </w:rPr>
            </w:pPr>
            <w:r w:rsidRPr="00073574">
              <w:rPr>
                <w:rFonts w:eastAsia="Calibri"/>
                <w:szCs w:val="22"/>
              </w:rPr>
              <w:t xml:space="preserve">The </w:t>
            </w:r>
            <w:r w:rsidR="7A76D388" w:rsidRPr="00073574">
              <w:rPr>
                <w:rFonts w:eastAsia="Calibri"/>
                <w:szCs w:val="22"/>
              </w:rPr>
              <w:t xml:space="preserve">FIGI </w:t>
            </w:r>
            <w:r w:rsidRPr="00073574">
              <w:rPr>
                <w:rFonts w:eastAsia="Calibri"/>
                <w:szCs w:val="22"/>
              </w:rPr>
              <w:t>Security, Infrastructure, and Trust Working Group</w:t>
            </w:r>
            <w:r w:rsidR="75C69BB8" w:rsidRPr="00073574">
              <w:rPr>
                <w:rFonts w:eastAsia="Calibri"/>
                <w:szCs w:val="22"/>
              </w:rPr>
              <w:t xml:space="preserve"> led by TSB </w:t>
            </w:r>
            <w:r w:rsidRPr="00073574">
              <w:rPr>
                <w:rFonts w:eastAsia="Calibri"/>
                <w:szCs w:val="22"/>
              </w:rPr>
              <w:t xml:space="preserve">held </w:t>
            </w:r>
            <w:r w:rsidR="002A0F0A" w:rsidRPr="00073574">
              <w:rPr>
                <w:rFonts w:eastAsia="Calibri"/>
                <w:szCs w:val="22"/>
              </w:rPr>
              <w:t xml:space="preserve">four </w:t>
            </w:r>
            <w:r w:rsidRPr="00073574">
              <w:rPr>
                <w:rFonts w:eastAsia="Calibri"/>
                <w:szCs w:val="22"/>
              </w:rPr>
              <w:t xml:space="preserve">face-to-face meetings </w:t>
            </w:r>
            <w:r w:rsidR="00DA6512" w:rsidRPr="00073574">
              <w:rPr>
                <w:rFonts w:eastAsia="Calibri"/>
                <w:szCs w:val="22"/>
              </w:rPr>
              <w:t>in</w:t>
            </w:r>
            <w:r w:rsidR="002A0F0A" w:rsidRPr="00073574">
              <w:rPr>
                <w:rFonts w:eastAsia="Calibri"/>
                <w:szCs w:val="22"/>
              </w:rPr>
              <w:t xml:space="preserve"> 201</w:t>
            </w:r>
            <w:r w:rsidR="00C6104C" w:rsidRPr="00073574">
              <w:rPr>
                <w:rFonts w:eastAsia="Calibri"/>
                <w:szCs w:val="22"/>
              </w:rPr>
              <w:t xml:space="preserve">8 and 2019 </w:t>
            </w:r>
            <w:r w:rsidRPr="00073574">
              <w:rPr>
                <w:rFonts w:eastAsia="Calibri"/>
                <w:szCs w:val="22"/>
              </w:rPr>
              <w:t xml:space="preserve">and </w:t>
            </w:r>
            <w:r w:rsidR="00C6104C" w:rsidRPr="00073574">
              <w:rPr>
                <w:rFonts w:eastAsia="Calibri"/>
                <w:szCs w:val="22"/>
              </w:rPr>
              <w:t xml:space="preserve">35 </w:t>
            </w:r>
            <w:r w:rsidRPr="00073574">
              <w:rPr>
                <w:rFonts w:eastAsia="Calibri"/>
                <w:szCs w:val="22"/>
              </w:rPr>
              <w:t xml:space="preserve">e-meetings </w:t>
            </w:r>
            <w:r w:rsidR="00C6104C" w:rsidRPr="00073574">
              <w:rPr>
                <w:rFonts w:eastAsia="Calibri"/>
                <w:szCs w:val="22"/>
              </w:rPr>
              <w:t>between 2018 - 2021</w:t>
            </w:r>
            <w:r w:rsidRPr="00073574">
              <w:rPr>
                <w:rFonts w:eastAsia="Calibri"/>
                <w:szCs w:val="22"/>
              </w:rPr>
              <w:t>.</w:t>
            </w:r>
            <w:r w:rsidR="4D289D21" w:rsidRPr="00073574">
              <w:rPr>
                <w:rFonts w:eastAsia="Calibri"/>
                <w:szCs w:val="22"/>
              </w:rPr>
              <w:t xml:space="preserve"> FIGI S</w:t>
            </w:r>
            <w:r w:rsidRPr="00073574">
              <w:rPr>
                <w:rFonts w:eastAsia="Calibri"/>
                <w:szCs w:val="22"/>
              </w:rPr>
              <w:t xml:space="preserve">IT WG finalized </w:t>
            </w:r>
            <w:r w:rsidR="003E2B8A" w:rsidRPr="00073574">
              <w:rPr>
                <w:rFonts w:eastAsia="Calibri"/>
                <w:szCs w:val="22"/>
              </w:rPr>
              <w:t>the following 1</w:t>
            </w:r>
            <w:r w:rsidR="00180F57" w:rsidRPr="00073574">
              <w:rPr>
                <w:rFonts w:eastAsia="Calibri"/>
                <w:szCs w:val="22"/>
              </w:rPr>
              <w:t>6</w:t>
            </w:r>
            <w:r w:rsidR="003E2B8A" w:rsidRPr="00073574">
              <w:rPr>
                <w:rFonts w:eastAsia="Calibri"/>
                <w:szCs w:val="22"/>
              </w:rPr>
              <w:t xml:space="preserve"> </w:t>
            </w:r>
            <w:r w:rsidRPr="00073574">
              <w:rPr>
                <w:rFonts w:eastAsia="Calibri"/>
                <w:szCs w:val="22"/>
              </w:rPr>
              <w:t xml:space="preserve">technical reports </w:t>
            </w:r>
            <w:r w:rsidR="00180F57" w:rsidRPr="00073574">
              <w:rPr>
                <w:rFonts w:eastAsia="Calibri"/>
                <w:szCs w:val="22"/>
              </w:rPr>
              <w:t xml:space="preserve">and resources </w:t>
            </w:r>
            <w:r w:rsidR="003E2B8A" w:rsidRPr="00073574">
              <w:rPr>
                <w:rFonts w:eastAsia="Calibri"/>
                <w:szCs w:val="22"/>
              </w:rPr>
              <w:t>between 2019 and 2021</w:t>
            </w:r>
            <w:r w:rsidR="00A80265" w:rsidRPr="00073574">
              <w:rPr>
                <w:rFonts w:eastAsia="Calibri"/>
                <w:szCs w:val="22"/>
              </w:rPr>
              <w:t xml:space="preserve"> </w:t>
            </w:r>
            <w:r w:rsidRPr="00073574">
              <w:rPr>
                <w:rFonts w:eastAsia="Calibri"/>
                <w:szCs w:val="22"/>
              </w:rPr>
              <w:t>(which are available for download on the</w:t>
            </w:r>
            <w:r w:rsidR="00666A2C" w:rsidRPr="00073574">
              <w:rPr>
                <w:rFonts w:eastAsia="Calibri"/>
                <w:szCs w:val="22"/>
              </w:rPr>
              <w:t xml:space="preserve"> </w:t>
            </w:r>
            <w:hyperlink r:id="rId761" w:history="1">
              <w:r w:rsidR="00666A2C" w:rsidRPr="00073574">
                <w:rPr>
                  <w:rStyle w:val="Hyperlink"/>
                  <w:rFonts w:eastAsia="Calibri"/>
                  <w:szCs w:val="22"/>
                </w:rPr>
                <w:t>FIGI website</w:t>
              </w:r>
            </w:hyperlink>
            <w:r w:rsidRPr="00073574">
              <w:rPr>
                <w:rFonts w:eastAsia="Calibri"/>
                <w:szCs w:val="22"/>
              </w:rPr>
              <w:t>:</w:t>
            </w:r>
          </w:p>
          <w:p w14:paraId="18B1437B" w14:textId="58BA4469" w:rsidR="0072380C" w:rsidRPr="00073574" w:rsidRDefault="75285836" w:rsidP="004165BA">
            <w:pPr>
              <w:pStyle w:val="ListParagraph"/>
              <w:numPr>
                <w:ilvl w:val="0"/>
                <w:numId w:val="112"/>
              </w:numPr>
              <w:tabs>
                <w:tab w:val="left" w:pos="794"/>
                <w:tab w:val="left" w:pos="1191"/>
                <w:tab w:val="left" w:pos="1588"/>
                <w:tab w:val="left" w:pos="1985"/>
              </w:tabs>
              <w:overflowPunct w:val="0"/>
              <w:autoSpaceDE w:val="0"/>
              <w:autoSpaceDN w:val="0"/>
              <w:adjustRightInd w:val="0"/>
              <w:spacing w:after="40"/>
              <w:rPr>
                <w:rFonts w:eastAsia="Times New Roman"/>
                <w:szCs w:val="22"/>
              </w:rPr>
            </w:pPr>
            <w:r w:rsidRPr="00073574">
              <w:rPr>
                <w:szCs w:val="22"/>
              </w:rPr>
              <w:t>Unlicensed digital investment schemes,</w:t>
            </w:r>
          </w:p>
          <w:p w14:paraId="6D879DE6" w14:textId="7CDF6002" w:rsidR="0072380C" w:rsidRPr="00073574" w:rsidRDefault="75285836" w:rsidP="004165BA">
            <w:pPr>
              <w:pStyle w:val="ListParagraph"/>
              <w:numPr>
                <w:ilvl w:val="0"/>
                <w:numId w:val="112"/>
              </w:numPr>
              <w:tabs>
                <w:tab w:val="left" w:pos="794"/>
                <w:tab w:val="left" w:pos="1191"/>
                <w:tab w:val="left" w:pos="1588"/>
                <w:tab w:val="left" w:pos="1985"/>
              </w:tabs>
              <w:overflowPunct w:val="0"/>
              <w:autoSpaceDE w:val="0"/>
              <w:autoSpaceDN w:val="0"/>
              <w:adjustRightInd w:val="0"/>
              <w:spacing w:after="40"/>
              <w:rPr>
                <w:rFonts w:eastAsia="Times New Roman"/>
                <w:szCs w:val="22"/>
              </w:rPr>
            </w:pPr>
            <w:r w:rsidRPr="00073574">
              <w:rPr>
                <w:szCs w:val="22"/>
              </w:rPr>
              <w:t>Security aspects of Distributed Ledger Technologies (DLT),</w:t>
            </w:r>
          </w:p>
          <w:p w14:paraId="381278EE" w14:textId="20733433" w:rsidR="0072380C" w:rsidRPr="00073574" w:rsidRDefault="75285836" w:rsidP="004165BA">
            <w:pPr>
              <w:pStyle w:val="ListParagraph"/>
              <w:numPr>
                <w:ilvl w:val="0"/>
                <w:numId w:val="112"/>
              </w:numPr>
              <w:tabs>
                <w:tab w:val="left" w:pos="794"/>
                <w:tab w:val="left" w:pos="1191"/>
                <w:tab w:val="left" w:pos="1588"/>
                <w:tab w:val="left" w:pos="1985"/>
              </w:tabs>
              <w:overflowPunct w:val="0"/>
              <w:autoSpaceDE w:val="0"/>
              <w:autoSpaceDN w:val="0"/>
              <w:adjustRightInd w:val="0"/>
              <w:spacing w:after="40"/>
              <w:rPr>
                <w:rFonts w:eastAsia="Times New Roman"/>
                <w:szCs w:val="22"/>
              </w:rPr>
            </w:pPr>
            <w:r w:rsidRPr="00073574">
              <w:rPr>
                <w:szCs w:val="22"/>
              </w:rPr>
              <w:t>Mitigating SS7 Security Vulnerabilities,</w:t>
            </w:r>
          </w:p>
          <w:p w14:paraId="17641E99" w14:textId="7EA64B96" w:rsidR="0072380C" w:rsidRPr="00073574" w:rsidRDefault="75285836" w:rsidP="004165BA">
            <w:pPr>
              <w:pStyle w:val="ListParagraph"/>
              <w:numPr>
                <w:ilvl w:val="0"/>
                <w:numId w:val="112"/>
              </w:numPr>
              <w:tabs>
                <w:tab w:val="left" w:pos="794"/>
                <w:tab w:val="left" w:pos="1191"/>
                <w:tab w:val="left" w:pos="1588"/>
                <w:tab w:val="left" w:pos="1985"/>
              </w:tabs>
              <w:overflowPunct w:val="0"/>
              <w:autoSpaceDE w:val="0"/>
              <w:autoSpaceDN w:val="0"/>
              <w:adjustRightInd w:val="0"/>
              <w:spacing w:after="40"/>
              <w:rPr>
                <w:rFonts w:eastAsia="Times New Roman"/>
                <w:szCs w:val="22"/>
              </w:rPr>
            </w:pPr>
            <w:r w:rsidRPr="00073574">
              <w:rPr>
                <w:szCs w:val="22"/>
              </w:rPr>
              <w:t>Methodology for measurement of KPIs for QoS for DFS,</w:t>
            </w:r>
          </w:p>
          <w:p w14:paraId="1C47F51C" w14:textId="5F0924F8" w:rsidR="0072380C" w:rsidRPr="00073574" w:rsidRDefault="00182C68" w:rsidP="004165BA">
            <w:pPr>
              <w:pStyle w:val="ListParagraph"/>
              <w:numPr>
                <w:ilvl w:val="0"/>
                <w:numId w:val="112"/>
              </w:numPr>
              <w:tabs>
                <w:tab w:val="left" w:pos="794"/>
                <w:tab w:val="left" w:pos="1191"/>
                <w:tab w:val="left" w:pos="1588"/>
                <w:tab w:val="left" w:pos="1985"/>
              </w:tabs>
              <w:overflowPunct w:val="0"/>
              <w:autoSpaceDE w:val="0"/>
              <w:autoSpaceDN w:val="0"/>
              <w:adjustRightInd w:val="0"/>
              <w:spacing w:after="40"/>
              <w:rPr>
                <w:rFonts w:eastAsia="Times New Roman"/>
                <w:szCs w:val="22"/>
              </w:rPr>
            </w:pPr>
            <w:r w:rsidRPr="00073574">
              <w:rPr>
                <w:szCs w:val="22"/>
              </w:rPr>
              <w:t xml:space="preserve">Big Data, Machine learning, Consumer protection and privacy </w:t>
            </w:r>
            <w:r w:rsidR="75285836" w:rsidRPr="00073574">
              <w:rPr>
                <w:szCs w:val="22"/>
              </w:rPr>
              <w:t>,</w:t>
            </w:r>
          </w:p>
          <w:p w14:paraId="6695FB46" w14:textId="764BB88B" w:rsidR="0072380C" w:rsidRPr="00073574" w:rsidRDefault="75285836" w:rsidP="004165BA">
            <w:pPr>
              <w:pStyle w:val="ListParagraph"/>
              <w:numPr>
                <w:ilvl w:val="0"/>
                <w:numId w:val="112"/>
              </w:numPr>
              <w:tabs>
                <w:tab w:val="left" w:pos="794"/>
                <w:tab w:val="left" w:pos="1191"/>
                <w:tab w:val="left" w:pos="1588"/>
                <w:tab w:val="left" w:pos="1985"/>
              </w:tabs>
              <w:overflowPunct w:val="0"/>
              <w:autoSpaceDE w:val="0"/>
              <w:autoSpaceDN w:val="0"/>
              <w:adjustRightInd w:val="0"/>
              <w:spacing w:after="40"/>
              <w:rPr>
                <w:rFonts w:eastAsia="Times New Roman"/>
                <w:szCs w:val="22"/>
              </w:rPr>
            </w:pPr>
            <w:r w:rsidRPr="00073574">
              <w:rPr>
                <w:szCs w:val="22"/>
              </w:rPr>
              <w:t>DFS Security Assurance Framework</w:t>
            </w:r>
            <w:r w:rsidR="0067297A" w:rsidRPr="00073574">
              <w:rPr>
                <w:szCs w:val="22"/>
              </w:rPr>
              <w:t>,</w:t>
            </w:r>
          </w:p>
          <w:p w14:paraId="4A171C6A" w14:textId="4F693750" w:rsidR="00A006F7" w:rsidRPr="00073574" w:rsidRDefault="00A006F7" w:rsidP="004165BA">
            <w:pPr>
              <w:pStyle w:val="ListParagraph"/>
              <w:numPr>
                <w:ilvl w:val="0"/>
                <w:numId w:val="112"/>
              </w:numPr>
              <w:tabs>
                <w:tab w:val="left" w:pos="794"/>
                <w:tab w:val="left" w:pos="1191"/>
                <w:tab w:val="left" w:pos="1588"/>
                <w:tab w:val="left" w:pos="1985"/>
              </w:tabs>
              <w:overflowPunct w:val="0"/>
              <w:autoSpaceDE w:val="0"/>
              <w:autoSpaceDN w:val="0"/>
              <w:adjustRightInd w:val="0"/>
              <w:spacing w:after="40"/>
              <w:rPr>
                <w:rFonts w:eastAsia="Times New Roman"/>
                <w:szCs w:val="22"/>
              </w:rPr>
            </w:pPr>
            <w:r w:rsidRPr="00073574">
              <w:rPr>
                <w:szCs w:val="22"/>
              </w:rPr>
              <w:t>DFS Security audit guidelines,</w:t>
            </w:r>
          </w:p>
          <w:p w14:paraId="763AFE6B" w14:textId="25F5F650" w:rsidR="0072380C" w:rsidRPr="00073574" w:rsidRDefault="00FA4EA3" w:rsidP="004165BA">
            <w:pPr>
              <w:pStyle w:val="ListParagraph"/>
              <w:numPr>
                <w:ilvl w:val="0"/>
                <w:numId w:val="112"/>
              </w:numPr>
              <w:tabs>
                <w:tab w:val="left" w:pos="794"/>
                <w:tab w:val="left" w:pos="1191"/>
                <w:tab w:val="left" w:pos="1588"/>
                <w:tab w:val="left" w:pos="1985"/>
              </w:tabs>
              <w:overflowPunct w:val="0"/>
              <w:autoSpaceDE w:val="0"/>
              <w:autoSpaceDN w:val="0"/>
              <w:adjustRightInd w:val="0"/>
              <w:spacing w:after="40"/>
              <w:rPr>
                <w:rFonts w:eastAsia="Times New Roman"/>
                <w:szCs w:val="22"/>
              </w:rPr>
            </w:pPr>
            <w:r w:rsidRPr="00073574">
              <w:rPr>
                <w:szCs w:val="22"/>
              </w:rPr>
              <w:t>Implementing secure authentication</w:t>
            </w:r>
            <w:r w:rsidR="75285836" w:rsidRPr="00073574">
              <w:rPr>
                <w:szCs w:val="22"/>
              </w:rPr>
              <w:t xml:space="preserve"> </w:t>
            </w:r>
            <w:r w:rsidR="00952F5D" w:rsidRPr="00073574">
              <w:rPr>
                <w:szCs w:val="22"/>
              </w:rPr>
              <w:t>t</w:t>
            </w:r>
            <w:r w:rsidR="75285836" w:rsidRPr="00073574">
              <w:rPr>
                <w:szCs w:val="22"/>
              </w:rPr>
              <w:t>echnologies for DFS</w:t>
            </w:r>
            <w:r w:rsidR="0067297A" w:rsidRPr="00073574">
              <w:rPr>
                <w:szCs w:val="22"/>
              </w:rPr>
              <w:t xml:space="preserve"> and</w:t>
            </w:r>
          </w:p>
          <w:p w14:paraId="2439017C" w14:textId="7C92A8A2" w:rsidR="0072380C" w:rsidRPr="00073574" w:rsidRDefault="75285836" w:rsidP="004165BA">
            <w:pPr>
              <w:pStyle w:val="ListParagraph"/>
              <w:numPr>
                <w:ilvl w:val="0"/>
                <w:numId w:val="112"/>
              </w:numPr>
              <w:tabs>
                <w:tab w:val="left" w:pos="794"/>
                <w:tab w:val="left" w:pos="1191"/>
                <w:tab w:val="left" w:pos="1588"/>
                <w:tab w:val="left" w:pos="1985"/>
              </w:tabs>
              <w:overflowPunct w:val="0"/>
              <w:autoSpaceDE w:val="0"/>
              <w:autoSpaceDN w:val="0"/>
              <w:adjustRightInd w:val="0"/>
              <w:spacing w:after="40"/>
              <w:rPr>
                <w:rFonts w:eastAsia="Times New Roman"/>
                <w:szCs w:val="22"/>
              </w:rPr>
            </w:pPr>
            <w:r w:rsidRPr="00073574">
              <w:rPr>
                <w:szCs w:val="22"/>
              </w:rPr>
              <w:t>Developer resources for implementation of FIDO Universal Authentication Framework (UAF) in DFS</w:t>
            </w:r>
            <w:r w:rsidR="00973D16" w:rsidRPr="00073574">
              <w:rPr>
                <w:szCs w:val="22"/>
              </w:rPr>
              <w:t>.</w:t>
            </w:r>
          </w:p>
          <w:p w14:paraId="6DA77277" w14:textId="4071D0C9" w:rsidR="00BE0CD0" w:rsidRPr="00073574" w:rsidRDefault="0053741E" w:rsidP="00BE0CD0">
            <w:pPr>
              <w:pStyle w:val="ListParagraph"/>
              <w:numPr>
                <w:ilvl w:val="0"/>
                <w:numId w:val="112"/>
              </w:numPr>
              <w:tabs>
                <w:tab w:val="left" w:pos="794"/>
                <w:tab w:val="left" w:pos="1191"/>
                <w:tab w:val="left" w:pos="1588"/>
                <w:tab w:val="left" w:pos="1985"/>
              </w:tabs>
              <w:overflowPunct w:val="0"/>
              <w:autoSpaceDE w:val="0"/>
              <w:autoSpaceDN w:val="0"/>
              <w:adjustRightInd w:val="0"/>
              <w:spacing w:after="40"/>
              <w:rPr>
                <w:rStyle w:val="Hyperlink"/>
                <w:rFonts w:eastAsia="Times New Roman"/>
                <w:color w:val="auto"/>
                <w:u w:val="none"/>
              </w:rPr>
            </w:pPr>
            <w:hyperlink r:id="rId762">
              <w:r w:rsidR="005904AC" w:rsidRPr="00073574">
                <w:rPr>
                  <w:rStyle w:val="Hyperlink"/>
                  <w:rFonts w:eastAsia="Times New Roman"/>
                </w:rPr>
                <w:t xml:space="preserve">Security testing of </w:t>
              </w:r>
              <w:r w:rsidR="00BE0CD0" w:rsidRPr="00073574">
                <w:rPr>
                  <w:rStyle w:val="Hyperlink"/>
                  <w:rFonts w:eastAsia="Times New Roman"/>
                </w:rPr>
                <w:t>DFS applications operating in USSD and STK environments.</w:t>
              </w:r>
            </w:hyperlink>
          </w:p>
          <w:p w14:paraId="5D7B3E0C" w14:textId="72CEF4EC" w:rsidR="00180F57" w:rsidRPr="00073574" w:rsidRDefault="00180F57" w:rsidP="00A80265">
            <w:pPr>
              <w:pStyle w:val="ListParagraph"/>
              <w:numPr>
                <w:ilvl w:val="0"/>
                <w:numId w:val="112"/>
              </w:numPr>
              <w:tabs>
                <w:tab w:val="left" w:pos="794"/>
                <w:tab w:val="left" w:pos="1191"/>
                <w:tab w:val="left" w:pos="1588"/>
                <w:tab w:val="left" w:pos="1985"/>
              </w:tabs>
              <w:overflowPunct w:val="0"/>
              <w:autoSpaceDE w:val="0"/>
              <w:autoSpaceDN w:val="0"/>
              <w:adjustRightInd w:val="0"/>
              <w:spacing w:after="40"/>
              <w:rPr>
                <w:rFonts w:eastAsia="Times New Roman"/>
              </w:rPr>
            </w:pPr>
            <w:r w:rsidRPr="00073574">
              <w:rPr>
                <w:rFonts w:eastAsia="Times New Roman"/>
              </w:rPr>
              <w:t>S</w:t>
            </w:r>
            <w:r w:rsidRPr="00073574">
              <w:t>ecurity analysis of KaiOS feature phone platform for DFS</w:t>
            </w:r>
          </w:p>
          <w:p w14:paraId="4BDF2728" w14:textId="4842E337" w:rsidR="00BE0CD0" w:rsidRPr="00073574" w:rsidRDefault="0053741E" w:rsidP="00A80265">
            <w:pPr>
              <w:pStyle w:val="ListParagraph"/>
              <w:numPr>
                <w:ilvl w:val="0"/>
                <w:numId w:val="112"/>
              </w:numPr>
              <w:tabs>
                <w:tab w:val="left" w:pos="794"/>
                <w:tab w:val="left" w:pos="1191"/>
                <w:tab w:val="left" w:pos="1588"/>
                <w:tab w:val="left" w:pos="1985"/>
              </w:tabs>
              <w:overflowPunct w:val="0"/>
              <w:autoSpaceDE w:val="0"/>
              <w:autoSpaceDN w:val="0"/>
              <w:adjustRightInd w:val="0"/>
              <w:spacing w:after="40"/>
              <w:rPr>
                <w:rFonts w:eastAsia="Times New Roman"/>
              </w:rPr>
            </w:pPr>
            <w:hyperlink r:id="rId763">
              <w:r w:rsidR="00BE0CD0" w:rsidRPr="00073574">
                <w:rPr>
                  <w:rStyle w:val="Hyperlink"/>
                  <w:rFonts w:eastAsia="Times New Roman"/>
                </w:rPr>
                <w:t>Methodology for measurement of Quality of Service parameters for interoperability and cross border mobile money payment use cases</w:t>
              </w:r>
            </w:hyperlink>
            <w:r w:rsidR="00BE0CD0" w:rsidRPr="00073574">
              <w:rPr>
                <w:rFonts w:eastAsia="Times New Roman"/>
              </w:rPr>
              <w:t xml:space="preserve"> </w:t>
            </w:r>
          </w:p>
          <w:p w14:paraId="4AEE00F9" w14:textId="77777777" w:rsidR="00BE0CD0" w:rsidRPr="00073574" w:rsidRDefault="0053741E" w:rsidP="00BE0CD0">
            <w:pPr>
              <w:pStyle w:val="ListParagraph"/>
              <w:numPr>
                <w:ilvl w:val="0"/>
                <w:numId w:val="112"/>
              </w:numPr>
              <w:tabs>
                <w:tab w:val="left" w:pos="794"/>
                <w:tab w:val="left" w:pos="1191"/>
                <w:tab w:val="left" w:pos="1588"/>
                <w:tab w:val="left" w:pos="1985"/>
              </w:tabs>
              <w:overflowPunct w:val="0"/>
              <w:autoSpaceDE w:val="0"/>
              <w:autoSpaceDN w:val="0"/>
              <w:adjustRightInd w:val="0"/>
              <w:spacing w:after="40"/>
              <w:rPr>
                <w:rStyle w:val="Hyperlink"/>
                <w:rFonts w:eastAsia="Times New Roman"/>
                <w:color w:val="auto"/>
                <w:u w:val="none"/>
              </w:rPr>
            </w:pPr>
            <w:hyperlink r:id="rId764">
              <w:r w:rsidR="00BE0CD0" w:rsidRPr="00073574">
                <w:rPr>
                  <w:rStyle w:val="Hyperlink"/>
                  <w:rFonts w:eastAsia="Times New Roman"/>
                </w:rPr>
                <w:t>DFS Consumer Competency Framework.</w:t>
              </w:r>
            </w:hyperlink>
          </w:p>
          <w:p w14:paraId="37990228" w14:textId="77777777" w:rsidR="003F46CC" w:rsidRPr="00073574" w:rsidRDefault="003F46CC" w:rsidP="003F46CC">
            <w:pPr>
              <w:pStyle w:val="ListParagraph"/>
              <w:numPr>
                <w:ilvl w:val="0"/>
                <w:numId w:val="112"/>
              </w:numPr>
              <w:tabs>
                <w:tab w:val="left" w:pos="794"/>
                <w:tab w:val="left" w:pos="1191"/>
                <w:tab w:val="left" w:pos="1588"/>
                <w:tab w:val="left" w:pos="1985"/>
              </w:tabs>
              <w:overflowPunct w:val="0"/>
              <w:autoSpaceDE w:val="0"/>
              <w:autoSpaceDN w:val="0"/>
              <w:adjustRightInd w:val="0"/>
              <w:spacing w:after="40"/>
              <w:rPr>
                <w:rFonts w:eastAsia="Times New Roman"/>
              </w:rPr>
            </w:pPr>
            <w:r w:rsidRPr="00073574">
              <w:rPr>
                <w:rFonts w:eastAsia="Times New Roman"/>
              </w:rPr>
              <w:t>eKYC use cases for digital financial services</w:t>
            </w:r>
          </w:p>
          <w:p w14:paraId="55738285" w14:textId="77777777" w:rsidR="003F46CC" w:rsidRPr="00073574" w:rsidRDefault="0053741E" w:rsidP="003F46CC">
            <w:pPr>
              <w:pStyle w:val="ListParagraph"/>
              <w:numPr>
                <w:ilvl w:val="0"/>
                <w:numId w:val="112"/>
              </w:numPr>
              <w:tabs>
                <w:tab w:val="left" w:pos="794"/>
                <w:tab w:val="left" w:pos="1191"/>
                <w:tab w:val="left" w:pos="1588"/>
                <w:tab w:val="left" w:pos="1985"/>
              </w:tabs>
              <w:overflowPunct w:val="0"/>
              <w:autoSpaceDE w:val="0"/>
              <w:autoSpaceDN w:val="0"/>
              <w:adjustRightInd w:val="0"/>
              <w:spacing w:after="40"/>
              <w:rPr>
                <w:rFonts w:eastAsia="Times New Roman"/>
              </w:rPr>
            </w:pPr>
            <w:hyperlink r:id="rId765" w:history="1">
              <w:r w:rsidR="003F46CC" w:rsidRPr="00073574">
                <w:rPr>
                  <w:rStyle w:val="Hyperlink"/>
                  <w:rFonts w:eastAsia="Times New Roman"/>
                </w:rPr>
                <w:t>Security Audit of DFS applications under Android</w:t>
              </w:r>
            </w:hyperlink>
          </w:p>
          <w:p w14:paraId="4AAFF4A0" w14:textId="5BCFFEEC" w:rsidR="003F46CC" w:rsidRPr="00073574" w:rsidRDefault="0053741E" w:rsidP="00A80265">
            <w:pPr>
              <w:pStyle w:val="ListParagraph"/>
              <w:numPr>
                <w:ilvl w:val="0"/>
                <w:numId w:val="112"/>
              </w:numPr>
              <w:tabs>
                <w:tab w:val="left" w:pos="794"/>
                <w:tab w:val="left" w:pos="1191"/>
                <w:tab w:val="left" w:pos="1588"/>
                <w:tab w:val="left" w:pos="1985"/>
              </w:tabs>
              <w:overflowPunct w:val="0"/>
              <w:autoSpaceDE w:val="0"/>
              <w:autoSpaceDN w:val="0"/>
              <w:adjustRightInd w:val="0"/>
              <w:spacing w:after="40"/>
              <w:rPr>
                <w:rFonts w:eastAsia="Times New Roman"/>
              </w:rPr>
            </w:pPr>
            <w:hyperlink r:id="rId766" w:history="1">
              <w:r w:rsidR="003F46CC" w:rsidRPr="00073574">
                <w:rPr>
                  <w:rStyle w:val="Hyperlink"/>
                  <w:rFonts w:eastAsia="Times New Roman"/>
                </w:rPr>
                <w:t>Use of telecom data</w:t>
              </w:r>
            </w:hyperlink>
            <w:r w:rsidR="003F46CC" w:rsidRPr="00073574">
              <w:rPr>
                <w:rFonts w:eastAsia="Times New Roman"/>
              </w:rPr>
              <w:t xml:space="preserve"> for digital financial inclusion</w:t>
            </w:r>
          </w:p>
          <w:p w14:paraId="754E79B9" w14:textId="002E844E" w:rsidR="003C2204" w:rsidRPr="00073574" w:rsidRDefault="00E9420C" w:rsidP="00A80265">
            <w:pPr>
              <w:pStyle w:val="NoSpacing"/>
              <w:spacing w:before="120"/>
              <w:rPr>
                <w:szCs w:val="22"/>
                <w:lang w:val="en-GB" w:eastAsia="en-US"/>
              </w:rPr>
            </w:pPr>
            <w:r w:rsidRPr="00073574">
              <w:rPr>
                <w:rFonts w:ascii="Times New Roman" w:hAnsi="Times New Roman" w:cs="Times New Roman"/>
                <w:sz w:val="22"/>
                <w:szCs w:val="22"/>
                <w:lang w:val="en-GB" w:eastAsia="en-US"/>
              </w:rPr>
              <w:t>In emerging economies, USSD and STK are most common platform for digital financial services applications although Android DFS apps are gaining popularity as smartphone ownership rises. Enhancing security of digital finance applications and cyber-resilience is a critical part of a country’s development strategy as it promotes financial inclusion through digital financial services</w:t>
            </w:r>
            <w:r w:rsidR="008A57BF" w:rsidRPr="00073574">
              <w:rPr>
                <w:rFonts w:ascii="Times New Roman" w:hAnsi="Times New Roman" w:cs="Times New Roman"/>
                <w:sz w:val="22"/>
                <w:szCs w:val="22"/>
                <w:lang w:val="en-GB" w:eastAsia="en-US"/>
              </w:rPr>
              <w:t>. In No</w:t>
            </w:r>
            <w:r w:rsidR="003C2204" w:rsidRPr="00073574">
              <w:rPr>
                <w:rFonts w:ascii="Times New Roman" w:hAnsi="Times New Roman" w:cs="Times New Roman"/>
                <w:sz w:val="22"/>
                <w:szCs w:val="22"/>
                <w:lang w:val="en-GB" w:eastAsia="en-US"/>
              </w:rPr>
              <w:t xml:space="preserve">vember 2020, the </w:t>
            </w:r>
            <w:hyperlink r:id="rId767" w:history="1">
              <w:r w:rsidR="003C2204" w:rsidRPr="00073574">
                <w:rPr>
                  <w:rFonts w:ascii="Times New Roman" w:hAnsi="Times New Roman" w:cs="Times New Roman"/>
                  <w:sz w:val="22"/>
                  <w:szCs w:val="22"/>
                  <w:lang w:val="en-GB" w:eastAsia="en-US"/>
                </w:rPr>
                <w:t>DFS Security Lab</w:t>
              </w:r>
            </w:hyperlink>
            <w:r w:rsidR="003C2204" w:rsidRPr="00073574">
              <w:rPr>
                <w:rFonts w:ascii="Times New Roman" w:hAnsi="Times New Roman" w:cs="Times New Roman"/>
                <w:sz w:val="22"/>
                <w:szCs w:val="22"/>
                <w:lang w:val="en-GB" w:eastAsia="en-US"/>
              </w:rPr>
              <w:t xml:space="preserve"> was established in ITU to </w:t>
            </w:r>
            <w:r w:rsidR="005B7A18" w:rsidRPr="00073574">
              <w:rPr>
                <w:rFonts w:ascii="Times New Roman" w:hAnsi="Times New Roman" w:cs="Times New Roman"/>
                <w:sz w:val="22"/>
                <w:szCs w:val="22"/>
                <w:lang w:val="en-GB" w:eastAsia="en-US"/>
              </w:rPr>
              <w:t xml:space="preserve">support regulators to implement DFS security recommendations from FIGI, </w:t>
            </w:r>
            <w:r w:rsidR="004913A4" w:rsidRPr="00073574">
              <w:rPr>
                <w:rFonts w:ascii="Times New Roman" w:hAnsi="Times New Roman" w:cs="Times New Roman"/>
                <w:sz w:val="22"/>
                <w:szCs w:val="22"/>
                <w:lang w:val="en-GB" w:eastAsia="en-US"/>
              </w:rPr>
              <w:t>provide a standard methodology for regulators and DFS providers to c</w:t>
            </w:r>
            <w:r w:rsidR="005B7A18" w:rsidRPr="00073574">
              <w:rPr>
                <w:rFonts w:ascii="Times New Roman" w:hAnsi="Times New Roman" w:cs="Times New Roman"/>
                <w:sz w:val="22"/>
                <w:szCs w:val="22"/>
                <w:lang w:val="en-GB" w:eastAsia="en-US"/>
              </w:rPr>
              <w:t xml:space="preserve">onduct security </w:t>
            </w:r>
            <w:r w:rsidR="004913A4" w:rsidRPr="00073574">
              <w:rPr>
                <w:rFonts w:ascii="Times New Roman" w:hAnsi="Times New Roman" w:cs="Times New Roman"/>
                <w:sz w:val="22"/>
                <w:szCs w:val="22"/>
                <w:lang w:val="en-GB" w:eastAsia="en-US"/>
              </w:rPr>
              <w:t>tests</w:t>
            </w:r>
            <w:r w:rsidR="005B7A18" w:rsidRPr="00073574">
              <w:rPr>
                <w:rFonts w:ascii="Times New Roman" w:hAnsi="Times New Roman" w:cs="Times New Roman"/>
                <w:sz w:val="22"/>
                <w:szCs w:val="22"/>
                <w:lang w:val="en-GB" w:eastAsia="en-US"/>
              </w:rPr>
              <w:t xml:space="preserve"> on </w:t>
            </w:r>
            <w:r w:rsidR="004913A4" w:rsidRPr="00073574">
              <w:rPr>
                <w:rFonts w:ascii="Times New Roman" w:hAnsi="Times New Roman" w:cs="Times New Roman"/>
                <w:sz w:val="22"/>
                <w:szCs w:val="22"/>
                <w:lang w:val="en-GB" w:eastAsia="en-US"/>
              </w:rPr>
              <w:t xml:space="preserve">mobile payment </w:t>
            </w:r>
            <w:r w:rsidR="005B7A18" w:rsidRPr="00073574">
              <w:rPr>
                <w:rFonts w:ascii="Times New Roman" w:hAnsi="Times New Roman" w:cs="Times New Roman"/>
                <w:sz w:val="22"/>
                <w:szCs w:val="22"/>
                <w:lang w:val="en-GB" w:eastAsia="en-US"/>
              </w:rPr>
              <w:t>applications (i.e., USSD, STK and Android DFS applications)</w:t>
            </w:r>
            <w:r w:rsidR="004913A4" w:rsidRPr="00073574">
              <w:rPr>
                <w:rFonts w:ascii="Times New Roman" w:hAnsi="Times New Roman" w:cs="Times New Roman"/>
                <w:sz w:val="22"/>
                <w:szCs w:val="22"/>
                <w:lang w:val="en-GB" w:eastAsia="en-US"/>
              </w:rPr>
              <w:t xml:space="preserve"> to check for systemic vulnerabilities, and </w:t>
            </w:r>
            <w:r w:rsidR="00A80265" w:rsidRPr="00073574">
              <w:rPr>
                <w:rFonts w:ascii="Times New Roman" w:hAnsi="Times New Roman" w:cs="Times New Roman"/>
                <w:sz w:val="22"/>
                <w:szCs w:val="22"/>
                <w:lang w:val="en-GB" w:eastAsia="en-US"/>
              </w:rPr>
              <w:t>provide</w:t>
            </w:r>
            <w:r w:rsidR="005B7A18" w:rsidRPr="00073574">
              <w:rPr>
                <w:rFonts w:ascii="Times New Roman" w:hAnsi="Times New Roman" w:cs="Times New Roman"/>
                <w:sz w:val="22"/>
                <w:szCs w:val="22"/>
                <w:lang w:val="en-GB" w:eastAsia="en-US"/>
              </w:rPr>
              <w:t xml:space="preserve"> guidance on managing the DFS ecosystem security risks and mitigation measures</w:t>
            </w:r>
            <w:r w:rsidR="004913A4" w:rsidRPr="00073574">
              <w:rPr>
                <w:rFonts w:ascii="Times New Roman" w:hAnsi="Times New Roman" w:cs="Times New Roman"/>
                <w:sz w:val="22"/>
                <w:szCs w:val="22"/>
                <w:lang w:val="en-GB" w:eastAsia="en-US"/>
              </w:rPr>
              <w:t>.</w:t>
            </w:r>
          </w:p>
          <w:p w14:paraId="64078A83" w14:textId="77777777" w:rsidR="002746F4" w:rsidRPr="00073574" w:rsidRDefault="75285836" w:rsidP="007657AF">
            <w:pPr>
              <w:tabs>
                <w:tab w:val="left" w:pos="794"/>
                <w:tab w:val="left" w:pos="1191"/>
                <w:tab w:val="left" w:pos="1588"/>
                <w:tab w:val="left" w:pos="1985"/>
              </w:tabs>
              <w:overflowPunct w:val="0"/>
              <w:autoSpaceDE w:val="0"/>
              <w:autoSpaceDN w:val="0"/>
              <w:adjustRightInd w:val="0"/>
              <w:spacing w:after="40"/>
              <w:rPr>
                <w:rFonts w:eastAsia="Times New Roman"/>
                <w:szCs w:val="22"/>
              </w:rPr>
            </w:pPr>
            <w:r w:rsidRPr="00073574">
              <w:rPr>
                <w:rFonts w:eastAsia="Times New Roman"/>
                <w:szCs w:val="22"/>
              </w:rPr>
              <w:t xml:space="preserve">The methodology for measurement of KPIs for QoS for DFS was submitted to ITU-T Study Group 12 and was subsequently approved as an ITU-T Recommendation in December 2019. The report Mitigating SS7 Security Vulnerabilities was submitted to ITU-T Study Group 11 and led to the creation of a work item on this topic. </w:t>
            </w:r>
          </w:p>
          <w:p w14:paraId="205D791C" w14:textId="3E79221F" w:rsidR="0072380C" w:rsidRPr="00073574" w:rsidRDefault="75285836" w:rsidP="007657AF">
            <w:pPr>
              <w:tabs>
                <w:tab w:val="left" w:pos="794"/>
                <w:tab w:val="left" w:pos="1191"/>
                <w:tab w:val="left" w:pos="1588"/>
                <w:tab w:val="left" w:pos="1985"/>
              </w:tabs>
              <w:overflowPunct w:val="0"/>
              <w:autoSpaceDE w:val="0"/>
              <w:autoSpaceDN w:val="0"/>
              <w:adjustRightInd w:val="0"/>
              <w:spacing w:after="40"/>
              <w:rPr>
                <w:rFonts w:eastAsia="Times New Roman"/>
                <w:szCs w:val="22"/>
              </w:rPr>
            </w:pPr>
            <w:r w:rsidRPr="00073574">
              <w:rPr>
                <w:rFonts w:eastAsia="Times New Roman"/>
                <w:szCs w:val="22"/>
              </w:rPr>
              <w:t xml:space="preserve">The reports </w:t>
            </w:r>
            <w:r w:rsidR="0054109A" w:rsidRPr="00073574">
              <w:rPr>
                <w:rFonts w:eastAsia="Times New Roman"/>
                <w:szCs w:val="22"/>
              </w:rPr>
              <w:t xml:space="preserve">from FIGI SIT WG </w:t>
            </w:r>
            <w:r w:rsidRPr="00073574">
              <w:rPr>
                <w:rFonts w:eastAsia="Times New Roman"/>
                <w:szCs w:val="22"/>
              </w:rPr>
              <w:t xml:space="preserve">on </w:t>
            </w:r>
            <w:r w:rsidRPr="00073574">
              <w:rPr>
                <w:rFonts w:eastAsia="Times New Roman"/>
                <w:i/>
                <w:szCs w:val="22"/>
              </w:rPr>
              <w:t>DLT Security</w:t>
            </w:r>
            <w:r w:rsidRPr="00073574">
              <w:rPr>
                <w:rFonts w:eastAsia="Times New Roman"/>
                <w:szCs w:val="22"/>
              </w:rPr>
              <w:t xml:space="preserve">, </w:t>
            </w:r>
            <w:r w:rsidRPr="00073574">
              <w:rPr>
                <w:rFonts w:eastAsia="Times New Roman"/>
                <w:i/>
                <w:szCs w:val="22"/>
              </w:rPr>
              <w:t>DFS Security Assurance Framework</w:t>
            </w:r>
            <w:r w:rsidR="00C408D6" w:rsidRPr="00073574">
              <w:rPr>
                <w:rFonts w:eastAsia="Times New Roman"/>
                <w:szCs w:val="22"/>
              </w:rPr>
              <w:t xml:space="preserve">, </w:t>
            </w:r>
            <w:r w:rsidR="00C408D6" w:rsidRPr="00073574">
              <w:rPr>
                <w:rFonts w:eastAsia="Times New Roman"/>
                <w:i/>
                <w:iCs/>
                <w:szCs w:val="22"/>
              </w:rPr>
              <w:t>Security Audit Guidelines</w:t>
            </w:r>
            <w:r w:rsidR="00C408D6" w:rsidRPr="00073574">
              <w:rPr>
                <w:rFonts w:eastAsia="Times New Roman"/>
                <w:szCs w:val="22"/>
              </w:rPr>
              <w:t xml:space="preserve">, </w:t>
            </w:r>
            <w:r w:rsidR="00C408D6" w:rsidRPr="00073574">
              <w:rPr>
                <w:rFonts w:eastAsia="Times New Roman"/>
                <w:i/>
                <w:iCs/>
                <w:szCs w:val="22"/>
              </w:rPr>
              <w:t>eKYC use cases for DFS</w:t>
            </w:r>
            <w:r w:rsidRPr="00073574">
              <w:rPr>
                <w:rFonts w:eastAsia="Times New Roman"/>
                <w:szCs w:val="22"/>
              </w:rPr>
              <w:t xml:space="preserve"> and </w:t>
            </w:r>
            <w:r w:rsidR="00C408D6" w:rsidRPr="00073574">
              <w:rPr>
                <w:rFonts w:eastAsia="Times New Roman"/>
                <w:i/>
                <w:iCs/>
                <w:szCs w:val="22"/>
              </w:rPr>
              <w:t>Imple</w:t>
            </w:r>
            <w:r w:rsidR="0054109A" w:rsidRPr="00073574">
              <w:rPr>
                <w:rFonts w:eastAsia="Times New Roman"/>
                <w:i/>
                <w:iCs/>
                <w:szCs w:val="22"/>
              </w:rPr>
              <w:t>menting secure</w:t>
            </w:r>
            <w:r w:rsidR="00C408D6" w:rsidRPr="00073574">
              <w:rPr>
                <w:rFonts w:eastAsia="Times New Roman"/>
                <w:i/>
                <w:iCs/>
                <w:szCs w:val="22"/>
              </w:rPr>
              <w:t xml:space="preserve"> </w:t>
            </w:r>
            <w:r w:rsidR="0054109A" w:rsidRPr="00073574">
              <w:rPr>
                <w:rFonts w:eastAsia="Times New Roman"/>
                <w:i/>
                <w:iCs/>
                <w:szCs w:val="22"/>
              </w:rPr>
              <w:t>a</w:t>
            </w:r>
            <w:r w:rsidRPr="00073574">
              <w:rPr>
                <w:rFonts w:eastAsia="Times New Roman"/>
                <w:i/>
                <w:szCs w:val="22"/>
              </w:rPr>
              <w:t xml:space="preserve">uthentication </w:t>
            </w:r>
            <w:r w:rsidR="0054109A" w:rsidRPr="00073574">
              <w:rPr>
                <w:rFonts w:eastAsia="Times New Roman"/>
                <w:i/>
                <w:iCs/>
                <w:szCs w:val="22"/>
              </w:rPr>
              <w:t>technologies</w:t>
            </w:r>
            <w:r w:rsidR="002746F4" w:rsidRPr="00073574">
              <w:rPr>
                <w:rFonts w:eastAsia="Times New Roman"/>
                <w:szCs w:val="22"/>
              </w:rPr>
              <w:t xml:space="preserve">, </w:t>
            </w:r>
            <w:hyperlink r:id="rId768" w:history="1">
              <w:r w:rsidR="002746F4" w:rsidRPr="00073574">
                <w:rPr>
                  <w:rStyle w:val="Hyperlink"/>
                  <w:rFonts w:eastAsia="Times New Roman"/>
                  <w:i/>
                  <w:iCs/>
                </w:rPr>
                <w:t>Security Audit of DFS applications under Android</w:t>
              </w:r>
            </w:hyperlink>
            <w:r w:rsidR="002746F4" w:rsidRPr="00073574">
              <w:rPr>
                <w:rFonts w:eastAsia="Times New Roman"/>
              </w:rPr>
              <w:t xml:space="preserve"> and </w:t>
            </w:r>
            <w:r w:rsidR="002746F4" w:rsidRPr="00073574">
              <w:rPr>
                <w:rFonts w:eastAsia="Times New Roman"/>
                <w:i/>
                <w:iCs/>
              </w:rPr>
              <w:t>Security testing of DFS applications operating in USSD and STK environments</w:t>
            </w:r>
            <w:r w:rsidR="002746F4" w:rsidRPr="00073574">
              <w:rPr>
                <w:rFonts w:eastAsia="Times New Roman"/>
              </w:rPr>
              <w:t xml:space="preserve"> were </w:t>
            </w:r>
            <w:r w:rsidRPr="00073574">
              <w:rPr>
                <w:rFonts w:eastAsia="Times New Roman"/>
                <w:szCs w:val="22"/>
              </w:rPr>
              <w:t xml:space="preserve"> transferred to ITU-T Study Group 17 where </w:t>
            </w:r>
            <w:r w:rsidRPr="00073574">
              <w:rPr>
                <w:rFonts w:eastAsia="Times New Roman"/>
                <w:szCs w:val="22"/>
              </w:rPr>
              <w:lastRenderedPageBreak/>
              <w:t>they will be incorporated as technical reports in the standards being developed by the Study Group.</w:t>
            </w:r>
          </w:p>
          <w:p w14:paraId="143A3335" w14:textId="019DA614" w:rsidR="0072380C" w:rsidRPr="00073574" w:rsidRDefault="000D09FE" w:rsidP="00A010EF">
            <w:pPr>
              <w:tabs>
                <w:tab w:val="left" w:pos="794"/>
                <w:tab w:val="left" w:pos="1191"/>
                <w:tab w:val="left" w:pos="1588"/>
                <w:tab w:val="left" w:pos="1985"/>
              </w:tabs>
              <w:overflowPunct w:val="0"/>
              <w:autoSpaceDE w:val="0"/>
              <w:autoSpaceDN w:val="0"/>
              <w:adjustRightInd w:val="0"/>
              <w:spacing w:after="40"/>
              <w:rPr>
                <w:rFonts w:eastAsia="Times New Roman"/>
                <w:szCs w:val="22"/>
              </w:rPr>
            </w:pPr>
            <w:r w:rsidRPr="00073574">
              <w:rPr>
                <w:rFonts w:eastAsia="Times New Roman"/>
                <w:szCs w:val="22"/>
              </w:rPr>
              <w:t xml:space="preserve">The reports on </w:t>
            </w:r>
            <w:r w:rsidRPr="00073574">
              <w:rPr>
                <w:rFonts w:eastAsia="Times New Roman"/>
                <w:i/>
                <w:iCs/>
                <w:szCs w:val="22"/>
              </w:rPr>
              <w:t>DFS Consumer Competency Fram</w:t>
            </w:r>
            <w:r w:rsidR="00D46CD4" w:rsidRPr="00073574">
              <w:rPr>
                <w:rFonts w:eastAsia="Times New Roman"/>
                <w:i/>
                <w:iCs/>
                <w:szCs w:val="22"/>
              </w:rPr>
              <w:t>ework</w:t>
            </w:r>
            <w:r w:rsidR="002746F4" w:rsidRPr="00073574">
              <w:rPr>
                <w:rFonts w:eastAsia="Times New Roman"/>
                <w:i/>
                <w:iCs/>
                <w:szCs w:val="22"/>
              </w:rPr>
              <w:t xml:space="preserve"> </w:t>
            </w:r>
            <w:r w:rsidR="002746F4" w:rsidRPr="00073574">
              <w:rPr>
                <w:rFonts w:eastAsia="Times New Roman"/>
                <w:szCs w:val="22"/>
              </w:rPr>
              <w:t>and</w:t>
            </w:r>
            <w:r w:rsidR="00D46CD4" w:rsidRPr="00073574">
              <w:rPr>
                <w:rFonts w:eastAsia="Times New Roman"/>
                <w:szCs w:val="22"/>
              </w:rPr>
              <w:t xml:space="preserve"> </w:t>
            </w:r>
            <w:r w:rsidR="00D46CD4" w:rsidRPr="00073574">
              <w:rPr>
                <w:rFonts w:eastAsia="Times New Roman"/>
                <w:i/>
                <w:iCs/>
                <w:szCs w:val="22"/>
              </w:rPr>
              <w:t xml:space="preserve">Big data, </w:t>
            </w:r>
            <w:r w:rsidR="005C6745" w:rsidRPr="00073574">
              <w:rPr>
                <w:rFonts w:eastAsia="Times New Roman"/>
                <w:i/>
                <w:iCs/>
                <w:szCs w:val="22"/>
              </w:rPr>
              <w:t xml:space="preserve">Machine Learning, </w:t>
            </w:r>
            <w:r w:rsidR="00893543" w:rsidRPr="00073574">
              <w:rPr>
                <w:rFonts w:eastAsia="Times New Roman"/>
                <w:i/>
                <w:iCs/>
                <w:szCs w:val="22"/>
              </w:rPr>
              <w:t xml:space="preserve">Consumer Protection and Privacy, </w:t>
            </w:r>
            <w:r w:rsidR="002746F4" w:rsidRPr="00073574">
              <w:rPr>
                <w:rFonts w:eastAsia="Times New Roman"/>
                <w:szCs w:val="22"/>
              </w:rPr>
              <w:t>were transferred to ITU-T Study Group 3 in 202</w:t>
            </w:r>
            <w:r w:rsidR="005823AE" w:rsidRPr="00073574">
              <w:rPr>
                <w:rFonts w:eastAsia="Times New Roman"/>
                <w:szCs w:val="22"/>
              </w:rPr>
              <w:t>0.</w:t>
            </w:r>
          </w:p>
        </w:tc>
      </w:tr>
      <w:tr w:rsidR="00F0236A" w:rsidRPr="00073574" w14:paraId="31965A8C" w14:textId="77777777" w:rsidTr="634A3A28">
        <w:trPr>
          <w:jc w:val="center"/>
        </w:trPr>
        <w:tc>
          <w:tcPr>
            <w:tcW w:w="1131" w:type="dxa"/>
            <w:vMerge w:val="restart"/>
            <w:tcBorders>
              <w:top w:val="single" w:sz="12" w:space="0" w:color="auto"/>
            </w:tcBorders>
            <w:shd w:val="clear" w:color="auto" w:fill="auto"/>
          </w:tcPr>
          <w:p w14:paraId="6A75DE4A" w14:textId="77777777" w:rsidR="00F0236A" w:rsidRPr="00073574" w:rsidRDefault="00F0236A" w:rsidP="00973D16">
            <w:pPr>
              <w:pStyle w:val="Tabletext"/>
              <w:rPr>
                <w:b/>
                <w:bCs/>
                <w:sz w:val="24"/>
                <w:szCs w:val="24"/>
              </w:rPr>
            </w:pPr>
            <w:r w:rsidRPr="00073574">
              <w:rPr>
                <w:b/>
                <w:bCs/>
                <w:sz w:val="24"/>
                <w:szCs w:val="24"/>
              </w:rPr>
              <w:lastRenderedPageBreak/>
              <w:t>89-06</w:t>
            </w:r>
          </w:p>
        </w:tc>
        <w:tc>
          <w:tcPr>
            <w:tcW w:w="4986" w:type="dxa"/>
            <w:tcBorders>
              <w:top w:val="single" w:sz="12" w:space="0" w:color="auto"/>
              <w:bottom w:val="single" w:sz="4" w:space="0" w:color="auto"/>
            </w:tcBorders>
            <w:shd w:val="clear" w:color="auto" w:fill="auto"/>
          </w:tcPr>
          <w:p w14:paraId="46DDB525" w14:textId="77777777" w:rsidR="00F0236A" w:rsidRPr="00073574" w:rsidRDefault="00F0236A">
            <w:pPr>
              <w:pStyle w:val="Tabletext"/>
              <w:rPr>
                <w:b/>
                <w:bCs/>
                <w:sz w:val="24"/>
                <w:szCs w:val="24"/>
              </w:rPr>
            </w:pPr>
            <w:r w:rsidRPr="00073574">
              <w:rPr>
                <w:b/>
                <w:bCs/>
                <w:sz w:val="24"/>
                <w:szCs w:val="24"/>
              </w:rPr>
              <w:t>TSB Director to establish a platform or, where possible, connect to those already existing, for peer learning, dialogue and experience-sharing in digital financial services among countries and regions, regulators from telecommunication and financial services sectors, industry experts and international and regional organizations (i. TSBDir 3)</w:t>
            </w:r>
          </w:p>
        </w:tc>
        <w:tc>
          <w:tcPr>
            <w:tcW w:w="1336" w:type="dxa"/>
            <w:tcBorders>
              <w:top w:val="single" w:sz="12" w:space="0" w:color="auto"/>
              <w:bottom w:val="single" w:sz="4" w:space="0" w:color="auto"/>
            </w:tcBorders>
            <w:shd w:val="clear" w:color="auto" w:fill="auto"/>
            <w:vAlign w:val="center"/>
          </w:tcPr>
          <w:p w14:paraId="427B145F" w14:textId="77777777" w:rsidR="00F0236A" w:rsidRPr="00073574" w:rsidRDefault="00F0236A">
            <w:pPr>
              <w:pStyle w:val="Tabletext"/>
              <w:jc w:val="center"/>
              <w:rPr>
                <w:b/>
                <w:bCs/>
                <w:sz w:val="24"/>
                <w:szCs w:val="24"/>
              </w:rPr>
            </w:pPr>
            <w:r w:rsidRPr="00073574">
              <w:rPr>
                <w:b/>
                <w:bCs/>
                <w:sz w:val="24"/>
                <w:szCs w:val="24"/>
              </w:rPr>
              <w:t>Ongoing</w:t>
            </w:r>
          </w:p>
        </w:tc>
        <w:tc>
          <w:tcPr>
            <w:tcW w:w="1143" w:type="dxa"/>
            <w:tcBorders>
              <w:top w:val="single" w:sz="12" w:space="0" w:color="auto"/>
              <w:bottom w:val="single" w:sz="4" w:space="0" w:color="auto"/>
            </w:tcBorders>
            <w:shd w:val="clear" w:color="auto" w:fill="auto"/>
            <w:vAlign w:val="center"/>
          </w:tcPr>
          <w:p w14:paraId="06C968BE" w14:textId="77777777" w:rsidR="00F0236A" w:rsidRPr="00073574" w:rsidRDefault="00F0236A">
            <w:pPr>
              <w:pStyle w:val="Tabletext"/>
              <w:jc w:val="center"/>
              <w:rPr>
                <w:b/>
                <w:bCs/>
                <w:sz w:val="24"/>
                <w:szCs w:val="24"/>
              </w:rPr>
            </w:pPr>
            <w:r w:rsidRPr="00073574">
              <w:rPr>
                <w:b/>
                <w:bCs/>
                <w:sz w:val="24"/>
                <w:szCs w:val="24"/>
              </w:rPr>
              <w:t>√</w:t>
            </w:r>
          </w:p>
        </w:tc>
        <w:tc>
          <w:tcPr>
            <w:tcW w:w="1336" w:type="dxa"/>
            <w:tcBorders>
              <w:top w:val="single" w:sz="12" w:space="0" w:color="auto"/>
              <w:bottom w:val="single" w:sz="4" w:space="0" w:color="auto"/>
            </w:tcBorders>
            <w:shd w:val="clear" w:color="auto" w:fill="auto"/>
            <w:vAlign w:val="center"/>
          </w:tcPr>
          <w:p w14:paraId="77C3E789" w14:textId="77777777" w:rsidR="00F0236A" w:rsidRPr="00073574" w:rsidRDefault="00F0236A">
            <w:pPr>
              <w:pStyle w:val="Tabletext"/>
              <w:jc w:val="center"/>
              <w:rPr>
                <w:b/>
                <w:bCs/>
                <w:sz w:val="24"/>
                <w:szCs w:val="24"/>
              </w:rPr>
            </w:pPr>
          </w:p>
        </w:tc>
      </w:tr>
      <w:tr w:rsidR="00F0236A" w:rsidRPr="00073574" w14:paraId="1ED3766E" w14:textId="77777777" w:rsidTr="634A3A28">
        <w:trPr>
          <w:jc w:val="center"/>
        </w:trPr>
        <w:tc>
          <w:tcPr>
            <w:tcW w:w="1131" w:type="dxa"/>
            <w:vMerge/>
          </w:tcPr>
          <w:p w14:paraId="701C765D" w14:textId="77777777" w:rsidR="00F0236A" w:rsidRPr="00073574" w:rsidRDefault="00F0236A" w:rsidP="002452B3">
            <w:pPr>
              <w:pStyle w:val="Tabletext"/>
              <w:rPr>
                <w:sz w:val="24"/>
                <w:szCs w:val="24"/>
              </w:rPr>
            </w:pPr>
          </w:p>
        </w:tc>
        <w:tc>
          <w:tcPr>
            <w:tcW w:w="8801" w:type="dxa"/>
            <w:gridSpan w:val="4"/>
            <w:tcBorders>
              <w:top w:val="single" w:sz="4" w:space="0" w:color="auto"/>
              <w:bottom w:val="single" w:sz="12" w:space="0" w:color="auto"/>
            </w:tcBorders>
            <w:shd w:val="clear" w:color="auto" w:fill="auto"/>
          </w:tcPr>
          <w:p w14:paraId="168B77A2" w14:textId="6CD7FEEC" w:rsidR="00024C5E" w:rsidRPr="00073574" w:rsidRDefault="00024C5E" w:rsidP="00A7495D">
            <w:pPr>
              <w:rPr>
                <w:rFonts w:eastAsia="Times New Roman"/>
                <w:szCs w:val="22"/>
                <w:lang w:eastAsia="zh-CN"/>
              </w:rPr>
            </w:pPr>
            <w:r w:rsidRPr="00073574">
              <w:rPr>
                <w:rFonts w:eastAsia="Times New Roman"/>
                <w:szCs w:val="22"/>
                <w:lang w:eastAsia="zh-CN"/>
              </w:rPr>
              <w:t>A new global programme to advance research in digital finance and accelerate digital financial inclusion in developing countries, the Financial Inclusion Global Initiative (FIGI), was launched in July 2017 by the World Bank Group, the International Telecommunication Union (ITU) and the Committee on Payments and Market Infrastructures (CPMI) of the Bank for International Settlements, with support from the Bill &amp; Melinda Gates Foundation (see text of full press release). FIGI is an outcome of the work that was carried out in the ITU-T Focus Group Digital Financial Services (FG DFS) (which concluded in December 2016).</w:t>
            </w:r>
            <w:r w:rsidR="007A023A" w:rsidRPr="00073574">
              <w:rPr>
                <w:rFonts w:eastAsia="Times New Roman"/>
                <w:szCs w:val="22"/>
                <w:lang w:eastAsia="zh-CN"/>
              </w:rPr>
              <w:t xml:space="preserve"> FIGI programme has been completed in September 2021.</w:t>
            </w:r>
          </w:p>
          <w:p w14:paraId="7F79517F" w14:textId="4922AE5B" w:rsidR="00024C5E" w:rsidRPr="00073574" w:rsidRDefault="00024C5E" w:rsidP="00A7495D">
            <w:pPr>
              <w:rPr>
                <w:rFonts w:eastAsia="Times New Roman"/>
                <w:szCs w:val="22"/>
                <w:lang w:eastAsia="zh-CN"/>
              </w:rPr>
            </w:pPr>
            <w:r w:rsidRPr="00073574">
              <w:rPr>
                <w:rFonts w:eastAsia="Times New Roman"/>
                <w:szCs w:val="22"/>
                <w:lang w:eastAsia="zh-CN"/>
              </w:rPr>
              <w:t xml:space="preserve">The main objective of FIGI </w:t>
            </w:r>
            <w:r w:rsidR="00D66713" w:rsidRPr="00073574">
              <w:rPr>
                <w:rFonts w:eastAsia="Times New Roman"/>
                <w:szCs w:val="22"/>
                <w:lang w:eastAsia="zh-CN"/>
              </w:rPr>
              <w:t xml:space="preserve">was </w:t>
            </w:r>
            <w:r w:rsidRPr="00073574">
              <w:rPr>
                <w:rFonts w:eastAsia="Times New Roman"/>
                <w:szCs w:val="22"/>
                <w:lang w:eastAsia="zh-CN"/>
              </w:rPr>
              <w:t>to deliver implementation solutions and work towards accelerating the implementation of country-led reform actions to meet national financial inclusion targets and the goal of Universal Financial Access by 2020.</w:t>
            </w:r>
          </w:p>
          <w:p w14:paraId="6C38788F" w14:textId="5287C82E" w:rsidR="00024C5E" w:rsidRPr="00073574" w:rsidRDefault="00024C5E" w:rsidP="00A7495D">
            <w:pPr>
              <w:rPr>
                <w:rFonts w:eastAsia="Times New Roman"/>
                <w:szCs w:val="22"/>
                <w:lang w:eastAsia="zh-CN"/>
              </w:rPr>
            </w:pPr>
            <w:r w:rsidRPr="00073574">
              <w:rPr>
                <w:rFonts w:eastAsia="Times New Roman"/>
                <w:szCs w:val="22"/>
                <w:lang w:eastAsia="zh-CN"/>
              </w:rPr>
              <w:t xml:space="preserve">FIGI </w:t>
            </w:r>
            <w:r w:rsidR="00137B63" w:rsidRPr="00073574">
              <w:rPr>
                <w:rFonts w:eastAsia="Times New Roman"/>
                <w:szCs w:val="22"/>
                <w:lang w:eastAsia="zh-CN"/>
              </w:rPr>
              <w:t>has enabled</w:t>
            </w:r>
            <w:r w:rsidRPr="00073574">
              <w:rPr>
                <w:rFonts w:eastAsia="Times New Roman"/>
                <w:szCs w:val="22"/>
                <w:lang w:eastAsia="zh-CN"/>
              </w:rPr>
              <w:t xml:space="preserve"> national authorities in developing and emerging markets to better utilize the potential of digital technologies for financial inclusion, and to manage associated risks. The design of country programs will be informed by the PAFI framework and guiding principles, which were developed by a task force of financial regulators chaired by the World Bank and CPMI, by the recommendations of the ITU-T Focus Group on Digital Financial Services, and by the BMGF’s Level One Project principles.</w:t>
            </w:r>
          </w:p>
          <w:p w14:paraId="4D75F6DE" w14:textId="3E176580" w:rsidR="00024C5E" w:rsidRPr="00073574" w:rsidRDefault="00024C5E" w:rsidP="00A7495D">
            <w:pPr>
              <w:rPr>
                <w:rFonts w:eastAsia="Times New Roman"/>
                <w:szCs w:val="22"/>
                <w:lang w:eastAsia="zh-CN"/>
              </w:rPr>
            </w:pPr>
            <w:r w:rsidRPr="00073574">
              <w:rPr>
                <w:rFonts w:eastAsia="Times New Roman"/>
                <w:szCs w:val="22"/>
                <w:lang w:eastAsia="zh-CN"/>
              </w:rPr>
              <w:t xml:space="preserve">In particular, FIGI </w:t>
            </w:r>
            <w:r w:rsidR="005A1227" w:rsidRPr="00073574">
              <w:rPr>
                <w:rFonts w:eastAsia="Times New Roman"/>
                <w:szCs w:val="22"/>
                <w:lang w:eastAsia="zh-CN"/>
              </w:rPr>
              <w:t xml:space="preserve">had </w:t>
            </w:r>
            <w:r w:rsidRPr="00073574">
              <w:rPr>
                <w:rFonts w:eastAsia="Times New Roman"/>
                <w:szCs w:val="22"/>
                <w:lang w:eastAsia="zh-CN"/>
              </w:rPr>
              <w:t>three main components:</w:t>
            </w:r>
          </w:p>
          <w:p w14:paraId="418C724C" w14:textId="47C2953F" w:rsidR="00024C5E" w:rsidRPr="00073574" w:rsidRDefault="00024C5E" w:rsidP="00A7495D">
            <w:pPr>
              <w:rPr>
                <w:rFonts w:eastAsia="Times New Roman"/>
                <w:szCs w:val="22"/>
                <w:lang w:eastAsia="zh-CN"/>
              </w:rPr>
            </w:pPr>
            <w:r w:rsidRPr="00073574">
              <w:rPr>
                <w:rFonts w:eastAsia="Times New Roman"/>
                <w:szCs w:val="22"/>
                <w:lang w:eastAsia="zh-CN"/>
              </w:rPr>
              <w:t>1. Accelerate implementation of financial inclusion strategies in three countries (country implementation), namely: China, Egypt and Mexico. This activity is led by the World Bank with collaboration from the Development Bureau (BDT).</w:t>
            </w:r>
          </w:p>
          <w:p w14:paraId="4409AAAC" w14:textId="31BC7A81" w:rsidR="00024C5E" w:rsidRPr="00073574" w:rsidRDefault="00024C5E" w:rsidP="00A7495D">
            <w:pPr>
              <w:rPr>
                <w:rFonts w:eastAsia="Times New Roman"/>
                <w:szCs w:val="22"/>
                <w:lang w:eastAsia="zh-CN"/>
              </w:rPr>
            </w:pPr>
            <w:r w:rsidRPr="00073574">
              <w:rPr>
                <w:rFonts w:eastAsia="Times New Roman"/>
                <w:szCs w:val="22"/>
                <w:lang w:eastAsia="zh-CN"/>
              </w:rPr>
              <w:t>2. Establish</w:t>
            </w:r>
            <w:r w:rsidR="005A1227" w:rsidRPr="00073574">
              <w:rPr>
                <w:rFonts w:eastAsia="Times New Roman"/>
                <w:szCs w:val="22"/>
                <w:lang w:eastAsia="zh-CN"/>
              </w:rPr>
              <w:t>ed</w:t>
            </w:r>
            <w:r w:rsidRPr="00073574">
              <w:rPr>
                <w:rFonts w:eastAsia="Times New Roman"/>
                <w:szCs w:val="22"/>
                <w:lang w:eastAsia="zh-CN"/>
              </w:rPr>
              <w:t xml:space="preserve"> three working groups to tackle three sets of outstanding challenges for reaching universal financial access: (a) electronic payment acceptance, (b) digital ID for financial services, and (c) security, infrastructure and trust. The Standardization Bureau, ITU leads the Security, Infrastructure and Trust Working Group, whilst the other two working groups are led by the World Bank.</w:t>
            </w:r>
          </w:p>
          <w:p w14:paraId="41E552E3" w14:textId="4700064D" w:rsidR="00024C5E" w:rsidRPr="00073574" w:rsidRDefault="00024C5E" w:rsidP="00A7495D">
            <w:pPr>
              <w:rPr>
                <w:rFonts w:eastAsia="Times New Roman"/>
                <w:lang w:eastAsia="zh-CN"/>
              </w:rPr>
            </w:pPr>
            <w:r w:rsidRPr="00073574">
              <w:rPr>
                <w:rFonts w:eastAsia="Times New Roman"/>
                <w:lang w:eastAsia="zh-CN"/>
              </w:rPr>
              <w:t xml:space="preserve">3. </w:t>
            </w:r>
            <w:r w:rsidR="1899F936" w:rsidRPr="00073574">
              <w:rPr>
                <w:rFonts w:eastAsia="Times New Roman"/>
                <w:lang w:eastAsia="zh-CN"/>
              </w:rPr>
              <w:t xml:space="preserve">The annual FIGI Symposium </w:t>
            </w:r>
            <w:r w:rsidR="005A1227" w:rsidRPr="00073574">
              <w:rPr>
                <w:rFonts w:eastAsia="Times New Roman"/>
                <w:lang w:eastAsia="zh-CN"/>
              </w:rPr>
              <w:t>was</w:t>
            </w:r>
            <w:r w:rsidR="1899F936" w:rsidRPr="00073574">
              <w:rPr>
                <w:rFonts w:eastAsia="Times New Roman"/>
                <w:lang w:eastAsia="zh-CN"/>
              </w:rPr>
              <w:t xml:space="preserve"> organised by TSB </w:t>
            </w:r>
            <w:r w:rsidR="005A1227" w:rsidRPr="00073574">
              <w:rPr>
                <w:rFonts w:eastAsia="Times New Roman"/>
                <w:lang w:eastAsia="zh-CN"/>
              </w:rPr>
              <w:t>and acted</w:t>
            </w:r>
            <w:r w:rsidRPr="00073574">
              <w:rPr>
                <w:rFonts w:eastAsia="Times New Roman"/>
                <w:lang w:eastAsia="zh-CN"/>
              </w:rPr>
              <w:t xml:space="preserve"> as a common platform </w:t>
            </w:r>
            <w:r w:rsidR="7661F3C0" w:rsidRPr="00073574">
              <w:rPr>
                <w:rFonts w:eastAsia="Times New Roman"/>
                <w:lang w:eastAsia="zh-CN"/>
              </w:rPr>
              <w:t>that brings</w:t>
            </w:r>
            <w:r w:rsidRPr="00073574">
              <w:rPr>
                <w:rFonts w:eastAsia="Times New Roman"/>
                <w:lang w:eastAsia="zh-CN"/>
              </w:rPr>
              <w:t xml:space="preserve"> together regulatory bodies of the telecom and financial sectors, standards organizations, national authorities, the private sector, DFS operators and the Fintech community on relevant topics and to share emerging insights from the working groups and country programs.</w:t>
            </w:r>
          </w:p>
          <w:p w14:paraId="3C67A1AF" w14:textId="17F9034B" w:rsidR="00317E04" w:rsidRPr="00073574" w:rsidRDefault="00317E04" w:rsidP="00A7495D">
            <w:pPr>
              <w:rPr>
                <w:rFonts w:eastAsia="Times New Roman"/>
                <w:lang w:eastAsia="zh-CN"/>
              </w:rPr>
            </w:pPr>
            <w:r w:rsidRPr="00073574">
              <w:rPr>
                <w:rFonts w:eastAsia="Times New Roman"/>
                <w:lang w:eastAsia="zh-CN"/>
              </w:rPr>
              <w:t xml:space="preserve">FIGI Working Groups </w:t>
            </w:r>
            <w:r w:rsidR="007A023A" w:rsidRPr="00073574">
              <w:rPr>
                <w:rFonts w:eastAsia="Times New Roman"/>
                <w:lang w:eastAsia="zh-CN"/>
              </w:rPr>
              <w:t xml:space="preserve">developed </w:t>
            </w:r>
            <w:r w:rsidRPr="00073574">
              <w:rPr>
                <w:rFonts w:eastAsia="Times New Roman"/>
                <w:lang w:eastAsia="zh-CN"/>
              </w:rPr>
              <w:t xml:space="preserve">knowledge, technical reports, guidelines, and policy recommendations on the following three areas: Security, </w:t>
            </w:r>
            <w:r w:rsidR="740E9AA5" w:rsidRPr="00073574">
              <w:rPr>
                <w:rFonts w:eastAsia="Times New Roman"/>
                <w:lang w:eastAsia="zh-CN"/>
              </w:rPr>
              <w:t>Infrastructure and Trust;</w:t>
            </w:r>
            <w:r w:rsidRPr="00073574">
              <w:rPr>
                <w:rFonts w:eastAsia="Times New Roman"/>
                <w:lang w:eastAsia="zh-CN"/>
              </w:rPr>
              <w:t xml:space="preserve"> Digital ID for Financial Services</w:t>
            </w:r>
            <w:r w:rsidR="503A6677" w:rsidRPr="00073574">
              <w:rPr>
                <w:rFonts w:eastAsia="Times New Roman"/>
                <w:lang w:eastAsia="zh-CN"/>
              </w:rPr>
              <w:t>;</w:t>
            </w:r>
            <w:r w:rsidRPr="00073574">
              <w:rPr>
                <w:rFonts w:eastAsia="Times New Roman"/>
                <w:lang w:eastAsia="zh-CN"/>
              </w:rPr>
              <w:t xml:space="preserve"> and Electronic Payments Acceptance. Each working group </w:t>
            </w:r>
            <w:r w:rsidR="4A7E9509" w:rsidRPr="00073574">
              <w:rPr>
                <w:rFonts w:eastAsia="Times New Roman"/>
                <w:lang w:eastAsia="zh-CN"/>
              </w:rPr>
              <w:t>held</w:t>
            </w:r>
            <w:r w:rsidRPr="00073574">
              <w:rPr>
                <w:rFonts w:eastAsia="Times New Roman"/>
                <w:lang w:eastAsia="zh-CN"/>
              </w:rPr>
              <w:t xml:space="preserve"> two face to face meetings in 2017 </w:t>
            </w:r>
            <w:r w:rsidR="081A9E81" w:rsidRPr="00073574">
              <w:rPr>
                <w:rFonts w:eastAsia="Times New Roman"/>
                <w:lang w:eastAsia="zh-CN"/>
              </w:rPr>
              <w:t>and</w:t>
            </w:r>
            <w:r w:rsidRPr="00073574">
              <w:rPr>
                <w:rFonts w:eastAsia="Times New Roman"/>
                <w:lang w:eastAsia="zh-CN"/>
              </w:rPr>
              <w:t xml:space="preserve"> several e-meetings.</w:t>
            </w:r>
          </w:p>
          <w:p w14:paraId="5ACBBC24" w14:textId="66FE83D6" w:rsidR="11FB90E8" w:rsidRPr="00073574" w:rsidRDefault="5D90C94D" w:rsidP="00A7495D">
            <w:pPr>
              <w:rPr>
                <w:rFonts w:eastAsia="Times New Roman"/>
                <w:lang w:eastAsia="zh-CN"/>
              </w:rPr>
            </w:pPr>
            <w:r w:rsidRPr="00073574">
              <w:rPr>
                <w:rFonts w:eastAsia="Times New Roman"/>
                <w:lang w:eastAsia="zh-CN"/>
              </w:rPr>
              <w:lastRenderedPageBreak/>
              <w:t xml:space="preserve">The </w:t>
            </w:r>
            <w:r w:rsidR="00317E04" w:rsidRPr="00073574">
              <w:rPr>
                <w:rFonts w:eastAsia="Times New Roman"/>
                <w:lang w:eastAsia="zh-CN"/>
              </w:rPr>
              <w:t xml:space="preserve">Security, Infrastructure and Trust </w:t>
            </w:r>
            <w:r w:rsidR="00E66B8B" w:rsidRPr="00073574">
              <w:rPr>
                <w:rFonts w:eastAsia="Times New Roman"/>
                <w:lang w:eastAsia="zh-CN"/>
              </w:rPr>
              <w:t xml:space="preserve">(SIT) </w:t>
            </w:r>
            <w:r w:rsidR="00317E04" w:rsidRPr="00073574">
              <w:rPr>
                <w:rFonts w:eastAsia="Times New Roman"/>
                <w:lang w:eastAsia="zh-CN"/>
              </w:rPr>
              <w:t>Working Group</w:t>
            </w:r>
            <w:r w:rsidR="429C9ACA" w:rsidRPr="00073574">
              <w:rPr>
                <w:rFonts w:eastAsia="Times New Roman"/>
                <w:lang w:eastAsia="zh-CN"/>
              </w:rPr>
              <w:t xml:space="preserve"> </w:t>
            </w:r>
            <w:r w:rsidR="005A1227" w:rsidRPr="00073574">
              <w:rPr>
                <w:rFonts w:eastAsia="Times New Roman"/>
                <w:lang w:eastAsia="zh-CN"/>
              </w:rPr>
              <w:t>was</w:t>
            </w:r>
            <w:r w:rsidR="429C9ACA" w:rsidRPr="00073574">
              <w:rPr>
                <w:rFonts w:eastAsia="Times New Roman"/>
                <w:lang w:eastAsia="zh-CN"/>
              </w:rPr>
              <w:t xml:space="preserve"> led by TSB and it </w:t>
            </w:r>
            <w:r w:rsidR="00866114" w:rsidRPr="00073574">
              <w:rPr>
                <w:rFonts w:eastAsia="Times New Roman"/>
                <w:lang w:eastAsia="zh-CN"/>
              </w:rPr>
              <w:t>brought</w:t>
            </w:r>
            <w:r w:rsidR="429C9ACA" w:rsidRPr="00073574">
              <w:rPr>
                <w:rFonts w:eastAsia="Times New Roman"/>
                <w:lang w:eastAsia="zh-CN"/>
              </w:rPr>
              <w:t xml:space="preserve"> together telecom regulators, Central Banks and DFS providers to discuss the important security </w:t>
            </w:r>
            <w:r w:rsidR="6A3A8609" w:rsidRPr="00073574">
              <w:rPr>
                <w:rFonts w:eastAsia="Times New Roman"/>
                <w:lang w:eastAsia="zh-CN"/>
              </w:rPr>
              <w:t>challenges and emerging</w:t>
            </w:r>
            <w:r w:rsidR="429C9ACA" w:rsidRPr="00073574">
              <w:rPr>
                <w:rFonts w:eastAsia="Times New Roman"/>
                <w:lang w:eastAsia="zh-CN"/>
              </w:rPr>
              <w:t xml:space="preserve"> issues</w:t>
            </w:r>
            <w:r w:rsidR="021E29B3" w:rsidRPr="00073574">
              <w:rPr>
                <w:rFonts w:eastAsia="Times New Roman"/>
                <w:lang w:eastAsia="zh-CN"/>
              </w:rPr>
              <w:t xml:space="preserve"> facing digital financial services provision.</w:t>
            </w:r>
            <w:r w:rsidR="00A010EF" w:rsidRPr="00073574">
              <w:rPr>
                <w:rFonts w:eastAsia="Times New Roman"/>
                <w:lang w:eastAsia="zh-CN"/>
              </w:rPr>
              <w:t xml:space="preserve"> </w:t>
            </w:r>
            <w:r w:rsidR="43F71B44" w:rsidRPr="00073574">
              <w:rPr>
                <w:rFonts w:eastAsia="Times New Roman"/>
                <w:lang w:eastAsia="zh-CN"/>
              </w:rPr>
              <w:t>Its</w:t>
            </w:r>
            <w:r w:rsidR="00317E04" w:rsidRPr="00073574">
              <w:rPr>
                <w:rFonts w:eastAsia="Times New Roman"/>
                <w:lang w:eastAsia="zh-CN"/>
              </w:rPr>
              <w:t xml:space="preserve"> main objective is to identify effective mitigation strategies and measures to address the changing threats and vulnerabilities landscape in the DFS ecosystem in order to preserve confidentiality of information, integrity of transactions and availability of the service. The working group </w:t>
            </w:r>
            <w:r w:rsidR="00866114" w:rsidRPr="00073574">
              <w:rPr>
                <w:rFonts w:eastAsia="Times New Roman"/>
                <w:lang w:eastAsia="zh-CN"/>
              </w:rPr>
              <w:t>studied</w:t>
            </w:r>
            <w:r w:rsidR="00317E04" w:rsidRPr="00073574">
              <w:rPr>
                <w:rFonts w:eastAsia="Times New Roman"/>
                <w:lang w:eastAsia="zh-CN"/>
              </w:rPr>
              <w:t xml:space="preserve"> the following DFS </w:t>
            </w:r>
            <w:r w:rsidR="00866114" w:rsidRPr="00073574">
              <w:rPr>
                <w:rFonts w:eastAsia="Times New Roman"/>
                <w:lang w:eastAsia="zh-CN"/>
              </w:rPr>
              <w:t>security</w:t>
            </w:r>
            <w:r w:rsidR="00317E04" w:rsidRPr="00073574">
              <w:rPr>
                <w:rFonts w:eastAsia="Times New Roman"/>
                <w:lang w:eastAsia="zh-CN"/>
              </w:rPr>
              <w:t xml:space="preserve"> challenges </w:t>
            </w:r>
            <w:r w:rsidR="00866114" w:rsidRPr="00073574">
              <w:rPr>
                <w:rFonts w:eastAsia="Times New Roman"/>
                <w:lang w:eastAsia="zh-CN"/>
              </w:rPr>
              <w:t xml:space="preserve">that were outlined in the report on Security aspects for DFS (from the ITU-T Focus Group Digital Financial Services) </w:t>
            </w:r>
            <w:r w:rsidR="00317E04" w:rsidRPr="00073574">
              <w:rPr>
                <w:rFonts w:eastAsia="Times New Roman"/>
                <w:lang w:eastAsia="zh-CN"/>
              </w:rPr>
              <w:t xml:space="preserve">more in depth: communications infrastructure vulnerabilities (e.g. USSD security, man in the middle attacks etc), application security for DFS, interoperable authentication technologies, security of distributed ledger technologies and use cases for financial inclusion, methodology to measure the quality of service KPIs for DFS and protect data privacy and integrity of consumer data and transactions. The </w:t>
            </w:r>
            <w:r w:rsidR="00E66B8B" w:rsidRPr="00073574">
              <w:rPr>
                <w:rFonts w:eastAsia="Times New Roman"/>
                <w:lang w:eastAsia="zh-CN"/>
              </w:rPr>
              <w:t xml:space="preserve">SIT working </w:t>
            </w:r>
            <w:r w:rsidR="00317E04" w:rsidRPr="00073574">
              <w:rPr>
                <w:rFonts w:eastAsia="Times New Roman"/>
                <w:lang w:eastAsia="zh-CN"/>
              </w:rPr>
              <w:t>group also include</w:t>
            </w:r>
            <w:r w:rsidR="00E66B8B" w:rsidRPr="00073574">
              <w:rPr>
                <w:rFonts w:eastAsia="Times New Roman"/>
                <w:lang w:eastAsia="zh-CN"/>
              </w:rPr>
              <w:t>d</w:t>
            </w:r>
            <w:r w:rsidR="00317E04" w:rsidRPr="00073574">
              <w:rPr>
                <w:rFonts w:eastAsia="Times New Roman"/>
                <w:lang w:eastAsia="zh-CN"/>
              </w:rPr>
              <w:t xml:space="preserve"> a workstream on Cybersecurity for Financial Institutions coordinated by the World Bank to support financial sector authorities to better understand the threats, targets, risks and impacts of cyberattacks, and to deploy adequate tools to increase cybersecurity. ITU-T Study Groups </w:t>
            </w:r>
            <w:r w:rsidR="008C1CCE" w:rsidRPr="00073574">
              <w:rPr>
                <w:rFonts w:eastAsia="Times New Roman"/>
                <w:lang w:eastAsia="zh-CN"/>
              </w:rPr>
              <w:t xml:space="preserve">3, 11, </w:t>
            </w:r>
            <w:r w:rsidR="00317E04" w:rsidRPr="00073574">
              <w:rPr>
                <w:rFonts w:eastAsia="Times New Roman"/>
                <w:lang w:eastAsia="zh-CN"/>
              </w:rPr>
              <w:t xml:space="preserve">12 and 17 are involved in the activities of the Security, Infrastructure and Trust working group. The outputs of this working group </w:t>
            </w:r>
            <w:r w:rsidR="00AE17B4" w:rsidRPr="00073574">
              <w:rPr>
                <w:rFonts w:eastAsia="Times New Roman"/>
                <w:lang w:eastAsia="zh-CN"/>
              </w:rPr>
              <w:t>were</w:t>
            </w:r>
            <w:r w:rsidR="00317E04" w:rsidRPr="00073574">
              <w:rPr>
                <w:rFonts w:eastAsia="Times New Roman"/>
                <w:lang w:eastAsia="zh-CN"/>
              </w:rPr>
              <w:t xml:space="preserve"> disseminated to ITU-T Study Groups </w:t>
            </w:r>
            <w:r w:rsidR="008C1CCE" w:rsidRPr="00073574">
              <w:rPr>
                <w:rFonts w:eastAsia="Times New Roman"/>
                <w:lang w:eastAsia="zh-CN"/>
              </w:rPr>
              <w:t xml:space="preserve">3, </w:t>
            </w:r>
            <w:r w:rsidR="00317E04" w:rsidRPr="00073574">
              <w:rPr>
                <w:rFonts w:eastAsia="Times New Roman"/>
                <w:lang w:eastAsia="zh-CN"/>
              </w:rPr>
              <w:t>11, 12 and 17.</w:t>
            </w:r>
          </w:p>
          <w:p w14:paraId="33937D8F" w14:textId="74EC024B" w:rsidR="00F0236A" w:rsidRPr="00073574" w:rsidRDefault="00F0236A" w:rsidP="00A7495D">
            <w:pPr>
              <w:rPr>
                <w:rFonts w:eastAsia="Times New Roman"/>
                <w:szCs w:val="22"/>
              </w:rPr>
            </w:pPr>
            <w:r w:rsidRPr="00073574">
              <w:rPr>
                <w:lang w:eastAsia="en-US"/>
              </w:rPr>
              <w:t xml:space="preserve">TSAG created a new </w:t>
            </w:r>
            <w:hyperlink r:id="rId769">
              <w:r w:rsidRPr="00073574">
                <w:rPr>
                  <w:rStyle w:val="Hyperlink"/>
                  <w:lang w:eastAsia="en-US"/>
                </w:rPr>
                <w:t>ITU-T Focus Group on Digital Currency including Digital Fiat Currency</w:t>
              </w:r>
            </w:hyperlink>
            <w:r w:rsidR="003C7E25" w:rsidRPr="00073574">
              <w:rPr>
                <w:lang w:eastAsia="en-US"/>
              </w:rPr>
              <w:t>'</w:t>
            </w:r>
            <w:r w:rsidRPr="00073574">
              <w:rPr>
                <w:lang w:eastAsia="en-US"/>
              </w:rPr>
              <w:t xml:space="preserve"> (FG DFC) to investigate the emerging questions of how best to standardize and regulate the interoperability and security aspects of digital fiat currency. The group held its first meeting on 12-13 October 2017 in </w:t>
            </w:r>
            <w:r w:rsidRPr="00073574">
              <w:rPr>
                <w:szCs w:val="22"/>
                <w:lang w:eastAsia="en-US"/>
              </w:rPr>
              <w:t xml:space="preserve">Beijing, China. At the first meeting of the Focus Group, three working groups were established: Regulatory requirements and economic impact; Ecosystem and Reference Architecture; and Security. </w:t>
            </w:r>
            <w:r w:rsidRPr="00073574">
              <w:rPr>
                <w:szCs w:val="22"/>
              </w:rPr>
              <w:t xml:space="preserve">The Focus Group </w:t>
            </w:r>
            <w:r w:rsidR="05A5CA6F" w:rsidRPr="00073574">
              <w:rPr>
                <w:szCs w:val="22"/>
              </w:rPr>
              <w:t xml:space="preserve"> worked </w:t>
            </w:r>
            <w:r w:rsidRPr="00073574">
              <w:rPr>
                <w:szCs w:val="22"/>
              </w:rPr>
              <w:t xml:space="preserve">in close cooperation with ITU-T Study Groups as well as other bodies in the field of digital currency, such as </w:t>
            </w:r>
            <w:hyperlink r:id="rId770">
              <w:r w:rsidRPr="00073574">
                <w:rPr>
                  <w:rStyle w:val="Hyperlink"/>
                  <w:szCs w:val="22"/>
                </w:rPr>
                <w:t>ISO/TC68/SC2</w:t>
              </w:r>
            </w:hyperlink>
            <w:r w:rsidRPr="00073574">
              <w:rPr>
                <w:szCs w:val="22"/>
              </w:rPr>
              <w:t xml:space="preserve">, </w:t>
            </w:r>
            <w:hyperlink r:id="rId771">
              <w:r w:rsidRPr="00073574">
                <w:rPr>
                  <w:rStyle w:val="Hyperlink"/>
                  <w:szCs w:val="22"/>
                </w:rPr>
                <w:t>ISO/TC68/SC8</w:t>
              </w:r>
            </w:hyperlink>
            <w:r w:rsidRPr="00073574">
              <w:rPr>
                <w:szCs w:val="22"/>
              </w:rPr>
              <w:t xml:space="preserve"> and </w:t>
            </w:r>
            <w:hyperlink r:id="rId772">
              <w:r w:rsidRPr="00073574">
                <w:rPr>
                  <w:rStyle w:val="Hyperlink"/>
                  <w:szCs w:val="22"/>
                </w:rPr>
                <w:t>ISO/TC307</w:t>
              </w:r>
            </w:hyperlink>
            <w:r w:rsidRPr="00073574">
              <w:rPr>
                <w:rStyle w:val="Hyperlink"/>
                <w:szCs w:val="22"/>
              </w:rPr>
              <w:t>.</w:t>
            </w:r>
            <w:r w:rsidR="0AC4F9F3" w:rsidRPr="00073574">
              <w:rPr>
                <w:rStyle w:val="Hyperlink"/>
                <w:szCs w:val="22"/>
              </w:rPr>
              <w:t xml:space="preserve"> </w:t>
            </w:r>
            <w:r w:rsidR="52A44D51" w:rsidRPr="00073574">
              <w:rPr>
                <w:rFonts w:eastAsia="Times New Roman"/>
                <w:szCs w:val="22"/>
              </w:rPr>
              <w:t xml:space="preserve">The </w:t>
            </w:r>
            <w:hyperlink r:id="rId773" w:history="1">
              <w:r w:rsidR="52A44D51" w:rsidRPr="00073574">
                <w:rPr>
                  <w:rStyle w:val="Hyperlink"/>
                  <w:rFonts w:eastAsia="Calibri"/>
                  <w:szCs w:val="22"/>
                </w:rPr>
                <w:t>Focus Group Digital Currency including Digital Fiat Currency</w:t>
              </w:r>
            </w:hyperlink>
            <w:r w:rsidR="52A44D51" w:rsidRPr="00073574">
              <w:rPr>
                <w:rFonts w:eastAsia="Times New Roman"/>
                <w:szCs w:val="22"/>
              </w:rPr>
              <w:t xml:space="preserve"> (FG DFC) completed its work in June 2019.</w:t>
            </w:r>
          </w:p>
          <w:p w14:paraId="3F72BDA0" w14:textId="554AB785" w:rsidR="00F0236A" w:rsidRPr="00073574" w:rsidRDefault="52A44D51" w:rsidP="00A7495D">
            <w:pPr>
              <w:rPr>
                <w:rFonts w:eastAsia="Times New Roman"/>
                <w:szCs w:val="22"/>
              </w:rPr>
            </w:pPr>
            <w:r w:rsidRPr="00073574">
              <w:rPr>
                <w:rFonts w:eastAsia="Times New Roman"/>
                <w:szCs w:val="22"/>
              </w:rPr>
              <w:t xml:space="preserve">The </w:t>
            </w:r>
            <w:r w:rsidR="6BF2E96D" w:rsidRPr="00073574">
              <w:rPr>
                <w:rFonts w:eastAsia="Times New Roman"/>
                <w:szCs w:val="22"/>
              </w:rPr>
              <w:t>F</w:t>
            </w:r>
            <w:r w:rsidRPr="00073574">
              <w:rPr>
                <w:rFonts w:eastAsia="Times New Roman"/>
                <w:szCs w:val="22"/>
              </w:rPr>
              <w:t xml:space="preserve">ocus </w:t>
            </w:r>
            <w:r w:rsidR="290165E3" w:rsidRPr="00073574">
              <w:rPr>
                <w:rFonts w:eastAsia="Times New Roman"/>
                <w:szCs w:val="22"/>
              </w:rPr>
              <w:t>G</w:t>
            </w:r>
            <w:r w:rsidRPr="00073574">
              <w:rPr>
                <w:rFonts w:eastAsia="Times New Roman"/>
                <w:szCs w:val="22"/>
              </w:rPr>
              <w:t>roup produced seven technical reports under three themes:</w:t>
            </w:r>
          </w:p>
          <w:p w14:paraId="03BC635C" w14:textId="00F31137" w:rsidR="00F0236A" w:rsidRPr="00073574" w:rsidRDefault="52A44D51" w:rsidP="00A7495D">
            <w:pPr>
              <w:pStyle w:val="ListParagraph"/>
              <w:numPr>
                <w:ilvl w:val="0"/>
                <w:numId w:val="80"/>
              </w:numPr>
              <w:contextualSpacing w:val="0"/>
              <w:rPr>
                <w:rFonts w:eastAsia="Times New Roman"/>
              </w:rPr>
            </w:pPr>
            <w:r w:rsidRPr="00073574">
              <w:rPr>
                <w:rFonts w:eastAsia="Times New Roman"/>
              </w:rPr>
              <w:t>Regulatory Requirements and Economic Impact of Central Bank Digital Currency (three technical reports).</w:t>
            </w:r>
          </w:p>
          <w:p w14:paraId="3E4E1DFB" w14:textId="75AFFBB4" w:rsidR="00F0236A" w:rsidRPr="00073574" w:rsidRDefault="52A44D51" w:rsidP="00A7495D">
            <w:pPr>
              <w:pStyle w:val="ListParagraph"/>
              <w:numPr>
                <w:ilvl w:val="0"/>
                <w:numId w:val="80"/>
              </w:numPr>
              <w:contextualSpacing w:val="0"/>
              <w:rPr>
                <w:rFonts w:eastAsia="Times New Roman"/>
              </w:rPr>
            </w:pPr>
            <w:r w:rsidRPr="00073574">
              <w:rPr>
                <w:rFonts w:eastAsia="Times New Roman"/>
              </w:rPr>
              <w:t>Reference Architecture Options and Digital Currency Use Cases (two technical reports).</w:t>
            </w:r>
          </w:p>
          <w:p w14:paraId="40EC16CD" w14:textId="3B57AFEF" w:rsidR="00F0236A" w:rsidRPr="00073574" w:rsidRDefault="52A44D51" w:rsidP="00A7495D">
            <w:pPr>
              <w:pStyle w:val="ListParagraph"/>
              <w:numPr>
                <w:ilvl w:val="0"/>
                <w:numId w:val="80"/>
              </w:numPr>
              <w:contextualSpacing w:val="0"/>
              <w:rPr>
                <w:rFonts w:eastAsia="Times New Roman"/>
              </w:rPr>
            </w:pPr>
            <w:r w:rsidRPr="00073574">
              <w:rPr>
                <w:rFonts w:eastAsia="Times New Roman"/>
              </w:rPr>
              <w:t>Security (two technical reports).</w:t>
            </w:r>
          </w:p>
          <w:p w14:paraId="45A939FF" w14:textId="2E6F573D" w:rsidR="00F0236A" w:rsidRPr="00073574" w:rsidRDefault="7D658229" w:rsidP="00A7495D">
            <w:pPr>
              <w:rPr>
                <w:rStyle w:val="Hyperlink"/>
                <w:rFonts w:eastAsia="Times New Roman"/>
                <w:szCs w:val="22"/>
              </w:rPr>
            </w:pPr>
            <w:r w:rsidRPr="00073574">
              <w:rPr>
                <w:rStyle w:val="Hyperlink"/>
                <w:rFonts w:eastAsia="Times New Roman"/>
                <w:szCs w:val="22"/>
              </w:rPr>
              <w:t>The reports were endorsed by TSAG at its meeting in September 2019 and the re</w:t>
            </w:r>
            <w:r w:rsidR="4FB0ADBA" w:rsidRPr="00073574">
              <w:rPr>
                <w:rStyle w:val="Hyperlink"/>
                <w:rFonts w:eastAsia="Times New Roman"/>
                <w:szCs w:val="22"/>
              </w:rPr>
              <w:t>ports were submitted to Study Groups 16 and 17 as inputs for their standardization work.</w:t>
            </w:r>
          </w:p>
          <w:p w14:paraId="057B406C" w14:textId="277CCF59" w:rsidR="00DD46CD" w:rsidRPr="00073574" w:rsidRDefault="00012232" w:rsidP="00A7495D">
            <w:pPr>
              <w:rPr>
                <w:szCs w:val="22"/>
                <w:lang w:eastAsia="en-US"/>
              </w:rPr>
            </w:pPr>
            <w:r w:rsidRPr="00073574">
              <w:rPr>
                <w:szCs w:val="22"/>
                <w:lang w:eastAsia="en-US"/>
              </w:rPr>
              <w:t xml:space="preserve">ITU has created a unique platform at the ITU Telecom World events </w:t>
            </w:r>
            <w:r w:rsidR="00563D67" w:rsidRPr="00073574">
              <w:rPr>
                <w:szCs w:val="22"/>
                <w:lang w:eastAsia="en-US"/>
              </w:rPr>
              <w:t xml:space="preserve">(2017, 2018, 2019) </w:t>
            </w:r>
            <w:r w:rsidRPr="00073574">
              <w:rPr>
                <w:szCs w:val="22"/>
                <w:lang w:eastAsia="en-US"/>
              </w:rPr>
              <w:t xml:space="preserve">bringing together artificial intelligence as a key enabler of smart and emerging applications in digital financial services and urban living – smart banking and smart cities. The </w:t>
            </w:r>
            <w:r w:rsidR="00DD46CD" w:rsidRPr="00073574">
              <w:rPr>
                <w:szCs w:val="22"/>
                <w:lang w:eastAsia="en-US"/>
              </w:rPr>
              <w:t>TSB Director</w:t>
            </w:r>
            <w:r w:rsidRPr="00073574">
              <w:rPr>
                <w:szCs w:val="22"/>
                <w:lang w:eastAsia="en-US"/>
              </w:rPr>
              <w:t xml:space="preserve"> </w:t>
            </w:r>
            <w:r w:rsidR="00DD46CD" w:rsidRPr="00073574">
              <w:rPr>
                <w:szCs w:val="22"/>
                <w:lang w:eastAsia="en-US"/>
              </w:rPr>
              <w:t xml:space="preserve">organized the Smart ABC programme </w:t>
            </w:r>
            <w:r w:rsidR="00DC5720" w:rsidRPr="00073574">
              <w:rPr>
                <w:szCs w:val="22"/>
                <w:lang w:eastAsia="en-US"/>
              </w:rPr>
              <w:t>to address the technological developments in artificial intelligence, digital financial services and smart cities making innovative use of ICTs to improve quality of life, efficiency of services, productivity and competitiveness.</w:t>
            </w:r>
          </w:p>
          <w:p w14:paraId="7EFB2AB0" w14:textId="77777777" w:rsidR="002452B3" w:rsidRPr="00073574" w:rsidRDefault="4A112EED" w:rsidP="00A7495D">
            <w:pPr>
              <w:rPr>
                <w:szCs w:val="22"/>
              </w:rPr>
            </w:pPr>
            <w:r w:rsidRPr="00073574">
              <w:rPr>
                <w:szCs w:val="22"/>
              </w:rPr>
              <w:t>The third edition of the Smart ABC Programme w</w:t>
            </w:r>
            <w:r w:rsidR="002452B3" w:rsidRPr="00073574">
              <w:rPr>
                <w:szCs w:val="22"/>
              </w:rPr>
              <w:t>a</w:t>
            </w:r>
            <w:r w:rsidR="002452B3" w:rsidRPr="00073574">
              <w:t>s</w:t>
            </w:r>
            <w:r w:rsidRPr="00073574">
              <w:rPr>
                <w:szCs w:val="22"/>
              </w:rPr>
              <w:t xml:space="preserve"> held at ITU Telecom World 2019, the leading tech event for governments, corporates and SMEs taking place in Budapest, Hungary, 9-12 September 2019.</w:t>
            </w:r>
          </w:p>
          <w:p w14:paraId="38EF2C1D" w14:textId="38C62A14" w:rsidR="00012232" w:rsidRPr="00073574" w:rsidRDefault="39A918D4" w:rsidP="00A7495D">
            <w:pPr>
              <w:pStyle w:val="Heading2"/>
              <w:spacing w:before="120"/>
              <w:rPr>
                <w:rFonts w:ascii="Times New Roman" w:eastAsia="Times New Roman" w:hAnsi="Times New Roman" w:cs="Times New Roman"/>
                <w:b w:val="0"/>
                <w:bCs w:val="0"/>
                <w:color w:val="000000" w:themeColor="text1"/>
                <w:sz w:val="22"/>
                <w:szCs w:val="22"/>
              </w:rPr>
            </w:pPr>
            <w:bookmarkStart w:id="525" w:name="_Toc93425290"/>
            <w:r w:rsidRPr="00073574">
              <w:rPr>
                <w:rFonts w:ascii="Times New Roman" w:eastAsia="Times New Roman" w:hAnsi="Times New Roman" w:cs="Times New Roman"/>
                <w:color w:val="000000" w:themeColor="text1"/>
                <w:sz w:val="22"/>
                <w:szCs w:val="22"/>
              </w:rPr>
              <w:t>Digital Currency Global Initiative</w:t>
            </w:r>
            <w:bookmarkEnd w:id="525"/>
          </w:p>
          <w:p w14:paraId="520FE738" w14:textId="2940E484" w:rsidR="00012232" w:rsidRPr="00073574" w:rsidRDefault="39A918D4" w:rsidP="00A7495D">
            <w:pPr>
              <w:rPr>
                <w:rFonts w:eastAsia="Times New Roman"/>
                <w:color w:val="000000" w:themeColor="text1"/>
                <w:szCs w:val="22"/>
              </w:rPr>
            </w:pPr>
            <w:r w:rsidRPr="00073574">
              <w:rPr>
                <w:rFonts w:eastAsia="Times New Roman"/>
                <w:color w:val="000000" w:themeColor="text1"/>
                <w:szCs w:val="22"/>
              </w:rPr>
              <w:t xml:space="preserve">The </w:t>
            </w:r>
            <w:hyperlink r:id="rId774" w:history="1">
              <w:r w:rsidRPr="00073574">
                <w:rPr>
                  <w:rStyle w:val="Hyperlink"/>
                  <w:rFonts w:eastAsia="Calibri"/>
                  <w:color w:val="0070C0"/>
                  <w:szCs w:val="22"/>
                </w:rPr>
                <w:t>Digital Currency Global Initiative</w:t>
              </w:r>
            </w:hyperlink>
            <w:r w:rsidRPr="00073574">
              <w:rPr>
                <w:rFonts w:eastAsia="Times New Roman"/>
                <w:color w:val="000000" w:themeColor="text1"/>
                <w:szCs w:val="22"/>
              </w:rPr>
              <w:t xml:space="preserve"> (DCGI) is a collaboration between ITU and </w:t>
            </w:r>
            <w:r w:rsidR="00AE17B4" w:rsidRPr="00073574">
              <w:rPr>
                <w:rFonts w:eastAsia="Times New Roman"/>
                <w:color w:val="000000" w:themeColor="text1"/>
                <w:szCs w:val="22"/>
              </w:rPr>
              <w:t xml:space="preserve">Future of Digital Currency Initiative of </w:t>
            </w:r>
            <w:r w:rsidRPr="00073574">
              <w:rPr>
                <w:rFonts w:eastAsia="Times New Roman"/>
                <w:color w:val="000000" w:themeColor="text1"/>
                <w:szCs w:val="22"/>
              </w:rPr>
              <w:t>Stanford University</w:t>
            </w:r>
            <w:r w:rsidR="00AE17B4" w:rsidRPr="00073574">
              <w:rPr>
                <w:rFonts w:eastAsia="Times New Roman"/>
                <w:color w:val="000000" w:themeColor="text1"/>
                <w:szCs w:val="22"/>
              </w:rPr>
              <w:t>.</w:t>
            </w:r>
            <w:r w:rsidR="00A010EF" w:rsidRPr="00073574">
              <w:rPr>
                <w:rFonts w:eastAsia="Times New Roman"/>
                <w:color w:val="000000" w:themeColor="text1"/>
                <w:szCs w:val="22"/>
              </w:rPr>
              <w:t xml:space="preserve"> </w:t>
            </w:r>
            <w:r w:rsidR="00AE17B4" w:rsidRPr="00073574">
              <w:rPr>
                <w:rFonts w:eastAsia="Times New Roman"/>
                <w:color w:val="000000" w:themeColor="text1"/>
                <w:szCs w:val="22"/>
              </w:rPr>
              <w:t>I</w:t>
            </w:r>
            <w:r w:rsidRPr="00073574">
              <w:rPr>
                <w:rFonts w:eastAsia="Times New Roman"/>
                <w:color w:val="000000" w:themeColor="text1"/>
                <w:szCs w:val="22"/>
              </w:rPr>
              <w:t>ts main objectives are</w:t>
            </w:r>
            <w:r w:rsidR="00A8494C" w:rsidRPr="00073574">
              <w:rPr>
                <w:rFonts w:eastAsia="Times New Roman"/>
                <w:color w:val="000000" w:themeColor="text1"/>
                <w:szCs w:val="22"/>
              </w:rPr>
              <w:t xml:space="preserve"> to</w:t>
            </w:r>
            <w:r w:rsidRPr="00073574">
              <w:rPr>
                <w:rFonts w:eastAsia="Times New Roman"/>
                <w:color w:val="000000" w:themeColor="text1"/>
                <w:szCs w:val="22"/>
              </w:rPr>
              <w:t>:</w:t>
            </w:r>
          </w:p>
          <w:p w14:paraId="55403945" w14:textId="3A360AB1" w:rsidR="00012232" w:rsidRPr="00073574" w:rsidRDefault="39A918D4" w:rsidP="00A7495D">
            <w:pPr>
              <w:pStyle w:val="ListParagraph"/>
              <w:numPr>
                <w:ilvl w:val="0"/>
                <w:numId w:val="2"/>
              </w:numPr>
              <w:contextualSpacing w:val="0"/>
              <w:rPr>
                <w:rFonts w:eastAsia="Times New Roman"/>
                <w:color w:val="000000" w:themeColor="text1"/>
              </w:rPr>
            </w:pPr>
            <w:r w:rsidRPr="00073574">
              <w:rPr>
                <w:rFonts w:eastAsia="Times New Roman"/>
                <w:color w:val="000000" w:themeColor="text1"/>
              </w:rPr>
              <w:lastRenderedPageBreak/>
              <w:t>Conduct further research on technical architecture, security, the technical implications and challenges in deployment caused by regulatory and policy requirements for Central Bank Digital Currency and other Digital Currencies, technology trends in digital currency and the use cases related to financial inclusion, operational efficiency and interoperability;</w:t>
            </w:r>
          </w:p>
          <w:p w14:paraId="7B537843" w14:textId="5989659D" w:rsidR="00012232" w:rsidRPr="00073574" w:rsidRDefault="39A918D4" w:rsidP="00A7495D">
            <w:pPr>
              <w:pStyle w:val="ListParagraph"/>
              <w:numPr>
                <w:ilvl w:val="0"/>
                <w:numId w:val="2"/>
              </w:numPr>
              <w:ind w:left="714" w:hanging="357"/>
              <w:contextualSpacing w:val="0"/>
              <w:rPr>
                <w:rFonts w:eastAsia="Times New Roman"/>
                <w:color w:val="000000" w:themeColor="text1"/>
              </w:rPr>
            </w:pPr>
            <w:r w:rsidRPr="00073574">
              <w:rPr>
                <w:rFonts w:eastAsia="Times New Roman"/>
                <w:color w:val="000000" w:themeColor="text1"/>
              </w:rPr>
              <w:t>Develop a set of metrics by which to evaluate the robustness of various digital currency technologies against the requirements set by various stakeholders</w:t>
            </w:r>
            <w:r w:rsidR="0085562F" w:rsidRPr="00073574">
              <w:rPr>
                <w:rFonts w:eastAsia="Times New Roman"/>
                <w:color w:val="000000" w:themeColor="text1"/>
              </w:rPr>
              <w:t>;</w:t>
            </w:r>
          </w:p>
          <w:p w14:paraId="50F48949" w14:textId="64F1B854" w:rsidR="00012232" w:rsidRPr="00073574" w:rsidRDefault="39A918D4" w:rsidP="00A7495D">
            <w:pPr>
              <w:pStyle w:val="ListParagraph"/>
              <w:numPr>
                <w:ilvl w:val="0"/>
                <w:numId w:val="2"/>
              </w:numPr>
              <w:ind w:left="714" w:hanging="357"/>
              <w:contextualSpacing w:val="0"/>
              <w:rPr>
                <w:rFonts w:eastAsia="Times New Roman"/>
                <w:color w:val="000000" w:themeColor="text1"/>
              </w:rPr>
            </w:pPr>
            <w:r w:rsidRPr="00073574">
              <w:rPr>
                <w:rFonts w:eastAsia="Times New Roman"/>
                <w:color w:val="000000" w:themeColor="text1"/>
              </w:rPr>
              <w:t>Identify areas for standardization to enable implementation of digital currency;</w:t>
            </w:r>
          </w:p>
          <w:p w14:paraId="060209DD" w14:textId="1054817B" w:rsidR="00012232" w:rsidRPr="00073574" w:rsidRDefault="39A918D4" w:rsidP="00A7495D">
            <w:pPr>
              <w:pStyle w:val="ListParagraph"/>
              <w:numPr>
                <w:ilvl w:val="0"/>
                <w:numId w:val="2"/>
              </w:numPr>
              <w:ind w:left="714" w:hanging="357"/>
              <w:contextualSpacing w:val="0"/>
              <w:rPr>
                <w:rFonts w:eastAsia="Times New Roman"/>
                <w:color w:val="000000" w:themeColor="text1"/>
              </w:rPr>
            </w:pPr>
            <w:r w:rsidRPr="00073574">
              <w:rPr>
                <w:rFonts w:eastAsia="Times New Roman"/>
                <w:color w:val="000000" w:themeColor="text1"/>
              </w:rPr>
              <w:t>Organize a conference on an annual basis to share information on best practices, technical standards and lessons learned on digital currency implementation.</w:t>
            </w:r>
          </w:p>
          <w:p w14:paraId="1605AA6E" w14:textId="030D93A4" w:rsidR="00012232" w:rsidRPr="00073574" w:rsidRDefault="39A918D4" w:rsidP="00A7495D">
            <w:pPr>
              <w:ind w:left="357" w:hanging="357"/>
              <w:rPr>
                <w:rFonts w:eastAsia="Times New Roman"/>
                <w:color w:val="000000" w:themeColor="text1"/>
                <w:szCs w:val="22"/>
              </w:rPr>
            </w:pPr>
            <w:r w:rsidRPr="00073574">
              <w:rPr>
                <w:rFonts w:eastAsia="Times New Roman"/>
                <w:color w:val="201F1E"/>
                <w:szCs w:val="22"/>
              </w:rPr>
              <w:t xml:space="preserve">The </w:t>
            </w:r>
            <w:r w:rsidR="00A8494C" w:rsidRPr="00073574">
              <w:rPr>
                <w:rFonts w:eastAsia="Times New Roman"/>
                <w:color w:val="201F1E"/>
                <w:szCs w:val="22"/>
              </w:rPr>
              <w:t xml:space="preserve">DCGI </w:t>
            </w:r>
            <w:r w:rsidRPr="00073574">
              <w:rPr>
                <w:rFonts w:eastAsia="Times New Roman"/>
                <w:color w:val="201F1E"/>
                <w:szCs w:val="22"/>
              </w:rPr>
              <w:t>will continue the dialogue and research initiated by the ITU Focus Group</w:t>
            </w:r>
          </w:p>
          <w:p w14:paraId="37BAAC0D" w14:textId="070C177F" w:rsidR="00012232" w:rsidRPr="00073574" w:rsidRDefault="39A918D4" w:rsidP="00A7495D">
            <w:pPr>
              <w:ind w:left="357" w:hanging="357"/>
              <w:rPr>
                <w:rFonts w:eastAsia="Times New Roman"/>
                <w:color w:val="000000" w:themeColor="text1"/>
                <w:szCs w:val="22"/>
              </w:rPr>
            </w:pPr>
            <w:r w:rsidRPr="00073574">
              <w:rPr>
                <w:rFonts w:eastAsia="Times New Roman"/>
                <w:color w:val="201F1E"/>
                <w:szCs w:val="22"/>
              </w:rPr>
              <w:t>on Digital Currency including Digital Fiat Currency on pilot implementations, use</w:t>
            </w:r>
            <w:r w:rsidR="06F2435D" w:rsidRPr="00073574">
              <w:rPr>
                <w:rFonts w:eastAsia="Times New Roman"/>
                <w:color w:val="201F1E"/>
                <w:szCs w:val="22"/>
              </w:rPr>
              <w:t xml:space="preserve"> </w:t>
            </w:r>
            <w:r w:rsidRPr="00073574">
              <w:rPr>
                <w:rFonts w:eastAsia="Times New Roman"/>
                <w:color w:val="201F1E"/>
                <w:szCs w:val="22"/>
              </w:rPr>
              <w:t>cases,</w:t>
            </w:r>
            <w:r w:rsidR="79FE58A5" w:rsidRPr="00073574">
              <w:rPr>
                <w:rFonts w:eastAsia="Times New Roman"/>
                <w:color w:val="201F1E"/>
                <w:szCs w:val="22"/>
              </w:rPr>
              <w:t xml:space="preserve"> </w:t>
            </w:r>
            <w:r w:rsidRPr="00073574">
              <w:rPr>
                <w:rFonts w:eastAsia="Times New Roman"/>
                <w:color w:val="201F1E"/>
                <w:szCs w:val="22"/>
              </w:rPr>
              <w:t xml:space="preserve">applications and developing specifications for technical standards that will foster adoption, universal access, and ultimately financial inclusion. </w:t>
            </w:r>
            <w:r w:rsidRPr="00073574">
              <w:rPr>
                <w:rFonts w:eastAsia="Times New Roman"/>
                <w:color w:val="000000" w:themeColor="text1"/>
                <w:szCs w:val="22"/>
              </w:rPr>
              <w:t>Participation in the Digital Currency Global Initiative is open to everyone.</w:t>
            </w:r>
          </w:p>
          <w:p w14:paraId="53CD4A63" w14:textId="54F5F6E0" w:rsidR="00012232" w:rsidRPr="00073574" w:rsidRDefault="39A918D4" w:rsidP="00A7495D">
            <w:pPr>
              <w:rPr>
                <w:rFonts w:eastAsia="Times New Roman"/>
                <w:color w:val="000000" w:themeColor="text1"/>
                <w:szCs w:val="22"/>
              </w:rPr>
            </w:pPr>
            <w:r w:rsidRPr="00073574">
              <w:rPr>
                <w:rFonts w:eastAsia="Times New Roman"/>
                <w:color w:val="000000" w:themeColor="text1"/>
                <w:szCs w:val="22"/>
              </w:rPr>
              <w:t>The first e-meeting of the Digital Currency Global Initiative was held on 22-23 July 2020 and some 157 participants from 40 countries participated in the event. The participants include Central Banks, digital currency platform providers, fintech companies, payment service providers, academia and international organizations.</w:t>
            </w:r>
          </w:p>
          <w:p w14:paraId="7E6C9A77" w14:textId="1DE97865" w:rsidR="00012232" w:rsidRPr="00073574" w:rsidRDefault="39A918D4" w:rsidP="00A7495D">
            <w:pPr>
              <w:rPr>
                <w:rFonts w:eastAsia="Times New Roman"/>
                <w:color w:val="000000" w:themeColor="text1"/>
                <w:szCs w:val="22"/>
              </w:rPr>
            </w:pPr>
            <w:r w:rsidRPr="00073574">
              <w:rPr>
                <w:rFonts w:eastAsia="Times New Roman"/>
                <w:color w:val="000000" w:themeColor="text1"/>
                <w:szCs w:val="22"/>
              </w:rPr>
              <w:t>The activities of the Digital Currency Global Initiative are focused around three main pillars: engagement, innovative use and standardization. Three working groups were set up under the Standardization pillar during the first meeting:</w:t>
            </w:r>
          </w:p>
          <w:p w14:paraId="07EACA67" w14:textId="3E293D7A" w:rsidR="00012232" w:rsidRPr="00073574" w:rsidRDefault="39A918D4" w:rsidP="00A7495D">
            <w:pPr>
              <w:pStyle w:val="ListParagraph"/>
              <w:numPr>
                <w:ilvl w:val="0"/>
                <w:numId w:val="1"/>
              </w:numPr>
              <w:contextualSpacing w:val="0"/>
              <w:rPr>
                <w:rFonts w:eastAsia="Times New Roman"/>
                <w:color w:val="000000" w:themeColor="text1"/>
              </w:rPr>
            </w:pPr>
            <w:r w:rsidRPr="00073574">
              <w:rPr>
                <w:rFonts w:eastAsia="Times New Roman"/>
                <w:color w:val="000000" w:themeColor="text1"/>
              </w:rPr>
              <w:t>Architecture, Interoperability Requirements and Use Cases (AIRU)</w:t>
            </w:r>
          </w:p>
          <w:p w14:paraId="14AF3625" w14:textId="40A07AC9" w:rsidR="00012232" w:rsidRPr="00073574" w:rsidRDefault="39A918D4" w:rsidP="00A7495D">
            <w:pPr>
              <w:pStyle w:val="ListParagraph"/>
              <w:numPr>
                <w:ilvl w:val="0"/>
                <w:numId w:val="1"/>
              </w:numPr>
              <w:contextualSpacing w:val="0"/>
              <w:rPr>
                <w:rFonts w:eastAsia="Times New Roman"/>
                <w:color w:val="000000" w:themeColor="text1"/>
              </w:rPr>
            </w:pPr>
            <w:r w:rsidRPr="00073574">
              <w:rPr>
                <w:rFonts w:eastAsia="Times New Roman"/>
                <w:color w:val="000000" w:themeColor="text1"/>
              </w:rPr>
              <w:t>Policy and Governance (PG)</w:t>
            </w:r>
          </w:p>
          <w:p w14:paraId="40F09DA7" w14:textId="04A18F09" w:rsidR="00012232" w:rsidRPr="00073574" w:rsidRDefault="39A918D4" w:rsidP="00A7495D">
            <w:pPr>
              <w:pStyle w:val="ListParagraph"/>
              <w:numPr>
                <w:ilvl w:val="0"/>
                <w:numId w:val="1"/>
              </w:numPr>
              <w:contextualSpacing w:val="0"/>
              <w:rPr>
                <w:rFonts w:eastAsia="Times New Roman"/>
                <w:color w:val="000000" w:themeColor="text1"/>
              </w:rPr>
            </w:pPr>
            <w:r w:rsidRPr="00073574">
              <w:rPr>
                <w:rFonts w:eastAsia="Times New Roman"/>
                <w:color w:val="000000" w:themeColor="text1"/>
              </w:rPr>
              <w:t>Security and Assurance (SA)</w:t>
            </w:r>
            <w:r w:rsidR="002452B3" w:rsidRPr="00073574">
              <w:rPr>
                <w:rFonts w:eastAsia="Times New Roman"/>
                <w:color w:val="000000" w:themeColor="text1"/>
              </w:rPr>
              <w:t>.</w:t>
            </w:r>
          </w:p>
          <w:p w14:paraId="74453A1E" w14:textId="19FC5871" w:rsidR="00012232" w:rsidRPr="00073574" w:rsidRDefault="39A918D4" w:rsidP="00A7495D">
            <w:pPr>
              <w:rPr>
                <w:rFonts w:eastAsia="Times New Roman"/>
                <w:color w:val="000000" w:themeColor="text1"/>
                <w:szCs w:val="22"/>
              </w:rPr>
            </w:pPr>
            <w:r w:rsidRPr="00073574">
              <w:rPr>
                <w:rFonts w:eastAsia="Times New Roman"/>
                <w:color w:val="000000" w:themeColor="text1"/>
                <w:szCs w:val="22"/>
              </w:rPr>
              <w:t xml:space="preserve">The main objectives of the Innovative Use pillar will be to study pilot implementations of digital currencies and to develop the appropriate benchmarking and evaluation frameworks through the Digital Currency Lab to be set up by Stanford University. Under the Engagement pillar the objective will be to provide a platform for sharing lessons learned on digital currency projects and organise an annual conference </w:t>
            </w:r>
            <w:r w:rsidR="005A1227" w:rsidRPr="00073574">
              <w:rPr>
                <w:rFonts w:eastAsia="Times New Roman"/>
                <w:color w:val="000000" w:themeColor="text1"/>
                <w:szCs w:val="22"/>
              </w:rPr>
              <w:t>(DC</w:t>
            </w:r>
            <w:r w:rsidR="005A1227" w:rsidRPr="00073574">
              <w:rPr>
                <w:rFonts w:eastAsia="Times New Roman"/>
                <w:color w:val="000000" w:themeColor="text1"/>
                <w:szCs w:val="22"/>
                <w:vertAlign w:val="superscript"/>
              </w:rPr>
              <w:t>3</w:t>
            </w:r>
            <w:r w:rsidR="005A1227" w:rsidRPr="00073574">
              <w:rPr>
                <w:rFonts w:eastAsia="Times New Roman"/>
                <w:color w:val="000000" w:themeColor="text1"/>
                <w:szCs w:val="22"/>
              </w:rPr>
              <w:t xml:space="preserve"> Conference – From cryptocurrencies to CBDCs)</w:t>
            </w:r>
            <w:r w:rsidRPr="00073574">
              <w:rPr>
                <w:rFonts w:eastAsia="Times New Roman"/>
                <w:color w:val="000000" w:themeColor="text1"/>
                <w:szCs w:val="22"/>
              </w:rPr>
              <w:t xml:space="preserve"> to disseminate the findings of the working groups and the digital currency lab.</w:t>
            </w:r>
            <w:r w:rsidR="004D3718" w:rsidRPr="00073574">
              <w:rPr>
                <w:rFonts w:eastAsia="Times New Roman"/>
                <w:color w:val="000000" w:themeColor="text1"/>
                <w:szCs w:val="22"/>
              </w:rPr>
              <w:t xml:space="preserve"> </w:t>
            </w:r>
            <w:r w:rsidR="005A1227" w:rsidRPr="00073574">
              <w:rPr>
                <w:rFonts w:eastAsia="Times New Roman"/>
                <w:color w:val="000000" w:themeColor="text1"/>
                <w:szCs w:val="22"/>
              </w:rPr>
              <w:t>The DC</w:t>
            </w:r>
            <w:r w:rsidR="005A1227" w:rsidRPr="00073574">
              <w:rPr>
                <w:rFonts w:eastAsia="Times New Roman"/>
                <w:color w:val="000000" w:themeColor="text1"/>
                <w:szCs w:val="22"/>
                <w:vertAlign w:val="superscript"/>
              </w:rPr>
              <w:t>3</w:t>
            </w:r>
            <w:r w:rsidR="005A1227" w:rsidRPr="00073574">
              <w:rPr>
                <w:rFonts w:eastAsia="Times New Roman"/>
                <w:color w:val="000000" w:themeColor="text1"/>
                <w:szCs w:val="22"/>
              </w:rPr>
              <w:t xml:space="preserve"> Conference – From cryptocurrencies to CBDCs will be held online from 25-27 January 2022. </w:t>
            </w:r>
          </w:p>
        </w:tc>
      </w:tr>
      <w:tr w:rsidR="00F0236A" w:rsidRPr="00073574" w14:paraId="4E6E5FB4" w14:textId="77777777" w:rsidTr="634A3A28">
        <w:trPr>
          <w:jc w:val="center"/>
        </w:trPr>
        <w:tc>
          <w:tcPr>
            <w:tcW w:w="1131" w:type="dxa"/>
            <w:vMerge w:val="restart"/>
            <w:tcBorders>
              <w:top w:val="single" w:sz="12" w:space="0" w:color="auto"/>
            </w:tcBorders>
            <w:shd w:val="clear" w:color="auto" w:fill="auto"/>
          </w:tcPr>
          <w:p w14:paraId="3173123C" w14:textId="77777777" w:rsidR="00F0236A" w:rsidRPr="00073574" w:rsidRDefault="00F0236A" w:rsidP="00A572EA">
            <w:pPr>
              <w:pStyle w:val="Tabletext"/>
              <w:pageBreakBefore/>
              <w:rPr>
                <w:b/>
                <w:bCs/>
                <w:sz w:val="24"/>
                <w:szCs w:val="24"/>
              </w:rPr>
            </w:pPr>
            <w:r w:rsidRPr="00073574">
              <w:rPr>
                <w:b/>
                <w:bCs/>
                <w:sz w:val="24"/>
                <w:szCs w:val="24"/>
              </w:rPr>
              <w:lastRenderedPageBreak/>
              <w:t>89-07</w:t>
            </w:r>
          </w:p>
        </w:tc>
        <w:tc>
          <w:tcPr>
            <w:tcW w:w="4986" w:type="dxa"/>
            <w:tcBorders>
              <w:top w:val="single" w:sz="12" w:space="0" w:color="auto"/>
              <w:bottom w:val="single" w:sz="4" w:space="0" w:color="auto"/>
            </w:tcBorders>
            <w:shd w:val="clear" w:color="auto" w:fill="auto"/>
          </w:tcPr>
          <w:p w14:paraId="268F4B16" w14:textId="69252ABB" w:rsidR="00F0236A" w:rsidRPr="00073574" w:rsidRDefault="00F0236A" w:rsidP="00502BDB">
            <w:pPr>
              <w:pStyle w:val="Tabletext"/>
              <w:pageBreakBefore/>
              <w:rPr>
                <w:b/>
                <w:bCs/>
                <w:sz w:val="24"/>
                <w:szCs w:val="24"/>
              </w:rPr>
            </w:pPr>
            <w:r w:rsidRPr="00073574">
              <w:rPr>
                <w:b/>
                <w:bCs/>
                <w:sz w:val="24"/>
                <w:szCs w:val="24"/>
              </w:rPr>
              <w:t>TSB Director to organize workshops and seminars for the ITU membership in collaboration with other relevant SDOs and institutions with primary responsibility for financial services standards development, implementation and capacity building, in order to raise awareness and identify regulators</w:t>
            </w:r>
            <w:r w:rsidR="003C7E25" w:rsidRPr="00073574">
              <w:rPr>
                <w:b/>
                <w:bCs/>
                <w:sz w:val="24"/>
                <w:szCs w:val="24"/>
              </w:rPr>
              <w:t>'</w:t>
            </w:r>
            <w:r w:rsidRPr="00073574">
              <w:rPr>
                <w:b/>
                <w:bCs/>
                <w:sz w:val="24"/>
                <w:szCs w:val="24"/>
              </w:rPr>
              <w:t xml:space="preserve"> particular needs and challenges in enhancing financial inclusion (i. TSBDir 4)</w:t>
            </w:r>
          </w:p>
        </w:tc>
        <w:tc>
          <w:tcPr>
            <w:tcW w:w="1336" w:type="dxa"/>
            <w:tcBorders>
              <w:top w:val="single" w:sz="12" w:space="0" w:color="auto"/>
              <w:bottom w:val="single" w:sz="4" w:space="0" w:color="auto"/>
            </w:tcBorders>
            <w:shd w:val="clear" w:color="auto" w:fill="auto"/>
            <w:vAlign w:val="center"/>
          </w:tcPr>
          <w:p w14:paraId="624042D0" w14:textId="77777777" w:rsidR="00F0236A" w:rsidRPr="00073574" w:rsidRDefault="00F0236A" w:rsidP="00502BDB">
            <w:pPr>
              <w:pStyle w:val="Tabletext"/>
              <w:jc w:val="center"/>
              <w:rPr>
                <w:b/>
                <w:bCs/>
                <w:sz w:val="24"/>
                <w:szCs w:val="24"/>
              </w:rPr>
            </w:pPr>
            <w:r w:rsidRPr="00073574">
              <w:rPr>
                <w:b/>
                <w:bCs/>
                <w:sz w:val="24"/>
                <w:szCs w:val="24"/>
              </w:rPr>
              <w:t>Ongoing</w:t>
            </w:r>
          </w:p>
        </w:tc>
        <w:tc>
          <w:tcPr>
            <w:tcW w:w="1143" w:type="dxa"/>
            <w:tcBorders>
              <w:top w:val="single" w:sz="12" w:space="0" w:color="auto"/>
              <w:bottom w:val="single" w:sz="4" w:space="0" w:color="auto"/>
            </w:tcBorders>
            <w:shd w:val="clear" w:color="auto" w:fill="auto"/>
            <w:vAlign w:val="center"/>
          </w:tcPr>
          <w:p w14:paraId="56500BC3" w14:textId="77777777" w:rsidR="00F0236A" w:rsidRPr="00073574" w:rsidRDefault="00F0236A" w:rsidP="00502BDB">
            <w:pPr>
              <w:pStyle w:val="Tabletext"/>
              <w:jc w:val="center"/>
              <w:rPr>
                <w:b/>
                <w:bCs/>
                <w:sz w:val="24"/>
                <w:szCs w:val="24"/>
              </w:rPr>
            </w:pPr>
            <w:r w:rsidRPr="00073574">
              <w:rPr>
                <w:b/>
                <w:bCs/>
                <w:sz w:val="24"/>
                <w:szCs w:val="24"/>
              </w:rPr>
              <w:t>√</w:t>
            </w:r>
          </w:p>
        </w:tc>
        <w:tc>
          <w:tcPr>
            <w:tcW w:w="1336" w:type="dxa"/>
            <w:tcBorders>
              <w:top w:val="single" w:sz="12" w:space="0" w:color="auto"/>
              <w:bottom w:val="single" w:sz="4" w:space="0" w:color="auto"/>
            </w:tcBorders>
            <w:shd w:val="clear" w:color="auto" w:fill="auto"/>
            <w:vAlign w:val="center"/>
          </w:tcPr>
          <w:p w14:paraId="57E02EC0" w14:textId="77777777" w:rsidR="00F0236A" w:rsidRPr="00073574" w:rsidRDefault="00F0236A" w:rsidP="00502BDB">
            <w:pPr>
              <w:pStyle w:val="Tabletext"/>
              <w:jc w:val="center"/>
              <w:rPr>
                <w:b/>
                <w:bCs/>
                <w:sz w:val="24"/>
                <w:szCs w:val="24"/>
              </w:rPr>
            </w:pPr>
          </w:p>
        </w:tc>
      </w:tr>
      <w:tr w:rsidR="00F0236A" w:rsidRPr="00073574" w14:paraId="320982CA" w14:textId="77777777" w:rsidTr="634A3A28">
        <w:trPr>
          <w:jc w:val="center"/>
        </w:trPr>
        <w:tc>
          <w:tcPr>
            <w:tcW w:w="1131" w:type="dxa"/>
            <w:vMerge/>
            <w:vAlign w:val="center"/>
          </w:tcPr>
          <w:p w14:paraId="7B5A6211" w14:textId="77777777" w:rsidR="00F0236A" w:rsidRPr="00073574" w:rsidRDefault="00F0236A" w:rsidP="00502BDB">
            <w:pPr>
              <w:pStyle w:val="Tabletext"/>
              <w:rPr>
                <w:sz w:val="24"/>
                <w:szCs w:val="24"/>
              </w:rPr>
            </w:pPr>
          </w:p>
        </w:tc>
        <w:tc>
          <w:tcPr>
            <w:tcW w:w="8801" w:type="dxa"/>
            <w:gridSpan w:val="4"/>
            <w:tcBorders>
              <w:top w:val="single" w:sz="4" w:space="0" w:color="auto"/>
              <w:bottom w:val="single" w:sz="4" w:space="0" w:color="auto"/>
            </w:tcBorders>
            <w:shd w:val="clear" w:color="auto" w:fill="auto"/>
          </w:tcPr>
          <w:p w14:paraId="557112AC" w14:textId="5B2321A9" w:rsidR="00F0236A" w:rsidRPr="00073574" w:rsidRDefault="00F0236A" w:rsidP="00502BDB">
            <w:pPr>
              <w:spacing w:before="40"/>
              <w:rPr>
                <w:szCs w:val="22"/>
              </w:rPr>
            </w:pPr>
            <w:r w:rsidRPr="00073574">
              <w:rPr>
                <w:szCs w:val="22"/>
              </w:rPr>
              <w:t xml:space="preserve">TSB organised a workshop on Digital Financial Services and Financial Inclusion on 19 April 2017, hosted by the World Bank in Washington D.C. The objective of the workshop was to present the findings of the Focus Group Digital Financial Services </w:t>
            </w:r>
            <w:r w:rsidRPr="00073574">
              <w:rPr>
                <w:rFonts w:asciiTheme="majorBidi" w:hAnsiTheme="majorBidi" w:cstheme="majorBidi"/>
              </w:rPr>
              <w:t>and to provide more information on the work to be undertaken as a follow up to the Focus Group activities</w:t>
            </w:r>
            <w:r w:rsidRPr="00073574">
              <w:rPr>
                <w:szCs w:val="22"/>
              </w:rPr>
              <w:t>. Under the Financial Inclusion Global Initiative, TSB will be holding a Symposia in November 2017 to showcase DFS solutions and to share lessons learned from stakeholders under various themes.</w:t>
            </w:r>
          </w:p>
          <w:p w14:paraId="7526B96B" w14:textId="1CAA7EF8" w:rsidR="00A92AC9" w:rsidRPr="00073574" w:rsidRDefault="00A92AC9" w:rsidP="00502BDB">
            <w:pPr>
              <w:rPr>
                <w:rFonts w:eastAsia="Times New Roman"/>
                <w:szCs w:val="22"/>
                <w:lang w:eastAsia="zh-CN"/>
              </w:rPr>
            </w:pPr>
            <w:r w:rsidRPr="00073574">
              <w:rPr>
                <w:rFonts w:eastAsia="Times New Roman"/>
                <w:szCs w:val="22"/>
                <w:lang w:eastAsia="zh-CN"/>
              </w:rPr>
              <w:t xml:space="preserve">The first </w:t>
            </w:r>
            <w:hyperlink r:id="rId775" w:history="1">
              <w:r w:rsidRPr="00073574">
                <w:rPr>
                  <w:rStyle w:val="Hyperlink"/>
                  <w:szCs w:val="22"/>
                </w:rPr>
                <w:t>FIGI Symposium</w:t>
              </w:r>
            </w:hyperlink>
            <w:r w:rsidRPr="00073574">
              <w:rPr>
                <w:rFonts w:eastAsia="Times New Roman"/>
                <w:szCs w:val="22"/>
                <w:lang w:eastAsia="zh-CN"/>
              </w:rPr>
              <w:t xml:space="preserve"> was organized by ITU on 29 November – 1 December 2017 in Bangalore, India and hosted by the Ministry of Communications, India. Three annual FIGI Symposium are planned between 2017-2020 in order to provide a forum for dialogue between regulators from telecom and financial services, DFS providers and all concerned stakeholders, and to share their experience and views on the main challenges to be addressed for scaling up DFS. The main objectives of the Symposium were to:</w:t>
            </w:r>
          </w:p>
          <w:p w14:paraId="69A43169" w14:textId="3806DD1A" w:rsidR="00A92AC9" w:rsidRPr="00073574" w:rsidRDefault="00A92AC9" w:rsidP="00502BDB">
            <w:pPr>
              <w:pStyle w:val="ListParagraph"/>
              <w:numPr>
                <w:ilvl w:val="3"/>
                <w:numId w:val="47"/>
              </w:numPr>
              <w:ind w:left="307" w:hanging="284"/>
              <w:contextualSpacing w:val="0"/>
              <w:rPr>
                <w:rFonts w:eastAsia="Times New Roman"/>
                <w:lang w:eastAsia="zh-CN"/>
              </w:rPr>
            </w:pPr>
            <w:r w:rsidRPr="00073574">
              <w:rPr>
                <w:rFonts w:eastAsia="Times New Roman"/>
                <w:lang w:eastAsia="zh-CN"/>
              </w:rPr>
              <w:t>Provide a unique platform for regulators, policymakers and DFS experts to share lessons learned about the different digital financial models and services, the regulatory sandbox</w:t>
            </w:r>
            <w:r w:rsidR="00745793" w:rsidRPr="00073574">
              <w:rPr>
                <w:rFonts w:eastAsia="Times New Roman"/>
                <w:lang w:eastAsia="zh-CN"/>
              </w:rPr>
              <w:t>;</w:t>
            </w:r>
          </w:p>
          <w:p w14:paraId="5B086694" w14:textId="6FE0E91D" w:rsidR="00A92AC9" w:rsidRPr="00073574" w:rsidRDefault="00A92AC9" w:rsidP="00502BDB">
            <w:pPr>
              <w:pStyle w:val="ListParagraph"/>
              <w:numPr>
                <w:ilvl w:val="0"/>
                <w:numId w:val="47"/>
              </w:numPr>
              <w:ind w:left="307" w:hanging="284"/>
              <w:contextualSpacing w:val="0"/>
              <w:rPr>
                <w:rFonts w:eastAsia="Times New Roman"/>
                <w:lang w:eastAsia="zh-CN"/>
              </w:rPr>
            </w:pPr>
            <w:r w:rsidRPr="00073574">
              <w:rPr>
                <w:rFonts w:eastAsia="Times New Roman"/>
                <w:lang w:eastAsia="zh-CN"/>
              </w:rPr>
              <w:t>approach, ways to mitigate risks in fast changing ICT and digital payment environments, and the impact of emerging technologies on the ecosystem;</w:t>
            </w:r>
          </w:p>
          <w:p w14:paraId="6C542902" w14:textId="1AD7307F" w:rsidR="00A92AC9" w:rsidRPr="00073574" w:rsidRDefault="00A92AC9" w:rsidP="00502BDB">
            <w:pPr>
              <w:pStyle w:val="ListParagraph"/>
              <w:numPr>
                <w:ilvl w:val="3"/>
                <w:numId w:val="47"/>
              </w:numPr>
              <w:ind w:left="307" w:hanging="284"/>
              <w:contextualSpacing w:val="0"/>
              <w:rPr>
                <w:rFonts w:eastAsia="Times New Roman"/>
                <w:lang w:eastAsia="zh-CN"/>
              </w:rPr>
            </w:pPr>
            <w:r w:rsidRPr="00073574">
              <w:rPr>
                <w:rFonts w:eastAsia="Times New Roman"/>
                <w:lang w:eastAsia="zh-CN"/>
              </w:rPr>
              <w:t>Showcase digital financial inclusion initiatives and innovations taking place at the international level; and</w:t>
            </w:r>
          </w:p>
          <w:p w14:paraId="73B62B7B" w14:textId="565C1170" w:rsidR="00A92AC9" w:rsidRPr="00073574" w:rsidRDefault="00A92AC9" w:rsidP="00502BDB">
            <w:pPr>
              <w:pStyle w:val="ListParagraph"/>
              <w:numPr>
                <w:ilvl w:val="3"/>
                <w:numId w:val="47"/>
              </w:numPr>
              <w:ind w:left="307" w:hanging="284"/>
              <w:contextualSpacing w:val="0"/>
              <w:rPr>
                <w:rFonts w:eastAsia="Times New Roman"/>
                <w:lang w:eastAsia="zh-CN"/>
              </w:rPr>
            </w:pPr>
            <w:r w:rsidRPr="00073574">
              <w:rPr>
                <w:rFonts w:eastAsia="Times New Roman"/>
                <w:lang w:eastAsia="zh-CN"/>
              </w:rPr>
              <w:t>Provide thought leadership on digital financial inclusion strategies and technological innovations in the area of DFS.</w:t>
            </w:r>
          </w:p>
          <w:p w14:paraId="2EAF1455" w14:textId="43F6DE83" w:rsidR="00A92AC9" w:rsidRPr="00073574" w:rsidRDefault="00A92AC9" w:rsidP="00502BDB">
            <w:pPr>
              <w:rPr>
                <w:rFonts w:eastAsia="Times New Roman"/>
                <w:szCs w:val="22"/>
                <w:lang w:eastAsia="zh-CN"/>
              </w:rPr>
            </w:pPr>
            <w:r w:rsidRPr="00073574">
              <w:rPr>
                <w:rFonts w:eastAsia="Times New Roman"/>
                <w:szCs w:val="22"/>
                <w:lang w:eastAsia="zh-CN"/>
              </w:rPr>
              <w:t>Some 289 participants from different regions participated in the Symposium held in India. The event was opened by the Minister of Communications, India. The event had a broad profile in terms of participants from different areas of expertise in DFS such as policymakers, financial sector regulators, telecom regulators, payment service providers, Fintechs, mobile network operators, banks, DFS providers, and academia.</w:t>
            </w:r>
          </w:p>
          <w:p w14:paraId="6A637A81" w14:textId="70FC3CB1" w:rsidR="00F0236A" w:rsidRPr="00073574" w:rsidRDefault="00A92AC9" w:rsidP="00502BDB">
            <w:pPr>
              <w:rPr>
                <w:szCs w:val="22"/>
              </w:rPr>
            </w:pPr>
            <w:r w:rsidRPr="00073574">
              <w:rPr>
                <w:szCs w:val="22"/>
              </w:rPr>
              <w:t xml:space="preserve">An </w:t>
            </w:r>
            <w:hyperlink r:id="rId776" w:history="1">
              <w:r w:rsidRPr="00073574">
                <w:rPr>
                  <w:rStyle w:val="Hyperlink"/>
                  <w:szCs w:val="22"/>
                </w:rPr>
                <w:t>ITU Workshop on Standards for Digital Fiat Currency for Universal Financial Access</w:t>
              </w:r>
            </w:hyperlink>
            <w:r w:rsidRPr="00073574">
              <w:rPr>
                <w:szCs w:val="22"/>
              </w:rPr>
              <w:t xml:space="preserve"> was held on 12 October 2017 preceding the first meeting of the Focus Group Digital Currency including Digital Fiat Currency (FG DFC). The workshop provided a broad overview of the challenges that central bank issued digital currency poses to regulators and more specifically with regards to regulatory issues, interoperability with other payment systems, architecture components that are needed for deploying central bank issued digital currency and security of transactions.</w:t>
            </w:r>
          </w:p>
          <w:p w14:paraId="2BCB2DF4" w14:textId="7943561D" w:rsidR="00244954" w:rsidRPr="00073574" w:rsidRDefault="0053741E" w:rsidP="00502BDB">
            <w:pPr>
              <w:spacing w:after="40"/>
              <w:rPr>
                <w:rFonts w:eastAsia="Times New Roman"/>
                <w:szCs w:val="22"/>
              </w:rPr>
            </w:pPr>
            <w:hyperlink r:id="rId777">
              <w:r w:rsidR="00244954" w:rsidRPr="00073574">
                <w:rPr>
                  <w:rStyle w:val="Strong"/>
                  <w:b w:val="0"/>
                  <w:bCs w:val="0"/>
                  <w:szCs w:val="22"/>
                </w:rPr>
                <w:t>Financial Inclusion Global Initiative (FIGI) Symposium</w:t>
              </w:r>
            </w:hyperlink>
            <w:r w:rsidR="00244954" w:rsidRPr="00073574">
              <w:rPr>
                <w:szCs w:val="22"/>
              </w:rPr>
              <w:t>, Cairo, Egypt, 2</w:t>
            </w:r>
            <w:r w:rsidR="4ED3CD2F" w:rsidRPr="00073574">
              <w:rPr>
                <w:szCs w:val="22"/>
              </w:rPr>
              <w:t>1</w:t>
            </w:r>
            <w:r w:rsidR="00244954" w:rsidRPr="00073574">
              <w:rPr>
                <w:szCs w:val="22"/>
              </w:rPr>
              <w:t>-24 January 2019.</w:t>
            </w:r>
            <w:r w:rsidR="4BC71708" w:rsidRPr="00073574">
              <w:rPr>
                <w:szCs w:val="22"/>
              </w:rPr>
              <w:t xml:space="preserve"> </w:t>
            </w:r>
            <w:r w:rsidR="4BC71708" w:rsidRPr="00073574">
              <w:rPr>
                <w:rFonts w:eastAsia="Times New Roman"/>
                <w:szCs w:val="22"/>
              </w:rPr>
              <w:t xml:space="preserve">The </w:t>
            </w:r>
            <w:hyperlink r:id="rId778" w:history="1">
              <w:r w:rsidR="4BC71708" w:rsidRPr="00073574">
                <w:rPr>
                  <w:rStyle w:val="Hyperlink"/>
                  <w:rFonts w:eastAsia="Calibri"/>
                  <w:szCs w:val="22"/>
                </w:rPr>
                <w:t>FIGI Symposium</w:t>
              </w:r>
            </w:hyperlink>
            <w:r w:rsidR="686BFFB0" w:rsidRPr="00073574">
              <w:rPr>
                <w:rStyle w:val="Hyperlink"/>
                <w:rFonts w:eastAsia="Calibri"/>
                <w:szCs w:val="22"/>
              </w:rPr>
              <w:t xml:space="preserve"> </w:t>
            </w:r>
            <w:r w:rsidR="686BFFB0" w:rsidRPr="00073574">
              <w:rPr>
                <w:rStyle w:val="Hyperlink"/>
                <w:rFonts w:eastAsia="Times New Roman"/>
                <w:szCs w:val="22"/>
              </w:rPr>
              <w:t>2019</w:t>
            </w:r>
            <w:r w:rsidR="4BC71708" w:rsidRPr="00073574">
              <w:rPr>
                <w:rFonts w:eastAsia="Times New Roman"/>
                <w:szCs w:val="22"/>
              </w:rPr>
              <w:t xml:space="preserve"> and </w:t>
            </w:r>
            <w:hyperlink r:id="rId779" w:history="1">
              <w:r w:rsidR="4BC71708" w:rsidRPr="00073574">
                <w:rPr>
                  <w:rStyle w:val="Hyperlink"/>
                  <w:rFonts w:eastAsia="Calibri"/>
                  <w:szCs w:val="22"/>
                </w:rPr>
                <w:t>Hackathon</w:t>
              </w:r>
            </w:hyperlink>
            <w:r w:rsidR="4BC71708" w:rsidRPr="00073574">
              <w:rPr>
                <w:rFonts w:eastAsia="Times New Roman"/>
                <w:szCs w:val="22"/>
              </w:rPr>
              <w:t xml:space="preserve"> were held on 21-24 January 2019, in Cairo, Egypt. The event attracted some 289 participants from Central Banks, telecom regulators, DFS providers, payment service providers and fintech companies. Most participants were from developing countries. The theme of the second edition of the FIGI Symposium, was </w:t>
            </w:r>
            <w:r w:rsidR="4BC71708" w:rsidRPr="00073574">
              <w:rPr>
                <w:rFonts w:eastAsia="Times New Roman"/>
                <w:b/>
                <w:bCs/>
                <w:szCs w:val="22"/>
              </w:rPr>
              <w:t>Enabling an Inclusive DFS Ecosystem: National and Thematic Insights</w:t>
            </w:r>
            <w:r w:rsidR="4BC71708" w:rsidRPr="00073574">
              <w:rPr>
                <w:rFonts w:eastAsia="Times New Roman"/>
                <w:szCs w:val="22"/>
              </w:rPr>
              <w:t xml:space="preserve">. The Symposium sessions provided insights </w:t>
            </w:r>
            <w:r w:rsidR="4BC71708" w:rsidRPr="00073574">
              <w:rPr>
                <w:rFonts w:eastAsia="Times New Roman"/>
                <w:szCs w:val="22"/>
              </w:rPr>
              <w:lastRenderedPageBreak/>
              <w:t>into national implementations of digital financial services in FIGI pilot countries, Egypt, China, and Mexico and provided a platform for countries to share lessons learned on digital financial inclusion. Throughout three days of workshops, discussion panels and capacity building sessions, the Symposium highlighted the innovative role that financial services and ICT regulators and private enterprises can each bring to enhance financial inclusion efforts and to achieve the United Nations Sustainable Development Goals to reduce poverty and promote gender equality in financial inclusion. The Symposium also offered a unique networking opportunity with the different stakeholders and players in the DFS ecosystem.</w:t>
            </w:r>
          </w:p>
          <w:p w14:paraId="72B9BE64" w14:textId="13A80CB2" w:rsidR="00244954" w:rsidRPr="00073574" w:rsidRDefault="4BC71708" w:rsidP="00502BDB">
            <w:pPr>
              <w:spacing w:after="40"/>
              <w:rPr>
                <w:rFonts w:eastAsia="Times New Roman"/>
                <w:szCs w:val="22"/>
              </w:rPr>
            </w:pPr>
            <w:r w:rsidRPr="00073574">
              <w:rPr>
                <w:rFonts w:eastAsia="Times New Roman"/>
                <w:szCs w:val="22"/>
              </w:rPr>
              <w:t>The Symposium was preceded by a Hackathon which saw the participation of 55 participants from Egypt. The FIGI Hackathon proposed actions to encourage the emergence of a marketplace for open APIs enabling small merchants to adopt e-payment services at low cost. It was an opportunity for local start</w:t>
            </w:r>
            <w:r w:rsidR="00502BDB" w:rsidRPr="00073574">
              <w:rPr>
                <w:rFonts w:eastAsia="Times New Roman"/>
                <w:szCs w:val="22"/>
              </w:rPr>
              <w:t>-</w:t>
            </w:r>
            <w:r w:rsidRPr="00073574">
              <w:rPr>
                <w:rFonts w:eastAsia="Times New Roman"/>
                <w:szCs w:val="22"/>
              </w:rPr>
              <w:t>ups to show their skills and expertise in developing ICT solutions for bridging the financial inclusion gap. 350 app developers applied to enter the competition. 55 developers (13 teams), all from Egypt, were shortlisted. These 55 developers worked with open APIs (Application Programming Interfaces) offered by 8 technology partners to develop apps with potential to incentivize electronic payment. The technology partners for the APIs were: GSMA, Paysky, InSwitch, Orange, PayFort, Accept, Fawry and CIB.</w:t>
            </w:r>
          </w:p>
          <w:p w14:paraId="1E774FC7" w14:textId="5138254D" w:rsidR="000B6308" w:rsidRPr="00073574" w:rsidRDefault="4BC71708" w:rsidP="00502BDB">
            <w:pPr>
              <w:spacing w:after="40"/>
              <w:rPr>
                <w:rFonts w:eastAsia="Times New Roman"/>
              </w:rPr>
            </w:pPr>
            <w:r w:rsidRPr="00073574">
              <w:rPr>
                <w:rFonts w:eastAsia="Times New Roman"/>
              </w:rPr>
              <w:t xml:space="preserve">The teams made their pitching in front of a jury panel of 10 experts in app development and financial inclusion and four apps were shortlisted as potential winners. Apps were judged on their degree of innovation, quality of user experience, feasibility and scalability. Three winning teams were awarded 11’000 USD worth of prize. A Facebook live session was conducted during the Hackathon by </w:t>
            </w:r>
            <w:r w:rsidR="00A7495D">
              <w:rPr>
                <w:rFonts w:eastAsia="Times New Roman"/>
              </w:rPr>
              <w:t xml:space="preserve">Mr </w:t>
            </w:r>
            <w:r w:rsidRPr="00073574">
              <w:rPr>
                <w:rFonts w:eastAsia="Times New Roman"/>
              </w:rPr>
              <w:t xml:space="preserve">Fred </w:t>
            </w:r>
            <w:r w:rsidR="00A7495D">
              <w:rPr>
                <w:rFonts w:eastAsia="Times New Roman"/>
              </w:rPr>
              <w:t xml:space="preserve">Werner </w:t>
            </w:r>
            <w:r w:rsidRPr="00073574">
              <w:rPr>
                <w:rFonts w:eastAsia="Times New Roman"/>
              </w:rPr>
              <w:t>and his team and this received over 1.1K views</w:t>
            </w:r>
            <w:r w:rsidR="6C82414B" w:rsidRPr="00073574">
              <w:rPr>
                <w:rFonts w:eastAsia="Times New Roman"/>
              </w:rPr>
              <w:t xml:space="preserve">. </w:t>
            </w:r>
            <w:r w:rsidRPr="00073574">
              <w:rPr>
                <w:rFonts w:eastAsia="Times New Roman"/>
              </w:rPr>
              <w:t xml:space="preserve">A </w:t>
            </w:r>
            <w:hyperlink r:id="rId780" w:history="1">
              <w:r w:rsidRPr="00073574">
                <w:rPr>
                  <w:rStyle w:val="Hyperlink"/>
                  <w:rFonts w:eastAsia="Calibri"/>
                </w:rPr>
                <w:t xml:space="preserve">digital media toolkit </w:t>
              </w:r>
            </w:hyperlink>
            <w:r w:rsidRPr="00073574">
              <w:rPr>
                <w:rFonts w:eastAsia="Times New Roman"/>
              </w:rPr>
              <w:t xml:space="preserve">gathering all communication materials, video interviews and news articles can be accessed for further information. The next edition of the FIGI Symposium will take place </w:t>
            </w:r>
            <w:r w:rsidR="198413F4" w:rsidRPr="00073574">
              <w:rPr>
                <w:rFonts w:eastAsia="Times New Roman"/>
              </w:rPr>
              <w:t xml:space="preserve">in June </w:t>
            </w:r>
            <w:r w:rsidRPr="00073574">
              <w:rPr>
                <w:rFonts w:eastAsia="Times New Roman"/>
              </w:rPr>
              <w:t>2021 (it was initially planned in 2020 but has been moved to 2021 due to the threat of the coronavirus).</w:t>
            </w:r>
          </w:p>
          <w:p w14:paraId="6EC432E3" w14:textId="2BE75AD0" w:rsidR="00794EEB" w:rsidRPr="00073574" w:rsidRDefault="00794EEB" w:rsidP="00502BDB">
            <w:pPr>
              <w:ind w:left="20"/>
              <w:rPr>
                <w:szCs w:val="22"/>
              </w:rPr>
            </w:pPr>
            <w:r w:rsidRPr="00073574">
              <w:rPr>
                <w:szCs w:val="22"/>
              </w:rPr>
              <w:t xml:space="preserve">The </w:t>
            </w:r>
            <w:hyperlink r:id="rId781" w:history="1">
              <w:r w:rsidRPr="00073574">
                <w:rPr>
                  <w:rStyle w:val="Hyperlink"/>
                  <w:szCs w:val="22"/>
                </w:rPr>
                <w:t>FIGI Symposium 2021</w:t>
              </w:r>
            </w:hyperlink>
            <w:r w:rsidRPr="00073574">
              <w:rPr>
                <w:szCs w:val="22"/>
              </w:rPr>
              <w:t xml:space="preserve"> took place over s</w:t>
            </w:r>
            <w:r w:rsidR="0012213B" w:rsidRPr="00073574">
              <w:rPr>
                <w:szCs w:val="22"/>
              </w:rPr>
              <w:t>ix weeks as a virtual event from 18 May-</w:t>
            </w:r>
            <w:r w:rsidRPr="00073574">
              <w:rPr>
                <w:szCs w:val="22"/>
              </w:rPr>
              <w:t xml:space="preserve"> 24 June 2021 (every Tuesday and Thursday).</w:t>
            </w:r>
            <w:r w:rsidR="0012213B" w:rsidRPr="00073574">
              <w:rPr>
                <w:szCs w:val="22"/>
              </w:rPr>
              <w:t xml:space="preserve"> T</w:t>
            </w:r>
            <w:r w:rsidRPr="00073574">
              <w:rPr>
                <w:szCs w:val="22"/>
              </w:rPr>
              <w:t xml:space="preserve">he online event was very well attended - more than </w:t>
            </w:r>
            <w:r w:rsidRPr="00073574">
              <w:rPr>
                <w:b/>
                <w:szCs w:val="22"/>
              </w:rPr>
              <w:t>1,7</w:t>
            </w:r>
            <w:r w:rsidR="00030E4E" w:rsidRPr="00073574">
              <w:rPr>
                <w:b/>
                <w:szCs w:val="22"/>
              </w:rPr>
              <w:t>82</w:t>
            </w:r>
            <w:r w:rsidRPr="00073574">
              <w:rPr>
                <w:szCs w:val="22"/>
              </w:rPr>
              <w:t xml:space="preserve"> unique attendees from 14</w:t>
            </w:r>
            <w:r w:rsidR="00030E4E" w:rsidRPr="00073574">
              <w:rPr>
                <w:szCs w:val="22"/>
              </w:rPr>
              <w:t>8</w:t>
            </w:r>
            <w:r w:rsidRPr="00073574">
              <w:rPr>
                <w:szCs w:val="22"/>
              </w:rPr>
              <w:t xml:space="preserve"> countries (including 132 developing and LDC countries) for the six week period. The Opening Ceremony with Queen Maxima, UNSGSA </w:t>
            </w:r>
            <w:r w:rsidR="00D9428A" w:rsidRPr="00073574">
              <w:rPr>
                <w:szCs w:val="22"/>
              </w:rPr>
              <w:t>video</w:t>
            </w:r>
            <w:r w:rsidRPr="00073574">
              <w:rPr>
                <w:szCs w:val="22"/>
              </w:rPr>
              <w:t xml:space="preserve"> keynote </w:t>
            </w:r>
            <w:r w:rsidR="0012213B" w:rsidRPr="00073574">
              <w:rPr>
                <w:szCs w:val="22"/>
              </w:rPr>
              <w:t>attracted</w:t>
            </w:r>
            <w:r w:rsidRPr="00073574">
              <w:rPr>
                <w:szCs w:val="22"/>
              </w:rPr>
              <w:t xml:space="preserve"> the highest number of </w:t>
            </w:r>
            <w:r w:rsidR="00676CA2" w:rsidRPr="00073574">
              <w:rPr>
                <w:szCs w:val="22"/>
              </w:rPr>
              <w:t xml:space="preserve">online </w:t>
            </w:r>
            <w:r w:rsidRPr="00073574">
              <w:rPr>
                <w:szCs w:val="22"/>
              </w:rPr>
              <w:t xml:space="preserve">participants: </w:t>
            </w:r>
            <w:r w:rsidRPr="00073574">
              <w:rPr>
                <w:b/>
                <w:szCs w:val="22"/>
              </w:rPr>
              <w:t>468</w:t>
            </w:r>
            <w:r w:rsidRPr="00073574">
              <w:rPr>
                <w:szCs w:val="22"/>
              </w:rPr>
              <w:t>. The FIGI Symposium website generated more than</w:t>
            </w:r>
            <w:r w:rsidRPr="00073574">
              <w:rPr>
                <w:b/>
                <w:szCs w:val="22"/>
              </w:rPr>
              <w:t xml:space="preserve"> 110K views </w:t>
            </w:r>
            <w:r w:rsidRPr="00073574">
              <w:rPr>
                <w:szCs w:val="22"/>
              </w:rPr>
              <w:t>from users coming from more than</w:t>
            </w:r>
            <w:r w:rsidRPr="00073574">
              <w:rPr>
                <w:b/>
                <w:szCs w:val="22"/>
              </w:rPr>
              <w:t xml:space="preserve"> 180 different countries. </w:t>
            </w:r>
            <w:r w:rsidRPr="00073574">
              <w:rPr>
                <w:szCs w:val="22"/>
              </w:rPr>
              <w:t xml:space="preserve">In comparison, the physical editions of the Symposium in 2017 in India and 2019 in Egypt, had 284 and 305 participants respectively. The virtual edition was able to reach more participants and with the recordings made available after the event and online promotion, a significant number of people were able to view the sessions if they missed it. </w:t>
            </w:r>
            <w:r w:rsidR="001E0BF7" w:rsidRPr="00073574">
              <w:rPr>
                <w:szCs w:val="22"/>
              </w:rPr>
              <w:t>The viewing of the recorded sessions (Zoom replay and YouTube) helped increase the reach of the virtual event, threefold, with some 5,312 views.</w:t>
            </w:r>
            <w:r w:rsidR="00137EAE" w:rsidRPr="00073574">
              <w:rPr>
                <w:szCs w:val="22"/>
              </w:rPr>
              <w:t xml:space="preserve"> The online event also attracted participation from more women compared to 2017 and 2019, </w:t>
            </w:r>
            <w:r w:rsidR="00137EAE" w:rsidRPr="00073574">
              <w:rPr>
                <w:b/>
                <w:szCs w:val="22"/>
              </w:rPr>
              <w:t xml:space="preserve">428 female participants attended </w:t>
            </w:r>
            <w:r w:rsidR="00137EAE" w:rsidRPr="00073574">
              <w:rPr>
                <w:szCs w:val="22"/>
              </w:rPr>
              <w:t>in 2021, compared to 100 in 2019, and 54 in 2017.</w:t>
            </w:r>
          </w:p>
          <w:p w14:paraId="7B0EF0E9" w14:textId="77777777" w:rsidR="00A572EA" w:rsidRPr="00073574" w:rsidRDefault="00B65A2D" w:rsidP="00502BDB">
            <w:pPr>
              <w:jc w:val="both"/>
              <w:rPr>
                <w:color w:val="444444"/>
                <w:szCs w:val="22"/>
                <w:shd w:val="clear" w:color="auto" w:fill="FFFFFF"/>
              </w:rPr>
            </w:pPr>
            <w:r w:rsidRPr="00073574">
              <w:rPr>
                <w:szCs w:val="22"/>
                <w:shd w:val="clear" w:color="auto" w:fill="FFFFFF"/>
              </w:rPr>
              <w:t xml:space="preserve">The FIGI Symposium 2021 agenda included various sessions </w:t>
            </w:r>
            <w:hyperlink r:id="rId782" w:anchor="list-view" w:history="1">
              <w:r w:rsidRPr="00073574">
                <w:rPr>
                  <w:rStyle w:val="Hyperlink"/>
                  <w:szCs w:val="22"/>
                  <w:shd w:val="clear" w:color="auto" w:fill="FFFFFF"/>
                </w:rPr>
                <w:t>across six core FIGI themes</w:t>
              </w:r>
            </w:hyperlink>
            <w:r w:rsidRPr="00073574">
              <w:rPr>
                <w:color w:val="444444"/>
                <w:szCs w:val="22"/>
                <w:shd w:val="clear" w:color="auto" w:fill="FFFFFF"/>
              </w:rPr>
              <w:t>:</w:t>
            </w:r>
          </w:p>
          <w:p w14:paraId="42A85351" w14:textId="4E913187" w:rsidR="00A572EA" w:rsidRPr="00073574" w:rsidRDefault="0053741E" w:rsidP="00A572EA">
            <w:pPr>
              <w:pStyle w:val="ListParagraph"/>
              <w:numPr>
                <w:ilvl w:val="0"/>
                <w:numId w:val="121"/>
              </w:numPr>
              <w:ind w:left="714" w:hanging="357"/>
              <w:contextualSpacing w:val="0"/>
              <w:rPr>
                <w:szCs w:val="22"/>
                <w:shd w:val="clear" w:color="auto" w:fill="FFFFFF"/>
              </w:rPr>
            </w:pPr>
            <w:hyperlink r:id="rId783" w:history="1">
              <w:r w:rsidR="00B65A2D" w:rsidRPr="00073574">
                <w:rPr>
                  <w:rStyle w:val="Hyperlink"/>
                  <w:szCs w:val="22"/>
                  <w:shd w:val="clear" w:color="auto" w:fill="FFFFFF"/>
                </w:rPr>
                <w:t>FinTech for Financial Inclusion</w:t>
              </w:r>
            </w:hyperlink>
            <w:r w:rsidR="00B65A2D" w:rsidRPr="00073574">
              <w:rPr>
                <w:color w:val="444444"/>
                <w:szCs w:val="22"/>
                <w:shd w:val="clear" w:color="auto" w:fill="FFFFFF"/>
              </w:rPr>
              <w:t xml:space="preserve"> </w:t>
            </w:r>
            <w:r w:rsidR="00B65A2D" w:rsidRPr="00073574">
              <w:rPr>
                <w:szCs w:val="22"/>
                <w:shd w:val="clear" w:color="auto" w:fill="FFFFFF"/>
              </w:rPr>
              <w:t xml:space="preserve">covering </w:t>
            </w:r>
            <w:r w:rsidR="00B65A2D" w:rsidRPr="00073574">
              <w:rPr>
                <w:i/>
                <w:iCs/>
                <w:szCs w:val="22"/>
                <w:shd w:val="clear" w:color="auto" w:fill="FFFFFF"/>
              </w:rPr>
              <w:t>remittances, new approaches to regulating FinTech, deep dives on regulating digital payments and open banking</w:t>
            </w:r>
            <w:r w:rsidR="00B65A2D" w:rsidRPr="00073574">
              <w:rPr>
                <w:szCs w:val="22"/>
                <w:shd w:val="clear" w:color="auto" w:fill="FFFFFF"/>
              </w:rPr>
              <w:t xml:space="preserve">, as well as a showcase of </w:t>
            </w:r>
            <w:r w:rsidR="00B65A2D" w:rsidRPr="00073574">
              <w:rPr>
                <w:i/>
                <w:iCs/>
                <w:szCs w:val="22"/>
                <w:shd w:val="clear" w:color="auto" w:fill="FFFFFF"/>
              </w:rPr>
              <w:t>China’s approach towards financial inclusion</w:t>
            </w:r>
            <w:r w:rsidR="00B65A2D" w:rsidRPr="00073574">
              <w:rPr>
                <w:szCs w:val="22"/>
                <w:shd w:val="clear" w:color="auto" w:fill="FFFFFF"/>
              </w:rPr>
              <w:t>;</w:t>
            </w:r>
          </w:p>
          <w:p w14:paraId="5C0BB262" w14:textId="77777777" w:rsidR="00A572EA" w:rsidRPr="00073574" w:rsidRDefault="0053741E" w:rsidP="00A572EA">
            <w:pPr>
              <w:pStyle w:val="ListParagraph"/>
              <w:numPr>
                <w:ilvl w:val="0"/>
                <w:numId w:val="121"/>
              </w:numPr>
              <w:ind w:left="714" w:hanging="357"/>
              <w:contextualSpacing w:val="0"/>
              <w:rPr>
                <w:szCs w:val="22"/>
              </w:rPr>
            </w:pPr>
            <w:hyperlink r:id="rId784" w:history="1">
              <w:r w:rsidR="00B65A2D" w:rsidRPr="00073574">
                <w:rPr>
                  <w:rStyle w:val="Hyperlink"/>
                  <w:szCs w:val="22"/>
                  <w:shd w:val="clear" w:color="auto" w:fill="FFFFFF"/>
                </w:rPr>
                <w:t>Protecting Consumers</w:t>
              </w:r>
            </w:hyperlink>
            <w:r w:rsidR="00B65A2D" w:rsidRPr="00073574">
              <w:rPr>
                <w:color w:val="444444"/>
                <w:szCs w:val="22"/>
                <w:shd w:val="clear" w:color="auto" w:fill="FFFFFF"/>
              </w:rPr>
              <w:t xml:space="preserve"> </w:t>
            </w:r>
            <w:r w:rsidR="00B65A2D" w:rsidRPr="00073574">
              <w:rPr>
                <w:szCs w:val="22"/>
                <w:shd w:val="clear" w:color="auto" w:fill="FFFFFF"/>
              </w:rPr>
              <w:t xml:space="preserve">covering consumer risks to </w:t>
            </w:r>
            <w:r w:rsidR="00B65A2D" w:rsidRPr="00073574">
              <w:rPr>
                <w:i/>
                <w:iCs/>
                <w:szCs w:val="22"/>
                <w:shd w:val="clear" w:color="auto" w:fill="FFFFFF"/>
              </w:rPr>
              <w:t>FinTech, technologies for complaints handling, and technologies for Supervision</w:t>
            </w:r>
            <w:r w:rsidR="00B65A2D" w:rsidRPr="00073574">
              <w:rPr>
                <w:szCs w:val="22"/>
                <w:shd w:val="clear" w:color="auto" w:fill="FFFFFF"/>
              </w:rPr>
              <w:t>;</w:t>
            </w:r>
          </w:p>
          <w:p w14:paraId="26595E26" w14:textId="77777777" w:rsidR="00A572EA" w:rsidRPr="00073574" w:rsidRDefault="0053741E" w:rsidP="00A572EA">
            <w:pPr>
              <w:pStyle w:val="ListParagraph"/>
              <w:numPr>
                <w:ilvl w:val="0"/>
                <w:numId w:val="121"/>
              </w:numPr>
              <w:ind w:left="714" w:hanging="357"/>
              <w:contextualSpacing w:val="0"/>
              <w:rPr>
                <w:szCs w:val="22"/>
              </w:rPr>
            </w:pPr>
            <w:hyperlink r:id="rId785" w:history="1">
              <w:r w:rsidR="00B65A2D" w:rsidRPr="00073574">
                <w:rPr>
                  <w:rStyle w:val="Hyperlink"/>
                  <w:szCs w:val="22"/>
                  <w:shd w:val="clear" w:color="auto" w:fill="FFFFFF"/>
                </w:rPr>
                <w:t>Cybersecurity and Trust</w:t>
              </w:r>
            </w:hyperlink>
            <w:r w:rsidR="00B65A2D" w:rsidRPr="00073574">
              <w:rPr>
                <w:color w:val="444444"/>
                <w:szCs w:val="22"/>
                <w:shd w:val="clear" w:color="auto" w:fill="FFFFFF"/>
              </w:rPr>
              <w:t xml:space="preserve"> </w:t>
            </w:r>
            <w:r w:rsidR="00B65A2D" w:rsidRPr="00073574">
              <w:rPr>
                <w:szCs w:val="22"/>
                <w:shd w:val="clear" w:color="auto" w:fill="FFFFFF"/>
              </w:rPr>
              <w:t>including a</w:t>
            </w:r>
            <w:r w:rsidR="005A1227" w:rsidRPr="00073574">
              <w:rPr>
                <w:szCs w:val="22"/>
                <w:shd w:val="clear" w:color="auto" w:fill="FFFFFF"/>
              </w:rPr>
              <w:t>n</w:t>
            </w:r>
            <w:r w:rsidR="00B65A2D" w:rsidRPr="00073574">
              <w:rPr>
                <w:szCs w:val="22"/>
                <w:shd w:val="clear" w:color="auto" w:fill="FFFFFF"/>
              </w:rPr>
              <w:t xml:space="preserve"> </w:t>
            </w:r>
            <w:r w:rsidR="00B65A2D" w:rsidRPr="00073574">
              <w:rPr>
                <w:i/>
                <w:iCs/>
                <w:szCs w:val="22"/>
                <w:shd w:val="clear" w:color="auto" w:fill="FFFFFF"/>
              </w:rPr>
              <w:t>IMF– W</w:t>
            </w:r>
            <w:r w:rsidR="005A1227" w:rsidRPr="00073574">
              <w:rPr>
                <w:i/>
                <w:iCs/>
                <w:szCs w:val="22"/>
                <w:shd w:val="clear" w:color="auto" w:fill="FFFFFF"/>
              </w:rPr>
              <w:t>orld Bank</w:t>
            </w:r>
            <w:r w:rsidR="00B65A2D" w:rsidRPr="00073574">
              <w:rPr>
                <w:i/>
                <w:szCs w:val="22"/>
                <w:shd w:val="clear" w:color="auto" w:fill="FFFFFF"/>
              </w:rPr>
              <w:t xml:space="preserve"> </w:t>
            </w:r>
            <w:r w:rsidR="00B65A2D" w:rsidRPr="00073574">
              <w:rPr>
                <w:i/>
                <w:iCs/>
                <w:szCs w:val="22"/>
                <w:shd w:val="clear" w:color="auto" w:fill="FFFFFF"/>
              </w:rPr>
              <w:t>Cyber-resilience event</w:t>
            </w:r>
            <w:r w:rsidR="00B65A2D" w:rsidRPr="00073574">
              <w:rPr>
                <w:szCs w:val="22"/>
                <w:shd w:val="clear" w:color="auto" w:fill="FFFFFF"/>
              </w:rPr>
              <w:t xml:space="preserve"> among other sessions around </w:t>
            </w:r>
            <w:r w:rsidR="00B65A2D" w:rsidRPr="00073574">
              <w:rPr>
                <w:i/>
                <w:iCs/>
                <w:szCs w:val="22"/>
                <w:shd w:val="clear" w:color="auto" w:fill="FFFFFF"/>
              </w:rPr>
              <w:t>data privacy, security of DFS applications and related security audits, and measuring quality of service</w:t>
            </w:r>
            <w:r w:rsidR="00B65A2D" w:rsidRPr="00073574">
              <w:rPr>
                <w:szCs w:val="22"/>
                <w:shd w:val="clear" w:color="auto" w:fill="FFFFFF"/>
              </w:rPr>
              <w:t>;</w:t>
            </w:r>
          </w:p>
          <w:p w14:paraId="7049D872" w14:textId="77777777" w:rsidR="00A572EA" w:rsidRPr="00073574" w:rsidRDefault="0053741E" w:rsidP="00A572EA">
            <w:pPr>
              <w:pStyle w:val="ListParagraph"/>
              <w:numPr>
                <w:ilvl w:val="0"/>
                <w:numId w:val="121"/>
              </w:numPr>
              <w:ind w:left="714" w:hanging="357"/>
              <w:contextualSpacing w:val="0"/>
              <w:rPr>
                <w:szCs w:val="22"/>
              </w:rPr>
            </w:pPr>
            <w:hyperlink r:id="rId786" w:history="1">
              <w:r w:rsidR="00B65A2D" w:rsidRPr="00073574">
                <w:rPr>
                  <w:rStyle w:val="Hyperlink"/>
                  <w:szCs w:val="22"/>
                  <w:shd w:val="clear" w:color="auto" w:fill="FFFFFF"/>
                </w:rPr>
                <w:t>Gender Equity</w:t>
              </w:r>
            </w:hyperlink>
            <w:r w:rsidR="00B65A2D" w:rsidRPr="00073574">
              <w:rPr>
                <w:color w:val="444444"/>
                <w:szCs w:val="22"/>
                <w:shd w:val="clear" w:color="auto" w:fill="FFFFFF"/>
              </w:rPr>
              <w:t xml:space="preserve"> </w:t>
            </w:r>
            <w:r w:rsidR="00B65A2D" w:rsidRPr="00073574">
              <w:rPr>
                <w:szCs w:val="22"/>
                <w:shd w:val="clear" w:color="auto" w:fill="FFFFFF"/>
              </w:rPr>
              <w:t xml:space="preserve">including approaches to increase </w:t>
            </w:r>
            <w:r w:rsidR="00B65A2D" w:rsidRPr="00073574">
              <w:rPr>
                <w:i/>
                <w:iCs/>
                <w:szCs w:val="22"/>
                <w:shd w:val="clear" w:color="auto" w:fill="FFFFFF"/>
              </w:rPr>
              <w:t>women’s representation in digital finance</w:t>
            </w:r>
            <w:r w:rsidR="00B65A2D" w:rsidRPr="00073574">
              <w:rPr>
                <w:szCs w:val="22"/>
                <w:shd w:val="clear" w:color="auto" w:fill="FFFFFF"/>
              </w:rPr>
              <w:t xml:space="preserve"> and implications of </w:t>
            </w:r>
            <w:r w:rsidR="00B65A2D" w:rsidRPr="00073574">
              <w:rPr>
                <w:i/>
                <w:iCs/>
                <w:szCs w:val="22"/>
                <w:shd w:val="clear" w:color="auto" w:fill="FFFFFF"/>
              </w:rPr>
              <w:t>financial capability for female consumers</w:t>
            </w:r>
            <w:r w:rsidR="00B65A2D" w:rsidRPr="00073574">
              <w:rPr>
                <w:color w:val="444444"/>
                <w:szCs w:val="22"/>
                <w:shd w:val="clear" w:color="auto" w:fill="FFFFFF"/>
              </w:rPr>
              <w:t>;</w:t>
            </w:r>
          </w:p>
          <w:p w14:paraId="238153B8" w14:textId="77777777" w:rsidR="00A572EA" w:rsidRPr="00073574" w:rsidRDefault="0053741E" w:rsidP="00A572EA">
            <w:pPr>
              <w:pStyle w:val="ListParagraph"/>
              <w:numPr>
                <w:ilvl w:val="0"/>
                <w:numId w:val="121"/>
              </w:numPr>
              <w:ind w:left="714" w:hanging="357"/>
              <w:contextualSpacing w:val="0"/>
              <w:rPr>
                <w:szCs w:val="22"/>
              </w:rPr>
            </w:pPr>
            <w:hyperlink r:id="rId787" w:history="1">
              <w:r w:rsidR="00B65A2D" w:rsidRPr="00073574">
                <w:rPr>
                  <w:rStyle w:val="Hyperlink"/>
                  <w:szCs w:val="22"/>
                  <w:shd w:val="clear" w:color="auto" w:fill="FFFFFF"/>
                </w:rPr>
                <w:t>Digital ID</w:t>
              </w:r>
            </w:hyperlink>
            <w:r w:rsidR="00B65A2D" w:rsidRPr="00073574">
              <w:rPr>
                <w:color w:val="444444"/>
                <w:szCs w:val="22"/>
                <w:shd w:val="clear" w:color="auto" w:fill="FFFFFF"/>
              </w:rPr>
              <w:t xml:space="preserve"> </w:t>
            </w:r>
            <w:r w:rsidR="00B65A2D" w:rsidRPr="00073574">
              <w:rPr>
                <w:szCs w:val="22"/>
                <w:shd w:val="clear" w:color="auto" w:fill="FFFFFF"/>
              </w:rPr>
              <w:t xml:space="preserve">covering policy guidance to promote </w:t>
            </w:r>
            <w:r w:rsidR="00B65A2D" w:rsidRPr="00073574">
              <w:rPr>
                <w:i/>
                <w:iCs/>
                <w:szCs w:val="22"/>
                <w:shd w:val="clear" w:color="auto" w:fill="FFFFFF"/>
              </w:rPr>
              <w:t>digital ID, authentication and e-KYC</w:t>
            </w:r>
            <w:r w:rsidR="00B65A2D" w:rsidRPr="00073574">
              <w:rPr>
                <w:szCs w:val="22"/>
                <w:shd w:val="clear" w:color="auto" w:fill="FFFFFF"/>
              </w:rPr>
              <w:t>; and</w:t>
            </w:r>
          </w:p>
          <w:p w14:paraId="634B9550" w14:textId="3375775C" w:rsidR="00B65A2D" w:rsidRPr="00073574" w:rsidRDefault="0053741E" w:rsidP="00A572EA">
            <w:pPr>
              <w:pStyle w:val="ListParagraph"/>
              <w:numPr>
                <w:ilvl w:val="0"/>
                <w:numId w:val="121"/>
              </w:numPr>
              <w:ind w:left="714" w:hanging="357"/>
              <w:contextualSpacing w:val="0"/>
              <w:rPr>
                <w:szCs w:val="22"/>
              </w:rPr>
            </w:pPr>
            <w:hyperlink r:id="rId788" w:history="1">
              <w:r w:rsidR="00B65A2D" w:rsidRPr="00073574">
                <w:rPr>
                  <w:rStyle w:val="Hyperlink"/>
                  <w:szCs w:val="22"/>
                  <w:shd w:val="clear" w:color="auto" w:fill="FFFFFF"/>
                </w:rPr>
                <w:t>Payments Acceptance</w:t>
              </w:r>
            </w:hyperlink>
            <w:r w:rsidR="00B65A2D" w:rsidRPr="00073574">
              <w:rPr>
                <w:color w:val="444444"/>
                <w:szCs w:val="22"/>
                <w:shd w:val="clear" w:color="auto" w:fill="FFFFFF"/>
              </w:rPr>
              <w:t xml:space="preserve"> </w:t>
            </w:r>
            <w:r w:rsidR="00B65A2D" w:rsidRPr="00073574">
              <w:rPr>
                <w:szCs w:val="22"/>
                <w:shd w:val="clear" w:color="auto" w:fill="FFFFFF"/>
              </w:rPr>
              <w:t xml:space="preserve">covering the regulation of </w:t>
            </w:r>
            <w:r w:rsidR="00B65A2D" w:rsidRPr="00073574">
              <w:rPr>
                <w:i/>
                <w:iCs/>
                <w:szCs w:val="22"/>
                <w:shd w:val="clear" w:color="auto" w:fill="FFFFFF"/>
              </w:rPr>
              <w:t>intermediaries for electronic payments</w:t>
            </w:r>
            <w:r w:rsidR="00B65A2D" w:rsidRPr="00073574">
              <w:rPr>
                <w:szCs w:val="22"/>
                <w:shd w:val="clear" w:color="auto" w:fill="FFFFFF"/>
              </w:rPr>
              <w:t xml:space="preserve"> as well as applying new </w:t>
            </w:r>
            <w:r w:rsidR="00B65A2D" w:rsidRPr="00073574">
              <w:rPr>
                <w:i/>
                <w:iCs/>
                <w:szCs w:val="22"/>
                <w:shd w:val="clear" w:color="auto" w:fill="FFFFFF"/>
              </w:rPr>
              <w:t>tools</w:t>
            </w:r>
            <w:r w:rsidR="00B65A2D" w:rsidRPr="00073574">
              <w:rPr>
                <w:szCs w:val="22"/>
                <w:shd w:val="clear" w:color="auto" w:fill="FFFFFF"/>
              </w:rPr>
              <w:t xml:space="preserve"> to conduct diagnostics, identify innovations, incentives and reforms applicable for a particular market.</w:t>
            </w:r>
          </w:p>
          <w:p w14:paraId="34EACDAA" w14:textId="40F3A684" w:rsidR="00244954" w:rsidRPr="00073574" w:rsidRDefault="6B3E41A7" w:rsidP="00502BDB">
            <w:pPr>
              <w:spacing w:after="40"/>
              <w:rPr>
                <w:rFonts w:eastAsia="Times New Roman"/>
                <w:szCs w:val="22"/>
              </w:rPr>
            </w:pPr>
            <w:r w:rsidRPr="00073574">
              <w:rPr>
                <w:rFonts w:eastAsia="Times New Roman"/>
                <w:szCs w:val="22"/>
              </w:rPr>
              <w:t xml:space="preserve">A </w:t>
            </w:r>
            <w:hyperlink r:id="rId789" w:history="1">
              <w:r w:rsidRPr="00073574">
                <w:rPr>
                  <w:rStyle w:val="Hyperlink"/>
                  <w:rFonts w:eastAsia="Calibri"/>
                  <w:szCs w:val="22"/>
                </w:rPr>
                <w:t>FIGI Security Clinic</w:t>
              </w:r>
            </w:hyperlink>
            <w:r w:rsidRPr="00073574">
              <w:rPr>
                <w:rFonts w:eastAsia="Times New Roman"/>
                <w:szCs w:val="22"/>
              </w:rPr>
              <w:t xml:space="preserve"> was held on 4-5 December 2019 at ITU Headquarters to present the outputs of the FIGI Security, Infrastructure and Trust (SIT) Working Group and provide some deep dive sessions on the implementation of the findings from the working group reports. Over 80 participants, mainly IT Security professionals, attended the event.</w:t>
            </w:r>
          </w:p>
          <w:p w14:paraId="78F33929" w14:textId="7D8968D5" w:rsidR="00244954" w:rsidRPr="00073574" w:rsidRDefault="6B3E41A7" w:rsidP="00502BDB">
            <w:pPr>
              <w:spacing w:after="40"/>
              <w:rPr>
                <w:rFonts w:eastAsia="Times New Roman"/>
                <w:color w:val="444444"/>
                <w:szCs w:val="22"/>
              </w:rPr>
            </w:pPr>
            <w:r w:rsidRPr="00073574">
              <w:rPr>
                <w:rFonts w:eastAsia="Times New Roman"/>
                <w:szCs w:val="22"/>
              </w:rPr>
              <w:t>The first day sessions focused on the presentations of the reports of the Security, Infrastructure and Trust Working Group. The second day of the event consisted of a series of security clinics targeting mainly those who are actively involved in technical security implementation in the area of digital financial services. Some of the topics of the deep dive sessions on the second day of the event were:</w:t>
            </w:r>
          </w:p>
          <w:p w14:paraId="32AA8489" w14:textId="0226FF27" w:rsidR="00244954" w:rsidRPr="00073574" w:rsidRDefault="6B3E41A7" w:rsidP="00502BDB">
            <w:pPr>
              <w:pStyle w:val="ListParagraph"/>
              <w:numPr>
                <w:ilvl w:val="0"/>
                <w:numId w:val="78"/>
              </w:numPr>
              <w:spacing w:after="40"/>
              <w:contextualSpacing w:val="0"/>
              <w:rPr>
                <w:rFonts w:eastAsia="Times New Roman"/>
              </w:rPr>
            </w:pPr>
            <w:r w:rsidRPr="00073574">
              <w:rPr>
                <w:rFonts w:eastAsia="Times New Roman"/>
              </w:rPr>
              <w:t>Implementation of decentralised ID for DFS;</w:t>
            </w:r>
          </w:p>
          <w:p w14:paraId="2B40E79E" w14:textId="71606592" w:rsidR="00244954" w:rsidRPr="00073574" w:rsidRDefault="6B3E41A7" w:rsidP="00502BDB">
            <w:pPr>
              <w:pStyle w:val="ListParagraph"/>
              <w:numPr>
                <w:ilvl w:val="0"/>
                <w:numId w:val="78"/>
              </w:numPr>
              <w:spacing w:after="40"/>
              <w:contextualSpacing w:val="0"/>
              <w:rPr>
                <w:rFonts w:eastAsia="Times New Roman"/>
              </w:rPr>
            </w:pPr>
            <w:r w:rsidRPr="00073574">
              <w:rPr>
                <w:rFonts w:eastAsia="Times New Roman"/>
              </w:rPr>
              <w:t>Tracking digital Ponzi schemes;</w:t>
            </w:r>
          </w:p>
          <w:p w14:paraId="46F4AB90" w14:textId="1B87AD24" w:rsidR="00244954" w:rsidRPr="00073574" w:rsidRDefault="6B3E41A7" w:rsidP="00502BDB">
            <w:pPr>
              <w:pStyle w:val="ListParagraph"/>
              <w:numPr>
                <w:ilvl w:val="0"/>
                <w:numId w:val="78"/>
              </w:numPr>
              <w:spacing w:after="40"/>
              <w:contextualSpacing w:val="0"/>
              <w:rPr>
                <w:rFonts w:eastAsia="Times New Roman"/>
              </w:rPr>
            </w:pPr>
            <w:r w:rsidRPr="00073574">
              <w:rPr>
                <w:rFonts w:eastAsia="Times New Roman"/>
              </w:rPr>
              <w:t xml:space="preserve">Implementation of Fast Identity Online (FIDO) Universal Authentication Framework (based on </w:t>
            </w:r>
            <w:hyperlink r:id="rId790">
              <w:r w:rsidRPr="00073574">
                <w:rPr>
                  <w:rStyle w:val="Hyperlink"/>
                  <w:rFonts w:eastAsia="Times New Roman"/>
                  <w:color w:val="3789BD"/>
                </w:rPr>
                <w:t>Recommendation ITU-T X.1277</w:t>
              </w:r>
            </w:hyperlink>
            <w:r w:rsidRPr="00073574">
              <w:rPr>
                <w:rFonts w:eastAsia="Times New Roman"/>
              </w:rPr>
              <w:t>) for DFS; and</w:t>
            </w:r>
          </w:p>
          <w:p w14:paraId="2BD4D668" w14:textId="732E6316" w:rsidR="00244954" w:rsidRPr="00073574" w:rsidRDefault="6B3E41A7" w:rsidP="00502BDB">
            <w:pPr>
              <w:pStyle w:val="ListParagraph"/>
              <w:numPr>
                <w:ilvl w:val="0"/>
                <w:numId w:val="78"/>
              </w:numPr>
              <w:spacing w:after="40"/>
              <w:contextualSpacing w:val="0"/>
              <w:rPr>
                <w:rFonts w:eastAsia="Times New Roman"/>
              </w:rPr>
            </w:pPr>
            <w:r w:rsidRPr="00073574">
              <w:rPr>
                <w:rFonts w:eastAsia="Times New Roman"/>
              </w:rPr>
              <w:t>Guidelines for Android Digital Financial Services application security testing.</w:t>
            </w:r>
          </w:p>
          <w:p w14:paraId="6DE62AEC" w14:textId="1439AA94" w:rsidR="00244954" w:rsidRPr="00073574" w:rsidRDefault="0C024B03" w:rsidP="00502BDB">
            <w:pPr>
              <w:spacing w:after="40" w:line="259" w:lineRule="auto"/>
              <w:rPr>
                <w:rFonts w:eastAsia="Times New Roman"/>
                <w:sz w:val="24"/>
              </w:rPr>
            </w:pPr>
            <w:r w:rsidRPr="00073574">
              <w:rPr>
                <w:rFonts w:eastAsia="Times New Roman"/>
              </w:rPr>
              <w:t xml:space="preserve">TSB organised the </w:t>
            </w:r>
            <w:hyperlink r:id="rId791" w:history="1">
              <w:r w:rsidRPr="00073574">
                <w:rPr>
                  <w:rStyle w:val="Hyperlink"/>
                  <w:rFonts w:eastAsia="Calibri"/>
                </w:rPr>
                <w:t>Insights on DFS webinar series</w:t>
              </w:r>
            </w:hyperlink>
            <w:r w:rsidRPr="00073574">
              <w:rPr>
                <w:rFonts w:eastAsia="Times New Roman"/>
              </w:rPr>
              <w:t xml:space="preserve"> focusing on digital financial services with the objective of providing insights on the innovative applications of telecommunications services, digital payments and fintech in addressing COVID-19 triggered social distancing and lockdown and share lessons learned from governments and DFS stakeholders on the measures that they are implementing. Ten webinars were held between May and July 2020 attracting over </w:t>
            </w:r>
            <w:r w:rsidR="6CC65CA6" w:rsidRPr="00073574">
              <w:rPr>
                <w:rFonts w:eastAsia="Times New Roman"/>
              </w:rPr>
              <w:t>870</w:t>
            </w:r>
            <w:r w:rsidRPr="00073574">
              <w:rPr>
                <w:rFonts w:eastAsia="Times New Roman"/>
              </w:rPr>
              <w:t xml:space="preserve"> participants from 105 countries. The webinars focused on topics such as digital identity, strong authentication technologies, security of digital financial transactions, handling fraud and scams, digital credit technologies and central bank digital currency.</w:t>
            </w:r>
          </w:p>
        </w:tc>
      </w:tr>
    </w:tbl>
    <w:bookmarkStart w:id="526" w:name="Item89_01"/>
    <w:bookmarkStart w:id="527" w:name="Item89_02"/>
    <w:bookmarkStart w:id="528" w:name="Item89_03"/>
    <w:bookmarkStart w:id="529" w:name="Item89_04"/>
    <w:bookmarkStart w:id="530" w:name="Item89_05"/>
    <w:bookmarkStart w:id="531" w:name="Item89_06"/>
    <w:bookmarkStart w:id="532" w:name="Item89_07"/>
    <w:bookmarkEnd w:id="526"/>
    <w:bookmarkEnd w:id="527"/>
    <w:bookmarkEnd w:id="528"/>
    <w:bookmarkEnd w:id="529"/>
    <w:bookmarkEnd w:id="530"/>
    <w:bookmarkEnd w:id="531"/>
    <w:bookmarkEnd w:id="532"/>
    <w:p w14:paraId="31EB5E51" w14:textId="77777777" w:rsidR="00F0236A" w:rsidRPr="00073574" w:rsidRDefault="00F0236A" w:rsidP="00F0236A">
      <w:pPr>
        <w:rPr>
          <w:sz w:val="24"/>
        </w:rPr>
      </w:pPr>
      <w:r w:rsidRPr="00073574">
        <w:rPr>
          <w:color w:val="2B579A"/>
          <w:shd w:val="clear" w:color="auto" w:fill="E6E6E6"/>
        </w:rPr>
        <w:lastRenderedPageBreak/>
        <w:fldChar w:fldCharType="begin"/>
      </w:r>
      <w:r w:rsidRPr="00073574">
        <w:rPr>
          <w:sz w:val="24"/>
        </w:rPr>
        <w:instrText xml:space="preserve"> HYPERLINK \l "Top" </w:instrText>
      </w:r>
      <w:r w:rsidRPr="00073574">
        <w:rPr>
          <w:color w:val="2B579A"/>
          <w:shd w:val="clear" w:color="auto" w:fill="E6E6E6"/>
        </w:rPr>
        <w:fldChar w:fldCharType="separate"/>
      </w:r>
      <w:r w:rsidRPr="00073574">
        <w:rPr>
          <w:rStyle w:val="Hyperlink"/>
          <w:rFonts w:eastAsia="Times New Roman"/>
          <w:sz w:val="24"/>
        </w:rPr>
        <w:t>» Top</w:t>
      </w:r>
      <w:r w:rsidRPr="00073574">
        <w:rPr>
          <w:rStyle w:val="Hyperlink"/>
          <w:rFonts w:eastAsia="Times New Roman"/>
          <w:sz w:val="24"/>
        </w:rPr>
        <w:fldChar w:fldCharType="end"/>
      </w:r>
    </w:p>
    <w:p w14:paraId="2D8E2896" w14:textId="77777777" w:rsidR="00F0236A" w:rsidRPr="00073574" w:rsidRDefault="00F0236A" w:rsidP="00D703FD">
      <w:pPr>
        <w:pStyle w:val="Heading1"/>
        <w:keepNext/>
        <w:keepLines/>
        <w:rPr>
          <w:sz w:val="24"/>
          <w:szCs w:val="24"/>
          <w:lang w:val="en-GB"/>
        </w:rPr>
      </w:pPr>
      <w:bookmarkStart w:id="533" w:name="_Resolution_90_-"/>
      <w:bookmarkStart w:id="534" w:name="_Toc471715404"/>
      <w:bookmarkStart w:id="535" w:name="_Toc93425291"/>
      <w:bookmarkEnd w:id="533"/>
      <w:r w:rsidRPr="00073574">
        <w:rPr>
          <w:sz w:val="24"/>
          <w:szCs w:val="24"/>
          <w:lang w:val="en-GB"/>
        </w:rPr>
        <w:t>Resolution 90 - Open source in the ITU Telecommunication Standardization Sector</w:t>
      </w:r>
      <w:bookmarkEnd w:id="534"/>
      <w:bookmarkEnd w:id="535"/>
    </w:p>
    <w:p w14:paraId="41B7D031" w14:textId="77777777" w:rsidR="00F0236A" w:rsidRPr="00073574" w:rsidRDefault="00F0236A" w:rsidP="00D703FD">
      <w:pPr>
        <w:keepNext/>
        <w:keepLines/>
        <w:rPr>
          <w:b/>
          <w:bCs/>
          <w:sz w:val="24"/>
        </w:rPr>
      </w:pPr>
      <w:r w:rsidRPr="00073574">
        <w:rPr>
          <w:b/>
          <w:bCs/>
          <w:sz w:val="24"/>
        </w:rPr>
        <w:t>Resolution 90</w:t>
      </w:r>
    </w:p>
    <w:p w14:paraId="43BACF80" w14:textId="77777777" w:rsidR="00F0236A" w:rsidRPr="00073574" w:rsidRDefault="00F0236A" w:rsidP="00D703FD">
      <w:pPr>
        <w:pStyle w:val="Call"/>
        <w:rPr>
          <w:sz w:val="24"/>
          <w:szCs w:val="24"/>
          <w:lang w:val="en-GB" w:eastAsia="en-AU"/>
        </w:rPr>
      </w:pPr>
      <w:r w:rsidRPr="00073574">
        <w:rPr>
          <w:sz w:val="24"/>
          <w:szCs w:val="24"/>
          <w:lang w:val="en-GB" w:eastAsia="en-AU"/>
        </w:rPr>
        <w:t>resolves</w:t>
      </w:r>
    </w:p>
    <w:p w14:paraId="70B74A52" w14:textId="77777777" w:rsidR="00F0236A" w:rsidRPr="00073574" w:rsidRDefault="00F0236A" w:rsidP="00D703FD">
      <w:pPr>
        <w:keepNext/>
        <w:keepLines/>
        <w:spacing w:after="240"/>
        <w:rPr>
          <w:sz w:val="24"/>
        </w:rPr>
      </w:pPr>
      <w:r w:rsidRPr="00073574">
        <w:rPr>
          <w:sz w:val="24"/>
        </w:rPr>
        <w:t>that the Telecommunication Standardization Advisory Group (TSAG) continue to work on the benefits and disadvantages of the implementation of open-source projects in relation with the work of the ITU Telecommunication Standardization Sector (ITU-T), as appropriate,</w:t>
      </w:r>
    </w:p>
    <w:p w14:paraId="42AB306A" w14:textId="77777777" w:rsidR="00F0236A" w:rsidRPr="00073574" w:rsidRDefault="00F0236A" w:rsidP="00F0236A">
      <w:pPr>
        <w:pStyle w:val="Call"/>
        <w:rPr>
          <w:sz w:val="24"/>
          <w:szCs w:val="24"/>
          <w:lang w:val="en-GB" w:eastAsia="en-AU"/>
        </w:rPr>
      </w:pPr>
      <w:r w:rsidRPr="00073574">
        <w:rPr>
          <w:sz w:val="24"/>
          <w:szCs w:val="24"/>
          <w:lang w:val="en-GB" w:eastAsia="en-AU"/>
        </w:rPr>
        <w:t>instructs all applicable study groups of the ITU Telecommunication Standardization Sector, within available financial resources</w:t>
      </w:r>
    </w:p>
    <w:p w14:paraId="3C6D1977" w14:textId="77777777" w:rsidR="00F0236A" w:rsidRPr="00073574" w:rsidRDefault="00F0236A" w:rsidP="00F0236A">
      <w:pPr>
        <w:spacing w:after="240"/>
        <w:rPr>
          <w:sz w:val="24"/>
        </w:rPr>
      </w:pPr>
      <w:r w:rsidRPr="00073574">
        <w:rPr>
          <w:sz w:val="24"/>
        </w:rPr>
        <w:t>1</w:t>
      </w:r>
      <w:r w:rsidRPr="00073574">
        <w:rPr>
          <w:sz w:val="24"/>
        </w:rPr>
        <w:tab/>
        <w:t>to provide inputs to TSAG enquiries on open source as listed in TSAG Report 8, July 2016;</w:t>
      </w:r>
    </w:p>
    <w:p w14:paraId="4076C498" w14:textId="77777777" w:rsidR="00F0236A" w:rsidRPr="00073574" w:rsidRDefault="00F0236A" w:rsidP="00F0236A">
      <w:pPr>
        <w:spacing w:after="240"/>
        <w:rPr>
          <w:sz w:val="24"/>
        </w:rPr>
      </w:pPr>
      <w:r w:rsidRPr="00073574">
        <w:rPr>
          <w:sz w:val="24"/>
        </w:rPr>
        <w:lastRenderedPageBreak/>
        <w:t>2</w:t>
      </w:r>
      <w:r w:rsidRPr="00073574">
        <w:rPr>
          <w:sz w:val="24"/>
        </w:rPr>
        <w:tab/>
        <w:t>to consider output from TSAG on open source, in order to study the value of using open source to develop reference implementations of ITU-T Recommendations, as appropriate;</w:t>
      </w:r>
    </w:p>
    <w:p w14:paraId="2760D74F" w14:textId="77777777" w:rsidR="00F0236A" w:rsidRPr="00073574" w:rsidRDefault="00F0236A" w:rsidP="00F0236A">
      <w:pPr>
        <w:spacing w:after="240"/>
        <w:rPr>
          <w:sz w:val="24"/>
        </w:rPr>
      </w:pPr>
      <w:r w:rsidRPr="00073574">
        <w:rPr>
          <w:sz w:val="24"/>
        </w:rPr>
        <w:t>3</w:t>
      </w:r>
      <w:r w:rsidRPr="00073574">
        <w:rPr>
          <w:sz w:val="24"/>
        </w:rPr>
        <w:tab/>
        <w:t>considering the output of the studies under instructs 2 above, to continue using open source as appropriate;</w:t>
      </w:r>
    </w:p>
    <w:p w14:paraId="4930AE3E" w14:textId="77777777" w:rsidR="00F0236A" w:rsidRPr="00073574" w:rsidRDefault="00F0236A" w:rsidP="00F0236A">
      <w:pPr>
        <w:spacing w:after="240"/>
        <w:rPr>
          <w:sz w:val="24"/>
        </w:rPr>
      </w:pPr>
      <w:r w:rsidRPr="00073574">
        <w:rPr>
          <w:sz w:val="24"/>
        </w:rPr>
        <w:t>4</w:t>
      </w:r>
      <w:r w:rsidRPr="00073574">
        <w:rPr>
          <w:sz w:val="24"/>
        </w:rPr>
        <w:tab/>
        <w:t>to support the use of open-source projects in their work, as appropriate, taking into account the outcome of the TSAG study;</w:t>
      </w:r>
    </w:p>
    <w:p w14:paraId="6B99515E" w14:textId="77777777" w:rsidR="00F0236A" w:rsidRPr="00073574" w:rsidRDefault="00F0236A" w:rsidP="00F0236A">
      <w:pPr>
        <w:spacing w:after="240"/>
        <w:rPr>
          <w:sz w:val="24"/>
        </w:rPr>
      </w:pPr>
      <w:r w:rsidRPr="00073574">
        <w:rPr>
          <w:sz w:val="24"/>
        </w:rPr>
        <w:t>5</w:t>
      </w:r>
      <w:r w:rsidRPr="00073574">
        <w:rPr>
          <w:sz w:val="24"/>
        </w:rPr>
        <w:tab/>
        <w:t>to continue engaging with open-source projects,</w:t>
      </w:r>
    </w:p>
    <w:p w14:paraId="73D382F9" w14:textId="77777777" w:rsidR="00F0236A" w:rsidRPr="00073574" w:rsidRDefault="00F0236A" w:rsidP="00F0236A">
      <w:pPr>
        <w:pStyle w:val="Call"/>
        <w:rPr>
          <w:sz w:val="24"/>
          <w:szCs w:val="24"/>
          <w:lang w:val="en-GB" w:eastAsia="en-AU"/>
        </w:rPr>
      </w:pPr>
      <w:r w:rsidRPr="00073574">
        <w:rPr>
          <w:sz w:val="24"/>
          <w:szCs w:val="24"/>
          <w:lang w:val="en-GB" w:eastAsia="en-AU"/>
        </w:rPr>
        <w:t>instructs the Director of the Telecommunication Standardization Bureau</w:t>
      </w:r>
    </w:p>
    <w:p w14:paraId="1454862B" w14:textId="77777777" w:rsidR="00F0236A" w:rsidRPr="00073574" w:rsidRDefault="00F0236A" w:rsidP="00F0236A">
      <w:pPr>
        <w:spacing w:after="240"/>
        <w:rPr>
          <w:sz w:val="24"/>
        </w:rPr>
      </w:pPr>
      <w:r w:rsidRPr="00073574">
        <w:rPr>
          <w:sz w:val="24"/>
        </w:rPr>
        <w:t>1</w:t>
      </w:r>
      <w:r w:rsidRPr="00073574">
        <w:rPr>
          <w:sz w:val="24"/>
        </w:rPr>
        <w:tab/>
        <w:t>to provide open source related training (e.g. tutorials, seminars, workshops) to ITU-T participants, in collaboration with open-source communities and the Telecommunication Development Bureau, taking into account the ITU-T objective to bridge the standardization gap and digital gender gap and the budgetary constraints of the Union;</w:t>
      </w:r>
    </w:p>
    <w:p w14:paraId="09ABCEE8" w14:textId="77777777" w:rsidR="00F0236A" w:rsidRPr="00073574" w:rsidRDefault="00F0236A" w:rsidP="00F0236A">
      <w:pPr>
        <w:spacing w:after="240"/>
        <w:rPr>
          <w:sz w:val="24"/>
        </w:rPr>
      </w:pPr>
      <w:r w:rsidRPr="00073574">
        <w:rPr>
          <w:sz w:val="24"/>
        </w:rPr>
        <w:t>2</w:t>
      </w:r>
      <w:r w:rsidRPr="00073574">
        <w:rPr>
          <w:sz w:val="24"/>
        </w:rPr>
        <w:tab/>
        <w:t>to submit a report to TSAG annually on progress achieved in implementing this resolution,</w:t>
      </w:r>
    </w:p>
    <w:p w14:paraId="1F2D3F00" w14:textId="77777777" w:rsidR="00F0236A" w:rsidRPr="00073574" w:rsidRDefault="00F0236A" w:rsidP="00F0236A">
      <w:pPr>
        <w:pStyle w:val="Call"/>
        <w:rPr>
          <w:sz w:val="24"/>
          <w:szCs w:val="24"/>
          <w:lang w:val="en-GB" w:eastAsia="en-AU"/>
        </w:rPr>
      </w:pPr>
      <w:r w:rsidRPr="00073574">
        <w:rPr>
          <w:sz w:val="24"/>
          <w:szCs w:val="24"/>
          <w:lang w:val="en-GB" w:eastAsia="en-AU"/>
        </w:rPr>
        <w:t>instructs the Telecommunication Standardization Advisory Group</w:t>
      </w:r>
    </w:p>
    <w:p w14:paraId="25D696A1" w14:textId="77777777" w:rsidR="00F0236A" w:rsidRPr="00073574" w:rsidRDefault="00F0236A" w:rsidP="00F0236A">
      <w:pPr>
        <w:spacing w:after="240"/>
        <w:rPr>
          <w:sz w:val="24"/>
        </w:rPr>
      </w:pPr>
      <w:r w:rsidRPr="00073574">
        <w:rPr>
          <w:sz w:val="24"/>
        </w:rPr>
        <w:t>to continue fulfilling of the outcomes of TSAG Report 8 concerning open source,</w:t>
      </w:r>
    </w:p>
    <w:p w14:paraId="345D57BC" w14:textId="77777777" w:rsidR="00F0236A" w:rsidRPr="00073574" w:rsidRDefault="00F0236A" w:rsidP="00F0236A">
      <w:pPr>
        <w:pStyle w:val="Call"/>
        <w:rPr>
          <w:sz w:val="24"/>
          <w:szCs w:val="24"/>
          <w:lang w:val="en-GB" w:eastAsia="en-AU"/>
        </w:rPr>
      </w:pPr>
      <w:r w:rsidRPr="00073574">
        <w:rPr>
          <w:sz w:val="24"/>
          <w:szCs w:val="24"/>
          <w:lang w:val="en-GB" w:eastAsia="en-AU"/>
        </w:rPr>
        <w:t>invites the ITU Council Working Group on financial and human resources</w:t>
      </w:r>
    </w:p>
    <w:p w14:paraId="7BFB9871" w14:textId="77777777" w:rsidR="00F0236A" w:rsidRPr="00073574" w:rsidRDefault="00F0236A" w:rsidP="00F0236A">
      <w:pPr>
        <w:spacing w:after="240"/>
        <w:rPr>
          <w:sz w:val="24"/>
        </w:rPr>
      </w:pPr>
      <w:r w:rsidRPr="00073574">
        <w:rPr>
          <w:sz w:val="24"/>
        </w:rPr>
        <w:t>to evaluate any potential financial implications for the Union of implementing this resolution,</w:t>
      </w:r>
    </w:p>
    <w:p w14:paraId="7E141C63" w14:textId="77777777" w:rsidR="00F0236A" w:rsidRPr="00073574" w:rsidRDefault="00F0236A" w:rsidP="00F0236A">
      <w:pPr>
        <w:pStyle w:val="Call"/>
        <w:rPr>
          <w:sz w:val="24"/>
          <w:szCs w:val="24"/>
          <w:lang w:val="en-GB" w:eastAsia="en-AU"/>
        </w:rPr>
      </w:pPr>
      <w:r w:rsidRPr="00073574">
        <w:rPr>
          <w:sz w:val="24"/>
          <w:szCs w:val="24"/>
          <w:lang w:val="en-GB" w:eastAsia="en-AU"/>
        </w:rPr>
        <w:t>invites the ITU membership</w:t>
      </w:r>
    </w:p>
    <w:p w14:paraId="6491ED2F" w14:textId="77777777" w:rsidR="00F0236A" w:rsidRPr="00073574" w:rsidRDefault="00F0236A" w:rsidP="00F0236A">
      <w:pPr>
        <w:spacing w:after="240"/>
        <w:rPr>
          <w:sz w:val="24"/>
        </w:rPr>
      </w:pPr>
      <w:r w:rsidRPr="00073574">
        <w:rPr>
          <w:sz w:val="24"/>
        </w:rPr>
        <w:t>to contribute to the implementation of this resolution.</w:t>
      </w:r>
    </w:p>
    <w:tbl>
      <w:tblPr>
        <w:tblW w:w="99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31"/>
        <w:gridCol w:w="4986"/>
        <w:gridCol w:w="1336"/>
        <w:gridCol w:w="1143"/>
        <w:gridCol w:w="1336"/>
      </w:tblGrid>
      <w:tr w:rsidR="00F0236A" w:rsidRPr="00073574" w14:paraId="1C2C8FDE" w14:textId="77777777" w:rsidTr="1EE68BAF">
        <w:trPr>
          <w:tblHeader/>
          <w:jc w:val="center"/>
        </w:trPr>
        <w:tc>
          <w:tcPr>
            <w:tcW w:w="1131" w:type="dxa"/>
            <w:tcBorders>
              <w:top w:val="single" w:sz="12" w:space="0" w:color="auto"/>
              <w:bottom w:val="single" w:sz="12" w:space="0" w:color="auto"/>
            </w:tcBorders>
            <w:shd w:val="clear" w:color="auto" w:fill="auto"/>
            <w:vAlign w:val="center"/>
          </w:tcPr>
          <w:p w14:paraId="4D452194" w14:textId="77777777" w:rsidR="00F0236A" w:rsidRPr="00073574" w:rsidRDefault="00F0236A" w:rsidP="00F943FE">
            <w:pPr>
              <w:pStyle w:val="Tablehead"/>
              <w:keepLines/>
              <w:rPr>
                <w:sz w:val="24"/>
                <w:szCs w:val="24"/>
              </w:rPr>
            </w:pPr>
            <w:r w:rsidRPr="00073574">
              <w:rPr>
                <w:sz w:val="24"/>
                <w:szCs w:val="24"/>
              </w:rPr>
              <w:t>Action Item</w:t>
            </w:r>
          </w:p>
        </w:tc>
        <w:tc>
          <w:tcPr>
            <w:tcW w:w="4986" w:type="dxa"/>
            <w:tcBorders>
              <w:top w:val="single" w:sz="12" w:space="0" w:color="auto"/>
              <w:bottom w:val="single" w:sz="12" w:space="0" w:color="auto"/>
            </w:tcBorders>
            <w:shd w:val="clear" w:color="auto" w:fill="auto"/>
            <w:vAlign w:val="center"/>
            <w:hideMark/>
          </w:tcPr>
          <w:p w14:paraId="70260E1E" w14:textId="77777777" w:rsidR="00F0236A" w:rsidRPr="00073574" w:rsidRDefault="00F0236A" w:rsidP="00106D60">
            <w:pPr>
              <w:pStyle w:val="Tablehead"/>
              <w:keepNext w:val="0"/>
              <w:rPr>
                <w:sz w:val="24"/>
                <w:szCs w:val="24"/>
              </w:rPr>
            </w:pPr>
            <w:r w:rsidRPr="00073574">
              <w:rPr>
                <w:sz w:val="24"/>
                <w:szCs w:val="24"/>
              </w:rPr>
              <w:t>Action</w:t>
            </w:r>
          </w:p>
        </w:tc>
        <w:tc>
          <w:tcPr>
            <w:tcW w:w="1336" w:type="dxa"/>
            <w:tcBorders>
              <w:top w:val="single" w:sz="12" w:space="0" w:color="auto"/>
              <w:bottom w:val="single" w:sz="12" w:space="0" w:color="auto"/>
            </w:tcBorders>
            <w:shd w:val="clear" w:color="auto" w:fill="auto"/>
            <w:vAlign w:val="center"/>
            <w:hideMark/>
          </w:tcPr>
          <w:p w14:paraId="7EF88F8D" w14:textId="77777777" w:rsidR="00F0236A" w:rsidRPr="00073574" w:rsidRDefault="00F0236A" w:rsidP="00106D60">
            <w:pPr>
              <w:pStyle w:val="Tablehead"/>
              <w:keepNext w:val="0"/>
              <w:rPr>
                <w:sz w:val="24"/>
                <w:szCs w:val="24"/>
              </w:rPr>
            </w:pPr>
            <w:r w:rsidRPr="00073574">
              <w:rPr>
                <w:sz w:val="24"/>
                <w:szCs w:val="24"/>
              </w:rPr>
              <w:t>Milestone</w:t>
            </w:r>
          </w:p>
        </w:tc>
        <w:tc>
          <w:tcPr>
            <w:tcW w:w="1143" w:type="dxa"/>
            <w:tcBorders>
              <w:top w:val="single" w:sz="12" w:space="0" w:color="auto"/>
              <w:bottom w:val="single" w:sz="12" w:space="0" w:color="auto"/>
            </w:tcBorders>
            <w:shd w:val="clear" w:color="auto" w:fill="auto"/>
          </w:tcPr>
          <w:p w14:paraId="20A821C4" w14:textId="77777777" w:rsidR="00F0236A" w:rsidRPr="00073574" w:rsidRDefault="00F0236A" w:rsidP="00106D60">
            <w:pPr>
              <w:pStyle w:val="Tablehead"/>
              <w:keepNext w:val="0"/>
              <w:rPr>
                <w:sz w:val="24"/>
                <w:szCs w:val="24"/>
              </w:rPr>
            </w:pPr>
            <w:r w:rsidRPr="00073574">
              <w:rPr>
                <w:sz w:val="24"/>
                <w:szCs w:val="24"/>
              </w:rPr>
              <w:t>Periodic goals met</w:t>
            </w:r>
          </w:p>
        </w:tc>
        <w:tc>
          <w:tcPr>
            <w:tcW w:w="1336" w:type="dxa"/>
            <w:tcBorders>
              <w:top w:val="single" w:sz="12" w:space="0" w:color="auto"/>
              <w:bottom w:val="single" w:sz="12" w:space="0" w:color="auto"/>
            </w:tcBorders>
            <w:shd w:val="clear" w:color="auto" w:fill="auto"/>
            <w:vAlign w:val="center"/>
          </w:tcPr>
          <w:p w14:paraId="6D241452" w14:textId="77777777" w:rsidR="00F0236A" w:rsidRPr="00073574" w:rsidRDefault="00F0236A" w:rsidP="00106D60">
            <w:pPr>
              <w:pStyle w:val="Tablehead"/>
              <w:keepNext w:val="0"/>
              <w:rPr>
                <w:sz w:val="24"/>
                <w:szCs w:val="24"/>
              </w:rPr>
            </w:pPr>
            <w:r w:rsidRPr="00073574">
              <w:rPr>
                <w:sz w:val="24"/>
                <w:szCs w:val="24"/>
              </w:rPr>
              <w:t>Completed</w:t>
            </w:r>
          </w:p>
        </w:tc>
      </w:tr>
      <w:tr w:rsidR="00F0236A" w:rsidRPr="00073574" w14:paraId="58266A0F" w14:textId="77777777" w:rsidTr="1EE68BAF">
        <w:trPr>
          <w:jc w:val="center"/>
        </w:trPr>
        <w:tc>
          <w:tcPr>
            <w:tcW w:w="1131" w:type="dxa"/>
            <w:vMerge w:val="restart"/>
            <w:tcBorders>
              <w:top w:val="single" w:sz="12" w:space="0" w:color="auto"/>
            </w:tcBorders>
            <w:shd w:val="clear" w:color="auto" w:fill="auto"/>
          </w:tcPr>
          <w:p w14:paraId="7497F7B6" w14:textId="77777777" w:rsidR="00F0236A" w:rsidRPr="00073574" w:rsidRDefault="00F0236A" w:rsidP="00F943FE">
            <w:pPr>
              <w:pStyle w:val="Tabletext"/>
              <w:keepNext/>
              <w:keepLines/>
              <w:rPr>
                <w:b/>
                <w:bCs/>
                <w:sz w:val="24"/>
                <w:szCs w:val="24"/>
              </w:rPr>
            </w:pPr>
            <w:r w:rsidRPr="00073574">
              <w:rPr>
                <w:b/>
                <w:bCs/>
                <w:sz w:val="24"/>
                <w:szCs w:val="24"/>
              </w:rPr>
              <w:t>90-01</w:t>
            </w:r>
          </w:p>
        </w:tc>
        <w:tc>
          <w:tcPr>
            <w:tcW w:w="4986" w:type="dxa"/>
            <w:tcBorders>
              <w:top w:val="single" w:sz="12" w:space="0" w:color="auto"/>
              <w:bottom w:val="single" w:sz="2" w:space="0" w:color="auto"/>
            </w:tcBorders>
            <w:shd w:val="clear" w:color="auto" w:fill="auto"/>
            <w:hideMark/>
          </w:tcPr>
          <w:p w14:paraId="0506E693" w14:textId="77777777" w:rsidR="00F0236A" w:rsidRPr="00073574" w:rsidRDefault="00F0236A" w:rsidP="00106D60">
            <w:pPr>
              <w:pStyle w:val="Tabletext"/>
              <w:rPr>
                <w:b/>
                <w:bCs/>
                <w:sz w:val="24"/>
                <w:szCs w:val="24"/>
              </w:rPr>
            </w:pPr>
            <w:r w:rsidRPr="00073574">
              <w:rPr>
                <w:b/>
                <w:bCs/>
                <w:sz w:val="24"/>
                <w:szCs w:val="24"/>
              </w:rPr>
              <w:t>TSAG continue to work on the benefits and disadvantages of the implementation of open-source projects in relation with the work of the ITU Telecommunication Standardization Sector (ITU-T), as appropriate and to continue fulfilling of the outcomes of TSAG Report 8 concerning open source (resolves, i. TSAG)</w:t>
            </w:r>
          </w:p>
        </w:tc>
        <w:tc>
          <w:tcPr>
            <w:tcW w:w="1336" w:type="dxa"/>
            <w:tcBorders>
              <w:top w:val="single" w:sz="12" w:space="0" w:color="auto"/>
              <w:bottom w:val="single" w:sz="2" w:space="0" w:color="auto"/>
            </w:tcBorders>
            <w:shd w:val="clear" w:color="auto" w:fill="auto"/>
            <w:vAlign w:val="center"/>
          </w:tcPr>
          <w:p w14:paraId="74C846C7" w14:textId="77777777" w:rsidR="00F0236A" w:rsidRPr="00073574" w:rsidRDefault="00F0236A" w:rsidP="00106D60">
            <w:pPr>
              <w:pStyle w:val="Tabletext"/>
              <w:jc w:val="center"/>
              <w:rPr>
                <w:b/>
                <w:bCs/>
                <w:sz w:val="24"/>
                <w:szCs w:val="24"/>
              </w:rPr>
            </w:pPr>
            <w:r w:rsidRPr="00073574">
              <w:rPr>
                <w:b/>
                <w:bCs/>
                <w:sz w:val="24"/>
                <w:szCs w:val="24"/>
              </w:rPr>
              <w:t>TSAG meetings</w:t>
            </w:r>
          </w:p>
        </w:tc>
        <w:tc>
          <w:tcPr>
            <w:tcW w:w="1143" w:type="dxa"/>
            <w:tcBorders>
              <w:top w:val="single" w:sz="12" w:space="0" w:color="auto"/>
              <w:bottom w:val="single" w:sz="2" w:space="0" w:color="auto"/>
            </w:tcBorders>
            <w:shd w:val="clear" w:color="auto" w:fill="auto"/>
            <w:vAlign w:val="center"/>
          </w:tcPr>
          <w:p w14:paraId="42503508" w14:textId="77777777" w:rsidR="00F0236A" w:rsidRPr="00073574" w:rsidRDefault="00F0236A" w:rsidP="00106D60">
            <w:pPr>
              <w:pStyle w:val="Tabletext"/>
              <w:jc w:val="center"/>
              <w:rPr>
                <w:b/>
                <w:bCs/>
                <w:sz w:val="24"/>
                <w:szCs w:val="24"/>
              </w:rPr>
            </w:pPr>
            <w:r w:rsidRPr="00073574">
              <w:rPr>
                <w:b/>
                <w:bCs/>
                <w:sz w:val="24"/>
                <w:szCs w:val="24"/>
              </w:rPr>
              <w:t>√</w:t>
            </w:r>
          </w:p>
        </w:tc>
        <w:tc>
          <w:tcPr>
            <w:tcW w:w="1336" w:type="dxa"/>
            <w:tcBorders>
              <w:top w:val="single" w:sz="12" w:space="0" w:color="auto"/>
              <w:bottom w:val="single" w:sz="2" w:space="0" w:color="auto"/>
            </w:tcBorders>
            <w:shd w:val="clear" w:color="auto" w:fill="auto"/>
            <w:vAlign w:val="center"/>
          </w:tcPr>
          <w:p w14:paraId="1A0F4DBF" w14:textId="5FE867B1" w:rsidR="00F0236A" w:rsidRPr="00073574" w:rsidRDefault="008E6DE1" w:rsidP="004A0AE3">
            <w:pPr>
              <w:pStyle w:val="Tabletext"/>
              <w:jc w:val="center"/>
              <w:rPr>
                <w:b/>
                <w:bCs/>
                <w:sz w:val="24"/>
                <w:szCs w:val="24"/>
              </w:rPr>
            </w:pPr>
            <w:r w:rsidRPr="00073574">
              <w:rPr>
                <w:b/>
                <w:bCs/>
                <w:sz w:val="24"/>
                <w:szCs w:val="24"/>
              </w:rPr>
              <w:t>√</w:t>
            </w:r>
          </w:p>
        </w:tc>
      </w:tr>
      <w:tr w:rsidR="00F0236A" w:rsidRPr="00073574" w14:paraId="0E7AA0A2" w14:textId="77777777" w:rsidTr="1EE68BAF">
        <w:trPr>
          <w:jc w:val="center"/>
        </w:trPr>
        <w:tc>
          <w:tcPr>
            <w:tcW w:w="1131" w:type="dxa"/>
            <w:vMerge/>
          </w:tcPr>
          <w:p w14:paraId="54BF9AD6" w14:textId="77777777" w:rsidR="00F0236A" w:rsidRPr="00073574" w:rsidRDefault="00F0236A">
            <w:pPr>
              <w:pStyle w:val="Tabletext"/>
              <w:rPr>
                <w:sz w:val="24"/>
                <w:szCs w:val="24"/>
              </w:rPr>
            </w:pPr>
          </w:p>
        </w:tc>
        <w:tc>
          <w:tcPr>
            <w:tcW w:w="8801" w:type="dxa"/>
            <w:gridSpan w:val="4"/>
            <w:tcBorders>
              <w:top w:val="single" w:sz="2" w:space="0" w:color="auto"/>
              <w:bottom w:val="single" w:sz="12" w:space="0" w:color="auto"/>
            </w:tcBorders>
            <w:shd w:val="clear" w:color="auto" w:fill="auto"/>
          </w:tcPr>
          <w:p w14:paraId="130C1734" w14:textId="77777777" w:rsidR="00F0236A" w:rsidRPr="00073574" w:rsidRDefault="00F0236A">
            <w:pPr>
              <w:pStyle w:val="Tabletext"/>
              <w:rPr>
                <w:szCs w:val="22"/>
              </w:rPr>
            </w:pPr>
            <w:r w:rsidRPr="00073574">
              <w:rPr>
                <w:szCs w:val="22"/>
              </w:rPr>
              <w:t xml:space="preserve">TSAG RG-SC is studying the subject of open source and sent a liaison statement </w:t>
            </w:r>
            <w:hyperlink r:id="rId792" w:history="1">
              <w:r w:rsidRPr="00073574">
                <w:rPr>
                  <w:rStyle w:val="Hyperlink"/>
                  <w:szCs w:val="22"/>
                </w:rPr>
                <w:t>LS004</w:t>
              </w:r>
            </w:hyperlink>
            <w:r w:rsidRPr="00073574">
              <w:rPr>
                <w:szCs w:val="22"/>
              </w:rPr>
              <w:t xml:space="preserve"> to all ITU-T study groups requesting information on activities related to open source as directed by Resolution 90, and specifically in response to a questionnaire.</w:t>
            </w:r>
          </w:p>
          <w:p w14:paraId="7C130AE7" w14:textId="77777777" w:rsidR="0079046B" w:rsidRPr="00073574" w:rsidRDefault="0079046B">
            <w:pPr>
              <w:pStyle w:val="Tabletext"/>
              <w:rPr>
                <w:szCs w:val="22"/>
              </w:rPr>
            </w:pPr>
            <w:r w:rsidRPr="00073574">
              <w:rPr>
                <w:szCs w:val="22"/>
              </w:rPr>
              <w:t>The TSB Director’s IPR-AHG is studying IPR issues in the context of open source.</w:t>
            </w:r>
          </w:p>
          <w:p w14:paraId="55A3F854" w14:textId="79EAE45D" w:rsidR="001D7555" w:rsidRPr="00073574" w:rsidRDefault="001D7555">
            <w:pPr>
              <w:pStyle w:val="Tabletext"/>
              <w:rPr>
                <w:szCs w:val="22"/>
              </w:rPr>
            </w:pPr>
            <w:r w:rsidRPr="00073574">
              <w:rPr>
                <w:szCs w:val="22"/>
              </w:rPr>
              <w:t xml:space="preserve">TSAG contributed in </w:t>
            </w:r>
            <w:hyperlink r:id="rId793" w:history="1">
              <w:r w:rsidRPr="00073574">
                <w:rPr>
                  <w:rStyle w:val="Hyperlink"/>
                  <w:szCs w:val="22"/>
                </w:rPr>
                <w:t>TSAG-TD</w:t>
              </w:r>
              <w:r w:rsidR="00617703" w:rsidRPr="00073574">
                <w:rPr>
                  <w:rStyle w:val="Hyperlink"/>
                  <w:szCs w:val="22"/>
                </w:rPr>
                <w:t>601-R1</w:t>
              </w:r>
            </w:hyperlink>
            <w:r w:rsidR="00617703" w:rsidRPr="00073574">
              <w:rPr>
                <w:szCs w:val="22"/>
              </w:rPr>
              <w:t xml:space="preserve"> to a survey on open-source software conducted by the </w:t>
            </w:r>
            <w:r w:rsidR="00617703" w:rsidRPr="00073574">
              <w:rPr>
                <w:rFonts w:asciiTheme="majorBidi" w:hAnsiTheme="majorBidi" w:cstheme="majorBidi"/>
              </w:rPr>
              <w:t>ISO/IEC JTC 1/AG3 advisory working group on OSS.</w:t>
            </w:r>
          </w:p>
        </w:tc>
      </w:tr>
      <w:tr w:rsidR="00F0236A" w:rsidRPr="00073574" w14:paraId="1A684CF5" w14:textId="77777777" w:rsidTr="1EE68BAF">
        <w:trPr>
          <w:jc w:val="center"/>
        </w:trPr>
        <w:tc>
          <w:tcPr>
            <w:tcW w:w="1131" w:type="dxa"/>
            <w:vMerge w:val="restart"/>
            <w:tcBorders>
              <w:top w:val="single" w:sz="12" w:space="0" w:color="auto"/>
            </w:tcBorders>
            <w:shd w:val="clear" w:color="auto" w:fill="auto"/>
          </w:tcPr>
          <w:p w14:paraId="117132D5" w14:textId="77777777" w:rsidR="00F0236A" w:rsidRPr="00073574" w:rsidRDefault="00F0236A" w:rsidP="002E42AB">
            <w:pPr>
              <w:pStyle w:val="Tabletext"/>
              <w:keepNext/>
              <w:keepLines/>
              <w:rPr>
                <w:b/>
                <w:bCs/>
                <w:sz w:val="24"/>
                <w:szCs w:val="24"/>
              </w:rPr>
            </w:pPr>
            <w:r w:rsidRPr="00073574">
              <w:rPr>
                <w:b/>
                <w:bCs/>
                <w:sz w:val="24"/>
                <w:szCs w:val="24"/>
              </w:rPr>
              <w:lastRenderedPageBreak/>
              <w:t>90-02</w:t>
            </w:r>
          </w:p>
        </w:tc>
        <w:tc>
          <w:tcPr>
            <w:tcW w:w="4986" w:type="dxa"/>
            <w:tcBorders>
              <w:top w:val="single" w:sz="12" w:space="0" w:color="auto"/>
              <w:bottom w:val="single" w:sz="4" w:space="0" w:color="auto"/>
            </w:tcBorders>
            <w:shd w:val="clear" w:color="auto" w:fill="auto"/>
          </w:tcPr>
          <w:p w14:paraId="3EB7CFE6" w14:textId="77777777" w:rsidR="00F0236A" w:rsidRPr="00073574" w:rsidRDefault="00F0236A" w:rsidP="002E42AB">
            <w:pPr>
              <w:pStyle w:val="Tabletext"/>
              <w:keepNext/>
              <w:keepLines/>
              <w:rPr>
                <w:b/>
                <w:bCs/>
                <w:sz w:val="24"/>
                <w:szCs w:val="24"/>
              </w:rPr>
            </w:pPr>
            <w:r w:rsidRPr="00073574">
              <w:rPr>
                <w:b/>
                <w:bCs/>
                <w:sz w:val="24"/>
                <w:szCs w:val="24"/>
              </w:rPr>
              <w:t>All ITU-T Study Groups to provide inputs to TSAG enquiries on open source as listed in TSAG Report 8, July 2016 (i. SGs 1)</w:t>
            </w:r>
          </w:p>
        </w:tc>
        <w:tc>
          <w:tcPr>
            <w:tcW w:w="1336" w:type="dxa"/>
            <w:tcBorders>
              <w:top w:val="single" w:sz="12" w:space="0" w:color="auto"/>
              <w:bottom w:val="single" w:sz="4" w:space="0" w:color="auto"/>
            </w:tcBorders>
            <w:shd w:val="clear" w:color="auto" w:fill="auto"/>
            <w:vAlign w:val="center"/>
          </w:tcPr>
          <w:p w14:paraId="63AAD18B" w14:textId="352A8983" w:rsidR="00F0236A" w:rsidRPr="00073574" w:rsidRDefault="00F0236A" w:rsidP="002E42AB">
            <w:pPr>
              <w:pStyle w:val="Tabletext"/>
              <w:keepNext/>
              <w:keepLines/>
              <w:jc w:val="center"/>
              <w:rPr>
                <w:b/>
                <w:bCs/>
                <w:sz w:val="24"/>
                <w:szCs w:val="24"/>
              </w:rPr>
            </w:pPr>
            <w:r w:rsidRPr="00073574">
              <w:rPr>
                <w:b/>
                <w:bCs/>
                <w:sz w:val="24"/>
                <w:szCs w:val="24"/>
              </w:rPr>
              <w:t>TSAG meetings</w:t>
            </w:r>
          </w:p>
        </w:tc>
        <w:tc>
          <w:tcPr>
            <w:tcW w:w="1143" w:type="dxa"/>
            <w:tcBorders>
              <w:top w:val="single" w:sz="12" w:space="0" w:color="auto"/>
              <w:bottom w:val="single" w:sz="4" w:space="0" w:color="auto"/>
            </w:tcBorders>
            <w:shd w:val="clear" w:color="auto" w:fill="auto"/>
            <w:vAlign w:val="center"/>
          </w:tcPr>
          <w:p w14:paraId="2B35B2F0" w14:textId="77777777" w:rsidR="00F0236A" w:rsidRPr="00073574" w:rsidRDefault="00F0236A" w:rsidP="002E42AB">
            <w:pPr>
              <w:pStyle w:val="Tabletext"/>
              <w:keepNext/>
              <w:keepLines/>
              <w:jc w:val="center"/>
              <w:rPr>
                <w:b/>
                <w:bCs/>
                <w:sz w:val="24"/>
                <w:szCs w:val="24"/>
              </w:rPr>
            </w:pPr>
            <w:r w:rsidRPr="00073574">
              <w:rPr>
                <w:b/>
                <w:bCs/>
                <w:sz w:val="24"/>
                <w:szCs w:val="24"/>
              </w:rPr>
              <w:t>√</w:t>
            </w:r>
          </w:p>
        </w:tc>
        <w:tc>
          <w:tcPr>
            <w:tcW w:w="1336" w:type="dxa"/>
            <w:tcBorders>
              <w:top w:val="single" w:sz="12" w:space="0" w:color="auto"/>
              <w:bottom w:val="single" w:sz="4" w:space="0" w:color="auto"/>
            </w:tcBorders>
            <w:shd w:val="clear" w:color="auto" w:fill="auto"/>
            <w:vAlign w:val="center"/>
          </w:tcPr>
          <w:p w14:paraId="461E7B2D" w14:textId="5A0D5A9C" w:rsidR="00F0236A" w:rsidRPr="00073574" w:rsidRDefault="003204C6" w:rsidP="002E42AB">
            <w:pPr>
              <w:pStyle w:val="Tabletext"/>
              <w:keepNext/>
              <w:keepLines/>
              <w:jc w:val="center"/>
              <w:rPr>
                <w:b/>
                <w:bCs/>
                <w:sz w:val="24"/>
                <w:szCs w:val="24"/>
              </w:rPr>
            </w:pPr>
            <w:r w:rsidRPr="00073574">
              <w:rPr>
                <w:b/>
                <w:bCs/>
                <w:sz w:val="24"/>
                <w:szCs w:val="24"/>
              </w:rPr>
              <w:t>√</w:t>
            </w:r>
          </w:p>
        </w:tc>
      </w:tr>
      <w:tr w:rsidR="00F0236A" w:rsidRPr="00073574" w14:paraId="3C583F27" w14:textId="77777777" w:rsidTr="1EE68BAF">
        <w:trPr>
          <w:jc w:val="center"/>
        </w:trPr>
        <w:tc>
          <w:tcPr>
            <w:tcW w:w="1131" w:type="dxa"/>
            <w:vMerge/>
          </w:tcPr>
          <w:p w14:paraId="2E5D2427" w14:textId="77777777" w:rsidR="00F0236A" w:rsidRPr="00073574" w:rsidRDefault="00F0236A" w:rsidP="002E42AB">
            <w:pPr>
              <w:pStyle w:val="Tabletext"/>
              <w:keepNext/>
              <w:keepLines/>
              <w:rPr>
                <w:sz w:val="24"/>
                <w:szCs w:val="24"/>
              </w:rPr>
            </w:pPr>
          </w:p>
        </w:tc>
        <w:tc>
          <w:tcPr>
            <w:tcW w:w="8801" w:type="dxa"/>
            <w:gridSpan w:val="4"/>
            <w:tcBorders>
              <w:top w:val="single" w:sz="4" w:space="0" w:color="auto"/>
              <w:bottom w:val="single" w:sz="12" w:space="0" w:color="auto"/>
            </w:tcBorders>
            <w:shd w:val="clear" w:color="auto" w:fill="auto"/>
          </w:tcPr>
          <w:p w14:paraId="4FEA95CB" w14:textId="38EEFD2F" w:rsidR="00106D60" w:rsidRPr="00073574" w:rsidRDefault="00106D60" w:rsidP="002E42AB">
            <w:pPr>
              <w:pStyle w:val="ListParagraph"/>
              <w:keepNext/>
              <w:keepLines/>
              <w:numPr>
                <w:ilvl w:val="0"/>
                <w:numId w:val="26"/>
              </w:numPr>
              <w:spacing w:before="40"/>
              <w:ind w:left="357" w:hanging="357"/>
            </w:pPr>
            <w:r w:rsidRPr="00073574">
              <w:t xml:space="preserve">SG2 replied to TSAG-LS4 in </w:t>
            </w:r>
            <w:hyperlink r:id="rId794">
              <w:r w:rsidR="00101BC9" w:rsidRPr="00073574">
                <w:rPr>
                  <w:rStyle w:val="Hyperlink"/>
                  <w:rFonts w:asciiTheme="majorBidi" w:hAnsiTheme="majorBidi"/>
                </w:rPr>
                <w:t>TD</w:t>
              </w:r>
              <w:r w:rsidRPr="00073574">
                <w:rPr>
                  <w:rStyle w:val="Hyperlink"/>
                  <w:rFonts w:asciiTheme="majorBidi" w:hAnsiTheme="majorBidi"/>
                </w:rPr>
                <w:t>229</w:t>
              </w:r>
            </w:hyperlink>
            <w:r w:rsidRPr="00073574">
              <w:rPr>
                <w:rStyle w:val="Hyperlink"/>
                <w:rFonts w:asciiTheme="majorBidi" w:hAnsiTheme="majorBidi" w:cstheme="majorBidi"/>
              </w:rPr>
              <w:t>.</w:t>
            </w:r>
          </w:p>
          <w:p w14:paraId="4BA94D59" w14:textId="5A1F4EAA" w:rsidR="00106D60" w:rsidRPr="00073574" w:rsidRDefault="00DE4167" w:rsidP="002E42AB">
            <w:pPr>
              <w:pStyle w:val="ListParagraph"/>
              <w:keepNext/>
              <w:keepLines/>
              <w:numPr>
                <w:ilvl w:val="0"/>
                <w:numId w:val="26"/>
              </w:numPr>
              <w:ind w:left="357" w:hanging="357"/>
              <w:contextualSpacing w:val="0"/>
            </w:pPr>
            <w:r w:rsidRPr="00073574">
              <w:t xml:space="preserve">SG5 replied to TSAG-LS4 </w:t>
            </w:r>
            <w:r w:rsidR="00106D60" w:rsidRPr="00073574">
              <w:t xml:space="preserve">in </w:t>
            </w:r>
            <w:hyperlink r:id="rId795">
              <w:r w:rsidR="00106D60" w:rsidRPr="00073574">
                <w:rPr>
                  <w:rStyle w:val="Hyperlink"/>
                  <w:rFonts w:asciiTheme="majorBidi" w:hAnsiTheme="majorBidi"/>
                </w:rPr>
                <w:t>TD175</w:t>
              </w:r>
            </w:hyperlink>
            <w:r w:rsidR="00106D60" w:rsidRPr="00073574">
              <w:rPr>
                <w:rStyle w:val="Hyperlink"/>
                <w:rFonts w:asciiTheme="majorBidi" w:hAnsiTheme="majorBidi" w:cstheme="majorBidi"/>
              </w:rPr>
              <w:t xml:space="preserve"> </w:t>
            </w:r>
            <w:r w:rsidRPr="00073574">
              <w:t>informing of the possibility of developing an open source methodology to build a circular economy with reference to an ongoing work item on criteria for evaluation of the environmental impact of mobile phones.</w:t>
            </w:r>
          </w:p>
          <w:p w14:paraId="66853B2B" w14:textId="52EA62AC" w:rsidR="00106D60" w:rsidRPr="00073574" w:rsidRDefault="00106D60" w:rsidP="002E42AB">
            <w:pPr>
              <w:pStyle w:val="ListParagraph"/>
              <w:keepNext/>
              <w:keepLines/>
              <w:numPr>
                <w:ilvl w:val="0"/>
                <w:numId w:val="26"/>
              </w:numPr>
              <w:ind w:left="357" w:hanging="357"/>
              <w:contextualSpacing w:val="0"/>
            </w:pPr>
            <w:r w:rsidRPr="00073574">
              <w:t>SG9 replied to TSAG-LS4 in</w:t>
            </w:r>
            <w:r w:rsidR="00E23961" w:rsidRPr="00073574">
              <w:t xml:space="preserve"> </w:t>
            </w:r>
            <w:hyperlink r:id="rId796">
              <w:r w:rsidR="00E23961" w:rsidRPr="00073574">
                <w:rPr>
                  <w:rStyle w:val="Hyperlink"/>
                  <w:rFonts w:asciiTheme="majorBidi" w:hAnsiTheme="majorBidi"/>
                </w:rPr>
                <w:t>TD180</w:t>
              </w:r>
            </w:hyperlink>
            <w:r w:rsidRPr="00073574">
              <w:rPr>
                <w:rStyle w:val="Hyperlink"/>
                <w:rFonts w:asciiTheme="majorBidi" w:hAnsiTheme="majorBidi" w:cstheme="majorBidi"/>
              </w:rPr>
              <w:t>.</w:t>
            </w:r>
          </w:p>
          <w:p w14:paraId="040630DA" w14:textId="4A8993C1" w:rsidR="00106D60" w:rsidRPr="00073574" w:rsidRDefault="00106D60" w:rsidP="002E42AB">
            <w:pPr>
              <w:pStyle w:val="ListParagraph"/>
              <w:keepNext/>
              <w:keepLines/>
              <w:numPr>
                <w:ilvl w:val="0"/>
                <w:numId w:val="26"/>
              </w:numPr>
              <w:ind w:left="357" w:hanging="357"/>
              <w:contextualSpacing w:val="0"/>
            </w:pPr>
            <w:r w:rsidRPr="00073574">
              <w:t>SG11 replied to TSAG-LS4</w:t>
            </w:r>
            <w:r w:rsidR="00E23961" w:rsidRPr="00073574">
              <w:t xml:space="preserve"> in </w:t>
            </w:r>
            <w:hyperlink r:id="rId797">
              <w:r w:rsidR="00E23961" w:rsidRPr="00073574">
                <w:rPr>
                  <w:rStyle w:val="Hyperlink"/>
                  <w:rFonts w:asciiTheme="majorBidi" w:hAnsiTheme="majorBidi"/>
                </w:rPr>
                <w:t>TD220</w:t>
              </w:r>
            </w:hyperlink>
            <w:r w:rsidRPr="00073574">
              <w:rPr>
                <w:rStyle w:val="Hyperlink"/>
                <w:rFonts w:asciiTheme="majorBidi" w:hAnsiTheme="majorBidi" w:cstheme="majorBidi"/>
                <w:sz w:val="24"/>
              </w:rPr>
              <w:t>.</w:t>
            </w:r>
          </w:p>
          <w:p w14:paraId="2D4AF971" w14:textId="7AA5BD8C" w:rsidR="00F3227F" w:rsidRPr="00073574" w:rsidRDefault="00F3227F" w:rsidP="002E42AB">
            <w:pPr>
              <w:pStyle w:val="ListParagraph"/>
              <w:keepNext/>
              <w:keepLines/>
              <w:numPr>
                <w:ilvl w:val="0"/>
                <w:numId w:val="26"/>
              </w:numPr>
              <w:contextualSpacing w:val="0"/>
            </w:pPr>
            <w:r w:rsidRPr="00073574">
              <w:t xml:space="preserve">SG12 replied to TSAG-LS4 in </w:t>
            </w:r>
            <w:hyperlink r:id="rId798">
              <w:r w:rsidR="00101BC9" w:rsidRPr="00073574">
                <w:rPr>
                  <w:rStyle w:val="Hyperlink"/>
                  <w:rFonts w:asciiTheme="majorBidi" w:hAnsiTheme="majorBidi"/>
                </w:rPr>
                <w:t>TD</w:t>
              </w:r>
              <w:r w:rsidRPr="00073574">
                <w:rPr>
                  <w:rStyle w:val="Hyperlink"/>
                  <w:rFonts w:asciiTheme="majorBidi" w:hAnsiTheme="majorBidi"/>
                </w:rPr>
                <w:t>202</w:t>
              </w:r>
            </w:hyperlink>
            <w:r w:rsidRPr="00073574">
              <w:t xml:space="preserve">, and </w:t>
            </w:r>
            <w:hyperlink r:id="rId799">
              <w:r w:rsidR="00101BC9" w:rsidRPr="00073574">
                <w:rPr>
                  <w:rStyle w:val="Hyperlink"/>
                  <w:rFonts w:asciiTheme="majorBidi" w:hAnsiTheme="majorBidi"/>
                </w:rPr>
                <w:t>TD</w:t>
              </w:r>
              <w:r w:rsidRPr="00073574">
                <w:rPr>
                  <w:rStyle w:val="Hyperlink"/>
                  <w:rFonts w:asciiTheme="majorBidi" w:hAnsiTheme="majorBidi"/>
                </w:rPr>
                <w:t>205</w:t>
              </w:r>
            </w:hyperlink>
            <w:r w:rsidR="00BB5CD0" w:rsidRPr="00073574">
              <w:t>, reporting on ongoing open source activities</w:t>
            </w:r>
            <w:r w:rsidRPr="00073574">
              <w:t>.</w:t>
            </w:r>
          </w:p>
          <w:p w14:paraId="00878B47" w14:textId="2DF9DCF7" w:rsidR="00930DDF" w:rsidRPr="00073574" w:rsidRDefault="00F0236A" w:rsidP="002E42AB">
            <w:pPr>
              <w:pStyle w:val="ListParagraph"/>
              <w:keepNext/>
              <w:keepLines/>
              <w:numPr>
                <w:ilvl w:val="0"/>
                <w:numId w:val="26"/>
              </w:numPr>
              <w:ind w:left="357" w:hanging="357"/>
              <w:contextualSpacing w:val="0"/>
            </w:pPr>
            <w:r w:rsidRPr="00073574">
              <w:t xml:space="preserve">SG13 sent a </w:t>
            </w:r>
            <w:r w:rsidR="0015692F" w:rsidRPr="00073574">
              <w:t>liaison statement</w:t>
            </w:r>
            <w:r w:rsidRPr="00073574">
              <w:t xml:space="preserve"> to TSAG (</w:t>
            </w:r>
            <w:hyperlink r:id="rId800">
              <w:r w:rsidR="00112C75" w:rsidRPr="00073574">
                <w:rPr>
                  <w:rStyle w:val="Hyperlink"/>
                </w:rPr>
                <w:t>TD</w:t>
              </w:r>
              <w:r w:rsidRPr="00073574">
                <w:rPr>
                  <w:rStyle w:val="Hyperlink"/>
                </w:rPr>
                <w:t>55</w:t>
              </w:r>
            </w:hyperlink>
            <w:r w:rsidRPr="00073574">
              <w:t>) from its February 2017 meeting to report on the progress in communication to date.</w:t>
            </w:r>
            <w:r w:rsidR="00871DB7" w:rsidRPr="00073574">
              <w:t xml:space="preserve"> Demonstrations at the 11 July </w:t>
            </w:r>
            <w:r w:rsidR="003A44EE" w:rsidRPr="00073574">
              <w:t xml:space="preserve">2017 </w:t>
            </w:r>
            <w:r w:rsidR="00871DB7" w:rsidRPr="00073574">
              <w:t xml:space="preserve">5G workshop dealt with the open source solutions. The flipbook with 5G Proof-of-Concepts, outcomes of the two IMT-2020 workshops, </w:t>
            </w:r>
            <w:r w:rsidR="003A44EE" w:rsidRPr="00073574">
              <w:t>was</w:t>
            </w:r>
            <w:r w:rsidR="00871DB7" w:rsidRPr="00073574">
              <w:t xml:space="preserve"> published.</w:t>
            </w:r>
          </w:p>
          <w:p w14:paraId="2E96D907" w14:textId="131CC6D8" w:rsidR="004A0AE3" w:rsidRPr="00073574" w:rsidRDefault="004A0AE3" w:rsidP="002E42AB">
            <w:pPr>
              <w:pStyle w:val="ListParagraph"/>
              <w:keepNext/>
              <w:keepLines/>
              <w:numPr>
                <w:ilvl w:val="0"/>
                <w:numId w:val="26"/>
              </w:numPr>
              <w:ind w:left="357" w:hanging="357"/>
              <w:contextualSpacing w:val="0"/>
            </w:pPr>
            <w:r w:rsidRPr="00073574">
              <w:t xml:space="preserve">SG15 replied to TSAG-LS4 in </w:t>
            </w:r>
            <w:hyperlink r:id="rId801">
              <w:r w:rsidR="00101BC9" w:rsidRPr="00073574">
                <w:rPr>
                  <w:rStyle w:val="Hyperlink"/>
                  <w:rFonts w:asciiTheme="majorBidi" w:hAnsiTheme="majorBidi"/>
                </w:rPr>
                <w:t>TD</w:t>
              </w:r>
              <w:r w:rsidRPr="00073574">
                <w:rPr>
                  <w:rStyle w:val="Hyperlink"/>
                  <w:rFonts w:asciiTheme="majorBidi" w:hAnsiTheme="majorBidi"/>
                </w:rPr>
                <w:t>189</w:t>
              </w:r>
            </w:hyperlink>
            <w:r w:rsidRPr="00073574">
              <w:t>.</w:t>
            </w:r>
            <w:r w:rsidR="00575490" w:rsidRPr="00073574">
              <w:t xml:space="preserve"> SG15 is using open-source software tools to translate between two different descriptive languages that are in SG15 Recommendations.</w:t>
            </w:r>
          </w:p>
          <w:p w14:paraId="503806FD" w14:textId="090DAA5C" w:rsidR="00F0236A" w:rsidRPr="00073574" w:rsidRDefault="00930DDF" w:rsidP="002E42AB">
            <w:pPr>
              <w:pStyle w:val="ListParagraph"/>
              <w:keepNext/>
              <w:keepLines/>
              <w:numPr>
                <w:ilvl w:val="0"/>
                <w:numId w:val="26"/>
              </w:numPr>
              <w:ind w:left="357" w:hanging="357"/>
              <w:contextualSpacing w:val="0"/>
            </w:pPr>
            <w:r w:rsidRPr="00073574">
              <w:t>SG16 replied to TSAG-LS4 (</w:t>
            </w:r>
            <w:hyperlink r:id="rId802">
              <w:r w:rsidRPr="00073574">
                <w:rPr>
                  <w:rStyle w:val="Hyperlink"/>
                </w:rPr>
                <w:t>TD212</w:t>
              </w:r>
            </w:hyperlink>
            <w:r w:rsidRPr="00073574">
              <w:t>) from its Oct. 2017 meeting reporting on experiences in SG16 about open code and with a request for the preparation of some guidance material on open source licenses.</w:t>
            </w:r>
          </w:p>
          <w:p w14:paraId="201E2B2A" w14:textId="137E3EE4" w:rsidR="004A0AE3" w:rsidRPr="00073574" w:rsidRDefault="004A0AE3" w:rsidP="002E42AB">
            <w:pPr>
              <w:pStyle w:val="ListParagraph"/>
              <w:keepNext/>
              <w:keepLines/>
              <w:numPr>
                <w:ilvl w:val="0"/>
                <w:numId w:val="26"/>
              </w:numPr>
              <w:contextualSpacing w:val="0"/>
            </w:pPr>
            <w:r w:rsidRPr="00073574">
              <w:t>SG1</w:t>
            </w:r>
            <w:r w:rsidR="00EF43E9" w:rsidRPr="00073574">
              <w:t>7</w:t>
            </w:r>
            <w:r w:rsidRPr="00073574">
              <w:t xml:space="preserve"> replied to TSAG-LS4 in </w:t>
            </w:r>
            <w:hyperlink r:id="rId803">
              <w:r w:rsidR="00101BC9" w:rsidRPr="00073574">
                <w:rPr>
                  <w:rStyle w:val="Hyperlink"/>
                  <w:rFonts w:asciiTheme="majorBidi" w:hAnsiTheme="majorBidi"/>
                </w:rPr>
                <w:t>TD</w:t>
              </w:r>
              <w:r w:rsidRPr="00073574">
                <w:rPr>
                  <w:rStyle w:val="Hyperlink"/>
                  <w:rFonts w:asciiTheme="majorBidi" w:hAnsiTheme="majorBidi"/>
                </w:rPr>
                <w:t>195</w:t>
              </w:r>
            </w:hyperlink>
            <w:r w:rsidRPr="00073574">
              <w:rPr>
                <w:rStyle w:val="Hyperlink"/>
                <w:rFonts w:asciiTheme="majorBidi" w:hAnsiTheme="majorBidi" w:cstheme="majorBidi"/>
              </w:rPr>
              <w:t>.</w:t>
            </w:r>
          </w:p>
          <w:p w14:paraId="4640BB24" w14:textId="79DDF076" w:rsidR="00DE4167" w:rsidRPr="00073574" w:rsidRDefault="00DE4167" w:rsidP="002E42AB">
            <w:pPr>
              <w:pStyle w:val="ListParagraph"/>
              <w:keepNext/>
              <w:keepLines/>
              <w:numPr>
                <w:ilvl w:val="0"/>
                <w:numId w:val="26"/>
              </w:numPr>
              <w:contextualSpacing w:val="0"/>
            </w:pPr>
            <w:r w:rsidRPr="00073574">
              <w:t xml:space="preserve">SG20 replied to TSAG-LS4 </w:t>
            </w:r>
            <w:r w:rsidR="004A0AE3" w:rsidRPr="00073574">
              <w:t xml:space="preserve">in </w:t>
            </w:r>
            <w:hyperlink r:id="rId804">
              <w:r w:rsidR="00101BC9" w:rsidRPr="00073574">
                <w:rPr>
                  <w:rStyle w:val="Hyperlink"/>
                  <w:rFonts w:asciiTheme="majorBidi" w:hAnsiTheme="majorBidi"/>
                </w:rPr>
                <w:t>TD</w:t>
              </w:r>
              <w:r w:rsidR="004A0AE3" w:rsidRPr="00073574">
                <w:rPr>
                  <w:rStyle w:val="Hyperlink"/>
                  <w:rFonts w:asciiTheme="majorBidi" w:hAnsiTheme="majorBidi"/>
                </w:rPr>
                <w:t>200</w:t>
              </w:r>
            </w:hyperlink>
            <w:r w:rsidR="004A0AE3" w:rsidRPr="00073574">
              <w:rPr>
                <w:rStyle w:val="Hyperlink"/>
                <w:rFonts w:asciiTheme="majorBidi" w:hAnsiTheme="majorBidi" w:cstheme="majorBidi"/>
              </w:rPr>
              <w:t xml:space="preserve"> </w:t>
            </w:r>
            <w:r w:rsidRPr="00073574">
              <w:t>informing that ITU-T SG20 studies IoT and Smart Cities and develops standards to support and build them. Many projects in the area of IoT and Smart Cities have been developed with open source. Collaboration between ITU-T and open source communities is a tool to achieve interoperability among IoT and smart city platforms, systems and devices.</w:t>
            </w:r>
          </w:p>
        </w:tc>
      </w:tr>
      <w:tr w:rsidR="00F0236A" w:rsidRPr="00073574" w14:paraId="0BECD300" w14:textId="77777777" w:rsidTr="1EE68BAF">
        <w:trPr>
          <w:jc w:val="center"/>
        </w:trPr>
        <w:tc>
          <w:tcPr>
            <w:tcW w:w="1131" w:type="dxa"/>
            <w:vMerge w:val="restart"/>
            <w:tcBorders>
              <w:top w:val="single" w:sz="12" w:space="0" w:color="auto"/>
            </w:tcBorders>
            <w:shd w:val="clear" w:color="auto" w:fill="auto"/>
          </w:tcPr>
          <w:p w14:paraId="207B844D" w14:textId="77777777" w:rsidR="00F0236A" w:rsidRPr="00073574" w:rsidRDefault="00F0236A" w:rsidP="00EE06B8">
            <w:pPr>
              <w:pStyle w:val="Tabletext"/>
              <w:keepNext/>
              <w:keepLines/>
              <w:rPr>
                <w:b/>
                <w:bCs/>
                <w:sz w:val="24"/>
                <w:szCs w:val="24"/>
              </w:rPr>
            </w:pPr>
            <w:r w:rsidRPr="00073574">
              <w:rPr>
                <w:b/>
                <w:bCs/>
                <w:sz w:val="24"/>
                <w:szCs w:val="24"/>
              </w:rPr>
              <w:t>90-03</w:t>
            </w:r>
          </w:p>
        </w:tc>
        <w:tc>
          <w:tcPr>
            <w:tcW w:w="4986" w:type="dxa"/>
            <w:tcBorders>
              <w:top w:val="single" w:sz="12" w:space="0" w:color="auto"/>
              <w:bottom w:val="single" w:sz="4" w:space="0" w:color="auto"/>
            </w:tcBorders>
            <w:shd w:val="clear" w:color="auto" w:fill="auto"/>
          </w:tcPr>
          <w:p w14:paraId="3D8F3C3D" w14:textId="77777777" w:rsidR="00F0236A" w:rsidRPr="00073574" w:rsidRDefault="00F0236A" w:rsidP="0034647A">
            <w:pPr>
              <w:pStyle w:val="Tabletext"/>
              <w:rPr>
                <w:b/>
                <w:bCs/>
                <w:sz w:val="24"/>
                <w:szCs w:val="24"/>
              </w:rPr>
            </w:pPr>
            <w:r w:rsidRPr="00073574">
              <w:rPr>
                <w:b/>
                <w:bCs/>
                <w:sz w:val="24"/>
                <w:szCs w:val="24"/>
              </w:rPr>
              <w:t>All ITU-T Study Groups to consider output from TSAG on open source, in order to study the value of using open source to develop reference implementations of ITU-T Recommendations, as appropriate;</w:t>
            </w:r>
          </w:p>
          <w:p w14:paraId="3B06C7D4" w14:textId="77777777" w:rsidR="00F0236A" w:rsidRPr="00073574" w:rsidRDefault="00F0236A" w:rsidP="0034647A">
            <w:pPr>
              <w:pStyle w:val="Tabletext"/>
              <w:rPr>
                <w:b/>
                <w:bCs/>
                <w:sz w:val="24"/>
                <w:szCs w:val="24"/>
              </w:rPr>
            </w:pPr>
            <w:r w:rsidRPr="00073574">
              <w:rPr>
                <w:b/>
                <w:bCs/>
                <w:sz w:val="24"/>
                <w:szCs w:val="24"/>
              </w:rPr>
              <w:t>and considering the output of the studies under instructs 2 above, to continue using open source as appropriate (i. SGs 2, 3)</w:t>
            </w:r>
          </w:p>
        </w:tc>
        <w:tc>
          <w:tcPr>
            <w:tcW w:w="1336" w:type="dxa"/>
            <w:tcBorders>
              <w:top w:val="single" w:sz="12" w:space="0" w:color="auto"/>
              <w:bottom w:val="single" w:sz="4" w:space="0" w:color="auto"/>
            </w:tcBorders>
            <w:shd w:val="clear" w:color="auto" w:fill="auto"/>
            <w:vAlign w:val="center"/>
          </w:tcPr>
          <w:p w14:paraId="0E2CD76D" w14:textId="77777777" w:rsidR="00F0236A" w:rsidRPr="00073574" w:rsidRDefault="00F0236A" w:rsidP="00106D60">
            <w:pPr>
              <w:pStyle w:val="Tabletext"/>
              <w:jc w:val="center"/>
              <w:rPr>
                <w:b/>
                <w:bCs/>
                <w:sz w:val="24"/>
                <w:szCs w:val="24"/>
              </w:rPr>
            </w:pPr>
            <w:r w:rsidRPr="00073574">
              <w:rPr>
                <w:b/>
                <w:bCs/>
                <w:sz w:val="24"/>
                <w:szCs w:val="24"/>
              </w:rPr>
              <w:t>Ongoing</w:t>
            </w:r>
          </w:p>
        </w:tc>
        <w:tc>
          <w:tcPr>
            <w:tcW w:w="1143" w:type="dxa"/>
            <w:tcBorders>
              <w:top w:val="single" w:sz="12" w:space="0" w:color="auto"/>
              <w:bottom w:val="single" w:sz="4" w:space="0" w:color="auto"/>
            </w:tcBorders>
            <w:shd w:val="clear" w:color="auto" w:fill="auto"/>
            <w:vAlign w:val="center"/>
          </w:tcPr>
          <w:p w14:paraId="6951280B" w14:textId="77777777" w:rsidR="00F0236A" w:rsidRPr="00073574" w:rsidRDefault="00F0236A" w:rsidP="004A0AE3">
            <w:pPr>
              <w:pStyle w:val="Tabletext"/>
              <w:jc w:val="center"/>
              <w:rPr>
                <w:b/>
                <w:bCs/>
                <w:sz w:val="24"/>
                <w:szCs w:val="24"/>
              </w:rPr>
            </w:pPr>
            <w:r w:rsidRPr="00073574">
              <w:rPr>
                <w:b/>
                <w:bCs/>
                <w:sz w:val="24"/>
                <w:szCs w:val="24"/>
              </w:rPr>
              <w:t>√</w:t>
            </w:r>
          </w:p>
        </w:tc>
        <w:tc>
          <w:tcPr>
            <w:tcW w:w="1336" w:type="dxa"/>
            <w:tcBorders>
              <w:top w:val="single" w:sz="12" w:space="0" w:color="auto"/>
              <w:bottom w:val="single" w:sz="4" w:space="0" w:color="auto"/>
            </w:tcBorders>
            <w:shd w:val="clear" w:color="auto" w:fill="auto"/>
            <w:vAlign w:val="center"/>
          </w:tcPr>
          <w:p w14:paraId="697A17B8" w14:textId="77777777" w:rsidR="00F0236A" w:rsidRPr="00073574" w:rsidRDefault="00F0236A" w:rsidP="007C683D">
            <w:pPr>
              <w:pStyle w:val="Tabletext"/>
              <w:jc w:val="center"/>
              <w:rPr>
                <w:b/>
                <w:bCs/>
                <w:sz w:val="24"/>
                <w:szCs w:val="24"/>
              </w:rPr>
            </w:pPr>
          </w:p>
        </w:tc>
      </w:tr>
      <w:tr w:rsidR="00F0236A" w:rsidRPr="00073574" w14:paraId="267BACC3" w14:textId="77777777" w:rsidTr="1EE68BAF">
        <w:trPr>
          <w:jc w:val="center"/>
        </w:trPr>
        <w:tc>
          <w:tcPr>
            <w:tcW w:w="1131" w:type="dxa"/>
            <w:vMerge/>
          </w:tcPr>
          <w:p w14:paraId="176762B8" w14:textId="77777777" w:rsidR="00F0236A" w:rsidRPr="00073574" w:rsidRDefault="00F0236A">
            <w:pPr>
              <w:pStyle w:val="Tabletext"/>
              <w:rPr>
                <w:sz w:val="24"/>
                <w:szCs w:val="24"/>
              </w:rPr>
            </w:pPr>
          </w:p>
        </w:tc>
        <w:tc>
          <w:tcPr>
            <w:tcW w:w="8801" w:type="dxa"/>
            <w:gridSpan w:val="4"/>
            <w:tcBorders>
              <w:top w:val="single" w:sz="4" w:space="0" w:color="auto"/>
              <w:bottom w:val="single" w:sz="12" w:space="0" w:color="auto"/>
            </w:tcBorders>
            <w:shd w:val="clear" w:color="auto" w:fill="auto"/>
          </w:tcPr>
          <w:p w14:paraId="7442FDC3" w14:textId="5E17DA09" w:rsidR="00F0236A" w:rsidRPr="00073574" w:rsidRDefault="00930DDF" w:rsidP="002E241A">
            <w:pPr>
              <w:pStyle w:val="ListParagraph"/>
              <w:numPr>
                <w:ilvl w:val="0"/>
                <w:numId w:val="26"/>
              </w:numPr>
              <w:spacing w:before="40"/>
              <w:ind w:left="357" w:hanging="357"/>
              <w:contextualSpacing w:val="0"/>
            </w:pPr>
            <w:r w:rsidRPr="00073574">
              <w:t xml:space="preserve">Following previous agreements in SG16 and SG12, </w:t>
            </w:r>
            <w:r w:rsidR="00F0236A" w:rsidRPr="00073574">
              <w:t>ITU-T G.191 (software tool library)</w:t>
            </w:r>
            <w:r w:rsidRPr="00073574">
              <w:t xml:space="preserve"> was launched in Sep</w:t>
            </w:r>
            <w:r w:rsidR="00EA2E0C" w:rsidRPr="00073574">
              <w:t>tember</w:t>
            </w:r>
            <w:r w:rsidRPr="00073574">
              <w:t xml:space="preserve"> 2017 as an open source project in GitHub</w:t>
            </w:r>
            <w:r w:rsidR="00F0236A" w:rsidRPr="00073574">
              <w:t>.</w:t>
            </w:r>
            <w:r w:rsidR="00890694" w:rsidRPr="00073574">
              <w:t xml:space="preserve"> The first cycle was completed with the approval of revised Recommendation ITU-T G.191 in January 2019</w:t>
            </w:r>
            <w:r w:rsidR="00000C79" w:rsidRPr="00073574">
              <w:t>.</w:t>
            </w:r>
          </w:p>
          <w:p w14:paraId="490E28A3" w14:textId="77777777" w:rsidR="00F0236A" w:rsidRPr="00073574" w:rsidRDefault="00F0236A" w:rsidP="002E241A">
            <w:pPr>
              <w:pStyle w:val="ListParagraph"/>
              <w:numPr>
                <w:ilvl w:val="0"/>
                <w:numId w:val="26"/>
              </w:numPr>
              <w:ind w:left="357" w:hanging="357"/>
              <w:contextualSpacing w:val="0"/>
            </w:pPr>
            <w:r w:rsidRPr="00073574">
              <w:t>SG13: see 90-02.</w:t>
            </w:r>
          </w:p>
          <w:p w14:paraId="674BE78F" w14:textId="3350B5A9" w:rsidR="00F0236A" w:rsidRPr="00073574" w:rsidRDefault="00F0236A" w:rsidP="00771E5A">
            <w:pPr>
              <w:pStyle w:val="ListParagraph"/>
              <w:ind w:left="357"/>
              <w:contextualSpacing w:val="0"/>
              <w:rPr>
                <w:sz w:val="24"/>
              </w:rPr>
            </w:pPr>
            <w:r w:rsidRPr="00073574">
              <w:rPr>
                <w:szCs w:val="22"/>
              </w:rPr>
              <w:t>SG13 at its February 2017 meeting developed a short report on its experience with open source.</w:t>
            </w:r>
            <w:r w:rsidR="005141F2" w:rsidRPr="00073574">
              <w:rPr>
                <w:szCs w:val="22"/>
              </w:rPr>
              <w:t xml:space="preserve"> At October 2019 meeting it took initial steps towards exploring the commonalities and potential close collaboration with the Open Network Automation Platform on cloud computing management and service orchestration.</w:t>
            </w:r>
          </w:p>
          <w:p w14:paraId="3F39C65D" w14:textId="37998D26" w:rsidR="00DA664B" w:rsidRPr="00073574" w:rsidRDefault="00DA664B" w:rsidP="002E241A">
            <w:pPr>
              <w:pStyle w:val="ListParagraph"/>
              <w:numPr>
                <w:ilvl w:val="0"/>
                <w:numId w:val="26"/>
              </w:numPr>
              <w:spacing w:after="40"/>
              <w:ind w:left="357" w:hanging="357"/>
              <w:contextualSpacing w:val="0"/>
              <w:rPr>
                <w:sz w:val="24"/>
              </w:rPr>
            </w:pPr>
            <w:r w:rsidRPr="00073574">
              <w:t>SG16: See 90-2 and TSAG-LS4 (</w:t>
            </w:r>
            <w:hyperlink r:id="rId805">
              <w:r w:rsidRPr="00073574">
                <w:rPr>
                  <w:rStyle w:val="Hyperlink"/>
                </w:rPr>
                <w:t>TD212</w:t>
              </w:r>
            </w:hyperlink>
            <w:r w:rsidRPr="00073574">
              <w:t>)</w:t>
            </w:r>
            <w:r w:rsidR="009235D2" w:rsidRPr="00073574">
              <w:t>.</w:t>
            </w:r>
          </w:p>
        </w:tc>
      </w:tr>
      <w:tr w:rsidR="00F0236A" w:rsidRPr="00073574" w14:paraId="1BDFABAF" w14:textId="77777777" w:rsidTr="1EE68BAF">
        <w:trPr>
          <w:jc w:val="center"/>
        </w:trPr>
        <w:tc>
          <w:tcPr>
            <w:tcW w:w="1131" w:type="dxa"/>
            <w:vMerge w:val="restart"/>
            <w:tcBorders>
              <w:top w:val="single" w:sz="12" w:space="0" w:color="auto"/>
            </w:tcBorders>
            <w:shd w:val="clear" w:color="auto" w:fill="auto"/>
          </w:tcPr>
          <w:p w14:paraId="719F798C" w14:textId="77777777" w:rsidR="00F0236A" w:rsidRPr="00073574" w:rsidRDefault="00F0236A" w:rsidP="0034647A">
            <w:pPr>
              <w:pStyle w:val="Tabletext"/>
              <w:rPr>
                <w:b/>
                <w:bCs/>
                <w:sz w:val="24"/>
                <w:szCs w:val="24"/>
              </w:rPr>
            </w:pPr>
            <w:r w:rsidRPr="00073574">
              <w:rPr>
                <w:b/>
                <w:bCs/>
                <w:sz w:val="24"/>
                <w:szCs w:val="24"/>
              </w:rPr>
              <w:lastRenderedPageBreak/>
              <w:t>90-04</w:t>
            </w:r>
          </w:p>
        </w:tc>
        <w:tc>
          <w:tcPr>
            <w:tcW w:w="4986" w:type="dxa"/>
            <w:tcBorders>
              <w:top w:val="single" w:sz="12" w:space="0" w:color="auto"/>
              <w:bottom w:val="single" w:sz="4" w:space="0" w:color="auto"/>
            </w:tcBorders>
            <w:shd w:val="clear" w:color="auto" w:fill="auto"/>
          </w:tcPr>
          <w:p w14:paraId="0E06DF5B" w14:textId="77777777" w:rsidR="00F0236A" w:rsidRPr="00073574" w:rsidRDefault="00F0236A" w:rsidP="0034647A">
            <w:pPr>
              <w:pStyle w:val="Tabletext"/>
              <w:rPr>
                <w:b/>
                <w:bCs/>
                <w:sz w:val="24"/>
                <w:szCs w:val="24"/>
              </w:rPr>
            </w:pPr>
            <w:r w:rsidRPr="00073574">
              <w:rPr>
                <w:b/>
                <w:bCs/>
                <w:sz w:val="24"/>
                <w:szCs w:val="24"/>
              </w:rPr>
              <w:t>All ITU-T Study Groups to support the use of open-source projects in their work, as appropriate, taking into account the outcome of the TSAG study;</w:t>
            </w:r>
          </w:p>
          <w:p w14:paraId="38B36453" w14:textId="77777777" w:rsidR="00F0236A" w:rsidRPr="00073574" w:rsidRDefault="00F0236A" w:rsidP="0034647A">
            <w:pPr>
              <w:pStyle w:val="Tabletext"/>
              <w:rPr>
                <w:b/>
                <w:bCs/>
                <w:sz w:val="24"/>
                <w:szCs w:val="24"/>
              </w:rPr>
            </w:pPr>
            <w:r w:rsidRPr="00073574">
              <w:rPr>
                <w:b/>
                <w:bCs/>
                <w:sz w:val="24"/>
                <w:szCs w:val="24"/>
              </w:rPr>
              <w:t>and to continue engaging with open-source projects (i. SGs 4, 5)</w:t>
            </w:r>
          </w:p>
        </w:tc>
        <w:tc>
          <w:tcPr>
            <w:tcW w:w="1336" w:type="dxa"/>
            <w:tcBorders>
              <w:top w:val="single" w:sz="12" w:space="0" w:color="auto"/>
              <w:bottom w:val="single" w:sz="4" w:space="0" w:color="auto"/>
            </w:tcBorders>
            <w:shd w:val="clear" w:color="auto" w:fill="auto"/>
            <w:vAlign w:val="center"/>
          </w:tcPr>
          <w:p w14:paraId="551C9BD1" w14:textId="77777777" w:rsidR="00F0236A" w:rsidRPr="00073574" w:rsidRDefault="00F0236A" w:rsidP="00106D60">
            <w:pPr>
              <w:pStyle w:val="Tabletext"/>
              <w:jc w:val="center"/>
              <w:rPr>
                <w:b/>
                <w:bCs/>
                <w:sz w:val="24"/>
                <w:szCs w:val="24"/>
              </w:rPr>
            </w:pPr>
            <w:r w:rsidRPr="00073574">
              <w:rPr>
                <w:b/>
                <w:bCs/>
                <w:sz w:val="24"/>
                <w:szCs w:val="24"/>
              </w:rPr>
              <w:t>Ongoing</w:t>
            </w:r>
          </w:p>
        </w:tc>
        <w:tc>
          <w:tcPr>
            <w:tcW w:w="1143" w:type="dxa"/>
            <w:tcBorders>
              <w:top w:val="single" w:sz="12" w:space="0" w:color="auto"/>
              <w:bottom w:val="single" w:sz="4" w:space="0" w:color="auto"/>
            </w:tcBorders>
            <w:shd w:val="clear" w:color="auto" w:fill="auto"/>
            <w:vAlign w:val="center"/>
          </w:tcPr>
          <w:p w14:paraId="45928EB2" w14:textId="77777777" w:rsidR="00F0236A" w:rsidRPr="00073574" w:rsidRDefault="00F0236A" w:rsidP="004A0AE3">
            <w:pPr>
              <w:pStyle w:val="Tabletext"/>
              <w:jc w:val="center"/>
              <w:rPr>
                <w:b/>
                <w:bCs/>
                <w:sz w:val="24"/>
                <w:szCs w:val="24"/>
              </w:rPr>
            </w:pPr>
            <w:r w:rsidRPr="00073574">
              <w:rPr>
                <w:b/>
                <w:bCs/>
                <w:sz w:val="24"/>
                <w:szCs w:val="24"/>
              </w:rPr>
              <w:t>√</w:t>
            </w:r>
          </w:p>
        </w:tc>
        <w:tc>
          <w:tcPr>
            <w:tcW w:w="1336" w:type="dxa"/>
            <w:tcBorders>
              <w:top w:val="single" w:sz="12" w:space="0" w:color="auto"/>
              <w:bottom w:val="single" w:sz="4" w:space="0" w:color="auto"/>
            </w:tcBorders>
            <w:shd w:val="clear" w:color="auto" w:fill="auto"/>
            <w:vAlign w:val="center"/>
          </w:tcPr>
          <w:p w14:paraId="2279207A" w14:textId="77777777" w:rsidR="00F0236A" w:rsidRPr="00073574" w:rsidRDefault="00F0236A" w:rsidP="007C683D">
            <w:pPr>
              <w:pStyle w:val="Tabletext"/>
              <w:jc w:val="center"/>
              <w:rPr>
                <w:b/>
                <w:bCs/>
                <w:sz w:val="24"/>
                <w:szCs w:val="24"/>
              </w:rPr>
            </w:pPr>
          </w:p>
        </w:tc>
      </w:tr>
      <w:tr w:rsidR="00F0236A" w:rsidRPr="00073574" w14:paraId="5646CE57" w14:textId="77777777" w:rsidTr="1EE68BAF">
        <w:trPr>
          <w:jc w:val="center"/>
        </w:trPr>
        <w:tc>
          <w:tcPr>
            <w:tcW w:w="1131" w:type="dxa"/>
            <w:vMerge/>
          </w:tcPr>
          <w:p w14:paraId="6ECA175D" w14:textId="77777777" w:rsidR="00F0236A" w:rsidRPr="00073574" w:rsidRDefault="00F0236A">
            <w:pPr>
              <w:pStyle w:val="Tabletext"/>
              <w:rPr>
                <w:sz w:val="24"/>
                <w:szCs w:val="24"/>
              </w:rPr>
            </w:pPr>
          </w:p>
        </w:tc>
        <w:tc>
          <w:tcPr>
            <w:tcW w:w="8801" w:type="dxa"/>
            <w:gridSpan w:val="4"/>
            <w:tcBorders>
              <w:top w:val="single" w:sz="4" w:space="0" w:color="auto"/>
              <w:bottom w:val="single" w:sz="4" w:space="0" w:color="auto"/>
            </w:tcBorders>
            <w:shd w:val="clear" w:color="auto" w:fill="auto"/>
          </w:tcPr>
          <w:p w14:paraId="47004486" w14:textId="2F3470BD" w:rsidR="00782692" w:rsidRPr="00073574" w:rsidRDefault="00782692" w:rsidP="002E241A">
            <w:pPr>
              <w:pStyle w:val="ListParagraph"/>
              <w:numPr>
                <w:ilvl w:val="0"/>
                <w:numId w:val="26"/>
              </w:numPr>
              <w:spacing w:before="40"/>
              <w:ind w:left="357" w:hanging="357"/>
              <w:contextualSpacing w:val="0"/>
            </w:pPr>
            <w:r w:rsidRPr="00073574">
              <w:t xml:space="preserve">SG11 Workshop </w:t>
            </w:r>
            <w:r w:rsidRPr="00073574">
              <w:rPr>
                <w:rFonts w:asciiTheme="majorBidi" w:hAnsiTheme="majorBidi" w:cstheme="majorBidi"/>
              </w:rPr>
              <w:t>on “</w:t>
            </w:r>
            <w:r w:rsidRPr="00073574">
              <w:rPr>
                <w:rFonts w:asciiTheme="majorBidi" w:hAnsiTheme="majorBidi" w:cstheme="majorBidi"/>
                <w:i/>
              </w:rPr>
              <w:t>Control plane of IMT-2020 and emerging networks. Current issues and the way forward”</w:t>
            </w:r>
            <w:r w:rsidRPr="00073574">
              <w:rPr>
                <w:rFonts w:asciiTheme="majorBidi" w:hAnsiTheme="majorBidi" w:cstheme="majorBidi"/>
              </w:rPr>
              <w:t xml:space="preserve"> encouraged SG11 to establish collaboration with open source communities to speed up the de facto standards.</w:t>
            </w:r>
            <w:r w:rsidR="009F311F" w:rsidRPr="00073574">
              <w:rPr>
                <w:rFonts w:asciiTheme="majorBidi" w:hAnsiTheme="majorBidi" w:cstheme="majorBidi"/>
              </w:rPr>
              <w:t xml:space="preserve"> </w:t>
            </w:r>
            <w:r w:rsidR="00BC4AA8" w:rsidRPr="00073574">
              <w:rPr>
                <w:rFonts w:asciiTheme="majorBidi" w:hAnsiTheme="majorBidi" w:cstheme="majorBidi"/>
              </w:rPr>
              <w:t xml:space="preserve">SG11 </w:t>
            </w:r>
            <w:r w:rsidR="00CE3593" w:rsidRPr="00073574">
              <w:rPr>
                <w:rFonts w:asciiTheme="majorBidi" w:hAnsiTheme="majorBidi" w:cstheme="majorBidi"/>
              </w:rPr>
              <w:t xml:space="preserve">describes </w:t>
            </w:r>
            <w:r w:rsidR="00BC4AA8" w:rsidRPr="00073574">
              <w:rPr>
                <w:rFonts w:asciiTheme="majorBidi" w:hAnsiTheme="majorBidi" w:cstheme="majorBidi"/>
              </w:rPr>
              <w:t>the Device Identification, Registration and Blocking System (DIRBS)</w:t>
            </w:r>
            <w:r w:rsidR="00CE3593" w:rsidRPr="00073574">
              <w:rPr>
                <w:rFonts w:asciiTheme="majorBidi" w:hAnsiTheme="majorBidi" w:cstheme="majorBidi"/>
              </w:rPr>
              <w:t xml:space="preserve"> </w:t>
            </w:r>
            <w:r w:rsidR="001D6880" w:rsidRPr="00073574">
              <w:rPr>
                <w:rFonts w:asciiTheme="majorBidi" w:hAnsiTheme="majorBidi" w:cstheme="majorBidi"/>
              </w:rPr>
              <w:t xml:space="preserve">which </w:t>
            </w:r>
            <w:r w:rsidR="001D6880" w:rsidRPr="00073574">
              <w:t>is available as open source</w:t>
            </w:r>
            <w:r w:rsidR="00EE3C8B" w:rsidRPr="00073574">
              <w:t xml:space="preserve"> and it</w:t>
            </w:r>
            <w:r w:rsidR="001D6880" w:rsidRPr="00073574">
              <w:t xml:space="preserve"> </w:t>
            </w:r>
            <w:r w:rsidR="00EE3C8B" w:rsidRPr="00073574">
              <w:t>is consistent with the International Telecommunication Union's recommendations for addressing illegal and non-type approved devices in a country (ITU-T Q.5050)</w:t>
            </w:r>
            <w:r w:rsidR="001D6880" w:rsidRPr="00073574">
              <w:t>.</w:t>
            </w:r>
          </w:p>
          <w:p w14:paraId="59EF2CDD" w14:textId="66E8CB3B" w:rsidR="00F0236A" w:rsidRPr="00073574" w:rsidRDefault="00F0236A" w:rsidP="002E241A">
            <w:pPr>
              <w:pStyle w:val="ListParagraph"/>
              <w:numPr>
                <w:ilvl w:val="0"/>
                <w:numId w:val="26"/>
              </w:numPr>
              <w:ind w:left="357" w:hanging="357"/>
              <w:contextualSpacing w:val="0"/>
            </w:pPr>
            <w:r w:rsidRPr="00073574">
              <w:t>SG12: Open source concepts and tools are used in the development of Recommendations to assess quality of adaptive-bitrate video streaming</w:t>
            </w:r>
            <w:r w:rsidR="0034647A" w:rsidRPr="00073574">
              <w:t>, and to further enhance the software tool library (Recommendation ITU-T G.191)</w:t>
            </w:r>
            <w:r w:rsidRPr="00073574">
              <w:t>.</w:t>
            </w:r>
            <w:r w:rsidR="00512CD0" w:rsidRPr="00073574">
              <w:t xml:space="preserve"> Various open source reference implementations of </w:t>
            </w:r>
            <w:r w:rsidR="009A5669" w:rsidRPr="00073574">
              <w:t>Recommendations developed by SG12 are available.</w:t>
            </w:r>
          </w:p>
          <w:p w14:paraId="171554A0" w14:textId="48EC6423" w:rsidR="00F0236A" w:rsidRPr="00073574" w:rsidRDefault="00F0236A" w:rsidP="002E241A">
            <w:pPr>
              <w:pStyle w:val="ListParagraph"/>
              <w:numPr>
                <w:ilvl w:val="0"/>
                <w:numId w:val="26"/>
              </w:numPr>
              <w:ind w:left="357" w:hanging="357"/>
              <w:contextualSpacing w:val="0"/>
              <w:rPr>
                <w:sz w:val="24"/>
              </w:rPr>
            </w:pPr>
            <w:r w:rsidRPr="00073574">
              <w:t xml:space="preserve">SG13 </w:t>
            </w:r>
            <w:r w:rsidR="00871DB7" w:rsidRPr="00073574">
              <w:t>see point 90-2 above.</w:t>
            </w:r>
            <w:r w:rsidR="000218CC" w:rsidRPr="00073574">
              <w:t xml:space="preserve"> A workshop and demo day on Network 2030, 13 January 2020, Lisbon, Portugal, used the open source solutions for some demos.</w:t>
            </w:r>
          </w:p>
          <w:p w14:paraId="2513E02E" w14:textId="77777777" w:rsidR="00D73570" w:rsidRPr="00073574" w:rsidRDefault="00D73570" w:rsidP="002E241A">
            <w:pPr>
              <w:pStyle w:val="ListParagraph"/>
              <w:numPr>
                <w:ilvl w:val="0"/>
                <w:numId w:val="26"/>
              </w:numPr>
              <w:contextualSpacing w:val="0"/>
            </w:pPr>
            <w:r w:rsidRPr="00073574">
              <w:t>SG15 (Q12 and 14/15) is collaborating with Open Networking Foundation (ONF) so that products from open source community can be used for ITU-T Recommendations.</w:t>
            </w:r>
          </w:p>
          <w:p w14:paraId="35B6567D" w14:textId="25A64664" w:rsidR="00E14E42" w:rsidRPr="00073574" w:rsidRDefault="00E82032" w:rsidP="002E241A">
            <w:pPr>
              <w:pStyle w:val="ListParagraph"/>
              <w:numPr>
                <w:ilvl w:val="0"/>
                <w:numId w:val="26"/>
              </w:numPr>
              <w:contextualSpacing w:val="0"/>
              <w:rPr>
                <w:sz w:val="24"/>
              </w:rPr>
            </w:pPr>
            <w:r w:rsidRPr="00073574">
              <w:t>SG15 (</w:t>
            </w:r>
            <w:r w:rsidR="00E14E42" w:rsidRPr="00073574">
              <w:t>Q14/15</w:t>
            </w:r>
            <w:r w:rsidRPr="00073574">
              <w:t>)</w:t>
            </w:r>
            <w:r w:rsidR="00E14E42" w:rsidRPr="00073574">
              <w:t xml:space="preserve"> is engaging with Informal Inter-SDO Open Model Initiative (IISOMI) in the Open Source SDN [OSSDN] Eagle project.</w:t>
            </w:r>
          </w:p>
          <w:p w14:paraId="479911A5" w14:textId="5F092462" w:rsidR="0012427C" w:rsidRPr="00073574" w:rsidRDefault="0012427C" w:rsidP="002E241A">
            <w:pPr>
              <w:pStyle w:val="ListParagraph"/>
              <w:numPr>
                <w:ilvl w:val="0"/>
                <w:numId w:val="26"/>
              </w:numPr>
              <w:spacing w:after="40"/>
              <w:ind w:left="357" w:hanging="357"/>
              <w:contextualSpacing w:val="0"/>
              <w:rPr>
                <w:sz w:val="24"/>
              </w:rPr>
            </w:pPr>
            <w:r w:rsidRPr="00073574">
              <w:t xml:space="preserve">SG16 has a number of activities on open-source software, see </w:t>
            </w:r>
            <w:hyperlink r:id="rId806">
              <w:r w:rsidRPr="00073574">
                <w:rPr>
                  <w:rStyle w:val="Hyperlink"/>
                </w:rPr>
                <w:t>TD212</w:t>
              </w:r>
            </w:hyperlink>
            <w:r w:rsidR="00AF1C73" w:rsidRPr="00073574">
              <w:rPr>
                <w:rStyle w:val="Hyperlink"/>
              </w:rPr>
              <w:t xml:space="preserve"> Annex A.</w:t>
            </w:r>
          </w:p>
        </w:tc>
      </w:tr>
      <w:tr w:rsidR="00F0236A" w:rsidRPr="00073574" w14:paraId="298AD837" w14:textId="77777777" w:rsidTr="1EE68BAF">
        <w:trPr>
          <w:jc w:val="center"/>
        </w:trPr>
        <w:tc>
          <w:tcPr>
            <w:tcW w:w="1131" w:type="dxa"/>
            <w:vMerge w:val="restart"/>
            <w:tcBorders>
              <w:top w:val="single" w:sz="12" w:space="0" w:color="auto"/>
            </w:tcBorders>
            <w:shd w:val="clear" w:color="auto" w:fill="auto"/>
          </w:tcPr>
          <w:p w14:paraId="7566D2EB" w14:textId="77777777" w:rsidR="00F0236A" w:rsidRPr="00073574" w:rsidRDefault="00F0236A" w:rsidP="007D7FE2">
            <w:pPr>
              <w:pStyle w:val="Tabletext"/>
              <w:keepNext/>
              <w:keepLines/>
              <w:rPr>
                <w:b/>
                <w:bCs/>
                <w:sz w:val="24"/>
                <w:szCs w:val="24"/>
              </w:rPr>
            </w:pPr>
            <w:r w:rsidRPr="00073574">
              <w:rPr>
                <w:b/>
                <w:bCs/>
                <w:sz w:val="24"/>
                <w:szCs w:val="24"/>
              </w:rPr>
              <w:t>90-05</w:t>
            </w:r>
          </w:p>
        </w:tc>
        <w:tc>
          <w:tcPr>
            <w:tcW w:w="4986" w:type="dxa"/>
            <w:tcBorders>
              <w:top w:val="single" w:sz="12" w:space="0" w:color="auto"/>
              <w:bottom w:val="single" w:sz="4" w:space="0" w:color="auto"/>
            </w:tcBorders>
            <w:shd w:val="clear" w:color="auto" w:fill="auto"/>
          </w:tcPr>
          <w:p w14:paraId="04B6701E" w14:textId="77777777" w:rsidR="00F0236A" w:rsidRPr="00073574" w:rsidRDefault="00F0236A" w:rsidP="007D7FE2">
            <w:pPr>
              <w:pStyle w:val="Tabletext"/>
              <w:keepNext/>
              <w:keepLines/>
              <w:rPr>
                <w:b/>
                <w:bCs/>
                <w:sz w:val="24"/>
                <w:szCs w:val="24"/>
              </w:rPr>
            </w:pPr>
            <w:r w:rsidRPr="00073574">
              <w:rPr>
                <w:b/>
                <w:bCs/>
                <w:sz w:val="24"/>
                <w:szCs w:val="24"/>
              </w:rPr>
              <w:t>TSB Director to provide open source related training (e.g. tutorials, seminars, workshops) to ITU-T participants, in collaboration with open-source communities and the Telecommunication Development Bureau, taking into account the ITU-T objective to bridge the standardization gap and digital gender gap and the budgetary constraints of the Union (i. TSBDir 1)</w:t>
            </w:r>
          </w:p>
        </w:tc>
        <w:tc>
          <w:tcPr>
            <w:tcW w:w="1336" w:type="dxa"/>
            <w:tcBorders>
              <w:top w:val="single" w:sz="12" w:space="0" w:color="auto"/>
              <w:bottom w:val="single" w:sz="4" w:space="0" w:color="auto"/>
            </w:tcBorders>
            <w:shd w:val="clear" w:color="auto" w:fill="auto"/>
            <w:vAlign w:val="center"/>
          </w:tcPr>
          <w:p w14:paraId="65F7F45B" w14:textId="77777777" w:rsidR="00F0236A" w:rsidRPr="00073574" w:rsidRDefault="00F0236A" w:rsidP="007D7FE2">
            <w:pPr>
              <w:pStyle w:val="Tabletext"/>
              <w:keepNext/>
              <w:keepLines/>
              <w:jc w:val="center"/>
              <w:rPr>
                <w:b/>
                <w:bCs/>
                <w:sz w:val="24"/>
                <w:szCs w:val="24"/>
              </w:rPr>
            </w:pPr>
            <w:r w:rsidRPr="00073574">
              <w:rPr>
                <w:b/>
                <w:bCs/>
                <w:sz w:val="24"/>
                <w:szCs w:val="24"/>
              </w:rPr>
              <w:t>Ongoing</w:t>
            </w:r>
          </w:p>
        </w:tc>
        <w:tc>
          <w:tcPr>
            <w:tcW w:w="1143" w:type="dxa"/>
            <w:tcBorders>
              <w:top w:val="single" w:sz="12" w:space="0" w:color="auto"/>
              <w:bottom w:val="single" w:sz="4" w:space="0" w:color="auto"/>
            </w:tcBorders>
            <w:shd w:val="clear" w:color="auto" w:fill="auto"/>
            <w:vAlign w:val="center"/>
          </w:tcPr>
          <w:p w14:paraId="74662F81" w14:textId="7B8614BD" w:rsidR="00F0236A" w:rsidRPr="00073574" w:rsidRDefault="00EA2E0C" w:rsidP="007D7FE2">
            <w:pPr>
              <w:pStyle w:val="Tabletext"/>
              <w:keepNext/>
              <w:keepLines/>
              <w:jc w:val="center"/>
              <w:rPr>
                <w:b/>
                <w:bCs/>
                <w:sz w:val="24"/>
                <w:szCs w:val="24"/>
              </w:rPr>
            </w:pPr>
            <w:r w:rsidRPr="00073574">
              <w:rPr>
                <w:b/>
                <w:bCs/>
                <w:sz w:val="24"/>
                <w:szCs w:val="24"/>
              </w:rPr>
              <w:t>√</w:t>
            </w:r>
          </w:p>
        </w:tc>
        <w:tc>
          <w:tcPr>
            <w:tcW w:w="1336" w:type="dxa"/>
            <w:tcBorders>
              <w:top w:val="single" w:sz="12" w:space="0" w:color="auto"/>
              <w:bottom w:val="single" w:sz="4" w:space="0" w:color="auto"/>
            </w:tcBorders>
            <w:shd w:val="clear" w:color="auto" w:fill="auto"/>
            <w:vAlign w:val="center"/>
          </w:tcPr>
          <w:p w14:paraId="0F397003" w14:textId="77777777" w:rsidR="00F0236A" w:rsidRPr="00073574" w:rsidRDefault="00F0236A" w:rsidP="007D7FE2">
            <w:pPr>
              <w:pStyle w:val="Tabletext"/>
              <w:keepNext/>
              <w:keepLines/>
              <w:jc w:val="center"/>
              <w:rPr>
                <w:b/>
                <w:bCs/>
                <w:sz w:val="24"/>
                <w:szCs w:val="24"/>
              </w:rPr>
            </w:pPr>
          </w:p>
        </w:tc>
      </w:tr>
      <w:tr w:rsidR="00F0236A" w:rsidRPr="00073574" w14:paraId="0B9698E6" w14:textId="77777777" w:rsidTr="1EE68BAF">
        <w:trPr>
          <w:jc w:val="center"/>
        </w:trPr>
        <w:tc>
          <w:tcPr>
            <w:tcW w:w="1131" w:type="dxa"/>
            <w:vMerge/>
          </w:tcPr>
          <w:p w14:paraId="4E958780" w14:textId="77777777" w:rsidR="00F0236A" w:rsidRPr="00073574" w:rsidRDefault="00F0236A" w:rsidP="007D7FE2">
            <w:pPr>
              <w:pStyle w:val="Tabletext"/>
              <w:keepNext/>
              <w:keepLines/>
              <w:rPr>
                <w:sz w:val="24"/>
                <w:szCs w:val="24"/>
              </w:rPr>
            </w:pPr>
          </w:p>
        </w:tc>
        <w:tc>
          <w:tcPr>
            <w:tcW w:w="8801" w:type="dxa"/>
            <w:gridSpan w:val="4"/>
            <w:tcBorders>
              <w:top w:val="single" w:sz="4" w:space="0" w:color="auto"/>
              <w:bottom w:val="single" w:sz="12" w:space="0" w:color="auto"/>
            </w:tcBorders>
            <w:shd w:val="clear" w:color="auto" w:fill="auto"/>
          </w:tcPr>
          <w:p w14:paraId="4BA7E9EB" w14:textId="774A747A" w:rsidR="00F0236A" w:rsidRPr="00073574" w:rsidRDefault="00930DDF" w:rsidP="007D7FE2">
            <w:pPr>
              <w:pStyle w:val="Tabletext"/>
              <w:keepNext/>
              <w:keepLines/>
            </w:pPr>
            <w:r w:rsidRPr="00073574">
              <w:rPr>
                <w:szCs w:val="22"/>
              </w:rPr>
              <w:t xml:space="preserve">A joint ITU and NGMN workshop on </w:t>
            </w:r>
            <w:hyperlink r:id="rId807" w:history="1">
              <w:r w:rsidRPr="00073574">
                <w:rPr>
                  <w:rStyle w:val="Hyperlink"/>
                  <w:szCs w:val="22"/>
                </w:rPr>
                <w:t>Open Source and standards for 5G</w:t>
              </w:r>
            </w:hyperlink>
            <w:r w:rsidRPr="00073574">
              <w:rPr>
                <w:szCs w:val="22"/>
              </w:rPr>
              <w:t xml:space="preserve"> was organized in Seattle, WA, USA, 1 Nov. 2017.</w:t>
            </w:r>
            <w:r w:rsidR="000422DC" w:rsidRPr="00073574">
              <w:t xml:space="preserve"> More than 80 participants representing the open source community, SDOs and industry players, including the TSB Director, attended this workshop. Open source remains an important opportunity in the critical path for evolution of standards development, in order to maintain ITU-T relevance in the market place. The workshop discussed patent licensing issues in the context of "open source", the advantages of using running code to make the standardization process faster and more relevant, while IPR issues remain a concern when deploying open source code in commercial projects.</w:t>
            </w:r>
          </w:p>
          <w:p w14:paraId="597C2B51" w14:textId="3CE0E013" w:rsidR="00871DB7" w:rsidRPr="00073574" w:rsidRDefault="00871DB7" w:rsidP="007D7FE2">
            <w:pPr>
              <w:pStyle w:val="Tabletext"/>
              <w:keepNext/>
              <w:keepLines/>
              <w:rPr>
                <w:szCs w:val="22"/>
              </w:rPr>
            </w:pPr>
            <w:r w:rsidRPr="00073574">
              <w:t xml:space="preserve">SG13: </w:t>
            </w:r>
            <w:r w:rsidR="000D5149" w:rsidRPr="00073574">
              <w:t xml:space="preserve">see </w:t>
            </w:r>
            <w:r w:rsidRPr="00073574">
              <w:t>90-2</w:t>
            </w:r>
            <w:r w:rsidR="00925A7C" w:rsidRPr="00073574">
              <w:t>.</w:t>
            </w:r>
          </w:p>
        </w:tc>
      </w:tr>
      <w:tr w:rsidR="00F0236A" w:rsidRPr="00073574" w14:paraId="692DC3EF" w14:textId="77777777" w:rsidTr="1EE68BAF">
        <w:trPr>
          <w:jc w:val="center"/>
        </w:trPr>
        <w:tc>
          <w:tcPr>
            <w:tcW w:w="1131" w:type="dxa"/>
            <w:vMerge w:val="restart"/>
            <w:tcBorders>
              <w:top w:val="single" w:sz="12" w:space="0" w:color="auto"/>
            </w:tcBorders>
            <w:shd w:val="clear" w:color="auto" w:fill="auto"/>
          </w:tcPr>
          <w:p w14:paraId="2B745432" w14:textId="77777777" w:rsidR="00F0236A" w:rsidRPr="00073574" w:rsidRDefault="00F0236A" w:rsidP="00FB396D">
            <w:pPr>
              <w:pStyle w:val="Tabletext"/>
              <w:keepNext/>
              <w:keepLines/>
              <w:rPr>
                <w:b/>
                <w:bCs/>
                <w:sz w:val="24"/>
                <w:szCs w:val="24"/>
              </w:rPr>
            </w:pPr>
            <w:r w:rsidRPr="00073574">
              <w:rPr>
                <w:b/>
                <w:bCs/>
                <w:sz w:val="24"/>
                <w:szCs w:val="24"/>
              </w:rPr>
              <w:t>90-06</w:t>
            </w:r>
          </w:p>
        </w:tc>
        <w:tc>
          <w:tcPr>
            <w:tcW w:w="4986" w:type="dxa"/>
            <w:tcBorders>
              <w:top w:val="single" w:sz="12" w:space="0" w:color="auto"/>
              <w:bottom w:val="single" w:sz="4" w:space="0" w:color="auto"/>
            </w:tcBorders>
            <w:shd w:val="clear" w:color="auto" w:fill="auto"/>
          </w:tcPr>
          <w:p w14:paraId="28CED530" w14:textId="77777777" w:rsidR="00F0236A" w:rsidRPr="00073574" w:rsidRDefault="00F0236A" w:rsidP="004A0AE3">
            <w:pPr>
              <w:pStyle w:val="Tabletext"/>
              <w:rPr>
                <w:b/>
                <w:bCs/>
                <w:sz w:val="24"/>
                <w:szCs w:val="24"/>
              </w:rPr>
            </w:pPr>
            <w:r w:rsidRPr="00073574">
              <w:rPr>
                <w:b/>
                <w:bCs/>
                <w:sz w:val="24"/>
                <w:szCs w:val="24"/>
              </w:rPr>
              <w:t>TSB Director to submit a report to TSAG annually on progress achieved in implementing this resolution (i. TSBDir 2)</w:t>
            </w:r>
          </w:p>
        </w:tc>
        <w:tc>
          <w:tcPr>
            <w:tcW w:w="1336" w:type="dxa"/>
            <w:tcBorders>
              <w:top w:val="single" w:sz="12" w:space="0" w:color="auto"/>
              <w:bottom w:val="single" w:sz="4" w:space="0" w:color="auto"/>
            </w:tcBorders>
            <w:shd w:val="clear" w:color="auto" w:fill="auto"/>
            <w:vAlign w:val="center"/>
          </w:tcPr>
          <w:p w14:paraId="21D54FCE" w14:textId="77777777" w:rsidR="00F0236A" w:rsidRPr="00073574" w:rsidRDefault="00F0236A" w:rsidP="007C683D">
            <w:pPr>
              <w:pStyle w:val="Tabletext"/>
              <w:jc w:val="center"/>
              <w:rPr>
                <w:b/>
                <w:bCs/>
                <w:sz w:val="24"/>
                <w:szCs w:val="24"/>
              </w:rPr>
            </w:pPr>
            <w:r w:rsidRPr="00073574">
              <w:rPr>
                <w:b/>
                <w:bCs/>
                <w:sz w:val="24"/>
                <w:szCs w:val="24"/>
              </w:rPr>
              <w:t>TSAG meetings</w:t>
            </w:r>
          </w:p>
        </w:tc>
        <w:tc>
          <w:tcPr>
            <w:tcW w:w="1143" w:type="dxa"/>
            <w:tcBorders>
              <w:top w:val="single" w:sz="12" w:space="0" w:color="auto"/>
              <w:bottom w:val="single" w:sz="4" w:space="0" w:color="auto"/>
            </w:tcBorders>
            <w:shd w:val="clear" w:color="auto" w:fill="auto"/>
            <w:vAlign w:val="center"/>
          </w:tcPr>
          <w:p w14:paraId="0F63629D" w14:textId="77777777" w:rsidR="00F0236A" w:rsidRPr="00073574" w:rsidRDefault="00F0236A" w:rsidP="00D3798E">
            <w:pPr>
              <w:pStyle w:val="Tabletext"/>
              <w:jc w:val="center"/>
              <w:rPr>
                <w:b/>
                <w:bCs/>
                <w:sz w:val="24"/>
                <w:szCs w:val="24"/>
              </w:rPr>
            </w:pPr>
            <w:r w:rsidRPr="00073574">
              <w:rPr>
                <w:b/>
                <w:bCs/>
                <w:sz w:val="24"/>
                <w:szCs w:val="24"/>
              </w:rPr>
              <w:t>√</w:t>
            </w:r>
          </w:p>
        </w:tc>
        <w:tc>
          <w:tcPr>
            <w:tcW w:w="1336" w:type="dxa"/>
            <w:tcBorders>
              <w:top w:val="single" w:sz="12" w:space="0" w:color="auto"/>
              <w:bottom w:val="single" w:sz="4" w:space="0" w:color="auto"/>
            </w:tcBorders>
            <w:shd w:val="clear" w:color="auto" w:fill="auto"/>
            <w:vAlign w:val="center"/>
          </w:tcPr>
          <w:p w14:paraId="72CACD2A" w14:textId="77777777" w:rsidR="00F0236A" w:rsidRPr="00073574" w:rsidRDefault="00F0236A" w:rsidP="008F5505">
            <w:pPr>
              <w:pStyle w:val="Tabletext"/>
              <w:jc w:val="center"/>
              <w:rPr>
                <w:b/>
                <w:bCs/>
                <w:sz w:val="24"/>
                <w:szCs w:val="24"/>
              </w:rPr>
            </w:pPr>
          </w:p>
        </w:tc>
      </w:tr>
      <w:tr w:rsidR="00F0236A" w:rsidRPr="00073574" w14:paraId="03BA107D" w14:textId="77777777" w:rsidTr="1EE68BAF">
        <w:trPr>
          <w:jc w:val="center"/>
        </w:trPr>
        <w:tc>
          <w:tcPr>
            <w:tcW w:w="1131" w:type="dxa"/>
            <w:vMerge/>
          </w:tcPr>
          <w:p w14:paraId="1BC29572" w14:textId="77777777" w:rsidR="00F0236A" w:rsidRPr="00073574" w:rsidRDefault="00F0236A">
            <w:pPr>
              <w:pStyle w:val="Tabletext"/>
              <w:rPr>
                <w:sz w:val="24"/>
                <w:szCs w:val="24"/>
              </w:rPr>
            </w:pPr>
          </w:p>
        </w:tc>
        <w:tc>
          <w:tcPr>
            <w:tcW w:w="8801" w:type="dxa"/>
            <w:gridSpan w:val="4"/>
            <w:tcBorders>
              <w:top w:val="single" w:sz="4" w:space="0" w:color="auto"/>
              <w:bottom w:val="single" w:sz="12" w:space="0" w:color="auto"/>
            </w:tcBorders>
            <w:shd w:val="clear" w:color="auto" w:fill="auto"/>
          </w:tcPr>
          <w:p w14:paraId="12EC064A" w14:textId="77777777" w:rsidR="00F0236A" w:rsidRPr="00073574" w:rsidRDefault="00F0236A">
            <w:pPr>
              <w:pStyle w:val="Tabletext"/>
              <w:rPr>
                <w:szCs w:val="22"/>
              </w:rPr>
            </w:pPr>
            <w:r w:rsidRPr="00073574">
              <w:rPr>
                <w:szCs w:val="22"/>
              </w:rPr>
              <w:t>The progress in the implementation of Resolution 90 is reported in this document.</w:t>
            </w:r>
          </w:p>
        </w:tc>
      </w:tr>
      <w:tr w:rsidR="00F0236A" w:rsidRPr="00073574" w14:paraId="4AACBAF7" w14:textId="77777777" w:rsidTr="1EE68BAF">
        <w:trPr>
          <w:jc w:val="center"/>
        </w:trPr>
        <w:tc>
          <w:tcPr>
            <w:tcW w:w="1131" w:type="dxa"/>
            <w:vMerge w:val="restart"/>
            <w:tcBorders>
              <w:top w:val="single" w:sz="12" w:space="0" w:color="auto"/>
            </w:tcBorders>
            <w:shd w:val="clear" w:color="auto" w:fill="auto"/>
          </w:tcPr>
          <w:p w14:paraId="14174974" w14:textId="77777777" w:rsidR="00F0236A" w:rsidRPr="00073574" w:rsidRDefault="00F0236A" w:rsidP="00106D60">
            <w:pPr>
              <w:pStyle w:val="Tabletext"/>
              <w:rPr>
                <w:b/>
                <w:bCs/>
                <w:sz w:val="24"/>
                <w:szCs w:val="24"/>
              </w:rPr>
            </w:pPr>
            <w:r w:rsidRPr="00073574">
              <w:rPr>
                <w:b/>
                <w:bCs/>
                <w:sz w:val="24"/>
                <w:szCs w:val="24"/>
              </w:rPr>
              <w:lastRenderedPageBreak/>
              <w:t>90-07</w:t>
            </w:r>
          </w:p>
        </w:tc>
        <w:tc>
          <w:tcPr>
            <w:tcW w:w="4986" w:type="dxa"/>
            <w:tcBorders>
              <w:top w:val="single" w:sz="12" w:space="0" w:color="auto"/>
              <w:bottom w:val="single" w:sz="4" w:space="0" w:color="auto"/>
            </w:tcBorders>
            <w:shd w:val="clear" w:color="auto" w:fill="auto"/>
          </w:tcPr>
          <w:p w14:paraId="5C69A9E6" w14:textId="77777777" w:rsidR="00F0236A" w:rsidRPr="00073574" w:rsidRDefault="00F0236A" w:rsidP="004A0AE3">
            <w:pPr>
              <w:pStyle w:val="Tabletext"/>
              <w:rPr>
                <w:b/>
                <w:bCs/>
                <w:sz w:val="24"/>
                <w:szCs w:val="24"/>
              </w:rPr>
            </w:pPr>
            <w:r w:rsidRPr="00073574">
              <w:rPr>
                <w:b/>
                <w:bCs/>
                <w:sz w:val="24"/>
                <w:szCs w:val="24"/>
              </w:rPr>
              <w:t>TSB Director to invite the ITU Council Working Group on financial and human resources, to evaluate any potential financial implications for the Union of implementing this resolution.</w:t>
            </w:r>
          </w:p>
        </w:tc>
        <w:tc>
          <w:tcPr>
            <w:tcW w:w="1336" w:type="dxa"/>
            <w:tcBorders>
              <w:top w:val="single" w:sz="12" w:space="0" w:color="auto"/>
              <w:bottom w:val="single" w:sz="4" w:space="0" w:color="auto"/>
            </w:tcBorders>
            <w:shd w:val="clear" w:color="auto" w:fill="auto"/>
            <w:vAlign w:val="center"/>
          </w:tcPr>
          <w:p w14:paraId="5CA7D6B0" w14:textId="280CF38B" w:rsidR="00F0236A" w:rsidRPr="00073574" w:rsidRDefault="000366FF" w:rsidP="00C110BD">
            <w:pPr>
              <w:pStyle w:val="Tabletext"/>
              <w:jc w:val="center"/>
              <w:rPr>
                <w:b/>
                <w:bCs/>
                <w:sz w:val="24"/>
                <w:szCs w:val="24"/>
              </w:rPr>
            </w:pPr>
            <w:r w:rsidRPr="00073574">
              <w:rPr>
                <w:b/>
                <w:bCs/>
                <w:sz w:val="24"/>
                <w:szCs w:val="24"/>
              </w:rPr>
              <w:t>Council</w:t>
            </w:r>
          </w:p>
        </w:tc>
        <w:tc>
          <w:tcPr>
            <w:tcW w:w="1143" w:type="dxa"/>
            <w:tcBorders>
              <w:top w:val="single" w:sz="12" w:space="0" w:color="auto"/>
              <w:bottom w:val="single" w:sz="4" w:space="0" w:color="auto"/>
            </w:tcBorders>
            <w:shd w:val="clear" w:color="auto" w:fill="auto"/>
            <w:vAlign w:val="center"/>
          </w:tcPr>
          <w:p w14:paraId="2DE3FAA0" w14:textId="77777777" w:rsidR="00F0236A" w:rsidRPr="00073574" w:rsidRDefault="00F0236A" w:rsidP="00D3798E">
            <w:pPr>
              <w:pStyle w:val="Tabletext"/>
              <w:jc w:val="center"/>
              <w:rPr>
                <w:b/>
                <w:bCs/>
                <w:sz w:val="24"/>
                <w:szCs w:val="24"/>
              </w:rPr>
            </w:pPr>
          </w:p>
        </w:tc>
        <w:tc>
          <w:tcPr>
            <w:tcW w:w="1336" w:type="dxa"/>
            <w:tcBorders>
              <w:top w:val="single" w:sz="12" w:space="0" w:color="auto"/>
              <w:bottom w:val="single" w:sz="4" w:space="0" w:color="auto"/>
            </w:tcBorders>
            <w:shd w:val="clear" w:color="auto" w:fill="auto"/>
            <w:vAlign w:val="center"/>
          </w:tcPr>
          <w:p w14:paraId="1E129A0E" w14:textId="77777777" w:rsidR="00F0236A" w:rsidRPr="00073574" w:rsidRDefault="00F0236A" w:rsidP="008F5505">
            <w:pPr>
              <w:pStyle w:val="Tabletext"/>
              <w:jc w:val="center"/>
              <w:rPr>
                <w:b/>
                <w:bCs/>
                <w:sz w:val="24"/>
                <w:szCs w:val="24"/>
              </w:rPr>
            </w:pPr>
          </w:p>
        </w:tc>
      </w:tr>
      <w:tr w:rsidR="00F0236A" w:rsidRPr="00073574" w14:paraId="72CE6AAD" w14:textId="77777777" w:rsidTr="1EE68BAF">
        <w:trPr>
          <w:cantSplit/>
          <w:jc w:val="center"/>
        </w:trPr>
        <w:tc>
          <w:tcPr>
            <w:tcW w:w="1131" w:type="dxa"/>
            <w:vMerge/>
            <w:vAlign w:val="center"/>
          </w:tcPr>
          <w:p w14:paraId="5F8D7231" w14:textId="77777777" w:rsidR="00F0236A" w:rsidRPr="00073574" w:rsidRDefault="00F0236A">
            <w:pPr>
              <w:pStyle w:val="Tabletext"/>
              <w:rPr>
                <w:sz w:val="24"/>
                <w:szCs w:val="24"/>
              </w:rPr>
            </w:pPr>
          </w:p>
        </w:tc>
        <w:tc>
          <w:tcPr>
            <w:tcW w:w="8801" w:type="dxa"/>
            <w:gridSpan w:val="4"/>
            <w:tcBorders>
              <w:top w:val="single" w:sz="4" w:space="0" w:color="auto"/>
              <w:bottom w:val="single" w:sz="12" w:space="0" w:color="auto"/>
            </w:tcBorders>
            <w:shd w:val="clear" w:color="auto" w:fill="auto"/>
          </w:tcPr>
          <w:p w14:paraId="5062A12F" w14:textId="34920F6C" w:rsidR="00F0236A" w:rsidRPr="00073574" w:rsidRDefault="000366FF">
            <w:pPr>
              <w:pStyle w:val="Tabletext"/>
              <w:rPr>
                <w:szCs w:val="22"/>
              </w:rPr>
            </w:pPr>
            <w:r w:rsidRPr="00073574">
              <w:rPr>
                <w:szCs w:val="22"/>
              </w:rPr>
              <w:t>Nothing can be reported so far.</w:t>
            </w:r>
          </w:p>
        </w:tc>
      </w:tr>
    </w:tbl>
    <w:p w14:paraId="69F9D6A6" w14:textId="75B1688D" w:rsidR="1EE68BAF" w:rsidRPr="00073574" w:rsidRDefault="1EE68BAF">
      <w:bookmarkStart w:id="536" w:name="Item90_01"/>
      <w:bookmarkStart w:id="537" w:name="Item90_02"/>
      <w:bookmarkStart w:id="538" w:name="Item90_03"/>
      <w:bookmarkStart w:id="539" w:name="Item90_04"/>
      <w:bookmarkStart w:id="540" w:name="Item90_05"/>
      <w:bookmarkStart w:id="541" w:name="Item90_06"/>
      <w:bookmarkStart w:id="542" w:name="Item90_07"/>
      <w:bookmarkEnd w:id="536"/>
      <w:bookmarkEnd w:id="537"/>
      <w:bookmarkEnd w:id="538"/>
      <w:bookmarkEnd w:id="539"/>
      <w:bookmarkEnd w:id="540"/>
      <w:bookmarkEnd w:id="541"/>
      <w:bookmarkEnd w:id="542"/>
    </w:p>
    <w:p w14:paraId="73DF708C" w14:textId="77777777" w:rsidR="00F0236A" w:rsidRPr="00073574" w:rsidRDefault="0053741E" w:rsidP="00F0236A">
      <w:pPr>
        <w:rPr>
          <w:sz w:val="24"/>
        </w:rPr>
      </w:pPr>
      <w:hyperlink w:anchor="Top" w:history="1">
        <w:r w:rsidR="00F0236A" w:rsidRPr="00073574">
          <w:rPr>
            <w:rStyle w:val="Hyperlink"/>
            <w:rFonts w:eastAsia="Times New Roman"/>
            <w:sz w:val="24"/>
          </w:rPr>
          <w:t>» Top</w:t>
        </w:r>
      </w:hyperlink>
    </w:p>
    <w:p w14:paraId="5DED94E2" w14:textId="77777777" w:rsidR="00F0236A" w:rsidRPr="00073574" w:rsidRDefault="00F0236A" w:rsidP="00F0236A">
      <w:pPr>
        <w:pStyle w:val="Heading1"/>
        <w:rPr>
          <w:sz w:val="24"/>
          <w:szCs w:val="24"/>
          <w:lang w:val="en-GB"/>
        </w:rPr>
      </w:pPr>
      <w:bookmarkStart w:id="543" w:name="_Resolution_91_-"/>
      <w:bookmarkStart w:id="544" w:name="_Toc471715405"/>
      <w:bookmarkStart w:id="545" w:name="_Toc93425292"/>
      <w:bookmarkEnd w:id="543"/>
      <w:r w:rsidRPr="00073574">
        <w:rPr>
          <w:sz w:val="24"/>
          <w:szCs w:val="24"/>
          <w:lang w:val="en-GB"/>
        </w:rPr>
        <w:t>Resolution 91 - Enhancing access to an electronic repository of information on numbering plans published by the ITU Telecommunication Standardization Sector</w:t>
      </w:r>
      <w:bookmarkEnd w:id="544"/>
      <w:bookmarkEnd w:id="545"/>
    </w:p>
    <w:p w14:paraId="7E757CD6" w14:textId="77777777" w:rsidR="00F0236A" w:rsidRPr="00073574" w:rsidRDefault="00F0236A" w:rsidP="00F0236A">
      <w:pPr>
        <w:rPr>
          <w:b/>
          <w:bCs/>
          <w:sz w:val="24"/>
        </w:rPr>
      </w:pPr>
      <w:r w:rsidRPr="00073574">
        <w:rPr>
          <w:b/>
          <w:bCs/>
          <w:sz w:val="24"/>
        </w:rPr>
        <w:t>Resolution 91</w:t>
      </w:r>
    </w:p>
    <w:p w14:paraId="7C431CAB" w14:textId="77777777" w:rsidR="00F0236A" w:rsidRPr="00073574" w:rsidRDefault="00F0236A" w:rsidP="00F0236A">
      <w:pPr>
        <w:pStyle w:val="Call"/>
        <w:rPr>
          <w:sz w:val="24"/>
          <w:szCs w:val="24"/>
          <w:lang w:val="en-GB" w:eastAsia="en-AU"/>
        </w:rPr>
      </w:pPr>
      <w:r w:rsidRPr="00073574">
        <w:rPr>
          <w:sz w:val="24"/>
          <w:szCs w:val="24"/>
          <w:lang w:val="en-GB" w:eastAsia="en-AU"/>
        </w:rPr>
        <w:t>resolves to instruct Study Group 2 of the ITU Telecommunication Standardization Sector</w:t>
      </w:r>
    </w:p>
    <w:p w14:paraId="35AFC0EF" w14:textId="77777777" w:rsidR="00F0236A" w:rsidRPr="00073574" w:rsidRDefault="00F0236A" w:rsidP="00F0236A">
      <w:pPr>
        <w:spacing w:after="240"/>
        <w:rPr>
          <w:sz w:val="24"/>
        </w:rPr>
      </w:pPr>
      <w:r w:rsidRPr="00073574">
        <w:rPr>
          <w:sz w:val="24"/>
        </w:rPr>
        <w:t>to study this matter on the basis of contributions received and information from TSB and to organize the necessary work in order to determine the requirements for electronic access to a repository of numbering resources reserved, assigned or allocated to each operator/service provider (to the extent available) within every country, including presentation of E.164 national numbering plans on the basis of Recommendation ITU-T E.129, and international numbering resources assigned by the Director of TSB,</w:t>
      </w:r>
    </w:p>
    <w:p w14:paraId="3289718F" w14:textId="77777777" w:rsidR="00F0236A" w:rsidRPr="00073574" w:rsidRDefault="00F0236A" w:rsidP="00F0236A">
      <w:pPr>
        <w:pStyle w:val="Call"/>
        <w:rPr>
          <w:sz w:val="24"/>
          <w:szCs w:val="24"/>
          <w:lang w:val="en-GB" w:eastAsia="en-AU"/>
        </w:rPr>
      </w:pPr>
      <w:r w:rsidRPr="00073574">
        <w:rPr>
          <w:sz w:val="24"/>
          <w:szCs w:val="24"/>
          <w:lang w:val="en-GB" w:eastAsia="en-AU"/>
        </w:rPr>
        <w:t>instructs the Director of the Telecommunication Standardization Bureau</w:t>
      </w:r>
    </w:p>
    <w:p w14:paraId="5DD64188" w14:textId="77777777" w:rsidR="00F0236A" w:rsidRPr="00073574" w:rsidRDefault="00F0236A" w:rsidP="00F0236A">
      <w:pPr>
        <w:spacing w:after="240"/>
        <w:rPr>
          <w:sz w:val="24"/>
        </w:rPr>
      </w:pPr>
      <w:r w:rsidRPr="00073574">
        <w:rPr>
          <w:sz w:val="24"/>
        </w:rPr>
        <w:t>1</w:t>
      </w:r>
      <w:r w:rsidRPr="00073574">
        <w:rPr>
          <w:sz w:val="24"/>
        </w:rPr>
        <w:tab/>
        <w:t>to provide the necessary assistance for the ITU members by providing details of existing information resources relating to the presentation of national numbering plans and international numbering resources;</w:t>
      </w:r>
    </w:p>
    <w:p w14:paraId="7F9CDC4A" w14:textId="77777777" w:rsidR="00F0236A" w:rsidRPr="00073574" w:rsidRDefault="00F0236A" w:rsidP="00F0236A">
      <w:pPr>
        <w:spacing w:after="240"/>
        <w:rPr>
          <w:sz w:val="24"/>
        </w:rPr>
      </w:pPr>
      <w:r w:rsidRPr="00073574">
        <w:rPr>
          <w:sz w:val="24"/>
        </w:rPr>
        <w:t>2</w:t>
      </w:r>
      <w:r w:rsidRPr="00073574">
        <w:rPr>
          <w:sz w:val="24"/>
        </w:rPr>
        <w:tab/>
        <w:t>based on the results of the above-mentioned Study Group 2 studies, to organize and maintain such an electronic repository as described above, within the allocated budget,</w:t>
      </w:r>
    </w:p>
    <w:p w14:paraId="3FBBF393" w14:textId="77777777" w:rsidR="00F0236A" w:rsidRPr="00073574" w:rsidRDefault="00F0236A" w:rsidP="00F0236A">
      <w:pPr>
        <w:pStyle w:val="Call"/>
        <w:rPr>
          <w:sz w:val="24"/>
          <w:szCs w:val="24"/>
          <w:lang w:val="en-GB" w:eastAsia="en-AU"/>
        </w:rPr>
      </w:pPr>
      <w:r w:rsidRPr="00073574">
        <w:rPr>
          <w:sz w:val="24"/>
          <w:szCs w:val="24"/>
          <w:lang w:val="en-GB" w:eastAsia="en-AU"/>
        </w:rPr>
        <w:t>invites Member States, Sector Members, Associates and academia</w:t>
      </w:r>
    </w:p>
    <w:p w14:paraId="287C2F70" w14:textId="77777777" w:rsidR="00F0236A" w:rsidRPr="00073574" w:rsidRDefault="00F0236A" w:rsidP="00F0236A">
      <w:pPr>
        <w:spacing w:after="240"/>
        <w:rPr>
          <w:sz w:val="24"/>
        </w:rPr>
      </w:pPr>
      <w:r w:rsidRPr="00073574">
        <w:rPr>
          <w:sz w:val="24"/>
        </w:rPr>
        <w:t>to submit, to meetings of Study Group 2 and the Telecommunication Standardization Advisory Group, contributions with a view to the organization of such an electronic repository,</w:t>
      </w:r>
    </w:p>
    <w:p w14:paraId="3F3497C8" w14:textId="77777777" w:rsidR="00F0236A" w:rsidRPr="00073574" w:rsidRDefault="00F0236A" w:rsidP="00F0236A">
      <w:pPr>
        <w:pStyle w:val="Call"/>
        <w:rPr>
          <w:sz w:val="24"/>
          <w:szCs w:val="24"/>
          <w:lang w:val="en-GB" w:eastAsia="en-AU"/>
        </w:rPr>
      </w:pPr>
      <w:r w:rsidRPr="00073574">
        <w:rPr>
          <w:sz w:val="24"/>
          <w:szCs w:val="24"/>
          <w:lang w:val="en-GB" w:eastAsia="en-AU"/>
        </w:rPr>
        <w:t>invites Member States</w:t>
      </w:r>
    </w:p>
    <w:p w14:paraId="5FAFA10E" w14:textId="77777777" w:rsidR="00F0236A" w:rsidRPr="00073574" w:rsidRDefault="00F0236A" w:rsidP="00F0236A">
      <w:pPr>
        <w:spacing w:after="240"/>
        <w:rPr>
          <w:sz w:val="24"/>
        </w:rPr>
      </w:pPr>
      <w:r w:rsidRPr="00073574">
        <w:rPr>
          <w:sz w:val="24"/>
        </w:rPr>
        <w:t>pursuant to the relevant ITU-T Recommendations, to make available information on the presentation of their national numbering plans and amendments thereto in a timely manner, so as to ensure that the electronic repository remains up to date.</w:t>
      </w:r>
    </w:p>
    <w:tbl>
      <w:tblPr>
        <w:tblW w:w="99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32"/>
        <w:gridCol w:w="4985"/>
        <w:gridCol w:w="1336"/>
        <w:gridCol w:w="1143"/>
        <w:gridCol w:w="1336"/>
      </w:tblGrid>
      <w:tr w:rsidR="00F0236A" w:rsidRPr="00073574" w14:paraId="4BC4E049" w14:textId="77777777" w:rsidTr="007D7FE2">
        <w:trPr>
          <w:tblHeader/>
          <w:jc w:val="center"/>
        </w:trPr>
        <w:tc>
          <w:tcPr>
            <w:tcW w:w="1132" w:type="dxa"/>
            <w:tcBorders>
              <w:top w:val="single" w:sz="12" w:space="0" w:color="auto"/>
              <w:bottom w:val="single" w:sz="12" w:space="0" w:color="auto"/>
            </w:tcBorders>
            <w:shd w:val="clear" w:color="auto" w:fill="auto"/>
            <w:vAlign w:val="center"/>
          </w:tcPr>
          <w:p w14:paraId="6FC28846" w14:textId="77777777" w:rsidR="00F0236A" w:rsidRPr="00073574" w:rsidRDefault="00F0236A" w:rsidP="007D7FE2">
            <w:pPr>
              <w:pStyle w:val="Tablehead"/>
              <w:keepNext w:val="0"/>
              <w:rPr>
                <w:sz w:val="24"/>
                <w:szCs w:val="24"/>
              </w:rPr>
            </w:pPr>
            <w:r w:rsidRPr="00073574">
              <w:rPr>
                <w:sz w:val="24"/>
                <w:szCs w:val="24"/>
              </w:rPr>
              <w:lastRenderedPageBreak/>
              <w:t>Action Item</w:t>
            </w:r>
          </w:p>
        </w:tc>
        <w:tc>
          <w:tcPr>
            <w:tcW w:w="4985" w:type="dxa"/>
            <w:tcBorders>
              <w:top w:val="single" w:sz="12" w:space="0" w:color="auto"/>
              <w:bottom w:val="single" w:sz="12" w:space="0" w:color="auto"/>
            </w:tcBorders>
            <w:shd w:val="clear" w:color="auto" w:fill="auto"/>
            <w:vAlign w:val="center"/>
            <w:hideMark/>
          </w:tcPr>
          <w:p w14:paraId="14F2DEBE" w14:textId="77777777" w:rsidR="00F0236A" w:rsidRPr="00073574" w:rsidRDefault="00F0236A" w:rsidP="00DF36E1">
            <w:pPr>
              <w:pStyle w:val="Tablehead"/>
              <w:rPr>
                <w:sz w:val="24"/>
                <w:szCs w:val="24"/>
              </w:rPr>
            </w:pPr>
            <w:r w:rsidRPr="00073574">
              <w:rPr>
                <w:sz w:val="24"/>
                <w:szCs w:val="24"/>
              </w:rPr>
              <w:t>Action</w:t>
            </w:r>
          </w:p>
        </w:tc>
        <w:tc>
          <w:tcPr>
            <w:tcW w:w="1336" w:type="dxa"/>
            <w:tcBorders>
              <w:top w:val="single" w:sz="12" w:space="0" w:color="auto"/>
              <w:bottom w:val="single" w:sz="12" w:space="0" w:color="auto"/>
            </w:tcBorders>
            <w:shd w:val="clear" w:color="auto" w:fill="auto"/>
            <w:vAlign w:val="center"/>
            <w:hideMark/>
          </w:tcPr>
          <w:p w14:paraId="4457D57F" w14:textId="77777777" w:rsidR="00F0236A" w:rsidRPr="00073574" w:rsidRDefault="00F0236A" w:rsidP="00DF36E1">
            <w:pPr>
              <w:pStyle w:val="Tablehead"/>
              <w:rPr>
                <w:sz w:val="24"/>
                <w:szCs w:val="24"/>
              </w:rPr>
            </w:pPr>
            <w:r w:rsidRPr="00073574">
              <w:rPr>
                <w:sz w:val="24"/>
                <w:szCs w:val="24"/>
              </w:rPr>
              <w:t>Milestone</w:t>
            </w:r>
          </w:p>
        </w:tc>
        <w:tc>
          <w:tcPr>
            <w:tcW w:w="1143" w:type="dxa"/>
            <w:tcBorders>
              <w:top w:val="single" w:sz="12" w:space="0" w:color="auto"/>
              <w:bottom w:val="single" w:sz="12" w:space="0" w:color="auto"/>
            </w:tcBorders>
            <w:shd w:val="clear" w:color="auto" w:fill="auto"/>
          </w:tcPr>
          <w:p w14:paraId="78A644FF" w14:textId="77777777" w:rsidR="00F0236A" w:rsidRPr="00073574" w:rsidRDefault="00F0236A" w:rsidP="00DF36E1">
            <w:pPr>
              <w:pStyle w:val="Tablehead"/>
              <w:rPr>
                <w:sz w:val="24"/>
                <w:szCs w:val="24"/>
              </w:rPr>
            </w:pPr>
            <w:r w:rsidRPr="00073574">
              <w:rPr>
                <w:sz w:val="24"/>
                <w:szCs w:val="24"/>
              </w:rPr>
              <w:t>Periodic goals met</w:t>
            </w:r>
          </w:p>
        </w:tc>
        <w:tc>
          <w:tcPr>
            <w:tcW w:w="1336" w:type="dxa"/>
            <w:tcBorders>
              <w:top w:val="single" w:sz="12" w:space="0" w:color="auto"/>
              <w:bottom w:val="single" w:sz="12" w:space="0" w:color="auto"/>
            </w:tcBorders>
            <w:shd w:val="clear" w:color="auto" w:fill="auto"/>
            <w:vAlign w:val="center"/>
          </w:tcPr>
          <w:p w14:paraId="1DB1DF01" w14:textId="77777777" w:rsidR="00F0236A" w:rsidRPr="00073574" w:rsidRDefault="00F0236A" w:rsidP="00DF36E1">
            <w:pPr>
              <w:pStyle w:val="Tablehead"/>
              <w:rPr>
                <w:sz w:val="24"/>
                <w:szCs w:val="24"/>
              </w:rPr>
            </w:pPr>
            <w:r w:rsidRPr="00073574">
              <w:rPr>
                <w:sz w:val="24"/>
                <w:szCs w:val="24"/>
              </w:rPr>
              <w:t>Completed</w:t>
            </w:r>
          </w:p>
        </w:tc>
      </w:tr>
      <w:tr w:rsidR="00F0236A" w:rsidRPr="00073574" w14:paraId="0F75A422" w14:textId="77777777" w:rsidTr="00D2309A">
        <w:trPr>
          <w:jc w:val="center"/>
        </w:trPr>
        <w:tc>
          <w:tcPr>
            <w:tcW w:w="1132" w:type="dxa"/>
            <w:vMerge w:val="restart"/>
            <w:tcBorders>
              <w:top w:val="single" w:sz="12" w:space="0" w:color="auto"/>
            </w:tcBorders>
            <w:shd w:val="clear" w:color="auto" w:fill="auto"/>
          </w:tcPr>
          <w:p w14:paraId="5ADD2FD4" w14:textId="77777777" w:rsidR="00F0236A" w:rsidRPr="00073574" w:rsidRDefault="00F0236A" w:rsidP="00DF36E1">
            <w:pPr>
              <w:pStyle w:val="Tabletext"/>
              <w:rPr>
                <w:b/>
                <w:bCs/>
                <w:sz w:val="24"/>
                <w:szCs w:val="24"/>
              </w:rPr>
            </w:pPr>
            <w:r w:rsidRPr="00073574">
              <w:rPr>
                <w:b/>
                <w:bCs/>
                <w:sz w:val="24"/>
                <w:szCs w:val="24"/>
              </w:rPr>
              <w:t>91-01</w:t>
            </w:r>
          </w:p>
        </w:tc>
        <w:tc>
          <w:tcPr>
            <w:tcW w:w="4985" w:type="dxa"/>
            <w:tcBorders>
              <w:top w:val="single" w:sz="12" w:space="0" w:color="auto"/>
              <w:bottom w:val="single" w:sz="4" w:space="0" w:color="auto"/>
            </w:tcBorders>
            <w:shd w:val="clear" w:color="auto" w:fill="auto"/>
          </w:tcPr>
          <w:p w14:paraId="7280B3A6" w14:textId="77777777" w:rsidR="00F0236A" w:rsidRPr="00073574" w:rsidRDefault="00F0236A" w:rsidP="002E42AB">
            <w:pPr>
              <w:pStyle w:val="Tabletext"/>
              <w:keepNext/>
              <w:keepLines/>
              <w:widowControl w:val="0"/>
              <w:rPr>
                <w:b/>
                <w:bCs/>
                <w:sz w:val="24"/>
                <w:szCs w:val="24"/>
              </w:rPr>
            </w:pPr>
            <w:r w:rsidRPr="00073574">
              <w:rPr>
                <w:b/>
                <w:bCs/>
                <w:sz w:val="24"/>
                <w:szCs w:val="24"/>
              </w:rPr>
              <w:t>ITU-T SG2 to study the matter of enhancing access to an electronic repository of information on numbering plans on the basis of contributions received and information from TSB and to organize the necessary work in order to determine the requirements for electronic access to a repository of numbering resources reserved, assigned or allocated to each operator/service provider (to the extent available) within every country, including presentation of E.164 national numbering plans on the basis of Recommendation ITU-T E.129, and international numbering resources assigned by the Director of TSB (resolves SG2)</w:t>
            </w:r>
          </w:p>
        </w:tc>
        <w:tc>
          <w:tcPr>
            <w:tcW w:w="1336" w:type="dxa"/>
            <w:tcBorders>
              <w:top w:val="single" w:sz="12" w:space="0" w:color="auto"/>
              <w:bottom w:val="single" w:sz="4" w:space="0" w:color="auto"/>
            </w:tcBorders>
            <w:shd w:val="clear" w:color="auto" w:fill="auto"/>
            <w:vAlign w:val="center"/>
          </w:tcPr>
          <w:p w14:paraId="4E78ED20"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43" w:type="dxa"/>
            <w:tcBorders>
              <w:top w:val="single" w:sz="12" w:space="0" w:color="auto"/>
              <w:bottom w:val="single" w:sz="4" w:space="0" w:color="auto"/>
            </w:tcBorders>
            <w:shd w:val="clear" w:color="auto" w:fill="auto"/>
            <w:vAlign w:val="center"/>
          </w:tcPr>
          <w:p w14:paraId="102DCE5A"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bottom w:val="single" w:sz="4" w:space="0" w:color="auto"/>
            </w:tcBorders>
            <w:shd w:val="clear" w:color="auto" w:fill="auto"/>
            <w:vAlign w:val="center"/>
          </w:tcPr>
          <w:p w14:paraId="4852117C" w14:textId="77777777" w:rsidR="00F0236A" w:rsidRPr="00073574" w:rsidRDefault="00F0236A" w:rsidP="00DF36E1">
            <w:pPr>
              <w:pStyle w:val="Tabletext"/>
              <w:jc w:val="center"/>
              <w:rPr>
                <w:b/>
                <w:bCs/>
                <w:sz w:val="24"/>
                <w:szCs w:val="24"/>
              </w:rPr>
            </w:pPr>
          </w:p>
        </w:tc>
      </w:tr>
      <w:tr w:rsidR="00F0236A" w:rsidRPr="00073574" w14:paraId="10261557" w14:textId="77777777" w:rsidTr="00D2309A">
        <w:trPr>
          <w:jc w:val="center"/>
        </w:trPr>
        <w:tc>
          <w:tcPr>
            <w:tcW w:w="1132" w:type="dxa"/>
            <w:vMerge/>
            <w:tcBorders>
              <w:bottom w:val="single" w:sz="12" w:space="0" w:color="auto"/>
            </w:tcBorders>
            <w:shd w:val="clear" w:color="auto" w:fill="auto"/>
          </w:tcPr>
          <w:p w14:paraId="2F2656EA" w14:textId="77777777" w:rsidR="00F0236A" w:rsidRPr="00073574" w:rsidRDefault="00F0236A" w:rsidP="00DF36E1">
            <w:pPr>
              <w:pStyle w:val="Tabletext"/>
              <w:rPr>
                <w:sz w:val="24"/>
                <w:szCs w:val="24"/>
              </w:rPr>
            </w:pPr>
          </w:p>
        </w:tc>
        <w:tc>
          <w:tcPr>
            <w:tcW w:w="8800" w:type="dxa"/>
            <w:gridSpan w:val="4"/>
            <w:tcBorders>
              <w:top w:val="single" w:sz="4" w:space="0" w:color="auto"/>
              <w:bottom w:val="single" w:sz="12" w:space="0" w:color="auto"/>
            </w:tcBorders>
            <w:shd w:val="clear" w:color="auto" w:fill="auto"/>
          </w:tcPr>
          <w:p w14:paraId="77454FC5" w14:textId="77777777" w:rsidR="00F0236A" w:rsidRPr="00073574" w:rsidRDefault="00F0236A" w:rsidP="00DF36E1">
            <w:pPr>
              <w:pStyle w:val="Tabletext"/>
              <w:rPr>
                <w:szCs w:val="22"/>
              </w:rPr>
            </w:pPr>
            <w:r w:rsidRPr="00073574">
              <w:rPr>
                <w:szCs w:val="22"/>
              </w:rPr>
              <w:t xml:space="preserve">In the SG2 meeting of </w:t>
            </w:r>
            <w:r w:rsidR="00A27548" w:rsidRPr="00073574">
              <w:rPr>
                <w:szCs w:val="22"/>
              </w:rPr>
              <w:t>29 March to 7 April 2017, SG2-C</w:t>
            </w:r>
            <w:r w:rsidRPr="00073574">
              <w:rPr>
                <w:szCs w:val="22"/>
              </w:rPr>
              <w:t xml:space="preserve">23 (OJSC </w:t>
            </w:r>
            <w:r w:rsidR="003C7E25" w:rsidRPr="00073574">
              <w:rPr>
                <w:szCs w:val="22"/>
              </w:rPr>
              <w:t>'</w:t>
            </w:r>
            <w:r w:rsidRPr="00073574">
              <w:rPr>
                <w:szCs w:val="22"/>
              </w:rPr>
              <w:t>Multiregional TransitTelecom</w:t>
            </w:r>
            <w:r w:rsidR="003C7E25" w:rsidRPr="00073574">
              <w:rPr>
                <w:szCs w:val="22"/>
              </w:rPr>
              <w:t>'</w:t>
            </w:r>
            <w:r w:rsidRPr="00073574">
              <w:rPr>
                <w:szCs w:val="22"/>
              </w:rPr>
              <w:t xml:space="preserve">, PJSC </w:t>
            </w:r>
            <w:r w:rsidR="003C7E25" w:rsidRPr="00073574">
              <w:rPr>
                <w:szCs w:val="22"/>
              </w:rPr>
              <w:t>"</w:t>
            </w:r>
            <w:r w:rsidRPr="00073574">
              <w:rPr>
                <w:szCs w:val="22"/>
              </w:rPr>
              <w:t>Rostelecom</w:t>
            </w:r>
            <w:r w:rsidR="003C7E25" w:rsidRPr="00073574">
              <w:rPr>
                <w:szCs w:val="22"/>
              </w:rPr>
              <w:t>"</w:t>
            </w:r>
            <w:r w:rsidRPr="00073574">
              <w:rPr>
                <w:szCs w:val="22"/>
              </w:rPr>
              <w:t>) proposes a way to Enhancing access to an electronic repository of information on numbering plans published by the ITU Telecommunication Standardization Sector.</w:t>
            </w:r>
          </w:p>
          <w:p w14:paraId="6CE10913" w14:textId="390EAB15" w:rsidR="00AD0210" w:rsidRPr="00073574" w:rsidRDefault="00AD0210" w:rsidP="00DF36E1">
            <w:pPr>
              <w:pStyle w:val="Tabletext"/>
              <w:rPr>
                <w:szCs w:val="22"/>
              </w:rPr>
            </w:pPr>
            <w:r w:rsidRPr="00073574">
              <w:rPr>
                <w:szCs w:val="22"/>
              </w:rPr>
              <w:t>SG2 started work on a new Technical Report TR.G4Dir "Guidance for the Director TSB on the requirements for electronic access to a repository of numbering resources".</w:t>
            </w:r>
          </w:p>
        </w:tc>
      </w:tr>
      <w:tr w:rsidR="00F0236A" w:rsidRPr="00073574" w14:paraId="30599CB3" w14:textId="77777777" w:rsidTr="00366BA3">
        <w:trPr>
          <w:jc w:val="center"/>
        </w:trPr>
        <w:tc>
          <w:tcPr>
            <w:tcW w:w="1132" w:type="dxa"/>
            <w:vMerge w:val="restart"/>
            <w:tcBorders>
              <w:top w:val="single" w:sz="12" w:space="0" w:color="auto"/>
            </w:tcBorders>
            <w:shd w:val="clear" w:color="auto" w:fill="auto"/>
          </w:tcPr>
          <w:p w14:paraId="200D72C4" w14:textId="77777777" w:rsidR="00F0236A" w:rsidRPr="00073574" w:rsidRDefault="00F0236A" w:rsidP="00CB4F95">
            <w:pPr>
              <w:pStyle w:val="Tabletext"/>
              <w:keepNext/>
              <w:keepLines/>
              <w:rPr>
                <w:b/>
                <w:bCs/>
                <w:sz w:val="24"/>
                <w:szCs w:val="24"/>
              </w:rPr>
            </w:pPr>
            <w:r w:rsidRPr="00073574">
              <w:rPr>
                <w:b/>
                <w:bCs/>
                <w:sz w:val="24"/>
                <w:szCs w:val="24"/>
              </w:rPr>
              <w:t>91-02</w:t>
            </w:r>
          </w:p>
        </w:tc>
        <w:tc>
          <w:tcPr>
            <w:tcW w:w="4985" w:type="dxa"/>
            <w:tcBorders>
              <w:top w:val="single" w:sz="12" w:space="0" w:color="auto"/>
              <w:bottom w:val="single" w:sz="4" w:space="0" w:color="auto"/>
            </w:tcBorders>
            <w:shd w:val="clear" w:color="auto" w:fill="auto"/>
          </w:tcPr>
          <w:p w14:paraId="3EF8799B" w14:textId="77777777" w:rsidR="00F0236A" w:rsidRPr="00073574" w:rsidRDefault="00F0236A" w:rsidP="00DF36E1">
            <w:pPr>
              <w:pStyle w:val="Tabletext"/>
              <w:rPr>
                <w:b/>
                <w:bCs/>
                <w:sz w:val="24"/>
                <w:szCs w:val="24"/>
              </w:rPr>
            </w:pPr>
            <w:r w:rsidRPr="00073574">
              <w:rPr>
                <w:b/>
                <w:bCs/>
                <w:sz w:val="24"/>
                <w:szCs w:val="24"/>
              </w:rPr>
              <w:t>TSB Director to provide the necessary assistance for the ITU members by providing details of existing information resources relating to the presentation of national numbering plans and international numbering resources (i. TSBDir 1)</w:t>
            </w:r>
          </w:p>
        </w:tc>
        <w:tc>
          <w:tcPr>
            <w:tcW w:w="1336" w:type="dxa"/>
            <w:tcBorders>
              <w:top w:val="single" w:sz="12" w:space="0" w:color="auto"/>
              <w:bottom w:val="single" w:sz="4" w:space="0" w:color="auto"/>
            </w:tcBorders>
            <w:shd w:val="clear" w:color="auto" w:fill="auto"/>
            <w:vAlign w:val="center"/>
          </w:tcPr>
          <w:p w14:paraId="5D5E162F"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43" w:type="dxa"/>
            <w:tcBorders>
              <w:top w:val="single" w:sz="12" w:space="0" w:color="auto"/>
              <w:bottom w:val="single" w:sz="4" w:space="0" w:color="auto"/>
            </w:tcBorders>
            <w:shd w:val="clear" w:color="auto" w:fill="auto"/>
            <w:vAlign w:val="center"/>
          </w:tcPr>
          <w:p w14:paraId="7D85F1F8"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bottom w:val="single" w:sz="4" w:space="0" w:color="auto"/>
            </w:tcBorders>
            <w:shd w:val="clear" w:color="auto" w:fill="auto"/>
            <w:vAlign w:val="center"/>
          </w:tcPr>
          <w:p w14:paraId="16A0C2B0" w14:textId="77777777" w:rsidR="00F0236A" w:rsidRPr="00073574" w:rsidRDefault="00F0236A" w:rsidP="00DF36E1">
            <w:pPr>
              <w:pStyle w:val="Tabletext"/>
              <w:jc w:val="center"/>
              <w:rPr>
                <w:b/>
                <w:bCs/>
                <w:sz w:val="24"/>
                <w:szCs w:val="24"/>
              </w:rPr>
            </w:pPr>
          </w:p>
        </w:tc>
      </w:tr>
      <w:tr w:rsidR="00F0236A" w:rsidRPr="00073574" w14:paraId="6595B81C" w14:textId="77777777" w:rsidTr="00366BA3">
        <w:trPr>
          <w:jc w:val="center"/>
        </w:trPr>
        <w:tc>
          <w:tcPr>
            <w:tcW w:w="1132" w:type="dxa"/>
            <w:vMerge/>
            <w:tcBorders>
              <w:bottom w:val="single" w:sz="12" w:space="0" w:color="auto"/>
            </w:tcBorders>
            <w:shd w:val="clear" w:color="auto" w:fill="auto"/>
          </w:tcPr>
          <w:p w14:paraId="78DD52CB" w14:textId="77777777" w:rsidR="00F0236A" w:rsidRPr="00073574" w:rsidRDefault="00F0236A" w:rsidP="00DF36E1">
            <w:pPr>
              <w:pStyle w:val="Tabletext"/>
              <w:rPr>
                <w:sz w:val="24"/>
                <w:szCs w:val="24"/>
              </w:rPr>
            </w:pPr>
          </w:p>
        </w:tc>
        <w:tc>
          <w:tcPr>
            <w:tcW w:w="8800" w:type="dxa"/>
            <w:gridSpan w:val="4"/>
            <w:tcBorders>
              <w:top w:val="single" w:sz="4" w:space="0" w:color="auto"/>
              <w:bottom w:val="single" w:sz="12" w:space="0" w:color="auto"/>
            </w:tcBorders>
            <w:shd w:val="clear" w:color="auto" w:fill="auto"/>
          </w:tcPr>
          <w:p w14:paraId="3F1C40EA" w14:textId="77777777" w:rsidR="00F0236A" w:rsidRPr="00073574" w:rsidRDefault="00F0236A">
            <w:pPr>
              <w:pStyle w:val="Tabletext"/>
              <w:rPr>
                <w:szCs w:val="22"/>
              </w:rPr>
            </w:pPr>
            <w:r w:rsidRPr="00073574">
              <w:rPr>
                <w:szCs w:val="22"/>
              </w:rPr>
              <w:t>In the SG2 meeting of 29 March to 7 April 2017, TSB introduced the status of the on-going work and provided a draft version of XML Schema Definition (XSD) for National Numbering Plans presentation (</w:t>
            </w:r>
            <w:r w:rsidR="000422DC" w:rsidRPr="00073574">
              <w:rPr>
                <w:szCs w:val="22"/>
              </w:rPr>
              <w:t>SG2-</w:t>
            </w:r>
            <w:r w:rsidR="00112C75" w:rsidRPr="00073574">
              <w:rPr>
                <w:szCs w:val="22"/>
              </w:rPr>
              <w:t>TD</w:t>
            </w:r>
            <w:r w:rsidRPr="00073574">
              <w:rPr>
                <w:szCs w:val="22"/>
              </w:rPr>
              <w:t>143</w:t>
            </w:r>
            <w:r w:rsidR="000422DC" w:rsidRPr="00073574">
              <w:rPr>
                <w:szCs w:val="22"/>
              </w:rPr>
              <w:t>/</w:t>
            </w:r>
            <w:r w:rsidRPr="00073574">
              <w:rPr>
                <w:szCs w:val="22"/>
              </w:rPr>
              <w:t>GEN). The meeting requested that a similar update be provided at the next meeting.</w:t>
            </w:r>
          </w:p>
          <w:p w14:paraId="5F2B9633" w14:textId="48A7E2B8" w:rsidR="00113C56" w:rsidRPr="00073574" w:rsidRDefault="0012670A" w:rsidP="0060133A">
            <w:pPr>
              <w:pStyle w:val="Tabletext"/>
              <w:spacing w:before="120"/>
              <w:rPr>
                <w:szCs w:val="22"/>
              </w:rPr>
            </w:pPr>
            <w:r w:rsidRPr="00073574">
              <w:rPr>
                <w:szCs w:val="22"/>
              </w:rPr>
              <w:t>TSB provided an update accordingly in the SG2 meeting of 27 November to 1 December 2017 (SG2-TD233-R1/GEN), the meetings of SG2RG-AFR and SG2RG-ARB in April 2018, the SG2 meeting of 4 to 13 July 2018 (SG2-TD419/GEN), the meetings of SG2RG-AFR and SG2RG-ARB in December 2018 and the SG2 meeting of 20 to 28 February 2019 (SG2-TD631-R1).</w:t>
            </w:r>
          </w:p>
          <w:p w14:paraId="5DBE38CB" w14:textId="332F529F" w:rsidR="0021181D" w:rsidRPr="00073574" w:rsidRDefault="0021181D" w:rsidP="0060133A">
            <w:pPr>
              <w:pStyle w:val="Tabletext"/>
              <w:spacing w:before="120"/>
              <w:rPr>
                <w:szCs w:val="22"/>
              </w:rPr>
            </w:pPr>
            <w:r w:rsidRPr="00073574">
              <w:rPr>
                <w:szCs w:val="22"/>
              </w:rPr>
              <w:t xml:space="preserve">SG2 </w:t>
            </w:r>
            <w:r w:rsidR="00DC3E77" w:rsidRPr="00073574">
              <w:rPr>
                <w:szCs w:val="22"/>
              </w:rPr>
              <w:t>developed</w:t>
            </w:r>
            <w:r w:rsidRPr="00073574">
              <w:rPr>
                <w:szCs w:val="22"/>
              </w:rPr>
              <w:t xml:space="preserve"> a draft technical report TR.EENM “Guidelines for effective and efficient national numbering resources administration”</w:t>
            </w:r>
            <w:r w:rsidR="001D7EFC" w:rsidRPr="00073574">
              <w:rPr>
                <w:szCs w:val="22"/>
              </w:rPr>
              <w:t xml:space="preserve">, which </w:t>
            </w:r>
            <w:r w:rsidR="001859BA" w:rsidRPr="00073574">
              <w:rPr>
                <w:szCs w:val="22"/>
              </w:rPr>
              <w:t xml:space="preserve">was agreed </w:t>
            </w:r>
            <w:r w:rsidR="0085562F" w:rsidRPr="00073574">
              <w:rPr>
                <w:szCs w:val="22"/>
              </w:rPr>
              <w:t>at</w:t>
            </w:r>
            <w:r w:rsidR="001D7EFC" w:rsidRPr="00073574">
              <w:rPr>
                <w:szCs w:val="22"/>
              </w:rPr>
              <w:t xml:space="preserve"> the </w:t>
            </w:r>
            <w:r w:rsidR="001859BA" w:rsidRPr="00073574">
              <w:rPr>
                <w:szCs w:val="22"/>
              </w:rPr>
              <w:t xml:space="preserve">June </w:t>
            </w:r>
            <w:r w:rsidR="001D7EFC" w:rsidRPr="00073574">
              <w:rPr>
                <w:szCs w:val="22"/>
              </w:rPr>
              <w:t>202</w:t>
            </w:r>
            <w:r w:rsidR="001859BA" w:rsidRPr="00073574">
              <w:rPr>
                <w:szCs w:val="22"/>
              </w:rPr>
              <w:t>1</w:t>
            </w:r>
            <w:r w:rsidR="001D7EFC" w:rsidRPr="00073574">
              <w:rPr>
                <w:szCs w:val="22"/>
              </w:rPr>
              <w:t xml:space="preserve"> meeting of SG2</w:t>
            </w:r>
            <w:r w:rsidRPr="00073574">
              <w:rPr>
                <w:szCs w:val="22"/>
              </w:rPr>
              <w:t>.</w:t>
            </w:r>
          </w:p>
        </w:tc>
      </w:tr>
      <w:tr w:rsidR="00F0236A" w:rsidRPr="00073574" w14:paraId="41190292" w14:textId="77777777" w:rsidTr="00BD6575">
        <w:trPr>
          <w:cantSplit/>
          <w:jc w:val="center"/>
        </w:trPr>
        <w:tc>
          <w:tcPr>
            <w:tcW w:w="1132" w:type="dxa"/>
            <w:vMerge w:val="restart"/>
            <w:tcBorders>
              <w:top w:val="single" w:sz="12" w:space="0" w:color="auto"/>
            </w:tcBorders>
            <w:shd w:val="clear" w:color="auto" w:fill="auto"/>
          </w:tcPr>
          <w:p w14:paraId="3BC4E762" w14:textId="77777777" w:rsidR="00F0236A" w:rsidRPr="00073574" w:rsidRDefault="00F0236A" w:rsidP="00DF36E1">
            <w:pPr>
              <w:pStyle w:val="Tabletext"/>
              <w:rPr>
                <w:b/>
                <w:bCs/>
                <w:sz w:val="24"/>
                <w:szCs w:val="24"/>
              </w:rPr>
            </w:pPr>
            <w:r w:rsidRPr="00073574">
              <w:rPr>
                <w:b/>
                <w:bCs/>
                <w:sz w:val="24"/>
                <w:szCs w:val="24"/>
              </w:rPr>
              <w:t>91-03</w:t>
            </w:r>
          </w:p>
        </w:tc>
        <w:tc>
          <w:tcPr>
            <w:tcW w:w="4985" w:type="dxa"/>
            <w:tcBorders>
              <w:top w:val="single" w:sz="12" w:space="0" w:color="auto"/>
              <w:bottom w:val="single" w:sz="4" w:space="0" w:color="auto"/>
            </w:tcBorders>
            <w:shd w:val="clear" w:color="auto" w:fill="auto"/>
          </w:tcPr>
          <w:p w14:paraId="0BED72F2" w14:textId="77777777" w:rsidR="00F0236A" w:rsidRPr="00073574" w:rsidRDefault="00F0236A" w:rsidP="00DF36E1">
            <w:pPr>
              <w:pStyle w:val="Tabletext"/>
              <w:rPr>
                <w:b/>
                <w:bCs/>
                <w:sz w:val="24"/>
                <w:szCs w:val="24"/>
              </w:rPr>
            </w:pPr>
            <w:r w:rsidRPr="00073574">
              <w:rPr>
                <w:b/>
                <w:bCs/>
                <w:sz w:val="24"/>
                <w:szCs w:val="24"/>
              </w:rPr>
              <w:t>TSB Director to organize and maintain such an electronic repository as described above, within the allocated budget (i. TSBDir 2)</w:t>
            </w:r>
          </w:p>
        </w:tc>
        <w:tc>
          <w:tcPr>
            <w:tcW w:w="1336" w:type="dxa"/>
            <w:tcBorders>
              <w:top w:val="single" w:sz="12" w:space="0" w:color="auto"/>
              <w:bottom w:val="single" w:sz="4" w:space="0" w:color="auto"/>
            </w:tcBorders>
            <w:shd w:val="clear" w:color="auto" w:fill="auto"/>
            <w:vAlign w:val="center"/>
          </w:tcPr>
          <w:p w14:paraId="2F5F674F"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43" w:type="dxa"/>
            <w:tcBorders>
              <w:top w:val="single" w:sz="12" w:space="0" w:color="auto"/>
              <w:bottom w:val="single" w:sz="4" w:space="0" w:color="auto"/>
            </w:tcBorders>
            <w:shd w:val="clear" w:color="auto" w:fill="auto"/>
            <w:vAlign w:val="center"/>
          </w:tcPr>
          <w:p w14:paraId="7A0B20C8" w14:textId="118648F9" w:rsidR="00F0236A" w:rsidRPr="00073574" w:rsidRDefault="001E4A5C" w:rsidP="00DF36E1">
            <w:pPr>
              <w:pStyle w:val="Tabletext"/>
              <w:jc w:val="center"/>
              <w:rPr>
                <w:b/>
                <w:bCs/>
                <w:sz w:val="24"/>
                <w:szCs w:val="24"/>
              </w:rPr>
            </w:pPr>
            <w:r w:rsidRPr="00073574">
              <w:rPr>
                <w:b/>
                <w:bCs/>
                <w:sz w:val="24"/>
                <w:szCs w:val="24"/>
              </w:rPr>
              <w:t>√</w:t>
            </w:r>
          </w:p>
        </w:tc>
        <w:tc>
          <w:tcPr>
            <w:tcW w:w="1336" w:type="dxa"/>
            <w:tcBorders>
              <w:top w:val="single" w:sz="12" w:space="0" w:color="auto"/>
              <w:bottom w:val="single" w:sz="4" w:space="0" w:color="auto"/>
            </w:tcBorders>
            <w:shd w:val="clear" w:color="auto" w:fill="auto"/>
            <w:vAlign w:val="center"/>
          </w:tcPr>
          <w:p w14:paraId="17F585C1" w14:textId="77777777" w:rsidR="00F0236A" w:rsidRPr="00073574" w:rsidRDefault="00F0236A" w:rsidP="00DF36E1">
            <w:pPr>
              <w:pStyle w:val="Tabletext"/>
              <w:jc w:val="center"/>
              <w:rPr>
                <w:b/>
                <w:bCs/>
                <w:sz w:val="24"/>
                <w:szCs w:val="24"/>
              </w:rPr>
            </w:pPr>
          </w:p>
        </w:tc>
      </w:tr>
      <w:tr w:rsidR="00F0236A" w:rsidRPr="00073574" w14:paraId="0FA0174B" w14:textId="77777777" w:rsidTr="00DF36E1">
        <w:trPr>
          <w:cantSplit/>
          <w:jc w:val="center"/>
        </w:trPr>
        <w:tc>
          <w:tcPr>
            <w:tcW w:w="1132" w:type="dxa"/>
            <w:vMerge/>
            <w:tcBorders>
              <w:bottom w:val="single" w:sz="12" w:space="0" w:color="auto"/>
            </w:tcBorders>
            <w:shd w:val="clear" w:color="auto" w:fill="auto"/>
            <w:vAlign w:val="center"/>
          </w:tcPr>
          <w:p w14:paraId="7784837C" w14:textId="77777777" w:rsidR="00F0236A" w:rsidRPr="00073574" w:rsidRDefault="00F0236A" w:rsidP="00DF36E1">
            <w:pPr>
              <w:pStyle w:val="Tabletext"/>
              <w:rPr>
                <w:sz w:val="24"/>
                <w:szCs w:val="24"/>
              </w:rPr>
            </w:pPr>
          </w:p>
        </w:tc>
        <w:tc>
          <w:tcPr>
            <w:tcW w:w="8800" w:type="dxa"/>
            <w:gridSpan w:val="4"/>
            <w:tcBorders>
              <w:top w:val="single" w:sz="4" w:space="0" w:color="auto"/>
              <w:bottom w:val="single" w:sz="12" w:space="0" w:color="auto"/>
            </w:tcBorders>
            <w:shd w:val="clear" w:color="auto" w:fill="auto"/>
          </w:tcPr>
          <w:p w14:paraId="20E9DD4A" w14:textId="32AE9BF8" w:rsidR="004C6D7E" w:rsidRPr="00073574" w:rsidRDefault="0068054A" w:rsidP="004C6D7E">
            <w:pPr>
              <w:pStyle w:val="Tabletext"/>
              <w:rPr>
                <w:szCs w:val="22"/>
              </w:rPr>
            </w:pPr>
            <w:r w:rsidRPr="00073574">
              <w:rPr>
                <w:szCs w:val="22"/>
              </w:rPr>
              <w:t>In</w:t>
            </w:r>
            <w:r w:rsidR="004C6D7E" w:rsidRPr="00073574">
              <w:rPr>
                <w:szCs w:val="22"/>
              </w:rPr>
              <w:t xml:space="preserve"> autumn 2017, TSB started planning a new repository for ITU national numbering plans (NNPs) based on methodology introduced in Recommendation ITU-T E.129.</w:t>
            </w:r>
          </w:p>
          <w:p w14:paraId="31B53431" w14:textId="45F0397B" w:rsidR="00F0236A" w:rsidRPr="00073574" w:rsidRDefault="000B4969" w:rsidP="00BD1ED4">
            <w:pPr>
              <w:pStyle w:val="Tabletext"/>
              <w:rPr>
                <w:szCs w:val="22"/>
                <w:highlight w:val="yellow"/>
              </w:rPr>
            </w:pPr>
            <w:r w:rsidRPr="00073574">
              <w:rPr>
                <w:szCs w:val="22"/>
              </w:rPr>
              <w:t xml:space="preserve">TSB has been continuing to develop this new repository for </w:t>
            </w:r>
            <w:hyperlink r:id="rId808" w:history="1">
              <w:r w:rsidRPr="00073574">
                <w:rPr>
                  <w:rStyle w:val="Hyperlink"/>
                  <w:szCs w:val="22"/>
                </w:rPr>
                <w:t>ITU national numbering plans (NNPs)</w:t>
              </w:r>
            </w:hyperlink>
            <w:r w:rsidRPr="00073574">
              <w:rPr>
                <w:szCs w:val="22"/>
              </w:rPr>
              <w:t xml:space="preserve">. </w:t>
            </w:r>
            <w:r w:rsidRPr="00073574">
              <w:rPr>
                <w:szCs w:val="24"/>
              </w:rPr>
              <w:t>A prototype of the new</w:t>
            </w:r>
            <w:r w:rsidRPr="00073574">
              <w:t xml:space="preserve"> repository of national numbering plans is available at: </w:t>
            </w:r>
            <w:hyperlink r:id="rId809" w:history="1">
              <w:r w:rsidRPr="00073574">
                <w:rPr>
                  <w:rStyle w:val="Hyperlink"/>
                </w:rPr>
                <w:t>https://www.itu.int/net4/itu-t/nnp</w:t>
              </w:r>
            </w:hyperlink>
            <w:r w:rsidRPr="00073574">
              <w:t>.</w:t>
            </w:r>
            <w:r w:rsidR="00CD458D" w:rsidRPr="00073574">
              <w:t xml:space="preserve"> </w:t>
            </w:r>
            <w:r w:rsidR="00412A57" w:rsidRPr="00073574">
              <w:t>The new repository is now up to date</w:t>
            </w:r>
            <w:r w:rsidR="00732CEC" w:rsidRPr="00073574">
              <w:t>.</w:t>
            </w:r>
          </w:p>
        </w:tc>
      </w:tr>
    </w:tbl>
    <w:bookmarkStart w:id="546" w:name="Item91_01"/>
    <w:bookmarkStart w:id="547" w:name="Item91_02"/>
    <w:bookmarkStart w:id="548" w:name="Item91_03"/>
    <w:bookmarkEnd w:id="546"/>
    <w:bookmarkEnd w:id="547"/>
    <w:bookmarkEnd w:id="548"/>
    <w:p w14:paraId="0BAA4369" w14:textId="77777777" w:rsidR="00F0236A" w:rsidRPr="00073574" w:rsidRDefault="00F0236A" w:rsidP="00F0236A">
      <w:pPr>
        <w:rPr>
          <w:sz w:val="24"/>
        </w:rPr>
      </w:pPr>
      <w:r w:rsidRPr="00073574">
        <w:rPr>
          <w:color w:val="2B579A"/>
          <w:shd w:val="clear" w:color="auto" w:fill="E6E6E6"/>
        </w:rPr>
        <w:fldChar w:fldCharType="begin"/>
      </w:r>
      <w:r w:rsidRPr="00073574">
        <w:rPr>
          <w:sz w:val="24"/>
        </w:rPr>
        <w:instrText xml:space="preserve"> HYPERLINK \l "Top" </w:instrText>
      </w:r>
      <w:r w:rsidRPr="00073574">
        <w:rPr>
          <w:color w:val="2B579A"/>
          <w:shd w:val="clear" w:color="auto" w:fill="E6E6E6"/>
        </w:rPr>
        <w:fldChar w:fldCharType="separate"/>
      </w:r>
      <w:r w:rsidRPr="00073574">
        <w:rPr>
          <w:rStyle w:val="Hyperlink"/>
          <w:rFonts w:eastAsia="Times New Roman"/>
          <w:sz w:val="24"/>
        </w:rPr>
        <w:t>» Top</w:t>
      </w:r>
      <w:r w:rsidRPr="00073574">
        <w:rPr>
          <w:rStyle w:val="Hyperlink"/>
          <w:rFonts w:eastAsia="Times New Roman"/>
          <w:sz w:val="24"/>
        </w:rPr>
        <w:fldChar w:fldCharType="end"/>
      </w:r>
    </w:p>
    <w:p w14:paraId="1DE8B83D" w14:textId="77777777" w:rsidR="00F0236A" w:rsidRPr="00073574" w:rsidRDefault="00F0236A" w:rsidP="003C2A1A">
      <w:pPr>
        <w:pStyle w:val="Heading1"/>
        <w:keepNext/>
        <w:keepLines/>
        <w:rPr>
          <w:sz w:val="24"/>
          <w:szCs w:val="24"/>
          <w:lang w:val="en-GB"/>
        </w:rPr>
      </w:pPr>
      <w:bookmarkStart w:id="549" w:name="_Resolution_92_-"/>
      <w:bookmarkStart w:id="550" w:name="_Toc471715406"/>
      <w:bookmarkStart w:id="551" w:name="_Toc93425293"/>
      <w:bookmarkEnd w:id="549"/>
      <w:r w:rsidRPr="00073574">
        <w:rPr>
          <w:sz w:val="24"/>
          <w:szCs w:val="24"/>
          <w:lang w:val="en-GB"/>
        </w:rPr>
        <w:lastRenderedPageBreak/>
        <w:t xml:space="preserve">Resolution 92 - </w:t>
      </w:r>
      <w:bookmarkEnd w:id="550"/>
      <w:r w:rsidRPr="00073574">
        <w:rPr>
          <w:sz w:val="24"/>
          <w:szCs w:val="24"/>
          <w:lang w:val="en-GB"/>
        </w:rPr>
        <w:t>Enhancing the standardization activities in the ITU Telecommunication Standardization Sector related to non-radio aspects of international mobile telecommunications</w:t>
      </w:r>
      <w:bookmarkEnd w:id="551"/>
    </w:p>
    <w:p w14:paraId="03F0AC45" w14:textId="77777777" w:rsidR="00F0236A" w:rsidRPr="00073574" w:rsidRDefault="00F0236A" w:rsidP="003C2A1A">
      <w:pPr>
        <w:keepNext/>
        <w:keepLines/>
        <w:rPr>
          <w:b/>
          <w:bCs/>
          <w:sz w:val="24"/>
        </w:rPr>
      </w:pPr>
      <w:r w:rsidRPr="00073574">
        <w:rPr>
          <w:b/>
          <w:bCs/>
          <w:sz w:val="24"/>
        </w:rPr>
        <w:t>Resolution 92</w:t>
      </w:r>
    </w:p>
    <w:p w14:paraId="430D77B5" w14:textId="77777777" w:rsidR="00F0236A" w:rsidRPr="00073574" w:rsidRDefault="00F0236A" w:rsidP="003C2A1A">
      <w:pPr>
        <w:pStyle w:val="Call"/>
        <w:rPr>
          <w:sz w:val="24"/>
          <w:szCs w:val="24"/>
          <w:lang w:val="en-GB" w:eastAsia="en-AU"/>
        </w:rPr>
      </w:pPr>
      <w:r w:rsidRPr="00073574">
        <w:rPr>
          <w:sz w:val="24"/>
          <w:szCs w:val="24"/>
          <w:lang w:val="en-GB" w:eastAsia="en-AU"/>
        </w:rPr>
        <w:t>resolves to invite the Telecommunication Standardization Advisory Group</w:t>
      </w:r>
    </w:p>
    <w:p w14:paraId="76B62DC5" w14:textId="77777777" w:rsidR="00F0236A" w:rsidRPr="00073574" w:rsidRDefault="00F0236A" w:rsidP="003C2A1A">
      <w:pPr>
        <w:keepNext/>
        <w:keepLines/>
        <w:spacing w:after="240"/>
        <w:rPr>
          <w:sz w:val="24"/>
        </w:rPr>
      </w:pPr>
      <w:r w:rsidRPr="00073574">
        <w:rPr>
          <w:sz w:val="24"/>
        </w:rPr>
        <w:t>1</w:t>
      </w:r>
      <w:r w:rsidRPr="00073574">
        <w:rPr>
          <w:sz w:val="24"/>
        </w:rPr>
        <w:tab/>
        <w:t>to facilitate coordination of the standardization activities related to the non-radio side of IMT (especially IMT-2020) among all relevant study groups, focus groups, joint coordination activities, etc.;</w:t>
      </w:r>
    </w:p>
    <w:p w14:paraId="4606E8A9" w14:textId="77777777" w:rsidR="00F0236A" w:rsidRPr="00073574" w:rsidRDefault="00F0236A" w:rsidP="00F0236A">
      <w:pPr>
        <w:spacing w:after="240"/>
        <w:rPr>
          <w:sz w:val="24"/>
        </w:rPr>
      </w:pPr>
      <w:r w:rsidRPr="00073574">
        <w:rPr>
          <w:sz w:val="24"/>
        </w:rPr>
        <w:t>2</w:t>
      </w:r>
      <w:r w:rsidRPr="00073574">
        <w:rPr>
          <w:sz w:val="24"/>
        </w:rPr>
        <w:tab/>
        <w:t>to encourage, in cooperation with Study Group 13 and other relevant study groups, collaboration with other standards development organizations (SDOs) on a wide range of issues associated with the non-radio aspects of IMT-2020,</w:t>
      </w:r>
    </w:p>
    <w:p w14:paraId="12186C3F" w14:textId="77777777" w:rsidR="00F0236A" w:rsidRPr="00073574" w:rsidRDefault="00F0236A" w:rsidP="00F0236A">
      <w:pPr>
        <w:pStyle w:val="Call"/>
        <w:rPr>
          <w:sz w:val="24"/>
          <w:szCs w:val="24"/>
          <w:lang w:val="en-GB" w:eastAsia="en-AU"/>
        </w:rPr>
      </w:pPr>
      <w:r w:rsidRPr="00073574">
        <w:rPr>
          <w:sz w:val="24"/>
          <w:szCs w:val="24"/>
          <w:lang w:val="en-GB" w:eastAsia="en-AU"/>
        </w:rPr>
        <w:t>instructs study groups of the ITU Telecommunication Standardization Sector</w:t>
      </w:r>
    </w:p>
    <w:p w14:paraId="4DFD5FFD" w14:textId="77777777" w:rsidR="00F0236A" w:rsidRPr="00073574" w:rsidRDefault="00F0236A" w:rsidP="00F0236A">
      <w:pPr>
        <w:spacing w:after="240"/>
        <w:rPr>
          <w:sz w:val="24"/>
        </w:rPr>
      </w:pPr>
      <w:r w:rsidRPr="00073574">
        <w:rPr>
          <w:sz w:val="24"/>
        </w:rPr>
        <w:t>1</w:t>
      </w:r>
      <w:r w:rsidRPr="00073574">
        <w:rPr>
          <w:sz w:val="24"/>
        </w:rPr>
        <w:tab/>
        <w:t>to strengthen the cooperation and coordination on IMT (especially IMT-2020) standardization activities with a positive and double-win spirit, in order to ensure a productive and practical standard solution for the global ICT industry;</w:t>
      </w:r>
    </w:p>
    <w:p w14:paraId="0C58421B" w14:textId="77777777" w:rsidR="00F0236A" w:rsidRPr="00073574" w:rsidRDefault="00F0236A" w:rsidP="00F0236A">
      <w:pPr>
        <w:spacing w:after="240"/>
        <w:rPr>
          <w:sz w:val="24"/>
        </w:rPr>
      </w:pPr>
      <w:r w:rsidRPr="00073574">
        <w:rPr>
          <w:sz w:val="24"/>
        </w:rPr>
        <w:t>2</w:t>
      </w:r>
      <w:r w:rsidRPr="00073574">
        <w:rPr>
          <w:sz w:val="24"/>
        </w:rPr>
        <w:tab/>
        <w:t>to promote efficiently the standardization research work on the non-radio side network technologies of IMT;</w:t>
      </w:r>
    </w:p>
    <w:p w14:paraId="30ECCD71" w14:textId="37C54267" w:rsidR="00F0236A" w:rsidRPr="00073574" w:rsidRDefault="00F0236A" w:rsidP="00F0236A">
      <w:pPr>
        <w:spacing w:after="240"/>
        <w:rPr>
          <w:sz w:val="24"/>
        </w:rPr>
      </w:pPr>
      <w:r w:rsidRPr="00073574">
        <w:rPr>
          <w:sz w:val="24"/>
        </w:rPr>
        <w:t>3</w:t>
      </w:r>
      <w:r w:rsidRPr="00073574">
        <w:rPr>
          <w:sz w:val="24"/>
        </w:rPr>
        <w:tab/>
        <w:t>to be responsible for the research and annual reporting of ITU-T</w:t>
      </w:r>
      <w:r w:rsidR="003C7E25" w:rsidRPr="00073574">
        <w:rPr>
          <w:sz w:val="24"/>
        </w:rPr>
        <w:t>'</w:t>
      </w:r>
      <w:r w:rsidRPr="00073574">
        <w:rPr>
          <w:sz w:val="24"/>
        </w:rPr>
        <w:t>s standards strategy on IMT,</w:t>
      </w:r>
    </w:p>
    <w:p w14:paraId="07923468" w14:textId="77777777" w:rsidR="00F0236A" w:rsidRPr="00073574" w:rsidRDefault="00F0236A" w:rsidP="00F0236A">
      <w:pPr>
        <w:pStyle w:val="Call"/>
        <w:rPr>
          <w:sz w:val="24"/>
          <w:szCs w:val="24"/>
          <w:lang w:val="en-GB" w:eastAsia="en-AU"/>
        </w:rPr>
      </w:pPr>
      <w:r w:rsidRPr="00073574">
        <w:rPr>
          <w:sz w:val="24"/>
          <w:szCs w:val="24"/>
          <w:lang w:val="en-GB" w:eastAsia="en-AU"/>
        </w:rPr>
        <w:t>instructs Study Group 13</w:t>
      </w:r>
    </w:p>
    <w:p w14:paraId="0EF130C8" w14:textId="77777777" w:rsidR="00F0236A" w:rsidRPr="00073574" w:rsidRDefault="00F0236A" w:rsidP="00F0236A">
      <w:pPr>
        <w:spacing w:after="240"/>
        <w:rPr>
          <w:sz w:val="24"/>
        </w:rPr>
      </w:pPr>
      <w:r w:rsidRPr="00073574">
        <w:rPr>
          <w:sz w:val="24"/>
        </w:rPr>
        <w:t>1</w:t>
      </w:r>
      <w:r w:rsidRPr="00073574">
        <w:rPr>
          <w:sz w:val="24"/>
        </w:rPr>
        <w:tab/>
        <w:t>to maintain the roadmap of IMT standardization activities in ITU-T, which should include work items to progress standardization work related to the non-radio side of IMT, and share this with relevant groups of ITU-R and ITU-D as the mission of the lead group for IMT (especially IMT-2020);</w:t>
      </w:r>
    </w:p>
    <w:p w14:paraId="55E92892" w14:textId="77777777" w:rsidR="00F0236A" w:rsidRPr="00073574" w:rsidRDefault="00F0236A" w:rsidP="00F0236A">
      <w:pPr>
        <w:spacing w:after="240"/>
        <w:rPr>
          <w:sz w:val="24"/>
        </w:rPr>
      </w:pPr>
      <w:r w:rsidRPr="00073574">
        <w:rPr>
          <w:sz w:val="24"/>
        </w:rPr>
        <w:t>2</w:t>
      </w:r>
      <w:r w:rsidRPr="00073574">
        <w:rPr>
          <w:sz w:val="24"/>
        </w:rPr>
        <w:tab/>
        <w:t>to promote the studies on network requirements and architecture, network softwarization, network slicing, network capability openness, network management and orchestration, fixed-mobile convergence and emerging network technology (such as ICN, etc.);</w:t>
      </w:r>
    </w:p>
    <w:p w14:paraId="6CC6408E" w14:textId="77777777" w:rsidR="00F0236A" w:rsidRPr="00073574" w:rsidRDefault="00F0236A" w:rsidP="00F0236A">
      <w:pPr>
        <w:spacing w:after="240"/>
        <w:rPr>
          <w:sz w:val="24"/>
        </w:rPr>
      </w:pPr>
      <w:r w:rsidRPr="00073574">
        <w:rPr>
          <w:sz w:val="24"/>
        </w:rPr>
        <w:t>3</w:t>
      </w:r>
      <w:r w:rsidRPr="00073574">
        <w:rPr>
          <w:sz w:val="24"/>
        </w:rPr>
        <w:tab/>
        <w:t>to establish the Joint Coordination Activity for IMT-2020 (JCA IMT-2020) and coordinate the standardization activities of IMT (especially IMT-2020) among all relevant study groups and focus groups and other SDOs,</w:t>
      </w:r>
    </w:p>
    <w:p w14:paraId="0CA7676C" w14:textId="77777777" w:rsidR="00F0236A" w:rsidRPr="00073574" w:rsidRDefault="00F0236A" w:rsidP="00F0236A">
      <w:pPr>
        <w:pStyle w:val="Call"/>
        <w:rPr>
          <w:sz w:val="24"/>
          <w:szCs w:val="24"/>
          <w:lang w:val="en-GB" w:eastAsia="en-AU"/>
        </w:rPr>
      </w:pPr>
      <w:r w:rsidRPr="00073574">
        <w:rPr>
          <w:sz w:val="24"/>
          <w:szCs w:val="24"/>
          <w:lang w:val="en-GB" w:eastAsia="en-AU"/>
        </w:rPr>
        <w:t>instructs Study Group 15</w:t>
      </w:r>
    </w:p>
    <w:p w14:paraId="0D375A00" w14:textId="4CD75A4D" w:rsidR="00F0236A" w:rsidRPr="00073574" w:rsidRDefault="00F0236A" w:rsidP="00F0236A">
      <w:pPr>
        <w:spacing w:after="240"/>
        <w:rPr>
          <w:sz w:val="24"/>
        </w:rPr>
      </w:pPr>
      <w:r w:rsidRPr="00073574">
        <w:rPr>
          <w:sz w:val="24"/>
        </w:rPr>
        <w:t>to promote the studies on IMT</w:t>
      </w:r>
      <w:r w:rsidR="003C7E25" w:rsidRPr="00073574">
        <w:rPr>
          <w:sz w:val="24"/>
        </w:rPr>
        <w:t>'</w:t>
      </w:r>
      <w:r w:rsidRPr="00073574">
        <w:rPr>
          <w:sz w:val="24"/>
        </w:rPr>
        <w:t>s fronthaul and backhaul network standardization activities, which should establish the necessary structure and work items to progress the standards work on fronthaul/backhaul network requirements, architecture, function and performance, management and control, synchronization, etc., for IMT-2020,</w:t>
      </w:r>
    </w:p>
    <w:p w14:paraId="1F847B95" w14:textId="77777777" w:rsidR="00F0236A" w:rsidRPr="00073574" w:rsidRDefault="00F0236A" w:rsidP="00F0236A">
      <w:pPr>
        <w:pStyle w:val="Call"/>
        <w:rPr>
          <w:sz w:val="24"/>
          <w:szCs w:val="24"/>
          <w:lang w:val="en-GB" w:eastAsia="en-AU"/>
        </w:rPr>
      </w:pPr>
      <w:r w:rsidRPr="00073574">
        <w:rPr>
          <w:sz w:val="24"/>
          <w:szCs w:val="24"/>
          <w:lang w:val="en-GB" w:eastAsia="en-AU"/>
        </w:rPr>
        <w:t>instructs Study Group 11</w:t>
      </w:r>
    </w:p>
    <w:p w14:paraId="3885C4D8" w14:textId="77777777" w:rsidR="00F0236A" w:rsidRPr="00073574" w:rsidRDefault="00F0236A" w:rsidP="00F0236A">
      <w:pPr>
        <w:spacing w:after="240"/>
        <w:rPr>
          <w:sz w:val="24"/>
        </w:rPr>
      </w:pPr>
      <w:r w:rsidRPr="00073574">
        <w:rPr>
          <w:sz w:val="24"/>
        </w:rPr>
        <w:t>to promote the studies on standardization activities related to the non-radio aspects of IMT signalling, protocol and testing,</w:t>
      </w:r>
    </w:p>
    <w:p w14:paraId="7EDD5168" w14:textId="77777777" w:rsidR="00F0236A" w:rsidRPr="00073574" w:rsidRDefault="00F0236A" w:rsidP="00F0236A">
      <w:pPr>
        <w:pStyle w:val="Call"/>
        <w:rPr>
          <w:sz w:val="24"/>
          <w:szCs w:val="24"/>
          <w:lang w:val="en-GB" w:eastAsia="en-AU"/>
        </w:rPr>
      </w:pPr>
      <w:r w:rsidRPr="00073574">
        <w:rPr>
          <w:sz w:val="24"/>
          <w:szCs w:val="24"/>
          <w:lang w:val="en-GB" w:eastAsia="en-AU"/>
        </w:rPr>
        <w:lastRenderedPageBreak/>
        <w:t>instructs Study Group 12</w:t>
      </w:r>
    </w:p>
    <w:p w14:paraId="0B88F2CD" w14:textId="77777777" w:rsidR="00F0236A" w:rsidRPr="00073574" w:rsidRDefault="00F0236A" w:rsidP="00F0236A">
      <w:pPr>
        <w:spacing w:after="240"/>
        <w:rPr>
          <w:sz w:val="24"/>
        </w:rPr>
      </w:pPr>
      <w:r w:rsidRPr="00073574">
        <w:rPr>
          <w:sz w:val="24"/>
        </w:rPr>
        <w:t>to promote the studies on standardization activities related to the non-radio aspects of IMT service, QoS and quality of experience (QoE),</w:t>
      </w:r>
    </w:p>
    <w:p w14:paraId="1FD76B3B" w14:textId="77777777" w:rsidR="00F0236A" w:rsidRPr="00073574" w:rsidRDefault="00F0236A" w:rsidP="00F0236A">
      <w:pPr>
        <w:pStyle w:val="Call"/>
        <w:rPr>
          <w:sz w:val="24"/>
          <w:szCs w:val="24"/>
          <w:lang w:val="en-GB" w:eastAsia="en-AU"/>
        </w:rPr>
      </w:pPr>
      <w:r w:rsidRPr="00073574">
        <w:rPr>
          <w:sz w:val="24"/>
          <w:szCs w:val="24"/>
          <w:lang w:val="en-GB" w:eastAsia="en-AU"/>
        </w:rPr>
        <w:t>instructs Study Group 17</w:t>
      </w:r>
    </w:p>
    <w:p w14:paraId="26397839" w14:textId="77777777" w:rsidR="00F0236A" w:rsidRPr="00073574" w:rsidRDefault="00F0236A" w:rsidP="00F0236A">
      <w:pPr>
        <w:spacing w:after="240"/>
        <w:rPr>
          <w:sz w:val="24"/>
        </w:rPr>
      </w:pPr>
      <w:r w:rsidRPr="00073574">
        <w:rPr>
          <w:sz w:val="24"/>
        </w:rPr>
        <w:t>to promote the studies on standardization activities related to IMT network and applications security,</w:t>
      </w:r>
    </w:p>
    <w:p w14:paraId="05C5E89E" w14:textId="77777777" w:rsidR="00F0236A" w:rsidRPr="00073574" w:rsidRDefault="00F0236A" w:rsidP="00F0236A">
      <w:pPr>
        <w:pStyle w:val="Call"/>
        <w:rPr>
          <w:sz w:val="24"/>
          <w:szCs w:val="24"/>
          <w:lang w:val="en-GB" w:eastAsia="en-AU"/>
        </w:rPr>
      </w:pPr>
      <w:r w:rsidRPr="00073574">
        <w:rPr>
          <w:sz w:val="24"/>
          <w:szCs w:val="24"/>
          <w:lang w:val="en-GB" w:eastAsia="en-AU"/>
        </w:rPr>
        <w:t>instructs the Director of the Telecommunication Standardization Bureau</w:t>
      </w:r>
    </w:p>
    <w:p w14:paraId="1479BAEF" w14:textId="77777777" w:rsidR="00F0236A" w:rsidRPr="00073574" w:rsidRDefault="00F0236A" w:rsidP="00F0236A">
      <w:pPr>
        <w:spacing w:after="240"/>
        <w:rPr>
          <w:sz w:val="24"/>
        </w:rPr>
      </w:pPr>
      <w:r w:rsidRPr="00073574">
        <w:rPr>
          <w:sz w:val="24"/>
        </w:rPr>
        <w:t>1</w:t>
      </w:r>
      <w:r w:rsidRPr="00073574">
        <w:rPr>
          <w:sz w:val="24"/>
        </w:rPr>
        <w:tab/>
        <w:t>to bring this resolution to the attention of the Directors of the Radiocommunication Bureau and the Telecommunication Development Bureau;</w:t>
      </w:r>
    </w:p>
    <w:p w14:paraId="1D052BE2" w14:textId="77777777" w:rsidR="00F0236A" w:rsidRPr="00073574" w:rsidRDefault="00F0236A" w:rsidP="00F0236A">
      <w:pPr>
        <w:spacing w:after="240"/>
        <w:rPr>
          <w:sz w:val="24"/>
        </w:rPr>
      </w:pPr>
      <w:r w:rsidRPr="00073574">
        <w:rPr>
          <w:sz w:val="24"/>
        </w:rPr>
        <w:t>2</w:t>
      </w:r>
      <w:r w:rsidRPr="00073574">
        <w:rPr>
          <w:sz w:val="24"/>
        </w:rPr>
        <w:tab/>
        <w:t>to conduct seminars and workshops on the standard strategic, technical solutions and network applications for IMT (especially IMT-2020), taking into account specific national and regional requirements,</w:t>
      </w:r>
    </w:p>
    <w:p w14:paraId="6A713465" w14:textId="77777777" w:rsidR="00F0236A" w:rsidRPr="00073574" w:rsidRDefault="00F0236A" w:rsidP="00F0236A">
      <w:pPr>
        <w:pStyle w:val="Call"/>
        <w:rPr>
          <w:sz w:val="24"/>
          <w:szCs w:val="24"/>
          <w:lang w:val="en-GB" w:eastAsia="en-AU"/>
        </w:rPr>
      </w:pPr>
      <w:r w:rsidRPr="00073574">
        <w:rPr>
          <w:sz w:val="24"/>
          <w:szCs w:val="24"/>
          <w:lang w:val="en-GB" w:eastAsia="en-AU"/>
        </w:rPr>
        <w:t>encourages the Directors of the three Bureaux</w:t>
      </w:r>
    </w:p>
    <w:p w14:paraId="13F408D8" w14:textId="77777777" w:rsidR="00F0236A" w:rsidRPr="00073574" w:rsidRDefault="00F0236A" w:rsidP="00F0236A">
      <w:pPr>
        <w:spacing w:after="240"/>
        <w:rPr>
          <w:sz w:val="24"/>
        </w:rPr>
      </w:pPr>
      <w:r w:rsidRPr="00073574">
        <w:rPr>
          <w:sz w:val="24"/>
        </w:rPr>
        <w:t>to investigate new ways to improve the efficiency of ITU work on IMT,</w:t>
      </w:r>
    </w:p>
    <w:p w14:paraId="14040D81" w14:textId="77777777" w:rsidR="00F0236A" w:rsidRPr="00073574" w:rsidRDefault="00F0236A" w:rsidP="00F0236A">
      <w:pPr>
        <w:pStyle w:val="Call"/>
        <w:rPr>
          <w:sz w:val="24"/>
          <w:szCs w:val="24"/>
          <w:lang w:val="en-GB" w:eastAsia="en-AU"/>
        </w:rPr>
      </w:pPr>
      <w:r w:rsidRPr="00073574">
        <w:rPr>
          <w:sz w:val="24"/>
          <w:szCs w:val="24"/>
          <w:lang w:val="en-GB" w:eastAsia="en-AU"/>
        </w:rPr>
        <w:t>invites Member States, Sector Members, Associates and academia</w:t>
      </w:r>
    </w:p>
    <w:p w14:paraId="7A86C8D4" w14:textId="77777777" w:rsidR="00F0236A" w:rsidRPr="00073574" w:rsidRDefault="00F0236A" w:rsidP="00F0236A">
      <w:pPr>
        <w:spacing w:after="240"/>
        <w:rPr>
          <w:sz w:val="24"/>
        </w:rPr>
      </w:pPr>
      <w:r w:rsidRPr="00073574">
        <w:rPr>
          <w:sz w:val="24"/>
        </w:rPr>
        <w:t>1</w:t>
      </w:r>
      <w:r w:rsidRPr="00073574">
        <w:rPr>
          <w:sz w:val="24"/>
        </w:rPr>
        <w:tab/>
        <w:t>to participate actively participate in the standardization activities of ITU-T on developing Recommendations on non-radio aspects of IMT;</w:t>
      </w:r>
    </w:p>
    <w:p w14:paraId="1FD36B59" w14:textId="77777777" w:rsidR="00F0236A" w:rsidRPr="00073574" w:rsidRDefault="00F0236A" w:rsidP="00F0236A">
      <w:pPr>
        <w:spacing w:after="240"/>
        <w:rPr>
          <w:sz w:val="24"/>
        </w:rPr>
      </w:pPr>
      <w:r w:rsidRPr="00073574">
        <w:rPr>
          <w:sz w:val="24"/>
        </w:rPr>
        <w:t>2</w:t>
      </w:r>
      <w:r w:rsidRPr="00073574">
        <w:rPr>
          <w:sz w:val="24"/>
        </w:rPr>
        <w:tab/>
        <w:t>to share standard strategy, network evolution experience and application cases of IMT in relevant seminars and workshop events.</w:t>
      </w:r>
    </w:p>
    <w:tbl>
      <w:tblPr>
        <w:tblW w:w="99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31"/>
        <w:gridCol w:w="4987"/>
        <w:gridCol w:w="1335"/>
        <w:gridCol w:w="1143"/>
        <w:gridCol w:w="1336"/>
      </w:tblGrid>
      <w:tr w:rsidR="00F0236A" w:rsidRPr="00073574" w14:paraId="7A13F4AA" w14:textId="77777777" w:rsidTr="4D78197E">
        <w:trPr>
          <w:tblHeader/>
          <w:jc w:val="center"/>
        </w:trPr>
        <w:tc>
          <w:tcPr>
            <w:tcW w:w="1131" w:type="dxa"/>
            <w:tcBorders>
              <w:top w:val="single" w:sz="12" w:space="0" w:color="auto"/>
              <w:bottom w:val="single" w:sz="12" w:space="0" w:color="auto"/>
            </w:tcBorders>
            <w:shd w:val="clear" w:color="auto" w:fill="auto"/>
            <w:vAlign w:val="center"/>
          </w:tcPr>
          <w:p w14:paraId="0CC9F267" w14:textId="77777777" w:rsidR="00F0236A" w:rsidRPr="00073574" w:rsidRDefault="00F0236A" w:rsidP="005B5893">
            <w:pPr>
              <w:pStyle w:val="Tablehead"/>
              <w:keepNext w:val="0"/>
              <w:rPr>
                <w:sz w:val="24"/>
                <w:szCs w:val="24"/>
              </w:rPr>
            </w:pPr>
            <w:r w:rsidRPr="00073574">
              <w:rPr>
                <w:sz w:val="24"/>
                <w:szCs w:val="24"/>
              </w:rPr>
              <w:t>Action Item</w:t>
            </w:r>
          </w:p>
        </w:tc>
        <w:tc>
          <w:tcPr>
            <w:tcW w:w="4987" w:type="dxa"/>
            <w:tcBorders>
              <w:top w:val="single" w:sz="12" w:space="0" w:color="auto"/>
              <w:bottom w:val="single" w:sz="12" w:space="0" w:color="auto"/>
            </w:tcBorders>
            <w:shd w:val="clear" w:color="auto" w:fill="auto"/>
            <w:vAlign w:val="center"/>
            <w:hideMark/>
          </w:tcPr>
          <w:p w14:paraId="3A650E51" w14:textId="77777777" w:rsidR="00F0236A" w:rsidRPr="00073574" w:rsidRDefault="00F0236A" w:rsidP="00DF36E1">
            <w:pPr>
              <w:pStyle w:val="Tablehead"/>
              <w:rPr>
                <w:sz w:val="24"/>
                <w:szCs w:val="24"/>
              </w:rPr>
            </w:pPr>
            <w:r w:rsidRPr="00073574">
              <w:rPr>
                <w:sz w:val="24"/>
                <w:szCs w:val="24"/>
              </w:rPr>
              <w:t>Action</w:t>
            </w:r>
          </w:p>
        </w:tc>
        <w:tc>
          <w:tcPr>
            <w:tcW w:w="1335" w:type="dxa"/>
            <w:tcBorders>
              <w:top w:val="single" w:sz="12" w:space="0" w:color="auto"/>
              <w:bottom w:val="single" w:sz="12" w:space="0" w:color="auto"/>
            </w:tcBorders>
            <w:shd w:val="clear" w:color="auto" w:fill="auto"/>
            <w:vAlign w:val="center"/>
            <w:hideMark/>
          </w:tcPr>
          <w:p w14:paraId="51E31C68" w14:textId="77777777" w:rsidR="00F0236A" w:rsidRPr="00073574" w:rsidRDefault="00F0236A" w:rsidP="00DF36E1">
            <w:pPr>
              <w:pStyle w:val="Tablehead"/>
              <w:rPr>
                <w:sz w:val="24"/>
                <w:szCs w:val="24"/>
              </w:rPr>
            </w:pPr>
            <w:r w:rsidRPr="00073574">
              <w:rPr>
                <w:sz w:val="24"/>
                <w:szCs w:val="24"/>
              </w:rPr>
              <w:t>Milestone</w:t>
            </w:r>
          </w:p>
        </w:tc>
        <w:tc>
          <w:tcPr>
            <w:tcW w:w="1143" w:type="dxa"/>
            <w:tcBorders>
              <w:top w:val="single" w:sz="12" w:space="0" w:color="auto"/>
              <w:bottom w:val="single" w:sz="12" w:space="0" w:color="auto"/>
            </w:tcBorders>
            <w:shd w:val="clear" w:color="auto" w:fill="auto"/>
          </w:tcPr>
          <w:p w14:paraId="10C5999A" w14:textId="77777777" w:rsidR="00F0236A" w:rsidRPr="00073574" w:rsidRDefault="00F0236A" w:rsidP="00DF36E1">
            <w:pPr>
              <w:pStyle w:val="Tablehead"/>
              <w:rPr>
                <w:sz w:val="24"/>
                <w:szCs w:val="24"/>
              </w:rPr>
            </w:pPr>
            <w:r w:rsidRPr="00073574">
              <w:rPr>
                <w:sz w:val="24"/>
                <w:szCs w:val="24"/>
              </w:rPr>
              <w:t>Periodic goals met</w:t>
            </w:r>
          </w:p>
        </w:tc>
        <w:tc>
          <w:tcPr>
            <w:tcW w:w="1336" w:type="dxa"/>
            <w:tcBorders>
              <w:top w:val="single" w:sz="12" w:space="0" w:color="auto"/>
              <w:bottom w:val="single" w:sz="12" w:space="0" w:color="auto"/>
            </w:tcBorders>
            <w:shd w:val="clear" w:color="auto" w:fill="auto"/>
            <w:vAlign w:val="center"/>
          </w:tcPr>
          <w:p w14:paraId="07A257EE" w14:textId="77777777" w:rsidR="00F0236A" w:rsidRPr="00073574" w:rsidRDefault="00F0236A" w:rsidP="00DF36E1">
            <w:pPr>
              <w:pStyle w:val="Tablehead"/>
              <w:rPr>
                <w:sz w:val="24"/>
                <w:szCs w:val="24"/>
              </w:rPr>
            </w:pPr>
            <w:r w:rsidRPr="00073574">
              <w:rPr>
                <w:sz w:val="24"/>
                <w:szCs w:val="24"/>
              </w:rPr>
              <w:t>Completed</w:t>
            </w:r>
          </w:p>
        </w:tc>
      </w:tr>
      <w:tr w:rsidR="00F0236A" w:rsidRPr="00073574" w14:paraId="014E6B63" w14:textId="77777777" w:rsidTr="4D78197E">
        <w:trPr>
          <w:jc w:val="center"/>
        </w:trPr>
        <w:tc>
          <w:tcPr>
            <w:tcW w:w="1131" w:type="dxa"/>
            <w:vMerge w:val="restart"/>
            <w:tcBorders>
              <w:top w:val="single" w:sz="12" w:space="0" w:color="auto"/>
            </w:tcBorders>
            <w:shd w:val="clear" w:color="auto" w:fill="auto"/>
          </w:tcPr>
          <w:p w14:paraId="6A9E083B" w14:textId="77777777" w:rsidR="00F0236A" w:rsidRPr="00073574" w:rsidRDefault="00F0236A" w:rsidP="00DF36E1">
            <w:pPr>
              <w:pStyle w:val="Tabletext"/>
              <w:rPr>
                <w:b/>
                <w:bCs/>
                <w:sz w:val="24"/>
                <w:szCs w:val="24"/>
              </w:rPr>
            </w:pPr>
            <w:r w:rsidRPr="00073574">
              <w:rPr>
                <w:b/>
                <w:bCs/>
                <w:sz w:val="24"/>
                <w:szCs w:val="24"/>
              </w:rPr>
              <w:t>92-01</w:t>
            </w:r>
          </w:p>
        </w:tc>
        <w:tc>
          <w:tcPr>
            <w:tcW w:w="4987" w:type="dxa"/>
            <w:tcBorders>
              <w:top w:val="single" w:sz="12" w:space="0" w:color="auto"/>
              <w:bottom w:val="single" w:sz="2" w:space="0" w:color="auto"/>
            </w:tcBorders>
            <w:shd w:val="clear" w:color="auto" w:fill="auto"/>
          </w:tcPr>
          <w:p w14:paraId="4BAE9D9E" w14:textId="77777777" w:rsidR="00F0236A" w:rsidRPr="00073574" w:rsidRDefault="00F0236A" w:rsidP="00DF36E1">
            <w:pPr>
              <w:pStyle w:val="Tabletext"/>
              <w:rPr>
                <w:b/>
                <w:bCs/>
                <w:sz w:val="24"/>
                <w:szCs w:val="24"/>
              </w:rPr>
            </w:pPr>
            <w:r w:rsidRPr="00073574">
              <w:rPr>
                <w:b/>
                <w:bCs/>
                <w:sz w:val="24"/>
                <w:szCs w:val="24"/>
              </w:rPr>
              <w:t>TSAG to facilitate coordination of the standardization activities related to the non-radio side of IMT (especially IMT-2020) among all relevant study groups, focus groups, joint coordination activities, etc.;</w:t>
            </w:r>
          </w:p>
          <w:p w14:paraId="04E19C9B" w14:textId="77777777" w:rsidR="00F0236A" w:rsidRPr="00073574" w:rsidRDefault="00F0236A" w:rsidP="00DF36E1">
            <w:pPr>
              <w:pStyle w:val="Tabletext"/>
              <w:rPr>
                <w:b/>
                <w:bCs/>
                <w:sz w:val="24"/>
                <w:szCs w:val="24"/>
              </w:rPr>
            </w:pPr>
            <w:r w:rsidRPr="00073574">
              <w:rPr>
                <w:b/>
                <w:bCs/>
                <w:sz w:val="24"/>
                <w:szCs w:val="24"/>
              </w:rPr>
              <w:t>and to encourage, in cooperation with Study Group 13 and other relevant study groups, collaboration with other standards development organizations (SDOs) on a wide range of issues associated with the non-radio aspects of IMT-2020 (resolves TSAG 1,2)</w:t>
            </w:r>
          </w:p>
        </w:tc>
        <w:tc>
          <w:tcPr>
            <w:tcW w:w="1335" w:type="dxa"/>
            <w:tcBorders>
              <w:top w:val="single" w:sz="12" w:space="0" w:color="auto"/>
              <w:bottom w:val="single" w:sz="2" w:space="0" w:color="auto"/>
            </w:tcBorders>
            <w:shd w:val="clear" w:color="auto" w:fill="auto"/>
            <w:vAlign w:val="center"/>
          </w:tcPr>
          <w:p w14:paraId="5E41907E"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43" w:type="dxa"/>
            <w:tcBorders>
              <w:top w:val="single" w:sz="12" w:space="0" w:color="auto"/>
              <w:bottom w:val="single" w:sz="2" w:space="0" w:color="auto"/>
            </w:tcBorders>
            <w:shd w:val="clear" w:color="auto" w:fill="auto"/>
            <w:vAlign w:val="center"/>
          </w:tcPr>
          <w:p w14:paraId="145115BB"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bottom w:val="single" w:sz="2" w:space="0" w:color="auto"/>
            </w:tcBorders>
            <w:shd w:val="clear" w:color="auto" w:fill="auto"/>
            <w:vAlign w:val="center"/>
          </w:tcPr>
          <w:p w14:paraId="05BB6640" w14:textId="77777777" w:rsidR="00F0236A" w:rsidRPr="00073574" w:rsidRDefault="00F0236A" w:rsidP="00DF36E1">
            <w:pPr>
              <w:pStyle w:val="Tabletext"/>
              <w:jc w:val="center"/>
              <w:rPr>
                <w:b/>
                <w:bCs/>
                <w:sz w:val="24"/>
                <w:szCs w:val="24"/>
              </w:rPr>
            </w:pPr>
          </w:p>
        </w:tc>
      </w:tr>
      <w:tr w:rsidR="00F0236A" w:rsidRPr="00073574" w14:paraId="208E5530" w14:textId="77777777" w:rsidTr="4D78197E">
        <w:trPr>
          <w:jc w:val="center"/>
        </w:trPr>
        <w:tc>
          <w:tcPr>
            <w:tcW w:w="1131" w:type="dxa"/>
            <w:vMerge/>
          </w:tcPr>
          <w:p w14:paraId="387A690A" w14:textId="77777777" w:rsidR="00F0236A" w:rsidRPr="00073574" w:rsidRDefault="00F0236A" w:rsidP="00DF36E1">
            <w:pPr>
              <w:pStyle w:val="Tabletext"/>
              <w:rPr>
                <w:sz w:val="24"/>
                <w:szCs w:val="24"/>
              </w:rPr>
            </w:pPr>
          </w:p>
        </w:tc>
        <w:tc>
          <w:tcPr>
            <w:tcW w:w="8801" w:type="dxa"/>
            <w:gridSpan w:val="4"/>
            <w:tcBorders>
              <w:top w:val="single" w:sz="2" w:space="0" w:color="auto"/>
              <w:bottom w:val="single" w:sz="4" w:space="0" w:color="auto"/>
            </w:tcBorders>
            <w:shd w:val="clear" w:color="auto" w:fill="auto"/>
          </w:tcPr>
          <w:p w14:paraId="2C4C8C47" w14:textId="0ED15F8B" w:rsidR="00586ED0" w:rsidRPr="00073574" w:rsidRDefault="00F0236A" w:rsidP="002E241A">
            <w:pPr>
              <w:pStyle w:val="ListParagraph"/>
              <w:numPr>
                <w:ilvl w:val="0"/>
                <w:numId w:val="26"/>
              </w:numPr>
              <w:spacing w:before="40"/>
              <w:ind w:left="357" w:hanging="357"/>
              <w:contextualSpacing w:val="0"/>
            </w:pPr>
            <w:r w:rsidRPr="00073574">
              <w:t>SG13 at its February 2017 meeting organized a joint information session on 5G developments with ITU-R WP 5D.</w:t>
            </w:r>
          </w:p>
          <w:p w14:paraId="794ACBE7" w14:textId="1C3EEB87" w:rsidR="00F0236A" w:rsidRPr="00073574" w:rsidRDefault="2417DD33" w:rsidP="002E241A">
            <w:pPr>
              <w:pStyle w:val="ListParagraph"/>
              <w:numPr>
                <w:ilvl w:val="0"/>
                <w:numId w:val="26"/>
              </w:numPr>
              <w:ind w:left="357" w:hanging="357"/>
              <w:contextualSpacing w:val="0"/>
            </w:pPr>
            <w:r w:rsidRPr="00073574">
              <w:t>A new JCA-IMT2020 was established by the SG13 since the beginning of the current study period. Its main deliverable is the IMT-2020 roadmap collecting the standardization efforts on IMT-2020 at ITU and outside. SG13 took steps to explore the closer cooperative work w</w:t>
            </w:r>
            <w:r w:rsidR="6D5F3DC9" w:rsidRPr="00073574">
              <w:t>ith some other SDOs and forums.</w:t>
            </w:r>
            <w:r w:rsidR="0D75D4E5" w:rsidRPr="00073574">
              <w:t xml:space="preserve"> In October 2019 </w:t>
            </w:r>
            <w:r w:rsidR="001F61B5" w:rsidRPr="00073574">
              <w:t>SG13</w:t>
            </w:r>
            <w:r w:rsidR="0D75D4E5" w:rsidRPr="00073574">
              <w:t xml:space="preserve"> established a new work item, Supplement with the IMT-2020 standardization roadmap</w:t>
            </w:r>
            <w:r w:rsidR="0427AD19" w:rsidRPr="00073574">
              <w:t xml:space="preserve"> and approved it in March 2020 as Supplement 59 to </w:t>
            </w:r>
            <w:r w:rsidR="001F61B5" w:rsidRPr="00073574">
              <w:t xml:space="preserve">ITU-T </w:t>
            </w:r>
            <w:r w:rsidR="0427AD19" w:rsidRPr="00073574">
              <w:t>Y.3100-series</w:t>
            </w:r>
            <w:r w:rsidR="0D75D4E5" w:rsidRPr="00073574">
              <w:t>.</w:t>
            </w:r>
          </w:p>
          <w:p w14:paraId="2571D7CA" w14:textId="2EB61844" w:rsidR="000A086D" w:rsidRPr="00073574" w:rsidRDefault="2417DD33" w:rsidP="002E241A">
            <w:pPr>
              <w:pStyle w:val="ListParagraph"/>
              <w:numPr>
                <w:ilvl w:val="0"/>
                <w:numId w:val="26"/>
              </w:numPr>
              <w:ind w:left="357" w:hanging="357"/>
              <w:contextualSpacing w:val="0"/>
            </w:pPr>
            <w:r w:rsidRPr="00073574">
              <w:lastRenderedPageBreak/>
              <w:t>Work worldwide on IMT-2020 was presented at the workshop “</w:t>
            </w:r>
            <w:hyperlink r:id="rId810">
              <w:r w:rsidRPr="00073574">
                <w:t>IMT-2020/5G workshop and demo day</w:t>
              </w:r>
            </w:hyperlink>
            <w:r w:rsidRPr="00073574">
              <w:t xml:space="preserve">”, 11 July 2017, Geneva. </w:t>
            </w:r>
            <w:r w:rsidR="6D9706D8" w:rsidRPr="00073574">
              <w:t xml:space="preserve">Work worldwide on IMT-2020 was presented at the </w:t>
            </w:r>
            <w:r w:rsidR="455FA865" w:rsidRPr="00073574">
              <w:t xml:space="preserve">third </w:t>
            </w:r>
            <w:r w:rsidR="714FCC38" w:rsidRPr="00073574">
              <w:t xml:space="preserve">annual </w:t>
            </w:r>
            <w:r w:rsidR="455FA865" w:rsidRPr="00073574">
              <w:t xml:space="preserve">ITU </w:t>
            </w:r>
            <w:r w:rsidR="6D9706D8" w:rsidRPr="00073574">
              <w:t xml:space="preserve">workshop </w:t>
            </w:r>
            <w:r w:rsidR="455FA865" w:rsidRPr="00073574">
              <w:t xml:space="preserve">on </w:t>
            </w:r>
            <w:hyperlink r:id="rId811">
              <w:r w:rsidR="6D9706D8" w:rsidRPr="00073574">
                <w:t>IMT-2020/5G and demo day</w:t>
              </w:r>
            </w:hyperlink>
            <w:r w:rsidR="6D9706D8" w:rsidRPr="00073574">
              <w:t>”, 1</w:t>
            </w:r>
            <w:r w:rsidR="455FA865" w:rsidRPr="00073574">
              <w:t>8</w:t>
            </w:r>
            <w:r w:rsidR="6D9706D8" w:rsidRPr="00073574">
              <w:t xml:space="preserve"> July 201</w:t>
            </w:r>
            <w:r w:rsidR="455FA865" w:rsidRPr="00073574">
              <w:t>8</w:t>
            </w:r>
            <w:r w:rsidR="6D9706D8" w:rsidRPr="00073574">
              <w:t xml:space="preserve"> Geneva</w:t>
            </w:r>
            <w:r w:rsidR="10E18407" w:rsidRPr="00073574">
              <w:t xml:space="preserve">, as well as at each </w:t>
            </w:r>
            <w:r w:rsidR="25BAF361" w:rsidRPr="00073574">
              <w:t xml:space="preserve">second </w:t>
            </w:r>
            <w:r w:rsidR="10E18407" w:rsidRPr="00073574">
              <w:t>FG NET2030 workshop (2018 - 2020)</w:t>
            </w:r>
            <w:r w:rsidR="6D9706D8" w:rsidRPr="00073574">
              <w:t>.</w:t>
            </w:r>
          </w:p>
          <w:p w14:paraId="3E094A97" w14:textId="6515E36E" w:rsidR="00586ED0" w:rsidRPr="00073574" w:rsidRDefault="200117F7" w:rsidP="4D78197E">
            <w:pPr>
              <w:pStyle w:val="ListParagraph"/>
              <w:numPr>
                <w:ilvl w:val="0"/>
                <w:numId w:val="26"/>
              </w:numPr>
              <w:ind w:left="357" w:hanging="357"/>
              <w:contextualSpacing w:val="0"/>
            </w:pPr>
            <w:r w:rsidRPr="00073574">
              <w:t>A new FG (ML5G) was establish</w:t>
            </w:r>
            <w:r w:rsidR="0D9D5AE3" w:rsidRPr="00073574">
              <w:t>ed</w:t>
            </w:r>
            <w:r w:rsidRPr="00073574">
              <w:t xml:space="preserve"> to look into the networks self-training and self-organizing as applied to the IMT-2020.</w:t>
            </w:r>
            <w:r w:rsidR="06E44C88" w:rsidRPr="00073574">
              <w:t xml:space="preserve"> It accomplished its duties in July 2020</w:t>
            </w:r>
            <w:r w:rsidR="3A98E572" w:rsidRPr="00073574">
              <w:t xml:space="preserve"> and produced in total 11 outputs</w:t>
            </w:r>
            <w:r w:rsidR="06E44C88" w:rsidRPr="00073574">
              <w:t>.</w:t>
            </w:r>
          </w:p>
          <w:p w14:paraId="1F226451" w14:textId="672910AD" w:rsidR="00291565" w:rsidRPr="00073574" w:rsidRDefault="07E9FA0B" w:rsidP="4D78197E">
            <w:pPr>
              <w:pStyle w:val="ListParagraph"/>
              <w:numPr>
                <w:ilvl w:val="0"/>
                <w:numId w:val="26"/>
              </w:numPr>
              <w:ind w:left="357" w:hanging="357"/>
              <w:contextualSpacing w:val="0"/>
            </w:pPr>
            <w:r w:rsidRPr="00073574">
              <w:t>A new FG (</w:t>
            </w:r>
            <w:r w:rsidR="2691025D" w:rsidRPr="00073574">
              <w:t>NET2030</w:t>
            </w:r>
            <w:r w:rsidRPr="00073574">
              <w:t>) was establish</w:t>
            </w:r>
            <w:r w:rsidR="2691025D" w:rsidRPr="00073574">
              <w:t>ed</w:t>
            </w:r>
            <w:r w:rsidRPr="00073574">
              <w:t xml:space="preserve"> to look into the networks </w:t>
            </w:r>
            <w:r w:rsidR="2691025D" w:rsidRPr="00073574">
              <w:t xml:space="preserve">far beyond the existing, </w:t>
            </w:r>
            <w:r w:rsidR="53453F27" w:rsidRPr="00073574">
              <w:t>those</w:t>
            </w:r>
            <w:r w:rsidR="2691025D" w:rsidRPr="00073574">
              <w:t xml:space="preserve"> what will be in operation around 2030 – 2035.</w:t>
            </w:r>
            <w:r w:rsidR="1E73856C" w:rsidRPr="00073574">
              <w:t xml:space="preserve"> It finished its work in July 2020 having produced 8 Deliverables.</w:t>
            </w:r>
          </w:p>
          <w:p w14:paraId="26C59F0B" w14:textId="7EA46C48" w:rsidR="008E3A89" w:rsidRPr="00073574" w:rsidRDefault="008E3A89" w:rsidP="4D78197E">
            <w:pPr>
              <w:pStyle w:val="ListParagraph"/>
              <w:numPr>
                <w:ilvl w:val="0"/>
                <w:numId w:val="26"/>
              </w:numPr>
              <w:ind w:left="357" w:hanging="357"/>
              <w:contextualSpacing w:val="0"/>
            </w:pPr>
            <w:r w:rsidRPr="00073574">
              <w:t>A new Focus Group on Testbed Federations for IMT</w:t>
            </w:r>
            <w:r w:rsidR="001744DC" w:rsidRPr="00073574">
              <w:t>-</w:t>
            </w:r>
            <w:r w:rsidRPr="00073574">
              <w:t xml:space="preserve">2020 and beyond </w:t>
            </w:r>
            <w:r w:rsidR="00D253AE" w:rsidRPr="00073574">
              <w:t xml:space="preserve">(FG-TBFxG) </w:t>
            </w:r>
            <w:r w:rsidRPr="00073574">
              <w:t xml:space="preserve">was established by SG11 </w:t>
            </w:r>
            <w:r w:rsidR="00D253AE" w:rsidRPr="00073574">
              <w:t xml:space="preserve">in December 2021. It will </w:t>
            </w:r>
            <w:r w:rsidR="00A31559" w:rsidRPr="00073574">
              <w:t>focus on APIs to be used in testbed federations and relevant use cases.</w:t>
            </w:r>
          </w:p>
          <w:p w14:paraId="2046CAA0" w14:textId="720B329C" w:rsidR="00586ED0" w:rsidRPr="00073574" w:rsidRDefault="00586ED0" w:rsidP="002E241A">
            <w:pPr>
              <w:pStyle w:val="ListParagraph"/>
              <w:numPr>
                <w:ilvl w:val="0"/>
                <w:numId w:val="26"/>
              </w:numPr>
              <w:ind w:left="357" w:hanging="357"/>
              <w:contextualSpacing w:val="0"/>
            </w:pPr>
            <w:r w:rsidRPr="00073574">
              <w:t>A Workshop on Machine Learning for 5G and beyond took place in Geneva, 29 January 2018. It elaborated the approach of operating with data to train systems and shared the known experiences in this domain.</w:t>
            </w:r>
          </w:p>
          <w:p w14:paraId="2DDECD46" w14:textId="45BDF4F2" w:rsidR="007F16EA" w:rsidRPr="00073574" w:rsidRDefault="007F16EA" w:rsidP="002E241A">
            <w:pPr>
              <w:pStyle w:val="ListParagraph"/>
              <w:numPr>
                <w:ilvl w:val="0"/>
                <w:numId w:val="26"/>
              </w:numPr>
              <w:ind w:left="357" w:hanging="357"/>
              <w:contextualSpacing w:val="0"/>
            </w:pPr>
            <w:r w:rsidRPr="00073574">
              <w:t>A Workshop on Network 2030 took place in New York, 2 October 2018. It gathers the views of what the future networks might look like and what kind of services to deliver. Further five workshops on this topic increased awareness and understanding of future networks and their abilities and innovations. FG</w:t>
            </w:r>
            <w:r w:rsidR="001F61B5" w:rsidRPr="00073574">
              <w:t>-</w:t>
            </w:r>
            <w:r w:rsidRPr="00073574">
              <w:t>NET2030 published a White Paper “</w:t>
            </w:r>
            <w:hyperlink r:id="rId812">
              <w:r w:rsidRPr="00073574">
                <w:rPr>
                  <w:rStyle w:val="Hyperlink"/>
                </w:rPr>
                <w:t>Network 2030 - A Blueprint of Technology, Applications and Market Drivers Towards the Year 2030 and Beyond</w:t>
              </w:r>
            </w:hyperlink>
            <w:r w:rsidRPr="00073574">
              <w:t>”</w:t>
            </w:r>
            <w:r w:rsidR="008C5DD0" w:rsidRPr="00073574">
              <w:t xml:space="preserve"> </w:t>
            </w:r>
            <w:r w:rsidRPr="00073574">
              <w:t>and “New Services and Capabilities for Network 2030: Description, Technical Gap and Performance Target Analysis” Deliverable.</w:t>
            </w:r>
          </w:p>
          <w:p w14:paraId="4B1C87B0" w14:textId="08CF189B" w:rsidR="006D14F2" w:rsidRPr="00073574" w:rsidRDefault="006D14F2" w:rsidP="002E241A">
            <w:pPr>
              <w:pStyle w:val="ListParagraph"/>
              <w:numPr>
                <w:ilvl w:val="0"/>
                <w:numId w:val="26"/>
              </w:numPr>
              <w:spacing w:after="40"/>
              <w:ind w:left="357" w:hanging="357"/>
              <w:contextualSpacing w:val="0"/>
            </w:pPr>
            <w:r w:rsidRPr="00073574">
              <w:t>SG15 appointed a liaison rapporteur to SG13 on 5G/IMT-2020 issues.</w:t>
            </w:r>
          </w:p>
        </w:tc>
      </w:tr>
      <w:tr w:rsidR="00F0236A" w:rsidRPr="00073574" w14:paraId="5520AAF2" w14:textId="77777777" w:rsidTr="4D78197E">
        <w:trPr>
          <w:jc w:val="center"/>
        </w:trPr>
        <w:tc>
          <w:tcPr>
            <w:tcW w:w="1131" w:type="dxa"/>
            <w:vMerge w:val="restart"/>
            <w:tcBorders>
              <w:top w:val="single" w:sz="12" w:space="0" w:color="auto"/>
            </w:tcBorders>
            <w:shd w:val="clear" w:color="auto" w:fill="auto"/>
          </w:tcPr>
          <w:p w14:paraId="0F66DBA5" w14:textId="457D4930" w:rsidR="00F0236A" w:rsidRPr="00073574" w:rsidRDefault="00F0236A" w:rsidP="00DF36E1">
            <w:pPr>
              <w:pStyle w:val="Tabletext"/>
              <w:keepNext/>
              <w:keepLines/>
              <w:rPr>
                <w:b/>
                <w:bCs/>
                <w:sz w:val="24"/>
                <w:szCs w:val="24"/>
              </w:rPr>
            </w:pPr>
            <w:r w:rsidRPr="00073574">
              <w:rPr>
                <w:b/>
                <w:bCs/>
                <w:sz w:val="24"/>
                <w:szCs w:val="24"/>
              </w:rPr>
              <w:lastRenderedPageBreak/>
              <w:t>92-02</w:t>
            </w:r>
          </w:p>
        </w:tc>
        <w:tc>
          <w:tcPr>
            <w:tcW w:w="4987" w:type="dxa"/>
            <w:tcBorders>
              <w:top w:val="single" w:sz="12" w:space="0" w:color="auto"/>
              <w:bottom w:val="single" w:sz="4" w:space="0" w:color="auto"/>
            </w:tcBorders>
            <w:shd w:val="clear" w:color="auto" w:fill="auto"/>
          </w:tcPr>
          <w:p w14:paraId="78050E2C" w14:textId="77777777" w:rsidR="00F0236A" w:rsidRPr="00073574" w:rsidRDefault="00F0236A" w:rsidP="00DF36E1">
            <w:pPr>
              <w:pStyle w:val="Tabletext"/>
              <w:keepNext/>
              <w:keepLines/>
              <w:rPr>
                <w:b/>
                <w:bCs/>
                <w:sz w:val="24"/>
                <w:szCs w:val="24"/>
              </w:rPr>
            </w:pPr>
            <w:r w:rsidRPr="00073574">
              <w:rPr>
                <w:b/>
                <w:bCs/>
                <w:sz w:val="24"/>
                <w:szCs w:val="24"/>
              </w:rPr>
              <w:t>All ITU-T study groups to strengthen the cooperation and coordination on IMT (especially IMT-2020) standardization activities with a positive and double-win spirit, in order to ensure a productive and practical standard solution for the global ICT industry;</w:t>
            </w:r>
          </w:p>
          <w:p w14:paraId="74FDA7E4" w14:textId="77777777" w:rsidR="00F0236A" w:rsidRPr="00073574" w:rsidRDefault="00F0236A" w:rsidP="00DF36E1">
            <w:pPr>
              <w:pStyle w:val="Tabletext"/>
              <w:keepNext/>
              <w:keepLines/>
              <w:rPr>
                <w:b/>
                <w:bCs/>
                <w:sz w:val="24"/>
                <w:szCs w:val="24"/>
              </w:rPr>
            </w:pPr>
            <w:r w:rsidRPr="00073574">
              <w:rPr>
                <w:b/>
                <w:bCs/>
                <w:sz w:val="24"/>
                <w:szCs w:val="24"/>
              </w:rPr>
              <w:t>and to promote efficiently the standardization research work on the non-radio side network technologies of IMT (i. SGs 1, 2)</w:t>
            </w:r>
          </w:p>
        </w:tc>
        <w:tc>
          <w:tcPr>
            <w:tcW w:w="1335" w:type="dxa"/>
            <w:tcBorders>
              <w:top w:val="single" w:sz="12" w:space="0" w:color="auto"/>
              <w:bottom w:val="single" w:sz="4" w:space="0" w:color="auto"/>
            </w:tcBorders>
            <w:shd w:val="clear" w:color="auto" w:fill="auto"/>
            <w:vAlign w:val="center"/>
          </w:tcPr>
          <w:p w14:paraId="421EC40C" w14:textId="77777777" w:rsidR="00F0236A" w:rsidRPr="00073574" w:rsidRDefault="00F0236A" w:rsidP="00DF36E1">
            <w:pPr>
              <w:pStyle w:val="Tabletext"/>
              <w:jc w:val="center"/>
              <w:rPr>
                <w:b/>
                <w:bCs/>
                <w:sz w:val="24"/>
                <w:szCs w:val="24"/>
              </w:rPr>
            </w:pPr>
            <w:r w:rsidRPr="00073574">
              <w:rPr>
                <w:b/>
                <w:bCs/>
                <w:sz w:val="24"/>
                <w:szCs w:val="24"/>
              </w:rPr>
              <w:t>TSAG meetings,</w:t>
            </w:r>
          </w:p>
          <w:p w14:paraId="3153E1B1"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43" w:type="dxa"/>
            <w:tcBorders>
              <w:top w:val="single" w:sz="12" w:space="0" w:color="auto"/>
              <w:bottom w:val="single" w:sz="4" w:space="0" w:color="auto"/>
            </w:tcBorders>
            <w:shd w:val="clear" w:color="auto" w:fill="auto"/>
            <w:vAlign w:val="center"/>
          </w:tcPr>
          <w:p w14:paraId="7A061B43"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bottom w:val="single" w:sz="4" w:space="0" w:color="auto"/>
            </w:tcBorders>
            <w:shd w:val="clear" w:color="auto" w:fill="auto"/>
            <w:vAlign w:val="center"/>
          </w:tcPr>
          <w:p w14:paraId="5750E2FB" w14:textId="77777777" w:rsidR="00F0236A" w:rsidRPr="00073574" w:rsidRDefault="00F0236A" w:rsidP="00DF36E1">
            <w:pPr>
              <w:pStyle w:val="Tabletext"/>
              <w:jc w:val="center"/>
              <w:rPr>
                <w:b/>
                <w:bCs/>
                <w:sz w:val="24"/>
                <w:szCs w:val="24"/>
              </w:rPr>
            </w:pPr>
          </w:p>
        </w:tc>
      </w:tr>
      <w:tr w:rsidR="00F0236A" w:rsidRPr="00073574" w14:paraId="731DE365" w14:textId="77777777" w:rsidTr="4D78197E">
        <w:trPr>
          <w:jc w:val="center"/>
        </w:trPr>
        <w:tc>
          <w:tcPr>
            <w:tcW w:w="1131" w:type="dxa"/>
            <w:vMerge/>
            <w:vAlign w:val="center"/>
          </w:tcPr>
          <w:p w14:paraId="614AF81A" w14:textId="77777777" w:rsidR="00F0236A" w:rsidRPr="00073574" w:rsidRDefault="00F0236A" w:rsidP="00DF36E1">
            <w:pPr>
              <w:pStyle w:val="Tabletext"/>
              <w:rPr>
                <w:sz w:val="24"/>
                <w:szCs w:val="24"/>
              </w:rPr>
            </w:pPr>
          </w:p>
        </w:tc>
        <w:tc>
          <w:tcPr>
            <w:tcW w:w="8801" w:type="dxa"/>
            <w:gridSpan w:val="4"/>
            <w:tcBorders>
              <w:top w:val="single" w:sz="4" w:space="0" w:color="auto"/>
              <w:bottom w:val="single" w:sz="12" w:space="0" w:color="auto"/>
            </w:tcBorders>
            <w:shd w:val="clear" w:color="auto" w:fill="auto"/>
          </w:tcPr>
          <w:p w14:paraId="4D87602C" w14:textId="77777777" w:rsidR="00582FF9" w:rsidRPr="00073574" w:rsidRDefault="00582FF9" w:rsidP="002E241A">
            <w:pPr>
              <w:pStyle w:val="ListParagraph"/>
              <w:numPr>
                <w:ilvl w:val="0"/>
                <w:numId w:val="26"/>
              </w:numPr>
              <w:spacing w:before="40"/>
              <w:ind w:left="357" w:hanging="357"/>
            </w:pPr>
            <w:r w:rsidRPr="00073574">
              <w:t>SG2: Liaised with SG13 on IMT-2020 management.</w:t>
            </w:r>
          </w:p>
          <w:p w14:paraId="673F3BE4" w14:textId="03EB988C" w:rsidR="00B4367E" w:rsidRPr="00073574" w:rsidRDefault="00B4367E" w:rsidP="001F61B5">
            <w:pPr>
              <w:pStyle w:val="ListParagraph"/>
              <w:numPr>
                <w:ilvl w:val="0"/>
                <w:numId w:val="26"/>
              </w:numPr>
              <w:ind w:left="357" w:hanging="357"/>
              <w:contextualSpacing w:val="0"/>
            </w:pPr>
            <w:r w:rsidRPr="00073574">
              <w:t xml:space="preserve">SG3 liaised with </w:t>
            </w:r>
            <w:r w:rsidR="00492849" w:rsidRPr="00073574">
              <w:t>SG13</w:t>
            </w:r>
            <w:r w:rsidR="00435986" w:rsidRPr="00073574">
              <w:t xml:space="preserve"> and its related Focus Group</w:t>
            </w:r>
            <w:r w:rsidR="00492849" w:rsidRPr="00073574">
              <w:t xml:space="preserve">, 3GPP, and JCA-IMT2020 on work item </w:t>
            </w:r>
            <w:r w:rsidR="00903808" w:rsidRPr="00073574">
              <w:t>STUDY_IMT2020MVNOs,</w:t>
            </w:r>
            <w:r w:rsidR="00553F95" w:rsidRPr="00073574">
              <w:t xml:space="preserve"> a Technical Paper on </w:t>
            </w:r>
            <w:r w:rsidR="00337F00" w:rsidRPr="00073574">
              <w:t>5G related policy considering MVNOs.</w:t>
            </w:r>
            <w:r w:rsidR="00DB772D" w:rsidRPr="00073574">
              <w:t xml:space="preserve"> SG3 also nominated a representative of ITU-T SG3 to </w:t>
            </w:r>
            <w:r w:rsidR="008F743A" w:rsidRPr="00073574">
              <w:t xml:space="preserve">the JCA-IMT2020 </w:t>
            </w:r>
            <w:r w:rsidR="00DB772D" w:rsidRPr="00073574">
              <w:t>group.</w:t>
            </w:r>
          </w:p>
          <w:p w14:paraId="363326E0" w14:textId="53EDE8A8" w:rsidR="00F0236A" w:rsidRPr="00073574" w:rsidRDefault="00F0236A" w:rsidP="002E241A">
            <w:pPr>
              <w:pStyle w:val="ListParagraph"/>
              <w:numPr>
                <w:ilvl w:val="0"/>
                <w:numId w:val="26"/>
              </w:numPr>
              <w:contextualSpacing w:val="0"/>
            </w:pPr>
            <w:r w:rsidRPr="00073574">
              <w:t>SG5 is working on Setting Environmental Requirements for 5G and is developing a series of technical reports</w:t>
            </w:r>
            <w:r w:rsidR="0003116D" w:rsidRPr="00073574">
              <w:t>, supplements,</w:t>
            </w:r>
            <w:r w:rsidRPr="00073574">
              <w:t xml:space="preserve"> and international standards that will study environmental aspects of 5G such as: electromagnetic compatibility (EMC); electromagnetic fields (EMF); energy feeding and efficiency; and resistibility. SG5 is currently working on:</w:t>
            </w:r>
          </w:p>
          <w:p w14:paraId="593CA69F" w14:textId="0963CFF9" w:rsidR="000722CD" w:rsidRPr="00073574" w:rsidRDefault="000722CD" w:rsidP="00CF369F">
            <w:pPr>
              <w:pStyle w:val="ListParagraph"/>
              <w:numPr>
                <w:ilvl w:val="1"/>
                <w:numId w:val="26"/>
              </w:numPr>
              <w:ind w:left="1077" w:hanging="357"/>
              <w:contextualSpacing w:val="0"/>
            </w:pPr>
            <w:r w:rsidRPr="00073574">
              <w:t>L.5G_sav - Energy saving technologies and best practices for 5G RAN equipment;</w:t>
            </w:r>
          </w:p>
          <w:p w14:paraId="5602C88A" w14:textId="77777777" w:rsidR="00E2514C" w:rsidRPr="00073574" w:rsidRDefault="00E2514C" w:rsidP="00CF369F">
            <w:pPr>
              <w:pStyle w:val="ListParagraph"/>
              <w:numPr>
                <w:ilvl w:val="1"/>
                <w:numId w:val="26"/>
              </w:numPr>
              <w:ind w:left="1077" w:hanging="357"/>
              <w:contextualSpacing w:val="0"/>
            </w:pPr>
            <w:r w:rsidRPr="00073574">
              <w:t>L.EE_5G - Energy efficiency Metrics and measurement methodology for 5G base station;</w:t>
            </w:r>
          </w:p>
          <w:p w14:paraId="43D44194" w14:textId="77777777" w:rsidR="00E2514C" w:rsidRPr="00073574" w:rsidRDefault="00E2514C" w:rsidP="00CF369F">
            <w:pPr>
              <w:pStyle w:val="ListParagraph"/>
              <w:numPr>
                <w:ilvl w:val="1"/>
                <w:numId w:val="26"/>
              </w:numPr>
              <w:ind w:left="1077" w:hanging="357"/>
              <w:contextualSpacing w:val="0"/>
            </w:pPr>
            <w:r w:rsidRPr="00073574">
              <w:lastRenderedPageBreak/>
              <w:t>L.EE_slicing - Energy efficiency and Slicing of IMT2020/5G;</w:t>
            </w:r>
          </w:p>
          <w:p w14:paraId="40E4B6BD" w14:textId="77777777" w:rsidR="00E2514C" w:rsidRPr="00073574" w:rsidRDefault="00E2514C" w:rsidP="00CF369F">
            <w:pPr>
              <w:pStyle w:val="ListParagraph"/>
              <w:numPr>
                <w:ilvl w:val="1"/>
                <w:numId w:val="26"/>
              </w:numPr>
              <w:ind w:left="1077" w:hanging="357"/>
              <w:contextualSpacing w:val="0"/>
            </w:pPr>
            <w:r w:rsidRPr="00073574">
              <w:t>L.ENV-KPI-5G-ARCH – Environmental KPIs/metrics for 5G architectures.</w:t>
            </w:r>
          </w:p>
          <w:p w14:paraId="518019C4" w14:textId="5410C0D7" w:rsidR="0003116D" w:rsidRPr="00073574" w:rsidRDefault="0003116D" w:rsidP="00E2514C">
            <w:pPr>
              <w:pStyle w:val="ListParagraph"/>
              <w:ind w:left="360"/>
              <w:contextualSpacing w:val="0"/>
              <w:rPr>
                <w:szCs w:val="22"/>
              </w:rPr>
            </w:pPr>
            <w:r w:rsidRPr="00073574">
              <w:rPr>
                <w:szCs w:val="22"/>
              </w:rPr>
              <w:t xml:space="preserve">SG5 approved the following </w:t>
            </w:r>
            <w:r w:rsidR="00E2514C" w:rsidRPr="00073574">
              <w:rPr>
                <w:szCs w:val="22"/>
              </w:rPr>
              <w:t xml:space="preserve">Recommendations and </w:t>
            </w:r>
            <w:r w:rsidRPr="00073574">
              <w:rPr>
                <w:szCs w:val="22"/>
              </w:rPr>
              <w:t>Supplements:</w:t>
            </w:r>
          </w:p>
          <w:p w14:paraId="67A81084" w14:textId="077AAA04" w:rsidR="00DB2123" w:rsidRPr="00073574" w:rsidRDefault="00DB2123" w:rsidP="00CF369F">
            <w:pPr>
              <w:pStyle w:val="ListParagraph"/>
              <w:numPr>
                <w:ilvl w:val="1"/>
                <w:numId w:val="26"/>
              </w:numPr>
              <w:ind w:left="1077" w:hanging="357"/>
              <w:contextualSpacing w:val="0"/>
            </w:pPr>
            <w:r w:rsidRPr="00073574">
              <w:t>Recommendation ITU-T L.1210 “Sustainable power-feeding solutions for 5G networks”</w:t>
            </w:r>
          </w:p>
          <w:p w14:paraId="1CCCEE2F" w14:textId="1B069C54" w:rsidR="00E2514C" w:rsidRPr="00073574" w:rsidRDefault="00E2514C" w:rsidP="00CF369F">
            <w:pPr>
              <w:pStyle w:val="ListParagraph"/>
              <w:numPr>
                <w:ilvl w:val="1"/>
                <w:numId w:val="26"/>
              </w:numPr>
              <w:ind w:left="1077" w:hanging="357"/>
              <w:contextualSpacing w:val="0"/>
            </w:pPr>
            <w:r w:rsidRPr="00073574">
              <w:t>Recommendation ITU-T L.1220 "Innovative energy storage technology for stationary use - Part 1: Overview of energy storage"</w:t>
            </w:r>
          </w:p>
          <w:p w14:paraId="2DE37DD0" w14:textId="123D2596" w:rsidR="00E2514C" w:rsidRPr="00073574" w:rsidRDefault="00E2514C" w:rsidP="00CF369F">
            <w:pPr>
              <w:pStyle w:val="ListParagraph"/>
              <w:numPr>
                <w:ilvl w:val="1"/>
                <w:numId w:val="26"/>
              </w:numPr>
              <w:ind w:left="1077" w:hanging="357"/>
              <w:contextualSpacing w:val="0"/>
            </w:pPr>
            <w:r w:rsidRPr="00073574">
              <w:t>Recommendation ITU-T L.1221</w:t>
            </w:r>
            <w:r w:rsidR="004F64C6" w:rsidRPr="00073574">
              <w:t xml:space="preserve"> “Innovative energy storage technology for stationary use - Part 2: Battery</w:t>
            </w:r>
            <w:r w:rsidRPr="00073574">
              <w:t>”</w:t>
            </w:r>
          </w:p>
          <w:p w14:paraId="3142DB33" w14:textId="07D922A4" w:rsidR="00E2514C" w:rsidRPr="00073574" w:rsidRDefault="00E2514C" w:rsidP="00CF369F">
            <w:pPr>
              <w:pStyle w:val="ListParagraph"/>
              <w:numPr>
                <w:ilvl w:val="1"/>
                <w:numId w:val="26"/>
              </w:numPr>
              <w:ind w:left="1077" w:hanging="357"/>
              <w:contextualSpacing w:val="0"/>
            </w:pPr>
            <w:r w:rsidRPr="00073574">
              <w:t>Recommendation ITU-T L.1222 "Innovative energy storage technology for stationary use - Part 3: Supercapacitor technology"</w:t>
            </w:r>
          </w:p>
          <w:p w14:paraId="3012901F" w14:textId="09FAE4A4" w:rsidR="00DB2123" w:rsidRPr="00073574" w:rsidRDefault="00DB2123" w:rsidP="00CF369F">
            <w:pPr>
              <w:pStyle w:val="ListParagraph"/>
              <w:numPr>
                <w:ilvl w:val="1"/>
                <w:numId w:val="26"/>
              </w:numPr>
              <w:ind w:left="1077" w:hanging="357"/>
              <w:contextualSpacing w:val="0"/>
            </w:pPr>
            <w:r w:rsidRPr="00073574">
              <w:t>Recommendation ITU-T L.1380 “Smart energy solution for telecom sites”</w:t>
            </w:r>
          </w:p>
          <w:p w14:paraId="3C09ECD2" w14:textId="31E50299" w:rsidR="1B98319E" w:rsidRPr="00073574" w:rsidRDefault="1B98319E" w:rsidP="00CF369F">
            <w:pPr>
              <w:pStyle w:val="ListParagraph"/>
              <w:numPr>
                <w:ilvl w:val="1"/>
                <w:numId w:val="26"/>
              </w:numPr>
              <w:ind w:left="1077" w:hanging="357"/>
              <w:contextualSpacing w:val="0"/>
            </w:pPr>
            <w:r w:rsidRPr="00073574">
              <w:t>Recommendation ITU-T L.1381 “</w:t>
            </w:r>
            <w:r w:rsidR="570F36A3" w:rsidRPr="00073574">
              <w:t>Smart energy solution for data centre</w:t>
            </w:r>
            <w:r w:rsidRPr="00073574">
              <w:t>"</w:t>
            </w:r>
          </w:p>
          <w:p w14:paraId="10EC0603" w14:textId="2A744436" w:rsidR="2D594559" w:rsidRPr="00073574" w:rsidRDefault="2D594559" w:rsidP="00CF369F">
            <w:pPr>
              <w:pStyle w:val="ListParagraph"/>
              <w:numPr>
                <w:ilvl w:val="1"/>
                <w:numId w:val="26"/>
              </w:numPr>
              <w:ind w:left="1077" w:hanging="357"/>
              <w:contextualSpacing w:val="0"/>
            </w:pPr>
            <w:r w:rsidRPr="00073574">
              <w:t>Recommendation ITU-T L.1382 “Smart energy solution for telecommunication rooms"</w:t>
            </w:r>
          </w:p>
          <w:p w14:paraId="15929C22" w14:textId="26157DF5" w:rsidR="2D594559" w:rsidRPr="00073574" w:rsidRDefault="2D594559" w:rsidP="00CF369F">
            <w:pPr>
              <w:pStyle w:val="ListParagraph"/>
              <w:numPr>
                <w:ilvl w:val="1"/>
                <w:numId w:val="26"/>
              </w:numPr>
              <w:ind w:left="1077" w:hanging="357"/>
              <w:contextualSpacing w:val="0"/>
            </w:pPr>
            <w:r w:rsidRPr="00073574">
              <w:t>K.Suppl.1 “Guide on electromagnetic fields and health"</w:t>
            </w:r>
          </w:p>
          <w:p w14:paraId="20E19CD7" w14:textId="405F9D83" w:rsidR="000722CD" w:rsidRPr="00073574" w:rsidRDefault="000722CD" w:rsidP="00CF369F">
            <w:pPr>
              <w:pStyle w:val="ListParagraph"/>
              <w:numPr>
                <w:ilvl w:val="1"/>
                <w:numId w:val="26"/>
              </w:numPr>
              <w:ind w:left="1077" w:hanging="357"/>
              <w:contextualSpacing w:val="0"/>
            </w:pPr>
            <w:r w:rsidRPr="00073574">
              <w:t>K.Suppl.4 "Electromagnetic field considerations in smart sustainable cities"</w:t>
            </w:r>
          </w:p>
          <w:p w14:paraId="3A69462D" w14:textId="773755C0" w:rsidR="0003116D" w:rsidRPr="00073574" w:rsidRDefault="0003116D" w:rsidP="00CF369F">
            <w:pPr>
              <w:pStyle w:val="ListParagraph"/>
              <w:numPr>
                <w:ilvl w:val="1"/>
                <w:numId w:val="26"/>
              </w:numPr>
              <w:ind w:left="1077" w:hanging="357"/>
              <w:contextualSpacing w:val="0"/>
            </w:pPr>
            <w:r w:rsidRPr="00073574">
              <w:t>K.Suppl.8 "Resistibility analysis of 5G systems"</w:t>
            </w:r>
          </w:p>
          <w:p w14:paraId="73B5FB3F" w14:textId="0D2A144B" w:rsidR="0003116D" w:rsidRPr="00073574" w:rsidRDefault="0003116D" w:rsidP="00CF369F">
            <w:pPr>
              <w:pStyle w:val="ListParagraph"/>
              <w:numPr>
                <w:ilvl w:val="1"/>
                <w:numId w:val="26"/>
              </w:numPr>
              <w:ind w:left="1077" w:hanging="357"/>
              <w:contextualSpacing w:val="0"/>
            </w:pPr>
            <w:r w:rsidRPr="00073574">
              <w:t>K.Suppl.9 "5G technology and human exposure to RF EMF"</w:t>
            </w:r>
          </w:p>
          <w:p w14:paraId="052336F4" w14:textId="0DB01F96" w:rsidR="0003116D" w:rsidRPr="00073574" w:rsidRDefault="0003116D" w:rsidP="00CF369F">
            <w:pPr>
              <w:pStyle w:val="ListParagraph"/>
              <w:numPr>
                <w:ilvl w:val="1"/>
                <w:numId w:val="26"/>
              </w:numPr>
              <w:ind w:left="1077" w:hanging="357"/>
              <w:contextualSpacing w:val="0"/>
            </w:pPr>
            <w:r w:rsidRPr="00073574">
              <w:t>K.Suppl.10"Analysis of EMC aspects and definition of requirements for 5G systems"</w:t>
            </w:r>
          </w:p>
          <w:p w14:paraId="38B870E5" w14:textId="387DD824" w:rsidR="00E2514C" w:rsidRPr="00073574" w:rsidRDefault="00E2514C" w:rsidP="00CF369F">
            <w:pPr>
              <w:pStyle w:val="ListParagraph"/>
              <w:numPr>
                <w:ilvl w:val="1"/>
                <w:numId w:val="26"/>
              </w:numPr>
              <w:ind w:left="1077" w:hanging="357"/>
              <w:contextualSpacing w:val="0"/>
            </w:pPr>
            <w:r w:rsidRPr="00073574">
              <w:t>K.Suppl.14 “The impact of RF-EMF exposure limits stricter than the ICNIRP or IEEE guidelines on 4G and 5G mobile network deployment”</w:t>
            </w:r>
          </w:p>
          <w:p w14:paraId="4ED9A622" w14:textId="134E1C61" w:rsidR="00E2514C" w:rsidRPr="00073574" w:rsidRDefault="00E2514C" w:rsidP="00CF369F">
            <w:pPr>
              <w:pStyle w:val="ListParagraph"/>
              <w:numPr>
                <w:ilvl w:val="1"/>
                <w:numId w:val="26"/>
              </w:numPr>
              <w:ind w:left="1077" w:hanging="357"/>
              <w:contextualSpacing w:val="0"/>
            </w:pPr>
            <w:r w:rsidRPr="00073574">
              <w:t>K.Suppl.16 “</w:t>
            </w:r>
            <w:r w:rsidRPr="00073574">
              <w:rPr>
                <w:rFonts w:asciiTheme="majorBidi" w:hAnsiTheme="majorBidi" w:cstheme="majorBidi"/>
              </w:rPr>
              <w:t>Electromagnetic field (EMF) compliance assessments for 5G wireless networks</w:t>
            </w:r>
            <w:r w:rsidRPr="00073574">
              <w:t>”</w:t>
            </w:r>
          </w:p>
          <w:p w14:paraId="53694BB5" w14:textId="78F20117" w:rsidR="0003116D" w:rsidRPr="00073574" w:rsidRDefault="0003116D" w:rsidP="00CF369F">
            <w:pPr>
              <w:pStyle w:val="ListParagraph"/>
              <w:numPr>
                <w:ilvl w:val="1"/>
                <w:numId w:val="26"/>
              </w:numPr>
              <w:ind w:left="1077" w:hanging="357"/>
              <w:contextualSpacing w:val="0"/>
            </w:pPr>
            <w:r w:rsidRPr="00073574">
              <w:t>L.Suppl.36 to ITU-T L.1310 "Study on methods and metrics to evaluate energy efficiency for future 5G systems".</w:t>
            </w:r>
          </w:p>
          <w:p w14:paraId="68B7AD05" w14:textId="77777777" w:rsidR="00C03A5B" w:rsidRPr="00073574" w:rsidRDefault="00D33A03" w:rsidP="002E241A">
            <w:pPr>
              <w:pStyle w:val="ListParagraph"/>
              <w:numPr>
                <w:ilvl w:val="0"/>
                <w:numId w:val="26"/>
              </w:numPr>
              <w:contextualSpacing w:val="0"/>
            </w:pPr>
            <w:r w:rsidRPr="00073574">
              <w:t xml:space="preserve">SG11: WP2/11 "Control and management protocols for IMT-2020" studies issues related to IMT-2020 control plane. SG11 approved </w:t>
            </w:r>
            <w:r w:rsidR="006228DE" w:rsidRPr="00073574">
              <w:t xml:space="preserve">the following </w:t>
            </w:r>
            <w:r w:rsidR="00185376" w:rsidRPr="00073574">
              <w:rPr>
                <w:rFonts w:asciiTheme="majorBidi" w:hAnsiTheme="majorBidi" w:cstheme="majorBidi"/>
              </w:rPr>
              <w:t>Recommendation</w:t>
            </w:r>
            <w:r w:rsidR="006228DE" w:rsidRPr="00073574">
              <w:rPr>
                <w:rFonts w:asciiTheme="majorBidi" w:hAnsiTheme="majorBidi" w:cstheme="majorBidi"/>
              </w:rPr>
              <w:t>s on IMT-2020</w:t>
            </w:r>
            <w:r w:rsidR="00185376" w:rsidRPr="00073574">
              <w:t xml:space="preserve"> </w:t>
            </w:r>
            <w:r w:rsidR="006228DE" w:rsidRPr="00073574">
              <w:t>signalling</w:t>
            </w:r>
            <w:r w:rsidR="00C03A5B" w:rsidRPr="00073574">
              <w:t>:</w:t>
            </w:r>
          </w:p>
          <w:p w14:paraId="314DCDBE" w14:textId="253D116C" w:rsidR="00C03A5B" w:rsidRPr="00073574" w:rsidRDefault="00185376" w:rsidP="00CF369F">
            <w:pPr>
              <w:pStyle w:val="ListParagraph"/>
              <w:numPr>
                <w:ilvl w:val="1"/>
                <w:numId w:val="26"/>
              </w:numPr>
              <w:ind w:left="1077" w:hanging="357"/>
              <w:contextualSpacing w:val="0"/>
            </w:pPr>
            <w:r w:rsidRPr="00073574">
              <w:t>ITU-T Q.5001 "Signalling requirements and architecture of intelligent edge computing" which is based on AI technologies</w:t>
            </w:r>
            <w:r w:rsidR="00C03A5B" w:rsidRPr="00073574">
              <w:t>;</w:t>
            </w:r>
          </w:p>
          <w:p w14:paraId="404CC3CE" w14:textId="512EDAB9" w:rsidR="00F96249" w:rsidRPr="00073574" w:rsidRDefault="00F96249" w:rsidP="00CF369F">
            <w:pPr>
              <w:pStyle w:val="ListParagraph"/>
              <w:numPr>
                <w:ilvl w:val="1"/>
                <w:numId w:val="26"/>
              </w:numPr>
              <w:ind w:left="1077" w:hanging="357"/>
              <w:contextualSpacing w:val="0"/>
            </w:pPr>
            <w:r w:rsidRPr="00073574">
              <w:t>ITU-T Q.5002 “Signalling requirement and architecture for media service entity attachment”</w:t>
            </w:r>
            <w:r w:rsidR="00DE492F" w:rsidRPr="00073574">
              <w:t>;</w:t>
            </w:r>
          </w:p>
          <w:p w14:paraId="32D213C2" w14:textId="0556EA87" w:rsidR="00F96249" w:rsidRPr="00073574" w:rsidRDefault="00F96249" w:rsidP="00CF369F">
            <w:pPr>
              <w:pStyle w:val="ListParagraph"/>
              <w:numPr>
                <w:ilvl w:val="1"/>
                <w:numId w:val="26"/>
              </w:numPr>
              <w:ind w:left="1077" w:hanging="357"/>
              <w:contextualSpacing w:val="0"/>
            </w:pPr>
            <w:r w:rsidRPr="00073574">
              <w:t>ITU-T Q.5020 “Protocol requirements and procedures for network slice lifecycle management”;</w:t>
            </w:r>
          </w:p>
          <w:p w14:paraId="77335A80" w14:textId="25277AA1" w:rsidR="00C03A5B" w:rsidRPr="00073574" w:rsidRDefault="00185376" w:rsidP="00CF369F">
            <w:pPr>
              <w:pStyle w:val="ListParagraph"/>
              <w:numPr>
                <w:ilvl w:val="1"/>
                <w:numId w:val="26"/>
              </w:numPr>
              <w:ind w:left="1077" w:hanging="357"/>
              <w:contextualSpacing w:val="0"/>
            </w:pPr>
            <w:r w:rsidRPr="00073574">
              <w:t>ITU-T Q.5021 “Protocol for managing capability exposure APIs in IMT-2020 network"</w:t>
            </w:r>
            <w:r w:rsidR="00C03A5B" w:rsidRPr="00073574">
              <w:t>;</w:t>
            </w:r>
          </w:p>
          <w:p w14:paraId="3E19E2F0" w14:textId="76E72119" w:rsidR="00123E3E" w:rsidRPr="00073574" w:rsidRDefault="00407D69" w:rsidP="00CF369F">
            <w:pPr>
              <w:pStyle w:val="ListParagraph"/>
              <w:numPr>
                <w:ilvl w:val="1"/>
                <w:numId w:val="26"/>
              </w:numPr>
              <w:ind w:left="1077" w:hanging="357"/>
              <w:contextualSpacing w:val="0"/>
            </w:pPr>
            <w:r w:rsidRPr="00073574">
              <w:t>ITU-T Q.5022 “Signalling procedure of energy efficient device-to-device communication for IMT-2020 network”</w:t>
            </w:r>
            <w:r w:rsidR="004C4CB8" w:rsidRPr="00073574">
              <w:t>;</w:t>
            </w:r>
          </w:p>
          <w:p w14:paraId="6DC66940" w14:textId="5742499B" w:rsidR="004C4CB8" w:rsidRPr="00073574" w:rsidRDefault="004C4CB8" w:rsidP="00CF369F">
            <w:pPr>
              <w:pStyle w:val="ListParagraph"/>
              <w:numPr>
                <w:ilvl w:val="1"/>
                <w:numId w:val="26"/>
              </w:numPr>
              <w:ind w:left="1077" w:hanging="357"/>
              <w:contextualSpacing w:val="0"/>
            </w:pPr>
            <w:r w:rsidRPr="00073574">
              <w:lastRenderedPageBreak/>
              <w:t>ITU-T Q.5023 “</w:t>
            </w:r>
            <w:r w:rsidR="00706F4F" w:rsidRPr="00073574">
              <w:t>Protocol for managing intelligent network slicing with AI-assisted analysis in IMT-2020 network</w:t>
            </w:r>
            <w:r w:rsidRPr="00073574">
              <w:t>”.</w:t>
            </w:r>
          </w:p>
          <w:p w14:paraId="777B6B81" w14:textId="6B5C8FAB" w:rsidR="002D3F27" w:rsidRPr="00073574" w:rsidRDefault="002D3F27" w:rsidP="00185376">
            <w:pPr>
              <w:pStyle w:val="ListParagraph"/>
              <w:ind w:left="360"/>
              <w:contextualSpacing w:val="0"/>
              <w:rPr>
                <w:szCs w:val="22"/>
              </w:rPr>
            </w:pPr>
            <w:r w:rsidRPr="00073574">
              <w:rPr>
                <w:szCs w:val="22"/>
              </w:rPr>
              <w:t>In December 2021, SG11</w:t>
            </w:r>
            <w:r w:rsidR="009F28AA" w:rsidRPr="00073574">
              <w:rPr>
                <w:szCs w:val="22"/>
              </w:rPr>
              <w:t xml:space="preserve"> consented two Recommendations </w:t>
            </w:r>
            <w:r w:rsidR="008C5DD0" w:rsidRPr="00073574">
              <w:rPr>
                <w:szCs w:val="22"/>
              </w:rPr>
              <w:t>related</w:t>
            </w:r>
            <w:r w:rsidR="00C13A9D" w:rsidRPr="00073574">
              <w:rPr>
                <w:szCs w:val="22"/>
              </w:rPr>
              <w:t xml:space="preserve"> to </w:t>
            </w:r>
            <w:r w:rsidR="009F28AA" w:rsidRPr="00073574">
              <w:rPr>
                <w:szCs w:val="22"/>
              </w:rPr>
              <w:t xml:space="preserve">IMT-2020. </w:t>
            </w:r>
            <w:r w:rsidR="00751101" w:rsidRPr="00073574">
              <w:rPr>
                <w:szCs w:val="22"/>
              </w:rPr>
              <w:t xml:space="preserve">Twelve </w:t>
            </w:r>
            <w:r w:rsidR="009478DE" w:rsidRPr="00073574">
              <w:rPr>
                <w:szCs w:val="22"/>
              </w:rPr>
              <w:t xml:space="preserve">draft Recommendations </w:t>
            </w:r>
            <w:r w:rsidR="00751101" w:rsidRPr="00073574">
              <w:rPr>
                <w:szCs w:val="22"/>
              </w:rPr>
              <w:t>are under study.</w:t>
            </w:r>
          </w:p>
          <w:p w14:paraId="10B88CC4" w14:textId="3C02D8FF" w:rsidR="00D33A03" w:rsidRPr="00073574" w:rsidRDefault="00185376" w:rsidP="00185376">
            <w:pPr>
              <w:pStyle w:val="ListParagraph"/>
              <w:ind w:left="360"/>
              <w:contextualSpacing w:val="0"/>
              <w:rPr>
                <w:szCs w:val="22"/>
              </w:rPr>
            </w:pPr>
            <w:r w:rsidRPr="00073574">
              <w:rPr>
                <w:szCs w:val="22"/>
              </w:rPr>
              <w:t xml:space="preserve">SG11 </w:t>
            </w:r>
            <w:r w:rsidR="00D33A03" w:rsidRPr="00073574">
              <w:rPr>
                <w:szCs w:val="22"/>
              </w:rPr>
              <w:t xml:space="preserve">created new subcategories for </w:t>
            </w:r>
            <w:r w:rsidR="008C5DD0" w:rsidRPr="00073574">
              <w:rPr>
                <w:szCs w:val="22"/>
              </w:rPr>
              <w:t xml:space="preserve">ITU-T </w:t>
            </w:r>
            <w:r w:rsidR="00D33A03" w:rsidRPr="00073574">
              <w:rPr>
                <w:szCs w:val="22"/>
              </w:rPr>
              <w:t>Q.series recommendations dealing with signalling requirements for IMT-2020, as follows:</w:t>
            </w:r>
          </w:p>
          <w:p w14:paraId="12FCF6D9" w14:textId="77777777" w:rsidR="00D33A03" w:rsidRPr="00073574" w:rsidRDefault="00D33A03" w:rsidP="00CF369F">
            <w:pPr>
              <w:pStyle w:val="ListParagraph"/>
              <w:numPr>
                <w:ilvl w:val="1"/>
                <w:numId w:val="26"/>
              </w:numPr>
              <w:ind w:left="1077" w:hanging="357"/>
              <w:contextualSpacing w:val="0"/>
              <w:rPr>
                <w:rFonts w:asciiTheme="majorBidi" w:hAnsiTheme="majorBidi" w:cstheme="majorBidi"/>
              </w:rPr>
            </w:pPr>
            <w:r w:rsidRPr="00073574">
              <w:rPr>
                <w:rFonts w:asciiTheme="majorBidi" w:hAnsiTheme="majorBidi" w:cstheme="majorBidi"/>
              </w:rPr>
              <w:t>Q.5000-Q.5049: Signalling requirements and protocols for IMT-2020</w:t>
            </w:r>
          </w:p>
          <w:p w14:paraId="0D96ACCA" w14:textId="77777777" w:rsidR="00D33A03" w:rsidRPr="00073574" w:rsidRDefault="00D33A03" w:rsidP="00CF369F">
            <w:pPr>
              <w:pStyle w:val="ListParagraph"/>
              <w:numPr>
                <w:ilvl w:val="1"/>
                <w:numId w:val="26"/>
              </w:numPr>
              <w:ind w:left="1077" w:hanging="357"/>
              <w:contextualSpacing w:val="0"/>
              <w:rPr>
                <w:rFonts w:asciiTheme="majorBidi" w:hAnsiTheme="majorBidi" w:cstheme="majorBidi"/>
              </w:rPr>
            </w:pPr>
            <w:r w:rsidRPr="00073574">
              <w:rPr>
                <w:rFonts w:asciiTheme="majorBidi" w:hAnsiTheme="majorBidi" w:cstheme="majorBidi"/>
              </w:rPr>
              <w:t>Q.5000-Q.5019: Signalling requirements and architecture of IMT-2020</w:t>
            </w:r>
          </w:p>
          <w:p w14:paraId="686F7F92" w14:textId="77777777" w:rsidR="00D33A03" w:rsidRPr="00073574" w:rsidRDefault="00D33A03" w:rsidP="00CF369F">
            <w:pPr>
              <w:pStyle w:val="ListParagraph"/>
              <w:numPr>
                <w:ilvl w:val="1"/>
                <w:numId w:val="26"/>
              </w:numPr>
              <w:ind w:left="1077" w:hanging="357"/>
              <w:contextualSpacing w:val="0"/>
              <w:rPr>
                <w:rFonts w:asciiTheme="majorBidi" w:hAnsiTheme="majorBidi" w:cstheme="majorBidi"/>
              </w:rPr>
            </w:pPr>
            <w:r w:rsidRPr="00073574">
              <w:rPr>
                <w:rFonts w:asciiTheme="majorBidi" w:hAnsiTheme="majorBidi" w:cstheme="majorBidi"/>
              </w:rPr>
              <w:t>Q.4060-Q.4099: Testing specifications for IMT-2020 and IoT.</w:t>
            </w:r>
          </w:p>
          <w:p w14:paraId="331B1829" w14:textId="22AE4833" w:rsidR="0045364E" w:rsidRPr="00073574" w:rsidRDefault="00D33A03" w:rsidP="00D33A03">
            <w:pPr>
              <w:pStyle w:val="ListParagraph"/>
              <w:ind w:left="360"/>
              <w:contextualSpacing w:val="0"/>
              <w:rPr>
                <w:szCs w:val="22"/>
              </w:rPr>
            </w:pPr>
            <w:r w:rsidRPr="00073574">
              <w:rPr>
                <w:szCs w:val="22"/>
              </w:rPr>
              <w:t xml:space="preserve">In November 2017, </w:t>
            </w:r>
            <w:r w:rsidRPr="00073574">
              <w:rPr>
                <w:rFonts w:asciiTheme="majorBidi" w:hAnsiTheme="majorBidi" w:cstheme="majorBidi"/>
              </w:rPr>
              <w:t xml:space="preserve">SG11 organized a </w:t>
            </w:r>
            <w:hyperlink r:id="rId813" w:history="1">
              <w:r w:rsidRPr="00073574">
                <w:rPr>
                  <w:rStyle w:val="Hyperlink"/>
                  <w:rFonts w:cstheme="majorBidi"/>
                </w:rPr>
                <w:t>Workshop</w:t>
              </w:r>
            </w:hyperlink>
            <w:r w:rsidRPr="00073574">
              <w:rPr>
                <w:rFonts w:asciiTheme="majorBidi" w:hAnsiTheme="majorBidi" w:cstheme="majorBidi"/>
              </w:rPr>
              <w:t xml:space="preserve"> on “</w:t>
            </w:r>
            <w:r w:rsidRPr="00073574">
              <w:rPr>
                <w:rFonts w:asciiTheme="majorBidi" w:hAnsiTheme="majorBidi" w:cstheme="majorBidi"/>
                <w:i/>
              </w:rPr>
              <w:t>Control plane of IMT-2020 and emerging networks. Current issues and the way forward”</w:t>
            </w:r>
            <w:r w:rsidRPr="00073574">
              <w:rPr>
                <w:rFonts w:asciiTheme="majorBidi" w:hAnsiTheme="majorBidi" w:cstheme="majorBidi"/>
              </w:rPr>
              <w:t>, which goal was to identify current issues on signalling protocols for emerging networks, including interconnection, worldwide practices and perspectives on the implementation of 5G/IMT-2020/emerging networks and potential new areas for standardization on control plane of the 5G/IMT-2020/emerging networks.</w:t>
            </w:r>
          </w:p>
          <w:p w14:paraId="2979721D" w14:textId="7D1DC635" w:rsidR="002A7F95" w:rsidRPr="00073574" w:rsidRDefault="002A7F95" w:rsidP="002E241A">
            <w:pPr>
              <w:pStyle w:val="ListParagraph"/>
              <w:numPr>
                <w:ilvl w:val="0"/>
                <w:numId w:val="26"/>
              </w:numPr>
              <w:contextualSpacing w:val="0"/>
            </w:pPr>
            <w:r w:rsidRPr="00073574">
              <w:t>SG12</w:t>
            </w:r>
            <w:r w:rsidR="00D019E3" w:rsidRPr="00073574">
              <w:t xml:space="preserve"> works on QoS and QoE aspects of IMT-2020 networks and application scenarios</w:t>
            </w:r>
            <w:r w:rsidRPr="00073574">
              <w:t>.</w:t>
            </w:r>
            <w:r w:rsidR="00890694" w:rsidRPr="00073574">
              <w:t xml:space="preserve"> Recommendation ITU-T Y.1550 is applicable to IMT-2020 networks.</w:t>
            </w:r>
          </w:p>
          <w:p w14:paraId="4E8CA44B" w14:textId="2BD9FBF3" w:rsidR="00F0236A" w:rsidRPr="00073574" w:rsidRDefault="00F0236A" w:rsidP="002E241A">
            <w:pPr>
              <w:pStyle w:val="ListParagraph"/>
              <w:numPr>
                <w:ilvl w:val="0"/>
                <w:numId w:val="26"/>
              </w:numPr>
              <w:contextualSpacing w:val="0"/>
            </w:pPr>
            <w:r w:rsidRPr="00073574">
              <w:t>SG13, through its JCA-IMT2020, coordinates work with the focus on the non-radio aspects within ITU-T and coordination of the communication with standards development organizations, consortia and forums also working on IMT2020 related standards.</w:t>
            </w:r>
            <w:r w:rsidR="00CC41AA" w:rsidRPr="00073574">
              <w:t xml:space="preserve"> Tool for this is the IMT-2020 </w:t>
            </w:r>
            <w:r w:rsidR="00AE4784" w:rsidRPr="00073574">
              <w:t xml:space="preserve">and beyond </w:t>
            </w:r>
            <w:r w:rsidR="00CC41AA" w:rsidRPr="00073574">
              <w:t>standardization roadmap.</w:t>
            </w:r>
          </w:p>
          <w:p w14:paraId="18606956" w14:textId="1ADB886D" w:rsidR="003E3376" w:rsidRPr="00073574" w:rsidRDefault="779E04C3" w:rsidP="003E3376">
            <w:pPr>
              <w:pStyle w:val="ListParagraph"/>
              <w:ind w:left="357"/>
              <w:contextualSpacing w:val="0"/>
            </w:pPr>
            <w:r w:rsidRPr="00073574">
              <w:t>To date (</w:t>
            </w:r>
            <w:r w:rsidR="00AE4784" w:rsidRPr="00073574">
              <w:t>15.12</w:t>
            </w:r>
            <w:r w:rsidRPr="00073574">
              <w:t>.202</w:t>
            </w:r>
            <w:r w:rsidR="0080082C" w:rsidRPr="00073574">
              <w:t>1</w:t>
            </w:r>
            <w:r w:rsidRPr="00073574">
              <w:t xml:space="preserve">) SG13 has approved </w:t>
            </w:r>
            <w:r w:rsidR="00A90504" w:rsidRPr="00073574">
              <w:t>48</w:t>
            </w:r>
            <w:r w:rsidRPr="00073574">
              <w:t xml:space="preserve"> new Recommendations on IMT-2020, </w:t>
            </w:r>
            <w:r w:rsidR="383006E7" w:rsidRPr="00073574">
              <w:t>6</w:t>
            </w:r>
            <w:r w:rsidRPr="00073574">
              <w:t xml:space="preserve"> Supplements. It has ~</w:t>
            </w:r>
            <w:r w:rsidR="00B86EF3" w:rsidRPr="00073574">
              <w:t>6</w:t>
            </w:r>
            <w:r w:rsidR="00957F99" w:rsidRPr="00073574">
              <w:t>0</w:t>
            </w:r>
            <w:r w:rsidRPr="00073574">
              <w:t xml:space="preserve"> work items under development, and three published flipbooks on IMT-2020.</w:t>
            </w:r>
          </w:p>
          <w:p w14:paraId="04879F66" w14:textId="0B5E0247" w:rsidR="00F0236A" w:rsidRPr="00073574" w:rsidRDefault="002F6700" w:rsidP="00EF5B61">
            <w:pPr>
              <w:pStyle w:val="ListParagraph"/>
              <w:ind w:left="357"/>
              <w:contextualSpacing w:val="0"/>
              <w:rPr>
                <w:szCs w:val="22"/>
              </w:rPr>
            </w:pPr>
            <w:r w:rsidRPr="00073574">
              <w:rPr>
                <w:szCs w:val="22"/>
              </w:rPr>
              <w:t>At the first meeting i</w:t>
            </w:r>
            <w:r w:rsidR="00B92DBF" w:rsidRPr="00073574">
              <w:rPr>
                <w:szCs w:val="22"/>
              </w:rPr>
              <w:t>n</w:t>
            </w:r>
            <w:r w:rsidRPr="00073574">
              <w:rPr>
                <w:szCs w:val="22"/>
              </w:rPr>
              <w:t xml:space="preserve"> this study period SG13 created the action plan towards the more effective IMT-2020 standardization known as Technical Packages. </w:t>
            </w:r>
            <w:r w:rsidR="00EF5B61" w:rsidRPr="00073574">
              <w:rPr>
                <w:szCs w:val="22"/>
              </w:rPr>
              <w:t xml:space="preserve">It </w:t>
            </w:r>
            <w:r w:rsidR="00B92DBF" w:rsidRPr="00073574">
              <w:rPr>
                <w:szCs w:val="22"/>
              </w:rPr>
              <w:t>has</w:t>
            </w:r>
            <w:r w:rsidR="00EF5B61" w:rsidRPr="00073574">
              <w:rPr>
                <w:szCs w:val="22"/>
              </w:rPr>
              <w:t xml:space="preserve"> 5 chapters</w:t>
            </w:r>
            <w:r w:rsidR="000704E8" w:rsidRPr="00073574">
              <w:rPr>
                <w:szCs w:val="22"/>
              </w:rPr>
              <w:t>. In 2017</w:t>
            </w:r>
            <w:r w:rsidR="00B92DBF" w:rsidRPr="00073574">
              <w:rPr>
                <w:szCs w:val="22"/>
              </w:rPr>
              <w:t xml:space="preserve"> </w:t>
            </w:r>
            <w:r w:rsidR="00F0236A" w:rsidRPr="00073574">
              <w:rPr>
                <w:szCs w:val="22"/>
              </w:rPr>
              <w:t xml:space="preserve">SG13 </w:t>
            </w:r>
            <w:r w:rsidR="000704E8" w:rsidRPr="00073574">
              <w:rPr>
                <w:szCs w:val="22"/>
              </w:rPr>
              <w:t xml:space="preserve">had </w:t>
            </w:r>
            <w:r w:rsidR="00F0236A" w:rsidRPr="00073574">
              <w:rPr>
                <w:szCs w:val="22"/>
              </w:rPr>
              <w:t>opened communication channels with BBF and 3GPP to work on FMC in context of 5G.</w:t>
            </w:r>
          </w:p>
          <w:p w14:paraId="61FAD0D6" w14:textId="04260BAD" w:rsidR="00F0236A" w:rsidRPr="00073574" w:rsidRDefault="00F0236A" w:rsidP="00EF5B61">
            <w:pPr>
              <w:pStyle w:val="ListParagraph"/>
              <w:ind w:left="357"/>
              <w:contextualSpacing w:val="0"/>
              <w:rPr>
                <w:szCs w:val="22"/>
              </w:rPr>
            </w:pPr>
            <w:r w:rsidRPr="00073574">
              <w:rPr>
                <w:szCs w:val="22"/>
              </w:rPr>
              <w:t xml:space="preserve">SG13 </w:t>
            </w:r>
            <w:r w:rsidR="00B92DBF" w:rsidRPr="00073574">
              <w:rPr>
                <w:szCs w:val="22"/>
              </w:rPr>
              <w:t>supervises</w:t>
            </w:r>
            <w:r w:rsidRPr="00073574">
              <w:rPr>
                <w:szCs w:val="22"/>
              </w:rPr>
              <w:t xml:space="preserve"> the JCA-IMT2020.</w:t>
            </w:r>
          </w:p>
          <w:p w14:paraId="177E6CD1" w14:textId="34E0724E" w:rsidR="00821985" w:rsidRPr="00073574" w:rsidRDefault="00F0236A" w:rsidP="002E241A">
            <w:pPr>
              <w:pStyle w:val="ListParagraph"/>
              <w:numPr>
                <w:ilvl w:val="0"/>
                <w:numId w:val="26"/>
              </w:numPr>
              <w:spacing w:after="40"/>
              <w:ind w:left="357" w:hanging="357"/>
              <w:contextualSpacing w:val="0"/>
              <w:rPr>
                <w:sz w:val="24"/>
              </w:rPr>
            </w:pPr>
            <w:r w:rsidRPr="00073574">
              <w:t xml:space="preserve">SG15 works on technologies for fronthaul, </w:t>
            </w:r>
            <w:r w:rsidR="2BD7060D" w:rsidRPr="00073574">
              <w:t xml:space="preserve">middlehaul, </w:t>
            </w:r>
            <w:r w:rsidRPr="00073574">
              <w:t>backhaul and synchronization collaborating with relevant organizations including SG13.</w:t>
            </w:r>
            <w:r w:rsidR="0517C61C" w:rsidRPr="00073574">
              <w:t xml:space="preserve"> SG15 agreed on a </w:t>
            </w:r>
            <w:r w:rsidR="2BD7060D" w:rsidRPr="00073574">
              <w:t xml:space="preserve">revised </w:t>
            </w:r>
            <w:r w:rsidR="0517C61C" w:rsidRPr="00073574">
              <w:t>technical report GSTR-TN5G “</w:t>
            </w:r>
            <w:r w:rsidR="219CD156" w:rsidRPr="00073574">
              <w:t xml:space="preserve">Transport network support of IMT-2020/5G” at the SG15 meeting in </w:t>
            </w:r>
            <w:r w:rsidR="2BD7060D" w:rsidRPr="00073574">
              <w:t>October</w:t>
            </w:r>
            <w:r w:rsidR="219CD156" w:rsidRPr="00073574">
              <w:t xml:space="preserve"> 2018.</w:t>
            </w:r>
            <w:r w:rsidR="2BD7060D" w:rsidRPr="00073574">
              <w:t xml:space="preserve"> SG15 is working on various Recommendations, Supplements, Technical Reports, etc. on transport support for IMT-2020/5G.</w:t>
            </w:r>
          </w:p>
          <w:p w14:paraId="218DED49" w14:textId="7C9E67B3" w:rsidR="00CC4D7F" w:rsidRPr="00073574" w:rsidRDefault="00CB622D" w:rsidP="002E241A">
            <w:pPr>
              <w:pStyle w:val="ListParagraph"/>
              <w:numPr>
                <w:ilvl w:val="0"/>
                <w:numId w:val="26"/>
              </w:numPr>
              <w:spacing w:after="40"/>
              <w:ind w:left="357" w:hanging="357"/>
              <w:contextualSpacing w:val="0"/>
              <w:rPr>
                <w:sz w:val="24"/>
              </w:rPr>
            </w:pPr>
            <w:r w:rsidRPr="00073574">
              <w:t>SG15 is devel</w:t>
            </w:r>
            <w:r w:rsidR="00F26D81" w:rsidRPr="00073574">
              <w:t>oping Recommendations</w:t>
            </w:r>
            <w:r w:rsidR="001150F9" w:rsidRPr="00073574">
              <w:t xml:space="preserve"> on metro transport network (MTN) for</w:t>
            </w:r>
            <w:r w:rsidR="000D1B67" w:rsidRPr="00073574">
              <w:t xml:space="preserve"> transport support for IMT-2020/5G as</w:t>
            </w:r>
            <w:r w:rsidR="00B55991" w:rsidRPr="00073574">
              <w:t xml:space="preserve"> Recommendation ITU-T 8300 series “mobile network transport aspects”.</w:t>
            </w:r>
          </w:p>
          <w:p w14:paraId="6E2A9834" w14:textId="664D30D9" w:rsidR="00821985" w:rsidRPr="00073574" w:rsidRDefault="252B3D6E" w:rsidP="002E241A">
            <w:pPr>
              <w:pStyle w:val="ListParagraph"/>
              <w:numPr>
                <w:ilvl w:val="0"/>
                <w:numId w:val="26"/>
              </w:numPr>
              <w:spacing w:after="40"/>
              <w:ind w:left="357" w:hanging="357"/>
              <w:contextualSpacing w:val="0"/>
              <w:rPr>
                <w:rFonts w:eastAsia="Times New Roman"/>
              </w:rPr>
            </w:pPr>
            <w:r w:rsidRPr="00073574">
              <w:rPr>
                <w:rFonts w:eastAsia="Times New Roman"/>
              </w:rPr>
              <w:t xml:space="preserve">SG20 </w:t>
            </w:r>
            <w:r w:rsidR="007778A8" w:rsidRPr="00073574">
              <w:rPr>
                <w:rFonts w:eastAsia="Times New Roman"/>
              </w:rPr>
              <w:t xml:space="preserve">approved </w:t>
            </w:r>
            <w:r w:rsidR="00982B4C" w:rsidRPr="00073574">
              <w:rPr>
                <w:rFonts w:eastAsia="Times New Roman"/>
              </w:rPr>
              <w:t>Recommendation</w:t>
            </w:r>
            <w:r w:rsidRPr="00073574">
              <w:rPr>
                <w:rFonts w:eastAsia="Times New Roman"/>
              </w:rPr>
              <w:t xml:space="preserve"> ITU-T </w:t>
            </w:r>
            <w:r w:rsidR="007778A8" w:rsidRPr="00073574">
              <w:rPr>
                <w:rFonts w:eastAsia="Times New Roman"/>
              </w:rPr>
              <w:t>Y.4421</w:t>
            </w:r>
            <w:r w:rsidRPr="00073574">
              <w:rPr>
                <w:rFonts w:eastAsia="Times New Roman"/>
              </w:rPr>
              <w:t xml:space="preserve"> “Functional architecture for unmanned aerial vehicles and unmanned aerial vehicle controllers using IMT-2020 networks”.</w:t>
            </w:r>
          </w:p>
        </w:tc>
      </w:tr>
      <w:tr w:rsidR="00F0236A" w:rsidRPr="00073574" w14:paraId="0BA0FF68" w14:textId="77777777" w:rsidTr="4D78197E">
        <w:trPr>
          <w:jc w:val="center"/>
        </w:trPr>
        <w:tc>
          <w:tcPr>
            <w:tcW w:w="1131" w:type="dxa"/>
            <w:vMerge w:val="restart"/>
            <w:tcBorders>
              <w:top w:val="single" w:sz="12" w:space="0" w:color="auto"/>
            </w:tcBorders>
            <w:shd w:val="clear" w:color="auto" w:fill="auto"/>
          </w:tcPr>
          <w:p w14:paraId="5CA99818" w14:textId="45AB6AC9" w:rsidR="00F0236A" w:rsidRPr="00073574" w:rsidRDefault="00F0236A" w:rsidP="005F626E">
            <w:pPr>
              <w:pStyle w:val="Tabletext"/>
              <w:keepNext/>
              <w:rPr>
                <w:b/>
                <w:bCs/>
                <w:sz w:val="24"/>
                <w:szCs w:val="24"/>
              </w:rPr>
            </w:pPr>
            <w:r w:rsidRPr="00073574">
              <w:rPr>
                <w:b/>
                <w:bCs/>
                <w:sz w:val="24"/>
                <w:szCs w:val="24"/>
              </w:rPr>
              <w:lastRenderedPageBreak/>
              <w:t>92-03</w:t>
            </w:r>
          </w:p>
        </w:tc>
        <w:tc>
          <w:tcPr>
            <w:tcW w:w="4987" w:type="dxa"/>
            <w:tcBorders>
              <w:top w:val="single" w:sz="12" w:space="0" w:color="auto"/>
              <w:bottom w:val="single" w:sz="4" w:space="0" w:color="auto"/>
            </w:tcBorders>
            <w:shd w:val="clear" w:color="auto" w:fill="auto"/>
          </w:tcPr>
          <w:p w14:paraId="713CBB0A" w14:textId="09BA8451" w:rsidR="00F0236A" w:rsidRPr="00073574" w:rsidRDefault="00F0236A" w:rsidP="00DF36E1">
            <w:pPr>
              <w:pStyle w:val="Tabletext"/>
              <w:rPr>
                <w:b/>
                <w:bCs/>
                <w:sz w:val="24"/>
                <w:szCs w:val="24"/>
              </w:rPr>
            </w:pPr>
            <w:r w:rsidRPr="00073574">
              <w:rPr>
                <w:b/>
                <w:bCs/>
                <w:sz w:val="24"/>
                <w:szCs w:val="24"/>
              </w:rPr>
              <w:t>All ITU-T study groups to be responsible for the research and annual reporting to TSAG of ITU-T</w:t>
            </w:r>
            <w:r w:rsidR="003C7E25" w:rsidRPr="00073574">
              <w:rPr>
                <w:b/>
                <w:bCs/>
                <w:sz w:val="24"/>
                <w:szCs w:val="24"/>
              </w:rPr>
              <w:t>'</w:t>
            </w:r>
            <w:r w:rsidRPr="00073574">
              <w:rPr>
                <w:b/>
                <w:bCs/>
                <w:sz w:val="24"/>
                <w:szCs w:val="24"/>
              </w:rPr>
              <w:t>s standards strategy on IMT (i. SGs 3)</w:t>
            </w:r>
          </w:p>
        </w:tc>
        <w:tc>
          <w:tcPr>
            <w:tcW w:w="1335" w:type="dxa"/>
            <w:tcBorders>
              <w:top w:val="single" w:sz="12" w:space="0" w:color="auto"/>
              <w:bottom w:val="single" w:sz="4" w:space="0" w:color="auto"/>
            </w:tcBorders>
            <w:shd w:val="clear" w:color="auto" w:fill="auto"/>
            <w:vAlign w:val="center"/>
          </w:tcPr>
          <w:p w14:paraId="41E0652B" w14:textId="3668452B" w:rsidR="00F0236A" w:rsidRPr="00073574" w:rsidRDefault="00F0236A" w:rsidP="00E6476E">
            <w:pPr>
              <w:pStyle w:val="Tabletext"/>
              <w:jc w:val="center"/>
              <w:rPr>
                <w:b/>
                <w:bCs/>
                <w:sz w:val="24"/>
                <w:szCs w:val="24"/>
              </w:rPr>
            </w:pPr>
            <w:r w:rsidRPr="00073574">
              <w:rPr>
                <w:b/>
                <w:bCs/>
                <w:sz w:val="24"/>
                <w:szCs w:val="24"/>
              </w:rPr>
              <w:t>TSAG 20</w:t>
            </w:r>
            <w:r w:rsidR="00CE5B9E" w:rsidRPr="00073574">
              <w:rPr>
                <w:b/>
                <w:bCs/>
                <w:sz w:val="24"/>
                <w:szCs w:val="24"/>
              </w:rPr>
              <w:t>21</w:t>
            </w:r>
          </w:p>
        </w:tc>
        <w:tc>
          <w:tcPr>
            <w:tcW w:w="1143" w:type="dxa"/>
            <w:tcBorders>
              <w:top w:val="single" w:sz="12" w:space="0" w:color="auto"/>
              <w:bottom w:val="single" w:sz="4" w:space="0" w:color="auto"/>
            </w:tcBorders>
            <w:shd w:val="clear" w:color="auto" w:fill="auto"/>
            <w:vAlign w:val="center"/>
          </w:tcPr>
          <w:p w14:paraId="58960A3F"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bottom w:val="single" w:sz="4" w:space="0" w:color="auto"/>
            </w:tcBorders>
            <w:shd w:val="clear" w:color="auto" w:fill="auto"/>
            <w:vAlign w:val="center"/>
          </w:tcPr>
          <w:p w14:paraId="0F13F4BF" w14:textId="77777777" w:rsidR="00F0236A" w:rsidRPr="00073574" w:rsidRDefault="00F0236A" w:rsidP="00DF36E1">
            <w:pPr>
              <w:pStyle w:val="Tabletext"/>
              <w:jc w:val="center"/>
              <w:rPr>
                <w:b/>
                <w:bCs/>
                <w:sz w:val="24"/>
                <w:szCs w:val="24"/>
              </w:rPr>
            </w:pPr>
          </w:p>
        </w:tc>
      </w:tr>
      <w:tr w:rsidR="00F0236A" w:rsidRPr="00073574" w14:paraId="1D516D09" w14:textId="77777777" w:rsidTr="4D78197E">
        <w:trPr>
          <w:jc w:val="center"/>
        </w:trPr>
        <w:tc>
          <w:tcPr>
            <w:tcW w:w="1131" w:type="dxa"/>
            <w:vMerge/>
          </w:tcPr>
          <w:p w14:paraId="3A72FF37" w14:textId="77777777" w:rsidR="00F0236A" w:rsidRPr="00073574" w:rsidRDefault="00F0236A" w:rsidP="00DF36E1">
            <w:pPr>
              <w:pStyle w:val="Tabletext"/>
              <w:rPr>
                <w:sz w:val="24"/>
                <w:szCs w:val="24"/>
              </w:rPr>
            </w:pPr>
          </w:p>
        </w:tc>
        <w:tc>
          <w:tcPr>
            <w:tcW w:w="8801" w:type="dxa"/>
            <w:gridSpan w:val="4"/>
            <w:tcBorders>
              <w:top w:val="single" w:sz="4" w:space="0" w:color="auto"/>
              <w:bottom w:val="single" w:sz="12" w:space="0" w:color="auto"/>
            </w:tcBorders>
            <w:shd w:val="clear" w:color="auto" w:fill="auto"/>
          </w:tcPr>
          <w:p w14:paraId="0BB31323" w14:textId="6A4A4C7D" w:rsidR="003248AA" w:rsidRPr="00073574" w:rsidRDefault="003248AA" w:rsidP="002E241A">
            <w:pPr>
              <w:pStyle w:val="ListParagraph"/>
              <w:numPr>
                <w:ilvl w:val="0"/>
                <w:numId w:val="26"/>
              </w:numPr>
              <w:spacing w:before="40"/>
              <w:ind w:left="357" w:hanging="357"/>
              <w:contextualSpacing w:val="0"/>
            </w:pPr>
            <w:r w:rsidRPr="00073574">
              <w:t xml:space="preserve">SG3 started a new work item </w:t>
            </w:r>
            <w:r w:rsidR="00870132" w:rsidRPr="00073574">
              <w:t xml:space="preserve">to develop </w:t>
            </w:r>
            <w:r w:rsidR="005F322A" w:rsidRPr="00073574">
              <w:t xml:space="preserve">a </w:t>
            </w:r>
            <w:r w:rsidR="00EC52FA" w:rsidRPr="00073574">
              <w:t>technical paper</w:t>
            </w:r>
            <w:r w:rsidR="005F322A" w:rsidRPr="00073574">
              <w:t xml:space="preserve"> on </w:t>
            </w:r>
            <w:r w:rsidRPr="00073574">
              <w:t>IMT2020-related policy considering MVNOs.</w:t>
            </w:r>
            <w:r w:rsidR="005C6157" w:rsidRPr="00073574">
              <w:t xml:space="preserve"> SG3 </w:t>
            </w:r>
            <w:r w:rsidR="008C5DD0" w:rsidRPr="00073574">
              <w:t>liaised</w:t>
            </w:r>
            <w:r w:rsidR="005C6157" w:rsidRPr="00073574">
              <w:t xml:space="preserve"> with SG13 </w:t>
            </w:r>
            <w:r w:rsidR="00BC0AF1" w:rsidRPr="00073574">
              <w:t xml:space="preserve">regarding this work item. </w:t>
            </w:r>
          </w:p>
          <w:p w14:paraId="6A29AA4E" w14:textId="2181CD70" w:rsidR="00801B6E" w:rsidRPr="00073574" w:rsidRDefault="00801B6E" w:rsidP="002E241A">
            <w:pPr>
              <w:pStyle w:val="ListParagraph"/>
              <w:numPr>
                <w:ilvl w:val="0"/>
                <w:numId w:val="26"/>
              </w:numPr>
              <w:ind w:left="357" w:hanging="357"/>
              <w:contextualSpacing w:val="0"/>
            </w:pPr>
            <w:r w:rsidRPr="00073574">
              <w:t>SG11 updated IMT-2020 roadmap providing feedback to SG13.</w:t>
            </w:r>
          </w:p>
          <w:p w14:paraId="301471BA" w14:textId="33BCC5D2" w:rsidR="00801B6E" w:rsidRPr="00073574" w:rsidRDefault="00C30582" w:rsidP="002E241A">
            <w:pPr>
              <w:pStyle w:val="ListParagraph"/>
              <w:numPr>
                <w:ilvl w:val="0"/>
                <w:numId w:val="26"/>
              </w:numPr>
              <w:ind w:left="357" w:hanging="357"/>
              <w:contextualSpacing w:val="0"/>
            </w:pPr>
            <w:r w:rsidRPr="00073574">
              <w:t>SG13 annual</w:t>
            </w:r>
            <w:r w:rsidR="00E93796" w:rsidRPr="00073574">
              <w:t>ly</w:t>
            </w:r>
            <w:r w:rsidRPr="00073574">
              <w:t xml:space="preserve"> report</w:t>
            </w:r>
            <w:r w:rsidR="00E93796" w:rsidRPr="00073574">
              <w:t>s</w:t>
            </w:r>
            <w:r w:rsidRPr="00073574">
              <w:t xml:space="preserve"> to TSAG regarding the request in item 92-03</w:t>
            </w:r>
            <w:r w:rsidR="00E93796" w:rsidRPr="00073574">
              <w:t>,</w:t>
            </w:r>
            <w:r w:rsidRPr="00073574">
              <w:t xml:space="preserve"> </w:t>
            </w:r>
            <w:r w:rsidR="00E93796" w:rsidRPr="00073574">
              <w:t xml:space="preserve">see </w:t>
            </w:r>
            <w:r w:rsidR="007F1967" w:rsidRPr="00073574">
              <w:t>SG13 Lead Study Group Report to TSAG</w:t>
            </w:r>
            <w:r w:rsidRPr="00073574">
              <w:t xml:space="preserve">. </w:t>
            </w:r>
            <w:r w:rsidR="00F0236A" w:rsidRPr="00073574">
              <w:t xml:space="preserve">SG13 </w:t>
            </w:r>
            <w:r w:rsidRPr="00073574">
              <w:t xml:space="preserve">maintains and updates the </w:t>
            </w:r>
            <w:r w:rsidR="00F0236A" w:rsidRPr="00073574">
              <w:t>roadmap on IMT with deliverables and activities from three ITU Sectors</w:t>
            </w:r>
            <w:r w:rsidRPr="00073574">
              <w:t xml:space="preserve"> and SDOs</w:t>
            </w:r>
            <w:r w:rsidR="00F0236A" w:rsidRPr="00073574">
              <w:t>.</w:t>
            </w:r>
            <w:r w:rsidRPr="00073574">
              <w:t xml:space="preserve"> </w:t>
            </w:r>
            <w:r w:rsidR="007F1967" w:rsidRPr="00073574">
              <w:t>This roadmap</w:t>
            </w:r>
            <w:r w:rsidR="002F6700" w:rsidRPr="00073574">
              <w:t xml:space="preserve"> aligns </w:t>
            </w:r>
            <w:r w:rsidR="007F1967" w:rsidRPr="00073574">
              <w:t>SG13’s</w:t>
            </w:r>
            <w:r w:rsidR="002F6700" w:rsidRPr="00073574">
              <w:t xml:space="preserve"> IMT-2020</w:t>
            </w:r>
            <w:r w:rsidR="00982D96" w:rsidRPr="00073574">
              <w:t xml:space="preserve"> and beyond</w:t>
            </w:r>
            <w:r w:rsidR="002F6700" w:rsidRPr="00073574">
              <w:t xml:space="preserve"> standardization strategies to the new trends in this technical field.</w:t>
            </w:r>
            <w:r w:rsidR="005D65AD" w:rsidRPr="00073574">
              <w:t xml:space="preserve"> October 2019 SG13 meeting agreed to publish a snapshot of this roadmap as a Supplement in March 2020.</w:t>
            </w:r>
          </w:p>
          <w:p w14:paraId="04EC47EC" w14:textId="26271855" w:rsidR="007E51FF" w:rsidRPr="00073574" w:rsidRDefault="007E51FF" w:rsidP="007E51FF">
            <w:pPr>
              <w:pStyle w:val="ListParagraph"/>
              <w:numPr>
                <w:ilvl w:val="0"/>
                <w:numId w:val="26"/>
              </w:numPr>
              <w:ind w:left="357" w:hanging="357"/>
              <w:contextualSpacing w:val="0"/>
            </w:pPr>
            <w:r w:rsidRPr="00073574">
              <w:t>SG20 update</w:t>
            </w:r>
            <w:r w:rsidR="00A122E6" w:rsidRPr="00073574">
              <w:t>s the</w:t>
            </w:r>
            <w:r w:rsidRPr="00073574">
              <w:t xml:space="preserve"> IMT-2020 roadmap </w:t>
            </w:r>
            <w:r w:rsidR="00A122E6" w:rsidRPr="00073574">
              <w:t xml:space="preserve">and </w:t>
            </w:r>
            <w:r w:rsidRPr="00073574">
              <w:t>provid</w:t>
            </w:r>
            <w:r w:rsidR="00A122E6" w:rsidRPr="00073574">
              <w:t>es</w:t>
            </w:r>
            <w:r w:rsidRPr="00073574">
              <w:t xml:space="preserve"> feedback to SG13.</w:t>
            </w:r>
          </w:p>
          <w:p w14:paraId="68B5B0ED" w14:textId="4F89CC23" w:rsidR="007312EA" w:rsidRPr="00073574" w:rsidRDefault="007312EA" w:rsidP="002E241A">
            <w:pPr>
              <w:pStyle w:val="ListParagraph"/>
              <w:numPr>
                <w:ilvl w:val="0"/>
                <w:numId w:val="26"/>
              </w:numPr>
              <w:spacing w:after="40"/>
              <w:ind w:left="357" w:hanging="357"/>
              <w:contextualSpacing w:val="0"/>
            </w:pPr>
            <w:r w:rsidRPr="00073574">
              <w:t>SG</w:t>
            </w:r>
            <w:r w:rsidR="00644165" w:rsidRPr="00073574">
              <w:t xml:space="preserve">s </w:t>
            </w:r>
            <w:r w:rsidR="005F5555" w:rsidRPr="00073574">
              <w:t xml:space="preserve">5, </w:t>
            </w:r>
            <w:r w:rsidR="00644165" w:rsidRPr="00073574">
              <w:t xml:space="preserve">12, </w:t>
            </w:r>
            <w:r w:rsidRPr="00073574">
              <w:t>15</w:t>
            </w:r>
            <w:r w:rsidR="00913A04" w:rsidRPr="00073574">
              <w:t>: See 92-02</w:t>
            </w:r>
            <w:r w:rsidR="00B92DBF" w:rsidRPr="00073574">
              <w:t>.</w:t>
            </w:r>
          </w:p>
        </w:tc>
      </w:tr>
      <w:tr w:rsidR="00F0236A" w:rsidRPr="00073574" w14:paraId="4AB08EAC" w14:textId="77777777" w:rsidTr="4D78197E">
        <w:trPr>
          <w:jc w:val="center"/>
        </w:trPr>
        <w:tc>
          <w:tcPr>
            <w:tcW w:w="1131" w:type="dxa"/>
            <w:vMerge w:val="restart"/>
            <w:tcBorders>
              <w:top w:val="single" w:sz="12" w:space="0" w:color="auto"/>
            </w:tcBorders>
            <w:shd w:val="clear" w:color="auto" w:fill="auto"/>
          </w:tcPr>
          <w:p w14:paraId="57D0AC30" w14:textId="77777777" w:rsidR="00F0236A" w:rsidRPr="00073574" w:rsidRDefault="00F0236A" w:rsidP="00366BA3">
            <w:pPr>
              <w:pStyle w:val="Tabletext"/>
              <w:keepNext/>
              <w:keepLines/>
              <w:rPr>
                <w:b/>
                <w:bCs/>
                <w:sz w:val="24"/>
                <w:szCs w:val="24"/>
              </w:rPr>
            </w:pPr>
            <w:r w:rsidRPr="00073574">
              <w:rPr>
                <w:b/>
                <w:bCs/>
                <w:sz w:val="24"/>
                <w:szCs w:val="24"/>
              </w:rPr>
              <w:t>92-04</w:t>
            </w:r>
          </w:p>
        </w:tc>
        <w:tc>
          <w:tcPr>
            <w:tcW w:w="4987" w:type="dxa"/>
            <w:tcBorders>
              <w:top w:val="single" w:sz="12" w:space="0" w:color="auto"/>
              <w:bottom w:val="single" w:sz="4" w:space="0" w:color="auto"/>
            </w:tcBorders>
            <w:shd w:val="clear" w:color="auto" w:fill="auto"/>
          </w:tcPr>
          <w:p w14:paraId="7B6A96EF" w14:textId="77777777" w:rsidR="00F0236A" w:rsidRPr="00073574" w:rsidRDefault="00F0236A" w:rsidP="00366BA3">
            <w:pPr>
              <w:pStyle w:val="Tabletext"/>
              <w:keepNext/>
              <w:keepLines/>
              <w:rPr>
                <w:b/>
                <w:bCs/>
                <w:sz w:val="24"/>
                <w:szCs w:val="24"/>
              </w:rPr>
            </w:pPr>
            <w:r w:rsidRPr="00073574">
              <w:rPr>
                <w:b/>
                <w:bCs/>
                <w:sz w:val="24"/>
                <w:szCs w:val="24"/>
              </w:rPr>
              <w:t>SG13 to maintain the roadmap of IMT standardization activities in ITU-T, which should include work items to progress standardization work related to the non-radio side of IMT, and share this with relevant groups of ITU-R and ITU-D as the mission of the lead group for IMT (especially IMT-2020) (i. SG13 1)</w:t>
            </w:r>
          </w:p>
        </w:tc>
        <w:tc>
          <w:tcPr>
            <w:tcW w:w="1335" w:type="dxa"/>
            <w:tcBorders>
              <w:top w:val="single" w:sz="12" w:space="0" w:color="auto"/>
              <w:bottom w:val="single" w:sz="4" w:space="0" w:color="auto"/>
            </w:tcBorders>
            <w:shd w:val="clear" w:color="auto" w:fill="auto"/>
            <w:vAlign w:val="center"/>
          </w:tcPr>
          <w:p w14:paraId="432D4570" w14:textId="77777777" w:rsidR="00F0236A" w:rsidRPr="00073574" w:rsidRDefault="00F0236A" w:rsidP="00366BA3">
            <w:pPr>
              <w:pStyle w:val="Tabletext"/>
              <w:keepNext/>
              <w:keepLines/>
              <w:jc w:val="center"/>
              <w:rPr>
                <w:b/>
                <w:bCs/>
                <w:sz w:val="24"/>
                <w:szCs w:val="24"/>
              </w:rPr>
            </w:pPr>
            <w:r w:rsidRPr="00073574">
              <w:rPr>
                <w:b/>
                <w:bCs/>
                <w:sz w:val="24"/>
                <w:szCs w:val="24"/>
              </w:rPr>
              <w:t>Ongoing</w:t>
            </w:r>
          </w:p>
        </w:tc>
        <w:tc>
          <w:tcPr>
            <w:tcW w:w="1143" w:type="dxa"/>
            <w:tcBorders>
              <w:top w:val="single" w:sz="12" w:space="0" w:color="auto"/>
              <w:bottom w:val="single" w:sz="4" w:space="0" w:color="auto"/>
            </w:tcBorders>
            <w:shd w:val="clear" w:color="auto" w:fill="auto"/>
            <w:vAlign w:val="center"/>
          </w:tcPr>
          <w:p w14:paraId="3ACDA1D8" w14:textId="77777777" w:rsidR="00F0236A" w:rsidRPr="00073574" w:rsidRDefault="00F0236A" w:rsidP="00366BA3">
            <w:pPr>
              <w:pStyle w:val="Tabletext"/>
              <w:keepNext/>
              <w:keepLines/>
              <w:jc w:val="center"/>
              <w:rPr>
                <w:b/>
                <w:bCs/>
                <w:sz w:val="24"/>
                <w:szCs w:val="24"/>
              </w:rPr>
            </w:pPr>
            <w:r w:rsidRPr="00073574">
              <w:rPr>
                <w:b/>
                <w:bCs/>
                <w:sz w:val="24"/>
                <w:szCs w:val="24"/>
              </w:rPr>
              <w:t>√</w:t>
            </w:r>
          </w:p>
        </w:tc>
        <w:tc>
          <w:tcPr>
            <w:tcW w:w="1336" w:type="dxa"/>
            <w:tcBorders>
              <w:top w:val="single" w:sz="12" w:space="0" w:color="auto"/>
              <w:bottom w:val="single" w:sz="4" w:space="0" w:color="auto"/>
            </w:tcBorders>
            <w:shd w:val="clear" w:color="auto" w:fill="auto"/>
            <w:vAlign w:val="center"/>
          </w:tcPr>
          <w:p w14:paraId="7DC6B23B" w14:textId="77777777" w:rsidR="00F0236A" w:rsidRPr="00073574" w:rsidRDefault="00F0236A" w:rsidP="00366BA3">
            <w:pPr>
              <w:pStyle w:val="Tabletext"/>
              <w:keepNext/>
              <w:keepLines/>
              <w:jc w:val="center"/>
              <w:rPr>
                <w:b/>
                <w:bCs/>
                <w:sz w:val="24"/>
                <w:szCs w:val="24"/>
              </w:rPr>
            </w:pPr>
          </w:p>
        </w:tc>
      </w:tr>
      <w:tr w:rsidR="00F0236A" w:rsidRPr="00073574" w14:paraId="5A6508F4" w14:textId="77777777" w:rsidTr="4D78197E">
        <w:trPr>
          <w:jc w:val="center"/>
        </w:trPr>
        <w:tc>
          <w:tcPr>
            <w:tcW w:w="1131" w:type="dxa"/>
            <w:vMerge/>
          </w:tcPr>
          <w:p w14:paraId="725E4575" w14:textId="77777777" w:rsidR="00F0236A" w:rsidRPr="00073574" w:rsidRDefault="00F0236A" w:rsidP="00366BA3">
            <w:pPr>
              <w:pStyle w:val="Tabletext"/>
              <w:keepNext/>
              <w:keepLines/>
              <w:rPr>
                <w:sz w:val="24"/>
                <w:szCs w:val="24"/>
              </w:rPr>
            </w:pPr>
          </w:p>
        </w:tc>
        <w:tc>
          <w:tcPr>
            <w:tcW w:w="8801" w:type="dxa"/>
            <w:gridSpan w:val="4"/>
            <w:tcBorders>
              <w:top w:val="single" w:sz="4" w:space="0" w:color="auto"/>
              <w:bottom w:val="single" w:sz="12" w:space="0" w:color="auto"/>
            </w:tcBorders>
            <w:shd w:val="clear" w:color="auto" w:fill="auto"/>
          </w:tcPr>
          <w:p w14:paraId="259B85B4" w14:textId="0D2B02CB" w:rsidR="00F0236A" w:rsidRPr="00073574" w:rsidRDefault="00F0236A" w:rsidP="00E15AC7">
            <w:pPr>
              <w:keepNext/>
              <w:keepLines/>
              <w:spacing w:before="40" w:after="40"/>
              <w:rPr>
                <w:szCs w:val="22"/>
              </w:rPr>
            </w:pPr>
            <w:r w:rsidRPr="00073574">
              <w:rPr>
                <w:rFonts w:eastAsia="MS Mincho"/>
                <w:szCs w:val="22"/>
              </w:rPr>
              <w:t>One of the tasks of ITU-T JCA-IMT2020 is to maintain the roadmap of mobile communication studies and activities across three ITU Sectors</w:t>
            </w:r>
            <w:r w:rsidR="00252F4E" w:rsidRPr="00073574">
              <w:rPr>
                <w:rFonts w:eastAsia="MS Mincho"/>
                <w:szCs w:val="22"/>
              </w:rPr>
              <w:t xml:space="preserve"> and facilitate communication with S</w:t>
            </w:r>
            <w:r w:rsidR="00CC7232" w:rsidRPr="00073574">
              <w:rPr>
                <w:rFonts w:eastAsia="MS Mincho"/>
                <w:szCs w:val="22"/>
              </w:rPr>
              <w:t>DOs, operating in this technical area.</w:t>
            </w:r>
            <w:r w:rsidRPr="00073574">
              <w:rPr>
                <w:rFonts w:eastAsia="MS Mincho"/>
                <w:szCs w:val="22"/>
              </w:rPr>
              <w:t xml:space="preserve"> </w:t>
            </w:r>
            <w:r w:rsidR="00C30582" w:rsidRPr="00073574">
              <w:rPr>
                <w:rFonts w:eastAsia="MS Mincho"/>
                <w:szCs w:val="22"/>
              </w:rPr>
              <w:t>See also items 92-01 – 0</w:t>
            </w:r>
            <w:r w:rsidR="00164AE6" w:rsidRPr="00073574">
              <w:rPr>
                <w:rFonts w:eastAsia="MS Mincho"/>
                <w:szCs w:val="22"/>
              </w:rPr>
              <w:t>3</w:t>
            </w:r>
            <w:r w:rsidR="00C30582" w:rsidRPr="00073574">
              <w:rPr>
                <w:rFonts w:eastAsia="MS Mincho"/>
                <w:szCs w:val="22"/>
              </w:rPr>
              <w:t xml:space="preserve"> above.</w:t>
            </w:r>
          </w:p>
        </w:tc>
      </w:tr>
      <w:tr w:rsidR="00F0236A" w:rsidRPr="00073574" w14:paraId="059599FE" w14:textId="77777777" w:rsidTr="4D78197E">
        <w:trPr>
          <w:jc w:val="center"/>
        </w:trPr>
        <w:tc>
          <w:tcPr>
            <w:tcW w:w="1131" w:type="dxa"/>
            <w:vMerge w:val="restart"/>
            <w:tcBorders>
              <w:top w:val="single" w:sz="12" w:space="0" w:color="auto"/>
            </w:tcBorders>
            <w:shd w:val="clear" w:color="auto" w:fill="auto"/>
          </w:tcPr>
          <w:p w14:paraId="71156C2D" w14:textId="77777777" w:rsidR="00F0236A" w:rsidRPr="00073574" w:rsidRDefault="00F0236A" w:rsidP="004417AB">
            <w:pPr>
              <w:pStyle w:val="Tabletext"/>
              <w:rPr>
                <w:b/>
                <w:bCs/>
                <w:sz w:val="24"/>
                <w:szCs w:val="24"/>
              </w:rPr>
            </w:pPr>
            <w:r w:rsidRPr="00073574">
              <w:rPr>
                <w:b/>
                <w:bCs/>
                <w:sz w:val="24"/>
                <w:szCs w:val="24"/>
              </w:rPr>
              <w:t>92-05</w:t>
            </w:r>
          </w:p>
        </w:tc>
        <w:tc>
          <w:tcPr>
            <w:tcW w:w="4987" w:type="dxa"/>
            <w:tcBorders>
              <w:top w:val="single" w:sz="12" w:space="0" w:color="auto"/>
              <w:bottom w:val="single" w:sz="4" w:space="0" w:color="auto"/>
            </w:tcBorders>
            <w:shd w:val="clear" w:color="auto" w:fill="auto"/>
          </w:tcPr>
          <w:p w14:paraId="5DE3FDFF" w14:textId="77777777" w:rsidR="00F0236A" w:rsidRPr="00073574" w:rsidRDefault="00F0236A" w:rsidP="004417AB">
            <w:pPr>
              <w:pStyle w:val="Tabletext"/>
              <w:rPr>
                <w:b/>
                <w:bCs/>
                <w:sz w:val="24"/>
                <w:szCs w:val="24"/>
              </w:rPr>
            </w:pPr>
            <w:r w:rsidRPr="00073574">
              <w:rPr>
                <w:b/>
                <w:bCs/>
                <w:sz w:val="24"/>
                <w:szCs w:val="24"/>
              </w:rPr>
              <w:t>SG13 to promote the studies on network requirements and architecture, network softwarization, network slicing, network capability openness, network management and orchestration, fixed-mobile convergence and emerging network technology (such as ICN, etc.) (i. SG13 2)</w:t>
            </w:r>
          </w:p>
        </w:tc>
        <w:tc>
          <w:tcPr>
            <w:tcW w:w="1335" w:type="dxa"/>
            <w:tcBorders>
              <w:top w:val="single" w:sz="12" w:space="0" w:color="auto"/>
              <w:bottom w:val="single" w:sz="4" w:space="0" w:color="auto"/>
            </w:tcBorders>
            <w:shd w:val="clear" w:color="auto" w:fill="auto"/>
            <w:vAlign w:val="center"/>
          </w:tcPr>
          <w:p w14:paraId="0E93FF06" w14:textId="77777777" w:rsidR="00F0236A" w:rsidRPr="00073574" w:rsidRDefault="00F0236A" w:rsidP="004417AB">
            <w:pPr>
              <w:pStyle w:val="Tabletext"/>
              <w:jc w:val="center"/>
              <w:rPr>
                <w:b/>
                <w:bCs/>
                <w:sz w:val="24"/>
                <w:szCs w:val="24"/>
              </w:rPr>
            </w:pPr>
            <w:r w:rsidRPr="00073574">
              <w:rPr>
                <w:b/>
                <w:bCs/>
                <w:sz w:val="24"/>
                <w:szCs w:val="24"/>
              </w:rPr>
              <w:t>Ongoing</w:t>
            </w:r>
          </w:p>
        </w:tc>
        <w:tc>
          <w:tcPr>
            <w:tcW w:w="1143" w:type="dxa"/>
            <w:tcBorders>
              <w:top w:val="single" w:sz="12" w:space="0" w:color="auto"/>
              <w:bottom w:val="single" w:sz="4" w:space="0" w:color="auto"/>
            </w:tcBorders>
            <w:shd w:val="clear" w:color="auto" w:fill="auto"/>
            <w:vAlign w:val="center"/>
          </w:tcPr>
          <w:p w14:paraId="5EAB456C" w14:textId="77777777" w:rsidR="00F0236A" w:rsidRPr="00073574" w:rsidRDefault="00F0236A" w:rsidP="004417AB">
            <w:pPr>
              <w:pStyle w:val="Tabletext"/>
              <w:jc w:val="center"/>
              <w:rPr>
                <w:b/>
                <w:bCs/>
                <w:sz w:val="24"/>
                <w:szCs w:val="24"/>
              </w:rPr>
            </w:pPr>
            <w:r w:rsidRPr="00073574">
              <w:rPr>
                <w:b/>
                <w:bCs/>
                <w:sz w:val="24"/>
                <w:szCs w:val="24"/>
              </w:rPr>
              <w:t>√</w:t>
            </w:r>
          </w:p>
        </w:tc>
        <w:tc>
          <w:tcPr>
            <w:tcW w:w="1336" w:type="dxa"/>
            <w:tcBorders>
              <w:top w:val="single" w:sz="12" w:space="0" w:color="auto"/>
              <w:bottom w:val="single" w:sz="4" w:space="0" w:color="auto"/>
            </w:tcBorders>
            <w:shd w:val="clear" w:color="auto" w:fill="auto"/>
            <w:vAlign w:val="center"/>
          </w:tcPr>
          <w:p w14:paraId="6B931B92" w14:textId="77777777" w:rsidR="00F0236A" w:rsidRPr="00073574" w:rsidRDefault="00F0236A" w:rsidP="004417AB">
            <w:pPr>
              <w:pStyle w:val="Tabletext"/>
              <w:jc w:val="center"/>
              <w:rPr>
                <w:b/>
                <w:bCs/>
                <w:sz w:val="24"/>
                <w:szCs w:val="24"/>
              </w:rPr>
            </w:pPr>
          </w:p>
        </w:tc>
      </w:tr>
      <w:tr w:rsidR="00F0236A" w:rsidRPr="00073574" w14:paraId="7034D13E" w14:textId="77777777" w:rsidTr="4D78197E">
        <w:trPr>
          <w:jc w:val="center"/>
        </w:trPr>
        <w:tc>
          <w:tcPr>
            <w:tcW w:w="1131" w:type="dxa"/>
            <w:vMerge/>
          </w:tcPr>
          <w:p w14:paraId="574152C1" w14:textId="77777777" w:rsidR="00F0236A" w:rsidRPr="00073574" w:rsidRDefault="00F0236A" w:rsidP="004417AB">
            <w:pPr>
              <w:pStyle w:val="Tabletext"/>
              <w:rPr>
                <w:sz w:val="24"/>
                <w:szCs w:val="24"/>
              </w:rPr>
            </w:pPr>
          </w:p>
        </w:tc>
        <w:tc>
          <w:tcPr>
            <w:tcW w:w="8801" w:type="dxa"/>
            <w:gridSpan w:val="4"/>
            <w:tcBorders>
              <w:top w:val="single" w:sz="4" w:space="0" w:color="auto"/>
              <w:bottom w:val="single" w:sz="12" w:space="0" w:color="auto"/>
            </w:tcBorders>
            <w:shd w:val="clear" w:color="auto" w:fill="auto"/>
          </w:tcPr>
          <w:p w14:paraId="001099C6" w14:textId="45DBC3BA" w:rsidR="00F0236A" w:rsidRPr="00073574" w:rsidRDefault="00C222A9" w:rsidP="00E15AC7">
            <w:pPr>
              <w:spacing w:before="40" w:after="120"/>
              <w:rPr>
                <w:rFonts w:eastAsia="MS Mincho"/>
                <w:szCs w:val="22"/>
              </w:rPr>
            </w:pPr>
            <w:r w:rsidRPr="00073574">
              <w:rPr>
                <w:rFonts w:eastAsia="MS Mincho"/>
                <w:szCs w:val="22"/>
              </w:rPr>
              <w:t xml:space="preserve">A one day ITU workshop on 5G roadshow is planned on 11 July 2017 in Geneva, Switzerland. Central part of it was the slicing and softwarization concepts and their PoC demos. </w:t>
            </w:r>
            <w:r w:rsidR="00F0236A" w:rsidRPr="00073574">
              <w:rPr>
                <w:rFonts w:eastAsia="MS Mincho"/>
                <w:szCs w:val="22"/>
              </w:rPr>
              <w:t xml:space="preserve">A one day </w:t>
            </w:r>
            <w:r w:rsidR="00BD0E8E" w:rsidRPr="00073574">
              <w:rPr>
                <w:rFonts w:eastAsia="MS Mincho"/>
                <w:szCs w:val="22"/>
              </w:rPr>
              <w:t xml:space="preserve">third annual </w:t>
            </w:r>
            <w:r w:rsidR="00F0236A" w:rsidRPr="00073574">
              <w:rPr>
                <w:rFonts w:eastAsia="MS Mincho"/>
                <w:szCs w:val="22"/>
              </w:rPr>
              <w:t xml:space="preserve">ITU workshop on </w:t>
            </w:r>
            <w:r w:rsidR="00BD0E8E" w:rsidRPr="00073574">
              <w:rPr>
                <w:rFonts w:eastAsia="MS Mincho"/>
                <w:szCs w:val="22"/>
              </w:rPr>
              <w:t>IMT-2020 and demo day took place</w:t>
            </w:r>
            <w:r w:rsidR="00F0236A" w:rsidRPr="00073574">
              <w:rPr>
                <w:rFonts w:eastAsia="MS Mincho"/>
                <w:szCs w:val="22"/>
              </w:rPr>
              <w:t xml:space="preserve"> on 1</w:t>
            </w:r>
            <w:r w:rsidR="00BD0E8E" w:rsidRPr="00073574">
              <w:rPr>
                <w:rFonts w:eastAsia="MS Mincho"/>
                <w:szCs w:val="22"/>
              </w:rPr>
              <w:t>8</w:t>
            </w:r>
            <w:r w:rsidR="00F0236A" w:rsidRPr="00073574">
              <w:rPr>
                <w:rFonts w:eastAsia="MS Mincho"/>
                <w:szCs w:val="22"/>
              </w:rPr>
              <w:t xml:space="preserve"> July 201</w:t>
            </w:r>
            <w:r w:rsidR="00BD0E8E" w:rsidRPr="00073574">
              <w:rPr>
                <w:rFonts w:eastAsia="MS Mincho"/>
                <w:szCs w:val="22"/>
              </w:rPr>
              <w:t>8</w:t>
            </w:r>
            <w:r w:rsidR="00F0236A" w:rsidRPr="00073574">
              <w:rPr>
                <w:rFonts w:eastAsia="MS Mincho"/>
                <w:szCs w:val="22"/>
              </w:rPr>
              <w:t xml:space="preserve"> in Geneva, Switzerland.</w:t>
            </w:r>
            <w:r w:rsidR="004C62C6" w:rsidRPr="00073574">
              <w:rPr>
                <w:rFonts w:eastAsia="MS Mincho"/>
                <w:szCs w:val="22"/>
              </w:rPr>
              <w:t xml:space="preserve"> Cent</w:t>
            </w:r>
            <w:r w:rsidR="00733FE6" w:rsidRPr="00073574">
              <w:rPr>
                <w:rFonts w:eastAsia="MS Mincho"/>
                <w:szCs w:val="22"/>
              </w:rPr>
              <w:t>r</w:t>
            </w:r>
            <w:r w:rsidR="004C62C6" w:rsidRPr="00073574">
              <w:rPr>
                <w:rFonts w:eastAsia="MS Mincho"/>
                <w:szCs w:val="22"/>
              </w:rPr>
              <w:t xml:space="preserve">al part of it was the slicing and softwarization concepts </w:t>
            </w:r>
            <w:r w:rsidR="00BD0E8E" w:rsidRPr="00073574">
              <w:rPr>
                <w:rFonts w:eastAsia="MS Mincho"/>
                <w:szCs w:val="22"/>
              </w:rPr>
              <w:t>as well as Information-</w:t>
            </w:r>
            <w:r w:rsidRPr="00073574">
              <w:rPr>
                <w:rFonts w:eastAsia="MS Mincho"/>
                <w:szCs w:val="22"/>
              </w:rPr>
              <w:t>Centric</w:t>
            </w:r>
            <w:r w:rsidR="00BD0E8E" w:rsidRPr="00073574">
              <w:rPr>
                <w:rFonts w:eastAsia="MS Mincho"/>
                <w:szCs w:val="22"/>
              </w:rPr>
              <w:t xml:space="preserve"> </w:t>
            </w:r>
            <w:r w:rsidRPr="00073574">
              <w:rPr>
                <w:rFonts w:eastAsia="MS Mincho"/>
                <w:szCs w:val="22"/>
              </w:rPr>
              <w:t>Networking</w:t>
            </w:r>
            <w:r w:rsidR="00BD0E8E" w:rsidRPr="00073574">
              <w:rPr>
                <w:rFonts w:eastAsia="MS Mincho"/>
                <w:szCs w:val="22"/>
              </w:rPr>
              <w:t xml:space="preserve"> working solutions </w:t>
            </w:r>
            <w:r w:rsidR="004C62C6" w:rsidRPr="00073574">
              <w:rPr>
                <w:rFonts w:eastAsia="MS Mincho"/>
                <w:szCs w:val="22"/>
              </w:rPr>
              <w:t>and their PoC demos.</w:t>
            </w:r>
          </w:p>
          <w:p w14:paraId="2C4950CC" w14:textId="593260E1" w:rsidR="00C222A9" w:rsidRPr="00073574" w:rsidRDefault="00C222A9" w:rsidP="004417AB">
            <w:pPr>
              <w:spacing w:after="120"/>
              <w:rPr>
                <w:szCs w:val="22"/>
              </w:rPr>
            </w:pPr>
            <w:r w:rsidRPr="00073574">
              <w:rPr>
                <w:szCs w:val="22"/>
              </w:rPr>
              <w:t>The 5</w:t>
            </w:r>
            <w:r w:rsidRPr="00073574">
              <w:t>th</w:t>
            </w:r>
            <w:r w:rsidRPr="00073574">
              <w:rPr>
                <w:szCs w:val="22"/>
              </w:rPr>
              <w:t xml:space="preserve"> SG13 regional workshop for Africa had a dedicated sessions on 5G in general and on SDN. NFV and slicing in particular. </w:t>
            </w:r>
            <w:r w:rsidR="00F0236A" w:rsidRPr="00073574">
              <w:rPr>
                <w:szCs w:val="22"/>
              </w:rPr>
              <w:t xml:space="preserve">The </w:t>
            </w:r>
            <w:r w:rsidR="00AF2D8A" w:rsidRPr="00073574">
              <w:rPr>
                <w:szCs w:val="22"/>
              </w:rPr>
              <w:t>6</w:t>
            </w:r>
            <w:r w:rsidR="00B45B40" w:rsidRPr="00073574">
              <w:rPr>
                <w:szCs w:val="22"/>
              </w:rPr>
              <w:t>th</w:t>
            </w:r>
            <w:r w:rsidR="00D03D96" w:rsidRPr="00073574">
              <w:t>, 7</w:t>
            </w:r>
            <w:r w:rsidR="00B45B40" w:rsidRPr="00073574">
              <w:t>th</w:t>
            </w:r>
            <w:r w:rsidR="00D03D96" w:rsidRPr="00073574">
              <w:t xml:space="preserve"> and 8th</w:t>
            </w:r>
            <w:r w:rsidR="00F0236A" w:rsidRPr="00073574">
              <w:rPr>
                <w:szCs w:val="22"/>
              </w:rPr>
              <w:t xml:space="preserve"> SG13 regional workshop</w:t>
            </w:r>
            <w:r w:rsidR="00D03D96" w:rsidRPr="00073574">
              <w:rPr>
                <w:szCs w:val="22"/>
              </w:rPr>
              <w:t>s</w:t>
            </w:r>
            <w:r w:rsidR="00F0236A" w:rsidRPr="00073574">
              <w:rPr>
                <w:szCs w:val="22"/>
              </w:rPr>
              <w:t xml:space="preserve"> for Africa had </w:t>
            </w:r>
            <w:r w:rsidR="00D03D96" w:rsidRPr="00073574">
              <w:rPr>
                <w:szCs w:val="22"/>
              </w:rPr>
              <w:t xml:space="preserve">each </w:t>
            </w:r>
            <w:r w:rsidR="00F0236A" w:rsidRPr="00073574">
              <w:rPr>
                <w:szCs w:val="22"/>
              </w:rPr>
              <w:t>a dedicated session on 5G in general</w:t>
            </w:r>
            <w:r w:rsidR="00377C8B" w:rsidRPr="00073574">
              <w:rPr>
                <w:szCs w:val="22"/>
              </w:rPr>
              <w:t xml:space="preserve">. </w:t>
            </w:r>
            <w:r w:rsidRPr="00073574">
              <w:rPr>
                <w:szCs w:val="22"/>
              </w:rPr>
              <w:t>SG13 Action plan on IMT-2020 shapes in a form of</w:t>
            </w:r>
            <w:r w:rsidR="00377C8B" w:rsidRPr="00073574">
              <w:rPr>
                <w:szCs w:val="22"/>
              </w:rPr>
              <w:t xml:space="preserve"> </w:t>
            </w:r>
            <w:r w:rsidRPr="00073574">
              <w:rPr>
                <w:szCs w:val="22"/>
              </w:rPr>
              <w:t>package the 5G related deliverables belong to according to the technical topics. The first package deliverables are devoted to the softwarization concept.</w:t>
            </w:r>
          </w:p>
          <w:p w14:paraId="2E712D31" w14:textId="6A1B58C8" w:rsidR="004C62C6" w:rsidRPr="00073574" w:rsidRDefault="002A5A64" w:rsidP="00B45B40">
            <w:pPr>
              <w:spacing w:after="120"/>
              <w:rPr>
                <w:szCs w:val="22"/>
              </w:rPr>
            </w:pPr>
            <w:r w:rsidRPr="00073574">
              <w:rPr>
                <w:rFonts w:asciiTheme="majorBidi" w:hAnsiTheme="majorBidi" w:cstheme="majorBidi"/>
                <w:szCs w:val="22"/>
              </w:rPr>
              <w:t>ITU Focus Group</w:t>
            </w:r>
            <w:hyperlink r:id="rId814" w:history="1">
              <w:r w:rsidRPr="00073574">
                <w:rPr>
                  <w:rStyle w:val="Hyperlink"/>
                  <w:rFonts w:asciiTheme="majorBidi" w:hAnsiTheme="majorBidi" w:cstheme="majorBidi"/>
                  <w:szCs w:val="22"/>
                </w:rPr>
                <w:t xml:space="preserve"> on Machine Learning for Future Networks including 5G</w:t>
              </w:r>
            </w:hyperlink>
            <w:r w:rsidRPr="00073574">
              <w:rPr>
                <w:rFonts w:asciiTheme="majorBidi" w:hAnsiTheme="majorBidi" w:cstheme="majorBidi"/>
                <w:szCs w:val="22"/>
              </w:rPr>
              <w:t xml:space="preserve"> (FG-ML5G</w:t>
            </w:r>
            <w:r w:rsidR="00867BD5" w:rsidRPr="00073574">
              <w:rPr>
                <w:rFonts w:asciiTheme="majorBidi" w:hAnsiTheme="majorBidi" w:cstheme="majorBidi"/>
                <w:szCs w:val="22"/>
              </w:rPr>
              <w:t>, in operation 2017 - 2020</w:t>
            </w:r>
            <w:r w:rsidRPr="00073574">
              <w:rPr>
                <w:rFonts w:asciiTheme="majorBidi" w:hAnsiTheme="majorBidi" w:cstheme="majorBidi"/>
                <w:szCs w:val="22"/>
              </w:rPr>
              <w:t xml:space="preserve">) </w:t>
            </w:r>
            <w:r w:rsidR="00A803CE" w:rsidRPr="00073574">
              <w:rPr>
                <w:rFonts w:asciiTheme="majorBidi" w:hAnsiTheme="majorBidi" w:cstheme="majorBidi"/>
                <w:szCs w:val="22"/>
              </w:rPr>
              <w:t>looked after the</w:t>
            </w:r>
            <w:r w:rsidRPr="00073574">
              <w:rPr>
                <w:rFonts w:asciiTheme="majorBidi" w:hAnsiTheme="majorBidi" w:cstheme="majorBidi"/>
                <w:szCs w:val="22"/>
              </w:rPr>
              <w:t xml:space="preserve"> basis for ITU-T standardization to assist machine learning in bringing more automation and intelligence to ICT network design and management. It </w:t>
            </w:r>
            <w:r w:rsidR="00EB375C" w:rsidRPr="00073574">
              <w:rPr>
                <w:rFonts w:asciiTheme="majorBidi" w:hAnsiTheme="majorBidi" w:cstheme="majorBidi"/>
                <w:szCs w:val="22"/>
              </w:rPr>
              <w:t>explored</w:t>
            </w:r>
            <w:r w:rsidRPr="00073574">
              <w:rPr>
                <w:rFonts w:asciiTheme="majorBidi" w:hAnsiTheme="majorBidi" w:cstheme="majorBidi"/>
                <w:szCs w:val="22"/>
              </w:rPr>
              <w:t xml:space="preserve"> </w:t>
            </w:r>
            <w:r w:rsidR="00372808" w:rsidRPr="00073574">
              <w:rPr>
                <w:rFonts w:asciiTheme="majorBidi" w:hAnsiTheme="majorBidi" w:cstheme="majorBidi"/>
                <w:szCs w:val="22"/>
              </w:rPr>
              <w:t>how</w:t>
            </w:r>
            <w:r w:rsidRPr="00073574">
              <w:rPr>
                <w:rFonts w:asciiTheme="majorBidi" w:hAnsiTheme="majorBidi" w:cstheme="majorBidi"/>
                <w:szCs w:val="22"/>
              </w:rPr>
              <w:t xml:space="preserve"> technical standardization could support emerging applications of machine </w:t>
            </w:r>
            <w:r w:rsidRPr="00073574">
              <w:rPr>
                <w:rFonts w:asciiTheme="majorBidi" w:hAnsiTheme="majorBidi" w:cstheme="majorBidi"/>
                <w:szCs w:val="22"/>
              </w:rPr>
              <w:lastRenderedPageBreak/>
              <w:t xml:space="preserve">learning in fields such as big data analytics, network management and orchestration, and security and data protection. </w:t>
            </w:r>
          </w:p>
          <w:p w14:paraId="0295C09A" w14:textId="77777777" w:rsidR="00F679B2" w:rsidRPr="00073574" w:rsidRDefault="00F679B2" w:rsidP="00F679B2">
            <w:pPr>
              <w:pStyle w:val="NormalWeb"/>
              <w:spacing w:before="120" w:after="0"/>
              <w:rPr>
                <w:sz w:val="22"/>
                <w:szCs w:val="22"/>
                <w:lang w:val="en-GB"/>
              </w:rPr>
            </w:pPr>
            <w:r w:rsidRPr="00073574">
              <w:rPr>
                <w:sz w:val="22"/>
                <w:szCs w:val="22"/>
                <w:lang w:val="en-GB"/>
              </w:rPr>
              <w:t>A workshop “</w:t>
            </w:r>
            <w:r w:rsidRPr="00073574">
              <w:rPr>
                <w:color w:val="0070C0"/>
                <w:sz w:val="22"/>
                <w:szCs w:val="22"/>
                <w:u w:val="single"/>
                <w:lang w:val="en-GB"/>
              </w:rPr>
              <w:t>Machine Learning for 5G and beyond</w:t>
            </w:r>
            <w:r w:rsidRPr="00073574">
              <w:rPr>
                <w:sz w:val="22"/>
                <w:szCs w:val="22"/>
                <w:lang w:val="en-GB"/>
              </w:rPr>
              <w:t>” was convened alongside the first FG meeting. Each next FG meeting was associated with the workshop.</w:t>
            </w:r>
          </w:p>
          <w:p w14:paraId="460A8A6B" w14:textId="3F653F09" w:rsidR="00F679B2" w:rsidRPr="00073574" w:rsidRDefault="00F679B2" w:rsidP="00F679B2">
            <w:pPr>
              <w:pStyle w:val="NormalWeb"/>
              <w:spacing w:before="120" w:after="0"/>
              <w:rPr>
                <w:sz w:val="22"/>
                <w:szCs w:val="22"/>
                <w:lang w:val="en-GB"/>
              </w:rPr>
            </w:pPr>
            <w:r w:rsidRPr="00073574">
              <w:rPr>
                <w:sz w:val="22"/>
                <w:szCs w:val="22"/>
                <w:lang w:val="en-GB"/>
              </w:rPr>
              <w:t>FG NET2030</w:t>
            </w:r>
            <w:r w:rsidR="0059105F" w:rsidRPr="00073574">
              <w:rPr>
                <w:sz w:val="22"/>
                <w:szCs w:val="22"/>
                <w:lang w:val="en-GB"/>
              </w:rPr>
              <w:t xml:space="preserve"> (in operation 2018 – 2020)</w:t>
            </w:r>
            <w:r w:rsidR="008C5DD0" w:rsidRPr="00073574">
              <w:rPr>
                <w:sz w:val="22"/>
                <w:szCs w:val="22"/>
                <w:lang w:val="en-GB"/>
              </w:rPr>
              <w:t xml:space="preserve"> </w:t>
            </w:r>
            <w:r w:rsidR="00923BE5" w:rsidRPr="00073574">
              <w:rPr>
                <w:sz w:val="22"/>
                <w:szCs w:val="22"/>
                <w:lang w:val="en-GB"/>
              </w:rPr>
              <w:t>wa</w:t>
            </w:r>
            <w:r w:rsidRPr="00073574">
              <w:rPr>
                <w:sz w:val="22"/>
                <w:szCs w:val="22"/>
                <w:lang w:val="en-GB"/>
              </w:rPr>
              <w:t xml:space="preserve">s looking at the technologies to support networks and services around year 2030. As part of promotion of its area of expertise it published in </w:t>
            </w:r>
            <w:r w:rsidR="00923BE5" w:rsidRPr="00073574">
              <w:rPr>
                <w:sz w:val="22"/>
                <w:szCs w:val="22"/>
                <w:lang w:val="en-GB"/>
              </w:rPr>
              <w:t>M</w:t>
            </w:r>
            <w:r w:rsidRPr="00073574">
              <w:rPr>
                <w:sz w:val="22"/>
                <w:szCs w:val="22"/>
                <w:lang w:val="en-GB"/>
              </w:rPr>
              <w:t>ay 2019 a White Paper with vision on Network 2030.</w:t>
            </w:r>
          </w:p>
          <w:p w14:paraId="1D6D06BD" w14:textId="77777777" w:rsidR="00F679B2" w:rsidRPr="00073574" w:rsidRDefault="00F679B2" w:rsidP="00F679B2">
            <w:pPr>
              <w:pStyle w:val="NormalWeb"/>
              <w:spacing w:before="120" w:after="0"/>
              <w:rPr>
                <w:sz w:val="22"/>
                <w:szCs w:val="22"/>
                <w:lang w:val="en-GB"/>
              </w:rPr>
            </w:pPr>
            <w:r w:rsidRPr="00073574">
              <w:rPr>
                <w:sz w:val="22"/>
                <w:szCs w:val="22"/>
                <w:lang w:val="en-GB"/>
              </w:rPr>
              <w:t>Three flipbooks were issued to promote the ITU-T IMT-2020 achievements to date.</w:t>
            </w:r>
          </w:p>
          <w:p w14:paraId="169F16A7" w14:textId="63448DDD" w:rsidR="0082686A" w:rsidRPr="00073574" w:rsidRDefault="00F679B2" w:rsidP="00F679B2">
            <w:pPr>
              <w:pStyle w:val="NormalWeb"/>
              <w:spacing w:before="120" w:after="40"/>
              <w:rPr>
                <w:rFonts w:eastAsia="MS Mincho"/>
                <w:sz w:val="22"/>
                <w:szCs w:val="22"/>
                <w:lang w:val="en-GB"/>
              </w:rPr>
            </w:pPr>
            <w:r w:rsidRPr="00073574">
              <w:rPr>
                <w:sz w:val="22"/>
                <w:szCs w:val="22"/>
                <w:lang w:val="en-GB"/>
              </w:rPr>
              <w:t>Each second workshop of the FG NET2030 has a presentation about IMT-2020.</w:t>
            </w:r>
          </w:p>
        </w:tc>
      </w:tr>
      <w:tr w:rsidR="00F0236A" w:rsidRPr="00073574" w14:paraId="34985EF9" w14:textId="77777777" w:rsidTr="4D78197E">
        <w:trPr>
          <w:jc w:val="center"/>
        </w:trPr>
        <w:tc>
          <w:tcPr>
            <w:tcW w:w="1131" w:type="dxa"/>
            <w:vMerge w:val="restart"/>
            <w:tcBorders>
              <w:top w:val="single" w:sz="12" w:space="0" w:color="auto"/>
            </w:tcBorders>
            <w:shd w:val="clear" w:color="auto" w:fill="auto"/>
          </w:tcPr>
          <w:p w14:paraId="354C29CA" w14:textId="77777777" w:rsidR="00F0236A" w:rsidRPr="00073574" w:rsidRDefault="00F0236A" w:rsidP="004417AB">
            <w:pPr>
              <w:pStyle w:val="Tabletext"/>
              <w:rPr>
                <w:b/>
                <w:bCs/>
                <w:sz w:val="24"/>
                <w:szCs w:val="24"/>
              </w:rPr>
            </w:pPr>
            <w:r w:rsidRPr="00073574">
              <w:rPr>
                <w:b/>
                <w:bCs/>
                <w:sz w:val="24"/>
                <w:szCs w:val="24"/>
              </w:rPr>
              <w:lastRenderedPageBreak/>
              <w:t>92-06</w:t>
            </w:r>
          </w:p>
        </w:tc>
        <w:tc>
          <w:tcPr>
            <w:tcW w:w="4987" w:type="dxa"/>
            <w:tcBorders>
              <w:top w:val="single" w:sz="12" w:space="0" w:color="auto"/>
              <w:bottom w:val="single" w:sz="4" w:space="0" w:color="auto"/>
            </w:tcBorders>
            <w:shd w:val="clear" w:color="auto" w:fill="auto"/>
          </w:tcPr>
          <w:p w14:paraId="45EC045F" w14:textId="77777777" w:rsidR="00F0236A" w:rsidRPr="00073574" w:rsidRDefault="00F0236A" w:rsidP="007F1967">
            <w:pPr>
              <w:pStyle w:val="Tabletext"/>
              <w:rPr>
                <w:b/>
                <w:bCs/>
                <w:sz w:val="24"/>
                <w:szCs w:val="24"/>
              </w:rPr>
            </w:pPr>
            <w:r w:rsidRPr="00073574">
              <w:rPr>
                <w:b/>
                <w:bCs/>
                <w:sz w:val="24"/>
                <w:szCs w:val="24"/>
              </w:rPr>
              <w:t>SG13 to establish the Joint Coordination Activity for IMT-2020 (JCA IMT-2020) and coordinate the standardization activities of IMT (especially IMT-2020) among all relevant study groups and focus groups and other SDOs (i. SG13 2)</w:t>
            </w:r>
          </w:p>
        </w:tc>
        <w:tc>
          <w:tcPr>
            <w:tcW w:w="1335" w:type="dxa"/>
            <w:tcBorders>
              <w:top w:val="single" w:sz="12" w:space="0" w:color="auto"/>
              <w:bottom w:val="single" w:sz="4" w:space="0" w:color="auto"/>
            </w:tcBorders>
            <w:shd w:val="clear" w:color="auto" w:fill="auto"/>
            <w:vAlign w:val="center"/>
          </w:tcPr>
          <w:p w14:paraId="0A709020" w14:textId="77777777" w:rsidR="00F0236A" w:rsidRPr="00073574" w:rsidRDefault="00F0236A" w:rsidP="007F1967">
            <w:pPr>
              <w:pStyle w:val="Tabletext"/>
              <w:jc w:val="center"/>
              <w:rPr>
                <w:b/>
                <w:bCs/>
                <w:sz w:val="24"/>
                <w:szCs w:val="24"/>
              </w:rPr>
            </w:pPr>
            <w:r w:rsidRPr="00073574">
              <w:rPr>
                <w:b/>
                <w:bCs/>
                <w:sz w:val="24"/>
                <w:szCs w:val="24"/>
              </w:rPr>
              <w:t>Ongoing</w:t>
            </w:r>
          </w:p>
        </w:tc>
        <w:tc>
          <w:tcPr>
            <w:tcW w:w="1143" w:type="dxa"/>
            <w:tcBorders>
              <w:top w:val="single" w:sz="12" w:space="0" w:color="auto"/>
              <w:bottom w:val="single" w:sz="4" w:space="0" w:color="auto"/>
            </w:tcBorders>
            <w:shd w:val="clear" w:color="auto" w:fill="auto"/>
            <w:vAlign w:val="center"/>
          </w:tcPr>
          <w:p w14:paraId="1B55C669" w14:textId="77777777" w:rsidR="00F0236A" w:rsidRPr="00073574" w:rsidRDefault="00F0236A" w:rsidP="007F1967">
            <w:pPr>
              <w:pStyle w:val="Tabletext"/>
              <w:jc w:val="center"/>
              <w:rPr>
                <w:b/>
                <w:bCs/>
                <w:sz w:val="24"/>
                <w:szCs w:val="24"/>
              </w:rPr>
            </w:pPr>
            <w:r w:rsidRPr="00073574">
              <w:rPr>
                <w:b/>
                <w:bCs/>
                <w:sz w:val="24"/>
                <w:szCs w:val="24"/>
              </w:rPr>
              <w:t>√</w:t>
            </w:r>
          </w:p>
        </w:tc>
        <w:tc>
          <w:tcPr>
            <w:tcW w:w="1336" w:type="dxa"/>
            <w:tcBorders>
              <w:top w:val="single" w:sz="12" w:space="0" w:color="auto"/>
              <w:bottom w:val="single" w:sz="4" w:space="0" w:color="auto"/>
            </w:tcBorders>
            <w:shd w:val="clear" w:color="auto" w:fill="auto"/>
            <w:vAlign w:val="center"/>
          </w:tcPr>
          <w:p w14:paraId="44A9791E" w14:textId="77777777" w:rsidR="00F0236A" w:rsidRPr="00073574" w:rsidRDefault="00F0236A" w:rsidP="007F1967">
            <w:pPr>
              <w:pStyle w:val="Tabletext"/>
              <w:jc w:val="center"/>
              <w:rPr>
                <w:b/>
                <w:bCs/>
                <w:sz w:val="24"/>
                <w:szCs w:val="24"/>
              </w:rPr>
            </w:pPr>
          </w:p>
        </w:tc>
      </w:tr>
      <w:tr w:rsidR="00F0236A" w:rsidRPr="00073574" w14:paraId="3F3976EE" w14:textId="77777777" w:rsidTr="4D78197E">
        <w:trPr>
          <w:jc w:val="center"/>
        </w:trPr>
        <w:tc>
          <w:tcPr>
            <w:tcW w:w="1131" w:type="dxa"/>
            <w:vMerge/>
          </w:tcPr>
          <w:p w14:paraId="54803F96" w14:textId="77777777" w:rsidR="00F0236A" w:rsidRPr="00073574" w:rsidRDefault="00F0236A" w:rsidP="007F1967">
            <w:pPr>
              <w:pStyle w:val="Tabletext"/>
              <w:rPr>
                <w:sz w:val="24"/>
                <w:szCs w:val="24"/>
              </w:rPr>
            </w:pPr>
          </w:p>
        </w:tc>
        <w:tc>
          <w:tcPr>
            <w:tcW w:w="8801" w:type="dxa"/>
            <w:gridSpan w:val="4"/>
            <w:tcBorders>
              <w:top w:val="single" w:sz="4" w:space="0" w:color="auto"/>
              <w:bottom w:val="single" w:sz="12" w:space="0" w:color="auto"/>
            </w:tcBorders>
            <w:shd w:val="clear" w:color="auto" w:fill="auto"/>
          </w:tcPr>
          <w:p w14:paraId="5714421F" w14:textId="4D83D29D" w:rsidR="00F0236A" w:rsidRPr="00073574" w:rsidRDefault="00F0236A" w:rsidP="008E54F9">
            <w:pPr>
              <w:spacing w:before="40" w:after="40"/>
              <w:rPr>
                <w:rFonts w:eastAsia="MS Mincho"/>
              </w:rPr>
            </w:pPr>
            <w:r w:rsidRPr="00073574">
              <w:t xml:space="preserve">ITU-T SG13 created in February 2017 a new ITU-T Joint Coordination Activity on IMT2020 (ITU-T </w:t>
            </w:r>
            <w:r w:rsidRPr="00073574">
              <w:rPr>
                <w:rFonts w:eastAsia="MS Mincho"/>
              </w:rPr>
              <w:t>JCA-IMT2020) which coordinate</w:t>
            </w:r>
            <w:r w:rsidR="70E45EBB" w:rsidRPr="00073574">
              <w:rPr>
                <w:rFonts w:eastAsia="MS Mincho"/>
              </w:rPr>
              <w:t>s</w:t>
            </w:r>
            <w:r w:rsidRPr="00073574">
              <w:rPr>
                <w:rFonts w:eastAsia="MS Mincho"/>
              </w:rPr>
              <w:t xml:space="preserve"> the ITU-T IMT2020 standardization work among different SGs on the non-radio aspects within ITU-T and coordinate the communication with standards development organizations, consortia and forums also working on IMT2020 related standards.</w:t>
            </w:r>
            <w:r w:rsidR="66E2FB39" w:rsidRPr="00073574">
              <w:rPr>
                <w:rFonts w:eastAsia="MS Mincho"/>
              </w:rPr>
              <w:t xml:space="preserve"> July 2020 SG13 meeting agreed continuation of the JCA-IMT2020 for 2021 with revised ToR.</w:t>
            </w:r>
            <w:r w:rsidR="00E66098" w:rsidRPr="00073574">
              <w:rPr>
                <w:rFonts w:eastAsia="MS Mincho"/>
              </w:rPr>
              <w:t xml:space="preserve"> December 2021 SG13 meeting a</w:t>
            </w:r>
            <w:r w:rsidR="005D0F30" w:rsidRPr="00073574">
              <w:rPr>
                <w:rFonts w:eastAsia="MS Mincho"/>
              </w:rPr>
              <w:t>gree</w:t>
            </w:r>
            <w:r w:rsidR="00B20D25" w:rsidRPr="00073574">
              <w:rPr>
                <w:rFonts w:eastAsia="MS Mincho"/>
              </w:rPr>
              <w:t>d</w:t>
            </w:r>
            <w:r w:rsidR="005D0F30" w:rsidRPr="00073574">
              <w:rPr>
                <w:rFonts w:eastAsia="MS Mincho"/>
              </w:rPr>
              <w:t xml:space="preserve"> continuation of the JCA-IMT2020 for 2022 with the same ToR and revised title “Joint Coordination Activity on IMT2020 and Beyond”.</w:t>
            </w:r>
          </w:p>
        </w:tc>
      </w:tr>
      <w:tr w:rsidR="00F0236A" w:rsidRPr="00073574" w14:paraId="3BFD374E" w14:textId="77777777" w:rsidTr="4D78197E">
        <w:trPr>
          <w:jc w:val="center"/>
        </w:trPr>
        <w:tc>
          <w:tcPr>
            <w:tcW w:w="1131" w:type="dxa"/>
            <w:vMerge w:val="restart"/>
            <w:tcBorders>
              <w:top w:val="single" w:sz="12" w:space="0" w:color="auto"/>
            </w:tcBorders>
            <w:shd w:val="clear" w:color="auto" w:fill="auto"/>
          </w:tcPr>
          <w:p w14:paraId="1A944FDF" w14:textId="77777777" w:rsidR="00F0236A" w:rsidRPr="00073574" w:rsidRDefault="00F0236A" w:rsidP="00DF36E1">
            <w:pPr>
              <w:pStyle w:val="Tabletext"/>
              <w:rPr>
                <w:b/>
                <w:bCs/>
                <w:sz w:val="24"/>
                <w:szCs w:val="24"/>
              </w:rPr>
            </w:pPr>
            <w:r w:rsidRPr="00073574">
              <w:rPr>
                <w:b/>
                <w:bCs/>
                <w:sz w:val="24"/>
                <w:szCs w:val="24"/>
              </w:rPr>
              <w:t>92-07</w:t>
            </w:r>
          </w:p>
        </w:tc>
        <w:tc>
          <w:tcPr>
            <w:tcW w:w="4987" w:type="dxa"/>
            <w:tcBorders>
              <w:top w:val="single" w:sz="12" w:space="0" w:color="auto"/>
              <w:bottom w:val="single" w:sz="4" w:space="0" w:color="auto"/>
            </w:tcBorders>
            <w:shd w:val="clear" w:color="auto" w:fill="auto"/>
          </w:tcPr>
          <w:p w14:paraId="46C8D575" w14:textId="76184F00" w:rsidR="00F0236A" w:rsidRPr="00073574" w:rsidRDefault="00F0236A" w:rsidP="00DF36E1">
            <w:pPr>
              <w:pStyle w:val="Tabletext"/>
              <w:rPr>
                <w:b/>
                <w:bCs/>
                <w:sz w:val="24"/>
                <w:szCs w:val="24"/>
              </w:rPr>
            </w:pPr>
            <w:r w:rsidRPr="00073574">
              <w:rPr>
                <w:b/>
                <w:bCs/>
                <w:sz w:val="24"/>
                <w:szCs w:val="24"/>
              </w:rPr>
              <w:t>SG15 to promote the studies on IMT</w:t>
            </w:r>
            <w:r w:rsidR="003C7E25" w:rsidRPr="00073574">
              <w:rPr>
                <w:b/>
                <w:bCs/>
                <w:sz w:val="24"/>
                <w:szCs w:val="24"/>
              </w:rPr>
              <w:t>'</w:t>
            </w:r>
            <w:r w:rsidRPr="00073574">
              <w:rPr>
                <w:b/>
                <w:bCs/>
                <w:sz w:val="24"/>
                <w:szCs w:val="24"/>
              </w:rPr>
              <w:t>s fronthaul and backhaul network standardization activities, which should establish the necessary structure and work items to progress the standards work on fronthaul/backhaul network requirements, architecture, function and performance, management and control, synchronization, etc., for IMT-2020 (i. SG15)</w:t>
            </w:r>
          </w:p>
        </w:tc>
        <w:tc>
          <w:tcPr>
            <w:tcW w:w="1335" w:type="dxa"/>
            <w:tcBorders>
              <w:top w:val="single" w:sz="12" w:space="0" w:color="auto"/>
              <w:bottom w:val="single" w:sz="4" w:space="0" w:color="auto"/>
            </w:tcBorders>
            <w:shd w:val="clear" w:color="auto" w:fill="auto"/>
            <w:vAlign w:val="center"/>
          </w:tcPr>
          <w:p w14:paraId="21B1D33B"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43" w:type="dxa"/>
            <w:tcBorders>
              <w:top w:val="single" w:sz="12" w:space="0" w:color="auto"/>
              <w:bottom w:val="single" w:sz="4" w:space="0" w:color="auto"/>
            </w:tcBorders>
            <w:shd w:val="clear" w:color="auto" w:fill="auto"/>
            <w:vAlign w:val="center"/>
          </w:tcPr>
          <w:p w14:paraId="3E013D39"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bottom w:val="single" w:sz="4" w:space="0" w:color="auto"/>
            </w:tcBorders>
            <w:shd w:val="clear" w:color="auto" w:fill="auto"/>
            <w:vAlign w:val="center"/>
          </w:tcPr>
          <w:p w14:paraId="509695CA" w14:textId="77777777" w:rsidR="00F0236A" w:rsidRPr="00073574" w:rsidRDefault="00F0236A" w:rsidP="00DF36E1">
            <w:pPr>
              <w:pStyle w:val="Tabletext"/>
              <w:jc w:val="center"/>
              <w:rPr>
                <w:b/>
                <w:bCs/>
                <w:sz w:val="24"/>
                <w:szCs w:val="24"/>
              </w:rPr>
            </w:pPr>
          </w:p>
        </w:tc>
      </w:tr>
      <w:tr w:rsidR="00F0236A" w:rsidRPr="00073574" w14:paraId="6ECDBCBB" w14:textId="77777777" w:rsidTr="4D78197E">
        <w:trPr>
          <w:jc w:val="center"/>
        </w:trPr>
        <w:tc>
          <w:tcPr>
            <w:tcW w:w="1131" w:type="dxa"/>
            <w:vMerge/>
          </w:tcPr>
          <w:p w14:paraId="7C3F8BC4" w14:textId="77777777" w:rsidR="00F0236A" w:rsidRPr="00073574" w:rsidRDefault="00F0236A" w:rsidP="00DF36E1">
            <w:pPr>
              <w:pStyle w:val="Tabletext"/>
              <w:rPr>
                <w:sz w:val="24"/>
                <w:szCs w:val="24"/>
              </w:rPr>
            </w:pPr>
          </w:p>
        </w:tc>
        <w:tc>
          <w:tcPr>
            <w:tcW w:w="8801" w:type="dxa"/>
            <w:gridSpan w:val="4"/>
            <w:tcBorders>
              <w:top w:val="single" w:sz="4" w:space="0" w:color="auto"/>
              <w:bottom w:val="single" w:sz="4" w:space="0" w:color="auto"/>
            </w:tcBorders>
            <w:shd w:val="clear" w:color="auto" w:fill="auto"/>
          </w:tcPr>
          <w:p w14:paraId="2CE1D5A4" w14:textId="29908400" w:rsidR="006307DB" w:rsidRPr="00073574" w:rsidRDefault="006307DB" w:rsidP="00E15AC7">
            <w:pPr>
              <w:spacing w:before="40" w:after="40"/>
            </w:pPr>
            <w:r w:rsidRPr="00073574">
              <w:rPr>
                <w:szCs w:val="22"/>
              </w:rPr>
              <w:t>SG15: see 92-02</w:t>
            </w:r>
          </w:p>
        </w:tc>
      </w:tr>
      <w:tr w:rsidR="00F0236A" w:rsidRPr="00073574" w14:paraId="4D5AAAFB" w14:textId="77777777" w:rsidTr="4D78197E">
        <w:trPr>
          <w:jc w:val="center"/>
        </w:trPr>
        <w:tc>
          <w:tcPr>
            <w:tcW w:w="1131" w:type="dxa"/>
            <w:vMerge w:val="restart"/>
            <w:tcBorders>
              <w:top w:val="single" w:sz="12" w:space="0" w:color="auto"/>
            </w:tcBorders>
            <w:shd w:val="clear" w:color="auto" w:fill="auto"/>
          </w:tcPr>
          <w:p w14:paraId="65CE4F10" w14:textId="77777777" w:rsidR="00F0236A" w:rsidRPr="00073574" w:rsidRDefault="00F0236A" w:rsidP="00843789">
            <w:pPr>
              <w:pStyle w:val="Tabletext"/>
              <w:keepNext/>
              <w:rPr>
                <w:b/>
                <w:bCs/>
                <w:sz w:val="24"/>
                <w:szCs w:val="24"/>
              </w:rPr>
            </w:pPr>
            <w:r w:rsidRPr="00073574">
              <w:rPr>
                <w:b/>
                <w:bCs/>
                <w:sz w:val="24"/>
                <w:szCs w:val="24"/>
              </w:rPr>
              <w:t>92-08</w:t>
            </w:r>
          </w:p>
        </w:tc>
        <w:tc>
          <w:tcPr>
            <w:tcW w:w="4987" w:type="dxa"/>
            <w:tcBorders>
              <w:top w:val="single" w:sz="12" w:space="0" w:color="auto"/>
              <w:bottom w:val="single" w:sz="4" w:space="0" w:color="auto"/>
            </w:tcBorders>
            <w:shd w:val="clear" w:color="auto" w:fill="auto"/>
          </w:tcPr>
          <w:p w14:paraId="36BBFFD7" w14:textId="77777777" w:rsidR="00F0236A" w:rsidRPr="00073574" w:rsidRDefault="00F0236A" w:rsidP="00843789">
            <w:pPr>
              <w:pStyle w:val="Tabletext"/>
              <w:keepNext/>
              <w:rPr>
                <w:b/>
                <w:bCs/>
                <w:sz w:val="24"/>
                <w:szCs w:val="24"/>
              </w:rPr>
            </w:pPr>
            <w:r w:rsidRPr="00073574">
              <w:rPr>
                <w:b/>
                <w:bCs/>
                <w:sz w:val="24"/>
                <w:szCs w:val="24"/>
              </w:rPr>
              <w:t>SG11 to promote the studies on standardization activities related to the non-radio aspects of IMT signalling, protocol and testing (i. SG11)</w:t>
            </w:r>
          </w:p>
        </w:tc>
        <w:tc>
          <w:tcPr>
            <w:tcW w:w="1335" w:type="dxa"/>
            <w:tcBorders>
              <w:top w:val="single" w:sz="12" w:space="0" w:color="auto"/>
              <w:bottom w:val="single" w:sz="4" w:space="0" w:color="auto"/>
            </w:tcBorders>
            <w:shd w:val="clear" w:color="auto" w:fill="auto"/>
            <w:vAlign w:val="center"/>
          </w:tcPr>
          <w:p w14:paraId="6552AB94" w14:textId="77777777" w:rsidR="00F0236A" w:rsidRPr="00073574" w:rsidRDefault="00F0236A" w:rsidP="00843789">
            <w:pPr>
              <w:pStyle w:val="Tabletext"/>
              <w:keepNext/>
              <w:jc w:val="center"/>
              <w:rPr>
                <w:b/>
                <w:bCs/>
                <w:sz w:val="24"/>
                <w:szCs w:val="24"/>
              </w:rPr>
            </w:pPr>
            <w:r w:rsidRPr="00073574">
              <w:rPr>
                <w:b/>
                <w:bCs/>
                <w:sz w:val="24"/>
                <w:szCs w:val="24"/>
              </w:rPr>
              <w:t>Ongoing</w:t>
            </w:r>
          </w:p>
        </w:tc>
        <w:tc>
          <w:tcPr>
            <w:tcW w:w="1143" w:type="dxa"/>
            <w:tcBorders>
              <w:top w:val="single" w:sz="12" w:space="0" w:color="auto"/>
              <w:bottom w:val="single" w:sz="4" w:space="0" w:color="auto"/>
            </w:tcBorders>
            <w:shd w:val="clear" w:color="auto" w:fill="auto"/>
            <w:vAlign w:val="center"/>
          </w:tcPr>
          <w:p w14:paraId="2F8D29C1" w14:textId="77777777" w:rsidR="00F0236A" w:rsidRPr="00073574" w:rsidRDefault="00F0236A" w:rsidP="00843789">
            <w:pPr>
              <w:pStyle w:val="Tabletext"/>
              <w:keepNext/>
              <w:jc w:val="center"/>
              <w:rPr>
                <w:b/>
                <w:bCs/>
                <w:sz w:val="24"/>
                <w:szCs w:val="24"/>
              </w:rPr>
            </w:pPr>
            <w:r w:rsidRPr="00073574">
              <w:rPr>
                <w:b/>
                <w:bCs/>
                <w:sz w:val="24"/>
                <w:szCs w:val="24"/>
              </w:rPr>
              <w:t>√</w:t>
            </w:r>
          </w:p>
        </w:tc>
        <w:tc>
          <w:tcPr>
            <w:tcW w:w="1336" w:type="dxa"/>
            <w:tcBorders>
              <w:top w:val="single" w:sz="12" w:space="0" w:color="auto"/>
              <w:bottom w:val="single" w:sz="4" w:space="0" w:color="auto"/>
            </w:tcBorders>
            <w:shd w:val="clear" w:color="auto" w:fill="auto"/>
            <w:vAlign w:val="center"/>
          </w:tcPr>
          <w:p w14:paraId="5587948C" w14:textId="77777777" w:rsidR="00F0236A" w:rsidRPr="00073574" w:rsidRDefault="00F0236A" w:rsidP="00843789">
            <w:pPr>
              <w:pStyle w:val="Tabletext"/>
              <w:keepNext/>
              <w:jc w:val="center"/>
              <w:rPr>
                <w:b/>
                <w:bCs/>
                <w:sz w:val="24"/>
                <w:szCs w:val="24"/>
              </w:rPr>
            </w:pPr>
          </w:p>
        </w:tc>
      </w:tr>
      <w:tr w:rsidR="00F0236A" w:rsidRPr="00073574" w14:paraId="04838093" w14:textId="77777777" w:rsidTr="4D78197E">
        <w:trPr>
          <w:jc w:val="center"/>
        </w:trPr>
        <w:tc>
          <w:tcPr>
            <w:tcW w:w="1131" w:type="dxa"/>
            <w:vMerge/>
          </w:tcPr>
          <w:p w14:paraId="2A5E3D25" w14:textId="77777777" w:rsidR="00F0236A" w:rsidRPr="00073574" w:rsidRDefault="00F0236A" w:rsidP="00843789">
            <w:pPr>
              <w:pStyle w:val="Tabletext"/>
              <w:keepNext/>
              <w:rPr>
                <w:sz w:val="24"/>
                <w:szCs w:val="24"/>
              </w:rPr>
            </w:pPr>
          </w:p>
        </w:tc>
        <w:tc>
          <w:tcPr>
            <w:tcW w:w="8801" w:type="dxa"/>
            <w:gridSpan w:val="4"/>
            <w:tcBorders>
              <w:top w:val="single" w:sz="4" w:space="0" w:color="auto"/>
              <w:bottom w:val="single" w:sz="12" w:space="0" w:color="auto"/>
            </w:tcBorders>
            <w:shd w:val="clear" w:color="auto" w:fill="auto"/>
          </w:tcPr>
          <w:p w14:paraId="7C5C85BC" w14:textId="77777777" w:rsidR="00F0236A" w:rsidRPr="00073574" w:rsidRDefault="00F0236A" w:rsidP="00843789">
            <w:pPr>
              <w:pStyle w:val="Tabletext"/>
              <w:keepNext/>
              <w:rPr>
                <w:szCs w:val="22"/>
              </w:rPr>
            </w:pPr>
            <w:r w:rsidRPr="00073574">
              <w:rPr>
                <w:szCs w:val="22"/>
              </w:rPr>
              <w:t>SG11: see 92-02.</w:t>
            </w:r>
          </w:p>
        </w:tc>
      </w:tr>
      <w:tr w:rsidR="00F0236A" w:rsidRPr="00073574" w14:paraId="5C751014" w14:textId="77777777" w:rsidTr="4D78197E">
        <w:trPr>
          <w:jc w:val="center"/>
        </w:trPr>
        <w:tc>
          <w:tcPr>
            <w:tcW w:w="1131" w:type="dxa"/>
            <w:vMerge w:val="restart"/>
            <w:tcBorders>
              <w:top w:val="single" w:sz="12" w:space="0" w:color="auto"/>
            </w:tcBorders>
            <w:shd w:val="clear" w:color="auto" w:fill="auto"/>
          </w:tcPr>
          <w:p w14:paraId="43E843DF" w14:textId="77777777" w:rsidR="00F0236A" w:rsidRPr="00073574" w:rsidRDefault="00F0236A" w:rsidP="00DF36E1">
            <w:pPr>
              <w:pStyle w:val="Tabletext"/>
              <w:keepNext/>
              <w:keepLines/>
              <w:rPr>
                <w:b/>
                <w:bCs/>
                <w:sz w:val="24"/>
                <w:szCs w:val="24"/>
              </w:rPr>
            </w:pPr>
            <w:r w:rsidRPr="00073574">
              <w:rPr>
                <w:b/>
                <w:bCs/>
                <w:sz w:val="24"/>
                <w:szCs w:val="24"/>
              </w:rPr>
              <w:t>92-09</w:t>
            </w:r>
          </w:p>
        </w:tc>
        <w:tc>
          <w:tcPr>
            <w:tcW w:w="4987" w:type="dxa"/>
            <w:tcBorders>
              <w:top w:val="single" w:sz="12" w:space="0" w:color="auto"/>
              <w:bottom w:val="single" w:sz="4" w:space="0" w:color="auto"/>
            </w:tcBorders>
            <w:shd w:val="clear" w:color="auto" w:fill="auto"/>
          </w:tcPr>
          <w:p w14:paraId="40808BE4" w14:textId="77777777" w:rsidR="00F0236A" w:rsidRPr="00073574" w:rsidRDefault="00F0236A" w:rsidP="00DF36E1">
            <w:pPr>
              <w:pStyle w:val="Tabletext"/>
              <w:keepNext/>
              <w:keepLines/>
              <w:rPr>
                <w:b/>
                <w:bCs/>
                <w:sz w:val="24"/>
                <w:szCs w:val="24"/>
              </w:rPr>
            </w:pPr>
            <w:r w:rsidRPr="00073574">
              <w:rPr>
                <w:b/>
                <w:bCs/>
                <w:sz w:val="24"/>
                <w:szCs w:val="24"/>
              </w:rPr>
              <w:t>SG12 to promote the studies on standardization activities related to the non-radio aspects of IMT service, QoS and quality of experience (QoE) (i. SG12)</w:t>
            </w:r>
          </w:p>
        </w:tc>
        <w:tc>
          <w:tcPr>
            <w:tcW w:w="1335" w:type="dxa"/>
            <w:tcBorders>
              <w:top w:val="single" w:sz="12" w:space="0" w:color="auto"/>
              <w:bottom w:val="single" w:sz="4" w:space="0" w:color="auto"/>
            </w:tcBorders>
            <w:shd w:val="clear" w:color="auto" w:fill="auto"/>
            <w:vAlign w:val="center"/>
          </w:tcPr>
          <w:p w14:paraId="1E83876A"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43" w:type="dxa"/>
            <w:tcBorders>
              <w:top w:val="single" w:sz="12" w:space="0" w:color="auto"/>
              <w:bottom w:val="single" w:sz="4" w:space="0" w:color="auto"/>
            </w:tcBorders>
            <w:shd w:val="clear" w:color="auto" w:fill="auto"/>
            <w:vAlign w:val="center"/>
          </w:tcPr>
          <w:p w14:paraId="36EEC254"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bottom w:val="single" w:sz="4" w:space="0" w:color="auto"/>
            </w:tcBorders>
            <w:shd w:val="clear" w:color="auto" w:fill="auto"/>
            <w:vAlign w:val="center"/>
          </w:tcPr>
          <w:p w14:paraId="00A1DBAC" w14:textId="77777777" w:rsidR="00F0236A" w:rsidRPr="00073574" w:rsidRDefault="00F0236A" w:rsidP="00DF36E1">
            <w:pPr>
              <w:pStyle w:val="Tabletext"/>
              <w:jc w:val="center"/>
              <w:rPr>
                <w:b/>
                <w:bCs/>
                <w:sz w:val="24"/>
                <w:szCs w:val="24"/>
              </w:rPr>
            </w:pPr>
          </w:p>
        </w:tc>
      </w:tr>
      <w:tr w:rsidR="00F0236A" w:rsidRPr="00073574" w14:paraId="3A00CEDC" w14:textId="77777777" w:rsidTr="4D78197E">
        <w:trPr>
          <w:jc w:val="center"/>
        </w:trPr>
        <w:tc>
          <w:tcPr>
            <w:tcW w:w="1131" w:type="dxa"/>
            <w:vMerge/>
          </w:tcPr>
          <w:p w14:paraId="11F6AAC2" w14:textId="77777777" w:rsidR="00F0236A" w:rsidRPr="00073574" w:rsidRDefault="00F0236A" w:rsidP="00DF36E1">
            <w:pPr>
              <w:pStyle w:val="Tabletext"/>
              <w:rPr>
                <w:sz w:val="24"/>
                <w:szCs w:val="24"/>
              </w:rPr>
            </w:pPr>
          </w:p>
        </w:tc>
        <w:tc>
          <w:tcPr>
            <w:tcW w:w="8801" w:type="dxa"/>
            <w:gridSpan w:val="4"/>
            <w:tcBorders>
              <w:top w:val="single" w:sz="4" w:space="0" w:color="auto"/>
              <w:bottom w:val="single" w:sz="12" w:space="0" w:color="auto"/>
            </w:tcBorders>
            <w:shd w:val="clear" w:color="auto" w:fill="auto"/>
          </w:tcPr>
          <w:p w14:paraId="3F018B1A" w14:textId="18E48954" w:rsidR="00F0236A" w:rsidRPr="00073574" w:rsidRDefault="00F0236A" w:rsidP="005217C9">
            <w:pPr>
              <w:pStyle w:val="Tabletext"/>
            </w:pPr>
            <w:r w:rsidRPr="00073574">
              <w:t>SG12 established a work item on QoS framework for IMT-2020 in January 2016, considering the gap analysis output of the first phase of FG IMT-2020.</w:t>
            </w:r>
          </w:p>
          <w:p w14:paraId="3D76257D" w14:textId="77777777" w:rsidR="00F0236A" w:rsidRPr="00073574" w:rsidRDefault="00F0236A" w:rsidP="005F626E">
            <w:pPr>
              <w:pStyle w:val="Tabletext"/>
              <w:spacing w:before="120"/>
              <w:rPr>
                <w:rStyle w:val="Strong"/>
                <w:rFonts w:asciiTheme="majorBidi" w:hAnsiTheme="majorBidi" w:cstheme="majorBidi"/>
                <w:b w:val="0"/>
                <w:bCs w:val="0"/>
              </w:rPr>
            </w:pPr>
            <w:r w:rsidRPr="00073574">
              <w:rPr>
                <w:rFonts w:asciiTheme="majorBidi" w:hAnsiTheme="majorBidi" w:cstheme="majorBidi"/>
              </w:rPr>
              <w:t xml:space="preserve">An </w:t>
            </w:r>
            <w:hyperlink r:id="rId815" w:history="1">
              <w:r w:rsidRPr="00073574">
                <w:rPr>
                  <w:rStyle w:val="Strong"/>
                  <w:rFonts w:asciiTheme="majorBidi" w:hAnsiTheme="majorBidi" w:cstheme="majorBidi"/>
                  <w:b w:val="0"/>
                  <w:bCs w:val="0"/>
                  <w:color w:val="0000FF"/>
                  <w:u w:val="single"/>
                </w:rPr>
                <w:t>ITU Workshop on Performance, QoS and QoE for Multimedia Services</w:t>
              </w:r>
            </w:hyperlink>
            <w:r w:rsidRPr="00073574">
              <w:rPr>
                <w:rFonts w:asciiTheme="majorBidi" w:hAnsiTheme="majorBidi" w:cstheme="majorBidi"/>
              </w:rPr>
              <w:t xml:space="preserve">, organized on 24-25 July 2017, in Johannesburg, South Africa, discussed </w:t>
            </w:r>
            <w:r w:rsidRPr="00073574">
              <w:rPr>
                <w:rStyle w:val="Strong"/>
                <w:rFonts w:asciiTheme="majorBidi" w:hAnsiTheme="majorBidi" w:cstheme="majorBidi"/>
                <w:b w:val="0"/>
                <w:bCs w:val="0"/>
              </w:rPr>
              <w:t xml:space="preserve">KPIs and methods for measuring and </w:t>
            </w:r>
            <w:r w:rsidRPr="00073574">
              <w:rPr>
                <w:rStyle w:val="Strong"/>
                <w:rFonts w:asciiTheme="majorBidi" w:hAnsiTheme="majorBidi" w:cstheme="majorBidi"/>
                <w:b w:val="0"/>
                <w:bCs w:val="0"/>
              </w:rPr>
              <w:lastRenderedPageBreak/>
              <w:t>evaluating the QoS/QoE in LTE and LTE-Advanced networks, QoS/QoE regulatory and policy aspects, network performance and QoS requirements for 5G networks, and ITU-T activities on QoS/QoE.</w:t>
            </w:r>
          </w:p>
          <w:p w14:paraId="394227E2" w14:textId="0AFE6EE0" w:rsidR="00644165" w:rsidRPr="00073574" w:rsidRDefault="00644165" w:rsidP="005F626E">
            <w:pPr>
              <w:pStyle w:val="Tabletext"/>
              <w:spacing w:before="120"/>
              <w:rPr>
                <w:rFonts w:asciiTheme="majorBidi" w:hAnsiTheme="majorBidi" w:cstheme="majorBidi"/>
              </w:rPr>
            </w:pPr>
            <w:r w:rsidRPr="00073574">
              <w:rPr>
                <w:szCs w:val="22"/>
              </w:rPr>
              <w:t>Recommendation ITU-T Y.1550 is applicable to IMT-2020 networks</w:t>
            </w:r>
            <w:r w:rsidR="00000C79" w:rsidRPr="00073574">
              <w:rPr>
                <w:szCs w:val="22"/>
              </w:rPr>
              <w:t>.</w:t>
            </w:r>
          </w:p>
        </w:tc>
      </w:tr>
      <w:tr w:rsidR="00F0236A" w:rsidRPr="00073574" w14:paraId="27C8D863" w14:textId="77777777" w:rsidTr="4D78197E">
        <w:trPr>
          <w:jc w:val="center"/>
        </w:trPr>
        <w:tc>
          <w:tcPr>
            <w:tcW w:w="1131" w:type="dxa"/>
            <w:vMerge w:val="restart"/>
            <w:tcBorders>
              <w:top w:val="single" w:sz="12" w:space="0" w:color="auto"/>
            </w:tcBorders>
            <w:shd w:val="clear" w:color="auto" w:fill="auto"/>
          </w:tcPr>
          <w:p w14:paraId="4C0CABE2" w14:textId="77777777" w:rsidR="00F0236A" w:rsidRPr="00073574" w:rsidRDefault="00F0236A" w:rsidP="00950877">
            <w:pPr>
              <w:pStyle w:val="Tabletext"/>
              <w:keepNext/>
              <w:keepLines/>
              <w:rPr>
                <w:b/>
                <w:bCs/>
                <w:sz w:val="24"/>
                <w:szCs w:val="24"/>
              </w:rPr>
            </w:pPr>
            <w:r w:rsidRPr="00073574">
              <w:rPr>
                <w:b/>
                <w:bCs/>
                <w:sz w:val="24"/>
                <w:szCs w:val="24"/>
              </w:rPr>
              <w:lastRenderedPageBreak/>
              <w:t>92-10</w:t>
            </w:r>
          </w:p>
        </w:tc>
        <w:tc>
          <w:tcPr>
            <w:tcW w:w="4987" w:type="dxa"/>
            <w:tcBorders>
              <w:top w:val="single" w:sz="12" w:space="0" w:color="auto"/>
              <w:bottom w:val="single" w:sz="4" w:space="0" w:color="auto"/>
            </w:tcBorders>
            <w:shd w:val="clear" w:color="auto" w:fill="auto"/>
          </w:tcPr>
          <w:p w14:paraId="1D2ACE67" w14:textId="77777777" w:rsidR="00F0236A" w:rsidRPr="00073574" w:rsidRDefault="00F0236A" w:rsidP="00DF36E1">
            <w:pPr>
              <w:pStyle w:val="Tabletext"/>
              <w:rPr>
                <w:b/>
                <w:bCs/>
                <w:sz w:val="24"/>
                <w:szCs w:val="24"/>
              </w:rPr>
            </w:pPr>
            <w:r w:rsidRPr="00073574">
              <w:rPr>
                <w:b/>
                <w:bCs/>
                <w:sz w:val="24"/>
                <w:szCs w:val="24"/>
              </w:rPr>
              <w:t>SG17 to promote the studies on standardization activities related to IMT network and applications security (i. SG17)</w:t>
            </w:r>
          </w:p>
        </w:tc>
        <w:tc>
          <w:tcPr>
            <w:tcW w:w="1335" w:type="dxa"/>
            <w:tcBorders>
              <w:top w:val="single" w:sz="12" w:space="0" w:color="auto"/>
              <w:bottom w:val="single" w:sz="4" w:space="0" w:color="auto"/>
            </w:tcBorders>
            <w:shd w:val="clear" w:color="auto" w:fill="auto"/>
            <w:vAlign w:val="center"/>
          </w:tcPr>
          <w:p w14:paraId="0E3CFBF8"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43" w:type="dxa"/>
            <w:tcBorders>
              <w:top w:val="single" w:sz="12" w:space="0" w:color="auto"/>
              <w:bottom w:val="single" w:sz="4" w:space="0" w:color="auto"/>
            </w:tcBorders>
            <w:shd w:val="clear" w:color="auto" w:fill="auto"/>
            <w:vAlign w:val="center"/>
          </w:tcPr>
          <w:p w14:paraId="549B158F" w14:textId="5C1E5771" w:rsidR="00F0236A" w:rsidRPr="00073574" w:rsidRDefault="00A86CB5" w:rsidP="00DF36E1">
            <w:pPr>
              <w:pStyle w:val="Tabletext"/>
              <w:jc w:val="center"/>
              <w:rPr>
                <w:b/>
                <w:bCs/>
                <w:sz w:val="24"/>
                <w:szCs w:val="24"/>
              </w:rPr>
            </w:pPr>
            <w:r w:rsidRPr="00073574">
              <w:rPr>
                <w:b/>
                <w:bCs/>
                <w:sz w:val="24"/>
                <w:szCs w:val="24"/>
              </w:rPr>
              <w:t>√</w:t>
            </w:r>
          </w:p>
        </w:tc>
        <w:tc>
          <w:tcPr>
            <w:tcW w:w="1336" w:type="dxa"/>
            <w:tcBorders>
              <w:top w:val="single" w:sz="12" w:space="0" w:color="auto"/>
              <w:bottom w:val="single" w:sz="4" w:space="0" w:color="auto"/>
            </w:tcBorders>
            <w:shd w:val="clear" w:color="auto" w:fill="auto"/>
            <w:vAlign w:val="center"/>
          </w:tcPr>
          <w:p w14:paraId="5C96FF31" w14:textId="77777777" w:rsidR="00F0236A" w:rsidRPr="00073574" w:rsidRDefault="00F0236A" w:rsidP="00DF36E1">
            <w:pPr>
              <w:pStyle w:val="Tabletext"/>
              <w:jc w:val="center"/>
              <w:rPr>
                <w:b/>
                <w:bCs/>
                <w:sz w:val="24"/>
                <w:szCs w:val="24"/>
              </w:rPr>
            </w:pPr>
          </w:p>
        </w:tc>
      </w:tr>
      <w:tr w:rsidR="00F0236A" w:rsidRPr="00073574" w14:paraId="1B4D2CF2" w14:textId="77777777" w:rsidTr="4D78197E">
        <w:trPr>
          <w:trHeight w:val="625"/>
          <w:jc w:val="center"/>
        </w:trPr>
        <w:tc>
          <w:tcPr>
            <w:tcW w:w="1131" w:type="dxa"/>
            <w:vMerge/>
          </w:tcPr>
          <w:p w14:paraId="5F2222C8" w14:textId="77777777" w:rsidR="00F0236A" w:rsidRPr="00073574" w:rsidRDefault="00F0236A" w:rsidP="00DF36E1">
            <w:pPr>
              <w:pStyle w:val="Tabletext"/>
              <w:rPr>
                <w:sz w:val="24"/>
                <w:szCs w:val="24"/>
              </w:rPr>
            </w:pPr>
          </w:p>
        </w:tc>
        <w:tc>
          <w:tcPr>
            <w:tcW w:w="8801" w:type="dxa"/>
            <w:gridSpan w:val="4"/>
            <w:tcBorders>
              <w:top w:val="single" w:sz="4" w:space="0" w:color="auto"/>
              <w:bottom w:val="single" w:sz="12" w:space="0" w:color="auto"/>
            </w:tcBorders>
            <w:shd w:val="clear" w:color="auto" w:fill="auto"/>
          </w:tcPr>
          <w:p w14:paraId="62AB979D" w14:textId="77777777" w:rsidR="00F15B54" w:rsidRPr="00073574" w:rsidRDefault="00821985" w:rsidP="00E15AC7">
            <w:pPr>
              <w:spacing w:before="40" w:after="40"/>
              <w:rPr>
                <w:rFonts w:asciiTheme="majorBidi" w:hAnsiTheme="majorBidi" w:cstheme="majorBidi"/>
                <w:szCs w:val="22"/>
              </w:rPr>
            </w:pPr>
            <w:r w:rsidRPr="00073574">
              <w:rPr>
                <w:rFonts w:asciiTheme="majorBidi" w:hAnsiTheme="majorBidi" w:cstheme="majorBidi"/>
                <w:szCs w:val="22"/>
              </w:rPr>
              <w:t>ITU-T SG17 organize</w:t>
            </w:r>
            <w:r w:rsidR="002864DA" w:rsidRPr="00073574">
              <w:rPr>
                <w:rFonts w:asciiTheme="majorBidi" w:hAnsiTheme="majorBidi" w:cstheme="majorBidi"/>
                <w:szCs w:val="22"/>
              </w:rPr>
              <w:t>d</w:t>
            </w:r>
            <w:r w:rsidRPr="00073574">
              <w:rPr>
                <w:rFonts w:asciiTheme="majorBidi" w:hAnsiTheme="majorBidi" w:cstheme="majorBidi"/>
                <w:szCs w:val="22"/>
              </w:rPr>
              <w:t xml:space="preserve"> an </w:t>
            </w:r>
            <w:hyperlink r:id="rId816" w:history="1">
              <w:r w:rsidRPr="00073574">
                <w:rPr>
                  <w:rStyle w:val="Hyperlink"/>
                  <w:rFonts w:asciiTheme="majorBidi" w:hAnsiTheme="majorBidi" w:cstheme="majorBidi"/>
                  <w:szCs w:val="22"/>
                </w:rPr>
                <w:t>ITU workshop on 5G Security</w:t>
              </w:r>
            </w:hyperlink>
            <w:r w:rsidRPr="00073574">
              <w:rPr>
                <w:rFonts w:asciiTheme="majorBidi" w:hAnsiTheme="majorBidi" w:cstheme="majorBidi"/>
                <w:szCs w:val="22"/>
              </w:rPr>
              <w:t xml:space="preserve"> on 19 March 2018, prior to the next SG17 meeting on 20-29 March 2018 in Geneva, Switzerland.</w:t>
            </w:r>
          </w:p>
          <w:p w14:paraId="3B9D442C" w14:textId="1FE4D72E" w:rsidR="00F0236A" w:rsidRPr="00073574" w:rsidRDefault="086EEB25" w:rsidP="539711DF">
            <w:pPr>
              <w:spacing w:after="40"/>
              <w:rPr>
                <w:rFonts w:asciiTheme="majorBidi" w:hAnsiTheme="majorBidi" w:cstheme="majorBidi"/>
              </w:rPr>
            </w:pPr>
            <w:r w:rsidRPr="00073574">
              <w:rPr>
                <w:rFonts w:asciiTheme="majorBidi" w:hAnsiTheme="majorBidi" w:cstheme="majorBidi"/>
              </w:rPr>
              <w:t xml:space="preserve">SG17 </w:t>
            </w:r>
            <w:r w:rsidR="00FB29D6" w:rsidRPr="00073574">
              <w:rPr>
                <w:rFonts w:asciiTheme="majorBidi" w:hAnsiTheme="majorBidi" w:cstheme="majorBidi"/>
              </w:rPr>
              <w:t xml:space="preserve">approved </w:t>
            </w:r>
            <w:r w:rsidR="00C2402B" w:rsidRPr="00073574">
              <w:rPr>
                <w:rFonts w:asciiTheme="majorBidi" w:hAnsiTheme="majorBidi" w:cstheme="majorBidi"/>
              </w:rPr>
              <w:t xml:space="preserve">Recommendations </w:t>
            </w:r>
            <w:r w:rsidR="00C82F74" w:rsidRPr="00073574">
              <w:t xml:space="preserve">ITU-T </w:t>
            </w:r>
            <w:r w:rsidR="0000763C" w:rsidRPr="00073574">
              <w:rPr>
                <w:rFonts w:asciiTheme="majorBidi" w:hAnsiTheme="majorBidi" w:cstheme="majorBidi"/>
              </w:rPr>
              <w:t xml:space="preserve">X.1811 </w:t>
            </w:r>
            <w:r w:rsidR="0000763C" w:rsidRPr="00073574">
              <w:rPr>
                <w:rFonts w:asciiTheme="majorBidi" w:hAnsiTheme="majorBidi" w:cstheme="majorBidi"/>
                <w:i/>
                <w:iCs/>
              </w:rPr>
              <w:t>Security guidelines for applying quantum-safe algorithms in 5G systems</w:t>
            </w:r>
            <w:r w:rsidR="00C2402B" w:rsidRPr="00073574">
              <w:rPr>
                <w:rFonts w:asciiTheme="majorBidi" w:hAnsiTheme="majorBidi" w:cstheme="majorBidi"/>
                <w:i/>
                <w:iCs/>
              </w:rPr>
              <w:t xml:space="preserve">, </w:t>
            </w:r>
            <w:r w:rsidR="00C82F74" w:rsidRPr="00073574">
              <w:t xml:space="preserve">ITU-T </w:t>
            </w:r>
            <w:r w:rsidR="00C2402B" w:rsidRPr="00073574">
              <w:rPr>
                <w:rFonts w:asciiTheme="majorBidi" w:hAnsiTheme="majorBidi" w:cstheme="majorBidi"/>
              </w:rPr>
              <w:t>X.1812</w:t>
            </w:r>
            <w:r w:rsidR="00C2402B" w:rsidRPr="00073574">
              <w:t xml:space="preserve"> </w:t>
            </w:r>
            <w:r w:rsidR="00C2402B" w:rsidRPr="00073574">
              <w:rPr>
                <w:rFonts w:asciiTheme="majorBidi" w:hAnsiTheme="majorBidi" w:cstheme="majorBidi"/>
                <w:i/>
                <w:iCs/>
              </w:rPr>
              <w:t>Security framework based on trust relationship for IMT-2020 ecosystem</w:t>
            </w:r>
            <w:r w:rsidR="0000763C" w:rsidRPr="00073574">
              <w:rPr>
                <w:rFonts w:asciiTheme="majorBidi" w:hAnsiTheme="majorBidi" w:cstheme="majorBidi"/>
              </w:rPr>
              <w:t xml:space="preserve"> and</w:t>
            </w:r>
            <w:r w:rsidR="00C2402B" w:rsidRPr="00073574">
              <w:rPr>
                <w:rFonts w:asciiTheme="majorBidi" w:hAnsiTheme="majorBidi" w:cstheme="majorBidi"/>
              </w:rPr>
              <w:t xml:space="preserve"> </w:t>
            </w:r>
            <w:r w:rsidRPr="00073574">
              <w:rPr>
                <w:rFonts w:asciiTheme="majorBidi" w:hAnsiTheme="majorBidi" w:cstheme="majorBidi"/>
              </w:rPr>
              <w:t xml:space="preserve">is working on </w:t>
            </w:r>
            <w:r w:rsidR="00A017CB" w:rsidRPr="00073574">
              <w:rPr>
                <w:rFonts w:asciiTheme="majorBidi" w:hAnsiTheme="majorBidi" w:cstheme="majorBidi"/>
              </w:rPr>
              <w:t xml:space="preserve">several </w:t>
            </w:r>
            <w:r w:rsidR="42F3B7BA" w:rsidRPr="00073574">
              <w:rPr>
                <w:rFonts w:asciiTheme="majorBidi" w:hAnsiTheme="majorBidi" w:cstheme="majorBidi"/>
              </w:rPr>
              <w:t>5G security standardization</w:t>
            </w:r>
            <w:r w:rsidR="00A017CB" w:rsidRPr="00073574">
              <w:rPr>
                <w:rFonts w:asciiTheme="majorBidi" w:hAnsiTheme="majorBidi" w:cstheme="majorBidi"/>
              </w:rPr>
              <w:t xml:space="preserve"> work items</w:t>
            </w:r>
            <w:r w:rsidR="42F3B7BA" w:rsidRPr="00073574">
              <w:rPr>
                <w:rFonts w:asciiTheme="majorBidi" w:hAnsiTheme="majorBidi" w:cstheme="majorBidi"/>
              </w:rPr>
              <w:t xml:space="preserve">, see </w:t>
            </w:r>
            <w:r w:rsidR="00486B0A" w:rsidRPr="00073574">
              <w:rPr>
                <w:rFonts w:asciiTheme="majorBidi" w:hAnsiTheme="majorBidi" w:cstheme="majorBidi"/>
              </w:rPr>
              <w:t xml:space="preserve">SG17 5G Security Standardization Roadmap at </w:t>
            </w:r>
            <w:r w:rsidR="00486B0A" w:rsidRPr="00073574">
              <w:t>https://www.itu.int/itu-t/workprog/wp_item.aspx?isn=17201</w:t>
            </w:r>
            <w:hyperlink w:history="1"/>
            <w:r w:rsidRPr="00073574">
              <w:rPr>
                <w:rFonts w:asciiTheme="majorBidi" w:hAnsiTheme="majorBidi" w:cstheme="majorBidi"/>
              </w:rPr>
              <w:t>.</w:t>
            </w:r>
          </w:p>
        </w:tc>
      </w:tr>
      <w:tr w:rsidR="00F0236A" w:rsidRPr="00073574" w14:paraId="6AB2C249" w14:textId="77777777" w:rsidTr="4D78197E">
        <w:trPr>
          <w:jc w:val="center"/>
        </w:trPr>
        <w:tc>
          <w:tcPr>
            <w:tcW w:w="1131" w:type="dxa"/>
            <w:vMerge w:val="restart"/>
            <w:tcBorders>
              <w:top w:val="single" w:sz="12" w:space="0" w:color="auto"/>
            </w:tcBorders>
            <w:shd w:val="clear" w:color="auto" w:fill="auto"/>
          </w:tcPr>
          <w:p w14:paraId="7AC1F509" w14:textId="77777777" w:rsidR="00F0236A" w:rsidRPr="00073574" w:rsidRDefault="00F0236A" w:rsidP="00D2309A">
            <w:pPr>
              <w:pStyle w:val="Tabletext"/>
              <w:keepNext/>
              <w:keepLines/>
              <w:rPr>
                <w:b/>
                <w:bCs/>
                <w:sz w:val="24"/>
                <w:szCs w:val="24"/>
              </w:rPr>
            </w:pPr>
            <w:r w:rsidRPr="00073574">
              <w:rPr>
                <w:b/>
                <w:bCs/>
                <w:sz w:val="24"/>
                <w:szCs w:val="24"/>
              </w:rPr>
              <w:t>92-11</w:t>
            </w:r>
          </w:p>
        </w:tc>
        <w:tc>
          <w:tcPr>
            <w:tcW w:w="4987" w:type="dxa"/>
            <w:tcBorders>
              <w:top w:val="single" w:sz="12" w:space="0" w:color="auto"/>
              <w:bottom w:val="single" w:sz="4" w:space="0" w:color="auto"/>
            </w:tcBorders>
            <w:shd w:val="clear" w:color="auto" w:fill="auto"/>
          </w:tcPr>
          <w:p w14:paraId="7DE25227" w14:textId="77777777" w:rsidR="00F0236A" w:rsidRPr="00073574" w:rsidRDefault="00F0236A" w:rsidP="00DF36E1">
            <w:pPr>
              <w:pStyle w:val="Tabletext"/>
              <w:rPr>
                <w:b/>
                <w:bCs/>
                <w:sz w:val="24"/>
                <w:szCs w:val="24"/>
              </w:rPr>
            </w:pPr>
            <w:r w:rsidRPr="00073574">
              <w:rPr>
                <w:b/>
                <w:bCs/>
                <w:sz w:val="24"/>
                <w:szCs w:val="24"/>
              </w:rPr>
              <w:t>TSB Director to bring this resolution to the attention of the Directors of the Radiocommunication Bureau and the Telecommunication Development Bureau (i. TSBDir 1)</w:t>
            </w:r>
          </w:p>
        </w:tc>
        <w:tc>
          <w:tcPr>
            <w:tcW w:w="1335" w:type="dxa"/>
            <w:tcBorders>
              <w:top w:val="single" w:sz="12" w:space="0" w:color="auto"/>
              <w:bottom w:val="single" w:sz="4" w:space="0" w:color="auto"/>
            </w:tcBorders>
            <w:shd w:val="clear" w:color="auto" w:fill="auto"/>
            <w:vAlign w:val="center"/>
          </w:tcPr>
          <w:p w14:paraId="6E7693FB"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43" w:type="dxa"/>
            <w:tcBorders>
              <w:top w:val="single" w:sz="12" w:space="0" w:color="auto"/>
              <w:bottom w:val="single" w:sz="4" w:space="0" w:color="auto"/>
            </w:tcBorders>
            <w:shd w:val="clear" w:color="auto" w:fill="auto"/>
            <w:vAlign w:val="center"/>
          </w:tcPr>
          <w:p w14:paraId="56180117" w14:textId="6D9ABB21" w:rsidR="00F0236A" w:rsidRPr="00073574" w:rsidRDefault="00F0236A" w:rsidP="00DF36E1">
            <w:pPr>
              <w:pStyle w:val="Tabletext"/>
              <w:jc w:val="center"/>
              <w:rPr>
                <w:b/>
                <w:bCs/>
                <w:sz w:val="24"/>
                <w:szCs w:val="24"/>
              </w:rPr>
            </w:pPr>
          </w:p>
        </w:tc>
        <w:tc>
          <w:tcPr>
            <w:tcW w:w="1336" w:type="dxa"/>
            <w:tcBorders>
              <w:top w:val="single" w:sz="12" w:space="0" w:color="auto"/>
              <w:bottom w:val="single" w:sz="4" w:space="0" w:color="auto"/>
            </w:tcBorders>
            <w:shd w:val="clear" w:color="auto" w:fill="auto"/>
            <w:vAlign w:val="center"/>
          </w:tcPr>
          <w:p w14:paraId="71EEA166" w14:textId="77777777" w:rsidR="00F0236A" w:rsidRPr="00073574" w:rsidRDefault="00F0236A" w:rsidP="00DF36E1">
            <w:pPr>
              <w:pStyle w:val="Tabletext"/>
              <w:jc w:val="center"/>
              <w:rPr>
                <w:b/>
                <w:bCs/>
                <w:sz w:val="24"/>
                <w:szCs w:val="24"/>
              </w:rPr>
            </w:pPr>
            <w:r w:rsidRPr="00073574">
              <w:rPr>
                <w:b/>
                <w:bCs/>
                <w:sz w:val="24"/>
                <w:szCs w:val="24"/>
              </w:rPr>
              <w:t>√</w:t>
            </w:r>
          </w:p>
        </w:tc>
      </w:tr>
      <w:tr w:rsidR="00F0236A" w:rsidRPr="00073574" w14:paraId="44B4E3ED" w14:textId="77777777" w:rsidTr="4D78197E">
        <w:trPr>
          <w:jc w:val="center"/>
        </w:trPr>
        <w:tc>
          <w:tcPr>
            <w:tcW w:w="1131" w:type="dxa"/>
            <w:vMerge/>
          </w:tcPr>
          <w:p w14:paraId="66D44AA7" w14:textId="77777777" w:rsidR="00F0236A" w:rsidRPr="00073574" w:rsidRDefault="00F0236A" w:rsidP="00DF36E1">
            <w:pPr>
              <w:pStyle w:val="Tabletext"/>
              <w:rPr>
                <w:sz w:val="24"/>
                <w:szCs w:val="24"/>
              </w:rPr>
            </w:pPr>
          </w:p>
        </w:tc>
        <w:tc>
          <w:tcPr>
            <w:tcW w:w="8801" w:type="dxa"/>
            <w:gridSpan w:val="4"/>
            <w:tcBorders>
              <w:top w:val="single" w:sz="4" w:space="0" w:color="auto"/>
              <w:bottom w:val="single" w:sz="12" w:space="0" w:color="auto"/>
            </w:tcBorders>
            <w:shd w:val="clear" w:color="auto" w:fill="auto"/>
          </w:tcPr>
          <w:p w14:paraId="7940C43A" w14:textId="77777777" w:rsidR="00F0236A" w:rsidRPr="00073574" w:rsidRDefault="00F0236A" w:rsidP="00DF36E1">
            <w:pPr>
              <w:pStyle w:val="Tabletext"/>
              <w:rPr>
                <w:szCs w:val="22"/>
              </w:rPr>
            </w:pPr>
            <w:r w:rsidRPr="00073574">
              <w:rPr>
                <w:szCs w:val="22"/>
              </w:rPr>
              <w:t>BR and BDT were informed.</w:t>
            </w:r>
          </w:p>
        </w:tc>
      </w:tr>
      <w:tr w:rsidR="00F0236A" w:rsidRPr="00073574" w14:paraId="63CFB84A" w14:textId="77777777" w:rsidTr="4D78197E">
        <w:trPr>
          <w:jc w:val="center"/>
        </w:trPr>
        <w:tc>
          <w:tcPr>
            <w:tcW w:w="1131" w:type="dxa"/>
            <w:vMerge w:val="restart"/>
            <w:tcBorders>
              <w:top w:val="single" w:sz="12" w:space="0" w:color="auto"/>
            </w:tcBorders>
            <w:shd w:val="clear" w:color="auto" w:fill="auto"/>
          </w:tcPr>
          <w:p w14:paraId="6A98C281" w14:textId="77777777" w:rsidR="00F0236A" w:rsidRPr="00073574" w:rsidRDefault="00F0236A" w:rsidP="00A86CB5">
            <w:pPr>
              <w:pStyle w:val="Tabletext"/>
              <w:keepNext/>
              <w:keepLines/>
              <w:rPr>
                <w:b/>
                <w:bCs/>
                <w:sz w:val="24"/>
                <w:szCs w:val="24"/>
              </w:rPr>
            </w:pPr>
            <w:r w:rsidRPr="00073574">
              <w:rPr>
                <w:b/>
                <w:bCs/>
                <w:sz w:val="24"/>
                <w:szCs w:val="24"/>
              </w:rPr>
              <w:t>92-12</w:t>
            </w:r>
          </w:p>
        </w:tc>
        <w:tc>
          <w:tcPr>
            <w:tcW w:w="4987" w:type="dxa"/>
            <w:tcBorders>
              <w:top w:val="single" w:sz="12" w:space="0" w:color="auto"/>
              <w:bottom w:val="single" w:sz="4" w:space="0" w:color="auto"/>
            </w:tcBorders>
            <w:shd w:val="clear" w:color="auto" w:fill="auto"/>
          </w:tcPr>
          <w:p w14:paraId="016AACAD" w14:textId="77777777" w:rsidR="00F0236A" w:rsidRPr="00073574" w:rsidRDefault="00F0236A" w:rsidP="00DF36E1">
            <w:pPr>
              <w:pStyle w:val="Tabletext"/>
              <w:rPr>
                <w:b/>
                <w:bCs/>
                <w:sz w:val="24"/>
                <w:szCs w:val="24"/>
              </w:rPr>
            </w:pPr>
            <w:r w:rsidRPr="00073574">
              <w:rPr>
                <w:b/>
                <w:bCs/>
                <w:sz w:val="24"/>
                <w:szCs w:val="24"/>
              </w:rPr>
              <w:t>TSB Director to conduct seminars and workshops on the standard strategic, technical solutions and network applications for IMT (especially IMT-2020), taking into account specific national and regional requirements (i. TSBDir 2)</w:t>
            </w:r>
          </w:p>
        </w:tc>
        <w:tc>
          <w:tcPr>
            <w:tcW w:w="1335" w:type="dxa"/>
            <w:tcBorders>
              <w:top w:val="single" w:sz="12" w:space="0" w:color="auto"/>
              <w:bottom w:val="single" w:sz="4" w:space="0" w:color="auto"/>
            </w:tcBorders>
            <w:shd w:val="clear" w:color="auto" w:fill="auto"/>
            <w:vAlign w:val="center"/>
          </w:tcPr>
          <w:p w14:paraId="746F2C35"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43" w:type="dxa"/>
            <w:tcBorders>
              <w:top w:val="single" w:sz="12" w:space="0" w:color="auto"/>
              <w:bottom w:val="single" w:sz="4" w:space="0" w:color="auto"/>
            </w:tcBorders>
            <w:shd w:val="clear" w:color="auto" w:fill="auto"/>
            <w:vAlign w:val="center"/>
          </w:tcPr>
          <w:p w14:paraId="67FFD268"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bottom w:val="single" w:sz="4" w:space="0" w:color="auto"/>
            </w:tcBorders>
            <w:shd w:val="clear" w:color="auto" w:fill="auto"/>
            <w:vAlign w:val="center"/>
          </w:tcPr>
          <w:p w14:paraId="5C37CD66" w14:textId="77777777" w:rsidR="00F0236A" w:rsidRPr="00073574" w:rsidRDefault="00F0236A" w:rsidP="00DF36E1">
            <w:pPr>
              <w:pStyle w:val="Tabletext"/>
              <w:jc w:val="center"/>
              <w:rPr>
                <w:b/>
                <w:bCs/>
                <w:sz w:val="24"/>
                <w:szCs w:val="24"/>
              </w:rPr>
            </w:pPr>
          </w:p>
        </w:tc>
      </w:tr>
      <w:tr w:rsidR="00F0236A" w:rsidRPr="00073574" w14:paraId="610C23AC" w14:textId="77777777" w:rsidTr="4D78197E">
        <w:trPr>
          <w:jc w:val="center"/>
        </w:trPr>
        <w:tc>
          <w:tcPr>
            <w:tcW w:w="1131" w:type="dxa"/>
            <w:vMerge/>
          </w:tcPr>
          <w:p w14:paraId="32DDE0DA" w14:textId="77777777" w:rsidR="00F0236A" w:rsidRPr="00073574" w:rsidRDefault="00F0236A" w:rsidP="00DF36E1">
            <w:pPr>
              <w:pStyle w:val="Tabletext"/>
              <w:rPr>
                <w:sz w:val="24"/>
                <w:szCs w:val="24"/>
              </w:rPr>
            </w:pPr>
          </w:p>
        </w:tc>
        <w:tc>
          <w:tcPr>
            <w:tcW w:w="8801" w:type="dxa"/>
            <w:gridSpan w:val="4"/>
            <w:tcBorders>
              <w:top w:val="single" w:sz="4" w:space="0" w:color="auto"/>
              <w:bottom w:val="single" w:sz="12" w:space="0" w:color="auto"/>
            </w:tcBorders>
            <w:shd w:val="clear" w:color="auto" w:fill="auto"/>
          </w:tcPr>
          <w:p w14:paraId="0507C93D" w14:textId="3101FD71" w:rsidR="00F0236A" w:rsidRPr="00073574" w:rsidRDefault="00F0236A" w:rsidP="00E15AC7">
            <w:pPr>
              <w:pStyle w:val="NormalWeb"/>
              <w:spacing w:before="40" w:after="0"/>
              <w:rPr>
                <w:rFonts w:asciiTheme="majorBidi" w:hAnsiTheme="majorBidi" w:cstheme="majorBidi"/>
                <w:sz w:val="22"/>
                <w:szCs w:val="22"/>
                <w:lang w:val="en-GB"/>
              </w:rPr>
            </w:pPr>
            <w:r w:rsidRPr="00073574">
              <w:rPr>
                <w:rFonts w:asciiTheme="majorBidi" w:hAnsiTheme="majorBidi" w:cstheme="majorBidi"/>
                <w:sz w:val="22"/>
                <w:szCs w:val="22"/>
                <w:lang w:val="en-GB"/>
              </w:rPr>
              <w:t xml:space="preserve">Network softwarization and slicing took centre stage at a </w:t>
            </w:r>
            <w:hyperlink r:id="rId817" w:history="1">
              <w:r w:rsidRPr="00073574">
                <w:rPr>
                  <w:rStyle w:val="Hyperlink"/>
                  <w:rFonts w:asciiTheme="majorBidi" w:hAnsiTheme="majorBidi" w:cstheme="majorBidi"/>
                  <w:sz w:val="22"/>
                  <w:szCs w:val="22"/>
                  <w:lang w:val="en-GB"/>
                </w:rPr>
                <w:t>5G workshop and demo day</w:t>
              </w:r>
            </w:hyperlink>
            <w:r w:rsidRPr="00073574">
              <w:rPr>
                <w:rFonts w:asciiTheme="majorBidi" w:hAnsiTheme="majorBidi" w:cstheme="majorBidi"/>
                <w:color w:val="555555"/>
                <w:sz w:val="22"/>
                <w:szCs w:val="22"/>
                <w:lang w:val="en-GB"/>
              </w:rPr>
              <w:t xml:space="preserve"> </w:t>
            </w:r>
            <w:r w:rsidRPr="00073574">
              <w:rPr>
                <w:rFonts w:asciiTheme="majorBidi" w:hAnsiTheme="majorBidi" w:cstheme="majorBidi"/>
                <w:sz w:val="22"/>
                <w:szCs w:val="22"/>
                <w:lang w:val="en-GB"/>
              </w:rPr>
              <w:t>held in Geneva, 11 July 2017</w:t>
            </w:r>
            <w:r w:rsidR="00F40904" w:rsidRPr="00073574">
              <w:rPr>
                <w:rFonts w:asciiTheme="majorBidi" w:hAnsiTheme="majorBidi" w:cstheme="majorBidi"/>
                <w:sz w:val="22"/>
                <w:szCs w:val="22"/>
                <w:lang w:val="en-GB"/>
              </w:rPr>
              <w:t xml:space="preserve"> as well as the third annual I</w:t>
            </w:r>
            <w:r w:rsidR="0083690F" w:rsidRPr="00073574">
              <w:rPr>
                <w:rFonts w:asciiTheme="majorBidi" w:hAnsiTheme="majorBidi" w:cstheme="majorBidi"/>
                <w:sz w:val="22"/>
                <w:szCs w:val="22"/>
                <w:lang w:val="en-GB"/>
              </w:rPr>
              <w:t>T</w:t>
            </w:r>
            <w:r w:rsidR="00F40904" w:rsidRPr="00073574">
              <w:rPr>
                <w:rFonts w:asciiTheme="majorBidi" w:hAnsiTheme="majorBidi" w:cstheme="majorBidi"/>
                <w:sz w:val="22"/>
                <w:szCs w:val="22"/>
                <w:lang w:val="en-GB"/>
              </w:rPr>
              <w:t>U workshop in IMT-2020 and demo day on 18 July 2018 in Geneva</w:t>
            </w:r>
            <w:r w:rsidRPr="00073574">
              <w:rPr>
                <w:rFonts w:asciiTheme="majorBidi" w:hAnsiTheme="majorBidi" w:cstheme="majorBidi"/>
                <w:sz w:val="22"/>
                <w:szCs w:val="22"/>
                <w:lang w:val="en-GB"/>
              </w:rPr>
              <w:t>. The workshop brought together a diverse set of interests – standards bodies, industry associations, operators, manufacturers, and academic and research institutes – to discuss the networking innovations necessary to achieve the 5G vision. Network softwarization and slicing, underpinning deeply programmable networks able to be sliced into virtual networks with very specialized capabilities, give</w:t>
            </w:r>
            <w:r w:rsidR="003A444D" w:rsidRPr="00073574">
              <w:rPr>
                <w:rFonts w:asciiTheme="majorBidi" w:hAnsiTheme="majorBidi" w:cstheme="majorBidi"/>
                <w:sz w:val="22"/>
                <w:szCs w:val="22"/>
                <w:lang w:val="en-GB"/>
              </w:rPr>
              <w:t>s</w:t>
            </w:r>
            <w:r w:rsidRPr="00073574">
              <w:rPr>
                <w:rFonts w:asciiTheme="majorBidi" w:hAnsiTheme="majorBidi" w:cstheme="majorBidi"/>
                <w:sz w:val="22"/>
                <w:szCs w:val="22"/>
                <w:lang w:val="en-GB"/>
              </w:rPr>
              <w:t xml:space="preserve"> networks the agility required to support the specific requirements of any particular 5G application. The ambitious performance targets of 5G systems and the wide variety of envisioned 5G applications will demand future networks to be agile all-around players able to perform a wide array of specialized functions.</w:t>
            </w:r>
          </w:p>
          <w:p w14:paraId="7E35D2C0" w14:textId="7744AD0B" w:rsidR="009F30E5" w:rsidRPr="00073574" w:rsidRDefault="009F30E5" w:rsidP="009F30E5">
            <w:pPr>
              <w:spacing w:after="120"/>
              <w:rPr>
                <w:rFonts w:eastAsia="MS Mincho"/>
                <w:szCs w:val="22"/>
              </w:rPr>
            </w:pPr>
            <w:r w:rsidRPr="00073574">
              <w:rPr>
                <w:rFonts w:eastAsia="MS Mincho"/>
                <w:szCs w:val="22"/>
              </w:rPr>
              <w:t>The 5th SG13 regional workshop for Africa had a dedicated sessions on 5G in general and on SDN, NFV and slicing in particular.</w:t>
            </w:r>
          </w:p>
          <w:p w14:paraId="5BCA9081" w14:textId="682CE7F2" w:rsidR="00F0236A" w:rsidRPr="00073574" w:rsidRDefault="00F0236A" w:rsidP="4D78197E">
            <w:pPr>
              <w:spacing w:after="120"/>
              <w:rPr>
                <w:rFonts w:eastAsia="MS Mincho"/>
              </w:rPr>
            </w:pPr>
            <w:r w:rsidRPr="00073574">
              <w:rPr>
                <w:rFonts w:eastAsia="MS Mincho"/>
              </w:rPr>
              <w:t xml:space="preserve">The </w:t>
            </w:r>
            <w:r w:rsidR="195C8A16" w:rsidRPr="00073574">
              <w:rPr>
                <w:rFonts w:eastAsia="MS Mincho"/>
              </w:rPr>
              <w:t>6</w:t>
            </w:r>
            <w:r w:rsidRPr="00073574">
              <w:rPr>
                <w:rFonts w:eastAsia="MS Mincho"/>
              </w:rPr>
              <w:t>th</w:t>
            </w:r>
            <w:r w:rsidR="00622698" w:rsidRPr="00073574">
              <w:rPr>
                <w:rFonts w:eastAsia="MS Mincho"/>
                <w:vertAlign w:val="superscript"/>
              </w:rPr>
              <w:t xml:space="preserve">, </w:t>
            </w:r>
            <w:r w:rsidR="00622698" w:rsidRPr="00073574">
              <w:rPr>
                <w:rFonts w:eastAsia="MS Mincho"/>
              </w:rPr>
              <w:t>7th and 8th</w:t>
            </w:r>
            <w:r w:rsidRPr="00073574">
              <w:rPr>
                <w:rFonts w:eastAsia="MS Mincho"/>
              </w:rPr>
              <w:t xml:space="preserve"> SG13 regional workshop</w:t>
            </w:r>
            <w:r w:rsidR="00731F19" w:rsidRPr="00073574">
              <w:rPr>
                <w:rFonts w:eastAsia="MS Mincho"/>
              </w:rPr>
              <w:t>s</w:t>
            </w:r>
            <w:r w:rsidRPr="00073574">
              <w:rPr>
                <w:rFonts w:eastAsia="MS Mincho"/>
              </w:rPr>
              <w:t xml:space="preserve"> for Africa had</w:t>
            </w:r>
            <w:r w:rsidR="00731F19" w:rsidRPr="00073574">
              <w:rPr>
                <w:rFonts w:eastAsia="MS Mincho"/>
              </w:rPr>
              <w:t xml:space="preserve"> each</w:t>
            </w:r>
            <w:r w:rsidRPr="00073574">
              <w:rPr>
                <w:rFonts w:eastAsia="MS Mincho"/>
              </w:rPr>
              <w:t xml:space="preserve"> a dedicated session on 5G.</w:t>
            </w:r>
            <w:r w:rsidR="0DE4EC8B" w:rsidRPr="00073574">
              <w:rPr>
                <w:rFonts w:eastAsia="MS Mincho"/>
              </w:rPr>
              <w:t xml:space="preserve"> </w:t>
            </w:r>
          </w:p>
          <w:p w14:paraId="0516818E" w14:textId="363EE38A" w:rsidR="00F0236A" w:rsidRPr="00073574" w:rsidRDefault="00F0236A" w:rsidP="00DF36E1">
            <w:pPr>
              <w:pStyle w:val="NormalWeb"/>
              <w:spacing w:before="120" w:after="0"/>
              <w:rPr>
                <w:rFonts w:asciiTheme="majorBidi" w:hAnsiTheme="majorBidi" w:cstheme="majorBidi"/>
                <w:sz w:val="22"/>
                <w:szCs w:val="22"/>
                <w:lang w:val="en-GB"/>
              </w:rPr>
            </w:pPr>
            <w:r w:rsidRPr="00073574">
              <w:rPr>
                <w:rFonts w:asciiTheme="majorBidi" w:hAnsiTheme="majorBidi" w:cstheme="majorBidi"/>
                <w:sz w:val="22"/>
                <w:szCs w:val="22"/>
                <w:lang w:val="en-GB"/>
              </w:rPr>
              <w:t xml:space="preserve">An ITU Workshop on </w:t>
            </w:r>
            <w:r w:rsidR="003C7E25" w:rsidRPr="00073574">
              <w:rPr>
                <w:rFonts w:asciiTheme="majorBidi" w:hAnsiTheme="majorBidi" w:cstheme="majorBidi"/>
                <w:sz w:val="22"/>
                <w:szCs w:val="22"/>
                <w:lang w:val="en-GB"/>
              </w:rPr>
              <w:t>"</w:t>
            </w:r>
            <w:r w:rsidRPr="00073574">
              <w:rPr>
                <w:rFonts w:asciiTheme="majorBidi" w:hAnsiTheme="majorBidi" w:cstheme="majorBidi"/>
                <w:sz w:val="22"/>
                <w:szCs w:val="22"/>
                <w:lang w:val="en-GB"/>
              </w:rPr>
              <w:t>Control plane of IMT-2020 and emerging networks. Current issues and the way forward</w:t>
            </w:r>
            <w:r w:rsidR="003C7E25" w:rsidRPr="00073574">
              <w:rPr>
                <w:rFonts w:asciiTheme="majorBidi" w:hAnsiTheme="majorBidi" w:cstheme="majorBidi"/>
                <w:sz w:val="22"/>
                <w:szCs w:val="22"/>
                <w:lang w:val="en-GB"/>
              </w:rPr>
              <w:t>"</w:t>
            </w:r>
            <w:r w:rsidRPr="00073574">
              <w:rPr>
                <w:rFonts w:asciiTheme="majorBidi" w:hAnsiTheme="majorBidi" w:cstheme="majorBidi"/>
                <w:sz w:val="22"/>
                <w:szCs w:val="22"/>
                <w:lang w:val="en-GB"/>
              </w:rPr>
              <w:t xml:space="preserve"> was held on 15 November 2017, in Geneva, Switzerland</w:t>
            </w:r>
            <w:r w:rsidR="009872EA" w:rsidRPr="00073574">
              <w:rPr>
                <w:rFonts w:asciiTheme="majorBidi" w:hAnsiTheme="majorBidi" w:cstheme="majorBidi"/>
                <w:sz w:val="22"/>
                <w:szCs w:val="22"/>
                <w:lang w:val="en-GB"/>
              </w:rPr>
              <w:t>,</w:t>
            </w:r>
            <w:r w:rsidRPr="00073574">
              <w:rPr>
                <w:rFonts w:asciiTheme="majorBidi" w:hAnsiTheme="majorBidi" w:cstheme="majorBidi"/>
                <w:sz w:val="22"/>
                <w:szCs w:val="22"/>
                <w:lang w:val="en-GB"/>
              </w:rPr>
              <w:t xml:space="preserve"> which showed the importance to develop related protocols for control plane of IMT-2020 and emerging networks dedicated to different scenarios, using SDN, NFV, and network slicing as the fundamental supporting technologies. Operators, vendors and testing laboratories presented their practice and perspectives on SDN/NFV related emerging technologies and provided very valuable </w:t>
            </w:r>
            <w:r w:rsidRPr="00073574">
              <w:rPr>
                <w:rFonts w:asciiTheme="majorBidi" w:hAnsiTheme="majorBidi" w:cstheme="majorBidi"/>
                <w:sz w:val="22"/>
                <w:szCs w:val="22"/>
                <w:lang w:val="en-GB"/>
              </w:rPr>
              <w:lastRenderedPageBreak/>
              <w:t>experiences, while research works on new emerging technologies such as IoT IMS, AI, ICN, Fog/Edge Computing, etc. were introduced.</w:t>
            </w:r>
          </w:p>
          <w:p w14:paraId="4B74CC26" w14:textId="19499DE0" w:rsidR="00F0236A" w:rsidRPr="00073574" w:rsidRDefault="00F0236A">
            <w:pPr>
              <w:pStyle w:val="NormalWeb"/>
              <w:spacing w:before="120" w:after="0"/>
              <w:rPr>
                <w:rFonts w:asciiTheme="majorBidi" w:hAnsiTheme="majorBidi" w:cstheme="majorBidi"/>
                <w:sz w:val="22"/>
                <w:szCs w:val="22"/>
                <w:lang w:val="en-GB"/>
              </w:rPr>
            </w:pPr>
            <w:r w:rsidRPr="00073574">
              <w:rPr>
                <w:rFonts w:asciiTheme="majorBidi" w:hAnsiTheme="majorBidi" w:cstheme="majorBidi"/>
                <w:sz w:val="22"/>
                <w:szCs w:val="22"/>
                <w:lang w:val="en-GB"/>
              </w:rPr>
              <w:t xml:space="preserve">ITU-T SG15 </w:t>
            </w:r>
            <w:r w:rsidR="004C62C6" w:rsidRPr="00073574">
              <w:rPr>
                <w:rFonts w:asciiTheme="majorBidi" w:hAnsiTheme="majorBidi" w:cstheme="majorBidi"/>
                <w:sz w:val="22"/>
                <w:szCs w:val="22"/>
                <w:lang w:val="en-GB"/>
              </w:rPr>
              <w:t>had</w:t>
            </w:r>
            <w:r w:rsidRPr="00073574">
              <w:rPr>
                <w:rFonts w:asciiTheme="majorBidi" w:hAnsiTheme="majorBidi" w:cstheme="majorBidi"/>
                <w:sz w:val="22"/>
                <w:szCs w:val="22"/>
                <w:lang w:val="en-GB"/>
              </w:rPr>
              <w:t xml:space="preserve"> in Fall 2017 a workshop on transport requirements for 5G.</w:t>
            </w:r>
          </w:p>
          <w:p w14:paraId="5AC8A40C" w14:textId="7694043D" w:rsidR="00F0236A" w:rsidRPr="00073574" w:rsidRDefault="00F0236A" w:rsidP="00DF36E1">
            <w:pPr>
              <w:spacing w:after="120"/>
              <w:rPr>
                <w:rFonts w:asciiTheme="majorBidi" w:hAnsiTheme="majorBidi" w:cstheme="majorBidi"/>
                <w:szCs w:val="22"/>
              </w:rPr>
            </w:pPr>
            <w:r w:rsidRPr="00073574">
              <w:rPr>
                <w:rFonts w:asciiTheme="majorBidi" w:hAnsiTheme="majorBidi" w:cstheme="majorBidi"/>
                <w:szCs w:val="22"/>
              </w:rPr>
              <w:t xml:space="preserve">ITU-T SG17 </w:t>
            </w:r>
            <w:r w:rsidR="00AE3D84" w:rsidRPr="00073574">
              <w:rPr>
                <w:rFonts w:asciiTheme="majorBidi" w:hAnsiTheme="majorBidi" w:cstheme="majorBidi"/>
                <w:szCs w:val="22"/>
              </w:rPr>
              <w:t xml:space="preserve">work </w:t>
            </w:r>
            <w:r w:rsidR="0004463E" w:rsidRPr="00073574">
              <w:rPr>
                <w:rFonts w:asciiTheme="majorBidi" w:hAnsiTheme="majorBidi" w:cstheme="majorBidi"/>
                <w:szCs w:val="22"/>
              </w:rPr>
              <w:t>on 5G</w:t>
            </w:r>
            <w:r w:rsidR="00AE3D84" w:rsidRPr="00073574">
              <w:rPr>
                <w:rFonts w:asciiTheme="majorBidi" w:hAnsiTheme="majorBidi" w:cstheme="majorBidi"/>
                <w:szCs w:val="22"/>
              </w:rPr>
              <w:t xml:space="preserve"> </w:t>
            </w:r>
            <w:r w:rsidR="0004463E" w:rsidRPr="00073574">
              <w:rPr>
                <w:rFonts w:asciiTheme="majorBidi" w:hAnsiTheme="majorBidi" w:cstheme="majorBidi"/>
                <w:szCs w:val="22"/>
              </w:rPr>
              <w:t xml:space="preserve">Security </w:t>
            </w:r>
            <w:r w:rsidR="00AE3D84" w:rsidRPr="00073574">
              <w:rPr>
                <w:rFonts w:asciiTheme="majorBidi" w:hAnsiTheme="majorBidi" w:cstheme="majorBidi"/>
                <w:szCs w:val="22"/>
              </w:rPr>
              <w:t>see 92-10</w:t>
            </w:r>
            <w:r w:rsidR="0004463E" w:rsidRPr="00073574">
              <w:rPr>
                <w:rFonts w:asciiTheme="majorBidi" w:hAnsiTheme="majorBidi" w:cstheme="majorBidi"/>
                <w:szCs w:val="22"/>
              </w:rPr>
              <w:t>.</w:t>
            </w:r>
          </w:p>
          <w:p w14:paraId="7C6B4349" w14:textId="77777777" w:rsidR="00F0236A" w:rsidRPr="00073574" w:rsidRDefault="00F0236A">
            <w:pPr>
              <w:spacing w:after="120"/>
            </w:pPr>
            <w:r w:rsidRPr="00073574">
              <w:t xml:space="preserve">A </w:t>
            </w:r>
            <w:hyperlink r:id="rId818" w:history="1">
              <w:r w:rsidRPr="00073574">
                <w:rPr>
                  <w:color w:val="0000FF"/>
                  <w:u w:val="single"/>
                </w:rPr>
                <w:t>joint ITU-NGMN Alliance Workshop on Open Source and Standards for 5G</w:t>
              </w:r>
            </w:hyperlink>
            <w:r w:rsidRPr="00073574">
              <w:t xml:space="preserve"> took place in Bellevue (Seattle), USA, 1 November 2017. </w:t>
            </w:r>
            <w:r w:rsidR="000422DC" w:rsidRPr="00073574">
              <w:t>See 90-05 for details.</w:t>
            </w:r>
          </w:p>
          <w:p w14:paraId="60BFE340" w14:textId="62387B30" w:rsidR="002F6700" w:rsidRPr="00073574" w:rsidRDefault="002F6700" w:rsidP="00F40904">
            <w:pPr>
              <w:spacing w:after="120"/>
            </w:pPr>
            <w:r w:rsidRPr="00073574">
              <w:t xml:space="preserve">FG ML5G convened a workshop </w:t>
            </w:r>
            <w:hyperlink r:id="rId819" w:history="1">
              <w:r w:rsidRPr="00073574">
                <w:rPr>
                  <w:rStyle w:val="Hyperlink"/>
                </w:rPr>
                <w:t xml:space="preserve">on Machine Learning for 5G and beyond </w:t>
              </w:r>
            </w:hyperlink>
            <w:r w:rsidRPr="00073574">
              <w:t>on 29 January 2018 in Geneva</w:t>
            </w:r>
            <w:r w:rsidR="00F40904" w:rsidRPr="00073574">
              <w:t xml:space="preserve"> and in </w:t>
            </w:r>
            <w:hyperlink r:id="rId820" w:history="1">
              <w:r w:rsidR="00F40904" w:rsidRPr="00073574">
                <w:rPr>
                  <w:rStyle w:val="Hyperlink"/>
                </w:rPr>
                <w:t>San Jose, United States, on 7 August 2018</w:t>
              </w:r>
            </w:hyperlink>
            <w:r w:rsidRPr="00073574">
              <w:t>.</w:t>
            </w:r>
            <w:r w:rsidR="00684340" w:rsidRPr="00073574">
              <w:t xml:space="preserve"> </w:t>
            </w:r>
            <w:r w:rsidR="00F54857" w:rsidRPr="00073574">
              <w:t>Through its lifetime (2017 – 2020) i</w:t>
            </w:r>
            <w:r w:rsidR="00684340" w:rsidRPr="00073574">
              <w:t>n total it had</w:t>
            </w:r>
            <w:r w:rsidR="00F54857" w:rsidRPr="00073574">
              <w:t xml:space="preserve"> 6</w:t>
            </w:r>
            <w:r w:rsidR="00684340" w:rsidRPr="00073574">
              <w:t xml:space="preserve"> workshops devoted to the machine learning for 5G.</w:t>
            </w:r>
          </w:p>
          <w:p w14:paraId="5E4A3CD2" w14:textId="218FE11F" w:rsidR="0083690F" w:rsidRPr="00073574" w:rsidRDefault="0083690F" w:rsidP="007F1967">
            <w:pPr>
              <w:spacing w:after="40"/>
              <w:rPr>
                <w:rFonts w:eastAsia="MS Mincho"/>
                <w:szCs w:val="22"/>
              </w:rPr>
            </w:pPr>
            <w:r w:rsidRPr="00073574">
              <w:t>See item 92-05 above.</w:t>
            </w:r>
          </w:p>
        </w:tc>
      </w:tr>
      <w:tr w:rsidR="00F0236A" w:rsidRPr="00073574" w14:paraId="622E28AD" w14:textId="77777777" w:rsidTr="4D78197E">
        <w:trPr>
          <w:jc w:val="center"/>
        </w:trPr>
        <w:tc>
          <w:tcPr>
            <w:tcW w:w="1131" w:type="dxa"/>
            <w:vMerge w:val="restart"/>
            <w:tcBorders>
              <w:top w:val="single" w:sz="12" w:space="0" w:color="auto"/>
            </w:tcBorders>
            <w:shd w:val="clear" w:color="auto" w:fill="auto"/>
          </w:tcPr>
          <w:p w14:paraId="29C16017" w14:textId="77777777" w:rsidR="00F0236A" w:rsidRPr="00073574" w:rsidRDefault="00F0236A" w:rsidP="00402B09">
            <w:pPr>
              <w:pStyle w:val="Tabletext"/>
              <w:keepNext/>
              <w:keepLines/>
              <w:rPr>
                <w:b/>
                <w:bCs/>
                <w:sz w:val="24"/>
                <w:szCs w:val="24"/>
              </w:rPr>
            </w:pPr>
            <w:r w:rsidRPr="00073574">
              <w:rPr>
                <w:b/>
                <w:bCs/>
                <w:sz w:val="24"/>
                <w:szCs w:val="24"/>
              </w:rPr>
              <w:lastRenderedPageBreak/>
              <w:t>92-13</w:t>
            </w:r>
          </w:p>
        </w:tc>
        <w:tc>
          <w:tcPr>
            <w:tcW w:w="4987" w:type="dxa"/>
            <w:tcBorders>
              <w:top w:val="single" w:sz="12" w:space="0" w:color="auto"/>
              <w:bottom w:val="single" w:sz="4" w:space="0" w:color="auto"/>
            </w:tcBorders>
            <w:shd w:val="clear" w:color="auto" w:fill="auto"/>
          </w:tcPr>
          <w:p w14:paraId="7A902DB1" w14:textId="77777777" w:rsidR="00F0236A" w:rsidRPr="00073574" w:rsidRDefault="00F0236A" w:rsidP="00DF36E1">
            <w:pPr>
              <w:pStyle w:val="Tabletext"/>
              <w:rPr>
                <w:b/>
                <w:bCs/>
                <w:sz w:val="24"/>
                <w:szCs w:val="24"/>
              </w:rPr>
            </w:pPr>
            <w:r w:rsidRPr="00073574">
              <w:rPr>
                <w:b/>
                <w:bCs/>
                <w:sz w:val="24"/>
                <w:szCs w:val="24"/>
              </w:rPr>
              <w:t>TSB Director to investigate new ways to improve the efficiency of ITU work on IMT.</w:t>
            </w:r>
          </w:p>
        </w:tc>
        <w:tc>
          <w:tcPr>
            <w:tcW w:w="1335" w:type="dxa"/>
            <w:tcBorders>
              <w:top w:val="single" w:sz="12" w:space="0" w:color="auto"/>
              <w:bottom w:val="single" w:sz="4" w:space="0" w:color="auto"/>
            </w:tcBorders>
            <w:shd w:val="clear" w:color="auto" w:fill="auto"/>
            <w:vAlign w:val="center"/>
          </w:tcPr>
          <w:p w14:paraId="0835C941"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43" w:type="dxa"/>
            <w:tcBorders>
              <w:top w:val="single" w:sz="12" w:space="0" w:color="auto"/>
              <w:bottom w:val="single" w:sz="4" w:space="0" w:color="auto"/>
            </w:tcBorders>
            <w:shd w:val="clear" w:color="auto" w:fill="auto"/>
            <w:vAlign w:val="center"/>
          </w:tcPr>
          <w:p w14:paraId="12767019"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bottom w:val="single" w:sz="4" w:space="0" w:color="auto"/>
            </w:tcBorders>
            <w:shd w:val="clear" w:color="auto" w:fill="auto"/>
            <w:vAlign w:val="center"/>
          </w:tcPr>
          <w:p w14:paraId="64B72C5F" w14:textId="77777777" w:rsidR="00F0236A" w:rsidRPr="00073574" w:rsidRDefault="00F0236A" w:rsidP="00DF36E1">
            <w:pPr>
              <w:pStyle w:val="Tabletext"/>
              <w:jc w:val="center"/>
              <w:rPr>
                <w:b/>
                <w:bCs/>
                <w:sz w:val="24"/>
                <w:szCs w:val="24"/>
              </w:rPr>
            </w:pPr>
          </w:p>
        </w:tc>
      </w:tr>
      <w:tr w:rsidR="00F0236A" w:rsidRPr="00073574" w14:paraId="6E6D43C8" w14:textId="77777777" w:rsidTr="4D78197E">
        <w:trPr>
          <w:cantSplit/>
          <w:jc w:val="center"/>
        </w:trPr>
        <w:tc>
          <w:tcPr>
            <w:tcW w:w="1131" w:type="dxa"/>
            <w:vMerge/>
            <w:vAlign w:val="center"/>
          </w:tcPr>
          <w:p w14:paraId="1FDB71D5" w14:textId="77777777" w:rsidR="00F0236A" w:rsidRPr="00073574" w:rsidRDefault="00F0236A" w:rsidP="00DF36E1">
            <w:pPr>
              <w:pStyle w:val="Tabletext"/>
              <w:rPr>
                <w:sz w:val="24"/>
                <w:szCs w:val="24"/>
              </w:rPr>
            </w:pPr>
          </w:p>
        </w:tc>
        <w:tc>
          <w:tcPr>
            <w:tcW w:w="8801" w:type="dxa"/>
            <w:gridSpan w:val="4"/>
            <w:tcBorders>
              <w:top w:val="single" w:sz="4" w:space="0" w:color="auto"/>
              <w:bottom w:val="single" w:sz="12" w:space="0" w:color="auto"/>
            </w:tcBorders>
            <w:shd w:val="clear" w:color="auto" w:fill="auto"/>
          </w:tcPr>
          <w:p w14:paraId="40AAAAF5" w14:textId="77777777" w:rsidR="00F0236A" w:rsidRPr="00073574" w:rsidRDefault="00F0236A" w:rsidP="00E15AC7">
            <w:pPr>
              <w:pStyle w:val="NormalWeb"/>
              <w:spacing w:before="40" w:after="40"/>
              <w:rPr>
                <w:sz w:val="22"/>
                <w:szCs w:val="22"/>
                <w:lang w:val="en-GB"/>
              </w:rPr>
            </w:pPr>
            <w:r w:rsidRPr="00073574">
              <w:rPr>
                <w:rFonts w:asciiTheme="majorBidi" w:hAnsiTheme="majorBidi" w:cstheme="majorBidi"/>
                <w:sz w:val="22"/>
                <w:szCs w:val="22"/>
                <w:lang w:val="en-GB"/>
              </w:rPr>
              <w:t xml:space="preserve">ITU and the </w:t>
            </w:r>
            <w:hyperlink r:id="rId821" w:history="1">
              <w:r w:rsidRPr="00073574">
                <w:rPr>
                  <w:rStyle w:val="Hyperlink"/>
                  <w:rFonts w:asciiTheme="majorBidi" w:hAnsiTheme="majorBidi" w:cstheme="majorBidi"/>
                  <w:sz w:val="22"/>
                  <w:szCs w:val="22"/>
                  <w:lang w:val="en-GB"/>
                </w:rPr>
                <w:t>NGMN Alliance</w:t>
              </w:r>
            </w:hyperlink>
            <w:r w:rsidRPr="00073574">
              <w:rPr>
                <w:rFonts w:asciiTheme="majorBidi" w:hAnsiTheme="majorBidi" w:cstheme="majorBidi"/>
                <w:sz w:val="22"/>
                <w:szCs w:val="22"/>
                <w:lang w:val="en-GB"/>
              </w:rPr>
              <w:t xml:space="preserve"> have signed a cooperation agreement formalizing their mutual commitment to the development of next-generation mobile broadband technologies. The agreement highlights the mutual intent of ITU and NGMN to coordinate their contributions to the development of 5G technology and architecture. This cooperation will also extend to the management of the interplay of intellectual property rights and standardization in the 5G era, and the creation of an enabling environment for open-source software to assist in shaping the future of broadband.</w:t>
            </w:r>
          </w:p>
        </w:tc>
      </w:tr>
    </w:tbl>
    <w:bookmarkStart w:id="552" w:name="Item92_01"/>
    <w:bookmarkStart w:id="553" w:name="Item92_02"/>
    <w:bookmarkStart w:id="554" w:name="Item92_03"/>
    <w:bookmarkStart w:id="555" w:name="Item92_04"/>
    <w:bookmarkStart w:id="556" w:name="Item92_05"/>
    <w:bookmarkStart w:id="557" w:name="Item92_06"/>
    <w:bookmarkStart w:id="558" w:name="Item92_07"/>
    <w:bookmarkStart w:id="559" w:name="Item92_08"/>
    <w:bookmarkStart w:id="560" w:name="Item92_09"/>
    <w:bookmarkStart w:id="561" w:name="Item92_10"/>
    <w:bookmarkStart w:id="562" w:name="Item92_11"/>
    <w:bookmarkStart w:id="563" w:name="Item92_12"/>
    <w:bookmarkStart w:id="564" w:name="Item92_13"/>
    <w:bookmarkEnd w:id="552"/>
    <w:bookmarkEnd w:id="553"/>
    <w:bookmarkEnd w:id="554"/>
    <w:bookmarkEnd w:id="555"/>
    <w:bookmarkEnd w:id="556"/>
    <w:bookmarkEnd w:id="557"/>
    <w:bookmarkEnd w:id="558"/>
    <w:bookmarkEnd w:id="559"/>
    <w:bookmarkEnd w:id="560"/>
    <w:bookmarkEnd w:id="561"/>
    <w:bookmarkEnd w:id="562"/>
    <w:bookmarkEnd w:id="563"/>
    <w:bookmarkEnd w:id="564"/>
    <w:p w14:paraId="70CE3422" w14:textId="77777777" w:rsidR="00F0236A" w:rsidRPr="00073574" w:rsidRDefault="00F0236A" w:rsidP="00F0236A">
      <w:pPr>
        <w:rPr>
          <w:sz w:val="24"/>
        </w:rPr>
      </w:pPr>
      <w:r w:rsidRPr="00073574">
        <w:rPr>
          <w:color w:val="2B579A"/>
          <w:shd w:val="clear" w:color="auto" w:fill="E6E6E6"/>
        </w:rPr>
        <w:fldChar w:fldCharType="begin"/>
      </w:r>
      <w:r w:rsidRPr="00073574">
        <w:rPr>
          <w:sz w:val="24"/>
        </w:rPr>
        <w:instrText xml:space="preserve"> HYPERLINK \l "Top" </w:instrText>
      </w:r>
      <w:r w:rsidRPr="00073574">
        <w:rPr>
          <w:color w:val="2B579A"/>
          <w:shd w:val="clear" w:color="auto" w:fill="E6E6E6"/>
        </w:rPr>
        <w:fldChar w:fldCharType="separate"/>
      </w:r>
      <w:r w:rsidRPr="00073574">
        <w:rPr>
          <w:rStyle w:val="Hyperlink"/>
          <w:rFonts w:eastAsia="Times New Roman"/>
          <w:sz w:val="24"/>
        </w:rPr>
        <w:t>» Top</w:t>
      </w:r>
      <w:r w:rsidRPr="00073574">
        <w:rPr>
          <w:rStyle w:val="Hyperlink"/>
          <w:rFonts w:eastAsia="Times New Roman"/>
          <w:sz w:val="24"/>
        </w:rPr>
        <w:fldChar w:fldCharType="end"/>
      </w:r>
    </w:p>
    <w:p w14:paraId="31B2EC85" w14:textId="77777777" w:rsidR="00F0236A" w:rsidRPr="00073574" w:rsidRDefault="00F0236A" w:rsidP="00F0236A">
      <w:pPr>
        <w:pStyle w:val="Heading1"/>
        <w:rPr>
          <w:sz w:val="24"/>
          <w:szCs w:val="24"/>
          <w:lang w:val="en-GB"/>
        </w:rPr>
      </w:pPr>
      <w:bookmarkStart w:id="565" w:name="_Resolution_93_-"/>
      <w:bookmarkStart w:id="566" w:name="_Toc471715407"/>
      <w:bookmarkStart w:id="567" w:name="_Toc93425294"/>
      <w:bookmarkEnd w:id="565"/>
      <w:r w:rsidRPr="00073574">
        <w:rPr>
          <w:sz w:val="24"/>
          <w:szCs w:val="24"/>
          <w:lang w:val="en-GB"/>
        </w:rPr>
        <w:t>Resolution 93 - Interconnection of 4G, IMT-2020 networks and beyond</w:t>
      </w:r>
      <w:bookmarkEnd w:id="566"/>
      <w:bookmarkEnd w:id="567"/>
    </w:p>
    <w:p w14:paraId="38288102" w14:textId="77777777" w:rsidR="00F0236A" w:rsidRPr="00073574" w:rsidRDefault="00F0236A" w:rsidP="00F0236A">
      <w:pPr>
        <w:rPr>
          <w:b/>
          <w:bCs/>
          <w:sz w:val="24"/>
        </w:rPr>
      </w:pPr>
      <w:r w:rsidRPr="00073574">
        <w:rPr>
          <w:b/>
          <w:bCs/>
          <w:sz w:val="24"/>
        </w:rPr>
        <w:t>Resolution 93</w:t>
      </w:r>
    </w:p>
    <w:p w14:paraId="04EA09A4" w14:textId="77777777" w:rsidR="00F0236A" w:rsidRPr="00073574" w:rsidRDefault="00F0236A" w:rsidP="00F0236A">
      <w:pPr>
        <w:pStyle w:val="Call"/>
        <w:rPr>
          <w:sz w:val="24"/>
          <w:szCs w:val="24"/>
          <w:lang w:val="en-GB" w:eastAsia="en-AU"/>
        </w:rPr>
      </w:pPr>
      <w:r w:rsidRPr="00073574">
        <w:rPr>
          <w:sz w:val="24"/>
          <w:szCs w:val="24"/>
          <w:lang w:val="en-GB" w:eastAsia="en-AU"/>
        </w:rPr>
        <w:t>resolves</w:t>
      </w:r>
    </w:p>
    <w:p w14:paraId="218078E0" w14:textId="77777777" w:rsidR="00F0236A" w:rsidRPr="00073574" w:rsidRDefault="00F0236A" w:rsidP="00F0236A">
      <w:pPr>
        <w:spacing w:after="240"/>
        <w:rPr>
          <w:sz w:val="24"/>
        </w:rPr>
      </w:pPr>
      <w:r w:rsidRPr="00073574">
        <w:rPr>
          <w:sz w:val="24"/>
        </w:rPr>
        <w:t>that ITU-T Recommendations to address network architectures, roaming principles, numbering issues, charging and security mechanisms as well as interoperability and conformance testing for interconnection of 4G, IMT-2020 networks and beyond shall be progressed as quickly as possible,</w:t>
      </w:r>
    </w:p>
    <w:p w14:paraId="58A9E7DD" w14:textId="77777777" w:rsidR="00F0236A" w:rsidRPr="00073574" w:rsidRDefault="00F0236A" w:rsidP="00F0236A">
      <w:pPr>
        <w:pStyle w:val="Call"/>
        <w:rPr>
          <w:sz w:val="24"/>
          <w:szCs w:val="24"/>
          <w:lang w:val="en-GB" w:eastAsia="en-AU"/>
        </w:rPr>
      </w:pPr>
      <w:r w:rsidRPr="00073574">
        <w:rPr>
          <w:sz w:val="24"/>
          <w:szCs w:val="24"/>
          <w:lang w:val="en-GB" w:eastAsia="en-AU"/>
        </w:rPr>
        <w:t>instructs the Director of the Telecommunication Standardization Bureau</w:t>
      </w:r>
    </w:p>
    <w:p w14:paraId="0930F5DC" w14:textId="77777777" w:rsidR="00F0236A" w:rsidRPr="00073574" w:rsidRDefault="00F0236A" w:rsidP="00F0236A">
      <w:pPr>
        <w:spacing w:after="240"/>
        <w:rPr>
          <w:sz w:val="24"/>
        </w:rPr>
      </w:pPr>
      <w:r w:rsidRPr="00073574">
        <w:rPr>
          <w:sz w:val="24"/>
        </w:rPr>
        <w:t>1</w:t>
      </w:r>
      <w:r w:rsidRPr="00073574">
        <w:rPr>
          <w:sz w:val="24"/>
        </w:rPr>
        <w:tab/>
        <w:t>to continue to conduct, as necessary, exploratory activities among telecommunication operators in order to identify and prioritize the problems related to achieving interconnection of IP-based networks such as 4G, IMT-2020 and beyond;</w:t>
      </w:r>
    </w:p>
    <w:p w14:paraId="3654B3F7" w14:textId="77777777" w:rsidR="00F0236A" w:rsidRPr="00073574" w:rsidRDefault="00F0236A" w:rsidP="00F0236A">
      <w:pPr>
        <w:spacing w:after="240"/>
        <w:rPr>
          <w:sz w:val="24"/>
        </w:rPr>
      </w:pPr>
      <w:r w:rsidRPr="00073574">
        <w:rPr>
          <w:sz w:val="24"/>
        </w:rPr>
        <w:t>2</w:t>
      </w:r>
      <w:r w:rsidRPr="00073574">
        <w:rPr>
          <w:sz w:val="24"/>
        </w:rPr>
        <w:tab/>
        <w:t>to submit the results of these activities to the ITU Council for its consideration and required actions,</w:t>
      </w:r>
    </w:p>
    <w:p w14:paraId="6A88E9AA" w14:textId="77777777" w:rsidR="00F0236A" w:rsidRPr="00073574" w:rsidRDefault="00F0236A" w:rsidP="00F0236A">
      <w:pPr>
        <w:pStyle w:val="Call"/>
        <w:rPr>
          <w:sz w:val="24"/>
          <w:szCs w:val="24"/>
          <w:lang w:val="en-GB" w:eastAsia="en-AU"/>
        </w:rPr>
      </w:pPr>
      <w:r w:rsidRPr="00073574">
        <w:rPr>
          <w:sz w:val="24"/>
          <w:szCs w:val="24"/>
          <w:lang w:val="en-GB" w:eastAsia="en-AU"/>
        </w:rPr>
        <w:t>instructs the study groups</w:t>
      </w:r>
    </w:p>
    <w:p w14:paraId="2178FDEB" w14:textId="77777777" w:rsidR="00F0236A" w:rsidRPr="00073574" w:rsidRDefault="00F0236A" w:rsidP="00F0236A">
      <w:pPr>
        <w:spacing w:after="240"/>
        <w:rPr>
          <w:sz w:val="24"/>
        </w:rPr>
      </w:pPr>
      <w:r w:rsidRPr="00073574">
        <w:rPr>
          <w:sz w:val="24"/>
        </w:rPr>
        <w:t>1</w:t>
      </w:r>
      <w:r w:rsidRPr="00073574">
        <w:rPr>
          <w:sz w:val="24"/>
        </w:rPr>
        <w:tab/>
        <w:t>to identify as soon as possible future ITU-T Recommendations that need to be developed associated with the interconnection of 4G, IMT-2020 networks and beyond;</w:t>
      </w:r>
    </w:p>
    <w:p w14:paraId="39B1EE13" w14:textId="77777777" w:rsidR="00F0236A" w:rsidRPr="00073574" w:rsidRDefault="00F0236A" w:rsidP="00F0236A">
      <w:pPr>
        <w:spacing w:after="240"/>
        <w:rPr>
          <w:sz w:val="24"/>
        </w:rPr>
      </w:pPr>
      <w:r w:rsidRPr="00073574">
        <w:rPr>
          <w:sz w:val="24"/>
        </w:rPr>
        <w:t>2</w:t>
      </w:r>
      <w:r w:rsidRPr="00073574">
        <w:rPr>
          <w:sz w:val="24"/>
        </w:rPr>
        <w:tab/>
        <w:t>to cooperate, as appropriate, with interested stakeholders and alliances in order to optimize studies on this particular subject,</w:t>
      </w:r>
    </w:p>
    <w:p w14:paraId="7A07103D" w14:textId="77777777" w:rsidR="00F0236A" w:rsidRPr="00073574" w:rsidRDefault="00F0236A" w:rsidP="00F0236A">
      <w:pPr>
        <w:pStyle w:val="Call"/>
        <w:rPr>
          <w:sz w:val="24"/>
          <w:szCs w:val="24"/>
          <w:lang w:val="en-GB" w:eastAsia="en-AU"/>
        </w:rPr>
      </w:pPr>
      <w:r w:rsidRPr="00073574">
        <w:rPr>
          <w:sz w:val="24"/>
          <w:szCs w:val="24"/>
          <w:lang w:val="en-GB" w:eastAsia="en-AU"/>
        </w:rPr>
        <w:lastRenderedPageBreak/>
        <w:t>further instructs Study Group 11</w:t>
      </w:r>
    </w:p>
    <w:p w14:paraId="7C06DCFB" w14:textId="77777777" w:rsidR="00F0236A" w:rsidRPr="00073574" w:rsidRDefault="00F0236A" w:rsidP="00F0236A">
      <w:pPr>
        <w:spacing w:after="240"/>
        <w:rPr>
          <w:sz w:val="24"/>
        </w:rPr>
      </w:pPr>
      <w:r w:rsidRPr="00073574">
        <w:rPr>
          <w:sz w:val="24"/>
        </w:rPr>
        <w:t>to develop ITU-T Recommendations which specify the framework and signalling architectures to be used for establishing interconnection of 4G, IMT-2020 networks and beyond to achieve interoperability worldwide,</w:t>
      </w:r>
    </w:p>
    <w:p w14:paraId="2E588DE2" w14:textId="77777777" w:rsidR="00F0236A" w:rsidRPr="00073574" w:rsidRDefault="00F0236A" w:rsidP="00F0236A">
      <w:pPr>
        <w:pStyle w:val="Call"/>
        <w:rPr>
          <w:sz w:val="24"/>
          <w:szCs w:val="24"/>
          <w:lang w:val="en-GB" w:eastAsia="en-AU"/>
        </w:rPr>
      </w:pPr>
      <w:r w:rsidRPr="00073574">
        <w:rPr>
          <w:sz w:val="24"/>
          <w:szCs w:val="24"/>
          <w:lang w:val="en-GB" w:eastAsia="en-AU"/>
        </w:rPr>
        <w:t>further instructs Study Group 2</w:t>
      </w:r>
    </w:p>
    <w:p w14:paraId="1647E4F4" w14:textId="77777777" w:rsidR="00F0236A" w:rsidRPr="00073574" w:rsidRDefault="00F0236A" w:rsidP="00F0236A">
      <w:pPr>
        <w:spacing w:after="240"/>
        <w:rPr>
          <w:sz w:val="24"/>
        </w:rPr>
      </w:pPr>
      <w:r w:rsidRPr="00073574">
        <w:rPr>
          <w:sz w:val="24"/>
        </w:rPr>
        <w:t>to develop ITU-T Recommendations which specify the ENUM architecture to be used for interconnection of 4G, IMT-2020 networks and beyond, including administrative control that could relate to the international telecommunication resources (including naming, numbering, addressing, and routing),</w:t>
      </w:r>
    </w:p>
    <w:p w14:paraId="5F2733EA" w14:textId="77777777" w:rsidR="00F0236A" w:rsidRPr="00073574" w:rsidRDefault="00F0236A" w:rsidP="00F0236A">
      <w:pPr>
        <w:pStyle w:val="Call"/>
        <w:rPr>
          <w:sz w:val="24"/>
          <w:szCs w:val="24"/>
          <w:lang w:val="en-GB" w:eastAsia="en-AU"/>
        </w:rPr>
      </w:pPr>
      <w:r w:rsidRPr="00073574">
        <w:rPr>
          <w:sz w:val="24"/>
          <w:szCs w:val="24"/>
          <w:lang w:val="en-GB" w:eastAsia="en-AU"/>
        </w:rPr>
        <w:t>invites Member States and Sector Members</w:t>
      </w:r>
    </w:p>
    <w:p w14:paraId="7DFF7896" w14:textId="77777777" w:rsidR="00F0236A" w:rsidRPr="00073574" w:rsidRDefault="00F0236A" w:rsidP="00F0236A">
      <w:pPr>
        <w:spacing w:after="240"/>
        <w:rPr>
          <w:sz w:val="24"/>
        </w:rPr>
      </w:pPr>
      <w:r w:rsidRPr="00073574">
        <w:rPr>
          <w:sz w:val="24"/>
        </w:rPr>
        <w:t>to contribute to the implementation of this resolution,</w:t>
      </w:r>
    </w:p>
    <w:p w14:paraId="4CC217DD" w14:textId="77777777" w:rsidR="00F0236A" w:rsidRPr="00073574" w:rsidRDefault="00F0236A" w:rsidP="00F0236A">
      <w:pPr>
        <w:pStyle w:val="Call"/>
        <w:rPr>
          <w:sz w:val="24"/>
          <w:szCs w:val="24"/>
          <w:lang w:val="en-GB" w:eastAsia="en-AU"/>
        </w:rPr>
      </w:pPr>
      <w:r w:rsidRPr="00073574">
        <w:rPr>
          <w:sz w:val="24"/>
          <w:szCs w:val="24"/>
          <w:lang w:val="en-GB" w:eastAsia="en-AU"/>
        </w:rPr>
        <w:t>invites Member States</w:t>
      </w:r>
    </w:p>
    <w:p w14:paraId="4D1A5F69" w14:textId="77777777" w:rsidR="00F0236A" w:rsidRPr="00073574" w:rsidRDefault="00F0236A" w:rsidP="00F0236A">
      <w:pPr>
        <w:spacing w:after="240"/>
        <w:rPr>
          <w:sz w:val="24"/>
        </w:rPr>
      </w:pPr>
      <w:r w:rsidRPr="00073574">
        <w:rPr>
          <w:sz w:val="24"/>
        </w:rPr>
        <w:t>to encourage telecommunication operators to assist ITU-T in implementing this resolution.</w:t>
      </w:r>
    </w:p>
    <w:tbl>
      <w:tblPr>
        <w:tblW w:w="99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31"/>
        <w:gridCol w:w="4986"/>
        <w:gridCol w:w="1336"/>
        <w:gridCol w:w="1143"/>
        <w:gridCol w:w="1336"/>
      </w:tblGrid>
      <w:tr w:rsidR="00F0236A" w:rsidRPr="00073574" w14:paraId="1FDA3FB4" w14:textId="77777777" w:rsidTr="00E75CE1">
        <w:trPr>
          <w:tblHeader/>
          <w:jc w:val="center"/>
        </w:trPr>
        <w:tc>
          <w:tcPr>
            <w:tcW w:w="1131" w:type="dxa"/>
            <w:tcBorders>
              <w:top w:val="single" w:sz="12" w:space="0" w:color="auto"/>
              <w:bottom w:val="single" w:sz="12" w:space="0" w:color="auto"/>
            </w:tcBorders>
            <w:shd w:val="clear" w:color="auto" w:fill="auto"/>
            <w:vAlign w:val="center"/>
          </w:tcPr>
          <w:p w14:paraId="07CB2F17" w14:textId="77777777" w:rsidR="00F0236A" w:rsidRPr="00073574" w:rsidRDefault="00F0236A" w:rsidP="00D2309A">
            <w:pPr>
              <w:pStyle w:val="Tablehead"/>
              <w:keepNext w:val="0"/>
              <w:rPr>
                <w:sz w:val="24"/>
                <w:szCs w:val="24"/>
              </w:rPr>
            </w:pPr>
            <w:r w:rsidRPr="00073574">
              <w:rPr>
                <w:sz w:val="24"/>
                <w:szCs w:val="24"/>
              </w:rPr>
              <w:t>Action Item</w:t>
            </w:r>
          </w:p>
        </w:tc>
        <w:tc>
          <w:tcPr>
            <w:tcW w:w="4986" w:type="dxa"/>
            <w:tcBorders>
              <w:top w:val="single" w:sz="12" w:space="0" w:color="auto"/>
              <w:bottom w:val="single" w:sz="12" w:space="0" w:color="auto"/>
            </w:tcBorders>
            <w:shd w:val="clear" w:color="auto" w:fill="auto"/>
            <w:vAlign w:val="center"/>
            <w:hideMark/>
          </w:tcPr>
          <w:p w14:paraId="18DA4712" w14:textId="77777777" w:rsidR="00F0236A" w:rsidRPr="00073574" w:rsidRDefault="00F0236A" w:rsidP="00DF36E1">
            <w:pPr>
              <w:pStyle w:val="Tablehead"/>
              <w:rPr>
                <w:sz w:val="24"/>
                <w:szCs w:val="24"/>
              </w:rPr>
            </w:pPr>
            <w:r w:rsidRPr="00073574">
              <w:rPr>
                <w:sz w:val="24"/>
                <w:szCs w:val="24"/>
              </w:rPr>
              <w:t>Action</w:t>
            </w:r>
          </w:p>
        </w:tc>
        <w:tc>
          <w:tcPr>
            <w:tcW w:w="1336" w:type="dxa"/>
            <w:tcBorders>
              <w:top w:val="single" w:sz="12" w:space="0" w:color="auto"/>
              <w:bottom w:val="single" w:sz="12" w:space="0" w:color="auto"/>
            </w:tcBorders>
            <w:shd w:val="clear" w:color="auto" w:fill="auto"/>
            <w:vAlign w:val="center"/>
            <w:hideMark/>
          </w:tcPr>
          <w:p w14:paraId="08E53C7C" w14:textId="77777777" w:rsidR="00F0236A" w:rsidRPr="00073574" w:rsidRDefault="00F0236A" w:rsidP="00DF36E1">
            <w:pPr>
              <w:pStyle w:val="Tablehead"/>
              <w:rPr>
                <w:sz w:val="24"/>
                <w:szCs w:val="24"/>
              </w:rPr>
            </w:pPr>
            <w:r w:rsidRPr="00073574">
              <w:rPr>
                <w:sz w:val="24"/>
                <w:szCs w:val="24"/>
              </w:rPr>
              <w:t>Milestone</w:t>
            </w:r>
          </w:p>
        </w:tc>
        <w:tc>
          <w:tcPr>
            <w:tcW w:w="1143" w:type="dxa"/>
            <w:tcBorders>
              <w:top w:val="single" w:sz="12" w:space="0" w:color="auto"/>
              <w:bottom w:val="single" w:sz="12" w:space="0" w:color="auto"/>
            </w:tcBorders>
            <w:shd w:val="clear" w:color="auto" w:fill="auto"/>
          </w:tcPr>
          <w:p w14:paraId="5D4E0456" w14:textId="77777777" w:rsidR="00F0236A" w:rsidRPr="00073574" w:rsidRDefault="00F0236A" w:rsidP="00DF36E1">
            <w:pPr>
              <w:pStyle w:val="Tablehead"/>
              <w:rPr>
                <w:sz w:val="24"/>
                <w:szCs w:val="24"/>
              </w:rPr>
            </w:pPr>
            <w:r w:rsidRPr="00073574">
              <w:rPr>
                <w:sz w:val="24"/>
                <w:szCs w:val="24"/>
              </w:rPr>
              <w:t>Periodic goals met</w:t>
            </w:r>
          </w:p>
        </w:tc>
        <w:tc>
          <w:tcPr>
            <w:tcW w:w="1336" w:type="dxa"/>
            <w:tcBorders>
              <w:top w:val="single" w:sz="12" w:space="0" w:color="auto"/>
              <w:bottom w:val="single" w:sz="12" w:space="0" w:color="auto"/>
            </w:tcBorders>
            <w:shd w:val="clear" w:color="auto" w:fill="auto"/>
            <w:vAlign w:val="center"/>
          </w:tcPr>
          <w:p w14:paraId="1509464A" w14:textId="77777777" w:rsidR="00F0236A" w:rsidRPr="00073574" w:rsidRDefault="00F0236A" w:rsidP="00DF36E1">
            <w:pPr>
              <w:pStyle w:val="Tablehead"/>
              <w:rPr>
                <w:sz w:val="24"/>
                <w:szCs w:val="24"/>
              </w:rPr>
            </w:pPr>
            <w:r w:rsidRPr="00073574">
              <w:rPr>
                <w:sz w:val="24"/>
                <w:szCs w:val="24"/>
              </w:rPr>
              <w:t>Completed</w:t>
            </w:r>
          </w:p>
        </w:tc>
      </w:tr>
      <w:tr w:rsidR="00F0236A" w:rsidRPr="00073574" w14:paraId="28AE1EAD" w14:textId="77777777" w:rsidTr="00BD6575">
        <w:trPr>
          <w:jc w:val="center"/>
        </w:trPr>
        <w:tc>
          <w:tcPr>
            <w:tcW w:w="1131" w:type="dxa"/>
            <w:vMerge w:val="restart"/>
            <w:tcBorders>
              <w:top w:val="single" w:sz="12" w:space="0" w:color="auto"/>
            </w:tcBorders>
            <w:shd w:val="clear" w:color="auto" w:fill="auto"/>
          </w:tcPr>
          <w:p w14:paraId="12CAA66C" w14:textId="77777777" w:rsidR="00F0236A" w:rsidRPr="00073574" w:rsidRDefault="00F0236A" w:rsidP="00D2309A">
            <w:pPr>
              <w:pStyle w:val="Tabletext"/>
              <w:rPr>
                <w:b/>
                <w:bCs/>
                <w:sz w:val="24"/>
                <w:szCs w:val="24"/>
              </w:rPr>
            </w:pPr>
            <w:r w:rsidRPr="00073574">
              <w:rPr>
                <w:b/>
                <w:bCs/>
                <w:sz w:val="24"/>
                <w:szCs w:val="24"/>
              </w:rPr>
              <w:t>93-01</w:t>
            </w:r>
          </w:p>
        </w:tc>
        <w:tc>
          <w:tcPr>
            <w:tcW w:w="4986" w:type="dxa"/>
            <w:tcBorders>
              <w:top w:val="single" w:sz="12" w:space="0" w:color="auto"/>
              <w:bottom w:val="single" w:sz="2" w:space="0" w:color="auto"/>
            </w:tcBorders>
            <w:shd w:val="clear" w:color="auto" w:fill="auto"/>
          </w:tcPr>
          <w:p w14:paraId="035F4266" w14:textId="77777777" w:rsidR="00F0236A" w:rsidRPr="00073574" w:rsidRDefault="00F0236A" w:rsidP="00D2309A">
            <w:pPr>
              <w:pStyle w:val="Tabletext"/>
              <w:rPr>
                <w:b/>
                <w:bCs/>
                <w:sz w:val="24"/>
                <w:szCs w:val="24"/>
              </w:rPr>
            </w:pPr>
            <w:r w:rsidRPr="00073574">
              <w:rPr>
                <w:b/>
                <w:bCs/>
                <w:sz w:val="24"/>
                <w:szCs w:val="24"/>
              </w:rPr>
              <w:t>Study groups (SGs 2, 3, 11, 13, 17) to progress as quickly as possible ITU-T Recommendations to address network architectures, roaming principles, numbering issues, charging and security mechanisms as well as interoperability and conformance testing for interconnection of 4G, IMT-2020 networks and beyond;</w:t>
            </w:r>
          </w:p>
          <w:p w14:paraId="7882E944" w14:textId="77777777" w:rsidR="00F0236A" w:rsidRPr="00073574" w:rsidRDefault="00F0236A" w:rsidP="00D2309A">
            <w:pPr>
              <w:pStyle w:val="Tabletext"/>
              <w:rPr>
                <w:b/>
                <w:bCs/>
                <w:sz w:val="24"/>
                <w:szCs w:val="24"/>
              </w:rPr>
            </w:pPr>
            <w:r w:rsidRPr="00073574">
              <w:rPr>
                <w:b/>
                <w:bCs/>
                <w:sz w:val="24"/>
                <w:szCs w:val="24"/>
              </w:rPr>
              <w:t>and to identify as soon as possible future ITU-T Recommendations that need to be developed associated with the interconnection of 4G, IMT-2020 networks and beyond;</w:t>
            </w:r>
          </w:p>
          <w:p w14:paraId="513BC7F8" w14:textId="77777777" w:rsidR="00F0236A" w:rsidRPr="00073574" w:rsidRDefault="00F0236A" w:rsidP="00D2309A">
            <w:pPr>
              <w:pStyle w:val="Tabletext"/>
              <w:rPr>
                <w:b/>
                <w:bCs/>
                <w:sz w:val="24"/>
                <w:szCs w:val="24"/>
              </w:rPr>
            </w:pPr>
            <w:r w:rsidRPr="00073574">
              <w:rPr>
                <w:b/>
                <w:bCs/>
                <w:sz w:val="24"/>
                <w:szCs w:val="24"/>
              </w:rPr>
              <w:t>and to cooperate, as appropriate, with interested stakeholders and alliances in order to optimize studies on this particular subject (resolves, i. SGs 1, 2)</w:t>
            </w:r>
          </w:p>
        </w:tc>
        <w:tc>
          <w:tcPr>
            <w:tcW w:w="1336" w:type="dxa"/>
            <w:tcBorders>
              <w:top w:val="single" w:sz="12" w:space="0" w:color="auto"/>
              <w:bottom w:val="single" w:sz="2" w:space="0" w:color="auto"/>
            </w:tcBorders>
            <w:shd w:val="clear" w:color="auto" w:fill="auto"/>
            <w:vAlign w:val="center"/>
          </w:tcPr>
          <w:p w14:paraId="7D734F14" w14:textId="77777777" w:rsidR="00F0236A" w:rsidRPr="00073574" w:rsidRDefault="00F0236A" w:rsidP="00D2309A">
            <w:pPr>
              <w:pStyle w:val="Tabletext"/>
              <w:jc w:val="center"/>
              <w:rPr>
                <w:b/>
                <w:bCs/>
                <w:sz w:val="24"/>
                <w:szCs w:val="24"/>
              </w:rPr>
            </w:pPr>
            <w:r w:rsidRPr="00073574">
              <w:rPr>
                <w:b/>
                <w:bCs/>
                <w:sz w:val="24"/>
                <w:szCs w:val="24"/>
              </w:rPr>
              <w:t>Ongoing</w:t>
            </w:r>
          </w:p>
        </w:tc>
        <w:tc>
          <w:tcPr>
            <w:tcW w:w="1143" w:type="dxa"/>
            <w:tcBorders>
              <w:top w:val="single" w:sz="12" w:space="0" w:color="auto"/>
              <w:bottom w:val="single" w:sz="2" w:space="0" w:color="auto"/>
            </w:tcBorders>
            <w:shd w:val="clear" w:color="auto" w:fill="auto"/>
            <w:vAlign w:val="center"/>
          </w:tcPr>
          <w:p w14:paraId="4BADB83D" w14:textId="77777777" w:rsidR="00F0236A" w:rsidRPr="00073574" w:rsidRDefault="00F0236A" w:rsidP="00D2309A">
            <w:pPr>
              <w:pStyle w:val="Tabletext"/>
              <w:jc w:val="center"/>
              <w:rPr>
                <w:b/>
                <w:bCs/>
                <w:sz w:val="24"/>
                <w:szCs w:val="24"/>
              </w:rPr>
            </w:pPr>
            <w:r w:rsidRPr="00073574">
              <w:rPr>
                <w:b/>
                <w:bCs/>
                <w:sz w:val="24"/>
                <w:szCs w:val="24"/>
              </w:rPr>
              <w:t>√</w:t>
            </w:r>
          </w:p>
        </w:tc>
        <w:tc>
          <w:tcPr>
            <w:tcW w:w="1336" w:type="dxa"/>
            <w:tcBorders>
              <w:top w:val="single" w:sz="12" w:space="0" w:color="auto"/>
              <w:bottom w:val="single" w:sz="2" w:space="0" w:color="auto"/>
            </w:tcBorders>
            <w:shd w:val="clear" w:color="auto" w:fill="auto"/>
            <w:vAlign w:val="center"/>
          </w:tcPr>
          <w:p w14:paraId="6281CD4E" w14:textId="77777777" w:rsidR="00F0236A" w:rsidRPr="00073574" w:rsidRDefault="00F0236A" w:rsidP="00D2309A">
            <w:pPr>
              <w:pStyle w:val="Tabletext"/>
              <w:jc w:val="center"/>
              <w:rPr>
                <w:b/>
                <w:bCs/>
                <w:sz w:val="24"/>
                <w:szCs w:val="24"/>
              </w:rPr>
            </w:pPr>
          </w:p>
        </w:tc>
      </w:tr>
      <w:tr w:rsidR="00F0236A" w:rsidRPr="00073574" w14:paraId="012F9CB1" w14:textId="77777777" w:rsidTr="5D161764">
        <w:trPr>
          <w:jc w:val="center"/>
        </w:trPr>
        <w:tc>
          <w:tcPr>
            <w:tcW w:w="1131" w:type="dxa"/>
            <w:vMerge/>
          </w:tcPr>
          <w:p w14:paraId="3ADB978F" w14:textId="77777777" w:rsidR="00F0236A" w:rsidRPr="00073574" w:rsidRDefault="00F0236A" w:rsidP="00DF36E1">
            <w:pPr>
              <w:pStyle w:val="Tabletext"/>
              <w:rPr>
                <w:sz w:val="24"/>
                <w:szCs w:val="24"/>
              </w:rPr>
            </w:pPr>
          </w:p>
        </w:tc>
        <w:tc>
          <w:tcPr>
            <w:tcW w:w="8801" w:type="dxa"/>
            <w:gridSpan w:val="4"/>
            <w:tcBorders>
              <w:top w:val="single" w:sz="2" w:space="0" w:color="auto"/>
              <w:bottom w:val="single" w:sz="12" w:space="0" w:color="auto"/>
            </w:tcBorders>
            <w:shd w:val="clear" w:color="auto" w:fill="auto"/>
          </w:tcPr>
          <w:p w14:paraId="65B0B0B2" w14:textId="268A172C" w:rsidR="00934A8F" w:rsidRPr="00073574" w:rsidRDefault="00F0236A" w:rsidP="002E241A">
            <w:pPr>
              <w:pStyle w:val="ListParagraph"/>
              <w:numPr>
                <w:ilvl w:val="0"/>
                <w:numId w:val="37"/>
              </w:numPr>
              <w:spacing w:before="40"/>
              <w:ind w:hanging="357"/>
              <w:rPr>
                <w:rStyle w:val="Emphasis"/>
                <w:i w:val="0"/>
              </w:rPr>
            </w:pPr>
            <w:r w:rsidRPr="00073574">
              <w:rPr>
                <w:rStyle w:val="Emphasis"/>
                <w:i w:val="0"/>
              </w:rPr>
              <w:t>SG2</w:t>
            </w:r>
            <w:r w:rsidR="00717583" w:rsidRPr="00073574">
              <w:rPr>
                <w:rStyle w:val="Emphasis"/>
                <w:i w:val="0"/>
              </w:rPr>
              <w:t xml:space="preserve"> is </w:t>
            </w:r>
            <w:r w:rsidR="007A0362" w:rsidRPr="00073574">
              <w:rPr>
                <w:rStyle w:val="Emphasis"/>
                <w:i w:val="0"/>
              </w:rPr>
              <w:t>working on two ENUM related work items</w:t>
            </w:r>
            <w:r w:rsidRPr="00073574">
              <w:rPr>
                <w:rStyle w:val="Emphasis"/>
                <w:i w:val="0"/>
              </w:rPr>
              <w:t>:</w:t>
            </w:r>
            <w:r w:rsidR="007A0362" w:rsidRPr="00073574">
              <w:rPr>
                <w:rStyle w:val="Emphasis"/>
                <w:i w:val="0"/>
              </w:rPr>
              <w:t xml:space="preserve"> E.A-ENUM, “</w:t>
            </w:r>
            <w:r w:rsidR="007701E1" w:rsidRPr="00073574">
              <w:rPr>
                <w:rStyle w:val="Emphasis"/>
                <w:i w:val="0"/>
              </w:rPr>
              <w:t>Principles and procedures for the administration of E.164 country codes for registration into the Domain Name System</w:t>
            </w:r>
            <w:r w:rsidR="007A0362" w:rsidRPr="00073574">
              <w:rPr>
                <w:rStyle w:val="Emphasis"/>
                <w:i w:val="0"/>
              </w:rPr>
              <w:t>”, and E.ENUMINF, “</w:t>
            </w:r>
            <w:r w:rsidR="007701E1" w:rsidRPr="00073574">
              <w:rPr>
                <w:rStyle w:val="Emphasis"/>
                <w:i w:val="0"/>
              </w:rPr>
              <w:t>Differentiating between ENUM and Infrastructure ENUM</w:t>
            </w:r>
            <w:r w:rsidR="007A0362" w:rsidRPr="00073574">
              <w:rPr>
                <w:rStyle w:val="Emphasis"/>
                <w:i w:val="0"/>
              </w:rPr>
              <w:t>”.</w:t>
            </w:r>
            <w:r w:rsidRPr="00073574">
              <w:rPr>
                <w:rStyle w:val="Emphasis"/>
                <w:i w:val="0"/>
              </w:rPr>
              <w:t xml:space="preserve"> There was discussion on carrier ENUM for VoLTE/ViLTE in liaison with SG11 in the last study period.</w:t>
            </w:r>
            <w:r w:rsidR="00934A8F" w:rsidRPr="00073574">
              <w:rPr>
                <w:rStyle w:val="Emphasis"/>
                <w:i w:val="0"/>
              </w:rPr>
              <w:t xml:space="preserve"> Liaised with SG11 on the work item under SG11, i.e., draft new Recommendation ITU-T </w:t>
            </w:r>
            <w:r w:rsidR="00D10875" w:rsidRPr="00073574">
              <w:rPr>
                <w:rStyle w:val="Emphasis"/>
                <w:i w:val="0"/>
              </w:rPr>
              <w:t>Q</w:t>
            </w:r>
            <w:r w:rsidR="00D10875" w:rsidRPr="00073574">
              <w:rPr>
                <w:rStyle w:val="Emphasis"/>
                <w:i w:val="0"/>
                <w:iCs w:val="0"/>
              </w:rPr>
              <w:t xml:space="preserve">.3643 </w:t>
            </w:r>
            <w:r w:rsidR="00934A8F" w:rsidRPr="00073574">
              <w:rPr>
                <w:rStyle w:val="Emphasis"/>
                <w:i w:val="0"/>
              </w:rPr>
              <w:t>"Signalling architecture of distributed ENUM networking for IMS"</w:t>
            </w:r>
            <w:r w:rsidR="00D10875" w:rsidRPr="00073574">
              <w:rPr>
                <w:rStyle w:val="Emphasis"/>
                <w:i w:val="0"/>
              </w:rPr>
              <w:t>,</w:t>
            </w:r>
            <w:r w:rsidR="00D10875" w:rsidRPr="00073574">
              <w:rPr>
                <w:rStyle w:val="Emphasis"/>
                <w:i w:val="0"/>
                <w:iCs w:val="0"/>
              </w:rPr>
              <w:t xml:space="preserve"> which was subsequently Approved by ITU-T SG11 in July 2020</w:t>
            </w:r>
            <w:r w:rsidR="00934A8F" w:rsidRPr="00073574">
              <w:rPr>
                <w:rStyle w:val="Emphasis"/>
                <w:i w:val="0"/>
              </w:rPr>
              <w:t>.</w:t>
            </w:r>
          </w:p>
          <w:p w14:paraId="3DE7B150" w14:textId="1DCB0C47" w:rsidR="00411B3E" w:rsidRPr="00073574" w:rsidRDefault="00411B3E" w:rsidP="002E241A">
            <w:pPr>
              <w:pStyle w:val="ListParagraph"/>
              <w:numPr>
                <w:ilvl w:val="0"/>
                <w:numId w:val="37"/>
              </w:numPr>
              <w:contextualSpacing w:val="0"/>
            </w:pPr>
            <w:r w:rsidRPr="00073574">
              <w:t>SG3 is studying policy and regulatory aspects related to IMT-2020, such as IMT2020-related policy considering MVNOs.</w:t>
            </w:r>
            <w:r w:rsidR="002D7AB2" w:rsidRPr="00073574">
              <w:t xml:space="preserve"> Several work item</w:t>
            </w:r>
            <w:r w:rsidR="00804947" w:rsidRPr="00073574">
              <w:t>s</w:t>
            </w:r>
            <w:r w:rsidR="002D7AB2" w:rsidRPr="00073574">
              <w:t xml:space="preserve"> address roaming aspects </w:t>
            </w:r>
            <w:r w:rsidR="00125C8A" w:rsidRPr="00073574">
              <w:t xml:space="preserve">at </w:t>
            </w:r>
            <w:r w:rsidR="002D7AB2" w:rsidRPr="00073574">
              <w:t xml:space="preserve">the international </w:t>
            </w:r>
            <w:r w:rsidR="00125C8A" w:rsidRPr="00073574">
              <w:t xml:space="preserve">and </w:t>
            </w:r>
            <w:r w:rsidR="002D7AB2" w:rsidRPr="00073574">
              <w:t>regional level.</w:t>
            </w:r>
          </w:p>
          <w:p w14:paraId="2FCDA595" w14:textId="14986EAE" w:rsidR="000173AD" w:rsidRPr="00073574" w:rsidRDefault="000173AD" w:rsidP="002E241A">
            <w:pPr>
              <w:pStyle w:val="ListParagraph"/>
              <w:numPr>
                <w:ilvl w:val="0"/>
                <w:numId w:val="37"/>
              </w:numPr>
              <w:contextualSpacing w:val="0"/>
            </w:pPr>
            <w:r w:rsidRPr="00073574">
              <w:t xml:space="preserve">SG11 approved new ITU-T Recommendations </w:t>
            </w:r>
            <w:r w:rsidR="00176CB5" w:rsidRPr="00073574">
              <w:t>and agreed Supplement</w:t>
            </w:r>
            <w:r w:rsidR="00431741" w:rsidRPr="00073574">
              <w:t>s</w:t>
            </w:r>
            <w:r w:rsidR="00176CB5" w:rsidRPr="00073574">
              <w:t xml:space="preserve"> </w:t>
            </w:r>
            <w:r w:rsidRPr="00073574">
              <w:t>dealing with VoLTE/ViLTE interconnection, as follows:</w:t>
            </w:r>
          </w:p>
          <w:p w14:paraId="7F56185F" w14:textId="77777777" w:rsidR="000173AD" w:rsidRPr="00073574" w:rsidRDefault="000173AD" w:rsidP="00372280">
            <w:pPr>
              <w:pStyle w:val="ListParagraph"/>
              <w:numPr>
                <w:ilvl w:val="1"/>
                <w:numId w:val="37"/>
              </w:numPr>
              <w:ind w:hanging="357"/>
              <w:contextualSpacing w:val="0"/>
            </w:pPr>
            <w:r w:rsidRPr="00073574">
              <w:lastRenderedPageBreak/>
              <w:t>ITU-T Q.3640: Framework of interconnection of VoLTE/ViLTE-based networks;</w:t>
            </w:r>
          </w:p>
          <w:p w14:paraId="09EF3475" w14:textId="25DFB56D" w:rsidR="00DD1BB9" w:rsidRPr="00073574" w:rsidRDefault="00DD1BB9" w:rsidP="00372280">
            <w:pPr>
              <w:pStyle w:val="ListParagraph"/>
              <w:numPr>
                <w:ilvl w:val="1"/>
                <w:numId w:val="37"/>
              </w:numPr>
              <w:ind w:hanging="357"/>
              <w:contextualSpacing w:val="0"/>
            </w:pPr>
            <w:r w:rsidRPr="00073574">
              <w:t>ITU-T Q.3641: IMS references to Release 11 for communication between IMS and NGN networks to support end-to-end service interoperability;</w:t>
            </w:r>
          </w:p>
          <w:p w14:paraId="24F1ED26" w14:textId="7FCAA603" w:rsidR="000173AD" w:rsidRPr="00073574" w:rsidRDefault="000173AD" w:rsidP="00372280">
            <w:pPr>
              <w:pStyle w:val="ListParagraph"/>
              <w:numPr>
                <w:ilvl w:val="1"/>
                <w:numId w:val="37"/>
              </w:numPr>
              <w:ind w:hanging="357"/>
              <w:contextualSpacing w:val="0"/>
            </w:pPr>
          </w:p>
          <w:p w14:paraId="326F8581" w14:textId="030CF252" w:rsidR="00574504" w:rsidRPr="00073574" w:rsidRDefault="00574504" w:rsidP="00372280">
            <w:pPr>
              <w:pStyle w:val="ListParagraph"/>
              <w:numPr>
                <w:ilvl w:val="1"/>
                <w:numId w:val="37"/>
              </w:numPr>
              <w:ind w:hanging="357"/>
              <w:contextualSpacing w:val="0"/>
            </w:pPr>
            <w:r w:rsidRPr="00073574">
              <w:t>ITU-T Q.3642: IMS references to Release 12 for communication between IMS and NGN Networks to support the end-to-end service interoperability;</w:t>
            </w:r>
          </w:p>
          <w:p w14:paraId="22B8F5BA" w14:textId="2CB7B46B" w:rsidR="008529EC" w:rsidRPr="00073574" w:rsidRDefault="008529EC" w:rsidP="00372280">
            <w:pPr>
              <w:pStyle w:val="ListParagraph"/>
              <w:numPr>
                <w:ilvl w:val="1"/>
                <w:numId w:val="37"/>
              </w:numPr>
              <w:ind w:hanging="357"/>
              <w:contextualSpacing w:val="0"/>
            </w:pPr>
            <w:r w:rsidRPr="00073574">
              <w:t>ITU-T Q.3643: Signalling architecture of distributed infrastructure ENUM networking for IMS;</w:t>
            </w:r>
          </w:p>
          <w:p w14:paraId="5FE17859" w14:textId="25C6B328" w:rsidR="00AD4E16" w:rsidRPr="00073574" w:rsidRDefault="00AD4E16" w:rsidP="00372280">
            <w:pPr>
              <w:pStyle w:val="ListParagraph"/>
              <w:numPr>
                <w:ilvl w:val="1"/>
                <w:numId w:val="37"/>
              </w:numPr>
              <w:ind w:hanging="357"/>
              <w:contextualSpacing w:val="0"/>
            </w:pPr>
            <w:r w:rsidRPr="00073574">
              <w:t>ITU-T Q.3644: Requirements for signalling network analyses and optimization in VoLTE;</w:t>
            </w:r>
          </w:p>
          <w:p w14:paraId="52D3D614" w14:textId="2BA15A46" w:rsidR="001B6832" w:rsidRPr="00073574" w:rsidRDefault="001B6832" w:rsidP="00372280">
            <w:pPr>
              <w:pStyle w:val="ListParagraph"/>
              <w:numPr>
                <w:ilvl w:val="1"/>
                <w:numId w:val="37"/>
              </w:numPr>
              <w:ind w:hanging="357"/>
              <w:contextualSpacing w:val="0"/>
            </w:pPr>
            <w:r w:rsidRPr="00073574">
              <w:t>ITU-T Q.3645</w:t>
            </w:r>
            <w:r w:rsidR="006D4FD3" w:rsidRPr="00073574">
              <w:t>:</w:t>
            </w:r>
            <w:r w:rsidRPr="00073574">
              <w:t xml:space="preserve"> Protocol at interface between two distributed ENUM servers for IMS</w:t>
            </w:r>
            <w:r w:rsidR="006D4FD3" w:rsidRPr="00073574">
              <w:t>;</w:t>
            </w:r>
          </w:p>
          <w:p w14:paraId="3AF544A6" w14:textId="6E5763E0" w:rsidR="00DD1BB9" w:rsidRPr="00073574" w:rsidRDefault="00DD1BB9" w:rsidP="00372280">
            <w:pPr>
              <w:pStyle w:val="ListParagraph"/>
              <w:numPr>
                <w:ilvl w:val="1"/>
                <w:numId w:val="37"/>
              </w:numPr>
              <w:ind w:hanging="357"/>
              <w:contextualSpacing w:val="0"/>
            </w:pPr>
            <w:r w:rsidRPr="00073574">
              <w:t>ITU-T Q.3953: VoLTE/ViLTE interconnection testing for interworking and roaming scenarios;</w:t>
            </w:r>
          </w:p>
          <w:p w14:paraId="70238F5D" w14:textId="0688D3DE" w:rsidR="000173AD" w:rsidRPr="00073574" w:rsidRDefault="00312FDB" w:rsidP="00372280">
            <w:pPr>
              <w:pStyle w:val="ListParagraph"/>
              <w:numPr>
                <w:ilvl w:val="1"/>
                <w:numId w:val="37"/>
              </w:numPr>
              <w:ind w:hanging="357"/>
              <w:contextualSpacing w:val="0"/>
            </w:pPr>
            <w:r w:rsidRPr="00073574">
              <w:t xml:space="preserve">ITU-T </w:t>
            </w:r>
            <w:r w:rsidR="000173AD" w:rsidRPr="00073574">
              <w:t>Q.Supplement 69: Framework for interconnection between VoLTE-based network and other networks supporting emergency telecommunications service (ETS);</w:t>
            </w:r>
          </w:p>
          <w:p w14:paraId="4A349E26" w14:textId="18CD7A9E" w:rsidR="008529EC" w:rsidRPr="00073574" w:rsidRDefault="00C968AE" w:rsidP="00372280">
            <w:pPr>
              <w:pStyle w:val="ListParagraph"/>
              <w:numPr>
                <w:ilvl w:val="1"/>
                <w:numId w:val="37"/>
              </w:numPr>
              <w:ind w:hanging="357"/>
              <w:contextualSpacing w:val="0"/>
            </w:pPr>
            <w:r w:rsidRPr="00073574">
              <w:t>ITU-T Q.Supplement 72: Signalling requirements for IMS emergency telecommunications service in support of multiple accesses.</w:t>
            </w:r>
          </w:p>
          <w:p w14:paraId="6C5C2AA0" w14:textId="4BB51448" w:rsidR="000173AD" w:rsidRPr="00073574" w:rsidRDefault="000173AD" w:rsidP="00843789">
            <w:pPr>
              <w:pStyle w:val="ListParagraph"/>
              <w:ind w:left="363"/>
              <w:contextualSpacing w:val="0"/>
              <w:rPr>
                <w:szCs w:val="22"/>
              </w:rPr>
            </w:pPr>
            <w:r w:rsidRPr="00073574">
              <w:rPr>
                <w:szCs w:val="22"/>
              </w:rPr>
              <w:t>The initiative is being undertaken in close cooperation with other standards bodies, building on existing standards and answering to industry's need for a unified international reference for VoLTE/ViLTE interconnection.</w:t>
            </w:r>
          </w:p>
          <w:p w14:paraId="26DC20FB" w14:textId="77777777" w:rsidR="000173AD" w:rsidRPr="00073574" w:rsidRDefault="000173AD" w:rsidP="000173AD">
            <w:pPr>
              <w:ind w:left="313"/>
              <w:rPr>
                <w:rStyle w:val="Emphasis"/>
                <w:i w:val="0"/>
                <w:iCs w:val="0"/>
                <w:szCs w:val="22"/>
              </w:rPr>
            </w:pPr>
            <w:r w:rsidRPr="00073574">
              <w:rPr>
                <w:rStyle w:val="Emphasis"/>
                <w:i w:val="0"/>
                <w:iCs w:val="0"/>
                <w:szCs w:val="22"/>
              </w:rPr>
              <w:t>In addition, SG11 is studying the 5G control plane, relevant protocols and related testing methodologies.</w:t>
            </w:r>
          </w:p>
          <w:p w14:paraId="0E60C1DC" w14:textId="65AC515C" w:rsidR="00F0236A" w:rsidRPr="00073574" w:rsidRDefault="00F0236A" w:rsidP="002E241A">
            <w:pPr>
              <w:pStyle w:val="ListParagraph"/>
              <w:numPr>
                <w:ilvl w:val="0"/>
                <w:numId w:val="37"/>
              </w:numPr>
              <w:contextualSpacing w:val="0"/>
              <w:rPr>
                <w:rFonts w:asciiTheme="majorBidi" w:hAnsiTheme="majorBidi" w:cstheme="majorBidi"/>
              </w:rPr>
            </w:pPr>
            <w:r w:rsidRPr="00073574">
              <w:t xml:space="preserve">SG13 </w:t>
            </w:r>
            <w:r w:rsidRPr="00073574">
              <w:rPr>
                <w:rFonts w:asciiTheme="majorBidi" w:hAnsiTheme="majorBidi" w:cstheme="majorBidi"/>
              </w:rPr>
              <w:t xml:space="preserve">continues to support the shift to software-driven network management and orchestration. The group is progressing draft 5G standards addressing subjects including network architectures, network capability exposure, network slicing, network orchestration, network management-control, and frameworks to ensure high quality of service. 5G wireline standards developed by ITU-T Study Group 13 and approved </w:t>
            </w:r>
            <w:r w:rsidR="0068418B" w:rsidRPr="00073574">
              <w:rPr>
                <w:rFonts w:asciiTheme="majorBidi" w:hAnsiTheme="majorBidi" w:cstheme="majorBidi"/>
              </w:rPr>
              <w:t>since</w:t>
            </w:r>
            <w:r w:rsidRPr="00073574">
              <w:rPr>
                <w:rFonts w:asciiTheme="majorBidi" w:hAnsiTheme="majorBidi" w:cstheme="majorBidi"/>
              </w:rPr>
              <w:t xml:space="preserve"> 2017 include</w:t>
            </w:r>
          </w:p>
          <w:p w14:paraId="0F095F70" w14:textId="7D138417" w:rsidR="0068418B" w:rsidRPr="00073574" w:rsidRDefault="0068418B" w:rsidP="00372280">
            <w:pPr>
              <w:numPr>
                <w:ilvl w:val="1"/>
                <w:numId w:val="37"/>
              </w:numPr>
              <w:ind w:hanging="357"/>
              <w:rPr>
                <w:rFonts w:asciiTheme="majorBidi" w:hAnsiTheme="majorBidi" w:cstheme="majorBidi"/>
              </w:rPr>
            </w:pPr>
            <w:r w:rsidRPr="00073574">
              <w:rPr>
                <w:rFonts w:asciiTheme="majorBidi" w:hAnsiTheme="majorBidi" w:cstheme="majorBidi"/>
              </w:rPr>
              <w:t>ITU</w:t>
            </w:r>
            <w:r w:rsidR="00DE492F" w:rsidRPr="00073574">
              <w:rPr>
                <w:rFonts w:asciiTheme="majorBidi" w:hAnsiTheme="majorBidi" w:cstheme="majorBidi"/>
              </w:rPr>
              <w:t>-T</w:t>
            </w:r>
            <w:r w:rsidRPr="00073574">
              <w:rPr>
                <w:rFonts w:asciiTheme="majorBidi" w:hAnsiTheme="majorBidi" w:cstheme="majorBidi"/>
              </w:rPr>
              <w:t xml:space="preserve"> Y.3100 "Terms and definitions for IMT-2020" provides a foundational set of terminology to be applied universally across 5G-related standardization work.</w:t>
            </w:r>
          </w:p>
          <w:p w14:paraId="30F9DC54" w14:textId="7BAB7839" w:rsidR="00F0236A" w:rsidRPr="00073574" w:rsidRDefault="00F0236A" w:rsidP="00372280">
            <w:pPr>
              <w:numPr>
                <w:ilvl w:val="1"/>
                <w:numId w:val="37"/>
              </w:numPr>
              <w:ind w:hanging="357"/>
              <w:rPr>
                <w:rFonts w:asciiTheme="majorBidi" w:hAnsiTheme="majorBidi" w:cstheme="majorBidi"/>
              </w:rPr>
            </w:pPr>
            <w:r w:rsidRPr="00073574">
              <w:rPr>
                <w:rFonts w:asciiTheme="majorBidi" w:hAnsiTheme="majorBidi" w:cstheme="majorBidi"/>
              </w:rPr>
              <w:t>ITU</w:t>
            </w:r>
            <w:r w:rsidR="00DE492F" w:rsidRPr="00073574">
              <w:rPr>
                <w:rFonts w:asciiTheme="majorBidi" w:hAnsiTheme="majorBidi" w:cstheme="majorBidi"/>
              </w:rPr>
              <w:t>-T</w:t>
            </w:r>
            <w:r w:rsidRPr="00073574">
              <w:rPr>
                <w:rFonts w:asciiTheme="majorBidi" w:hAnsiTheme="majorBidi" w:cstheme="majorBidi"/>
              </w:rPr>
              <w:t xml:space="preserve"> Y.310</w:t>
            </w:r>
            <w:r w:rsidR="00C058B6" w:rsidRPr="00073574">
              <w:rPr>
                <w:rFonts w:asciiTheme="majorBidi" w:hAnsiTheme="majorBidi" w:cstheme="majorBidi"/>
              </w:rPr>
              <w:t>2</w:t>
            </w:r>
            <w:r w:rsidRPr="00073574">
              <w:rPr>
                <w:rFonts w:asciiTheme="majorBidi" w:hAnsiTheme="majorBidi" w:cstheme="majorBidi"/>
              </w:rPr>
              <w:t xml:space="preserve"> </w:t>
            </w:r>
            <w:r w:rsidR="003C7E25" w:rsidRPr="00073574">
              <w:rPr>
                <w:rFonts w:asciiTheme="majorBidi" w:hAnsiTheme="majorBidi" w:cstheme="majorBidi"/>
              </w:rPr>
              <w:t>"</w:t>
            </w:r>
            <w:r w:rsidR="00C058B6" w:rsidRPr="00073574">
              <w:rPr>
                <w:rFonts w:asciiTheme="majorBidi" w:hAnsiTheme="majorBidi" w:cstheme="majorBidi"/>
              </w:rPr>
              <w:t>Framework of the</w:t>
            </w:r>
            <w:r w:rsidRPr="00073574">
              <w:rPr>
                <w:rFonts w:asciiTheme="majorBidi" w:hAnsiTheme="majorBidi" w:cstheme="majorBidi"/>
              </w:rPr>
              <w:t xml:space="preserve"> IMT-2020</w:t>
            </w:r>
            <w:r w:rsidR="00C058B6" w:rsidRPr="00073574">
              <w:rPr>
                <w:rFonts w:asciiTheme="majorBidi" w:hAnsiTheme="majorBidi" w:cstheme="majorBidi"/>
              </w:rPr>
              <w:t xml:space="preserve"> network</w:t>
            </w:r>
            <w:r w:rsidR="003C7E25" w:rsidRPr="00073574">
              <w:rPr>
                <w:rFonts w:asciiTheme="majorBidi" w:hAnsiTheme="majorBidi" w:cstheme="majorBidi"/>
              </w:rPr>
              <w:t>"</w:t>
            </w:r>
            <w:r w:rsidRPr="00073574">
              <w:rPr>
                <w:rFonts w:asciiTheme="majorBidi" w:hAnsiTheme="majorBidi" w:cstheme="majorBidi"/>
              </w:rPr>
              <w:t>.</w:t>
            </w:r>
          </w:p>
          <w:p w14:paraId="1E2CC2C7" w14:textId="5FAC3FE3" w:rsidR="00E07A5D" w:rsidRPr="00073574" w:rsidRDefault="00E07A5D" w:rsidP="00372280">
            <w:pPr>
              <w:numPr>
                <w:ilvl w:val="1"/>
                <w:numId w:val="37"/>
              </w:numPr>
              <w:ind w:hanging="357"/>
              <w:rPr>
                <w:rFonts w:asciiTheme="majorBidi" w:hAnsiTheme="majorBidi" w:cstheme="majorBidi"/>
              </w:rPr>
            </w:pPr>
            <w:r w:rsidRPr="00073574">
              <w:rPr>
                <w:rFonts w:asciiTheme="majorBidi" w:hAnsiTheme="majorBidi" w:cstheme="majorBidi"/>
              </w:rPr>
              <w:t>ITU</w:t>
            </w:r>
            <w:r w:rsidR="00DE492F" w:rsidRPr="00073574">
              <w:rPr>
                <w:rFonts w:asciiTheme="majorBidi" w:hAnsiTheme="majorBidi" w:cstheme="majorBidi"/>
              </w:rPr>
              <w:t>-T</w:t>
            </w:r>
            <w:r w:rsidRPr="00073574">
              <w:rPr>
                <w:rFonts w:asciiTheme="majorBidi" w:hAnsiTheme="majorBidi" w:cstheme="majorBidi"/>
              </w:rPr>
              <w:t xml:space="preserve"> Y.3103 “Business Role-based Models in IMT-2020”</w:t>
            </w:r>
            <w:r w:rsidR="007F1967" w:rsidRPr="00073574">
              <w:rPr>
                <w:rFonts w:asciiTheme="majorBidi" w:hAnsiTheme="majorBidi" w:cstheme="majorBidi"/>
              </w:rPr>
              <w:t>.</w:t>
            </w:r>
          </w:p>
          <w:p w14:paraId="349302A6" w14:textId="3C96BF32" w:rsidR="00FA058A" w:rsidRPr="00073574" w:rsidRDefault="00FA058A" w:rsidP="00372280">
            <w:pPr>
              <w:numPr>
                <w:ilvl w:val="1"/>
                <w:numId w:val="37"/>
              </w:numPr>
              <w:ind w:hanging="357"/>
              <w:rPr>
                <w:rFonts w:asciiTheme="majorBidi" w:hAnsiTheme="majorBidi" w:cstheme="majorBidi"/>
              </w:rPr>
            </w:pPr>
            <w:r w:rsidRPr="00073574">
              <w:rPr>
                <w:rFonts w:asciiTheme="majorBidi" w:hAnsiTheme="majorBidi" w:cstheme="majorBidi"/>
              </w:rPr>
              <w:t>ITU</w:t>
            </w:r>
            <w:r w:rsidR="00DE492F" w:rsidRPr="00073574">
              <w:rPr>
                <w:rFonts w:asciiTheme="majorBidi" w:hAnsiTheme="majorBidi" w:cstheme="majorBidi"/>
              </w:rPr>
              <w:t>-T</w:t>
            </w:r>
            <w:r w:rsidRPr="00073574">
              <w:rPr>
                <w:rFonts w:asciiTheme="majorBidi" w:hAnsiTheme="majorBidi" w:cstheme="majorBidi"/>
              </w:rPr>
              <w:t xml:space="preserve"> Y.3104 “Architecture of the IMT-2020 network”</w:t>
            </w:r>
            <w:r w:rsidR="007F1967" w:rsidRPr="00073574">
              <w:rPr>
                <w:rFonts w:asciiTheme="majorBidi" w:hAnsiTheme="majorBidi" w:cstheme="majorBidi"/>
              </w:rPr>
              <w:t>.</w:t>
            </w:r>
          </w:p>
          <w:p w14:paraId="7C2FA6DB" w14:textId="7FEE941C" w:rsidR="00B63E53" w:rsidRPr="00073574" w:rsidRDefault="00B63E53" w:rsidP="00372280">
            <w:pPr>
              <w:numPr>
                <w:ilvl w:val="1"/>
                <w:numId w:val="37"/>
              </w:numPr>
              <w:ind w:hanging="357"/>
              <w:rPr>
                <w:rFonts w:asciiTheme="majorBidi" w:hAnsiTheme="majorBidi" w:cstheme="majorBidi"/>
              </w:rPr>
            </w:pPr>
            <w:r w:rsidRPr="00073574">
              <w:rPr>
                <w:rFonts w:asciiTheme="majorBidi" w:hAnsiTheme="majorBidi" w:cstheme="majorBidi"/>
              </w:rPr>
              <w:t>ITU-T Y.3109 “</w:t>
            </w:r>
            <w:r w:rsidR="00AE4F9F" w:rsidRPr="00073574">
              <w:rPr>
                <w:rFonts w:asciiTheme="majorBidi" w:hAnsiTheme="majorBidi" w:cstheme="majorBidi"/>
              </w:rPr>
              <w:t>Quality of service assurance-related requirements and framework for virtual reality delivery using mobile edge computing supported by IMT-2020</w:t>
            </w:r>
            <w:r w:rsidRPr="00073574">
              <w:rPr>
                <w:rFonts w:asciiTheme="majorBidi" w:hAnsiTheme="majorBidi" w:cstheme="majorBidi"/>
              </w:rPr>
              <w:t>”</w:t>
            </w:r>
          </w:p>
          <w:p w14:paraId="45595901" w14:textId="525C0401" w:rsidR="00646AF8" w:rsidRPr="00073574" w:rsidRDefault="00646AF8" w:rsidP="00372280">
            <w:pPr>
              <w:numPr>
                <w:ilvl w:val="1"/>
                <w:numId w:val="37"/>
              </w:numPr>
              <w:ind w:hanging="357"/>
              <w:rPr>
                <w:rFonts w:asciiTheme="majorBidi" w:hAnsiTheme="majorBidi" w:cstheme="majorBidi"/>
              </w:rPr>
            </w:pPr>
            <w:r w:rsidRPr="00073574">
              <w:rPr>
                <w:rFonts w:asciiTheme="majorBidi" w:hAnsiTheme="majorBidi" w:cstheme="majorBidi"/>
              </w:rPr>
              <w:t>ITU</w:t>
            </w:r>
            <w:r w:rsidR="00DE492F" w:rsidRPr="00073574">
              <w:rPr>
                <w:rFonts w:asciiTheme="majorBidi" w:hAnsiTheme="majorBidi" w:cstheme="majorBidi"/>
              </w:rPr>
              <w:t>-T</w:t>
            </w:r>
            <w:r w:rsidRPr="00073574">
              <w:rPr>
                <w:rFonts w:asciiTheme="majorBidi" w:hAnsiTheme="majorBidi" w:cstheme="majorBidi"/>
              </w:rPr>
              <w:t xml:space="preserve"> Y.3110 “IMT-2020 network management and orchestration requirements”.</w:t>
            </w:r>
          </w:p>
          <w:p w14:paraId="5B7C754B" w14:textId="6A25E95D" w:rsidR="001D2334" w:rsidRPr="00073574" w:rsidRDefault="001D2334" w:rsidP="00372280">
            <w:pPr>
              <w:numPr>
                <w:ilvl w:val="1"/>
                <w:numId w:val="37"/>
              </w:numPr>
              <w:ind w:hanging="357"/>
              <w:rPr>
                <w:rFonts w:asciiTheme="majorBidi" w:hAnsiTheme="majorBidi" w:cstheme="majorBidi"/>
              </w:rPr>
            </w:pPr>
            <w:r w:rsidRPr="00073574">
              <w:rPr>
                <w:rFonts w:asciiTheme="majorBidi" w:hAnsiTheme="majorBidi" w:cstheme="majorBidi"/>
              </w:rPr>
              <w:t>ITU-T Y.3113 “</w:t>
            </w:r>
            <w:r w:rsidR="00B47C67" w:rsidRPr="00073574">
              <w:rPr>
                <w:rFonts w:asciiTheme="majorBidi" w:hAnsiTheme="majorBidi" w:cstheme="majorBidi"/>
              </w:rPr>
              <w:t>Requirements and framework for latency guarantee in large-scale networks including the IMT-2020 network</w:t>
            </w:r>
            <w:r w:rsidRPr="00073574">
              <w:rPr>
                <w:rFonts w:asciiTheme="majorBidi" w:hAnsiTheme="majorBidi" w:cstheme="majorBidi"/>
              </w:rPr>
              <w:t>”</w:t>
            </w:r>
          </w:p>
          <w:p w14:paraId="0FB85D99" w14:textId="24660DFC" w:rsidR="00646AF8" w:rsidRPr="00073574" w:rsidRDefault="00646AF8" w:rsidP="00372280">
            <w:pPr>
              <w:numPr>
                <w:ilvl w:val="1"/>
                <w:numId w:val="37"/>
              </w:numPr>
              <w:ind w:hanging="357"/>
              <w:rPr>
                <w:rFonts w:asciiTheme="majorBidi" w:hAnsiTheme="majorBidi" w:cstheme="majorBidi"/>
              </w:rPr>
            </w:pPr>
            <w:r w:rsidRPr="00073574">
              <w:rPr>
                <w:rFonts w:asciiTheme="majorBidi" w:hAnsiTheme="majorBidi" w:cstheme="majorBidi"/>
              </w:rPr>
              <w:t>ITU-T Y.3072 “Requirements and capabilities of name mapping and resolution for information-centric networking in IMT-2020”.</w:t>
            </w:r>
          </w:p>
          <w:p w14:paraId="2EEB6F14" w14:textId="7A334719" w:rsidR="00646AF8" w:rsidRPr="00073574" w:rsidRDefault="00646AF8" w:rsidP="00372280">
            <w:pPr>
              <w:numPr>
                <w:ilvl w:val="1"/>
                <w:numId w:val="37"/>
              </w:numPr>
              <w:ind w:hanging="357"/>
              <w:rPr>
                <w:rFonts w:asciiTheme="majorBidi" w:hAnsiTheme="majorBidi" w:cstheme="majorBidi"/>
              </w:rPr>
            </w:pPr>
            <w:r w:rsidRPr="00073574">
              <w:rPr>
                <w:rFonts w:asciiTheme="majorBidi" w:hAnsiTheme="majorBidi" w:cstheme="majorBidi"/>
              </w:rPr>
              <w:lastRenderedPageBreak/>
              <w:t>ITU-T Y.3074 “Framework for directory service for management of large numbers of heterogeneously-named objects in IMT-2020”.</w:t>
            </w:r>
          </w:p>
          <w:p w14:paraId="477FB382" w14:textId="282FEE25" w:rsidR="00043875" w:rsidRPr="00073574" w:rsidRDefault="000C5497" w:rsidP="00372280">
            <w:pPr>
              <w:numPr>
                <w:ilvl w:val="1"/>
                <w:numId w:val="37"/>
              </w:numPr>
              <w:ind w:hanging="357"/>
              <w:rPr>
                <w:rFonts w:asciiTheme="majorBidi" w:hAnsiTheme="majorBidi" w:cstheme="majorBidi"/>
              </w:rPr>
            </w:pPr>
            <w:r w:rsidRPr="00073574">
              <w:rPr>
                <w:rFonts w:asciiTheme="majorBidi" w:hAnsiTheme="majorBidi" w:cstheme="majorBidi"/>
              </w:rPr>
              <w:t xml:space="preserve">ITU-T Y.3075 </w:t>
            </w:r>
            <w:r w:rsidR="00043875" w:rsidRPr="00073574">
              <w:rPr>
                <w:rFonts w:asciiTheme="majorBidi" w:hAnsiTheme="majorBidi" w:cstheme="majorBidi"/>
              </w:rPr>
              <w:t>“</w:t>
            </w:r>
            <w:r w:rsidR="00B47C67" w:rsidRPr="00073574">
              <w:rPr>
                <w:rFonts w:asciiTheme="majorBidi" w:hAnsiTheme="majorBidi" w:cstheme="majorBidi"/>
              </w:rPr>
              <w:t>Requirements and capabilities of information-centric networking routing and forwarding based on control and user plane separation in IMT-2020</w:t>
            </w:r>
            <w:r w:rsidR="00043875" w:rsidRPr="00073574">
              <w:rPr>
                <w:rFonts w:asciiTheme="majorBidi" w:hAnsiTheme="majorBidi" w:cstheme="majorBidi"/>
              </w:rPr>
              <w:t>”</w:t>
            </w:r>
          </w:p>
          <w:p w14:paraId="0EFA6B6D" w14:textId="33EE0538" w:rsidR="000C5497" w:rsidRPr="00073574" w:rsidRDefault="00043875" w:rsidP="00372280">
            <w:pPr>
              <w:numPr>
                <w:ilvl w:val="1"/>
                <w:numId w:val="37"/>
              </w:numPr>
              <w:ind w:hanging="357"/>
              <w:rPr>
                <w:rFonts w:asciiTheme="majorBidi" w:hAnsiTheme="majorBidi" w:cstheme="majorBidi"/>
              </w:rPr>
            </w:pPr>
            <w:r w:rsidRPr="00073574">
              <w:rPr>
                <w:rFonts w:asciiTheme="majorBidi" w:hAnsiTheme="majorBidi" w:cstheme="majorBidi"/>
              </w:rPr>
              <w:t xml:space="preserve">ITU-T Y.3076 </w:t>
            </w:r>
            <w:r w:rsidR="000C5497" w:rsidRPr="00073574">
              <w:rPr>
                <w:rFonts w:asciiTheme="majorBidi" w:hAnsiTheme="majorBidi" w:cstheme="majorBidi"/>
              </w:rPr>
              <w:t>”</w:t>
            </w:r>
            <w:r w:rsidR="00755999" w:rsidRPr="00073574">
              <w:rPr>
                <w:rFonts w:asciiTheme="majorBidi" w:hAnsiTheme="majorBidi" w:cstheme="majorBidi"/>
              </w:rPr>
              <w:t>Architecture of ICN-enabled edge network in IMT-2020</w:t>
            </w:r>
            <w:r w:rsidR="000C5497" w:rsidRPr="00073574">
              <w:rPr>
                <w:rFonts w:asciiTheme="majorBidi" w:hAnsiTheme="majorBidi" w:cstheme="majorBidi"/>
              </w:rPr>
              <w:t>”</w:t>
            </w:r>
          </w:p>
          <w:p w14:paraId="6C10D89C" w14:textId="7D48010A" w:rsidR="000D4703" w:rsidRPr="00073574" w:rsidRDefault="000D4703" w:rsidP="00372280">
            <w:pPr>
              <w:numPr>
                <w:ilvl w:val="1"/>
                <w:numId w:val="37"/>
              </w:numPr>
              <w:ind w:hanging="357"/>
              <w:rPr>
                <w:rFonts w:asciiTheme="majorBidi" w:hAnsiTheme="majorBidi" w:cstheme="majorBidi"/>
              </w:rPr>
            </w:pPr>
            <w:r w:rsidRPr="00073574">
              <w:rPr>
                <w:rFonts w:asciiTheme="majorBidi" w:hAnsiTheme="majorBidi" w:cstheme="majorBidi"/>
              </w:rPr>
              <w:t>ITU-T Y.3077 “</w:t>
            </w:r>
            <w:r w:rsidR="00755999" w:rsidRPr="00073574">
              <w:rPr>
                <w:rFonts w:asciiTheme="majorBidi" w:hAnsiTheme="majorBidi" w:cstheme="majorBidi"/>
              </w:rPr>
              <w:t>Framework for interworking of heterogeneous application domain connected objects through information-centric networking in IMT-2020</w:t>
            </w:r>
            <w:r w:rsidRPr="00073574">
              <w:rPr>
                <w:rFonts w:asciiTheme="majorBidi" w:hAnsiTheme="majorBidi" w:cstheme="majorBidi"/>
              </w:rPr>
              <w:t>”</w:t>
            </w:r>
          </w:p>
          <w:p w14:paraId="58CD3FF7" w14:textId="72513CF0" w:rsidR="0068418B" w:rsidRPr="00073574" w:rsidRDefault="0068418B" w:rsidP="00372280">
            <w:pPr>
              <w:numPr>
                <w:ilvl w:val="1"/>
                <w:numId w:val="37"/>
              </w:numPr>
              <w:ind w:hanging="357"/>
              <w:rPr>
                <w:rFonts w:asciiTheme="majorBidi" w:hAnsiTheme="majorBidi" w:cstheme="majorBidi"/>
              </w:rPr>
            </w:pPr>
            <w:r w:rsidRPr="00073574">
              <w:rPr>
                <w:rFonts w:asciiTheme="majorBidi" w:hAnsiTheme="majorBidi" w:cstheme="majorBidi"/>
              </w:rPr>
              <w:t>ITU</w:t>
            </w:r>
            <w:r w:rsidR="00DE492F" w:rsidRPr="00073574">
              <w:rPr>
                <w:rFonts w:asciiTheme="majorBidi" w:hAnsiTheme="majorBidi" w:cstheme="majorBidi"/>
              </w:rPr>
              <w:t>-T</w:t>
            </w:r>
            <w:r w:rsidRPr="00073574">
              <w:rPr>
                <w:rFonts w:asciiTheme="majorBidi" w:hAnsiTheme="majorBidi" w:cstheme="majorBidi"/>
              </w:rPr>
              <w:t xml:space="preserve"> Y.3111 "IMT-2020 network management framework" establishes a framework and related principles for the design of 5G network management.</w:t>
            </w:r>
          </w:p>
          <w:p w14:paraId="7C866053" w14:textId="3F86E65E" w:rsidR="00F0236A" w:rsidRPr="00073574" w:rsidRDefault="00F0236A" w:rsidP="00372280">
            <w:pPr>
              <w:numPr>
                <w:ilvl w:val="1"/>
                <w:numId w:val="37"/>
              </w:numPr>
              <w:ind w:hanging="357"/>
              <w:rPr>
                <w:rFonts w:asciiTheme="majorBidi" w:hAnsiTheme="majorBidi" w:cstheme="majorBidi"/>
              </w:rPr>
            </w:pPr>
            <w:r w:rsidRPr="00073574">
              <w:rPr>
                <w:rFonts w:asciiTheme="majorBidi" w:hAnsiTheme="majorBidi" w:cstheme="majorBidi"/>
              </w:rPr>
              <w:t>ITU</w:t>
            </w:r>
            <w:r w:rsidR="00DE492F" w:rsidRPr="00073574">
              <w:rPr>
                <w:rFonts w:asciiTheme="majorBidi" w:hAnsiTheme="majorBidi" w:cstheme="majorBidi"/>
              </w:rPr>
              <w:t>-T</w:t>
            </w:r>
            <w:r w:rsidRPr="00073574">
              <w:rPr>
                <w:rFonts w:asciiTheme="majorBidi" w:hAnsiTheme="majorBidi" w:cstheme="majorBidi"/>
              </w:rPr>
              <w:t xml:space="preserve"> Y.311</w:t>
            </w:r>
            <w:r w:rsidR="00C058B6" w:rsidRPr="00073574">
              <w:rPr>
                <w:rFonts w:asciiTheme="majorBidi" w:hAnsiTheme="majorBidi" w:cstheme="majorBidi"/>
              </w:rPr>
              <w:t>2</w:t>
            </w:r>
            <w:r w:rsidRPr="00073574">
              <w:rPr>
                <w:rFonts w:asciiTheme="majorBidi" w:hAnsiTheme="majorBidi" w:cstheme="majorBidi"/>
              </w:rPr>
              <w:t xml:space="preserve"> </w:t>
            </w:r>
            <w:r w:rsidR="003C7E25" w:rsidRPr="00073574">
              <w:rPr>
                <w:rFonts w:asciiTheme="majorBidi" w:hAnsiTheme="majorBidi" w:cstheme="majorBidi"/>
              </w:rPr>
              <w:t>"</w:t>
            </w:r>
            <w:r w:rsidR="00C058B6" w:rsidRPr="00073574">
              <w:rPr>
                <w:rFonts w:asciiTheme="majorBidi" w:hAnsiTheme="majorBidi" w:cstheme="majorBidi"/>
              </w:rPr>
              <w:t>F</w:t>
            </w:r>
            <w:r w:rsidRPr="00073574">
              <w:rPr>
                <w:rFonts w:asciiTheme="majorBidi" w:hAnsiTheme="majorBidi" w:cstheme="majorBidi"/>
              </w:rPr>
              <w:t>ramework</w:t>
            </w:r>
            <w:r w:rsidR="00C058B6" w:rsidRPr="00073574">
              <w:rPr>
                <w:rFonts w:asciiTheme="majorBidi" w:hAnsiTheme="majorBidi" w:cstheme="majorBidi"/>
              </w:rPr>
              <w:t xml:space="preserve"> for the support of Multiple Network Slicing</w:t>
            </w:r>
            <w:r w:rsidR="003C7E25" w:rsidRPr="00073574">
              <w:rPr>
                <w:rFonts w:asciiTheme="majorBidi" w:hAnsiTheme="majorBidi" w:cstheme="majorBidi"/>
              </w:rPr>
              <w:t>"</w:t>
            </w:r>
            <w:r w:rsidRPr="00073574">
              <w:rPr>
                <w:rFonts w:asciiTheme="majorBidi" w:hAnsiTheme="majorBidi" w:cstheme="majorBidi"/>
              </w:rPr>
              <w:t>.</w:t>
            </w:r>
          </w:p>
          <w:p w14:paraId="5DDF7F2E" w14:textId="77777777" w:rsidR="0068418B" w:rsidRPr="00073574" w:rsidRDefault="0068418B" w:rsidP="00372280">
            <w:pPr>
              <w:numPr>
                <w:ilvl w:val="1"/>
                <w:numId w:val="37"/>
              </w:numPr>
              <w:ind w:hanging="357"/>
              <w:rPr>
                <w:rFonts w:asciiTheme="majorBidi" w:hAnsiTheme="majorBidi" w:cstheme="majorBidi"/>
              </w:rPr>
            </w:pPr>
            <w:r w:rsidRPr="00073574">
              <w:rPr>
                <w:rFonts w:asciiTheme="majorBidi" w:hAnsiTheme="majorBidi" w:cstheme="majorBidi"/>
              </w:rPr>
              <w:t>ITU-T Y.3310 "IMT-2020 network management requirements" describes the capabilities required to support emerging 5G services and applications.</w:t>
            </w:r>
          </w:p>
          <w:p w14:paraId="45A46191" w14:textId="1377ACEF" w:rsidR="0068418B" w:rsidRPr="00073574" w:rsidRDefault="0068418B" w:rsidP="00372280">
            <w:pPr>
              <w:numPr>
                <w:ilvl w:val="1"/>
                <w:numId w:val="37"/>
              </w:numPr>
              <w:ind w:hanging="357"/>
              <w:rPr>
                <w:rFonts w:asciiTheme="majorBidi" w:hAnsiTheme="majorBidi" w:cstheme="majorBidi"/>
              </w:rPr>
            </w:pPr>
            <w:r w:rsidRPr="00073574">
              <w:rPr>
                <w:rFonts w:asciiTheme="majorBidi" w:hAnsiTheme="majorBidi" w:cstheme="majorBidi"/>
              </w:rPr>
              <w:t>ITU-T Y.3130 “Requirements of IMT-2020 fixed mobile convergence” was approved early 2018.</w:t>
            </w:r>
          </w:p>
          <w:p w14:paraId="263C2FE4" w14:textId="2D30FB62" w:rsidR="00F31A41" w:rsidRPr="00073574" w:rsidRDefault="00F31A41" w:rsidP="00372280">
            <w:pPr>
              <w:numPr>
                <w:ilvl w:val="1"/>
                <w:numId w:val="37"/>
              </w:numPr>
              <w:ind w:hanging="357"/>
              <w:rPr>
                <w:rFonts w:asciiTheme="majorBidi" w:hAnsiTheme="majorBidi" w:cstheme="majorBidi"/>
              </w:rPr>
            </w:pPr>
            <w:r w:rsidRPr="00073574">
              <w:rPr>
                <w:rFonts w:asciiTheme="majorBidi" w:hAnsiTheme="majorBidi" w:cstheme="majorBidi"/>
              </w:rPr>
              <w:t>ITU-T Y.3131 "Functional architecture for supporting fixed mobile convergence in IMT-2020 networks".</w:t>
            </w:r>
          </w:p>
          <w:p w14:paraId="6E060036" w14:textId="0A7A7632" w:rsidR="00F31A41" w:rsidRPr="00073574" w:rsidRDefault="00F31A41" w:rsidP="00372280">
            <w:pPr>
              <w:numPr>
                <w:ilvl w:val="1"/>
                <w:numId w:val="37"/>
              </w:numPr>
              <w:ind w:hanging="357"/>
              <w:rPr>
                <w:rFonts w:asciiTheme="majorBidi" w:hAnsiTheme="majorBidi" w:cstheme="majorBidi"/>
              </w:rPr>
            </w:pPr>
            <w:r w:rsidRPr="00073574">
              <w:rPr>
                <w:rFonts w:asciiTheme="majorBidi" w:hAnsiTheme="majorBidi" w:cstheme="majorBidi"/>
              </w:rPr>
              <w:t>ITU-T Y.3132 "Mobility management for fixed mobile convergence in IMT-2020 networks".</w:t>
            </w:r>
          </w:p>
          <w:p w14:paraId="290A1BBC" w14:textId="51691B9B" w:rsidR="00A37C4C" w:rsidRPr="00073574" w:rsidRDefault="00A37C4C" w:rsidP="00372280">
            <w:pPr>
              <w:numPr>
                <w:ilvl w:val="1"/>
                <w:numId w:val="37"/>
              </w:numPr>
              <w:ind w:hanging="357"/>
              <w:rPr>
                <w:rFonts w:asciiTheme="majorBidi" w:hAnsiTheme="majorBidi" w:cstheme="majorBidi"/>
              </w:rPr>
            </w:pPr>
            <w:r w:rsidRPr="00073574">
              <w:rPr>
                <w:rFonts w:asciiTheme="majorBidi" w:hAnsiTheme="majorBidi" w:cstheme="majorBidi"/>
              </w:rPr>
              <w:t>ITU-T Y.3134 “</w:t>
            </w:r>
            <w:r w:rsidR="00433243" w:rsidRPr="00073574">
              <w:rPr>
                <w:rFonts w:asciiTheme="majorBidi" w:hAnsiTheme="majorBidi" w:cstheme="majorBidi"/>
              </w:rPr>
              <w:t>IMT-2020 fixed mobile convergence functional requirements for management and orchestration</w:t>
            </w:r>
            <w:r w:rsidRPr="00073574">
              <w:rPr>
                <w:rFonts w:asciiTheme="majorBidi" w:hAnsiTheme="majorBidi" w:cstheme="majorBidi"/>
              </w:rPr>
              <w:t>”</w:t>
            </w:r>
          </w:p>
          <w:p w14:paraId="230327D6" w14:textId="32637352" w:rsidR="00B166DD" w:rsidRPr="00073574" w:rsidRDefault="00B166DD" w:rsidP="00372280">
            <w:pPr>
              <w:numPr>
                <w:ilvl w:val="1"/>
                <w:numId w:val="37"/>
              </w:numPr>
              <w:ind w:hanging="357"/>
              <w:rPr>
                <w:rFonts w:asciiTheme="majorBidi" w:hAnsiTheme="majorBidi" w:cstheme="majorBidi"/>
              </w:rPr>
            </w:pPr>
            <w:r w:rsidRPr="00073574">
              <w:rPr>
                <w:rFonts w:asciiTheme="majorBidi" w:hAnsiTheme="majorBidi" w:cstheme="majorBidi"/>
              </w:rPr>
              <w:t>ITU-T Y.3135 “</w:t>
            </w:r>
            <w:r w:rsidR="00433243" w:rsidRPr="00073574">
              <w:rPr>
                <w:rFonts w:asciiTheme="majorBidi" w:hAnsiTheme="majorBidi" w:cstheme="majorBidi"/>
              </w:rPr>
              <w:t>Service scheduling to support fixed-mobile convergence in the IMT 2020 network</w:t>
            </w:r>
            <w:r w:rsidRPr="00073574">
              <w:rPr>
                <w:rFonts w:asciiTheme="majorBidi" w:hAnsiTheme="majorBidi" w:cstheme="majorBidi"/>
              </w:rPr>
              <w:t>”</w:t>
            </w:r>
          </w:p>
          <w:p w14:paraId="48D1701A" w14:textId="1BA6804E" w:rsidR="00A37C4C" w:rsidRPr="00073574" w:rsidRDefault="00A37C4C" w:rsidP="00372280">
            <w:pPr>
              <w:numPr>
                <w:ilvl w:val="1"/>
                <w:numId w:val="37"/>
              </w:numPr>
              <w:ind w:hanging="357"/>
              <w:rPr>
                <w:rFonts w:asciiTheme="majorBidi" w:hAnsiTheme="majorBidi" w:cstheme="majorBidi"/>
              </w:rPr>
            </w:pPr>
            <w:r w:rsidRPr="00073574">
              <w:rPr>
                <w:rFonts w:asciiTheme="majorBidi" w:hAnsiTheme="majorBidi" w:cstheme="majorBidi"/>
              </w:rPr>
              <w:t>ITU-T Y.3136 “</w:t>
            </w:r>
            <w:r w:rsidR="00301616" w:rsidRPr="00073574">
              <w:rPr>
                <w:rFonts w:asciiTheme="majorBidi" w:hAnsiTheme="majorBidi" w:cstheme="majorBidi"/>
              </w:rPr>
              <w:t>Session management for fixed mobile convergence in IMT-2020 networks</w:t>
            </w:r>
            <w:r w:rsidRPr="00073574">
              <w:rPr>
                <w:rFonts w:asciiTheme="majorBidi" w:hAnsiTheme="majorBidi" w:cstheme="majorBidi"/>
              </w:rPr>
              <w:t>”</w:t>
            </w:r>
          </w:p>
          <w:p w14:paraId="5DB7AA44" w14:textId="3063AAFE" w:rsidR="000C5497" w:rsidRPr="00073574" w:rsidRDefault="000C5497" w:rsidP="00372280">
            <w:pPr>
              <w:numPr>
                <w:ilvl w:val="1"/>
                <w:numId w:val="37"/>
              </w:numPr>
              <w:ind w:hanging="357"/>
              <w:rPr>
                <w:rFonts w:asciiTheme="majorBidi" w:hAnsiTheme="majorBidi" w:cstheme="majorBidi"/>
              </w:rPr>
            </w:pPr>
            <w:r w:rsidRPr="00073574">
              <w:rPr>
                <w:rFonts w:asciiTheme="majorBidi" w:hAnsiTheme="majorBidi" w:cstheme="majorBidi"/>
              </w:rPr>
              <w:t>ITU-T Y.3150 “</w:t>
            </w:r>
            <w:r w:rsidR="00301616" w:rsidRPr="00073574">
              <w:rPr>
                <w:rFonts w:asciiTheme="majorBidi" w:hAnsiTheme="majorBidi" w:cstheme="majorBidi"/>
              </w:rPr>
              <w:t>High-level technical characteristics of network softwarization for IMT-2020</w:t>
            </w:r>
            <w:r w:rsidRPr="00073574">
              <w:rPr>
                <w:rFonts w:asciiTheme="majorBidi" w:hAnsiTheme="majorBidi" w:cstheme="majorBidi"/>
              </w:rPr>
              <w:t>”</w:t>
            </w:r>
          </w:p>
          <w:p w14:paraId="26D7D9D5" w14:textId="1C78CD62" w:rsidR="00127DE1" w:rsidRPr="00073574" w:rsidRDefault="00E875F2" w:rsidP="00372280">
            <w:pPr>
              <w:numPr>
                <w:ilvl w:val="1"/>
                <w:numId w:val="37"/>
              </w:numPr>
              <w:ind w:hanging="357"/>
              <w:rPr>
                <w:rFonts w:asciiTheme="majorBidi" w:hAnsiTheme="majorBidi" w:cstheme="majorBidi"/>
              </w:rPr>
            </w:pPr>
            <w:r w:rsidRPr="00073574">
              <w:rPr>
                <w:rFonts w:asciiTheme="majorBidi" w:hAnsiTheme="majorBidi" w:cstheme="majorBidi"/>
              </w:rPr>
              <w:t>ITU-T Y.3155 “</w:t>
            </w:r>
            <w:r w:rsidR="00A8762A" w:rsidRPr="00073574">
              <w:rPr>
                <w:rFonts w:asciiTheme="majorBidi" w:hAnsiTheme="majorBidi" w:cstheme="majorBidi"/>
              </w:rPr>
              <w:t>Enhanced software-defined networking data plane for IMT-2020</w:t>
            </w:r>
            <w:r w:rsidRPr="00073574">
              <w:rPr>
                <w:rFonts w:asciiTheme="majorBidi" w:hAnsiTheme="majorBidi" w:cstheme="majorBidi"/>
              </w:rPr>
              <w:t>”</w:t>
            </w:r>
          </w:p>
          <w:p w14:paraId="686DEA62" w14:textId="24D9D696" w:rsidR="00E875F2" w:rsidRPr="00073574" w:rsidRDefault="00E875F2" w:rsidP="00372280">
            <w:pPr>
              <w:numPr>
                <w:ilvl w:val="1"/>
                <w:numId w:val="37"/>
              </w:numPr>
              <w:ind w:hanging="357"/>
              <w:rPr>
                <w:rFonts w:asciiTheme="majorBidi" w:hAnsiTheme="majorBidi" w:cstheme="majorBidi"/>
              </w:rPr>
            </w:pPr>
            <w:r w:rsidRPr="00073574">
              <w:rPr>
                <w:rFonts w:asciiTheme="majorBidi" w:hAnsiTheme="majorBidi" w:cstheme="majorBidi"/>
              </w:rPr>
              <w:t>ITU-T Y.3156 “</w:t>
            </w:r>
            <w:r w:rsidR="00A8762A" w:rsidRPr="00073574">
              <w:rPr>
                <w:rFonts w:asciiTheme="majorBidi" w:hAnsiTheme="majorBidi" w:cstheme="majorBidi"/>
              </w:rPr>
              <w:t>Framework of network slicing with AI-assisted analysis in IMT-2020 networks</w:t>
            </w:r>
            <w:r w:rsidRPr="00073574">
              <w:rPr>
                <w:rFonts w:asciiTheme="majorBidi" w:hAnsiTheme="majorBidi" w:cstheme="majorBidi"/>
              </w:rPr>
              <w:t>”</w:t>
            </w:r>
          </w:p>
          <w:p w14:paraId="3B319C8F" w14:textId="564B299C" w:rsidR="001D2334" w:rsidRPr="00073574" w:rsidRDefault="001D2334" w:rsidP="00372280">
            <w:pPr>
              <w:numPr>
                <w:ilvl w:val="1"/>
                <w:numId w:val="37"/>
              </w:numPr>
              <w:ind w:hanging="357"/>
              <w:rPr>
                <w:rFonts w:asciiTheme="majorBidi" w:hAnsiTheme="majorBidi" w:cstheme="majorBidi"/>
              </w:rPr>
            </w:pPr>
            <w:r w:rsidRPr="00073574">
              <w:rPr>
                <w:rFonts w:asciiTheme="majorBidi" w:hAnsiTheme="majorBidi" w:cstheme="majorBidi"/>
              </w:rPr>
              <w:t>ITU-Y Y.3157 “</w:t>
            </w:r>
            <w:r w:rsidR="0051793C" w:rsidRPr="00073574">
              <w:rPr>
                <w:rFonts w:asciiTheme="majorBidi" w:hAnsiTheme="majorBidi" w:cstheme="majorBidi"/>
              </w:rPr>
              <w:t>IMT-2020 network slice configuration</w:t>
            </w:r>
            <w:r w:rsidRPr="00073574">
              <w:rPr>
                <w:rFonts w:asciiTheme="majorBidi" w:hAnsiTheme="majorBidi" w:cstheme="majorBidi"/>
              </w:rPr>
              <w:t>”</w:t>
            </w:r>
          </w:p>
          <w:p w14:paraId="04FCB1F6" w14:textId="7EA22D10" w:rsidR="00100B4C" w:rsidRPr="00073574" w:rsidRDefault="00BD5264" w:rsidP="00372280">
            <w:pPr>
              <w:numPr>
                <w:ilvl w:val="1"/>
                <w:numId w:val="37"/>
              </w:numPr>
              <w:ind w:hanging="357"/>
              <w:rPr>
                <w:rFonts w:asciiTheme="majorBidi" w:hAnsiTheme="majorBidi" w:cstheme="majorBidi"/>
              </w:rPr>
            </w:pPr>
            <w:r w:rsidRPr="00073574">
              <w:rPr>
                <w:rFonts w:asciiTheme="majorBidi" w:hAnsiTheme="majorBidi" w:cstheme="majorBidi"/>
              </w:rPr>
              <w:t xml:space="preserve">ITU-T </w:t>
            </w:r>
            <w:r w:rsidR="00100B4C" w:rsidRPr="00073574">
              <w:rPr>
                <w:rFonts w:asciiTheme="majorBidi" w:hAnsiTheme="majorBidi" w:cstheme="majorBidi"/>
              </w:rPr>
              <w:t>Y.31</w:t>
            </w:r>
            <w:r w:rsidR="00C058B6" w:rsidRPr="00073574">
              <w:rPr>
                <w:rFonts w:asciiTheme="majorBidi" w:hAnsiTheme="majorBidi" w:cstheme="majorBidi"/>
              </w:rPr>
              <w:t>7</w:t>
            </w:r>
            <w:r w:rsidR="00100B4C" w:rsidRPr="00073574">
              <w:rPr>
                <w:rFonts w:asciiTheme="majorBidi" w:hAnsiTheme="majorBidi" w:cstheme="majorBidi"/>
              </w:rPr>
              <w:t>0 “</w:t>
            </w:r>
            <w:r w:rsidR="00C058B6" w:rsidRPr="00073574">
              <w:rPr>
                <w:rFonts w:asciiTheme="majorBidi" w:hAnsiTheme="majorBidi" w:cstheme="majorBidi"/>
              </w:rPr>
              <w:t>Requirements of machine learning based QoS assurance for IMT-2020 network</w:t>
            </w:r>
            <w:r w:rsidR="00100B4C" w:rsidRPr="00073574">
              <w:rPr>
                <w:rFonts w:asciiTheme="majorBidi" w:hAnsiTheme="majorBidi" w:cstheme="majorBidi"/>
              </w:rPr>
              <w:t>”.</w:t>
            </w:r>
          </w:p>
          <w:p w14:paraId="2EA7AEC2" w14:textId="056457F3" w:rsidR="00FA058A" w:rsidRPr="00073574" w:rsidRDefault="00FA058A" w:rsidP="00372280">
            <w:pPr>
              <w:numPr>
                <w:ilvl w:val="1"/>
                <w:numId w:val="37"/>
              </w:numPr>
              <w:ind w:hanging="357"/>
              <w:rPr>
                <w:rFonts w:asciiTheme="majorBidi" w:hAnsiTheme="majorBidi" w:cstheme="majorBidi"/>
              </w:rPr>
            </w:pPr>
            <w:r w:rsidRPr="00073574">
              <w:rPr>
                <w:rFonts w:asciiTheme="majorBidi" w:hAnsiTheme="majorBidi" w:cstheme="majorBidi"/>
              </w:rPr>
              <w:t>ITU-T Y.3172 “Architectural framework for machine learning in future networks including IMT-2020”</w:t>
            </w:r>
            <w:r w:rsidR="007F1967" w:rsidRPr="00073574">
              <w:rPr>
                <w:rFonts w:asciiTheme="majorBidi" w:hAnsiTheme="majorBidi" w:cstheme="majorBidi"/>
              </w:rPr>
              <w:t>.</w:t>
            </w:r>
          </w:p>
          <w:p w14:paraId="38744072" w14:textId="20A03CB2" w:rsidR="00453220" w:rsidRPr="00073574" w:rsidRDefault="00453220" w:rsidP="00372280">
            <w:pPr>
              <w:numPr>
                <w:ilvl w:val="1"/>
                <w:numId w:val="37"/>
              </w:numPr>
              <w:ind w:hanging="357"/>
              <w:rPr>
                <w:rFonts w:asciiTheme="majorBidi" w:hAnsiTheme="majorBidi" w:cstheme="majorBidi"/>
              </w:rPr>
            </w:pPr>
            <w:r w:rsidRPr="00073574">
              <w:rPr>
                <w:rFonts w:asciiTheme="majorBidi" w:hAnsiTheme="majorBidi" w:cstheme="majorBidi"/>
              </w:rPr>
              <w:t>ITU-T Y.317</w:t>
            </w:r>
            <w:r w:rsidR="00127DE1" w:rsidRPr="00073574">
              <w:rPr>
                <w:rFonts w:asciiTheme="majorBidi" w:hAnsiTheme="majorBidi" w:cstheme="majorBidi"/>
              </w:rPr>
              <w:t>6 “</w:t>
            </w:r>
            <w:r w:rsidR="0051793C" w:rsidRPr="00073574">
              <w:rPr>
                <w:rFonts w:asciiTheme="majorBidi" w:hAnsiTheme="majorBidi" w:cstheme="majorBidi"/>
              </w:rPr>
              <w:t>M</w:t>
            </w:r>
            <w:r w:rsidR="002F09C5" w:rsidRPr="00073574">
              <w:rPr>
                <w:rFonts w:asciiTheme="majorBidi" w:hAnsiTheme="majorBidi" w:cstheme="majorBidi"/>
              </w:rPr>
              <w:t>achine learning marketplace integration in future networks including IMT-2020</w:t>
            </w:r>
            <w:r w:rsidR="00127DE1" w:rsidRPr="00073574">
              <w:rPr>
                <w:rFonts w:asciiTheme="majorBidi" w:hAnsiTheme="majorBidi" w:cstheme="majorBidi"/>
              </w:rPr>
              <w:t>”</w:t>
            </w:r>
          </w:p>
          <w:p w14:paraId="2AA12346" w14:textId="404F6AE5" w:rsidR="00B66FA7" w:rsidRPr="00073574" w:rsidRDefault="00B66FA7" w:rsidP="00372280">
            <w:pPr>
              <w:numPr>
                <w:ilvl w:val="1"/>
                <w:numId w:val="37"/>
              </w:numPr>
              <w:ind w:hanging="357"/>
              <w:rPr>
                <w:rFonts w:asciiTheme="majorBidi" w:hAnsiTheme="majorBidi" w:cstheme="majorBidi"/>
              </w:rPr>
            </w:pPr>
            <w:r w:rsidRPr="00073574">
              <w:rPr>
                <w:rFonts w:asciiTheme="majorBidi" w:hAnsiTheme="majorBidi" w:cstheme="majorBidi"/>
              </w:rPr>
              <w:t>ITU-T Y.3177 “</w:t>
            </w:r>
            <w:r w:rsidR="002F09C5" w:rsidRPr="00073574">
              <w:rPr>
                <w:rFonts w:asciiTheme="majorBidi" w:hAnsiTheme="majorBidi" w:cstheme="majorBidi"/>
              </w:rPr>
              <w:t>Architectural framework for artificial intelligence-based network automation for resource and fault management in future networks including IMT-2020</w:t>
            </w:r>
            <w:r w:rsidRPr="00073574">
              <w:rPr>
                <w:rFonts w:asciiTheme="majorBidi" w:hAnsiTheme="majorBidi" w:cstheme="majorBidi"/>
              </w:rPr>
              <w:t>”</w:t>
            </w:r>
          </w:p>
          <w:p w14:paraId="6C73CE87" w14:textId="7C93CBF2" w:rsidR="00B166DD" w:rsidRPr="00073574" w:rsidRDefault="00B166DD" w:rsidP="00372280">
            <w:pPr>
              <w:numPr>
                <w:ilvl w:val="1"/>
                <w:numId w:val="37"/>
              </w:numPr>
              <w:ind w:hanging="357"/>
              <w:rPr>
                <w:rFonts w:asciiTheme="majorBidi" w:hAnsiTheme="majorBidi" w:cstheme="majorBidi"/>
              </w:rPr>
            </w:pPr>
            <w:r w:rsidRPr="00073574">
              <w:rPr>
                <w:rFonts w:asciiTheme="majorBidi" w:hAnsiTheme="majorBidi" w:cstheme="majorBidi"/>
              </w:rPr>
              <w:t>ITU-T Y.31</w:t>
            </w:r>
            <w:r w:rsidR="006D105B" w:rsidRPr="00073574">
              <w:rPr>
                <w:rFonts w:asciiTheme="majorBidi" w:hAnsiTheme="majorBidi" w:cstheme="majorBidi"/>
              </w:rPr>
              <w:t>78 “</w:t>
            </w:r>
            <w:r w:rsidR="002F09C5" w:rsidRPr="00073574">
              <w:rPr>
                <w:rFonts w:asciiTheme="majorBidi" w:hAnsiTheme="majorBidi" w:cstheme="majorBidi"/>
              </w:rPr>
              <w:t>Functional framework of AI-based network service provisioning in future networks including IMT-2020</w:t>
            </w:r>
            <w:r w:rsidR="006D105B" w:rsidRPr="00073574">
              <w:rPr>
                <w:rFonts w:asciiTheme="majorBidi" w:hAnsiTheme="majorBidi" w:cstheme="majorBidi"/>
              </w:rPr>
              <w:t>”</w:t>
            </w:r>
          </w:p>
          <w:p w14:paraId="7CDF719F" w14:textId="3D7CF272" w:rsidR="006D105B" w:rsidRPr="00073574" w:rsidRDefault="006D105B" w:rsidP="00372280">
            <w:pPr>
              <w:numPr>
                <w:ilvl w:val="1"/>
                <w:numId w:val="37"/>
              </w:numPr>
              <w:ind w:hanging="357"/>
              <w:rPr>
                <w:rFonts w:asciiTheme="majorBidi" w:hAnsiTheme="majorBidi" w:cstheme="majorBidi"/>
              </w:rPr>
            </w:pPr>
            <w:r w:rsidRPr="00073574">
              <w:rPr>
                <w:rFonts w:asciiTheme="majorBidi" w:hAnsiTheme="majorBidi" w:cstheme="majorBidi"/>
              </w:rPr>
              <w:lastRenderedPageBreak/>
              <w:t>ITU-T Y.3179 “</w:t>
            </w:r>
            <w:r w:rsidR="00A21944" w:rsidRPr="00073574">
              <w:rPr>
                <w:rFonts w:asciiTheme="majorBidi" w:hAnsiTheme="majorBidi" w:cstheme="majorBidi"/>
              </w:rPr>
              <w:t>Architectural framework for machine learning model serving in future networks including IMT-2020</w:t>
            </w:r>
            <w:r w:rsidRPr="00073574">
              <w:rPr>
                <w:rFonts w:asciiTheme="majorBidi" w:hAnsiTheme="majorBidi" w:cstheme="majorBidi"/>
              </w:rPr>
              <w:t>”</w:t>
            </w:r>
          </w:p>
          <w:p w14:paraId="0FADBED0" w14:textId="0973B407" w:rsidR="00FA058A" w:rsidRPr="00073574" w:rsidRDefault="00FA058A" w:rsidP="00372280">
            <w:pPr>
              <w:numPr>
                <w:ilvl w:val="1"/>
                <w:numId w:val="37"/>
              </w:numPr>
              <w:ind w:hanging="357"/>
              <w:rPr>
                <w:rFonts w:asciiTheme="majorBidi" w:hAnsiTheme="majorBidi" w:cstheme="majorBidi"/>
              </w:rPr>
            </w:pPr>
            <w:r w:rsidRPr="00073574">
              <w:rPr>
                <w:rFonts w:asciiTheme="majorBidi" w:hAnsiTheme="majorBidi" w:cstheme="majorBidi"/>
              </w:rPr>
              <w:t>ITU-T Y.3324 “Requirements and architectural framework for autonomic management and control of IMT-2020 networks”</w:t>
            </w:r>
            <w:r w:rsidR="007F1967" w:rsidRPr="00073574">
              <w:rPr>
                <w:rFonts w:asciiTheme="majorBidi" w:hAnsiTheme="majorBidi" w:cstheme="majorBidi"/>
              </w:rPr>
              <w:t>.</w:t>
            </w:r>
          </w:p>
          <w:p w14:paraId="65FF0A18" w14:textId="45250BBA" w:rsidR="00AE6C43" w:rsidRPr="00073574" w:rsidRDefault="00AE6C43" w:rsidP="00E0167E">
            <w:pPr>
              <w:pStyle w:val="NormalWeb"/>
              <w:spacing w:before="120" w:after="0"/>
              <w:ind w:left="363"/>
              <w:rPr>
                <w:rFonts w:asciiTheme="majorBidi" w:eastAsiaTheme="minorEastAsia" w:hAnsiTheme="majorBidi" w:cstheme="majorBidi"/>
                <w:sz w:val="22"/>
                <w:lang w:val="en-GB" w:eastAsia="ja-JP"/>
              </w:rPr>
            </w:pPr>
            <w:r w:rsidRPr="00073574">
              <w:rPr>
                <w:rFonts w:asciiTheme="majorBidi" w:eastAsiaTheme="minorEastAsia" w:hAnsiTheme="majorBidi" w:cstheme="majorBidi"/>
                <w:sz w:val="22"/>
                <w:lang w:val="en-GB" w:eastAsia="ja-JP"/>
              </w:rPr>
              <w:t>SG13 approved a new 'Supplement' to Y-series ITU standards, a supplement which provides an overview of "standardization and open-source activities related to network softwarization of 5G".</w:t>
            </w:r>
          </w:p>
          <w:p w14:paraId="50FB2B9A" w14:textId="13009402" w:rsidR="00F0236A" w:rsidRPr="00073574" w:rsidRDefault="00F0236A" w:rsidP="00E0167E">
            <w:pPr>
              <w:pStyle w:val="NormalWeb"/>
              <w:spacing w:before="120" w:after="0"/>
              <w:ind w:left="363"/>
              <w:rPr>
                <w:rFonts w:asciiTheme="majorBidi" w:eastAsiaTheme="minorEastAsia" w:hAnsiTheme="majorBidi" w:cstheme="majorBidi"/>
                <w:sz w:val="22"/>
                <w:lang w:val="en-GB" w:eastAsia="ja-JP"/>
              </w:rPr>
            </w:pPr>
            <w:r w:rsidRPr="00073574">
              <w:rPr>
                <w:rFonts w:asciiTheme="majorBidi" w:eastAsiaTheme="minorEastAsia" w:hAnsiTheme="majorBidi" w:cstheme="majorBidi"/>
                <w:sz w:val="22"/>
                <w:lang w:val="en-GB" w:eastAsia="ja-JP"/>
              </w:rPr>
              <w:t xml:space="preserve">SG13 in addition approved a </w:t>
            </w:r>
            <w:r w:rsidR="00E0167E" w:rsidRPr="00073574">
              <w:rPr>
                <w:rFonts w:asciiTheme="majorBidi" w:eastAsiaTheme="minorEastAsia" w:hAnsiTheme="majorBidi" w:cstheme="majorBidi"/>
                <w:sz w:val="22"/>
                <w:lang w:val="en-GB" w:eastAsia="ja-JP"/>
              </w:rPr>
              <w:t xml:space="preserve">two </w:t>
            </w:r>
            <w:r w:rsidRPr="00073574">
              <w:rPr>
                <w:rFonts w:asciiTheme="majorBidi" w:eastAsiaTheme="minorEastAsia" w:hAnsiTheme="majorBidi" w:cstheme="majorBidi"/>
                <w:sz w:val="22"/>
                <w:lang w:val="en-GB" w:eastAsia="ja-JP"/>
              </w:rPr>
              <w:t xml:space="preserve">new </w:t>
            </w:r>
            <w:r w:rsidR="003C7E25" w:rsidRPr="00073574">
              <w:rPr>
                <w:rFonts w:asciiTheme="majorBidi" w:eastAsiaTheme="minorEastAsia" w:hAnsiTheme="majorBidi" w:cstheme="majorBidi"/>
                <w:sz w:val="22"/>
                <w:lang w:val="en-GB" w:eastAsia="ja-JP"/>
              </w:rPr>
              <w:t>'</w:t>
            </w:r>
            <w:r w:rsidRPr="00073574">
              <w:rPr>
                <w:rFonts w:asciiTheme="majorBidi" w:eastAsiaTheme="minorEastAsia" w:hAnsiTheme="majorBidi" w:cstheme="majorBidi"/>
                <w:sz w:val="22"/>
                <w:lang w:val="en-GB" w:eastAsia="ja-JP"/>
              </w:rPr>
              <w:t>Supplement</w:t>
            </w:r>
            <w:r w:rsidR="00E0167E" w:rsidRPr="00073574">
              <w:rPr>
                <w:rFonts w:asciiTheme="majorBidi" w:eastAsiaTheme="minorEastAsia" w:hAnsiTheme="majorBidi" w:cstheme="majorBidi"/>
                <w:sz w:val="22"/>
                <w:lang w:val="en-GB" w:eastAsia="ja-JP"/>
              </w:rPr>
              <w:t>s</w:t>
            </w:r>
            <w:r w:rsidRPr="00073574">
              <w:rPr>
                <w:rFonts w:asciiTheme="majorBidi" w:eastAsiaTheme="minorEastAsia" w:hAnsiTheme="majorBidi" w:cstheme="majorBidi"/>
                <w:sz w:val="22"/>
                <w:lang w:val="en-GB" w:eastAsia="ja-JP"/>
              </w:rPr>
              <w:t xml:space="preserve"> to Y-series ITU standards, a supplement which provides an overview</w:t>
            </w:r>
            <w:r w:rsidR="00AE6C43" w:rsidRPr="00073574">
              <w:rPr>
                <w:rFonts w:asciiTheme="majorBidi" w:eastAsiaTheme="minorEastAsia" w:hAnsiTheme="majorBidi" w:cstheme="majorBidi"/>
                <w:sz w:val="22"/>
                <w:lang w:val="en-GB" w:eastAsia="ja-JP"/>
              </w:rPr>
              <w:t>, standardization gaps a</w:t>
            </w:r>
            <w:r w:rsidR="00E0167E" w:rsidRPr="00073574">
              <w:rPr>
                <w:rFonts w:asciiTheme="majorBidi" w:eastAsiaTheme="minorEastAsia" w:hAnsiTheme="majorBidi" w:cstheme="majorBidi"/>
                <w:sz w:val="22"/>
                <w:lang w:val="en-GB" w:eastAsia="ja-JP"/>
              </w:rPr>
              <w:t xml:space="preserve"> </w:t>
            </w:r>
            <w:r w:rsidR="00AE6C43" w:rsidRPr="00073574">
              <w:rPr>
                <w:rFonts w:asciiTheme="majorBidi" w:eastAsiaTheme="minorEastAsia" w:hAnsiTheme="majorBidi" w:cstheme="majorBidi"/>
                <w:sz w:val="22"/>
                <w:lang w:val="en-GB" w:eastAsia="ja-JP"/>
              </w:rPr>
              <w:t>Proof</w:t>
            </w:r>
            <w:r w:rsidR="00E0167E" w:rsidRPr="00073574">
              <w:rPr>
                <w:rFonts w:asciiTheme="majorBidi" w:eastAsiaTheme="minorEastAsia" w:hAnsiTheme="majorBidi" w:cstheme="majorBidi"/>
                <w:sz w:val="22"/>
                <w:lang w:val="en-GB" w:eastAsia="ja-JP"/>
              </w:rPr>
              <w:t>-of-</w:t>
            </w:r>
            <w:r w:rsidR="008C5DD0" w:rsidRPr="00073574">
              <w:rPr>
                <w:rFonts w:asciiTheme="majorBidi" w:eastAsiaTheme="minorEastAsia" w:hAnsiTheme="majorBidi" w:cstheme="majorBidi"/>
                <w:sz w:val="22"/>
                <w:lang w:val="en-GB" w:eastAsia="ja-JP"/>
              </w:rPr>
              <w:t>Concept</w:t>
            </w:r>
            <w:r w:rsidR="00E0167E" w:rsidRPr="00073574">
              <w:rPr>
                <w:rFonts w:asciiTheme="majorBidi" w:eastAsiaTheme="minorEastAsia" w:hAnsiTheme="majorBidi" w:cstheme="majorBidi"/>
                <w:sz w:val="22"/>
                <w:lang w:val="en-GB" w:eastAsia="ja-JP"/>
              </w:rPr>
              <w:t xml:space="preserve"> for Info</w:t>
            </w:r>
            <w:r w:rsidR="00AE6C43" w:rsidRPr="00073574">
              <w:rPr>
                <w:rFonts w:asciiTheme="majorBidi" w:eastAsiaTheme="minorEastAsia" w:hAnsiTheme="majorBidi" w:cstheme="majorBidi"/>
                <w:sz w:val="22"/>
                <w:lang w:val="en-GB" w:eastAsia="ja-JP"/>
              </w:rPr>
              <w:t>rmation</w:t>
            </w:r>
            <w:r w:rsidR="00E0167E" w:rsidRPr="00073574">
              <w:rPr>
                <w:rFonts w:asciiTheme="majorBidi" w:eastAsiaTheme="minorEastAsia" w:hAnsiTheme="majorBidi" w:cstheme="majorBidi"/>
                <w:sz w:val="22"/>
                <w:lang w:val="en-GB" w:eastAsia="ja-JP"/>
              </w:rPr>
              <w:t>-C</w:t>
            </w:r>
            <w:r w:rsidR="00AE6C43" w:rsidRPr="00073574">
              <w:rPr>
                <w:rFonts w:asciiTheme="majorBidi" w:eastAsiaTheme="minorEastAsia" w:hAnsiTheme="majorBidi" w:cstheme="majorBidi"/>
                <w:sz w:val="22"/>
                <w:lang w:val="en-GB" w:eastAsia="ja-JP"/>
              </w:rPr>
              <w:t>en</w:t>
            </w:r>
            <w:r w:rsidR="00E0167E" w:rsidRPr="00073574">
              <w:rPr>
                <w:rFonts w:asciiTheme="majorBidi" w:eastAsiaTheme="minorEastAsia" w:hAnsiTheme="majorBidi" w:cstheme="majorBidi"/>
                <w:sz w:val="22"/>
                <w:lang w:val="en-GB" w:eastAsia="ja-JP"/>
              </w:rPr>
              <w:t>tric Networking and PoC for Data service using INC in IMT-2020.</w:t>
            </w:r>
            <w:r w:rsidR="00FC69B0" w:rsidRPr="00073574">
              <w:rPr>
                <w:rFonts w:asciiTheme="majorBidi" w:eastAsiaTheme="minorEastAsia" w:hAnsiTheme="majorBidi" w:cstheme="majorBidi"/>
                <w:sz w:val="22"/>
                <w:lang w:val="en-GB" w:eastAsia="ja-JP"/>
              </w:rPr>
              <w:t xml:space="preserve"> Another Supplement on use cases and migration aspects </w:t>
            </w:r>
            <w:r w:rsidR="00A74CF4" w:rsidRPr="00073574">
              <w:rPr>
                <w:rFonts w:asciiTheme="majorBidi" w:eastAsiaTheme="minorEastAsia" w:hAnsiTheme="majorBidi" w:cstheme="majorBidi"/>
                <w:sz w:val="22"/>
                <w:lang w:val="en-GB" w:eastAsia="ja-JP"/>
              </w:rPr>
              <w:t>of IMT-2020 was published in mid 2020.</w:t>
            </w:r>
          </w:p>
          <w:p w14:paraId="4EC49BFF" w14:textId="7CD7FA6D" w:rsidR="00F0236A" w:rsidRPr="00073574" w:rsidRDefault="00F0236A" w:rsidP="00DF36E1">
            <w:pPr>
              <w:pStyle w:val="ListParagraph"/>
              <w:ind w:left="363"/>
              <w:contextualSpacing w:val="0"/>
              <w:rPr>
                <w:rFonts w:asciiTheme="majorBidi" w:hAnsiTheme="majorBidi" w:cstheme="majorBidi"/>
              </w:rPr>
            </w:pPr>
            <w:r w:rsidRPr="00073574">
              <w:rPr>
                <w:rFonts w:asciiTheme="majorBidi" w:hAnsiTheme="majorBidi" w:cstheme="majorBidi"/>
              </w:rPr>
              <w:t>ITU</w:t>
            </w:r>
            <w:r w:rsidR="003C7E25" w:rsidRPr="00073574">
              <w:rPr>
                <w:rFonts w:asciiTheme="majorBidi" w:hAnsiTheme="majorBidi" w:cstheme="majorBidi"/>
              </w:rPr>
              <w:t>'</w:t>
            </w:r>
            <w:r w:rsidRPr="00073574">
              <w:rPr>
                <w:rFonts w:asciiTheme="majorBidi" w:hAnsiTheme="majorBidi" w:cstheme="majorBidi"/>
              </w:rPr>
              <w:t xml:space="preserve">s programme on </w:t>
            </w:r>
            <w:hyperlink r:id="rId822" w:history="1">
              <w:r w:rsidR="003C7E25" w:rsidRPr="00073574">
                <w:rPr>
                  <w:rStyle w:val="Hyperlink"/>
                  <w:rFonts w:asciiTheme="majorBidi" w:hAnsiTheme="majorBidi" w:cstheme="majorBidi"/>
                </w:rPr>
                <w:t>"</w:t>
              </w:r>
              <w:r w:rsidRPr="00073574">
                <w:rPr>
                  <w:rStyle w:val="Hyperlink"/>
                  <w:rFonts w:asciiTheme="majorBidi" w:hAnsiTheme="majorBidi" w:cstheme="majorBidi"/>
                </w:rPr>
                <w:t>International Mobile Telecommunications for 2020 and beyond (IMT-2020)</w:t>
              </w:r>
              <w:r w:rsidR="003C7E25" w:rsidRPr="00073574">
                <w:rPr>
                  <w:rStyle w:val="Hyperlink"/>
                  <w:rFonts w:asciiTheme="majorBidi" w:hAnsiTheme="majorBidi" w:cstheme="majorBidi"/>
                </w:rPr>
                <w:t>"</w:t>
              </w:r>
            </w:hyperlink>
            <w:r w:rsidRPr="00073574">
              <w:rPr>
                <w:rFonts w:asciiTheme="majorBidi" w:hAnsiTheme="majorBidi" w:cstheme="majorBidi"/>
              </w:rPr>
              <w:t xml:space="preserve"> defines the framework and overall objectives of the 5G standardization process as well as the roadmap to guide this process.</w:t>
            </w:r>
          </w:p>
          <w:p w14:paraId="1E52C083" w14:textId="66D6ECF4" w:rsidR="00F0236A" w:rsidRPr="00073574" w:rsidRDefault="00F0236A" w:rsidP="002E241A">
            <w:pPr>
              <w:pStyle w:val="ListParagraph"/>
              <w:numPr>
                <w:ilvl w:val="0"/>
                <w:numId w:val="37"/>
              </w:numPr>
              <w:contextualSpacing w:val="0"/>
            </w:pPr>
            <w:r w:rsidRPr="00073574">
              <w:rPr>
                <w:rStyle w:val="Emphasis"/>
                <w:i w:val="0"/>
              </w:rPr>
              <w:t xml:space="preserve">SG15 </w:t>
            </w:r>
            <w:r w:rsidR="006833E5" w:rsidRPr="00073574">
              <w:t>agreed on a technical report GSTR-TN5G “Transport network support of IMT-2020/5G” at the SG15 meeting in Jan/Feb 2018.</w:t>
            </w:r>
            <w:r w:rsidRPr="00073574">
              <w:br/>
            </w:r>
            <w:r w:rsidRPr="00073574">
              <w:rPr>
                <w:rStyle w:val="Emphasis"/>
                <w:i w:val="0"/>
              </w:rPr>
              <w:t>Timing and synchronization is crucial to the efficient operation of advanced mobile-wireless technologies. Industry looks to ITU-T for standards to support the synchronized mobile backhaul essential to the success of wireless systems through 4G, 5G and beyond.</w:t>
            </w:r>
            <w:r w:rsidRPr="00073574">
              <w:rPr>
                <w:rStyle w:val="Emphasis"/>
              </w:rPr>
              <w:t xml:space="preserve"> </w:t>
            </w:r>
            <w:r w:rsidRPr="00073574">
              <w:t xml:space="preserve">The new Rec. ITU-T G.8272.1/Y.1367.1 </w:t>
            </w:r>
            <w:r w:rsidR="003C7E25" w:rsidRPr="00073574">
              <w:t>"</w:t>
            </w:r>
            <w:r w:rsidRPr="00073574">
              <w:t>Timing characteristics of enhanced primary reference time clocks</w:t>
            </w:r>
            <w:r w:rsidR="003C7E25" w:rsidRPr="00073574">
              <w:t>"</w:t>
            </w:r>
            <w:r w:rsidRPr="00073574">
              <w:t xml:space="preserve"> specifies the requirements of enhanced primary reference time clocks (ePRTCs) suitable for time and phase synchronization in packet networks. The new standard will enable highly accurate time synchronization and levels of reliability translating into holdover capabilities up to several days, with technology typically based on a combination of GNSS (Global Navigation Satellite Systems, such as GPS) and atomic clocks (e.g. c</w:t>
            </w:r>
            <w:r w:rsidR="00B64CE0" w:rsidRPr="00073574">
              <w:t>a</w:t>
            </w:r>
            <w:r w:rsidRPr="00073574">
              <w:t>esium clocks). The ePTRCs provided for by Rec. ITU-T G.8272.1/Y.1367.1 will make it possible to design synchronization networks where the prolonged loss of GNSS would not impact the performance of the network, an important consideration amid increasing concerns around GNSS vulnerability. A planned future edition of Rec. ITU-T G.8272.1/Y.1367.1, based on the further development of atomic clock technology, will include an option for holdover periods potentially as long as 80 days.</w:t>
            </w:r>
          </w:p>
          <w:p w14:paraId="32E4737F" w14:textId="649B7FE2" w:rsidR="00821985" w:rsidRPr="00073574" w:rsidRDefault="00821985" w:rsidP="002E241A">
            <w:pPr>
              <w:pStyle w:val="ListParagraph"/>
              <w:numPr>
                <w:ilvl w:val="0"/>
                <w:numId w:val="37"/>
              </w:numPr>
              <w:spacing w:after="40"/>
              <w:ind w:hanging="357"/>
              <w:contextualSpacing w:val="0"/>
            </w:pPr>
            <w:r w:rsidRPr="00073574">
              <w:rPr>
                <w:rFonts w:asciiTheme="majorBidi" w:hAnsiTheme="majorBidi" w:cstheme="majorBidi"/>
              </w:rPr>
              <w:t xml:space="preserve">ITU-T SG17 </w:t>
            </w:r>
            <w:r w:rsidR="00AE3D84" w:rsidRPr="00073574">
              <w:t>work on 5G Security</w:t>
            </w:r>
            <w:r w:rsidRPr="00073574">
              <w:rPr>
                <w:rFonts w:asciiTheme="majorBidi" w:hAnsiTheme="majorBidi" w:cstheme="majorBidi"/>
              </w:rPr>
              <w:t xml:space="preserve"> </w:t>
            </w:r>
            <w:r w:rsidR="00AE3D84" w:rsidRPr="00073574">
              <w:rPr>
                <w:rFonts w:asciiTheme="majorBidi" w:hAnsiTheme="majorBidi" w:cstheme="majorBidi"/>
              </w:rPr>
              <w:t>see 92-10</w:t>
            </w:r>
            <w:r w:rsidR="0004463E" w:rsidRPr="00073574">
              <w:rPr>
                <w:rFonts w:asciiTheme="majorBidi" w:hAnsiTheme="majorBidi" w:cstheme="majorBidi"/>
              </w:rPr>
              <w:t>.</w:t>
            </w:r>
          </w:p>
        </w:tc>
      </w:tr>
      <w:tr w:rsidR="00F0236A" w:rsidRPr="00073574" w14:paraId="2E813140" w14:textId="77777777" w:rsidTr="00BD6575">
        <w:trPr>
          <w:jc w:val="center"/>
        </w:trPr>
        <w:tc>
          <w:tcPr>
            <w:tcW w:w="1131" w:type="dxa"/>
            <w:vMerge w:val="restart"/>
            <w:tcBorders>
              <w:top w:val="single" w:sz="12" w:space="0" w:color="auto"/>
            </w:tcBorders>
            <w:shd w:val="clear" w:color="auto" w:fill="auto"/>
          </w:tcPr>
          <w:p w14:paraId="1A9AE5B4" w14:textId="77777777" w:rsidR="00F0236A" w:rsidRPr="00073574" w:rsidRDefault="00F0236A" w:rsidP="00DF36E1">
            <w:pPr>
              <w:pStyle w:val="Tabletext"/>
              <w:keepNext/>
              <w:keepLines/>
              <w:rPr>
                <w:b/>
                <w:bCs/>
                <w:sz w:val="24"/>
                <w:szCs w:val="24"/>
              </w:rPr>
            </w:pPr>
            <w:r w:rsidRPr="00073574">
              <w:rPr>
                <w:b/>
                <w:bCs/>
                <w:sz w:val="24"/>
                <w:szCs w:val="24"/>
              </w:rPr>
              <w:lastRenderedPageBreak/>
              <w:t>93-02</w:t>
            </w:r>
          </w:p>
        </w:tc>
        <w:tc>
          <w:tcPr>
            <w:tcW w:w="4986" w:type="dxa"/>
            <w:tcBorders>
              <w:top w:val="single" w:sz="12" w:space="0" w:color="auto"/>
              <w:bottom w:val="single" w:sz="4" w:space="0" w:color="auto"/>
            </w:tcBorders>
            <w:shd w:val="clear" w:color="auto" w:fill="auto"/>
          </w:tcPr>
          <w:p w14:paraId="436AF518" w14:textId="77777777" w:rsidR="00F0236A" w:rsidRPr="00073574" w:rsidRDefault="00F0236A" w:rsidP="00DF36E1">
            <w:pPr>
              <w:pStyle w:val="Tabletext"/>
              <w:keepNext/>
              <w:keepLines/>
              <w:rPr>
                <w:b/>
                <w:bCs/>
                <w:sz w:val="24"/>
                <w:szCs w:val="24"/>
              </w:rPr>
            </w:pPr>
            <w:r w:rsidRPr="00073574">
              <w:rPr>
                <w:b/>
                <w:bCs/>
                <w:sz w:val="24"/>
                <w:szCs w:val="24"/>
              </w:rPr>
              <w:t>TSB Director to continue to conduct, as necessary, exploratory activities among telecommunication operators in order to identify and prioritize the problems related to achieving interconnection of IP-based networks such as 4G, IMT-2020 and beyond (i. TSB Dir 1)</w:t>
            </w:r>
          </w:p>
        </w:tc>
        <w:tc>
          <w:tcPr>
            <w:tcW w:w="1336" w:type="dxa"/>
            <w:tcBorders>
              <w:top w:val="single" w:sz="12" w:space="0" w:color="auto"/>
              <w:bottom w:val="single" w:sz="4" w:space="0" w:color="auto"/>
            </w:tcBorders>
            <w:shd w:val="clear" w:color="auto" w:fill="auto"/>
            <w:vAlign w:val="center"/>
          </w:tcPr>
          <w:p w14:paraId="794982BA"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43" w:type="dxa"/>
            <w:tcBorders>
              <w:top w:val="single" w:sz="12" w:space="0" w:color="auto"/>
              <w:bottom w:val="single" w:sz="4" w:space="0" w:color="auto"/>
            </w:tcBorders>
            <w:shd w:val="clear" w:color="auto" w:fill="auto"/>
            <w:vAlign w:val="center"/>
          </w:tcPr>
          <w:p w14:paraId="14291C66" w14:textId="108C0020" w:rsidR="00F0236A" w:rsidRPr="00073574" w:rsidRDefault="003E487F" w:rsidP="00DF36E1">
            <w:pPr>
              <w:pStyle w:val="Tabletext"/>
              <w:jc w:val="center"/>
              <w:rPr>
                <w:b/>
                <w:bCs/>
                <w:sz w:val="24"/>
                <w:szCs w:val="24"/>
              </w:rPr>
            </w:pPr>
            <w:r w:rsidRPr="00073574">
              <w:rPr>
                <w:b/>
                <w:bCs/>
                <w:sz w:val="24"/>
                <w:szCs w:val="24"/>
              </w:rPr>
              <w:t>√</w:t>
            </w:r>
          </w:p>
        </w:tc>
        <w:tc>
          <w:tcPr>
            <w:tcW w:w="1336" w:type="dxa"/>
            <w:tcBorders>
              <w:top w:val="single" w:sz="12" w:space="0" w:color="auto"/>
              <w:bottom w:val="single" w:sz="4" w:space="0" w:color="auto"/>
            </w:tcBorders>
            <w:shd w:val="clear" w:color="auto" w:fill="auto"/>
            <w:vAlign w:val="center"/>
          </w:tcPr>
          <w:p w14:paraId="08332E3B" w14:textId="77777777" w:rsidR="00F0236A" w:rsidRPr="00073574" w:rsidRDefault="00F0236A" w:rsidP="00DF36E1">
            <w:pPr>
              <w:pStyle w:val="Tabletext"/>
              <w:jc w:val="center"/>
              <w:rPr>
                <w:b/>
                <w:bCs/>
                <w:sz w:val="24"/>
                <w:szCs w:val="24"/>
              </w:rPr>
            </w:pPr>
          </w:p>
        </w:tc>
      </w:tr>
      <w:tr w:rsidR="00F0236A" w:rsidRPr="00073574" w14:paraId="74270DC5" w14:textId="77777777" w:rsidTr="5D161764">
        <w:trPr>
          <w:trHeight w:val="233"/>
          <w:jc w:val="center"/>
        </w:trPr>
        <w:tc>
          <w:tcPr>
            <w:tcW w:w="1131" w:type="dxa"/>
            <w:vMerge/>
          </w:tcPr>
          <w:p w14:paraId="2D4B3759" w14:textId="77777777" w:rsidR="00F0236A" w:rsidRPr="00073574" w:rsidRDefault="00F0236A" w:rsidP="00DF36E1">
            <w:pPr>
              <w:pStyle w:val="Tabletext"/>
              <w:rPr>
                <w:sz w:val="24"/>
                <w:szCs w:val="24"/>
              </w:rPr>
            </w:pPr>
          </w:p>
        </w:tc>
        <w:tc>
          <w:tcPr>
            <w:tcW w:w="8801" w:type="dxa"/>
            <w:gridSpan w:val="4"/>
            <w:tcBorders>
              <w:top w:val="single" w:sz="4" w:space="0" w:color="auto"/>
              <w:bottom w:val="single" w:sz="12" w:space="0" w:color="auto"/>
            </w:tcBorders>
            <w:shd w:val="clear" w:color="auto" w:fill="auto"/>
          </w:tcPr>
          <w:p w14:paraId="4277B1B2" w14:textId="77777777" w:rsidR="00F0236A" w:rsidRPr="00073574" w:rsidRDefault="003E487F" w:rsidP="00E15AC7">
            <w:pPr>
              <w:pStyle w:val="normalWSIS"/>
              <w:numPr>
                <w:ilvl w:val="0"/>
                <w:numId w:val="0"/>
              </w:numPr>
              <w:spacing w:before="40" w:after="0"/>
            </w:pPr>
            <w:r w:rsidRPr="00073574">
              <w:t xml:space="preserve">ITU organized </w:t>
            </w:r>
            <w:r w:rsidR="00DF1903" w:rsidRPr="00073574">
              <w:t xml:space="preserve">a </w:t>
            </w:r>
            <w:hyperlink r:id="rId823" w:history="1">
              <w:r w:rsidRPr="00073574">
                <w:t>Regional Workshop on Deployment of VoLTE/ViLTE networks based on IMS: from Standardization to Implementation</w:t>
              </w:r>
            </w:hyperlink>
            <w:r w:rsidRPr="00073574">
              <w:t xml:space="preserve"> in Samarkand (Republic of Uzbekistan) from 2-3 October 2018.</w:t>
            </w:r>
          </w:p>
          <w:p w14:paraId="399715AB" w14:textId="05836CDC" w:rsidR="00F0236A" w:rsidRPr="00073574" w:rsidRDefault="003C5519" w:rsidP="005968D8">
            <w:pPr>
              <w:pStyle w:val="normalWSIS"/>
              <w:numPr>
                <w:ilvl w:val="0"/>
                <w:numId w:val="0"/>
              </w:numPr>
              <w:spacing w:before="40" w:after="0"/>
              <w:jc w:val="left"/>
              <w:rPr>
                <w:rFonts w:asciiTheme="majorBidi" w:hAnsiTheme="majorBidi" w:cstheme="majorBidi"/>
              </w:rPr>
            </w:pPr>
            <w:r w:rsidRPr="00073574">
              <w:t>ITU organized a Workshop on "Protocol Enhancements for IMS to be used in LTE/IMT-2020 Networks and Beyond" (</w:t>
            </w:r>
            <w:r w:rsidR="00EF55C3" w:rsidRPr="00073574">
              <w:t>virtual, 5 July 2021</w:t>
            </w:r>
            <w:r w:rsidRPr="00073574">
              <w:t>)</w:t>
            </w:r>
          </w:p>
        </w:tc>
      </w:tr>
      <w:tr w:rsidR="00F0236A" w:rsidRPr="00073574" w14:paraId="45CA961F" w14:textId="77777777" w:rsidTr="00BD6575">
        <w:trPr>
          <w:jc w:val="center"/>
        </w:trPr>
        <w:tc>
          <w:tcPr>
            <w:tcW w:w="1131" w:type="dxa"/>
            <w:vMerge w:val="restart"/>
            <w:tcBorders>
              <w:top w:val="single" w:sz="12" w:space="0" w:color="auto"/>
            </w:tcBorders>
            <w:shd w:val="clear" w:color="auto" w:fill="auto"/>
          </w:tcPr>
          <w:p w14:paraId="194837CE" w14:textId="77777777" w:rsidR="00F0236A" w:rsidRPr="00073574" w:rsidRDefault="00F0236A" w:rsidP="00DF36E1">
            <w:pPr>
              <w:pStyle w:val="Tabletext"/>
              <w:keepNext/>
              <w:keepLines/>
              <w:rPr>
                <w:b/>
                <w:bCs/>
                <w:sz w:val="24"/>
                <w:szCs w:val="24"/>
              </w:rPr>
            </w:pPr>
            <w:r w:rsidRPr="00073574">
              <w:rPr>
                <w:b/>
                <w:bCs/>
                <w:sz w:val="24"/>
                <w:szCs w:val="24"/>
              </w:rPr>
              <w:lastRenderedPageBreak/>
              <w:t>93-03</w:t>
            </w:r>
          </w:p>
        </w:tc>
        <w:tc>
          <w:tcPr>
            <w:tcW w:w="4986" w:type="dxa"/>
            <w:tcBorders>
              <w:top w:val="single" w:sz="12" w:space="0" w:color="auto"/>
              <w:bottom w:val="single" w:sz="4" w:space="0" w:color="auto"/>
            </w:tcBorders>
            <w:shd w:val="clear" w:color="auto" w:fill="auto"/>
          </w:tcPr>
          <w:p w14:paraId="0291896B" w14:textId="77777777" w:rsidR="00F0236A" w:rsidRPr="00073574" w:rsidRDefault="00F0236A" w:rsidP="00DF36E1">
            <w:pPr>
              <w:pStyle w:val="Tabletext"/>
              <w:keepNext/>
              <w:keepLines/>
              <w:rPr>
                <w:b/>
                <w:bCs/>
                <w:sz w:val="24"/>
                <w:szCs w:val="24"/>
              </w:rPr>
            </w:pPr>
            <w:r w:rsidRPr="00073574">
              <w:rPr>
                <w:b/>
                <w:bCs/>
                <w:sz w:val="24"/>
                <w:szCs w:val="24"/>
              </w:rPr>
              <w:t>TSB Director to submit the results of these activities to the ITU Council for its consideration and required actions (i. TSB Dir 2)</w:t>
            </w:r>
          </w:p>
        </w:tc>
        <w:tc>
          <w:tcPr>
            <w:tcW w:w="1336" w:type="dxa"/>
            <w:tcBorders>
              <w:top w:val="single" w:sz="12" w:space="0" w:color="auto"/>
              <w:bottom w:val="single" w:sz="4" w:space="0" w:color="auto"/>
            </w:tcBorders>
            <w:shd w:val="clear" w:color="auto" w:fill="auto"/>
            <w:vAlign w:val="center"/>
          </w:tcPr>
          <w:p w14:paraId="24518E76" w14:textId="04AF1380" w:rsidR="00F0236A" w:rsidRPr="00073574" w:rsidRDefault="00F0236A" w:rsidP="00C52D74">
            <w:pPr>
              <w:pStyle w:val="Tabletext"/>
              <w:jc w:val="center"/>
              <w:rPr>
                <w:b/>
                <w:bCs/>
                <w:sz w:val="24"/>
                <w:szCs w:val="24"/>
              </w:rPr>
            </w:pPr>
            <w:r w:rsidRPr="00073574">
              <w:rPr>
                <w:b/>
                <w:bCs/>
                <w:sz w:val="24"/>
                <w:szCs w:val="24"/>
              </w:rPr>
              <w:t>Council 20</w:t>
            </w:r>
            <w:r w:rsidR="00C52D74" w:rsidRPr="00073574">
              <w:rPr>
                <w:b/>
                <w:bCs/>
                <w:sz w:val="24"/>
                <w:szCs w:val="24"/>
              </w:rPr>
              <w:t>2</w:t>
            </w:r>
            <w:r w:rsidR="00CE5B9E" w:rsidRPr="00073574">
              <w:rPr>
                <w:b/>
                <w:bCs/>
                <w:sz w:val="24"/>
                <w:szCs w:val="24"/>
              </w:rPr>
              <w:t>1</w:t>
            </w:r>
          </w:p>
        </w:tc>
        <w:tc>
          <w:tcPr>
            <w:tcW w:w="1143" w:type="dxa"/>
            <w:tcBorders>
              <w:top w:val="single" w:sz="12" w:space="0" w:color="auto"/>
              <w:bottom w:val="single" w:sz="4" w:space="0" w:color="auto"/>
            </w:tcBorders>
            <w:shd w:val="clear" w:color="auto" w:fill="auto"/>
            <w:vAlign w:val="center"/>
          </w:tcPr>
          <w:p w14:paraId="67D30E5F"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bottom w:val="single" w:sz="4" w:space="0" w:color="auto"/>
            </w:tcBorders>
            <w:shd w:val="clear" w:color="auto" w:fill="auto"/>
            <w:vAlign w:val="center"/>
          </w:tcPr>
          <w:p w14:paraId="26DB4AA0" w14:textId="77777777" w:rsidR="00F0236A" w:rsidRPr="00073574" w:rsidRDefault="00F0236A" w:rsidP="00DF36E1">
            <w:pPr>
              <w:pStyle w:val="Tabletext"/>
              <w:jc w:val="center"/>
              <w:rPr>
                <w:b/>
                <w:bCs/>
                <w:sz w:val="24"/>
                <w:szCs w:val="24"/>
              </w:rPr>
            </w:pPr>
          </w:p>
        </w:tc>
      </w:tr>
      <w:tr w:rsidR="00F0236A" w:rsidRPr="00073574" w14:paraId="262F9B40" w14:textId="77777777" w:rsidTr="5D161764">
        <w:trPr>
          <w:jc w:val="center"/>
        </w:trPr>
        <w:tc>
          <w:tcPr>
            <w:tcW w:w="1131" w:type="dxa"/>
            <w:vMerge/>
          </w:tcPr>
          <w:p w14:paraId="07EDED5F" w14:textId="77777777" w:rsidR="00F0236A" w:rsidRPr="00073574" w:rsidRDefault="00F0236A" w:rsidP="00DF36E1">
            <w:pPr>
              <w:pStyle w:val="Tabletext"/>
              <w:rPr>
                <w:sz w:val="24"/>
                <w:szCs w:val="24"/>
              </w:rPr>
            </w:pPr>
          </w:p>
        </w:tc>
        <w:tc>
          <w:tcPr>
            <w:tcW w:w="8801" w:type="dxa"/>
            <w:gridSpan w:val="4"/>
            <w:tcBorders>
              <w:top w:val="single" w:sz="4" w:space="0" w:color="auto"/>
              <w:bottom w:val="single" w:sz="12" w:space="0" w:color="auto"/>
            </w:tcBorders>
            <w:shd w:val="clear" w:color="auto" w:fill="auto"/>
          </w:tcPr>
          <w:p w14:paraId="4DB7FB46" w14:textId="6793C4FB" w:rsidR="00F0236A" w:rsidRPr="00073574" w:rsidRDefault="00F0236A" w:rsidP="00DF36E1">
            <w:pPr>
              <w:pStyle w:val="Tabletext"/>
              <w:rPr>
                <w:szCs w:val="22"/>
              </w:rPr>
            </w:pPr>
            <w:r w:rsidRPr="00073574">
              <w:rPr>
                <w:szCs w:val="22"/>
              </w:rPr>
              <w:t xml:space="preserve">See reports in CWG-Internet </w:t>
            </w:r>
            <w:hyperlink r:id="rId824" w:history="1">
              <w:r w:rsidRPr="00073574">
                <w:rPr>
                  <w:rStyle w:val="Hyperlink"/>
                  <w:szCs w:val="22"/>
                </w:rPr>
                <w:t>10/2</w:t>
              </w:r>
            </w:hyperlink>
            <w:r w:rsidRPr="00073574">
              <w:rPr>
                <w:szCs w:val="22"/>
              </w:rPr>
              <w:t xml:space="preserve">, CWG-Internet </w:t>
            </w:r>
            <w:hyperlink r:id="rId825" w:history="1">
              <w:r w:rsidRPr="00073574">
                <w:rPr>
                  <w:rStyle w:val="Hyperlink"/>
                  <w:szCs w:val="22"/>
                </w:rPr>
                <w:t>11/2</w:t>
              </w:r>
            </w:hyperlink>
            <w:r w:rsidR="008F71A9" w:rsidRPr="00073574">
              <w:rPr>
                <w:rStyle w:val="Hyperlink"/>
                <w:szCs w:val="22"/>
              </w:rPr>
              <w:t xml:space="preserve">, </w:t>
            </w:r>
            <w:hyperlink r:id="rId826" w:history="1">
              <w:r w:rsidR="008F71A9" w:rsidRPr="00073574">
                <w:rPr>
                  <w:rStyle w:val="Hyperlink"/>
                  <w:szCs w:val="22"/>
                </w:rPr>
                <w:t>CWG-Internet 12/2</w:t>
              </w:r>
            </w:hyperlink>
            <w:r w:rsidR="008F71A9" w:rsidRPr="00073574">
              <w:rPr>
                <w:rStyle w:val="Hyperlink"/>
                <w:szCs w:val="22"/>
              </w:rPr>
              <w:t xml:space="preserve">, </w:t>
            </w:r>
            <w:hyperlink r:id="rId827" w:history="1">
              <w:r w:rsidR="008F71A9" w:rsidRPr="00073574">
                <w:rPr>
                  <w:rStyle w:val="Hyperlink"/>
                  <w:szCs w:val="22"/>
                </w:rPr>
                <w:t>CWG-Internet-13/3</w:t>
              </w:r>
            </w:hyperlink>
            <w:r w:rsidRPr="00073574">
              <w:rPr>
                <w:szCs w:val="22"/>
              </w:rPr>
              <w:t>.</w:t>
            </w:r>
          </w:p>
        </w:tc>
      </w:tr>
      <w:tr w:rsidR="00F0236A" w:rsidRPr="00073574" w14:paraId="601A603B" w14:textId="77777777" w:rsidTr="00BD6575">
        <w:trPr>
          <w:jc w:val="center"/>
        </w:trPr>
        <w:tc>
          <w:tcPr>
            <w:tcW w:w="1131" w:type="dxa"/>
            <w:vMerge w:val="restart"/>
            <w:tcBorders>
              <w:top w:val="single" w:sz="12" w:space="0" w:color="auto"/>
            </w:tcBorders>
            <w:shd w:val="clear" w:color="auto" w:fill="auto"/>
          </w:tcPr>
          <w:p w14:paraId="0B63B288" w14:textId="77777777" w:rsidR="00F0236A" w:rsidRPr="00073574" w:rsidRDefault="00F0236A" w:rsidP="007E3CE5">
            <w:pPr>
              <w:pStyle w:val="Tabletext"/>
              <w:keepNext/>
              <w:keepLines/>
              <w:rPr>
                <w:b/>
                <w:bCs/>
                <w:sz w:val="24"/>
                <w:szCs w:val="24"/>
              </w:rPr>
            </w:pPr>
            <w:r w:rsidRPr="00073574">
              <w:rPr>
                <w:b/>
                <w:bCs/>
                <w:sz w:val="24"/>
                <w:szCs w:val="24"/>
              </w:rPr>
              <w:t>93-04</w:t>
            </w:r>
          </w:p>
        </w:tc>
        <w:tc>
          <w:tcPr>
            <w:tcW w:w="4986" w:type="dxa"/>
            <w:tcBorders>
              <w:top w:val="single" w:sz="12" w:space="0" w:color="auto"/>
              <w:bottom w:val="single" w:sz="4" w:space="0" w:color="auto"/>
            </w:tcBorders>
            <w:shd w:val="clear" w:color="auto" w:fill="auto"/>
          </w:tcPr>
          <w:p w14:paraId="0AC4BB70" w14:textId="77777777" w:rsidR="00F0236A" w:rsidRPr="00073574" w:rsidRDefault="00F0236A" w:rsidP="00DF36E1">
            <w:pPr>
              <w:pStyle w:val="Tabletext"/>
              <w:rPr>
                <w:b/>
                <w:bCs/>
                <w:sz w:val="24"/>
                <w:szCs w:val="24"/>
              </w:rPr>
            </w:pPr>
            <w:r w:rsidRPr="00073574">
              <w:rPr>
                <w:b/>
                <w:bCs/>
                <w:sz w:val="24"/>
                <w:szCs w:val="24"/>
              </w:rPr>
              <w:t>SG11 to develop ITU-T Recommendations which specify the framework and signalling architectures to be used for establishing interconnection of 4G, IMT-2020 networks and beyond to achieve interoperability worldwide (i. SG11)</w:t>
            </w:r>
          </w:p>
        </w:tc>
        <w:tc>
          <w:tcPr>
            <w:tcW w:w="1336" w:type="dxa"/>
            <w:tcBorders>
              <w:top w:val="single" w:sz="12" w:space="0" w:color="auto"/>
              <w:bottom w:val="single" w:sz="4" w:space="0" w:color="auto"/>
            </w:tcBorders>
            <w:shd w:val="clear" w:color="auto" w:fill="auto"/>
            <w:vAlign w:val="center"/>
          </w:tcPr>
          <w:p w14:paraId="38577BB9"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43" w:type="dxa"/>
            <w:tcBorders>
              <w:top w:val="single" w:sz="12" w:space="0" w:color="auto"/>
              <w:bottom w:val="single" w:sz="4" w:space="0" w:color="auto"/>
            </w:tcBorders>
            <w:shd w:val="clear" w:color="auto" w:fill="auto"/>
            <w:vAlign w:val="center"/>
          </w:tcPr>
          <w:p w14:paraId="0F323F5A"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bottom w:val="single" w:sz="4" w:space="0" w:color="auto"/>
            </w:tcBorders>
            <w:shd w:val="clear" w:color="auto" w:fill="auto"/>
            <w:vAlign w:val="center"/>
          </w:tcPr>
          <w:p w14:paraId="15B51CB1" w14:textId="77777777" w:rsidR="00F0236A" w:rsidRPr="00073574" w:rsidRDefault="00F0236A" w:rsidP="00DF36E1">
            <w:pPr>
              <w:pStyle w:val="Tabletext"/>
              <w:jc w:val="center"/>
              <w:rPr>
                <w:b/>
                <w:bCs/>
                <w:sz w:val="24"/>
                <w:szCs w:val="24"/>
              </w:rPr>
            </w:pPr>
          </w:p>
        </w:tc>
      </w:tr>
      <w:tr w:rsidR="00F0236A" w:rsidRPr="00073574" w14:paraId="0EB915BB" w14:textId="77777777" w:rsidTr="5D161764">
        <w:trPr>
          <w:trHeight w:val="386"/>
          <w:jc w:val="center"/>
        </w:trPr>
        <w:tc>
          <w:tcPr>
            <w:tcW w:w="1131" w:type="dxa"/>
            <w:vMerge/>
          </w:tcPr>
          <w:p w14:paraId="6EEA9E88" w14:textId="77777777" w:rsidR="00F0236A" w:rsidRPr="00073574" w:rsidRDefault="00F0236A" w:rsidP="00DF36E1">
            <w:pPr>
              <w:pStyle w:val="Tabletext"/>
              <w:rPr>
                <w:sz w:val="24"/>
                <w:szCs w:val="24"/>
              </w:rPr>
            </w:pPr>
          </w:p>
        </w:tc>
        <w:tc>
          <w:tcPr>
            <w:tcW w:w="8801" w:type="dxa"/>
            <w:gridSpan w:val="4"/>
            <w:tcBorders>
              <w:top w:val="single" w:sz="4" w:space="0" w:color="auto"/>
              <w:bottom w:val="single" w:sz="12" w:space="0" w:color="auto"/>
            </w:tcBorders>
            <w:shd w:val="clear" w:color="auto" w:fill="auto"/>
          </w:tcPr>
          <w:p w14:paraId="25B4F9B0" w14:textId="55944B32" w:rsidR="00801B6E" w:rsidRPr="00073574" w:rsidRDefault="00801B6E" w:rsidP="00801B6E">
            <w:pPr>
              <w:pStyle w:val="Tabletext"/>
              <w:rPr>
                <w:szCs w:val="22"/>
              </w:rPr>
            </w:pPr>
            <w:r w:rsidRPr="00073574">
              <w:rPr>
                <w:szCs w:val="22"/>
              </w:rPr>
              <w:t xml:space="preserve">SG11 progresses on some work items dealing with VoLTE/ViLTE interconnection following the discussion at the ITU </w:t>
            </w:r>
            <w:hyperlink r:id="rId828" w:history="1">
              <w:r w:rsidRPr="00073574">
                <w:rPr>
                  <w:rStyle w:val="Hyperlink"/>
                  <w:szCs w:val="22"/>
                </w:rPr>
                <w:t>Workshop</w:t>
              </w:r>
            </w:hyperlink>
            <w:r w:rsidRPr="00073574">
              <w:rPr>
                <w:szCs w:val="22"/>
              </w:rPr>
              <w:t xml:space="preserve"> on 1 December 2015.</w:t>
            </w:r>
          </w:p>
          <w:p w14:paraId="192A818F" w14:textId="789BF2F8" w:rsidR="00F0236A" w:rsidRPr="00073574" w:rsidRDefault="00574504" w:rsidP="00D44AD4">
            <w:pPr>
              <w:pStyle w:val="Tabletext"/>
              <w:tabs>
                <w:tab w:val="clear" w:pos="567"/>
                <w:tab w:val="left" w:pos="729"/>
              </w:tabs>
              <w:spacing w:before="120"/>
              <w:rPr>
                <w:sz w:val="24"/>
                <w:szCs w:val="24"/>
              </w:rPr>
            </w:pPr>
            <w:r w:rsidRPr="00073574">
              <w:rPr>
                <w:szCs w:val="22"/>
              </w:rPr>
              <w:t xml:space="preserve">The </w:t>
            </w:r>
            <w:r w:rsidR="003F152D" w:rsidRPr="00073574">
              <w:rPr>
                <w:szCs w:val="22"/>
              </w:rPr>
              <w:t>achieved</w:t>
            </w:r>
            <w:r w:rsidRPr="00073574">
              <w:rPr>
                <w:szCs w:val="22"/>
              </w:rPr>
              <w:t xml:space="preserve"> results are highlighted in clause 93-01 above.</w:t>
            </w:r>
          </w:p>
        </w:tc>
      </w:tr>
      <w:tr w:rsidR="00F0236A" w:rsidRPr="00073574" w14:paraId="7B78A0AA" w14:textId="77777777" w:rsidTr="00BD6575">
        <w:trPr>
          <w:jc w:val="center"/>
        </w:trPr>
        <w:tc>
          <w:tcPr>
            <w:tcW w:w="1131" w:type="dxa"/>
            <w:vMerge w:val="restart"/>
            <w:tcBorders>
              <w:top w:val="single" w:sz="12" w:space="0" w:color="auto"/>
            </w:tcBorders>
            <w:shd w:val="clear" w:color="auto" w:fill="auto"/>
          </w:tcPr>
          <w:p w14:paraId="6D83650C" w14:textId="77777777" w:rsidR="00F0236A" w:rsidRPr="00073574" w:rsidRDefault="00F0236A" w:rsidP="001B776E">
            <w:pPr>
              <w:pStyle w:val="Tabletext"/>
              <w:keepNext/>
              <w:keepLines/>
              <w:rPr>
                <w:b/>
                <w:bCs/>
                <w:sz w:val="24"/>
                <w:szCs w:val="24"/>
              </w:rPr>
            </w:pPr>
            <w:r w:rsidRPr="00073574">
              <w:rPr>
                <w:b/>
                <w:bCs/>
                <w:sz w:val="24"/>
                <w:szCs w:val="24"/>
              </w:rPr>
              <w:t>93-05</w:t>
            </w:r>
          </w:p>
        </w:tc>
        <w:tc>
          <w:tcPr>
            <w:tcW w:w="4986" w:type="dxa"/>
            <w:tcBorders>
              <w:top w:val="single" w:sz="12" w:space="0" w:color="auto"/>
              <w:bottom w:val="single" w:sz="4" w:space="0" w:color="auto"/>
            </w:tcBorders>
            <w:shd w:val="clear" w:color="auto" w:fill="auto"/>
          </w:tcPr>
          <w:p w14:paraId="64C86D73" w14:textId="77777777" w:rsidR="00F0236A" w:rsidRPr="00073574" w:rsidRDefault="00F0236A" w:rsidP="00DF36E1">
            <w:pPr>
              <w:pStyle w:val="Tabletext"/>
              <w:rPr>
                <w:b/>
                <w:bCs/>
                <w:sz w:val="24"/>
                <w:szCs w:val="24"/>
              </w:rPr>
            </w:pPr>
            <w:r w:rsidRPr="00073574">
              <w:rPr>
                <w:b/>
                <w:bCs/>
                <w:sz w:val="24"/>
                <w:szCs w:val="24"/>
              </w:rPr>
              <w:t>SG2 to develop ITU-T Recommendations which specify the ENUM architecture to be used for interconnection of 4G, IMT-2020 networks and beyond, including administrative control that could relate to the international telecommunication resources (including naming, numbering, addressing, and routing) (i. SG2)</w:t>
            </w:r>
          </w:p>
        </w:tc>
        <w:tc>
          <w:tcPr>
            <w:tcW w:w="1336" w:type="dxa"/>
            <w:tcBorders>
              <w:top w:val="single" w:sz="12" w:space="0" w:color="auto"/>
              <w:bottom w:val="single" w:sz="4" w:space="0" w:color="auto"/>
            </w:tcBorders>
            <w:shd w:val="clear" w:color="auto" w:fill="auto"/>
            <w:vAlign w:val="center"/>
          </w:tcPr>
          <w:p w14:paraId="781BCAC9"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43" w:type="dxa"/>
            <w:tcBorders>
              <w:top w:val="single" w:sz="12" w:space="0" w:color="auto"/>
              <w:bottom w:val="single" w:sz="4" w:space="0" w:color="auto"/>
            </w:tcBorders>
            <w:shd w:val="clear" w:color="auto" w:fill="auto"/>
            <w:vAlign w:val="center"/>
          </w:tcPr>
          <w:p w14:paraId="5D3F8471" w14:textId="77777777" w:rsidR="00F0236A" w:rsidRPr="00073574" w:rsidRDefault="00F0236A" w:rsidP="00DF36E1">
            <w:pPr>
              <w:pStyle w:val="Tabletext"/>
              <w:jc w:val="center"/>
              <w:rPr>
                <w:b/>
                <w:bCs/>
                <w:sz w:val="24"/>
                <w:szCs w:val="24"/>
              </w:rPr>
            </w:pPr>
          </w:p>
        </w:tc>
        <w:tc>
          <w:tcPr>
            <w:tcW w:w="1336" w:type="dxa"/>
            <w:tcBorders>
              <w:top w:val="single" w:sz="12" w:space="0" w:color="auto"/>
              <w:bottom w:val="single" w:sz="4" w:space="0" w:color="auto"/>
            </w:tcBorders>
            <w:shd w:val="clear" w:color="auto" w:fill="auto"/>
            <w:vAlign w:val="center"/>
          </w:tcPr>
          <w:p w14:paraId="68C8D3F7" w14:textId="77777777" w:rsidR="00F0236A" w:rsidRPr="00073574" w:rsidRDefault="00F0236A" w:rsidP="00DF36E1">
            <w:pPr>
              <w:pStyle w:val="Tabletext"/>
              <w:jc w:val="center"/>
              <w:rPr>
                <w:b/>
                <w:bCs/>
                <w:sz w:val="24"/>
                <w:szCs w:val="24"/>
              </w:rPr>
            </w:pPr>
          </w:p>
        </w:tc>
      </w:tr>
      <w:tr w:rsidR="00F0236A" w:rsidRPr="00073574" w14:paraId="583C3E5C" w14:textId="77777777" w:rsidTr="5D161764">
        <w:trPr>
          <w:cantSplit/>
          <w:jc w:val="center"/>
        </w:trPr>
        <w:tc>
          <w:tcPr>
            <w:tcW w:w="1131" w:type="dxa"/>
            <w:vMerge/>
            <w:vAlign w:val="center"/>
          </w:tcPr>
          <w:p w14:paraId="5DB89636" w14:textId="77777777" w:rsidR="00F0236A" w:rsidRPr="00073574" w:rsidRDefault="00F0236A" w:rsidP="00DF36E1">
            <w:pPr>
              <w:pStyle w:val="Tabletext"/>
              <w:rPr>
                <w:sz w:val="24"/>
                <w:szCs w:val="24"/>
              </w:rPr>
            </w:pPr>
          </w:p>
        </w:tc>
        <w:tc>
          <w:tcPr>
            <w:tcW w:w="8801" w:type="dxa"/>
            <w:gridSpan w:val="4"/>
            <w:tcBorders>
              <w:top w:val="single" w:sz="4" w:space="0" w:color="auto"/>
              <w:bottom w:val="single" w:sz="12" w:space="0" w:color="auto"/>
            </w:tcBorders>
            <w:shd w:val="clear" w:color="auto" w:fill="auto"/>
          </w:tcPr>
          <w:p w14:paraId="0D678A95" w14:textId="027DE679" w:rsidR="00F0236A" w:rsidRPr="00073574" w:rsidRDefault="00F0236A" w:rsidP="00DF36E1">
            <w:pPr>
              <w:pStyle w:val="Tabletext"/>
              <w:rPr>
                <w:szCs w:val="22"/>
              </w:rPr>
            </w:pPr>
            <w:r w:rsidRPr="00073574">
              <w:rPr>
                <w:szCs w:val="22"/>
              </w:rPr>
              <w:t>Actions by ITU-T SG2 depend on Contributions</w:t>
            </w:r>
            <w:r w:rsidR="00A46266" w:rsidRPr="00073574">
              <w:rPr>
                <w:szCs w:val="22"/>
              </w:rPr>
              <w:t>, but no such contributions have been received so far</w:t>
            </w:r>
            <w:r w:rsidRPr="00073574">
              <w:rPr>
                <w:szCs w:val="22"/>
              </w:rPr>
              <w:t>.</w:t>
            </w:r>
          </w:p>
        </w:tc>
      </w:tr>
    </w:tbl>
    <w:bookmarkStart w:id="568" w:name="Item93_01"/>
    <w:bookmarkStart w:id="569" w:name="Item93_02"/>
    <w:bookmarkStart w:id="570" w:name="Item93_03"/>
    <w:bookmarkStart w:id="571" w:name="Item93_04"/>
    <w:bookmarkStart w:id="572" w:name="Item93_05"/>
    <w:bookmarkEnd w:id="568"/>
    <w:bookmarkEnd w:id="569"/>
    <w:bookmarkEnd w:id="570"/>
    <w:bookmarkEnd w:id="571"/>
    <w:bookmarkEnd w:id="572"/>
    <w:p w14:paraId="1A312D29" w14:textId="77777777" w:rsidR="00F0236A" w:rsidRPr="00073574" w:rsidRDefault="00F0236A" w:rsidP="00F0236A">
      <w:pPr>
        <w:rPr>
          <w:sz w:val="24"/>
        </w:rPr>
      </w:pPr>
      <w:r w:rsidRPr="00073574">
        <w:rPr>
          <w:color w:val="2B579A"/>
          <w:shd w:val="clear" w:color="auto" w:fill="E6E6E6"/>
        </w:rPr>
        <w:fldChar w:fldCharType="begin"/>
      </w:r>
      <w:r w:rsidRPr="00073574">
        <w:rPr>
          <w:sz w:val="24"/>
        </w:rPr>
        <w:instrText xml:space="preserve"> HYPERLINK \l "Top" </w:instrText>
      </w:r>
      <w:r w:rsidRPr="00073574">
        <w:rPr>
          <w:color w:val="2B579A"/>
          <w:shd w:val="clear" w:color="auto" w:fill="E6E6E6"/>
        </w:rPr>
        <w:fldChar w:fldCharType="separate"/>
      </w:r>
      <w:r w:rsidRPr="00073574">
        <w:rPr>
          <w:rStyle w:val="Hyperlink"/>
          <w:rFonts w:eastAsia="Times New Roman"/>
          <w:sz w:val="24"/>
        </w:rPr>
        <w:t>» Top</w:t>
      </w:r>
      <w:r w:rsidRPr="00073574">
        <w:rPr>
          <w:rStyle w:val="Hyperlink"/>
          <w:rFonts w:eastAsia="Times New Roman"/>
          <w:sz w:val="24"/>
        </w:rPr>
        <w:fldChar w:fldCharType="end"/>
      </w:r>
    </w:p>
    <w:p w14:paraId="6B9E3A49" w14:textId="77777777" w:rsidR="00F0236A" w:rsidRPr="00073574" w:rsidRDefault="00F0236A" w:rsidP="00F0236A">
      <w:pPr>
        <w:pStyle w:val="Heading1"/>
        <w:rPr>
          <w:sz w:val="24"/>
          <w:szCs w:val="24"/>
          <w:lang w:val="en-GB"/>
        </w:rPr>
      </w:pPr>
      <w:bookmarkStart w:id="573" w:name="_Resolution_94_-"/>
      <w:bookmarkStart w:id="574" w:name="_Toc471715408"/>
      <w:bookmarkStart w:id="575" w:name="_Toc93425295"/>
      <w:bookmarkEnd w:id="573"/>
      <w:r w:rsidRPr="00073574">
        <w:rPr>
          <w:sz w:val="24"/>
          <w:szCs w:val="24"/>
          <w:lang w:val="en-GB"/>
        </w:rPr>
        <w:t>Resolution 94 - Standardization work in the ITU Telecommunication Standardization Sector for cloud-based event data technology</w:t>
      </w:r>
      <w:bookmarkEnd w:id="574"/>
      <w:bookmarkEnd w:id="575"/>
    </w:p>
    <w:p w14:paraId="302EEBCC" w14:textId="77777777" w:rsidR="00F0236A" w:rsidRPr="00073574" w:rsidRDefault="00F0236A" w:rsidP="00F0236A">
      <w:pPr>
        <w:rPr>
          <w:b/>
          <w:bCs/>
          <w:sz w:val="24"/>
        </w:rPr>
      </w:pPr>
      <w:r w:rsidRPr="00073574">
        <w:rPr>
          <w:b/>
          <w:bCs/>
          <w:sz w:val="24"/>
        </w:rPr>
        <w:t>Resolution 94</w:t>
      </w:r>
    </w:p>
    <w:p w14:paraId="1318AC88" w14:textId="77777777" w:rsidR="00F0236A" w:rsidRPr="00073574" w:rsidRDefault="00F0236A" w:rsidP="00F0236A">
      <w:pPr>
        <w:pStyle w:val="Call"/>
        <w:rPr>
          <w:sz w:val="24"/>
          <w:szCs w:val="24"/>
          <w:lang w:val="en-GB" w:eastAsia="en-AU"/>
        </w:rPr>
      </w:pPr>
      <w:r w:rsidRPr="00073574">
        <w:rPr>
          <w:sz w:val="24"/>
          <w:szCs w:val="24"/>
          <w:lang w:val="en-GB" w:eastAsia="en-AU"/>
        </w:rPr>
        <w:t>resolves to instruct Study Groups 13, 16, 17 and 20 of the ITU Telecommunication Standardization Sector</w:t>
      </w:r>
    </w:p>
    <w:p w14:paraId="349F9275" w14:textId="77777777" w:rsidR="00F0236A" w:rsidRPr="00073574" w:rsidRDefault="00F0236A" w:rsidP="00F0236A">
      <w:pPr>
        <w:spacing w:after="240"/>
        <w:rPr>
          <w:sz w:val="24"/>
        </w:rPr>
      </w:pPr>
      <w:r w:rsidRPr="00073574">
        <w:rPr>
          <w:sz w:val="24"/>
        </w:rPr>
        <w:t>1</w:t>
      </w:r>
      <w:r w:rsidRPr="00073574">
        <w:rPr>
          <w:sz w:val="24"/>
        </w:rPr>
        <w:tab/>
        <w:t>to evaluate existing, evolving and new Recommendations with respect to cloud-based event data technology;</w:t>
      </w:r>
    </w:p>
    <w:p w14:paraId="68C25D0E" w14:textId="77777777" w:rsidR="00F0236A" w:rsidRPr="00073574" w:rsidRDefault="00F0236A" w:rsidP="00F0236A">
      <w:pPr>
        <w:spacing w:after="240"/>
        <w:rPr>
          <w:sz w:val="24"/>
        </w:rPr>
      </w:pPr>
      <w:r w:rsidRPr="00073574">
        <w:rPr>
          <w:sz w:val="24"/>
        </w:rPr>
        <w:t>2</w:t>
      </w:r>
      <w:r w:rsidRPr="00073574">
        <w:rPr>
          <w:sz w:val="24"/>
        </w:rPr>
        <w:tab/>
        <w:t>to make recommendations to the Telecommunication Standardization Advisory Group on how to address the topics that are outside the mandate of the study groups,</w:t>
      </w:r>
    </w:p>
    <w:p w14:paraId="0378D807" w14:textId="77777777" w:rsidR="00F0236A" w:rsidRPr="00073574" w:rsidRDefault="00F0236A" w:rsidP="00F0236A">
      <w:pPr>
        <w:pStyle w:val="Call"/>
        <w:rPr>
          <w:sz w:val="24"/>
          <w:szCs w:val="24"/>
          <w:lang w:val="en-GB" w:eastAsia="en-AU"/>
        </w:rPr>
      </w:pPr>
      <w:r w:rsidRPr="00073574">
        <w:rPr>
          <w:sz w:val="24"/>
          <w:szCs w:val="24"/>
          <w:lang w:val="en-GB" w:eastAsia="en-AU"/>
        </w:rPr>
        <w:t>instructs the Telecommunication Standardization Advisory Group</w:t>
      </w:r>
    </w:p>
    <w:p w14:paraId="4E043446" w14:textId="77777777" w:rsidR="00F0236A" w:rsidRPr="00073574" w:rsidRDefault="00F0236A" w:rsidP="00F0236A">
      <w:pPr>
        <w:spacing w:after="240"/>
        <w:rPr>
          <w:sz w:val="24"/>
        </w:rPr>
      </w:pPr>
      <w:r w:rsidRPr="00073574">
        <w:rPr>
          <w:sz w:val="24"/>
        </w:rPr>
        <w:t>to drive a concerted effort across relevant study groups to accelerate standardization work on cloud-based event data technology,</w:t>
      </w:r>
    </w:p>
    <w:p w14:paraId="12562FF5" w14:textId="77777777" w:rsidR="00F0236A" w:rsidRPr="00073574" w:rsidRDefault="00F0236A" w:rsidP="00F0236A">
      <w:pPr>
        <w:pStyle w:val="Call"/>
        <w:rPr>
          <w:sz w:val="24"/>
          <w:szCs w:val="24"/>
          <w:lang w:val="en-GB" w:eastAsia="en-AU"/>
        </w:rPr>
      </w:pPr>
      <w:r w:rsidRPr="00073574">
        <w:rPr>
          <w:sz w:val="24"/>
          <w:szCs w:val="24"/>
          <w:lang w:val="en-GB" w:eastAsia="en-AU"/>
        </w:rPr>
        <w:lastRenderedPageBreak/>
        <w:t>instructs the Director of the Telecommunication Standardization Bureau</w:t>
      </w:r>
    </w:p>
    <w:p w14:paraId="0F7A8B45" w14:textId="77777777" w:rsidR="00F0236A" w:rsidRPr="00073574" w:rsidRDefault="00F0236A" w:rsidP="00F0236A">
      <w:pPr>
        <w:spacing w:after="240"/>
        <w:rPr>
          <w:sz w:val="24"/>
        </w:rPr>
      </w:pPr>
      <w:r w:rsidRPr="00073574">
        <w:rPr>
          <w:sz w:val="24"/>
        </w:rPr>
        <w:t>1</w:t>
      </w:r>
      <w:r w:rsidRPr="00073574">
        <w:rPr>
          <w:sz w:val="24"/>
        </w:rPr>
        <w:tab/>
        <w:t>to provide the necessary assistance to speed up standardization work on cloud-based event data technology and to encourage participation and contributions from Member States, particularly developing countries;</w:t>
      </w:r>
    </w:p>
    <w:p w14:paraId="6B3D918F" w14:textId="77777777" w:rsidR="00F0236A" w:rsidRPr="00073574" w:rsidRDefault="00F0236A" w:rsidP="00F0236A">
      <w:pPr>
        <w:spacing w:after="240"/>
        <w:rPr>
          <w:sz w:val="24"/>
        </w:rPr>
      </w:pPr>
      <w:r w:rsidRPr="00073574">
        <w:rPr>
          <w:sz w:val="24"/>
        </w:rPr>
        <w:t>2</w:t>
      </w:r>
      <w:r w:rsidRPr="00073574">
        <w:rPr>
          <w:sz w:val="24"/>
        </w:rPr>
        <w:tab/>
        <w:t>to organize (a) workshop(s) to collect requirements and inputs on this topic from a wide range of various stakeholders,</w:t>
      </w:r>
    </w:p>
    <w:p w14:paraId="3405FD55" w14:textId="77777777" w:rsidR="00F0236A" w:rsidRPr="00073574" w:rsidRDefault="00F0236A" w:rsidP="00F0236A">
      <w:pPr>
        <w:pStyle w:val="Call"/>
        <w:rPr>
          <w:sz w:val="24"/>
          <w:szCs w:val="24"/>
          <w:lang w:val="en-GB" w:eastAsia="en-AU"/>
        </w:rPr>
      </w:pPr>
      <w:r w:rsidRPr="00073574">
        <w:rPr>
          <w:sz w:val="24"/>
          <w:szCs w:val="24"/>
          <w:lang w:val="en-GB" w:eastAsia="en-AU"/>
        </w:rPr>
        <w:t>invites Member States, Sector Members, Associates and academia</w:t>
      </w:r>
    </w:p>
    <w:p w14:paraId="64D46C62" w14:textId="77777777" w:rsidR="00F0236A" w:rsidRPr="00073574" w:rsidRDefault="00F0236A" w:rsidP="00F0236A">
      <w:pPr>
        <w:spacing w:after="240"/>
        <w:rPr>
          <w:sz w:val="24"/>
        </w:rPr>
      </w:pPr>
      <w:r w:rsidRPr="00073574">
        <w:rPr>
          <w:sz w:val="24"/>
        </w:rPr>
        <w:t>to submit contributions for developing standards for cloud-based event data technology.</w:t>
      </w:r>
    </w:p>
    <w:tbl>
      <w:tblPr>
        <w:tblW w:w="99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31"/>
        <w:gridCol w:w="4986"/>
        <w:gridCol w:w="1336"/>
        <w:gridCol w:w="1143"/>
        <w:gridCol w:w="1336"/>
      </w:tblGrid>
      <w:tr w:rsidR="00F0236A" w:rsidRPr="00073574" w14:paraId="1C07595E" w14:textId="77777777" w:rsidTr="00980D27">
        <w:trPr>
          <w:cantSplit/>
          <w:tblHeader/>
          <w:jc w:val="center"/>
        </w:trPr>
        <w:tc>
          <w:tcPr>
            <w:tcW w:w="1131" w:type="dxa"/>
            <w:tcBorders>
              <w:top w:val="single" w:sz="12" w:space="0" w:color="auto"/>
              <w:bottom w:val="single" w:sz="12" w:space="0" w:color="auto"/>
            </w:tcBorders>
            <w:shd w:val="clear" w:color="auto" w:fill="auto"/>
            <w:vAlign w:val="center"/>
          </w:tcPr>
          <w:p w14:paraId="444EE8E2" w14:textId="77777777" w:rsidR="00F0236A" w:rsidRPr="00073574" w:rsidRDefault="00F0236A" w:rsidP="00372280">
            <w:pPr>
              <w:pStyle w:val="Tablehead"/>
              <w:keepNext w:val="0"/>
              <w:rPr>
                <w:sz w:val="24"/>
                <w:szCs w:val="24"/>
              </w:rPr>
            </w:pPr>
            <w:r w:rsidRPr="00073574">
              <w:rPr>
                <w:sz w:val="24"/>
                <w:szCs w:val="24"/>
              </w:rPr>
              <w:t>Action Item</w:t>
            </w:r>
          </w:p>
        </w:tc>
        <w:tc>
          <w:tcPr>
            <w:tcW w:w="4986" w:type="dxa"/>
            <w:tcBorders>
              <w:top w:val="single" w:sz="12" w:space="0" w:color="auto"/>
              <w:bottom w:val="single" w:sz="12" w:space="0" w:color="auto"/>
            </w:tcBorders>
            <w:shd w:val="clear" w:color="auto" w:fill="auto"/>
            <w:vAlign w:val="center"/>
            <w:hideMark/>
          </w:tcPr>
          <w:p w14:paraId="2248F48E" w14:textId="77777777" w:rsidR="00F0236A" w:rsidRPr="00073574" w:rsidRDefault="00F0236A" w:rsidP="00980D27">
            <w:pPr>
              <w:pStyle w:val="Tablehead"/>
              <w:keepNext w:val="0"/>
              <w:rPr>
                <w:sz w:val="24"/>
                <w:szCs w:val="24"/>
              </w:rPr>
            </w:pPr>
            <w:r w:rsidRPr="00073574">
              <w:rPr>
                <w:sz w:val="24"/>
                <w:szCs w:val="24"/>
              </w:rPr>
              <w:t>Action</w:t>
            </w:r>
          </w:p>
        </w:tc>
        <w:tc>
          <w:tcPr>
            <w:tcW w:w="1336" w:type="dxa"/>
            <w:tcBorders>
              <w:top w:val="single" w:sz="12" w:space="0" w:color="auto"/>
              <w:bottom w:val="single" w:sz="12" w:space="0" w:color="auto"/>
            </w:tcBorders>
            <w:shd w:val="clear" w:color="auto" w:fill="auto"/>
            <w:vAlign w:val="center"/>
            <w:hideMark/>
          </w:tcPr>
          <w:p w14:paraId="63DAA5E1" w14:textId="77777777" w:rsidR="00F0236A" w:rsidRPr="00073574" w:rsidRDefault="00F0236A" w:rsidP="00980D27">
            <w:pPr>
              <w:pStyle w:val="Tablehead"/>
              <w:keepNext w:val="0"/>
              <w:rPr>
                <w:sz w:val="24"/>
                <w:szCs w:val="24"/>
              </w:rPr>
            </w:pPr>
            <w:r w:rsidRPr="00073574">
              <w:rPr>
                <w:sz w:val="24"/>
                <w:szCs w:val="24"/>
              </w:rPr>
              <w:t>Milestone</w:t>
            </w:r>
          </w:p>
        </w:tc>
        <w:tc>
          <w:tcPr>
            <w:tcW w:w="1143" w:type="dxa"/>
            <w:tcBorders>
              <w:top w:val="single" w:sz="12" w:space="0" w:color="auto"/>
              <w:bottom w:val="single" w:sz="12" w:space="0" w:color="auto"/>
            </w:tcBorders>
            <w:shd w:val="clear" w:color="auto" w:fill="auto"/>
          </w:tcPr>
          <w:p w14:paraId="561A8EB7" w14:textId="77777777" w:rsidR="00F0236A" w:rsidRPr="00073574" w:rsidRDefault="00F0236A" w:rsidP="00980D27">
            <w:pPr>
              <w:pStyle w:val="Tablehead"/>
              <w:keepNext w:val="0"/>
              <w:rPr>
                <w:sz w:val="24"/>
                <w:szCs w:val="24"/>
              </w:rPr>
            </w:pPr>
            <w:r w:rsidRPr="00073574">
              <w:rPr>
                <w:sz w:val="24"/>
                <w:szCs w:val="24"/>
              </w:rPr>
              <w:t>Periodic goals met</w:t>
            </w:r>
          </w:p>
        </w:tc>
        <w:tc>
          <w:tcPr>
            <w:tcW w:w="1336" w:type="dxa"/>
            <w:tcBorders>
              <w:top w:val="single" w:sz="12" w:space="0" w:color="auto"/>
              <w:bottom w:val="single" w:sz="12" w:space="0" w:color="auto"/>
            </w:tcBorders>
            <w:shd w:val="clear" w:color="auto" w:fill="auto"/>
            <w:vAlign w:val="center"/>
          </w:tcPr>
          <w:p w14:paraId="53E1E47C" w14:textId="77777777" w:rsidR="00F0236A" w:rsidRPr="00073574" w:rsidRDefault="00F0236A" w:rsidP="00980D27">
            <w:pPr>
              <w:pStyle w:val="Tablehead"/>
              <w:keepNext w:val="0"/>
              <w:rPr>
                <w:sz w:val="24"/>
                <w:szCs w:val="24"/>
              </w:rPr>
            </w:pPr>
            <w:r w:rsidRPr="00073574">
              <w:rPr>
                <w:sz w:val="24"/>
                <w:szCs w:val="24"/>
              </w:rPr>
              <w:t>Completed</w:t>
            </w:r>
          </w:p>
        </w:tc>
      </w:tr>
      <w:tr w:rsidR="00F0236A" w:rsidRPr="00073574" w14:paraId="2F212EC1" w14:textId="77777777" w:rsidTr="00980D27">
        <w:trPr>
          <w:jc w:val="center"/>
        </w:trPr>
        <w:tc>
          <w:tcPr>
            <w:tcW w:w="1131" w:type="dxa"/>
            <w:vMerge w:val="restart"/>
            <w:tcBorders>
              <w:top w:val="single" w:sz="12" w:space="0" w:color="auto"/>
            </w:tcBorders>
            <w:shd w:val="clear" w:color="auto" w:fill="auto"/>
          </w:tcPr>
          <w:p w14:paraId="60FC2956" w14:textId="77777777" w:rsidR="00F0236A" w:rsidRPr="00073574" w:rsidRDefault="00F0236A" w:rsidP="00980D27">
            <w:pPr>
              <w:pStyle w:val="Tabletext"/>
              <w:rPr>
                <w:b/>
                <w:bCs/>
                <w:sz w:val="24"/>
                <w:szCs w:val="24"/>
              </w:rPr>
            </w:pPr>
            <w:r w:rsidRPr="00073574">
              <w:rPr>
                <w:b/>
                <w:bCs/>
                <w:sz w:val="24"/>
                <w:szCs w:val="24"/>
              </w:rPr>
              <w:t>94-01</w:t>
            </w:r>
          </w:p>
        </w:tc>
        <w:tc>
          <w:tcPr>
            <w:tcW w:w="4986" w:type="dxa"/>
            <w:tcBorders>
              <w:top w:val="single" w:sz="12" w:space="0" w:color="auto"/>
              <w:bottom w:val="single" w:sz="2" w:space="0" w:color="auto"/>
            </w:tcBorders>
            <w:shd w:val="clear" w:color="auto" w:fill="auto"/>
          </w:tcPr>
          <w:p w14:paraId="44CABF4E" w14:textId="77777777" w:rsidR="00F0236A" w:rsidRPr="00073574" w:rsidRDefault="00F0236A" w:rsidP="00980D27">
            <w:pPr>
              <w:pStyle w:val="Tabletext"/>
              <w:rPr>
                <w:b/>
                <w:bCs/>
                <w:sz w:val="24"/>
                <w:szCs w:val="24"/>
              </w:rPr>
            </w:pPr>
            <w:r w:rsidRPr="00073574">
              <w:rPr>
                <w:b/>
                <w:bCs/>
                <w:sz w:val="24"/>
                <w:szCs w:val="24"/>
              </w:rPr>
              <w:t>ITU-T Study Groups 13, 16, 17, 20 to evaluate existing, evolving and new Recommendations with respect to cloud-based event data technology (resolves 1)</w:t>
            </w:r>
          </w:p>
        </w:tc>
        <w:tc>
          <w:tcPr>
            <w:tcW w:w="1336" w:type="dxa"/>
            <w:tcBorders>
              <w:top w:val="single" w:sz="12" w:space="0" w:color="auto"/>
              <w:bottom w:val="single" w:sz="2" w:space="0" w:color="auto"/>
            </w:tcBorders>
            <w:shd w:val="clear" w:color="auto" w:fill="auto"/>
            <w:vAlign w:val="center"/>
          </w:tcPr>
          <w:p w14:paraId="3119DEDD" w14:textId="77777777" w:rsidR="00F0236A" w:rsidRPr="00073574" w:rsidRDefault="00F0236A" w:rsidP="00980D27">
            <w:pPr>
              <w:pStyle w:val="Tabletext"/>
              <w:jc w:val="center"/>
              <w:rPr>
                <w:b/>
                <w:bCs/>
                <w:sz w:val="24"/>
                <w:szCs w:val="24"/>
              </w:rPr>
            </w:pPr>
            <w:r w:rsidRPr="00073574">
              <w:rPr>
                <w:b/>
                <w:bCs/>
                <w:sz w:val="24"/>
                <w:szCs w:val="24"/>
              </w:rPr>
              <w:t>Ongoing</w:t>
            </w:r>
          </w:p>
        </w:tc>
        <w:tc>
          <w:tcPr>
            <w:tcW w:w="1143" w:type="dxa"/>
            <w:tcBorders>
              <w:top w:val="single" w:sz="12" w:space="0" w:color="auto"/>
              <w:bottom w:val="single" w:sz="2" w:space="0" w:color="auto"/>
            </w:tcBorders>
            <w:shd w:val="clear" w:color="auto" w:fill="auto"/>
            <w:vAlign w:val="center"/>
          </w:tcPr>
          <w:p w14:paraId="4887A1B8" w14:textId="77777777" w:rsidR="00F0236A" w:rsidRPr="00073574" w:rsidRDefault="00F0236A" w:rsidP="00980D27">
            <w:pPr>
              <w:pStyle w:val="Tabletext"/>
              <w:jc w:val="center"/>
              <w:rPr>
                <w:b/>
                <w:bCs/>
                <w:sz w:val="24"/>
                <w:szCs w:val="24"/>
              </w:rPr>
            </w:pPr>
            <w:r w:rsidRPr="00073574">
              <w:rPr>
                <w:b/>
                <w:bCs/>
                <w:sz w:val="24"/>
                <w:szCs w:val="24"/>
              </w:rPr>
              <w:t>√</w:t>
            </w:r>
          </w:p>
        </w:tc>
        <w:tc>
          <w:tcPr>
            <w:tcW w:w="1336" w:type="dxa"/>
            <w:tcBorders>
              <w:top w:val="single" w:sz="12" w:space="0" w:color="auto"/>
              <w:bottom w:val="single" w:sz="2" w:space="0" w:color="auto"/>
            </w:tcBorders>
            <w:shd w:val="clear" w:color="auto" w:fill="auto"/>
            <w:vAlign w:val="center"/>
          </w:tcPr>
          <w:p w14:paraId="1653FD18" w14:textId="77777777" w:rsidR="00F0236A" w:rsidRPr="00073574" w:rsidRDefault="00F0236A" w:rsidP="00980D27">
            <w:pPr>
              <w:pStyle w:val="Tabletext"/>
              <w:jc w:val="center"/>
              <w:rPr>
                <w:b/>
                <w:bCs/>
                <w:sz w:val="24"/>
                <w:szCs w:val="24"/>
              </w:rPr>
            </w:pPr>
          </w:p>
        </w:tc>
      </w:tr>
      <w:tr w:rsidR="00F0236A" w:rsidRPr="00073574" w14:paraId="69D23214" w14:textId="77777777" w:rsidTr="00980D27">
        <w:trPr>
          <w:jc w:val="center"/>
        </w:trPr>
        <w:tc>
          <w:tcPr>
            <w:tcW w:w="1131" w:type="dxa"/>
            <w:vMerge/>
          </w:tcPr>
          <w:p w14:paraId="270B5BF6" w14:textId="77777777" w:rsidR="00F0236A" w:rsidRPr="00073574" w:rsidRDefault="00F0236A" w:rsidP="00980D27">
            <w:pPr>
              <w:pStyle w:val="Tabletext"/>
              <w:rPr>
                <w:sz w:val="24"/>
                <w:szCs w:val="24"/>
              </w:rPr>
            </w:pPr>
          </w:p>
        </w:tc>
        <w:tc>
          <w:tcPr>
            <w:tcW w:w="8801" w:type="dxa"/>
            <w:gridSpan w:val="4"/>
            <w:tcBorders>
              <w:top w:val="single" w:sz="2" w:space="0" w:color="auto"/>
              <w:bottom w:val="single" w:sz="12" w:space="0" w:color="auto"/>
            </w:tcBorders>
            <w:shd w:val="clear" w:color="auto" w:fill="auto"/>
          </w:tcPr>
          <w:p w14:paraId="79D3A888" w14:textId="383A4755" w:rsidR="00F0236A" w:rsidRPr="00073574" w:rsidRDefault="00F0236A" w:rsidP="00980D27">
            <w:pPr>
              <w:pStyle w:val="ListParagraph"/>
              <w:numPr>
                <w:ilvl w:val="0"/>
                <w:numId w:val="37"/>
              </w:numPr>
              <w:spacing w:before="40"/>
              <w:ind w:hanging="357"/>
            </w:pPr>
            <w:r w:rsidRPr="00073574">
              <w:t>SG13 requested the Rapporteurs of Questions 17/13, 18/13 and 19/13 to inspect their deliverables from the perspective of event management study.</w:t>
            </w:r>
            <w:r w:rsidR="2C67D4F0" w:rsidRPr="00073574">
              <w:t xml:space="preserve"> See </w:t>
            </w:r>
            <w:r w:rsidR="579DC425" w:rsidRPr="00073574">
              <w:t>SG13-</w:t>
            </w:r>
            <w:r w:rsidR="2C67D4F0" w:rsidRPr="00073574">
              <w:t>TD234.</w:t>
            </w:r>
          </w:p>
          <w:p w14:paraId="47F56423" w14:textId="6906B9A2" w:rsidR="00F0236A" w:rsidRPr="00073574" w:rsidRDefault="38693D2C" w:rsidP="00980D27">
            <w:pPr>
              <w:pStyle w:val="ListParagraph"/>
              <w:numPr>
                <w:ilvl w:val="0"/>
                <w:numId w:val="37"/>
              </w:numPr>
              <w:contextualSpacing w:val="0"/>
              <w:rPr>
                <w:rFonts w:eastAsia="Times New Roman"/>
              </w:rPr>
            </w:pPr>
            <w:r w:rsidRPr="00073574">
              <w:t xml:space="preserve">The work </w:t>
            </w:r>
            <w:r w:rsidR="301F071D" w:rsidRPr="00073574">
              <w:t xml:space="preserve">in SG16 </w:t>
            </w:r>
            <w:r w:rsidRPr="00073574">
              <w:t>on visual surveillance progressed with the approval of new Recommendation ITU-T H.626.2 (ex H.CSVSArch) that defines an architecture for cloud storage in visual surveillance systems</w:t>
            </w:r>
            <w:r w:rsidR="00F0236A" w:rsidRPr="00073574">
              <w:t>.</w:t>
            </w:r>
            <w:r w:rsidR="10415BF2" w:rsidRPr="00073574">
              <w:t xml:space="preserve"> SG16 also completed </w:t>
            </w:r>
            <w:r w:rsidR="15807ABA" w:rsidRPr="00073574">
              <w:t xml:space="preserve">Recommendation ITU-T </w:t>
            </w:r>
            <w:r w:rsidR="10415BF2" w:rsidRPr="00073574">
              <w:t>F.743.8 "Requirements for cloud computing platform supporting a visual surveillance system" in March 2019.</w:t>
            </w:r>
            <w:r w:rsidR="2DD43D0B" w:rsidRPr="00073574">
              <w:t xml:space="preserve"> Other WI</w:t>
            </w:r>
            <w:r w:rsidR="31D383B8" w:rsidRPr="00073574">
              <w:t>s</w:t>
            </w:r>
            <w:r w:rsidR="2DD43D0B" w:rsidRPr="00073574">
              <w:t xml:space="preserve"> continue under development that apply cloud technology to visual surveillance (</w:t>
            </w:r>
            <w:hyperlink r:id="rId829">
              <w:r w:rsidR="2DD43D0B" w:rsidRPr="00073574">
                <w:rPr>
                  <w:rStyle w:val="Hyperlink"/>
                  <w:rFonts w:eastAsia="Times New Roman"/>
                  <w:sz w:val="24"/>
                </w:rPr>
                <w:t>H.CCVS</w:t>
              </w:r>
            </w:hyperlink>
            <w:r w:rsidR="2DD43D0B" w:rsidRPr="00073574">
              <w:rPr>
                <w:rFonts w:eastAsia="Times New Roman"/>
                <w:sz w:val="24"/>
              </w:rPr>
              <w:t>, Architecture for cloud computing in visual surveillance)</w:t>
            </w:r>
            <w:r w:rsidR="22F7625C" w:rsidRPr="00073574">
              <w:rPr>
                <w:rFonts w:eastAsia="Times New Roman"/>
                <w:sz w:val="24"/>
              </w:rPr>
              <w:t>.</w:t>
            </w:r>
          </w:p>
          <w:p w14:paraId="0C00B9F0" w14:textId="77777777" w:rsidR="00F0236A" w:rsidRPr="00073574" w:rsidRDefault="00F0236A" w:rsidP="00980D27">
            <w:pPr>
              <w:pStyle w:val="ListParagraph"/>
              <w:numPr>
                <w:ilvl w:val="0"/>
                <w:numId w:val="37"/>
              </w:numPr>
              <w:ind w:hanging="357"/>
              <w:contextualSpacing w:val="0"/>
              <w:rPr>
                <w:sz w:val="24"/>
              </w:rPr>
            </w:pPr>
            <w:r w:rsidRPr="00073574">
              <w:t>SG17 in its first</w:t>
            </w:r>
            <w:r w:rsidR="00D219B4" w:rsidRPr="00073574">
              <w:t xml:space="preserve"> and second</w:t>
            </w:r>
            <w:r w:rsidRPr="00073574">
              <w:t xml:space="preserve"> meeting</w:t>
            </w:r>
            <w:r w:rsidR="00D219B4" w:rsidRPr="00073574">
              <w:t>s</w:t>
            </w:r>
            <w:r w:rsidRPr="00073574">
              <w:t xml:space="preserve"> discussed and observed potential value of EDR (Event Data Recorder - a core of the event data technologies) to broader industry sectors beyond the aviation industry and agreed that the security aspects of EDR should be led by Q4/17 (Cybersecurity) as well as in other Qu</w:t>
            </w:r>
            <w:r w:rsidR="008E008B" w:rsidRPr="00073574">
              <w:t>estions of SG</w:t>
            </w:r>
            <w:r w:rsidRPr="00073574">
              <w:t>17.</w:t>
            </w:r>
          </w:p>
          <w:p w14:paraId="778FAE9E" w14:textId="77777777" w:rsidR="00C83E3D" w:rsidRPr="00073574" w:rsidRDefault="00C83E3D" w:rsidP="00980D27">
            <w:pPr>
              <w:ind w:left="363"/>
            </w:pPr>
            <w:r w:rsidRPr="00073574">
              <w:t>SG17 recognized that the cloud based event data technology highlighted in WTSA-16 Resolution 94 is based on a core technology of EDR (Event Data Recorder) rather than based on the cloud computing technology. SG17 believes that the technology should not be limited to a specific sector application such as aviation industry, but should be applicable for other sectors such as automotive, maritime and railway industries.</w:t>
            </w:r>
          </w:p>
          <w:p w14:paraId="053E57FD" w14:textId="77777777" w:rsidR="00A17595" w:rsidRPr="00073574" w:rsidRDefault="00FC1B74" w:rsidP="00980D27">
            <w:pPr>
              <w:ind w:left="363"/>
            </w:pPr>
            <w:r w:rsidRPr="00073574">
              <w:t>SG</w:t>
            </w:r>
            <w:r w:rsidR="00EF77A2" w:rsidRPr="00073574">
              <w:t xml:space="preserve">17 </w:t>
            </w:r>
            <w:r w:rsidRPr="00073574">
              <w:t xml:space="preserve">has </w:t>
            </w:r>
            <w:r w:rsidR="00EF77A2" w:rsidRPr="00073574">
              <w:t>continued discussi</w:t>
            </w:r>
            <w:r w:rsidRPr="00073574">
              <w:t>ng issues concerning the security aspects of event data technologies, w</w:t>
            </w:r>
            <w:r w:rsidR="00586A34" w:rsidRPr="00073574">
              <w:t>here</w:t>
            </w:r>
            <w:r w:rsidRPr="00073574">
              <w:t xml:space="preserve"> Question 4/17 </w:t>
            </w:r>
            <w:r w:rsidR="00586A34" w:rsidRPr="00073574">
              <w:t xml:space="preserve">is taking the lead and </w:t>
            </w:r>
            <w:r w:rsidR="00F70192" w:rsidRPr="00073574">
              <w:t xml:space="preserve">will be collecting information from each Question on existing Recommendations that are useful to consider the security aspects of cloud-based event data technologies; </w:t>
            </w:r>
            <w:r w:rsidR="0052715D" w:rsidRPr="00073574">
              <w:t xml:space="preserve">Q13/17 will be studying EDR in the context of ITS. </w:t>
            </w:r>
            <w:r w:rsidR="00F70192" w:rsidRPr="00073574">
              <w:t xml:space="preserve">SG17 sent </w:t>
            </w:r>
            <w:r w:rsidRPr="00073574">
              <w:t>liaison letters to SAE/ICAO and APT ASTAP.</w:t>
            </w:r>
            <w:r w:rsidR="00A17595" w:rsidRPr="00073574">
              <w:t xml:space="preserve"> SG17 also informed TSAG on the findings of the studies (see </w:t>
            </w:r>
            <w:hyperlink r:id="rId830" w:history="1">
              <w:r w:rsidR="00A17595" w:rsidRPr="00073574">
                <w:rPr>
                  <w:rStyle w:val="Hyperlink"/>
                </w:rPr>
                <w:t>TSAG-TD235</w:t>
              </w:r>
            </w:hyperlink>
            <w:r w:rsidR="00A17595" w:rsidRPr="00073574">
              <w:t>).</w:t>
            </w:r>
          </w:p>
          <w:p w14:paraId="1A005E4D" w14:textId="2EEB948C" w:rsidR="0004463E" w:rsidRPr="00073574" w:rsidRDefault="0004463E" w:rsidP="00980D27">
            <w:pPr>
              <w:spacing w:after="40"/>
              <w:ind w:left="363"/>
            </w:pPr>
            <w:r w:rsidRPr="00073574">
              <w:t xml:space="preserve">SG17 </w:t>
            </w:r>
            <w:r w:rsidR="007A1E70" w:rsidRPr="00073574">
              <w:t xml:space="preserve">Q13/17 </w:t>
            </w:r>
            <w:r w:rsidRPr="00073574">
              <w:t xml:space="preserve">is working on draft new Recommendation X.edrsec </w:t>
            </w:r>
            <w:r w:rsidRPr="00073574">
              <w:rPr>
                <w:bCs/>
                <w:i/>
                <w:iCs/>
              </w:rPr>
              <w:t>Security guidelines for cloud-based event data recorders in automotive environment</w:t>
            </w:r>
            <w:r w:rsidRPr="00073574">
              <w:t>.</w:t>
            </w:r>
          </w:p>
          <w:p w14:paraId="2C0F80F0" w14:textId="35C0E89A" w:rsidR="008F6649" w:rsidRPr="00073574" w:rsidRDefault="008F6649" w:rsidP="00594834">
            <w:pPr>
              <w:pStyle w:val="ListParagraph"/>
              <w:numPr>
                <w:ilvl w:val="0"/>
                <w:numId w:val="37"/>
              </w:numPr>
              <w:spacing w:after="40"/>
            </w:pPr>
            <w:r w:rsidRPr="00073574">
              <w:t>SG20 is working on draft Recommendation ITU-T Y.AI-DECCS</w:t>
            </w:r>
            <w:r w:rsidR="007F312E" w:rsidRPr="00073574">
              <w:t xml:space="preserve"> “Functional architecture of AI enabled device-edge-cloud collaborative services for IoT and smart city”</w:t>
            </w:r>
            <w:r w:rsidR="000906BE" w:rsidRPr="00073574">
              <w:t xml:space="preserve"> and</w:t>
            </w:r>
            <w:r w:rsidR="00A63769" w:rsidRPr="00073574">
              <w:t xml:space="preserve"> Y.</w:t>
            </w:r>
            <w:r w:rsidR="00176DC8" w:rsidRPr="00073574">
              <w:t>IoT-CONV-fr</w:t>
            </w:r>
            <w:r w:rsidR="008C385F" w:rsidRPr="00073574">
              <w:t xml:space="preserve"> “Convergence framework for enhancement of service intelligence based on Internet of Things</w:t>
            </w:r>
            <w:r w:rsidR="007F312E" w:rsidRPr="00073574">
              <w:t>”</w:t>
            </w:r>
            <w:r w:rsidR="00FC1A99" w:rsidRPr="00073574">
              <w:t>.</w:t>
            </w:r>
          </w:p>
        </w:tc>
      </w:tr>
      <w:tr w:rsidR="00F0236A" w:rsidRPr="00073574" w14:paraId="7B1FCEF3" w14:textId="77777777" w:rsidTr="00980D27">
        <w:trPr>
          <w:cantSplit/>
          <w:jc w:val="center"/>
        </w:trPr>
        <w:tc>
          <w:tcPr>
            <w:tcW w:w="1131" w:type="dxa"/>
            <w:vMerge w:val="restart"/>
            <w:tcBorders>
              <w:top w:val="single" w:sz="12" w:space="0" w:color="auto"/>
            </w:tcBorders>
            <w:shd w:val="clear" w:color="auto" w:fill="auto"/>
          </w:tcPr>
          <w:p w14:paraId="3FD820A0" w14:textId="77777777" w:rsidR="00F0236A" w:rsidRPr="00073574" w:rsidRDefault="00F0236A" w:rsidP="00980D27">
            <w:pPr>
              <w:pStyle w:val="Tabletext"/>
              <w:rPr>
                <w:b/>
                <w:bCs/>
                <w:sz w:val="24"/>
                <w:szCs w:val="24"/>
              </w:rPr>
            </w:pPr>
            <w:r w:rsidRPr="00073574">
              <w:rPr>
                <w:b/>
                <w:bCs/>
                <w:sz w:val="24"/>
                <w:szCs w:val="24"/>
              </w:rPr>
              <w:lastRenderedPageBreak/>
              <w:t>94-02</w:t>
            </w:r>
          </w:p>
        </w:tc>
        <w:tc>
          <w:tcPr>
            <w:tcW w:w="4986" w:type="dxa"/>
            <w:tcBorders>
              <w:top w:val="single" w:sz="12" w:space="0" w:color="auto"/>
              <w:bottom w:val="single" w:sz="4" w:space="0" w:color="auto"/>
            </w:tcBorders>
            <w:shd w:val="clear" w:color="auto" w:fill="auto"/>
          </w:tcPr>
          <w:p w14:paraId="61688186" w14:textId="77777777" w:rsidR="00F0236A" w:rsidRPr="00073574" w:rsidRDefault="00F0236A" w:rsidP="00980D27">
            <w:pPr>
              <w:pStyle w:val="Tabletext"/>
              <w:rPr>
                <w:b/>
                <w:bCs/>
                <w:sz w:val="24"/>
                <w:szCs w:val="24"/>
              </w:rPr>
            </w:pPr>
            <w:r w:rsidRPr="00073574">
              <w:rPr>
                <w:b/>
                <w:bCs/>
                <w:sz w:val="24"/>
                <w:szCs w:val="24"/>
              </w:rPr>
              <w:t>ITU-T Study Groups 13, 16, 17, 20 to make recommendations to the Telecommunication Standardization Advisory Group on how to address the topics that are outside the mandate of the study groups (resolves 2)</w:t>
            </w:r>
          </w:p>
        </w:tc>
        <w:tc>
          <w:tcPr>
            <w:tcW w:w="1336" w:type="dxa"/>
            <w:tcBorders>
              <w:top w:val="single" w:sz="12" w:space="0" w:color="auto"/>
              <w:bottom w:val="single" w:sz="4" w:space="0" w:color="auto"/>
            </w:tcBorders>
            <w:shd w:val="clear" w:color="auto" w:fill="auto"/>
            <w:vAlign w:val="center"/>
          </w:tcPr>
          <w:p w14:paraId="013DE500" w14:textId="77777777" w:rsidR="00F0236A" w:rsidRPr="00073574" w:rsidRDefault="00F0236A" w:rsidP="00980D27">
            <w:pPr>
              <w:pStyle w:val="Tabletext"/>
              <w:jc w:val="center"/>
              <w:rPr>
                <w:b/>
                <w:bCs/>
                <w:sz w:val="24"/>
                <w:szCs w:val="24"/>
              </w:rPr>
            </w:pPr>
            <w:r w:rsidRPr="00073574">
              <w:rPr>
                <w:b/>
                <w:bCs/>
                <w:sz w:val="24"/>
                <w:szCs w:val="24"/>
              </w:rPr>
              <w:t>TSAG meetings,</w:t>
            </w:r>
          </w:p>
          <w:p w14:paraId="3E86D305" w14:textId="77777777" w:rsidR="00F0236A" w:rsidRPr="00073574" w:rsidRDefault="00F0236A" w:rsidP="00980D27">
            <w:pPr>
              <w:pStyle w:val="Tabletext"/>
              <w:jc w:val="center"/>
              <w:rPr>
                <w:b/>
                <w:bCs/>
                <w:sz w:val="24"/>
                <w:szCs w:val="24"/>
              </w:rPr>
            </w:pPr>
            <w:r w:rsidRPr="00073574">
              <w:rPr>
                <w:b/>
                <w:bCs/>
                <w:sz w:val="24"/>
                <w:szCs w:val="24"/>
              </w:rPr>
              <w:t>Ongoing</w:t>
            </w:r>
          </w:p>
        </w:tc>
        <w:tc>
          <w:tcPr>
            <w:tcW w:w="1143" w:type="dxa"/>
            <w:tcBorders>
              <w:top w:val="single" w:sz="12" w:space="0" w:color="auto"/>
              <w:bottom w:val="single" w:sz="4" w:space="0" w:color="auto"/>
            </w:tcBorders>
            <w:shd w:val="clear" w:color="auto" w:fill="auto"/>
            <w:vAlign w:val="center"/>
          </w:tcPr>
          <w:p w14:paraId="555A2C20" w14:textId="7D5BB7AC" w:rsidR="00F0236A" w:rsidRPr="00073574" w:rsidRDefault="00E701CF" w:rsidP="00980D27">
            <w:pPr>
              <w:pStyle w:val="Tabletext"/>
              <w:jc w:val="center"/>
              <w:rPr>
                <w:b/>
                <w:bCs/>
                <w:sz w:val="24"/>
                <w:szCs w:val="24"/>
              </w:rPr>
            </w:pPr>
            <w:r w:rsidRPr="00073574">
              <w:rPr>
                <w:b/>
                <w:bCs/>
                <w:sz w:val="24"/>
                <w:szCs w:val="24"/>
              </w:rPr>
              <w:t>√</w:t>
            </w:r>
          </w:p>
        </w:tc>
        <w:tc>
          <w:tcPr>
            <w:tcW w:w="1336" w:type="dxa"/>
            <w:tcBorders>
              <w:top w:val="single" w:sz="12" w:space="0" w:color="auto"/>
              <w:bottom w:val="single" w:sz="4" w:space="0" w:color="auto"/>
            </w:tcBorders>
            <w:shd w:val="clear" w:color="auto" w:fill="auto"/>
            <w:vAlign w:val="center"/>
          </w:tcPr>
          <w:p w14:paraId="7F5BAD99" w14:textId="77777777" w:rsidR="00F0236A" w:rsidRPr="00073574" w:rsidRDefault="00F0236A" w:rsidP="00980D27">
            <w:pPr>
              <w:pStyle w:val="Tabletext"/>
              <w:jc w:val="center"/>
              <w:rPr>
                <w:b/>
                <w:bCs/>
                <w:sz w:val="24"/>
                <w:szCs w:val="24"/>
              </w:rPr>
            </w:pPr>
          </w:p>
        </w:tc>
      </w:tr>
      <w:tr w:rsidR="00F0236A" w:rsidRPr="00073574" w14:paraId="3C452B80" w14:textId="77777777" w:rsidTr="00980D27">
        <w:trPr>
          <w:cantSplit/>
          <w:jc w:val="center"/>
        </w:trPr>
        <w:tc>
          <w:tcPr>
            <w:tcW w:w="1131" w:type="dxa"/>
            <w:vMerge/>
          </w:tcPr>
          <w:p w14:paraId="0E533099" w14:textId="77777777" w:rsidR="00F0236A" w:rsidRPr="00073574" w:rsidRDefault="00F0236A" w:rsidP="00980D27">
            <w:pPr>
              <w:pStyle w:val="Tabletext"/>
              <w:rPr>
                <w:sz w:val="24"/>
                <w:szCs w:val="24"/>
              </w:rPr>
            </w:pPr>
          </w:p>
        </w:tc>
        <w:tc>
          <w:tcPr>
            <w:tcW w:w="8801" w:type="dxa"/>
            <w:gridSpan w:val="4"/>
            <w:tcBorders>
              <w:top w:val="single" w:sz="4" w:space="0" w:color="auto"/>
              <w:bottom w:val="single" w:sz="12" w:space="0" w:color="auto"/>
            </w:tcBorders>
            <w:shd w:val="clear" w:color="auto" w:fill="auto"/>
          </w:tcPr>
          <w:p w14:paraId="287C1BD9" w14:textId="5640AB63" w:rsidR="00F0236A" w:rsidRPr="00073574" w:rsidRDefault="7E00F816" w:rsidP="00980D27">
            <w:pPr>
              <w:pStyle w:val="Tabletext"/>
            </w:pPr>
            <w:r w:rsidRPr="00073574">
              <w:t>No issues identified so far.</w:t>
            </w:r>
          </w:p>
        </w:tc>
      </w:tr>
      <w:tr w:rsidR="00F0236A" w:rsidRPr="00073574" w14:paraId="1CB27991" w14:textId="77777777" w:rsidTr="00980D27">
        <w:trPr>
          <w:cantSplit/>
          <w:jc w:val="center"/>
        </w:trPr>
        <w:tc>
          <w:tcPr>
            <w:tcW w:w="1131" w:type="dxa"/>
            <w:vMerge w:val="restart"/>
            <w:tcBorders>
              <w:top w:val="single" w:sz="12" w:space="0" w:color="auto"/>
            </w:tcBorders>
            <w:shd w:val="clear" w:color="auto" w:fill="auto"/>
          </w:tcPr>
          <w:p w14:paraId="44A294E8" w14:textId="77777777" w:rsidR="00F0236A" w:rsidRPr="00073574" w:rsidRDefault="00F0236A" w:rsidP="00980D27">
            <w:pPr>
              <w:pStyle w:val="Tabletext"/>
              <w:rPr>
                <w:b/>
                <w:bCs/>
                <w:sz w:val="24"/>
                <w:szCs w:val="24"/>
              </w:rPr>
            </w:pPr>
            <w:r w:rsidRPr="00073574">
              <w:rPr>
                <w:b/>
                <w:bCs/>
                <w:sz w:val="24"/>
                <w:szCs w:val="24"/>
              </w:rPr>
              <w:t>94-03</w:t>
            </w:r>
          </w:p>
        </w:tc>
        <w:tc>
          <w:tcPr>
            <w:tcW w:w="4986" w:type="dxa"/>
            <w:tcBorders>
              <w:top w:val="single" w:sz="12" w:space="0" w:color="auto"/>
              <w:bottom w:val="single" w:sz="4" w:space="0" w:color="auto"/>
            </w:tcBorders>
            <w:shd w:val="clear" w:color="auto" w:fill="auto"/>
          </w:tcPr>
          <w:p w14:paraId="2C376618" w14:textId="77777777" w:rsidR="00F0236A" w:rsidRPr="00073574" w:rsidRDefault="00F0236A" w:rsidP="00980D27">
            <w:pPr>
              <w:pStyle w:val="Tabletext"/>
              <w:rPr>
                <w:b/>
                <w:bCs/>
                <w:sz w:val="24"/>
                <w:szCs w:val="24"/>
              </w:rPr>
            </w:pPr>
            <w:r w:rsidRPr="00073574">
              <w:rPr>
                <w:b/>
                <w:bCs/>
                <w:sz w:val="24"/>
                <w:szCs w:val="24"/>
              </w:rPr>
              <w:t>TSAG to drive a concerted effort across relevant study groups to accelerate standardization work on cloud-based event data technology (i. TSAG)</w:t>
            </w:r>
          </w:p>
        </w:tc>
        <w:tc>
          <w:tcPr>
            <w:tcW w:w="1336" w:type="dxa"/>
            <w:tcBorders>
              <w:top w:val="single" w:sz="12" w:space="0" w:color="auto"/>
              <w:bottom w:val="single" w:sz="4" w:space="0" w:color="auto"/>
            </w:tcBorders>
            <w:shd w:val="clear" w:color="auto" w:fill="auto"/>
            <w:vAlign w:val="center"/>
          </w:tcPr>
          <w:p w14:paraId="64546A14" w14:textId="382C5F0E" w:rsidR="00F0236A" w:rsidRPr="00073574" w:rsidRDefault="00F0236A" w:rsidP="00980D27">
            <w:pPr>
              <w:pStyle w:val="Tabletext"/>
              <w:jc w:val="center"/>
              <w:rPr>
                <w:b/>
                <w:bCs/>
                <w:sz w:val="24"/>
                <w:szCs w:val="24"/>
              </w:rPr>
            </w:pPr>
            <w:r w:rsidRPr="00073574">
              <w:rPr>
                <w:b/>
                <w:bCs/>
                <w:sz w:val="24"/>
                <w:szCs w:val="24"/>
              </w:rPr>
              <w:t>TSAG meetings</w:t>
            </w:r>
          </w:p>
        </w:tc>
        <w:tc>
          <w:tcPr>
            <w:tcW w:w="1143" w:type="dxa"/>
            <w:tcBorders>
              <w:top w:val="single" w:sz="12" w:space="0" w:color="auto"/>
              <w:bottom w:val="single" w:sz="4" w:space="0" w:color="auto"/>
            </w:tcBorders>
            <w:shd w:val="clear" w:color="auto" w:fill="auto"/>
            <w:vAlign w:val="center"/>
          </w:tcPr>
          <w:p w14:paraId="1576666C" w14:textId="42A238D8" w:rsidR="00F0236A" w:rsidRPr="00073574" w:rsidRDefault="00E701CF" w:rsidP="00980D27">
            <w:pPr>
              <w:pStyle w:val="Tabletext"/>
              <w:jc w:val="center"/>
              <w:rPr>
                <w:b/>
                <w:bCs/>
                <w:sz w:val="24"/>
                <w:szCs w:val="24"/>
              </w:rPr>
            </w:pPr>
            <w:r w:rsidRPr="00073574">
              <w:rPr>
                <w:b/>
                <w:bCs/>
                <w:sz w:val="24"/>
                <w:szCs w:val="24"/>
              </w:rPr>
              <w:t>√</w:t>
            </w:r>
          </w:p>
        </w:tc>
        <w:tc>
          <w:tcPr>
            <w:tcW w:w="1336" w:type="dxa"/>
            <w:tcBorders>
              <w:top w:val="single" w:sz="12" w:space="0" w:color="auto"/>
              <w:bottom w:val="single" w:sz="4" w:space="0" w:color="auto"/>
            </w:tcBorders>
            <w:shd w:val="clear" w:color="auto" w:fill="auto"/>
            <w:vAlign w:val="center"/>
          </w:tcPr>
          <w:p w14:paraId="7A43F8F3" w14:textId="77777777" w:rsidR="00F0236A" w:rsidRPr="00073574" w:rsidRDefault="00F0236A" w:rsidP="00980D27">
            <w:pPr>
              <w:pStyle w:val="Tabletext"/>
              <w:jc w:val="center"/>
              <w:rPr>
                <w:b/>
                <w:bCs/>
                <w:sz w:val="24"/>
                <w:szCs w:val="24"/>
              </w:rPr>
            </w:pPr>
          </w:p>
        </w:tc>
      </w:tr>
      <w:tr w:rsidR="00F0236A" w:rsidRPr="00073574" w14:paraId="228197E0" w14:textId="77777777" w:rsidTr="00980D27">
        <w:trPr>
          <w:cantSplit/>
          <w:jc w:val="center"/>
        </w:trPr>
        <w:tc>
          <w:tcPr>
            <w:tcW w:w="1131" w:type="dxa"/>
            <w:vMerge/>
          </w:tcPr>
          <w:p w14:paraId="05EE69C0" w14:textId="77777777" w:rsidR="00F0236A" w:rsidRPr="00073574" w:rsidRDefault="00F0236A" w:rsidP="00980D27">
            <w:pPr>
              <w:pStyle w:val="Tabletext"/>
              <w:rPr>
                <w:sz w:val="24"/>
                <w:szCs w:val="24"/>
              </w:rPr>
            </w:pPr>
          </w:p>
        </w:tc>
        <w:tc>
          <w:tcPr>
            <w:tcW w:w="8801" w:type="dxa"/>
            <w:gridSpan w:val="4"/>
            <w:tcBorders>
              <w:top w:val="single" w:sz="4" w:space="0" w:color="auto"/>
              <w:bottom w:val="single" w:sz="12" w:space="0" w:color="auto"/>
            </w:tcBorders>
            <w:shd w:val="clear" w:color="auto" w:fill="auto"/>
          </w:tcPr>
          <w:p w14:paraId="265B9576" w14:textId="3C169FFF" w:rsidR="00F0236A" w:rsidRPr="00073574" w:rsidRDefault="5E6416D3" w:rsidP="00980D27">
            <w:pPr>
              <w:pStyle w:val="Tabletext"/>
            </w:pPr>
            <w:r w:rsidRPr="00073574">
              <w:t>Activities are well coordinated, no need for TSAG action.</w:t>
            </w:r>
          </w:p>
        </w:tc>
      </w:tr>
      <w:tr w:rsidR="00F0236A" w:rsidRPr="00073574" w14:paraId="5E1E0629" w14:textId="77777777" w:rsidTr="00980D27">
        <w:trPr>
          <w:cantSplit/>
          <w:jc w:val="center"/>
        </w:trPr>
        <w:tc>
          <w:tcPr>
            <w:tcW w:w="1131" w:type="dxa"/>
            <w:vMerge w:val="restart"/>
            <w:tcBorders>
              <w:top w:val="single" w:sz="12" w:space="0" w:color="auto"/>
            </w:tcBorders>
            <w:shd w:val="clear" w:color="auto" w:fill="auto"/>
          </w:tcPr>
          <w:p w14:paraId="60AC3534" w14:textId="77777777" w:rsidR="00F0236A" w:rsidRPr="00073574" w:rsidRDefault="00F0236A" w:rsidP="00980D27">
            <w:pPr>
              <w:pStyle w:val="Tabletext"/>
              <w:rPr>
                <w:b/>
                <w:bCs/>
                <w:sz w:val="24"/>
                <w:szCs w:val="24"/>
              </w:rPr>
            </w:pPr>
            <w:r w:rsidRPr="00073574">
              <w:rPr>
                <w:b/>
                <w:bCs/>
                <w:sz w:val="24"/>
                <w:szCs w:val="24"/>
              </w:rPr>
              <w:t>94-04</w:t>
            </w:r>
          </w:p>
        </w:tc>
        <w:tc>
          <w:tcPr>
            <w:tcW w:w="4986" w:type="dxa"/>
            <w:tcBorders>
              <w:top w:val="single" w:sz="12" w:space="0" w:color="auto"/>
              <w:bottom w:val="single" w:sz="4" w:space="0" w:color="auto"/>
            </w:tcBorders>
            <w:shd w:val="clear" w:color="auto" w:fill="auto"/>
          </w:tcPr>
          <w:p w14:paraId="4981FB02" w14:textId="77777777" w:rsidR="00F0236A" w:rsidRPr="00073574" w:rsidRDefault="00F0236A" w:rsidP="00980D27">
            <w:pPr>
              <w:pStyle w:val="Tabletext"/>
              <w:rPr>
                <w:b/>
                <w:bCs/>
                <w:sz w:val="24"/>
                <w:szCs w:val="24"/>
              </w:rPr>
            </w:pPr>
            <w:r w:rsidRPr="00073574">
              <w:rPr>
                <w:b/>
                <w:bCs/>
                <w:sz w:val="24"/>
                <w:szCs w:val="24"/>
              </w:rPr>
              <w:t>TSB Director to provide the necessary assistance to speed up standardization work on cloud-based event data technology and to encourage participation and contributions from Member States, particularly developing countries (i. TSBDir 1)</w:t>
            </w:r>
          </w:p>
        </w:tc>
        <w:tc>
          <w:tcPr>
            <w:tcW w:w="1336" w:type="dxa"/>
            <w:tcBorders>
              <w:top w:val="single" w:sz="12" w:space="0" w:color="auto"/>
              <w:bottom w:val="single" w:sz="4" w:space="0" w:color="auto"/>
            </w:tcBorders>
            <w:shd w:val="clear" w:color="auto" w:fill="auto"/>
            <w:vAlign w:val="center"/>
          </w:tcPr>
          <w:p w14:paraId="1A8763E1" w14:textId="77777777" w:rsidR="00F0236A" w:rsidRPr="00073574" w:rsidRDefault="00F0236A" w:rsidP="00980D27">
            <w:pPr>
              <w:pStyle w:val="Tabletext"/>
              <w:jc w:val="center"/>
              <w:rPr>
                <w:b/>
                <w:bCs/>
                <w:sz w:val="24"/>
                <w:szCs w:val="24"/>
              </w:rPr>
            </w:pPr>
            <w:r w:rsidRPr="00073574">
              <w:rPr>
                <w:b/>
                <w:bCs/>
                <w:sz w:val="24"/>
                <w:szCs w:val="24"/>
              </w:rPr>
              <w:t>Ongoing</w:t>
            </w:r>
          </w:p>
        </w:tc>
        <w:tc>
          <w:tcPr>
            <w:tcW w:w="1143" w:type="dxa"/>
            <w:tcBorders>
              <w:top w:val="single" w:sz="12" w:space="0" w:color="auto"/>
              <w:bottom w:val="single" w:sz="4" w:space="0" w:color="auto"/>
            </w:tcBorders>
            <w:shd w:val="clear" w:color="auto" w:fill="auto"/>
            <w:vAlign w:val="center"/>
          </w:tcPr>
          <w:p w14:paraId="570F74A5" w14:textId="77777777" w:rsidR="00F0236A" w:rsidRPr="00073574" w:rsidRDefault="00F0236A" w:rsidP="00980D27">
            <w:pPr>
              <w:pStyle w:val="Tabletext"/>
              <w:jc w:val="center"/>
              <w:rPr>
                <w:b/>
                <w:bCs/>
                <w:sz w:val="24"/>
                <w:szCs w:val="24"/>
              </w:rPr>
            </w:pPr>
            <w:r w:rsidRPr="00073574">
              <w:rPr>
                <w:b/>
                <w:bCs/>
                <w:sz w:val="24"/>
                <w:szCs w:val="24"/>
              </w:rPr>
              <w:t>√</w:t>
            </w:r>
          </w:p>
        </w:tc>
        <w:tc>
          <w:tcPr>
            <w:tcW w:w="1336" w:type="dxa"/>
            <w:tcBorders>
              <w:top w:val="single" w:sz="12" w:space="0" w:color="auto"/>
              <w:bottom w:val="single" w:sz="4" w:space="0" w:color="auto"/>
            </w:tcBorders>
            <w:shd w:val="clear" w:color="auto" w:fill="auto"/>
            <w:vAlign w:val="center"/>
          </w:tcPr>
          <w:p w14:paraId="06FAC9D8" w14:textId="77777777" w:rsidR="00F0236A" w:rsidRPr="00073574" w:rsidRDefault="00F0236A" w:rsidP="00980D27">
            <w:pPr>
              <w:pStyle w:val="Tabletext"/>
              <w:jc w:val="center"/>
              <w:rPr>
                <w:b/>
                <w:bCs/>
                <w:sz w:val="24"/>
                <w:szCs w:val="24"/>
              </w:rPr>
            </w:pPr>
          </w:p>
        </w:tc>
      </w:tr>
      <w:tr w:rsidR="00F0236A" w:rsidRPr="00073574" w14:paraId="0D6090E9" w14:textId="77777777" w:rsidTr="00980D27">
        <w:trPr>
          <w:cantSplit/>
          <w:jc w:val="center"/>
        </w:trPr>
        <w:tc>
          <w:tcPr>
            <w:tcW w:w="1131" w:type="dxa"/>
            <w:vMerge/>
          </w:tcPr>
          <w:p w14:paraId="40DF308E" w14:textId="77777777" w:rsidR="00F0236A" w:rsidRPr="00073574" w:rsidRDefault="00F0236A" w:rsidP="00980D27">
            <w:pPr>
              <w:pStyle w:val="Tabletext"/>
              <w:rPr>
                <w:sz w:val="24"/>
                <w:szCs w:val="24"/>
              </w:rPr>
            </w:pPr>
          </w:p>
        </w:tc>
        <w:tc>
          <w:tcPr>
            <w:tcW w:w="8801" w:type="dxa"/>
            <w:gridSpan w:val="4"/>
            <w:tcBorders>
              <w:top w:val="single" w:sz="4" w:space="0" w:color="auto"/>
              <w:bottom w:val="single" w:sz="12" w:space="0" w:color="auto"/>
            </w:tcBorders>
            <w:shd w:val="clear" w:color="auto" w:fill="auto"/>
          </w:tcPr>
          <w:p w14:paraId="4D56935F" w14:textId="1AB44182" w:rsidR="007C2900" w:rsidRPr="00073574" w:rsidRDefault="00F0236A" w:rsidP="00980D27">
            <w:pPr>
              <w:pStyle w:val="Tabletext"/>
            </w:pPr>
            <w:r w:rsidRPr="00073574">
              <w:t>After the closure of the FG AC</w:t>
            </w:r>
            <w:r w:rsidR="000422DC" w:rsidRPr="00073574">
              <w:t>,</w:t>
            </w:r>
            <w:r w:rsidRPr="00073574">
              <w:t xml:space="preserve"> SG13 approached the FG audience via its mailing list inviting to continue the studies in the areas of aviation applications of cloud computing for flight data monitoring in the SG13, Q17</w:t>
            </w:r>
            <w:r w:rsidR="000422DC" w:rsidRPr="00073574">
              <w:t>/13</w:t>
            </w:r>
            <w:r w:rsidRPr="00073574">
              <w:t xml:space="preserve"> and extended its invitation to contributions.</w:t>
            </w:r>
            <w:r w:rsidR="007814B8" w:rsidRPr="00073574">
              <w:t xml:space="preserve"> This plie was reinforced from SG13 November 2017 meeting (see </w:t>
            </w:r>
            <w:r w:rsidR="008E008B" w:rsidRPr="00073574">
              <w:t>SG13-</w:t>
            </w:r>
            <w:r w:rsidR="007814B8" w:rsidRPr="00073574">
              <w:t>TD234)</w:t>
            </w:r>
            <w:r w:rsidR="1300CA6B" w:rsidRPr="00073574">
              <w:t xml:space="preserve">, </w:t>
            </w:r>
            <w:r w:rsidR="0021136B" w:rsidRPr="00073574">
              <w:t>its July 2018 meeting</w:t>
            </w:r>
            <w:r w:rsidR="680F4786" w:rsidRPr="00073574">
              <w:t>, and every further SG13 meeting in current study period</w:t>
            </w:r>
            <w:r w:rsidR="007814B8" w:rsidRPr="00073574">
              <w:t>.</w:t>
            </w:r>
          </w:p>
        </w:tc>
      </w:tr>
      <w:tr w:rsidR="00F0236A" w:rsidRPr="00073574" w14:paraId="34024E59" w14:textId="77777777" w:rsidTr="00980D27">
        <w:trPr>
          <w:cantSplit/>
          <w:jc w:val="center"/>
        </w:trPr>
        <w:tc>
          <w:tcPr>
            <w:tcW w:w="1131" w:type="dxa"/>
            <w:vMerge w:val="restart"/>
            <w:tcBorders>
              <w:top w:val="single" w:sz="12" w:space="0" w:color="auto"/>
            </w:tcBorders>
            <w:shd w:val="clear" w:color="auto" w:fill="auto"/>
          </w:tcPr>
          <w:p w14:paraId="4CA3F59D" w14:textId="77777777" w:rsidR="00F0236A" w:rsidRPr="00073574" w:rsidRDefault="00F0236A" w:rsidP="00980D27">
            <w:pPr>
              <w:pStyle w:val="Tabletext"/>
              <w:rPr>
                <w:b/>
                <w:bCs/>
                <w:sz w:val="24"/>
                <w:szCs w:val="24"/>
              </w:rPr>
            </w:pPr>
            <w:r w:rsidRPr="00073574">
              <w:rPr>
                <w:b/>
                <w:bCs/>
                <w:sz w:val="24"/>
                <w:szCs w:val="24"/>
              </w:rPr>
              <w:t>94-05</w:t>
            </w:r>
          </w:p>
        </w:tc>
        <w:tc>
          <w:tcPr>
            <w:tcW w:w="4986" w:type="dxa"/>
            <w:tcBorders>
              <w:top w:val="single" w:sz="12" w:space="0" w:color="auto"/>
              <w:bottom w:val="single" w:sz="4" w:space="0" w:color="auto"/>
            </w:tcBorders>
            <w:shd w:val="clear" w:color="auto" w:fill="auto"/>
          </w:tcPr>
          <w:p w14:paraId="49126000" w14:textId="77777777" w:rsidR="00F0236A" w:rsidRPr="00073574" w:rsidRDefault="00F0236A" w:rsidP="00980D27">
            <w:pPr>
              <w:pStyle w:val="Tabletext"/>
              <w:rPr>
                <w:b/>
                <w:bCs/>
                <w:sz w:val="24"/>
                <w:szCs w:val="24"/>
              </w:rPr>
            </w:pPr>
            <w:r w:rsidRPr="00073574">
              <w:rPr>
                <w:b/>
                <w:bCs/>
                <w:sz w:val="24"/>
                <w:szCs w:val="24"/>
              </w:rPr>
              <w:t>TSB Director to organize (a) workshop(s) to collect requirements and inputs on this topic from a wide range of various stakeholders (i. TSBDir 2)</w:t>
            </w:r>
          </w:p>
        </w:tc>
        <w:tc>
          <w:tcPr>
            <w:tcW w:w="1336" w:type="dxa"/>
            <w:tcBorders>
              <w:top w:val="single" w:sz="12" w:space="0" w:color="auto"/>
              <w:bottom w:val="single" w:sz="4" w:space="0" w:color="auto"/>
            </w:tcBorders>
            <w:shd w:val="clear" w:color="auto" w:fill="auto"/>
            <w:vAlign w:val="center"/>
          </w:tcPr>
          <w:p w14:paraId="60F9C347" w14:textId="77777777" w:rsidR="00F0236A" w:rsidRPr="00073574" w:rsidRDefault="00F0236A" w:rsidP="00980D27">
            <w:pPr>
              <w:pStyle w:val="Tabletext"/>
              <w:jc w:val="center"/>
              <w:rPr>
                <w:b/>
                <w:bCs/>
                <w:sz w:val="24"/>
                <w:szCs w:val="24"/>
              </w:rPr>
            </w:pPr>
            <w:r w:rsidRPr="00073574">
              <w:rPr>
                <w:b/>
                <w:bCs/>
                <w:sz w:val="24"/>
                <w:szCs w:val="24"/>
              </w:rPr>
              <w:t>Ongoing</w:t>
            </w:r>
          </w:p>
        </w:tc>
        <w:tc>
          <w:tcPr>
            <w:tcW w:w="1143" w:type="dxa"/>
            <w:tcBorders>
              <w:top w:val="single" w:sz="12" w:space="0" w:color="auto"/>
              <w:bottom w:val="single" w:sz="4" w:space="0" w:color="auto"/>
            </w:tcBorders>
            <w:shd w:val="clear" w:color="auto" w:fill="auto"/>
            <w:vAlign w:val="center"/>
          </w:tcPr>
          <w:p w14:paraId="68C56E7B" w14:textId="64E13DBE" w:rsidR="00F0236A" w:rsidRPr="00073574" w:rsidRDefault="004A03C3" w:rsidP="00980D27">
            <w:pPr>
              <w:pStyle w:val="Tabletext"/>
              <w:jc w:val="center"/>
              <w:rPr>
                <w:b/>
                <w:bCs/>
                <w:sz w:val="24"/>
                <w:szCs w:val="24"/>
              </w:rPr>
            </w:pPr>
            <w:r w:rsidRPr="00073574">
              <w:rPr>
                <w:b/>
                <w:bCs/>
                <w:sz w:val="24"/>
                <w:szCs w:val="24"/>
              </w:rPr>
              <w:t>√</w:t>
            </w:r>
          </w:p>
        </w:tc>
        <w:tc>
          <w:tcPr>
            <w:tcW w:w="1336" w:type="dxa"/>
            <w:tcBorders>
              <w:top w:val="single" w:sz="12" w:space="0" w:color="auto"/>
              <w:bottom w:val="single" w:sz="4" w:space="0" w:color="auto"/>
            </w:tcBorders>
            <w:shd w:val="clear" w:color="auto" w:fill="auto"/>
            <w:vAlign w:val="center"/>
          </w:tcPr>
          <w:p w14:paraId="792C4FE7" w14:textId="77777777" w:rsidR="00F0236A" w:rsidRPr="00073574" w:rsidRDefault="00F0236A" w:rsidP="00980D27">
            <w:pPr>
              <w:pStyle w:val="Tabletext"/>
              <w:jc w:val="center"/>
              <w:rPr>
                <w:b/>
                <w:bCs/>
                <w:sz w:val="24"/>
                <w:szCs w:val="24"/>
              </w:rPr>
            </w:pPr>
          </w:p>
        </w:tc>
      </w:tr>
      <w:tr w:rsidR="00F0236A" w:rsidRPr="00073574" w14:paraId="5CAB457C" w14:textId="77777777" w:rsidTr="007434ED">
        <w:trPr>
          <w:jc w:val="center"/>
        </w:trPr>
        <w:tc>
          <w:tcPr>
            <w:tcW w:w="1131" w:type="dxa"/>
            <w:vMerge/>
            <w:vAlign w:val="center"/>
          </w:tcPr>
          <w:p w14:paraId="578488DE" w14:textId="77777777" w:rsidR="00F0236A" w:rsidRPr="00073574" w:rsidRDefault="00F0236A" w:rsidP="00980D27">
            <w:pPr>
              <w:pStyle w:val="Tabletext"/>
              <w:rPr>
                <w:sz w:val="24"/>
                <w:szCs w:val="24"/>
              </w:rPr>
            </w:pPr>
          </w:p>
        </w:tc>
        <w:tc>
          <w:tcPr>
            <w:tcW w:w="8801" w:type="dxa"/>
            <w:gridSpan w:val="4"/>
            <w:tcBorders>
              <w:top w:val="single" w:sz="4" w:space="0" w:color="auto"/>
              <w:bottom w:val="single" w:sz="12" w:space="0" w:color="auto"/>
            </w:tcBorders>
            <w:shd w:val="clear" w:color="auto" w:fill="auto"/>
          </w:tcPr>
          <w:p w14:paraId="40275C7D" w14:textId="40ED812B" w:rsidR="006A35E6" w:rsidRPr="00073574" w:rsidRDefault="004A03C3" w:rsidP="00980D27">
            <w:pPr>
              <w:pStyle w:val="Tabletext"/>
              <w:rPr>
                <w:szCs w:val="22"/>
              </w:rPr>
            </w:pPr>
            <w:r w:rsidRPr="00073574">
              <w:rPr>
                <w:szCs w:val="22"/>
              </w:rPr>
              <w:t>TSB organized a number of ITU workshops, ITU regional forums, and other events, which considered aspects of event data technologies, in particular within the context of IoT and smart cities and c</w:t>
            </w:r>
            <w:r w:rsidR="00471CF7" w:rsidRPr="00073574">
              <w:rPr>
                <w:szCs w:val="22"/>
              </w:rPr>
              <w:t>o</w:t>
            </w:r>
            <w:r w:rsidRPr="00073574">
              <w:rPr>
                <w:szCs w:val="22"/>
              </w:rPr>
              <w:t>mmunities, and on data processing and management:</w:t>
            </w:r>
          </w:p>
          <w:p w14:paraId="78EA05D1" w14:textId="32963E99" w:rsidR="006A35E6" w:rsidRPr="00073574" w:rsidRDefault="0053741E" w:rsidP="00372280">
            <w:pPr>
              <w:pStyle w:val="ListParagraph"/>
              <w:numPr>
                <w:ilvl w:val="0"/>
                <w:numId w:val="83"/>
              </w:numPr>
              <w:shd w:val="clear" w:color="auto" w:fill="FFFFFF"/>
              <w:ind w:left="714" w:hanging="357"/>
              <w:contextualSpacing w:val="0"/>
              <w:textAlignment w:val="baseline"/>
              <w:rPr>
                <w:rFonts w:eastAsia="Times New Roman"/>
                <w:color w:val="444444"/>
                <w:lang w:eastAsia="en-GB"/>
              </w:rPr>
            </w:pPr>
            <w:hyperlink r:id="rId831" w:tgtFrame="_blank" w:history="1">
              <w:r w:rsidR="006A35E6" w:rsidRPr="00073574">
                <w:rPr>
                  <w:rStyle w:val="Hyperlink"/>
                  <w:color w:val="3789BD"/>
                  <w:bdr w:val="none" w:sz="0" w:space="0" w:color="auto" w:frame="1"/>
                  <w:shd w:val="clear" w:color="auto" w:fill="FFFFFF"/>
                  <w:lang w:eastAsia="en-GB"/>
                </w:rPr>
                <w:t>5th ITU Workshop on Data Processing and Management for IoT and Smart Cities &amp; Communities</w:t>
              </w:r>
            </w:hyperlink>
            <w:r w:rsidR="006A35E6" w:rsidRPr="00073574">
              <w:rPr>
                <w:rFonts w:eastAsia="Times New Roman"/>
                <w:color w:val="444444"/>
                <w:lang w:eastAsia="en-GB"/>
              </w:rPr>
              <w:t xml:space="preserve">, </w:t>
            </w:r>
            <w:r w:rsidR="006A35E6" w:rsidRPr="00073574">
              <w:rPr>
                <w:rFonts w:eastAsia="Times New Roman"/>
                <w:bdr w:val="none" w:sz="0" w:space="0" w:color="auto" w:frame="1"/>
                <w:shd w:val="clear" w:color="auto" w:fill="FFFFFF"/>
                <w:lang w:eastAsia="en-GB"/>
              </w:rPr>
              <w:t>25 November 2019, Geneva;</w:t>
            </w:r>
          </w:p>
          <w:p w14:paraId="56A96B2A" w14:textId="6059AD32" w:rsidR="006A35E6" w:rsidRPr="00073574" w:rsidRDefault="0053741E" w:rsidP="00372280">
            <w:pPr>
              <w:pStyle w:val="ListParagraph"/>
              <w:numPr>
                <w:ilvl w:val="0"/>
                <w:numId w:val="83"/>
              </w:numPr>
              <w:shd w:val="clear" w:color="auto" w:fill="FFFFFF"/>
              <w:ind w:left="714" w:hanging="357"/>
              <w:contextualSpacing w:val="0"/>
              <w:textAlignment w:val="baseline"/>
              <w:rPr>
                <w:rFonts w:eastAsia="Times New Roman"/>
                <w:color w:val="444444"/>
                <w:lang w:eastAsia="en-GB"/>
              </w:rPr>
            </w:pPr>
            <w:hyperlink r:id="rId832">
              <w:r w:rsidR="006A35E6" w:rsidRPr="00073574">
                <w:rPr>
                  <w:rStyle w:val="Hyperlink"/>
                  <w:rFonts w:eastAsia="Times New Roman"/>
                </w:rPr>
                <w:t>4</w:t>
              </w:r>
              <w:r w:rsidR="002C2BD6" w:rsidRPr="00073574">
                <w:rPr>
                  <w:rStyle w:val="Hyperlink"/>
                  <w:rFonts w:eastAsia="Times New Roman"/>
                </w:rPr>
                <w:t>th</w:t>
              </w:r>
              <w:r w:rsidR="006A35E6" w:rsidRPr="00073574">
                <w:rPr>
                  <w:rStyle w:val="Hyperlink"/>
                  <w:rFonts w:eastAsia="Times New Roman"/>
                </w:rPr>
                <w:t xml:space="preserve"> ITU Workshop on Data Processing and Management for IoT and Smart Cities &amp; Communities</w:t>
              </w:r>
            </w:hyperlink>
            <w:r w:rsidR="005C7EC5" w:rsidRPr="00073574">
              <w:rPr>
                <w:rFonts w:eastAsia="Times New Roman"/>
                <w:color w:val="444444"/>
              </w:rPr>
              <w:t>,</w:t>
            </w:r>
            <w:r w:rsidR="005C7EC5" w:rsidRPr="00073574">
              <w:t xml:space="preserve"> </w:t>
            </w:r>
            <w:r w:rsidR="005C7EC5" w:rsidRPr="00073574">
              <w:rPr>
                <w:rFonts w:eastAsia="Times New Roman"/>
                <w:color w:val="444444"/>
              </w:rPr>
              <w:t>Geneva, 19 July 2019</w:t>
            </w:r>
            <w:r w:rsidR="006A35E6" w:rsidRPr="00073574">
              <w:rPr>
                <w:rFonts w:eastAsia="Times New Roman"/>
                <w:color w:val="444444"/>
              </w:rPr>
              <w:t>;</w:t>
            </w:r>
          </w:p>
          <w:p w14:paraId="3C80FDF4" w14:textId="1041E87A" w:rsidR="006A35E6" w:rsidRPr="00073574" w:rsidRDefault="0053741E" w:rsidP="00372280">
            <w:pPr>
              <w:pStyle w:val="ListParagraph"/>
              <w:numPr>
                <w:ilvl w:val="0"/>
                <w:numId w:val="83"/>
              </w:numPr>
              <w:shd w:val="clear" w:color="auto" w:fill="FFFFFF"/>
              <w:ind w:left="714" w:hanging="357"/>
              <w:contextualSpacing w:val="0"/>
              <w:textAlignment w:val="baseline"/>
              <w:rPr>
                <w:rFonts w:eastAsia="Times New Roman"/>
                <w:color w:val="444444"/>
                <w:lang w:eastAsia="en-GB"/>
              </w:rPr>
            </w:pPr>
            <w:hyperlink r:id="rId833">
              <w:r w:rsidR="006A35E6" w:rsidRPr="00073574">
                <w:rPr>
                  <w:rStyle w:val="Hyperlink"/>
                  <w:rFonts w:eastAsia="Times New Roman"/>
                </w:rPr>
                <w:t>3rd ITU Workshop on Data Processing and Management for IoT and Smart Cities &amp; Communities</w:t>
              </w:r>
            </w:hyperlink>
            <w:r w:rsidR="00AB0AE9" w:rsidRPr="00073574">
              <w:rPr>
                <w:rFonts w:eastAsia="Times New Roman"/>
                <w:color w:val="444444"/>
              </w:rPr>
              <w:t xml:space="preserve">, </w:t>
            </w:r>
            <w:r w:rsidR="00AB0AE9" w:rsidRPr="00073574">
              <w:rPr>
                <w:rFonts w:eastAsia="Times New Roman"/>
              </w:rPr>
              <w:t>Seoul, Korea (Rep.</w:t>
            </w:r>
            <w:r w:rsidR="003521E2" w:rsidRPr="00073574">
              <w:rPr>
                <w:rFonts w:eastAsia="Times New Roman"/>
              </w:rPr>
              <w:t xml:space="preserve"> </w:t>
            </w:r>
            <w:r w:rsidR="00AB0AE9" w:rsidRPr="00073574">
              <w:rPr>
                <w:rFonts w:eastAsia="Times New Roman"/>
              </w:rPr>
              <w:t>of), 14 January 2019;</w:t>
            </w:r>
          </w:p>
          <w:p w14:paraId="3B9B4F5C" w14:textId="285C535D" w:rsidR="006A35E6" w:rsidRPr="00073574" w:rsidRDefault="003E39FF" w:rsidP="00372280">
            <w:pPr>
              <w:pStyle w:val="ListParagraph"/>
              <w:numPr>
                <w:ilvl w:val="0"/>
                <w:numId w:val="83"/>
              </w:numPr>
              <w:shd w:val="clear" w:color="auto" w:fill="FFFFFF"/>
              <w:ind w:left="714" w:hanging="357"/>
              <w:contextualSpacing w:val="0"/>
              <w:textAlignment w:val="baseline"/>
              <w:rPr>
                <w:rFonts w:eastAsia="Times New Roman"/>
                <w:color w:val="444444"/>
                <w:lang w:eastAsia="en-GB"/>
              </w:rPr>
            </w:pPr>
            <w:r w:rsidRPr="00073574">
              <w:rPr>
                <w:rFonts w:eastAsia="Times New Roman"/>
                <w:color w:val="444444"/>
                <w:lang w:eastAsia="en-GB"/>
              </w:rPr>
              <w:t>2nd</w:t>
            </w:r>
            <w:hyperlink r:id="rId834" w:history="1">
              <w:r w:rsidRPr="00073574">
                <w:rPr>
                  <w:rFonts w:eastAsia="Times New Roman"/>
                  <w:color w:val="444444"/>
                </w:rPr>
                <w:t xml:space="preserve"> </w:t>
              </w:r>
              <w:r w:rsidR="006A35E6" w:rsidRPr="00073574">
                <w:rPr>
                  <w:rStyle w:val="Hyperlink"/>
                  <w:color w:val="3789BD"/>
                  <w:bdr w:val="none" w:sz="0" w:space="0" w:color="auto" w:frame="1"/>
                  <w:lang w:eastAsia="en-GB"/>
                </w:rPr>
                <w:t>ITU Workshop on Data Processing and Management for IoT and Smart Cities &amp; Communities</w:t>
              </w:r>
            </w:hyperlink>
            <w:r w:rsidR="006A35E6" w:rsidRPr="00073574">
              <w:rPr>
                <w:rFonts w:eastAsia="Times New Roman"/>
                <w:color w:val="444444"/>
                <w:lang w:eastAsia="en-GB"/>
              </w:rPr>
              <w:t xml:space="preserve">, </w:t>
            </w:r>
            <w:r w:rsidR="006A35E6" w:rsidRPr="00073574">
              <w:rPr>
                <w:rFonts w:eastAsia="Times New Roman"/>
                <w:lang w:eastAsia="en-GB"/>
              </w:rPr>
              <w:t>17 September 2018, Tunis, Tunisia;</w:t>
            </w:r>
          </w:p>
          <w:p w14:paraId="50404E78" w14:textId="07411987" w:rsidR="006A35E6" w:rsidRPr="00073574" w:rsidRDefault="0053741E" w:rsidP="00372280">
            <w:pPr>
              <w:pStyle w:val="ListParagraph"/>
              <w:numPr>
                <w:ilvl w:val="0"/>
                <w:numId w:val="83"/>
              </w:numPr>
              <w:shd w:val="clear" w:color="auto" w:fill="FFFFFF"/>
              <w:ind w:left="714" w:hanging="357"/>
              <w:contextualSpacing w:val="0"/>
              <w:textAlignment w:val="baseline"/>
              <w:rPr>
                <w:rFonts w:eastAsia="Times New Roman"/>
                <w:color w:val="444444"/>
                <w:lang w:eastAsia="en-GB"/>
              </w:rPr>
            </w:pPr>
            <w:hyperlink r:id="rId835" w:history="1">
              <w:r w:rsidR="006A35E6" w:rsidRPr="00073574">
                <w:rPr>
                  <w:rStyle w:val="Hyperlink"/>
                  <w:color w:val="3789BD"/>
                  <w:bdr w:val="none" w:sz="0" w:space="0" w:color="auto" w:frame="1"/>
                  <w:lang w:eastAsia="en-GB"/>
                </w:rPr>
                <w:t>1st ITU Workshop on Data Processing and Management for IoT and Smart Cities &amp; Communities</w:t>
              </w:r>
            </w:hyperlink>
            <w:r w:rsidR="006A35E6" w:rsidRPr="00073574">
              <w:rPr>
                <w:rFonts w:eastAsia="Times New Roman"/>
                <w:color w:val="444444"/>
                <w:lang w:eastAsia="en-GB"/>
              </w:rPr>
              <w:t xml:space="preserve">, </w:t>
            </w:r>
            <w:r w:rsidR="006A35E6" w:rsidRPr="00073574">
              <w:rPr>
                <w:rFonts w:eastAsia="Times New Roman"/>
                <w:lang w:eastAsia="en-GB"/>
              </w:rPr>
              <w:t>19 February 2018, Brussels, Belgium.</w:t>
            </w:r>
          </w:p>
          <w:p w14:paraId="564F67A3" w14:textId="0015FA1B" w:rsidR="006A35E6" w:rsidRPr="00073574" w:rsidRDefault="0053741E" w:rsidP="00372280">
            <w:pPr>
              <w:pStyle w:val="ListParagraph"/>
              <w:numPr>
                <w:ilvl w:val="0"/>
                <w:numId w:val="83"/>
              </w:numPr>
              <w:shd w:val="clear" w:color="auto" w:fill="FFFFFF"/>
              <w:ind w:left="714" w:hanging="357"/>
              <w:contextualSpacing w:val="0"/>
              <w:textAlignment w:val="baseline"/>
              <w:rPr>
                <w:rFonts w:eastAsia="Times New Roman"/>
                <w:shd w:val="clear" w:color="auto" w:fill="FFFFFF"/>
                <w:lang w:eastAsia="en-GB"/>
              </w:rPr>
            </w:pPr>
            <w:hyperlink r:id="rId836" w:history="1">
              <w:r w:rsidR="006A35E6" w:rsidRPr="00073574">
                <w:rPr>
                  <w:rStyle w:val="Hyperlink"/>
                  <w:color w:val="3789BD"/>
                  <w:bdr w:val="none" w:sz="0" w:space="0" w:color="auto" w:frame="1"/>
                  <w:shd w:val="clear" w:color="auto" w:fill="FFFFFF"/>
                  <w:lang w:eastAsia="en-GB"/>
                </w:rPr>
                <w:t>ITU Regional Forum on “Internet of Things, Telecommunication Networks and Big Data as Basic Infrastructure for Digital Economy”</w:t>
              </w:r>
            </w:hyperlink>
            <w:r w:rsidR="006A35E6" w:rsidRPr="00073574">
              <w:rPr>
                <w:rFonts w:eastAsia="Times New Roman"/>
                <w:color w:val="444444"/>
                <w:shd w:val="clear" w:color="auto" w:fill="FFFFFF"/>
                <w:lang w:eastAsia="en-GB"/>
              </w:rPr>
              <w:t xml:space="preserve">, </w:t>
            </w:r>
            <w:r w:rsidR="006A35E6" w:rsidRPr="00073574">
              <w:rPr>
                <w:rFonts w:eastAsia="Times New Roman"/>
                <w:shd w:val="clear" w:color="auto" w:fill="FFFFFF"/>
                <w:lang w:eastAsia="en-GB"/>
              </w:rPr>
              <w:t>4-6 June 2018 (AM only), St. Petersburg, Russian Federation;</w:t>
            </w:r>
          </w:p>
          <w:p w14:paraId="3F47C888" w14:textId="18D7C1A0" w:rsidR="006A35E6" w:rsidRPr="00073574" w:rsidRDefault="006A35E6" w:rsidP="00372280">
            <w:pPr>
              <w:pStyle w:val="ListParagraph"/>
              <w:numPr>
                <w:ilvl w:val="0"/>
                <w:numId w:val="83"/>
              </w:numPr>
              <w:shd w:val="clear" w:color="auto" w:fill="FFFFFF"/>
              <w:ind w:left="714" w:hanging="357"/>
              <w:contextualSpacing w:val="0"/>
              <w:textAlignment w:val="baseline"/>
              <w:rPr>
                <w:rFonts w:eastAsia="Times New Roman"/>
                <w:shd w:val="clear" w:color="auto" w:fill="FFFFFF"/>
                <w:lang w:eastAsia="en-GB"/>
              </w:rPr>
            </w:pPr>
            <w:r w:rsidRPr="00073574">
              <w:rPr>
                <w:rFonts w:eastAsia="Times New Roman"/>
                <w:color w:val="3789BD"/>
                <w:u w:val="single"/>
                <w:shd w:val="clear" w:color="auto" w:fill="FFFFFF"/>
                <w:lang w:eastAsia="en-GB"/>
              </w:rPr>
              <w:t>First Forum on "Data Management: Transforming Data Into Value"</w:t>
            </w:r>
            <w:r w:rsidRPr="00073574">
              <w:rPr>
                <w:rFonts w:eastAsia="Times New Roman"/>
                <w:color w:val="3789BD"/>
                <w:shd w:val="clear" w:color="auto" w:fill="FFFFFF"/>
                <w:lang w:eastAsia="en-GB"/>
              </w:rPr>
              <w:t xml:space="preserve">; </w:t>
            </w:r>
            <w:r w:rsidRPr="00073574">
              <w:rPr>
                <w:rFonts w:eastAsia="Times New Roman"/>
                <w:shd w:val="clear" w:color="auto" w:fill="FFFFFF"/>
                <w:lang w:eastAsia="en-GB"/>
              </w:rPr>
              <w:t>12 March 2017, Dubai, UAE.</w:t>
            </w:r>
          </w:p>
          <w:p w14:paraId="12839301" w14:textId="1C2AB5DF" w:rsidR="00F0236A" w:rsidRPr="00073574" w:rsidRDefault="005D7694" w:rsidP="00980D27">
            <w:pPr>
              <w:pStyle w:val="Tabletext"/>
              <w:rPr>
                <w:szCs w:val="22"/>
              </w:rPr>
            </w:pPr>
            <w:r w:rsidRPr="00073574">
              <w:rPr>
                <w:szCs w:val="22"/>
              </w:rPr>
              <w:lastRenderedPageBreak/>
              <w:t xml:space="preserve">See also </w:t>
            </w:r>
            <w:r w:rsidR="00260D3B" w:rsidRPr="00073574">
              <w:rPr>
                <w:szCs w:val="22"/>
              </w:rPr>
              <w:t xml:space="preserve">94-01, and </w:t>
            </w:r>
            <w:r w:rsidRPr="00073574">
              <w:rPr>
                <w:szCs w:val="22"/>
              </w:rPr>
              <w:t>94-04.</w:t>
            </w:r>
          </w:p>
        </w:tc>
      </w:tr>
    </w:tbl>
    <w:p w14:paraId="1F418893" w14:textId="71BE8C2F" w:rsidR="7277BFE4" w:rsidRPr="00073574" w:rsidRDefault="7277BFE4">
      <w:bookmarkStart w:id="576" w:name="Item94_01"/>
      <w:bookmarkStart w:id="577" w:name="Item94_02"/>
      <w:bookmarkStart w:id="578" w:name="Item94_03"/>
      <w:bookmarkStart w:id="579" w:name="Item94_04"/>
      <w:bookmarkStart w:id="580" w:name="Item94_05"/>
      <w:bookmarkEnd w:id="576"/>
      <w:bookmarkEnd w:id="577"/>
      <w:bookmarkEnd w:id="578"/>
      <w:bookmarkEnd w:id="579"/>
      <w:bookmarkEnd w:id="580"/>
    </w:p>
    <w:p w14:paraId="319581C3" w14:textId="77777777" w:rsidR="00F0236A" w:rsidRPr="00073574" w:rsidRDefault="0053741E" w:rsidP="00F0236A">
      <w:pPr>
        <w:rPr>
          <w:sz w:val="24"/>
        </w:rPr>
      </w:pPr>
      <w:hyperlink w:anchor="Top" w:history="1">
        <w:r w:rsidR="00F0236A" w:rsidRPr="00073574">
          <w:rPr>
            <w:rStyle w:val="Hyperlink"/>
            <w:rFonts w:eastAsia="Times New Roman"/>
            <w:sz w:val="24"/>
          </w:rPr>
          <w:t>» Top</w:t>
        </w:r>
      </w:hyperlink>
    </w:p>
    <w:p w14:paraId="4F9FD5E7" w14:textId="77777777" w:rsidR="00F0236A" w:rsidRPr="00073574" w:rsidRDefault="00F0236A" w:rsidP="00F0236A">
      <w:pPr>
        <w:pStyle w:val="Heading1"/>
        <w:rPr>
          <w:sz w:val="24"/>
          <w:szCs w:val="24"/>
          <w:lang w:val="en-GB"/>
        </w:rPr>
      </w:pPr>
      <w:bookmarkStart w:id="581" w:name="_Resolution_95_-"/>
      <w:bookmarkStart w:id="582" w:name="_Toc471715409"/>
      <w:bookmarkStart w:id="583" w:name="_Toc93425296"/>
      <w:bookmarkEnd w:id="581"/>
      <w:r w:rsidRPr="00073574">
        <w:rPr>
          <w:sz w:val="24"/>
          <w:szCs w:val="24"/>
          <w:lang w:val="en-GB"/>
        </w:rPr>
        <w:t>Resolution 95 - ITU Telecommunication Standardization Sector initiatives to raise awareness on best practices and policies related to service quality</w:t>
      </w:r>
      <w:bookmarkEnd w:id="582"/>
      <w:bookmarkEnd w:id="583"/>
    </w:p>
    <w:p w14:paraId="41DDE45F" w14:textId="77777777" w:rsidR="00F0236A" w:rsidRPr="00073574" w:rsidRDefault="00F0236A" w:rsidP="00F0236A">
      <w:pPr>
        <w:rPr>
          <w:b/>
          <w:bCs/>
          <w:sz w:val="24"/>
        </w:rPr>
      </w:pPr>
      <w:r w:rsidRPr="00073574">
        <w:rPr>
          <w:b/>
          <w:bCs/>
          <w:sz w:val="24"/>
        </w:rPr>
        <w:t>Resolution 95</w:t>
      </w:r>
    </w:p>
    <w:p w14:paraId="788EE81A" w14:textId="77777777" w:rsidR="00F0236A" w:rsidRPr="00073574" w:rsidRDefault="00F0236A" w:rsidP="00F0236A">
      <w:pPr>
        <w:pStyle w:val="Call"/>
        <w:rPr>
          <w:sz w:val="24"/>
          <w:szCs w:val="24"/>
          <w:lang w:val="en-GB" w:eastAsia="en-AU"/>
        </w:rPr>
      </w:pPr>
      <w:r w:rsidRPr="00073574">
        <w:rPr>
          <w:sz w:val="24"/>
          <w:szCs w:val="24"/>
          <w:lang w:val="en-GB" w:eastAsia="en-AU"/>
        </w:rPr>
        <w:t>resolves that the ITU Telecommunication Standardization Sector</w:t>
      </w:r>
    </w:p>
    <w:p w14:paraId="1D6B1440" w14:textId="77777777" w:rsidR="00F0236A" w:rsidRPr="00073574" w:rsidRDefault="00F0236A" w:rsidP="00F0236A">
      <w:pPr>
        <w:spacing w:after="240"/>
        <w:rPr>
          <w:sz w:val="24"/>
        </w:rPr>
      </w:pPr>
      <w:r w:rsidRPr="00073574">
        <w:rPr>
          <w:sz w:val="24"/>
        </w:rPr>
        <w:t>1</w:t>
      </w:r>
      <w:r w:rsidRPr="00073574">
        <w:rPr>
          <w:sz w:val="24"/>
        </w:rPr>
        <w:tab/>
        <w:t>continue to develop the necessary Recommendations on performance, QoS and QoE;</w:t>
      </w:r>
    </w:p>
    <w:p w14:paraId="2FF496D2" w14:textId="77777777" w:rsidR="00F0236A" w:rsidRPr="00073574" w:rsidRDefault="00F0236A" w:rsidP="00F0236A">
      <w:pPr>
        <w:spacing w:after="240"/>
        <w:rPr>
          <w:sz w:val="24"/>
        </w:rPr>
      </w:pPr>
      <w:r w:rsidRPr="00073574">
        <w:rPr>
          <w:sz w:val="24"/>
        </w:rPr>
        <w:t>2</w:t>
      </w:r>
      <w:r w:rsidRPr="00073574">
        <w:rPr>
          <w:sz w:val="24"/>
        </w:rPr>
        <w:tab/>
        <w:t>in close collaboration with the ITU Telecommunication Development Sector (ITU-D), develop initiatives to raise awareness of the importance of keeping users informed about the quality of the services offered by operators;</w:t>
      </w:r>
    </w:p>
    <w:p w14:paraId="554AB946" w14:textId="77777777" w:rsidR="00F0236A" w:rsidRPr="00073574" w:rsidRDefault="00F0236A" w:rsidP="00F0236A">
      <w:pPr>
        <w:spacing w:after="240"/>
        <w:rPr>
          <w:sz w:val="24"/>
        </w:rPr>
      </w:pPr>
      <w:r w:rsidRPr="00073574">
        <w:rPr>
          <w:sz w:val="24"/>
        </w:rPr>
        <w:t>3</w:t>
      </w:r>
      <w:r w:rsidRPr="00073574">
        <w:rPr>
          <w:sz w:val="24"/>
        </w:rPr>
        <w:tab/>
        <w:t>in close collaboration with ITU-D and the ITU regional offices, provide references that assist developing and least developed countries in establishing a national quality measurement framework suitable to perform QoS and QoE measurement;</w:t>
      </w:r>
    </w:p>
    <w:p w14:paraId="2EB29B1B" w14:textId="77777777" w:rsidR="00F0236A" w:rsidRPr="00073574" w:rsidRDefault="00F0236A" w:rsidP="00F0236A">
      <w:pPr>
        <w:spacing w:after="240"/>
        <w:rPr>
          <w:sz w:val="24"/>
        </w:rPr>
      </w:pPr>
      <w:r w:rsidRPr="00073574">
        <w:rPr>
          <w:sz w:val="24"/>
        </w:rPr>
        <w:t>4</w:t>
      </w:r>
      <w:r w:rsidRPr="00073574">
        <w:rPr>
          <w:sz w:val="24"/>
        </w:rPr>
        <w:tab/>
        <w:t>organize workshops, training programmes and further initiatives to promote wider participation of regulators, operators and suppliers in the international debate on service quality and raise awareness of the importance of QoS and QoE measurement,</w:t>
      </w:r>
    </w:p>
    <w:p w14:paraId="14F52B22" w14:textId="77777777" w:rsidR="00F0236A" w:rsidRPr="00073574" w:rsidRDefault="00F0236A" w:rsidP="00F0236A">
      <w:pPr>
        <w:pStyle w:val="Call"/>
        <w:rPr>
          <w:sz w:val="24"/>
          <w:szCs w:val="24"/>
          <w:lang w:val="en-GB" w:eastAsia="en-AU"/>
        </w:rPr>
      </w:pPr>
      <w:r w:rsidRPr="00073574">
        <w:rPr>
          <w:sz w:val="24"/>
          <w:szCs w:val="24"/>
          <w:lang w:val="en-GB" w:eastAsia="en-AU"/>
        </w:rPr>
        <w:t>instructs the Director of the Telecommunication Standardization Bureau</w:t>
      </w:r>
    </w:p>
    <w:p w14:paraId="1C848667" w14:textId="77777777" w:rsidR="00F0236A" w:rsidRPr="00073574" w:rsidRDefault="00F0236A" w:rsidP="00F0236A">
      <w:pPr>
        <w:spacing w:after="240"/>
        <w:rPr>
          <w:sz w:val="24"/>
        </w:rPr>
      </w:pPr>
      <w:r w:rsidRPr="00073574">
        <w:rPr>
          <w:sz w:val="24"/>
        </w:rPr>
        <w:t>in order to implement resolves 2 and 4 above, to continue to support the activities of QSDG for open operational and regulatory discussions among regulators, operators and suppliers about new strategies to deliver better QoS and QoE to users,</w:t>
      </w:r>
    </w:p>
    <w:p w14:paraId="2324E919" w14:textId="77777777" w:rsidR="00F0236A" w:rsidRPr="00073574" w:rsidRDefault="00F0236A" w:rsidP="00F0236A">
      <w:pPr>
        <w:pStyle w:val="Call"/>
        <w:rPr>
          <w:sz w:val="24"/>
          <w:szCs w:val="24"/>
          <w:lang w:val="en-GB" w:eastAsia="en-AU"/>
        </w:rPr>
      </w:pPr>
      <w:r w:rsidRPr="00073574">
        <w:rPr>
          <w:sz w:val="24"/>
          <w:szCs w:val="24"/>
          <w:lang w:val="en-GB" w:eastAsia="en-AU"/>
        </w:rPr>
        <w:t>instructs the Director of the Telecommunication Standardization Bureau, in close collaboration with the Director of the Telecommunication Development Bureau</w:t>
      </w:r>
    </w:p>
    <w:p w14:paraId="5A0F2917" w14:textId="77777777" w:rsidR="00F0236A" w:rsidRPr="00073574" w:rsidRDefault="00F0236A" w:rsidP="00F0236A">
      <w:pPr>
        <w:spacing w:after="240"/>
        <w:rPr>
          <w:sz w:val="24"/>
        </w:rPr>
      </w:pPr>
      <w:r w:rsidRPr="00073574">
        <w:rPr>
          <w:sz w:val="24"/>
        </w:rPr>
        <w:t>1</w:t>
      </w:r>
      <w:r w:rsidRPr="00073574">
        <w:rPr>
          <w:sz w:val="24"/>
        </w:rPr>
        <w:tab/>
        <w:t>to assist developing and least developed countries in identifying human and institutional capacity-building opportunities for establishing national quality measurement frameworks;</w:t>
      </w:r>
    </w:p>
    <w:p w14:paraId="12A83C5D" w14:textId="77777777" w:rsidR="00F0236A" w:rsidRPr="00073574" w:rsidRDefault="00F0236A" w:rsidP="00F0236A">
      <w:pPr>
        <w:spacing w:after="240"/>
        <w:rPr>
          <w:sz w:val="24"/>
        </w:rPr>
      </w:pPr>
      <w:r w:rsidRPr="00073574">
        <w:rPr>
          <w:sz w:val="24"/>
        </w:rPr>
        <w:t>2</w:t>
      </w:r>
      <w:r w:rsidRPr="00073574">
        <w:rPr>
          <w:sz w:val="24"/>
        </w:rPr>
        <w:tab/>
        <w:t>to conduct activities in each region in order to identify and prioritize the problems faced by developing and least developed countries related to the provision of acceptable service quality to users;</w:t>
      </w:r>
    </w:p>
    <w:p w14:paraId="5B206991" w14:textId="77777777" w:rsidR="00F0236A" w:rsidRPr="00073574" w:rsidRDefault="00F0236A" w:rsidP="00F0236A">
      <w:pPr>
        <w:spacing w:after="240"/>
        <w:rPr>
          <w:sz w:val="24"/>
        </w:rPr>
      </w:pPr>
      <w:r w:rsidRPr="00073574">
        <w:rPr>
          <w:sz w:val="24"/>
        </w:rPr>
        <w:t>3</w:t>
      </w:r>
      <w:r w:rsidRPr="00073574">
        <w:rPr>
          <w:sz w:val="24"/>
        </w:rPr>
        <w:tab/>
        <w:t>based on results of instructs 2 above, to assist developing and least developed countries in elaborating and implementing actions to improve service quality and keep users informed,</w:t>
      </w:r>
    </w:p>
    <w:p w14:paraId="057EB8D8" w14:textId="77777777" w:rsidR="00F0236A" w:rsidRPr="00073574" w:rsidRDefault="00F0236A" w:rsidP="00F0236A">
      <w:pPr>
        <w:pStyle w:val="Call"/>
        <w:rPr>
          <w:sz w:val="24"/>
          <w:szCs w:val="24"/>
          <w:lang w:val="en-GB" w:eastAsia="en-AU"/>
        </w:rPr>
      </w:pPr>
      <w:r w:rsidRPr="00073574">
        <w:rPr>
          <w:sz w:val="24"/>
          <w:szCs w:val="24"/>
          <w:lang w:val="en-GB" w:eastAsia="en-AU"/>
        </w:rPr>
        <w:t>instructs study groups of the ITU Telecommunication Standardization Sector, according to their mandate</w:t>
      </w:r>
    </w:p>
    <w:p w14:paraId="6985EFC9" w14:textId="77777777" w:rsidR="00F0236A" w:rsidRPr="00073574" w:rsidRDefault="00F0236A" w:rsidP="00F0236A">
      <w:pPr>
        <w:spacing w:after="240"/>
        <w:rPr>
          <w:sz w:val="24"/>
        </w:rPr>
      </w:pPr>
      <w:r w:rsidRPr="00073574">
        <w:rPr>
          <w:sz w:val="24"/>
        </w:rPr>
        <w:t>1</w:t>
      </w:r>
      <w:r w:rsidRPr="00073574">
        <w:rPr>
          <w:sz w:val="24"/>
        </w:rPr>
        <w:tab/>
        <w:t>to elaborate Recommendations providing guidance to regulators in regard to defining strategies and testing methodologies to monitor and measure QoS and QoE;</w:t>
      </w:r>
    </w:p>
    <w:p w14:paraId="524CF07F" w14:textId="77777777" w:rsidR="00F0236A" w:rsidRPr="00073574" w:rsidRDefault="00F0236A" w:rsidP="00F0236A">
      <w:pPr>
        <w:spacing w:after="240"/>
        <w:rPr>
          <w:sz w:val="24"/>
        </w:rPr>
      </w:pPr>
      <w:r w:rsidRPr="00073574">
        <w:rPr>
          <w:sz w:val="24"/>
        </w:rPr>
        <w:lastRenderedPageBreak/>
        <w:t>2</w:t>
      </w:r>
      <w:r w:rsidRPr="00073574">
        <w:rPr>
          <w:sz w:val="24"/>
        </w:rPr>
        <w:tab/>
        <w:t>to study QoS and QoE evaluation scenarios, measurement strategies and testing tools to be adopted by regulators and operators;</w:t>
      </w:r>
    </w:p>
    <w:p w14:paraId="6CB3295A" w14:textId="77777777" w:rsidR="00F0236A" w:rsidRPr="00073574" w:rsidRDefault="00F0236A" w:rsidP="00F0236A">
      <w:pPr>
        <w:spacing w:after="240"/>
        <w:rPr>
          <w:sz w:val="24"/>
        </w:rPr>
      </w:pPr>
      <w:r w:rsidRPr="00073574">
        <w:rPr>
          <w:sz w:val="24"/>
        </w:rPr>
        <w:t>3</w:t>
      </w:r>
      <w:r w:rsidRPr="00073574">
        <w:rPr>
          <w:sz w:val="24"/>
        </w:rPr>
        <w:tab/>
        <w:t>to study and provide guidance to regulators in regard to sampling methodologies for QoS measurements at a local, national and global level;</w:t>
      </w:r>
    </w:p>
    <w:p w14:paraId="30464D25" w14:textId="77777777" w:rsidR="00F0236A" w:rsidRPr="00073574" w:rsidRDefault="00F0236A" w:rsidP="00F0236A">
      <w:pPr>
        <w:spacing w:after="240"/>
        <w:rPr>
          <w:sz w:val="24"/>
        </w:rPr>
      </w:pPr>
      <w:r w:rsidRPr="00073574">
        <w:rPr>
          <w:sz w:val="24"/>
        </w:rPr>
        <w:t>4</w:t>
      </w:r>
      <w:r w:rsidRPr="00073574">
        <w:rPr>
          <w:sz w:val="24"/>
        </w:rPr>
        <w:tab/>
        <w:t>to provide references relating to minimal satisfactory key performance and key quality indicators for evaluating the quality of services;</w:t>
      </w:r>
    </w:p>
    <w:p w14:paraId="140A4A34" w14:textId="77777777" w:rsidR="00F0236A" w:rsidRPr="00073574" w:rsidRDefault="00F0236A" w:rsidP="00F0236A">
      <w:pPr>
        <w:spacing w:after="240"/>
        <w:rPr>
          <w:sz w:val="24"/>
        </w:rPr>
      </w:pPr>
      <w:r w:rsidRPr="00073574">
        <w:rPr>
          <w:sz w:val="24"/>
        </w:rPr>
        <w:t>5</w:t>
      </w:r>
      <w:r w:rsidRPr="00073574">
        <w:rPr>
          <w:sz w:val="24"/>
        </w:rPr>
        <w:tab/>
        <w:t>to implement strategies to raise participation of developing and developed countries from all regions in all their activities,</w:t>
      </w:r>
    </w:p>
    <w:p w14:paraId="69CD647C" w14:textId="77777777" w:rsidR="00F0236A" w:rsidRPr="00073574" w:rsidRDefault="00F0236A" w:rsidP="00F0236A">
      <w:pPr>
        <w:pStyle w:val="Call"/>
        <w:rPr>
          <w:sz w:val="24"/>
          <w:szCs w:val="24"/>
          <w:lang w:val="en-GB" w:eastAsia="en-AU"/>
        </w:rPr>
      </w:pPr>
      <w:r w:rsidRPr="00073574">
        <w:rPr>
          <w:sz w:val="24"/>
          <w:szCs w:val="24"/>
          <w:lang w:val="en-GB" w:eastAsia="en-AU"/>
        </w:rPr>
        <w:t>invites the membership</w:t>
      </w:r>
    </w:p>
    <w:p w14:paraId="0794E0B6" w14:textId="77777777" w:rsidR="00F0236A" w:rsidRPr="00073574" w:rsidRDefault="00F0236A" w:rsidP="00F0236A">
      <w:pPr>
        <w:spacing w:after="240"/>
        <w:rPr>
          <w:sz w:val="24"/>
        </w:rPr>
      </w:pPr>
      <w:r w:rsidRPr="00073574">
        <w:rPr>
          <w:sz w:val="24"/>
        </w:rPr>
        <w:t>1</w:t>
      </w:r>
      <w:r w:rsidRPr="00073574">
        <w:rPr>
          <w:sz w:val="24"/>
        </w:rPr>
        <w:tab/>
        <w:t>to collaborate with ITU-T in implementing this resolution;</w:t>
      </w:r>
    </w:p>
    <w:p w14:paraId="757D5CA9" w14:textId="77777777" w:rsidR="00F0236A" w:rsidRPr="00073574" w:rsidRDefault="00F0236A" w:rsidP="00F0236A">
      <w:pPr>
        <w:spacing w:after="240"/>
        <w:rPr>
          <w:sz w:val="24"/>
        </w:rPr>
      </w:pPr>
      <w:r w:rsidRPr="00073574">
        <w:rPr>
          <w:sz w:val="24"/>
        </w:rPr>
        <w:t>2</w:t>
      </w:r>
      <w:r w:rsidRPr="00073574">
        <w:rPr>
          <w:sz w:val="24"/>
        </w:rPr>
        <w:tab/>
        <w:t>to participate in ITU-T Study Group 12 and QSDG initiatives by providing contributions, expertise, knowledge and practical experiences relating to the work of Study Group 12.</w:t>
      </w:r>
    </w:p>
    <w:tbl>
      <w:tblPr>
        <w:tblW w:w="993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31"/>
        <w:gridCol w:w="4986"/>
        <w:gridCol w:w="1336"/>
        <w:gridCol w:w="1143"/>
        <w:gridCol w:w="1336"/>
      </w:tblGrid>
      <w:tr w:rsidR="00F0236A" w:rsidRPr="00073574" w14:paraId="66C7E5CA" w14:textId="77777777" w:rsidTr="00E75CE1">
        <w:trPr>
          <w:tblHeader/>
        </w:trPr>
        <w:tc>
          <w:tcPr>
            <w:tcW w:w="1131" w:type="dxa"/>
            <w:tcBorders>
              <w:top w:val="single" w:sz="12" w:space="0" w:color="auto"/>
              <w:bottom w:val="single" w:sz="12" w:space="0" w:color="auto"/>
            </w:tcBorders>
            <w:shd w:val="clear" w:color="auto" w:fill="auto"/>
            <w:vAlign w:val="center"/>
          </w:tcPr>
          <w:p w14:paraId="6558C896" w14:textId="77777777" w:rsidR="00F0236A" w:rsidRPr="00073574" w:rsidRDefault="00F0236A" w:rsidP="00F6275A">
            <w:pPr>
              <w:pStyle w:val="Tablehead"/>
              <w:keepLines/>
              <w:rPr>
                <w:sz w:val="24"/>
                <w:szCs w:val="24"/>
              </w:rPr>
            </w:pPr>
            <w:r w:rsidRPr="00073574">
              <w:rPr>
                <w:sz w:val="24"/>
                <w:szCs w:val="24"/>
              </w:rPr>
              <w:t>Action Item</w:t>
            </w:r>
          </w:p>
        </w:tc>
        <w:tc>
          <w:tcPr>
            <w:tcW w:w="4986" w:type="dxa"/>
            <w:tcBorders>
              <w:top w:val="single" w:sz="12" w:space="0" w:color="auto"/>
              <w:bottom w:val="single" w:sz="12" w:space="0" w:color="auto"/>
            </w:tcBorders>
            <w:shd w:val="clear" w:color="auto" w:fill="auto"/>
            <w:vAlign w:val="center"/>
            <w:hideMark/>
          </w:tcPr>
          <w:p w14:paraId="1A1412D0" w14:textId="77777777" w:rsidR="00F0236A" w:rsidRPr="00073574" w:rsidRDefault="00F0236A" w:rsidP="00DF36E1">
            <w:pPr>
              <w:pStyle w:val="Tablehead"/>
              <w:rPr>
                <w:sz w:val="24"/>
                <w:szCs w:val="24"/>
              </w:rPr>
            </w:pPr>
            <w:r w:rsidRPr="00073574">
              <w:rPr>
                <w:sz w:val="24"/>
                <w:szCs w:val="24"/>
              </w:rPr>
              <w:t>Action</w:t>
            </w:r>
          </w:p>
        </w:tc>
        <w:tc>
          <w:tcPr>
            <w:tcW w:w="1336" w:type="dxa"/>
            <w:tcBorders>
              <w:top w:val="single" w:sz="12" w:space="0" w:color="auto"/>
              <w:bottom w:val="single" w:sz="12" w:space="0" w:color="auto"/>
            </w:tcBorders>
            <w:shd w:val="clear" w:color="auto" w:fill="auto"/>
            <w:vAlign w:val="center"/>
            <w:hideMark/>
          </w:tcPr>
          <w:p w14:paraId="0F2273C2" w14:textId="77777777" w:rsidR="00F0236A" w:rsidRPr="00073574" w:rsidRDefault="00F0236A" w:rsidP="00DF36E1">
            <w:pPr>
              <w:pStyle w:val="Tablehead"/>
              <w:rPr>
                <w:sz w:val="24"/>
                <w:szCs w:val="24"/>
              </w:rPr>
            </w:pPr>
            <w:r w:rsidRPr="00073574">
              <w:rPr>
                <w:sz w:val="24"/>
                <w:szCs w:val="24"/>
              </w:rPr>
              <w:t>Milestone</w:t>
            </w:r>
          </w:p>
        </w:tc>
        <w:tc>
          <w:tcPr>
            <w:tcW w:w="1143" w:type="dxa"/>
            <w:tcBorders>
              <w:top w:val="single" w:sz="12" w:space="0" w:color="auto"/>
              <w:bottom w:val="single" w:sz="12" w:space="0" w:color="auto"/>
            </w:tcBorders>
            <w:shd w:val="clear" w:color="auto" w:fill="auto"/>
          </w:tcPr>
          <w:p w14:paraId="37BF83D0" w14:textId="77777777" w:rsidR="00F0236A" w:rsidRPr="00073574" w:rsidRDefault="00F0236A" w:rsidP="00DF36E1">
            <w:pPr>
              <w:pStyle w:val="Tablehead"/>
              <w:rPr>
                <w:sz w:val="24"/>
                <w:szCs w:val="24"/>
              </w:rPr>
            </w:pPr>
            <w:r w:rsidRPr="00073574">
              <w:rPr>
                <w:sz w:val="24"/>
                <w:szCs w:val="24"/>
              </w:rPr>
              <w:t>Periodic goals met</w:t>
            </w:r>
          </w:p>
        </w:tc>
        <w:tc>
          <w:tcPr>
            <w:tcW w:w="1336" w:type="dxa"/>
            <w:tcBorders>
              <w:top w:val="single" w:sz="12" w:space="0" w:color="auto"/>
              <w:bottom w:val="single" w:sz="12" w:space="0" w:color="auto"/>
            </w:tcBorders>
            <w:shd w:val="clear" w:color="auto" w:fill="auto"/>
            <w:vAlign w:val="center"/>
          </w:tcPr>
          <w:p w14:paraId="49308E17" w14:textId="77777777" w:rsidR="00F0236A" w:rsidRPr="00073574" w:rsidRDefault="00F0236A" w:rsidP="00DF36E1">
            <w:pPr>
              <w:pStyle w:val="Tablehead"/>
              <w:rPr>
                <w:sz w:val="24"/>
                <w:szCs w:val="24"/>
              </w:rPr>
            </w:pPr>
            <w:r w:rsidRPr="00073574">
              <w:rPr>
                <w:sz w:val="24"/>
                <w:szCs w:val="24"/>
              </w:rPr>
              <w:t>Completed</w:t>
            </w:r>
          </w:p>
        </w:tc>
      </w:tr>
      <w:tr w:rsidR="00F0236A" w:rsidRPr="00073574" w14:paraId="0CFEC68C" w14:textId="77777777" w:rsidTr="00BD6575">
        <w:tc>
          <w:tcPr>
            <w:tcW w:w="1131" w:type="dxa"/>
            <w:vMerge w:val="restart"/>
            <w:tcBorders>
              <w:top w:val="single" w:sz="12" w:space="0" w:color="auto"/>
            </w:tcBorders>
            <w:shd w:val="clear" w:color="auto" w:fill="auto"/>
          </w:tcPr>
          <w:p w14:paraId="1DC763A1" w14:textId="77777777" w:rsidR="00F0236A" w:rsidRPr="00073574" w:rsidRDefault="00F0236A" w:rsidP="00F6275A">
            <w:pPr>
              <w:pStyle w:val="Tabletext"/>
              <w:keepNext/>
              <w:keepLines/>
              <w:rPr>
                <w:b/>
                <w:bCs/>
                <w:sz w:val="24"/>
                <w:szCs w:val="24"/>
              </w:rPr>
            </w:pPr>
            <w:r w:rsidRPr="00073574">
              <w:rPr>
                <w:b/>
                <w:bCs/>
                <w:sz w:val="24"/>
                <w:szCs w:val="24"/>
              </w:rPr>
              <w:t>95-01</w:t>
            </w:r>
          </w:p>
        </w:tc>
        <w:tc>
          <w:tcPr>
            <w:tcW w:w="4986" w:type="dxa"/>
            <w:tcBorders>
              <w:top w:val="single" w:sz="12" w:space="0" w:color="auto"/>
              <w:bottom w:val="single" w:sz="2" w:space="0" w:color="auto"/>
            </w:tcBorders>
            <w:shd w:val="clear" w:color="auto" w:fill="auto"/>
          </w:tcPr>
          <w:p w14:paraId="0545EAE3" w14:textId="77777777" w:rsidR="00F0236A" w:rsidRPr="00073574" w:rsidRDefault="00F0236A" w:rsidP="00DF36E1">
            <w:pPr>
              <w:pStyle w:val="Tabletext"/>
              <w:rPr>
                <w:b/>
                <w:bCs/>
                <w:sz w:val="24"/>
                <w:szCs w:val="24"/>
              </w:rPr>
            </w:pPr>
            <w:r w:rsidRPr="00073574">
              <w:rPr>
                <w:b/>
                <w:bCs/>
                <w:sz w:val="24"/>
                <w:szCs w:val="24"/>
              </w:rPr>
              <w:t>ITU-T SG12 to continue to develop the necessary Recommendations on performance, QoS and QoE (resolves 1)</w:t>
            </w:r>
          </w:p>
        </w:tc>
        <w:tc>
          <w:tcPr>
            <w:tcW w:w="1336" w:type="dxa"/>
            <w:tcBorders>
              <w:top w:val="single" w:sz="12" w:space="0" w:color="auto"/>
              <w:bottom w:val="single" w:sz="2" w:space="0" w:color="auto"/>
            </w:tcBorders>
            <w:shd w:val="clear" w:color="auto" w:fill="auto"/>
            <w:vAlign w:val="center"/>
          </w:tcPr>
          <w:p w14:paraId="6650C04F"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43" w:type="dxa"/>
            <w:tcBorders>
              <w:top w:val="single" w:sz="12" w:space="0" w:color="auto"/>
              <w:bottom w:val="single" w:sz="2" w:space="0" w:color="auto"/>
            </w:tcBorders>
            <w:shd w:val="clear" w:color="auto" w:fill="auto"/>
            <w:vAlign w:val="center"/>
          </w:tcPr>
          <w:p w14:paraId="42EE793B"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bottom w:val="single" w:sz="2" w:space="0" w:color="auto"/>
            </w:tcBorders>
            <w:shd w:val="clear" w:color="auto" w:fill="auto"/>
            <w:vAlign w:val="center"/>
          </w:tcPr>
          <w:p w14:paraId="51ADA0CD" w14:textId="77777777" w:rsidR="00F0236A" w:rsidRPr="00073574" w:rsidRDefault="00F0236A" w:rsidP="00DF36E1">
            <w:pPr>
              <w:pStyle w:val="Tabletext"/>
              <w:jc w:val="center"/>
              <w:rPr>
                <w:b/>
                <w:bCs/>
                <w:sz w:val="24"/>
                <w:szCs w:val="24"/>
              </w:rPr>
            </w:pPr>
          </w:p>
        </w:tc>
      </w:tr>
      <w:tr w:rsidR="00F0236A" w:rsidRPr="00073574" w14:paraId="7192EF8A" w14:textId="77777777" w:rsidTr="5D161764">
        <w:tc>
          <w:tcPr>
            <w:tcW w:w="1131" w:type="dxa"/>
            <w:vMerge/>
          </w:tcPr>
          <w:p w14:paraId="251395D1" w14:textId="77777777" w:rsidR="00F0236A" w:rsidRPr="00073574" w:rsidRDefault="00F0236A" w:rsidP="00DF36E1">
            <w:pPr>
              <w:pStyle w:val="Tabletext"/>
              <w:rPr>
                <w:sz w:val="24"/>
                <w:szCs w:val="24"/>
              </w:rPr>
            </w:pPr>
          </w:p>
        </w:tc>
        <w:tc>
          <w:tcPr>
            <w:tcW w:w="8801" w:type="dxa"/>
            <w:gridSpan w:val="4"/>
            <w:tcBorders>
              <w:top w:val="single" w:sz="2" w:space="0" w:color="auto"/>
              <w:bottom w:val="single" w:sz="12" w:space="0" w:color="auto"/>
            </w:tcBorders>
            <w:shd w:val="clear" w:color="auto" w:fill="auto"/>
          </w:tcPr>
          <w:p w14:paraId="7EDEFF3A" w14:textId="1EAE818C" w:rsidR="007E325F" w:rsidRPr="00073574" w:rsidRDefault="007E325F" w:rsidP="00E15AC7">
            <w:pPr>
              <w:spacing w:before="40"/>
              <w:rPr>
                <w:szCs w:val="22"/>
              </w:rPr>
            </w:pPr>
            <w:r w:rsidRPr="00073574">
              <w:rPr>
                <w:szCs w:val="22"/>
              </w:rPr>
              <w:t xml:space="preserve">For these and the below items, please see detailed SG12 work plan on implementation of WTSA Res.95 in </w:t>
            </w:r>
            <w:hyperlink r:id="rId837" w:history="1">
              <w:r w:rsidR="00E76FFB" w:rsidRPr="00073574">
                <w:rPr>
                  <w:rStyle w:val="Hyperlink"/>
                  <w:szCs w:val="22"/>
                </w:rPr>
                <w:t>SG12-TD1630</w:t>
              </w:r>
            </w:hyperlink>
            <w:r w:rsidRPr="00073574">
              <w:rPr>
                <w:szCs w:val="22"/>
              </w:rPr>
              <w:t>.</w:t>
            </w:r>
          </w:p>
          <w:p w14:paraId="5118F319" w14:textId="1CE17A6F" w:rsidR="00644165" w:rsidRPr="00073574" w:rsidRDefault="007E325F" w:rsidP="007E325F">
            <w:pPr>
              <w:rPr>
                <w:rFonts w:asciiTheme="majorBidi" w:hAnsiTheme="majorBidi" w:cstheme="majorBidi"/>
              </w:rPr>
            </w:pPr>
            <w:r w:rsidRPr="00073574">
              <w:rPr>
                <w:rFonts w:asciiTheme="majorBidi" w:hAnsiTheme="majorBidi" w:cstheme="majorBidi"/>
              </w:rPr>
              <w:t xml:space="preserve">A </w:t>
            </w:r>
            <w:r w:rsidR="00644165" w:rsidRPr="00073574">
              <w:rPr>
                <w:rFonts w:asciiTheme="majorBidi" w:hAnsiTheme="majorBidi" w:cstheme="majorBidi"/>
              </w:rPr>
              <w:t xml:space="preserve">huge </w:t>
            </w:r>
            <w:r w:rsidRPr="00073574">
              <w:rPr>
                <w:rFonts w:asciiTheme="majorBidi" w:hAnsiTheme="majorBidi" w:cstheme="majorBidi"/>
              </w:rPr>
              <w:t xml:space="preserve">number </w:t>
            </w:r>
            <w:r w:rsidR="00644165" w:rsidRPr="00073574">
              <w:rPr>
                <w:rFonts w:asciiTheme="majorBidi" w:hAnsiTheme="majorBidi" w:cstheme="majorBidi"/>
              </w:rPr>
              <w:t xml:space="preserve">of </w:t>
            </w:r>
            <w:r w:rsidRPr="00073574">
              <w:rPr>
                <w:rFonts w:asciiTheme="majorBidi" w:hAnsiTheme="majorBidi" w:cstheme="majorBidi"/>
              </w:rPr>
              <w:t xml:space="preserve">work items related to Res.95 </w:t>
            </w:r>
            <w:r w:rsidR="00644165" w:rsidRPr="00073574">
              <w:rPr>
                <w:rFonts w:asciiTheme="majorBidi" w:hAnsiTheme="majorBidi" w:cstheme="majorBidi"/>
              </w:rPr>
              <w:t xml:space="preserve">were completed and other </w:t>
            </w:r>
            <w:r w:rsidRPr="00073574">
              <w:rPr>
                <w:rFonts w:asciiTheme="majorBidi" w:hAnsiTheme="majorBidi" w:cstheme="majorBidi"/>
              </w:rPr>
              <w:t xml:space="preserve">are </w:t>
            </w:r>
            <w:r w:rsidR="00644165" w:rsidRPr="00073574">
              <w:rPr>
                <w:rFonts w:asciiTheme="majorBidi" w:hAnsiTheme="majorBidi" w:cstheme="majorBidi"/>
              </w:rPr>
              <w:t xml:space="preserve">under development, as summarized on a </w:t>
            </w:r>
            <w:hyperlink r:id="rId838" w:history="1">
              <w:r w:rsidR="00644165" w:rsidRPr="00073574">
                <w:rPr>
                  <w:rStyle w:val="Hyperlink"/>
                  <w:rFonts w:asciiTheme="majorBidi" w:hAnsiTheme="majorBidi" w:cstheme="majorBidi"/>
                </w:rPr>
                <w:t>dedicated webpage</w:t>
              </w:r>
            </w:hyperlink>
            <w:r w:rsidRPr="00073574">
              <w:rPr>
                <w:rFonts w:asciiTheme="majorBidi" w:hAnsiTheme="majorBidi" w:cstheme="majorBidi"/>
              </w:rPr>
              <w:t xml:space="preserve">. The results of a questionnaire (see </w:t>
            </w:r>
            <w:hyperlink r:id="rId839" w:history="1">
              <w:r w:rsidRPr="00073574">
                <w:rPr>
                  <w:rStyle w:val="Hyperlink"/>
                  <w:rFonts w:asciiTheme="majorBidi" w:hAnsiTheme="majorBidi" w:cstheme="majorBidi"/>
                </w:rPr>
                <w:t>TSB Circular 62</w:t>
              </w:r>
            </w:hyperlink>
            <w:r w:rsidRPr="00073574">
              <w:rPr>
                <w:rFonts w:asciiTheme="majorBidi" w:hAnsiTheme="majorBidi" w:cstheme="majorBidi"/>
              </w:rPr>
              <w:t xml:space="preserve">) on service quality regulatory frameworks and </w:t>
            </w:r>
            <w:r w:rsidR="00644165" w:rsidRPr="00073574">
              <w:rPr>
                <w:rFonts w:asciiTheme="majorBidi" w:hAnsiTheme="majorBidi" w:cstheme="majorBidi"/>
              </w:rPr>
              <w:t>were</w:t>
            </w:r>
            <w:r w:rsidRPr="00073574">
              <w:rPr>
                <w:rFonts w:asciiTheme="majorBidi" w:hAnsiTheme="majorBidi" w:cstheme="majorBidi"/>
              </w:rPr>
              <w:t xml:space="preserve"> presented in a workshop on 26 November 2018.</w:t>
            </w:r>
          </w:p>
          <w:p w14:paraId="721CB666" w14:textId="39A2008A" w:rsidR="00F0236A" w:rsidRPr="00073574" w:rsidRDefault="00644165" w:rsidP="007E325F">
            <w:pPr>
              <w:rPr>
                <w:rFonts w:asciiTheme="majorBidi" w:hAnsiTheme="majorBidi" w:cstheme="majorBidi"/>
              </w:rPr>
            </w:pPr>
            <w:r w:rsidRPr="00073574">
              <w:rPr>
                <w:rFonts w:asciiTheme="majorBidi" w:hAnsiTheme="majorBidi" w:cstheme="majorBidi"/>
              </w:rPr>
              <w:t>During the first SG12 meeting of the 2017-2020 study period, eleven Recommendations were consented (5 new, 5 revised, 1 amendment), and two informative text were agreed (1 supplement, 1 amendment).</w:t>
            </w:r>
            <w:r w:rsidRPr="00073574" w:rsidDel="00644165">
              <w:rPr>
                <w:rFonts w:asciiTheme="majorBidi" w:hAnsiTheme="majorBidi" w:cstheme="majorBidi"/>
              </w:rPr>
              <w:t xml:space="preserve"> </w:t>
            </w:r>
            <w:r w:rsidR="007E325F" w:rsidRPr="00073574">
              <w:rPr>
                <w:rFonts w:asciiTheme="majorBidi" w:hAnsiTheme="majorBidi" w:cstheme="majorBidi"/>
              </w:rPr>
              <w:t>SG12 completed work on conversational speech quality analysis (now Recommendation ITU</w:t>
            </w:r>
            <w:r w:rsidR="007E325F" w:rsidRPr="00073574">
              <w:rPr>
                <w:rFonts w:asciiTheme="majorBidi" w:hAnsiTheme="majorBidi" w:cstheme="majorBidi"/>
              </w:rPr>
              <w:noBreakHyphen/>
              <w:t xml:space="preserve">T P.804) and gaming quality of experience </w:t>
            </w:r>
            <w:r w:rsidR="003E668D" w:rsidRPr="00073574">
              <w:rPr>
                <w:rFonts w:asciiTheme="majorBidi" w:hAnsiTheme="majorBidi" w:cstheme="majorBidi"/>
              </w:rPr>
              <w:t>(ITU-T G.1032).</w:t>
            </w:r>
          </w:p>
          <w:p w14:paraId="528E6AB4" w14:textId="622AD3CD" w:rsidR="003E668D" w:rsidRPr="00073574" w:rsidRDefault="003E668D" w:rsidP="003E668D">
            <w:pPr>
              <w:pStyle w:val="normalWSIS"/>
              <w:numPr>
                <w:ilvl w:val="0"/>
                <w:numId w:val="0"/>
              </w:numPr>
              <w:spacing w:after="0"/>
              <w:jc w:val="left"/>
              <w:rPr>
                <w:rFonts w:asciiTheme="majorBidi" w:hAnsiTheme="majorBidi" w:cstheme="majorBidi"/>
              </w:rPr>
            </w:pPr>
            <w:r w:rsidRPr="00073574">
              <w:rPr>
                <w:rFonts w:asciiTheme="majorBidi" w:hAnsiTheme="majorBidi" w:cstheme="majorBidi"/>
              </w:rPr>
              <w:t xml:space="preserve">The second meeting of SG12 in this study period witnessed consent of 10 draft Recommendations, agreement of two Supplements and creation of 12 new work items, including five of those work items related to WTSA-16 Resolution 95 on </w:t>
            </w:r>
            <w:r w:rsidRPr="00073574">
              <w:rPr>
                <w:rFonts w:asciiTheme="majorBidi" w:hAnsiTheme="majorBidi" w:cstheme="majorBidi"/>
                <w:i/>
                <w:iCs/>
              </w:rPr>
              <w:t>ITU-T initiatives to raise awareness on best practices and policies related to service quality</w:t>
            </w:r>
            <w:r w:rsidRPr="00073574">
              <w:rPr>
                <w:rFonts w:asciiTheme="majorBidi" w:hAnsiTheme="majorBidi" w:cstheme="majorBidi"/>
              </w:rPr>
              <w:t xml:space="preserve">. Addressing the same Resolution, SG12 adopted a questionnaire on service quality regulatory frameworks for dissemination by TSB (see </w:t>
            </w:r>
            <w:hyperlink r:id="rId840" w:history="1">
              <w:r w:rsidRPr="00073574">
                <w:rPr>
                  <w:rStyle w:val="Hyperlink"/>
                  <w:rFonts w:asciiTheme="majorBidi" w:hAnsiTheme="majorBidi" w:cstheme="majorBidi"/>
                </w:rPr>
                <w:t>TSB Circular 62</w:t>
              </w:r>
            </w:hyperlink>
            <w:r w:rsidRPr="00073574">
              <w:rPr>
                <w:rFonts w:asciiTheme="majorBidi" w:hAnsiTheme="majorBidi" w:cstheme="majorBidi"/>
              </w:rPr>
              <w:t>). SG12 initiated studies on the effect of so-called SIM-boxing on QoS and QoE (related to WTSA</w:t>
            </w:r>
            <w:r w:rsidRPr="00073574">
              <w:rPr>
                <w:rFonts w:asciiTheme="majorBidi" w:hAnsiTheme="majorBidi" w:cstheme="majorBidi"/>
              </w:rPr>
              <w:noBreakHyphen/>
              <w:t>16 Resolution 29) and on QoS and QoE aspects of digital financial services (related to WTSA</w:t>
            </w:r>
            <w:r w:rsidRPr="00073574">
              <w:rPr>
                <w:rFonts w:asciiTheme="majorBidi" w:hAnsiTheme="majorBidi" w:cstheme="majorBidi"/>
              </w:rPr>
              <w:noBreakHyphen/>
              <w:t>16 Resolution 89).</w:t>
            </w:r>
          </w:p>
          <w:p w14:paraId="2F1C8407" w14:textId="2C9B7F83" w:rsidR="003E668D" w:rsidRPr="00073574" w:rsidRDefault="00644165" w:rsidP="00D44AD4">
            <w:pPr>
              <w:spacing w:after="40"/>
              <w:rPr>
                <w:rFonts w:asciiTheme="majorBidi" w:hAnsiTheme="majorBidi" w:cstheme="majorBidi"/>
              </w:rPr>
            </w:pPr>
            <w:r w:rsidRPr="00073574">
              <w:rPr>
                <w:rFonts w:asciiTheme="majorBidi" w:hAnsiTheme="majorBidi" w:cstheme="majorBidi"/>
              </w:rPr>
              <w:t xml:space="preserve">Nine Recommendations were consented (4 new, 2 revised, 3 Amendments), and three non-normative texts were agreed (1 Amendment, 1 Implementers’ Guide, 1 Technical Report) by the third meeting of the study period (see </w:t>
            </w:r>
            <w:hyperlink r:id="rId841" w:history="1">
              <w:r w:rsidRPr="00073574">
                <w:rPr>
                  <w:rStyle w:val="Hyperlink"/>
                  <w:rFonts w:asciiTheme="majorBidi" w:hAnsiTheme="majorBidi" w:cstheme="majorBidi"/>
                </w:rPr>
                <w:t>here</w:t>
              </w:r>
            </w:hyperlink>
            <w:r w:rsidRPr="00073574">
              <w:rPr>
                <w:rFonts w:asciiTheme="majorBidi" w:hAnsiTheme="majorBidi" w:cstheme="majorBidi"/>
              </w:rPr>
              <w:t xml:space="preserve"> for details).</w:t>
            </w:r>
          </w:p>
          <w:p w14:paraId="202AFF1E" w14:textId="417C6817" w:rsidR="00644165" w:rsidRPr="00073574" w:rsidRDefault="00644165" w:rsidP="00644165">
            <w:pPr>
              <w:rPr>
                <w:rFonts w:asciiTheme="majorBidi" w:hAnsiTheme="majorBidi" w:cstheme="majorBidi"/>
              </w:rPr>
            </w:pPr>
            <w:r w:rsidRPr="00073574">
              <w:rPr>
                <w:rFonts w:asciiTheme="majorBidi" w:hAnsiTheme="majorBidi" w:cstheme="majorBidi"/>
              </w:rPr>
              <w:t xml:space="preserve">In its fourth meeting ten Recommendations were consented (4 new, 5 revised, 1 Amendment), see </w:t>
            </w:r>
            <w:hyperlink r:id="rId842" w:history="1">
              <w:r w:rsidRPr="00073574">
                <w:rPr>
                  <w:rStyle w:val="Hyperlink"/>
                  <w:rFonts w:asciiTheme="majorBidi" w:hAnsiTheme="majorBidi" w:cstheme="majorBidi"/>
                </w:rPr>
                <w:t>here</w:t>
              </w:r>
            </w:hyperlink>
            <w:r w:rsidRPr="00073574">
              <w:rPr>
                <w:rFonts w:asciiTheme="majorBidi" w:hAnsiTheme="majorBidi" w:cstheme="majorBidi"/>
              </w:rPr>
              <w:t>.</w:t>
            </w:r>
          </w:p>
          <w:p w14:paraId="7D646C11" w14:textId="4B8BB831" w:rsidR="00644165" w:rsidRPr="00073574" w:rsidRDefault="00644165" w:rsidP="001B78E1">
            <w:pPr>
              <w:spacing w:after="40"/>
              <w:rPr>
                <w:rFonts w:asciiTheme="majorBidi" w:hAnsiTheme="majorBidi" w:cstheme="majorBidi"/>
              </w:rPr>
            </w:pPr>
            <w:r w:rsidRPr="00073574">
              <w:rPr>
                <w:rFonts w:asciiTheme="majorBidi" w:hAnsiTheme="majorBidi" w:cstheme="majorBidi"/>
              </w:rPr>
              <w:lastRenderedPageBreak/>
              <w:t xml:space="preserve">At the end of the </w:t>
            </w:r>
            <w:hyperlink r:id="rId843" w:history="1">
              <w:r w:rsidRPr="00073574">
                <w:rPr>
                  <w:rStyle w:val="Hyperlink"/>
                  <w:rFonts w:asciiTheme="majorBidi" w:hAnsiTheme="majorBidi" w:cstheme="majorBidi"/>
                </w:rPr>
                <w:t>fifth SG12 meeting of the study period</w:t>
              </w:r>
            </w:hyperlink>
            <w:r w:rsidRPr="00073574">
              <w:rPr>
                <w:rFonts w:asciiTheme="majorBidi" w:hAnsiTheme="majorBidi" w:cstheme="majorBidi"/>
              </w:rPr>
              <w:t>, one Recommendation was determined, and eleven Recommendations were consented (4 new, 5 revised, 1 Amendment, 1 Corrigendum) by the meeting. The meeting also agreed on one informative Amendment.</w:t>
            </w:r>
          </w:p>
          <w:p w14:paraId="00ABC8D4" w14:textId="77777777" w:rsidR="00B262F5" w:rsidRPr="00073574" w:rsidRDefault="00B262F5" w:rsidP="001B78E1">
            <w:pPr>
              <w:spacing w:after="40"/>
              <w:rPr>
                <w:rFonts w:asciiTheme="majorBidi" w:hAnsiTheme="majorBidi" w:cstheme="majorBidi"/>
              </w:rPr>
            </w:pPr>
            <w:r w:rsidRPr="00073574">
              <w:rPr>
                <w:rFonts w:asciiTheme="majorBidi" w:hAnsiTheme="majorBidi" w:cstheme="majorBidi"/>
              </w:rPr>
              <w:t>The sixth SG12 meeting approved two Recommendations (1 new, 1 revised) and consented 14 Recommendations (11 new, 1 revised, 1 Amendment, 1 Corrigendum).</w:t>
            </w:r>
          </w:p>
          <w:p w14:paraId="600E0D0A" w14:textId="2D3B5CD5" w:rsidR="002A0E1F" w:rsidRPr="00073574" w:rsidRDefault="00FB2E28" w:rsidP="001B78E1">
            <w:pPr>
              <w:spacing w:after="40"/>
              <w:rPr>
                <w:rFonts w:asciiTheme="majorBidi" w:hAnsiTheme="majorBidi" w:cstheme="majorBidi"/>
              </w:rPr>
            </w:pPr>
            <w:r w:rsidRPr="00073574">
              <w:rPr>
                <w:rFonts w:asciiTheme="majorBidi" w:hAnsiTheme="majorBidi" w:cstheme="majorBidi"/>
              </w:rPr>
              <w:t>At t</w:t>
            </w:r>
            <w:r w:rsidR="002A0E1F" w:rsidRPr="00073574">
              <w:rPr>
                <w:rFonts w:asciiTheme="majorBidi" w:hAnsiTheme="majorBidi" w:cstheme="majorBidi"/>
              </w:rPr>
              <w:t xml:space="preserve">he </w:t>
            </w:r>
            <w:r w:rsidRPr="00073574">
              <w:rPr>
                <w:rFonts w:asciiTheme="majorBidi" w:hAnsiTheme="majorBidi" w:cstheme="majorBidi"/>
              </w:rPr>
              <w:t>seventh SG12 meeting, 4 Recommendations were consented (2 new, 1 revised, 1 Amendment) by the meeting. The meeting also agreed on one Amendment of an Appendix to a Recommendation, one Supplement, and one Technical Paper. ​</w:t>
            </w:r>
          </w:p>
          <w:p w14:paraId="5F88655D" w14:textId="77777777" w:rsidR="00FB2E28" w:rsidRPr="00073574" w:rsidRDefault="004D1176" w:rsidP="001E46F6">
            <w:pPr>
              <w:spacing w:after="40"/>
              <w:rPr>
                <w:rFonts w:asciiTheme="majorBidi" w:hAnsiTheme="majorBidi" w:cstheme="majorBidi"/>
              </w:rPr>
            </w:pPr>
            <w:r w:rsidRPr="00073574">
              <w:rPr>
                <w:rFonts w:asciiTheme="majorBidi" w:hAnsiTheme="majorBidi" w:cstheme="majorBidi"/>
              </w:rPr>
              <w:t>One Recommendation was determined and five Recommendations were consented (2 new, 2 revised, 1 Corrigendum) by the eighth meeting.</w:t>
            </w:r>
            <w:r w:rsidR="001E46F6" w:rsidRPr="00073574">
              <w:rPr>
                <w:rFonts w:asciiTheme="majorBidi" w:hAnsiTheme="majorBidi" w:cstheme="majorBidi"/>
              </w:rPr>
              <w:t xml:space="preserve"> </w:t>
            </w:r>
            <w:r w:rsidRPr="00073574">
              <w:rPr>
                <w:rFonts w:asciiTheme="majorBidi" w:hAnsiTheme="majorBidi" w:cstheme="majorBidi"/>
              </w:rPr>
              <w:t>The meeting also agreed on two Supplements (1 new, 1 revised) and new Appendices to one Recommendation.</w:t>
            </w:r>
          </w:p>
          <w:p w14:paraId="4BB82A53" w14:textId="77777777" w:rsidR="001E46F6" w:rsidRPr="00073574" w:rsidRDefault="00BC7071" w:rsidP="001E46F6">
            <w:pPr>
              <w:spacing w:after="40"/>
              <w:rPr>
                <w:rFonts w:asciiTheme="majorBidi" w:hAnsiTheme="majorBidi" w:cstheme="majorBidi"/>
              </w:rPr>
            </w:pPr>
            <w:r w:rsidRPr="00073574">
              <w:rPr>
                <w:rFonts w:asciiTheme="majorBidi" w:hAnsiTheme="majorBidi" w:cstheme="majorBidi"/>
              </w:rPr>
              <w:t>During the ninth meeting, one Recommendation was approved (TAP) with no opposition and 2 revised Recommendations were consented by the meeting. The meeting also agreed on three informative Amendments.</w:t>
            </w:r>
          </w:p>
          <w:p w14:paraId="77100E93" w14:textId="77777777" w:rsidR="00BC7071" w:rsidRPr="00073574" w:rsidRDefault="00FD3DF5" w:rsidP="001E46F6">
            <w:pPr>
              <w:spacing w:after="40"/>
              <w:rPr>
                <w:rFonts w:asciiTheme="majorBidi" w:hAnsiTheme="majorBidi" w:cstheme="majorBidi"/>
              </w:rPr>
            </w:pPr>
            <w:r w:rsidRPr="00073574">
              <w:rPr>
                <w:rFonts w:asciiTheme="majorBidi" w:hAnsiTheme="majorBidi" w:cstheme="majorBidi"/>
              </w:rPr>
              <w:t>At the tenth SG12 meeting, eleven Recommendations were consented (1 new, 5 revised, 4 Corrigenda, 1 Amendment) by the meeting. The meeting also agreed on one Supplement and one Corrigendum to the Bibliography of one Recommendation.</w:t>
            </w:r>
          </w:p>
          <w:p w14:paraId="4E5A198C" w14:textId="1E52CA75" w:rsidR="00BC7071" w:rsidRPr="00073574" w:rsidRDefault="00E76FFB" w:rsidP="001E46F6">
            <w:pPr>
              <w:spacing w:after="40"/>
              <w:rPr>
                <w:rFonts w:asciiTheme="majorBidi" w:hAnsiTheme="majorBidi" w:cstheme="majorBidi"/>
              </w:rPr>
            </w:pPr>
            <w:r w:rsidRPr="00073574">
              <w:rPr>
                <w:rFonts w:asciiTheme="majorBidi" w:hAnsiTheme="majorBidi" w:cstheme="majorBidi"/>
              </w:rPr>
              <w:t xml:space="preserve">The final SG12 meeting </w:t>
            </w:r>
            <w:r w:rsidR="009072B2" w:rsidRPr="00073574">
              <w:rPr>
                <w:rFonts w:asciiTheme="majorBidi" w:hAnsiTheme="majorBidi" w:cstheme="majorBidi"/>
              </w:rPr>
              <w:t>resulted in five consented Recommendations (2 new, 3 revised), and 3 agreed Supplements.</w:t>
            </w:r>
          </w:p>
        </w:tc>
      </w:tr>
      <w:tr w:rsidR="00F0236A" w:rsidRPr="00073574" w14:paraId="6AFAE67F" w14:textId="77777777" w:rsidTr="00BD6575">
        <w:tc>
          <w:tcPr>
            <w:tcW w:w="1131" w:type="dxa"/>
            <w:vMerge w:val="restart"/>
            <w:tcBorders>
              <w:top w:val="single" w:sz="12" w:space="0" w:color="auto"/>
            </w:tcBorders>
            <w:shd w:val="clear" w:color="auto" w:fill="auto"/>
          </w:tcPr>
          <w:p w14:paraId="2CFC7F9D" w14:textId="77777777" w:rsidR="00F0236A" w:rsidRPr="00073574" w:rsidRDefault="00F0236A" w:rsidP="001655CE">
            <w:pPr>
              <w:pStyle w:val="Tabletext"/>
              <w:keepNext/>
              <w:keepLines/>
              <w:rPr>
                <w:b/>
                <w:bCs/>
                <w:sz w:val="24"/>
                <w:szCs w:val="24"/>
              </w:rPr>
            </w:pPr>
            <w:r w:rsidRPr="00073574">
              <w:rPr>
                <w:b/>
                <w:bCs/>
                <w:sz w:val="24"/>
                <w:szCs w:val="24"/>
              </w:rPr>
              <w:lastRenderedPageBreak/>
              <w:t>95-02</w:t>
            </w:r>
          </w:p>
        </w:tc>
        <w:tc>
          <w:tcPr>
            <w:tcW w:w="4986" w:type="dxa"/>
            <w:tcBorders>
              <w:top w:val="single" w:sz="12" w:space="0" w:color="auto"/>
              <w:bottom w:val="single" w:sz="4" w:space="0" w:color="auto"/>
            </w:tcBorders>
            <w:shd w:val="clear" w:color="auto" w:fill="auto"/>
          </w:tcPr>
          <w:p w14:paraId="6DB874E3" w14:textId="77777777" w:rsidR="00F0236A" w:rsidRPr="00073574" w:rsidRDefault="00F0236A" w:rsidP="00DF36E1">
            <w:pPr>
              <w:pStyle w:val="Tabletext"/>
              <w:rPr>
                <w:b/>
                <w:bCs/>
                <w:sz w:val="24"/>
                <w:szCs w:val="24"/>
              </w:rPr>
            </w:pPr>
            <w:r w:rsidRPr="00073574">
              <w:rPr>
                <w:b/>
                <w:bCs/>
                <w:sz w:val="24"/>
                <w:szCs w:val="24"/>
              </w:rPr>
              <w:t>ITU-T SG12 and TSB Director in close collaboration with the ITU Telecommunication Development Sector (ITU-D), develop initiatives to raise awareness on of the importance of keeping users informed about the quality of the services offered by operators;</w:t>
            </w:r>
          </w:p>
          <w:p w14:paraId="586913E9" w14:textId="77777777" w:rsidR="00F0236A" w:rsidRPr="00073574" w:rsidRDefault="00F0236A" w:rsidP="00DF36E1">
            <w:pPr>
              <w:pStyle w:val="Tabletext"/>
              <w:rPr>
                <w:b/>
                <w:bCs/>
                <w:sz w:val="24"/>
                <w:szCs w:val="24"/>
              </w:rPr>
            </w:pPr>
            <w:r w:rsidRPr="00073574">
              <w:rPr>
                <w:b/>
                <w:bCs/>
                <w:sz w:val="24"/>
                <w:szCs w:val="24"/>
              </w:rPr>
              <w:t>and in close collaboration with ITU-D and the ITU regional offices, provide references that assist developing and least developed countries in establishing a national quality measurement framework suitable to perform QoS and QoE measurement (resolves 2, 3)</w:t>
            </w:r>
          </w:p>
        </w:tc>
        <w:tc>
          <w:tcPr>
            <w:tcW w:w="1336" w:type="dxa"/>
            <w:tcBorders>
              <w:top w:val="single" w:sz="12" w:space="0" w:color="auto"/>
              <w:bottom w:val="single" w:sz="4" w:space="0" w:color="auto"/>
            </w:tcBorders>
            <w:shd w:val="clear" w:color="auto" w:fill="auto"/>
            <w:vAlign w:val="center"/>
          </w:tcPr>
          <w:p w14:paraId="522DBDC4"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43" w:type="dxa"/>
            <w:tcBorders>
              <w:top w:val="single" w:sz="12" w:space="0" w:color="auto"/>
              <w:bottom w:val="single" w:sz="4" w:space="0" w:color="auto"/>
            </w:tcBorders>
            <w:shd w:val="clear" w:color="auto" w:fill="auto"/>
            <w:vAlign w:val="center"/>
          </w:tcPr>
          <w:p w14:paraId="3FD5E62A"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bottom w:val="single" w:sz="4" w:space="0" w:color="auto"/>
            </w:tcBorders>
            <w:shd w:val="clear" w:color="auto" w:fill="auto"/>
            <w:vAlign w:val="center"/>
          </w:tcPr>
          <w:p w14:paraId="0BEBAA8F" w14:textId="77777777" w:rsidR="00F0236A" w:rsidRPr="00073574" w:rsidRDefault="00F0236A" w:rsidP="00DF36E1">
            <w:pPr>
              <w:pStyle w:val="Tabletext"/>
              <w:jc w:val="center"/>
              <w:rPr>
                <w:b/>
                <w:bCs/>
                <w:sz w:val="24"/>
                <w:szCs w:val="24"/>
              </w:rPr>
            </w:pPr>
          </w:p>
        </w:tc>
      </w:tr>
      <w:tr w:rsidR="00F0236A" w:rsidRPr="00073574" w14:paraId="04D38CEB" w14:textId="77777777" w:rsidTr="5D161764">
        <w:tc>
          <w:tcPr>
            <w:tcW w:w="1131" w:type="dxa"/>
            <w:vMerge/>
          </w:tcPr>
          <w:p w14:paraId="366978F8" w14:textId="77777777" w:rsidR="00F0236A" w:rsidRPr="00073574" w:rsidRDefault="00F0236A" w:rsidP="00DF36E1">
            <w:pPr>
              <w:pStyle w:val="Tabletext"/>
              <w:rPr>
                <w:sz w:val="24"/>
                <w:szCs w:val="24"/>
              </w:rPr>
            </w:pPr>
          </w:p>
        </w:tc>
        <w:tc>
          <w:tcPr>
            <w:tcW w:w="8801" w:type="dxa"/>
            <w:gridSpan w:val="4"/>
            <w:tcBorders>
              <w:top w:val="single" w:sz="4" w:space="0" w:color="auto"/>
              <w:bottom w:val="single" w:sz="12" w:space="0" w:color="auto"/>
            </w:tcBorders>
            <w:shd w:val="clear" w:color="auto" w:fill="auto"/>
          </w:tcPr>
          <w:p w14:paraId="07528C0D" w14:textId="48BF9721" w:rsidR="00F0236A" w:rsidRPr="00073574" w:rsidRDefault="00F0236A" w:rsidP="00E15AC7">
            <w:pPr>
              <w:pStyle w:val="normalWSIS"/>
              <w:numPr>
                <w:ilvl w:val="0"/>
                <w:numId w:val="0"/>
              </w:numPr>
              <w:spacing w:before="40" w:after="40"/>
              <w:jc w:val="left"/>
              <w:rPr>
                <w:rFonts w:asciiTheme="majorBidi" w:hAnsiTheme="majorBidi" w:cstheme="majorBidi"/>
              </w:rPr>
            </w:pPr>
            <w:r w:rsidRPr="00073574">
              <w:rPr>
                <w:rFonts w:asciiTheme="majorBidi" w:hAnsiTheme="majorBidi" w:cstheme="majorBidi"/>
              </w:rPr>
              <w:t>SG12 delegates contributed to the development of a QoS Regulation Manual and the QoS Training Programme, in close collaboration with the BDT.</w:t>
            </w:r>
            <w:r w:rsidR="00313F0C" w:rsidRPr="00073574">
              <w:rPr>
                <w:rFonts w:asciiTheme="majorBidi" w:hAnsiTheme="majorBidi" w:cstheme="majorBidi"/>
              </w:rPr>
              <w:t xml:space="preserve"> </w:t>
            </w:r>
            <w:r w:rsidR="00D64E4E" w:rsidRPr="00073574">
              <w:rPr>
                <w:rFonts w:asciiTheme="majorBidi" w:hAnsiTheme="majorBidi" w:cstheme="majorBidi"/>
              </w:rPr>
              <w:t>An e</w:t>
            </w:r>
            <w:r w:rsidR="00C15B60" w:rsidRPr="00073574">
              <w:rPr>
                <w:rFonts w:asciiTheme="majorBidi" w:hAnsiTheme="majorBidi" w:cstheme="majorBidi"/>
              </w:rPr>
              <w:t>-</w:t>
            </w:r>
            <w:r w:rsidR="00D64E4E" w:rsidRPr="00073574">
              <w:rPr>
                <w:rFonts w:asciiTheme="majorBidi" w:hAnsiTheme="majorBidi" w:cstheme="majorBidi"/>
              </w:rPr>
              <w:t>learning module</w:t>
            </w:r>
            <w:r w:rsidR="0079154C" w:rsidRPr="00073574">
              <w:rPr>
                <w:rFonts w:asciiTheme="majorBidi" w:hAnsiTheme="majorBidi" w:cstheme="majorBidi"/>
              </w:rPr>
              <w:t xml:space="preserve"> delivered via ITU Academy was updated to reflect ITU-T Recommendations including ITU-T E.805, E.806 and E.812. SG12</w:t>
            </w:r>
            <w:r w:rsidR="00101B78" w:rsidRPr="00073574">
              <w:rPr>
                <w:rFonts w:asciiTheme="majorBidi" w:hAnsiTheme="majorBidi" w:cstheme="majorBidi"/>
              </w:rPr>
              <w:t xml:space="preserve"> leadership</w:t>
            </w:r>
            <w:r w:rsidR="0079154C" w:rsidRPr="00073574">
              <w:rPr>
                <w:rFonts w:asciiTheme="majorBidi" w:hAnsiTheme="majorBidi" w:cstheme="majorBidi"/>
              </w:rPr>
              <w:t xml:space="preserve"> </w:t>
            </w:r>
            <w:r w:rsidR="00644165" w:rsidRPr="00073574">
              <w:rPr>
                <w:rFonts w:asciiTheme="majorBidi" w:hAnsiTheme="majorBidi" w:cstheme="majorBidi"/>
              </w:rPr>
              <w:t xml:space="preserve">also reviewed QoS related indicators for BDT surveys. </w:t>
            </w:r>
            <w:r w:rsidR="00313F0C" w:rsidRPr="00073574">
              <w:rPr>
                <w:rFonts w:asciiTheme="majorBidi" w:hAnsiTheme="majorBidi" w:cstheme="majorBidi"/>
              </w:rPr>
              <w:t>Representatives of the ITU regional and area offices contributed to the workshops on telecommunications service quality in Johannesburg</w:t>
            </w:r>
            <w:r w:rsidR="007E325F" w:rsidRPr="00073574">
              <w:rPr>
                <w:rFonts w:asciiTheme="majorBidi" w:hAnsiTheme="majorBidi" w:cstheme="majorBidi"/>
              </w:rPr>
              <w:t>,</w:t>
            </w:r>
            <w:r w:rsidR="00313F0C" w:rsidRPr="00073574">
              <w:rPr>
                <w:rFonts w:asciiTheme="majorBidi" w:hAnsiTheme="majorBidi" w:cstheme="majorBidi"/>
              </w:rPr>
              <w:t xml:space="preserve"> Rio de Janeiro</w:t>
            </w:r>
            <w:r w:rsidR="007E325F" w:rsidRPr="00073574">
              <w:rPr>
                <w:rFonts w:asciiTheme="majorBidi" w:hAnsiTheme="majorBidi" w:cstheme="majorBidi"/>
              </w:rPr>
              <w:t xml:space="preserve">, </w:t>
            </w:r>
            <w:r w:rsidR="00595505" w:rsidRPr="00073574">
              <w:rPr>
                <w:rFonts w:asciiTheme="majorBidi" w:hAnsiTheme="majorBidi" w:cstheme="majorBidi"/>
              </w:rPr>
              <w:t>Dakar</w:t>
            </w:r>
            <w:r w:rsidR="00644165" w:rsidRPr="00073574">
              <w:rPr>
                <w:rFonts w:asciiTheme="majorBidi" w:hAnsiTheme="majorBidi" w:cstheme="majorBidi"/>
              </w:rPr>
              <w:t>,</w:t>
            </w:r>
            <w:r w:rsidR="00595505" w:rsidRPr="00073574">
              <w:rPr>
                <w:rFonts w:asciiTheme="majorBidi" w:hAnsiTheme="majorBidi" w:cstheme="majorBidi"/>
              </w:rPr>
              <w:t xml:space="preserve"> Geneva</w:t>
            </w:r>
            <w:r w:rsidR="00624CBA" w:rsidRPr="00073574">
              <w:rPr>
                <w:rFonts w:asciiTheme="majorBidi" w:hAnsiTheme="majorBidi" w:cstheme="majorBidi"/>
              </w:rPr>
              <w:t>,</w:t>
            </w:r>
            <w:r w:rsidR="00644165" w:rsidRPr="00073574">
              <w:rPr>
                <w:rFonts w:asciiTheme="majorBidi" w:hAnsiTheme="majorBidi" w:cstheme="majorBidi"/>
              </w:rPr>
              <w:t xml:space="preserve"> Kigali</w:t>
            </w:r>
            <w:r w:rsidR="00163CBE" w:rsidRPr="00073574">
              <w:rPr>
                <w:rFonts w:asciiTheme="majorBidi" w:hAnsiTheme="majorBidi" w:cstheme="majorBidi"/>
              </w:rPr>
              <w:t>, Singapore and N’Djamena</w:t>
            </w:r>
            <w:r w:rsidR="00313F0C" w:rsidRPr="00073574">
              <w:rPr>
                <w:rFonts w:asciiTheme="majorBidi" w:hAnsiTheme="majorBidi" w:cstheme="majorBidi"/>
              </w:rPr>
              <w:t>.</w:t>
            </w:r>
          </w:p>
        </w:tc>
      </w:tr>
      <w:tr w:rsidR="00F0236A" w:rsidRPr="00073574" w14:paraId="075A8551" w14:textId="77777777" w:rsidTr="00BD6575">
        <w:tc>
          <w:tcPr>
            <w:tcW w:w="1131" w:type="dxa"/>
            <w:vMerge w:val="restart"/>
            <w:tcBorders>
              <w:top w:val="single" w:sz="12" w:space="0" w:color="auto"/>
            </w:tcBorders>
            <w:shd w:val="clear" w:color="auto" w:fill="auto"/>
          </w:tcPr>
          <w:p w14:paraId="42D1BDB5" w14:textId="77777777" w:rsidR="00F0236A" w:rsidRPr="00073574" w:rsidRDefault="00F0236A" w:rsidP="00313F0C">
            <w:pPr>
              <w:pStyle w:val="Tabletext"/>
              <w:keepNext/>
              <w:keepLines/>
              <w:rPr>
                <w:b/>
                <w:bCs/>
                <w:sz w:val="24"/>
                <w:szCs w:val="24"/>
              </w:rPr>
            </w:pPr>
            <w:r w:rsidRPr="00073574">
              <w:rPr>
                <w:b/>
                <w:bCs/>
                <w:sz w:val="24"/>
                <w:szCs w:val="24"/>
              </w:rPr>
              <w:lastRenderedPageBreak/>
              <w:t>95-03</w:t>
            </w:r>
          </w:p>
        </w:tc>
        <w:tc>
          <w:tcPr>
            <w:tcW w:w="4986" w:type="dxa"/>
            <w:tcBorders>
              <w:top w:val="single" w:sz="12" w:space="0" w:color="auto"/>
              <w:bottom w:val="single" w:sz="4" w:space="0" w:color="auto"/>
            </w:tcBorders>
            <w:shd w:val="clear" w:color="auto" w:fill="auto"/>
          </w:tcPr>
          <w:p w14:paraId="03679449" w14:textId="77777777" w:rsidR="00F0236A" w:rsidRPr="00073574" w:rsidRDefault="00F0236A" w:rsidP="00DF36E1">
            <w:pPr>
              <w:pStyle w:val="Tabletext"/>
              <w:rPr>
                <w:b/>
                <w:bCs/>
                <w:sz w:val="24"/>
                <w:szCs w:val="24"/>
              </w:rPr>
            </w:pPr>
            <w:r w:rsidRPr="00073574">
              <w:rPr>
                <w:b/>
                <w:bCs/>
                <w:sz w:val="24"/>
                <w:szCs w:val="24"/>
              </w:rPr>
              <w:t>ITU-T SG12 and TSB Director organize workshops, training programmes and further initiatives to promote wider participation of regulators, operators and suppliers in the international debate on service quality and raise the awareness of the importance of QoS and QoE measurement (resolves 4)</w:t>
            </w:r>
          </w:p>
        </w:tc>
        <w:tc>
          <w:tcPr>
            <w:tcW w:w="1336" w:type="dxa"/>
            <w:tcBorders>
              <w:top w:val="single" w:sz="12" w:space="0" w:color="auto"/>
              <w:bottom w:val="single" w:sz="4" w:space="0" w:color="auto"/>
            </w:tcBorders>
            <w:shd w:val="clear" w:color="auto" w:fill="auto"/>
            <w:vAlign w:val="center"/>
          </w:tcPr>
          <w:p w14:paraId="37B06B98"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43" w:type="dxa"/>
            <w:tcBorders>
              <w:top w:val="single" w:sz="12" w:space="0" w:color="auto"/>
              <w:bottom w:val="single" w:sz="4" w:space="0" w:color="auto"/>
            </w:tcBorders>
            <w:shd w:val="clear" w:color="auto" w:fill="auto"/>
            <w:vAlign w:val="center"/>
          </w:tcPr>
          <w:p w14:paraId="061C6D1B"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bottom w:val="single" w:sz="4" w:space="0" w:color="auto"/>
            </w:tcBorders>
            <w:shd w:val="clear" w:color="auto" w:fill="auto"/>
            <w:vAlign w:val="center"/>
          </w:tcPr>
          <w:p w14:paraId="0B9251D8" w14:textId="77777777" w:rsidR="00F0236A" w:rsidRPr="00073574" w:rsidRDefault="00F0236A" w:rsidP="00DF36E1">
            <w:pPr>
              <w:pStyle w:val="Tabletext"/>
              <w:jc w:val="center"/>
              <w:rPr>
                <w:b/>
                <w:bCs/>
                <w:sz w:val="24"/>
                <w:szCs w:val="24"/>
              </w:rPr>
            </w:pPr>
          </w:p>
        </w:tc>
      </w:tr>
      <w:tr w:rsidR="00F0236A" w:rsidRPr="00073574" w14:paraId="3FEB6790" w14:textId="77777777" w:rsidTr="5D161764">
        <w:tc>
          <w:tcPr>
            <w:tcW w:w="1131" w:type="dxa"/>
            <w:vMerge/>
          </w:tcPr>
          <w:p w14:paraId="36B93098" w14:textId="77777777" w:rsidR="00F0236A" w:rsidRPr="00073574" w:rsidRDefault="00F0236A" w:rsidP="00DF36E1">
            <w:pPr>
              <w:pStyle w:val="Tabletext"/>
              <w:rPr>
                <w:sz w:val="24"/>
                <w:szCs w:val="24"/>
              </w:rPr>
            </w:pPr>
          </w:p>
        </w:tc>
        <w:tc>
          <w:tcPr>
            <w:tcW w:w="8801" w:type="dxa"/>
            <w:gridSpan w:val="4"/>
            <w:tcBorders>
              <w:top w:val="single" w:sz="4" w:space="0" w:color="auto"/>
              <w:bottom w:val="single" w:sz="12" w:space="0" w:color="auto"/>
            </w:tcBorders>
            <w:shd w:val="clear" w:color="auto" w:fill="auto"/>
          </w:tcPr>
          <w:p w14:paraId="798A0B96" w14:textId="2FCE1169" w:rsidR="009D3B97" w:rsidRPr="00073574" w:rsidRDefault="00F0236A" w:rsidP="009D3B97">
            <w:pPr>
              <w:pStyle w:val="Tabletext"/>
              <w:rPr>
                <w:szCs w:val="22"/>
              </w:rPr>
            </w:pPr>
            <w:r w:rsidRPr="00073574">
              <w:rPr>
                <w:rFonts w:asciiTheme="majorBidi" w:hAnsiTheme="majorBidi" w:cstheme="majorBidi"/>
                <w:szCs w:val="22"/>
              </w:rPr>
              <w:t xml:space="preserve">The Quality of Service Development Group, operating under SG12, organized </w:t>
            </w:r>
            <w:r w:rsidR="00101B78" w:rsidRPr="00073574">
              <w:rPr>
                <w:rFonts w:asciiTheme="majorBidi" w:hAnsiTheme="majorBidi" w:cstheme="majorBidi"/>
                <w:szCs w:val="22"/>
              </w:rPr>
              <w:t xml:space="preserve">seven face-to-face </w:t>
            </w:r>
            <w:r w:rsidRPr="00073574">
              <w:rPr>
                <w:rFonts w:asciiTheme="majorBidi" w:hAnsiTheme="majorBidi" w:cstheme="majorBidi"/>
                <w:szCs w:val="22"/>
              </w:rPr>
              <w:t xml:space="preserve">workshops </w:t>
            </w:r>
            <w:r w:rsidR="009E6DCD" w:rsidRPr="00073574">
              <w:rPr>
                <w:rFonts w:asciiTheme="majorBidi" w:hAnsiTheme="majorBidi" w:cstheme="majorBidi"/>
                <w:szCs w:val="22"/>
              </w:rPr>
              <w:t xml:space="preserve">since WTSA-16 </w:t>
            </w:r>
            <w:r w:rsidR="00595505" w:rsidRPr="00073574">
              <w:rPr>
                <w:rFonts w:asciiTheme="majorBidi" w:hAnsiTheme="majorBidi" w:cstheme="majorBidi"/>
                <w:szCs w:val="22"/>
              </w:rPr>
              <w:t>(</w:t>
            </w:r>
            <w:r w:rsidR="009E6DCD" w:rsidRPr="00073574">
              <w:rPr>
                <w:rFonts w:asciiTheme="majorBidi" w:hAnsiTheme="majorBidi" w:cstheme="majorBidi"/>
                <w:szCs w:val="22"/>
              </w:rPr>
              <w:t xml:space="preserve">Johannesburg, Rio de Janeiro, </w:t>
            </w:r>
            <w:r w:rsidR="00595505" w:rsidRPr="00073574">
              <w:rPr>
                <w:rFonts w:asciiTheme="majorBidi" w:hAnsiTheme="majorBidi" w:cstheme="majorBidi"/>
                <w:szCs w:val="22"/>
              </w:rPr>
              <w:t>Dakar, Istanbul, Geneva</w:t>
            </w:r>
            <w:r w:rsidR="00644165" w:rsidRPr="00073574">
              <w:rPr>
                <w:rFonts w:asciiTheme="majorBidi" w:hAnsiTheme="majorBidi" w:cstheme="majorBidi"/>
                <w:szCs w:val="22"/>
              </w:rPr>
              <w:t>, Kigali</w:t>
            </w:r>
            <w:r w:rsidR="00163CBE" w:rsidRPr="00073574">
              <w:rPr>
                <w:rFonts w:asciiTheme="majorBidi" w:hAnsiTheme="majorBidi" w:cstheme="majorBidi"/>
                <w:szCs w:val="22"/>
              </w:rPr>
              <w:t>, Singapore</w:t>
            </w:r>
            <w:r w:rsidR="00595505" w:rsidRPr="00073574">
              <w:rPr>
                <w:rFonts w:asciiTheme="majorBidi" w:hAnsiTheme="majorBidi" w:cstheme="majorBidi"/>
                <w:szCs w:val="22"/>
              </w:rPr>
              <w:t>)</w:t>
            </w:r>
            <w:r w:rsidRPr="00073574">
              <w:rPr>
                <w:rFonts w:asciiTheme="majorBidi" w:hAnsiTheme="majorBidi" w:cstheme="majorBidi"/>
                <w:szCs w:val="22"/>
              </w:rPr>
              <w:t xml:space="preserve">. </w:t>
            </w:r>
            <w:r w:rsidR="00E35E3A" w:rsidRPr="00073574">
              <w:rPr>
                <w:rFonts w:asciiTheme="majorBidi" w:hAnsiTheme="majorBidi" w:cstheme="majorBidi"/>
                <w:szCs w:val="22"/>
              </w:rPr>
              <w:t>During the COVID-19 pandemic, a</w:t>
            </w:r>
            <w:r w:rsidR="00DB1503" w:rsidRPr="00073574">
              <w:rPr>
                <w:rFonts w:asciiTheme="majorBidi" w:hAnsiTheme="majorBidi" w:cstheme="majorBidi"/>
                <w:szCs w:val="22"/>
              </w:rPr>
              <w:t xml:space="preserve"> </w:t>
            </w:r>
            <w:r w:rsidR="00E35E3A" w:rsidRPr="00073574">
              <w:rPr>
                <w:rFonts w:asciiTheme="majorBidi" w:hAnsiTheme="majorBidi" w:cstheme="majorBidi"/>
                <w:szCs w:val="22"/>
              </w:rPr>
              <w:t xml:space="preserve">number of </w:t>
            </w:r>
            <w:r w:rsidR="00DB1503" w:rsidRPr="00073574">
              <w:rPr>
                <w:rFonts w:asciiTheme="majorBidi" w:hAnsiTheme="majorBidi" w:cstheme="majorBidi"/>
                <w:szCs w:val="22"/>
              </w:rPr>
              <w:t>webinar</w:t>
            </w:r>
            <w:r w:rsidR="00E35E3A" w:rsidRPr="00073574">
              <w:rPr>
                <w:rFonts w:asciiTheme="majorBidi" w:hAnsiTheme="majorBidi" w:cstheme="majorBidi"/>
                <w:szCs w:val="22"/>
              </w:rPr>
              <w:t>s</w:t>
            </w:r>
            <w:r w:rsidR="00DB1503" w:rsidRPr="00073574">
              <w:rPr>
                <w:rFonts w:asciiTheme="majorBidi" w:hAnsiTheme="majorBidi" w:cstheme="majorBidi"/>
                <w:szCs w:val="22"/>
              </w:rPr>
              <w:t xml:space="preserve"> </w:t>
            </w:r>
            <w:r w:rsidR="00E35E3A" w:rsidRPr="00073574">
              <w:rPr>
                <w:rFonts w:asciiTheme="majorBidi" w:hAnsiTheme="majorBidi" w:cstheme="majorBidi"/>
                <w:szCs w:val="22"/>
              </w:rPr>
              <w:t xml:space="preserve">were held, including one </w:t>
            </w:r>
            <w:r w:rsidR="00AA2BB6" w:rsidRPr="00073574">
              <w:rPr>
                <w:rFonts w:asciiTheme="majorBidi" w:hAnsiTheme="majorBidi" w:cstheme="majorBidi"/>
                <w:szCs w:val="22"/>
              </w:rPr>
              <w:t>which was held in Spanish</w:t>
            </w:r>
            <w:r w:rsidR="00DB1503" w:rsidRPr="00073574">
              <w:rPr>
                <w:rFonts w:asciiTheme="majorBidi" w:hAnsiTheme="majorBidi" w:cstheme="majorBidi"/>
                <w:szCs w:val="22"/>
              </w:rPr>
              <w:t xml:space="preserve">. </w:t>
            </w:r>
            <w:r w:rsidR="00595505" w:rsidRPr="00073574">
              <w:rPr>
                <w:rFonts w:asciiTheme="majorBidi" w:hAnsiTheme="majorBidi" w:cstheme="majorBidi"/>
                <w:szCs w:val="22"/>
              </w:rPr>
              <w:t>All workshops were held in col</w:t>
            </w:r>
            <w:r w:rsidR="00117794" w:rsidRPr="00073574">
              <w:rPr>
                <w:rFonts w:asciiTheme="majorBidi" w:hAnsiTheme="majorBidi" w:cstheme="majorBidi"/>
                <w:szCs w:val="22"/>
              </w:rPr>
              <w:t>l</w:t>
            </w:r>
            <w:r w:rsidR="00595505" w:rsidRPr="00073574">
              <w:rPr>
                <w:rFonts w:asciiTheme="majorBidi" w:hAnsiTheme="majorBidi" w:cstheme="majorBidi"/>
                <w:szCs w:val="22"/>
              </w:rPr>
              <w:t>ocation with related SG12 events</w:t>
            </w:r>
            <w:r w:rsidR="009E6DCD" w:rsidRPr="00073574">
              <w:rPr>
                <w:rFonts w:asciiTheme="majorBidi" w:hAnsiTheme="majorBidi" w:cstheme="majorBidi"/>
                <w:szCs w:val="22"/>
              </w:rPr>
              <w:t xml:space="preserve">, see </w:t>
            </w:r>
            <w:hyperlink r:id="rId844" w:history="1">
              <w:r w:rsidR="009E6DCD" w:rsidRPr="00073574">
                <w:rPr>
                  <w:rStyle w:val="Hyperlink"/>
                  <w:rFonts w:asciiTheme="majorBidi" w:hAnsiTheme="majorBidi" w:cstheme="majorBidi"/>
                  <w:szCs w:val="22"/>
                </w:rPr>
                <w:t>https://www.itu.int/en/ITU-T/Workshops-and-Seminars/qos/Pages/default.aspx</w:t>
              </w:r>
            </w:hyperlink>
            <w:r w:rsidR="00117794" w:rsidRPr="00073574">
              <w:rPr>
                <w:rFonts w:asciiTheme="majorBidi" w:hAnsiTheme="majorBidi" w:cstheme="majorBidi"/>
                <w:szCs w:val="22"/>
              </w:rPr>
              <w:t>.</w:t>
            </w:r>
          </w:p>
        </w:tc>
      </w:tr>
      <w:tr w:rsidR="00F0236A" w:rsidRPr="00073574" w14:paraId="3CF53F26" w14:textId="77777777" w:rsidTr="00BD6575">
        <w:tc>
          <w:tcPr>
            <w:tcW w:w="1131" w:type="dxa"/>
            <w:vMerge w:val="restart"/>
            <w:tcBorders>
              <w:top w:val="single" w:sz="12" w:space="0" w:color="auto"/>
            </w:tcBorders>
            <w:shd w:val="clear" w:color="auto" w:fill="auto"/>
          </w:tcPr>
          <w:p w14:paraId="44F0D2B5" w14:textId="77777777" w:rsidR="00F0236A" w:rsidRPr="00073574" w:rsidRDefault="00F0236A" w:rsidP="008F19A9">
            <w:pPr>
              <w:pStyle w:val="Tabletext"/>
              <w:keepNext/>
              <w:keepLines/>
              <w:rPr>
                <w:b/>
                <w:bCs/>
                <w:sz w:val="24"/>
                <w:szCs w:val="24"/>
              </w:rPr>
            </w:pPr>
            <w:r w:rsidRPr="00073574">
              <w:rPr>
                <w:b/>
                <w:bCs/>
                <w:sz w:val="24"/>
                <w:szCs w:val="24"/>
              </w:rPr>
              <w:t>95-04</w:t>
            </w:r>
          </w:p>
        </w:tc>
        <w:tc>
          <w:tcPr>
            <w:tcW w:w="4986" w:type="dxa"/>
            <w:tcBorders>
              <w:top w:val="single" w:sz="12" w:space="0" w:color="auto"/>
              <w:bottom w:val="single" w:sz="4" w:space="0" w:color="auto"/>
            </w:tcBorders>
            <w:shd w:val="clear" w:color="auto" w:fill="auto"/>
          </w:tcPr>
          <w:p w14:paraId="65D049F6" w14:textId="77777777" w:rsidR="00F0236A" w:rsidRPr="00073574" w:rsidRDefault="00F0236A" w:rsidP="00DF36E1">
            <w:pPr>
              <w:pStyle w:val="Tabletext"/>
              <w:rPr>
                <w:b/>
                <w:bCs/>
                <w:sz w:val="24"/>
                <w:szCs w:val="24"/>
              </w:rPr>
            </w:pPr>
            <w:r w:rsidRPr="00073574">
              <w:rPr>
                <w:b/>
                <w:bCs/>
                <w:sz w:val="24"/>
                <w:szCs w:val="24"/>
              </w:rPr>
              <w:t>TSB Director in order to implement resolves 2 and 4 above, to continue to support the activities of QSDG for open operational and regulatory discussions among regulators, operators and suppliers about new strategies to deliver better QoS and QoE to users (i. TSBDir)</w:t>
            </w:r>
          </w:p>
        </w:tc>
        <w:tc>
          <w:tcPr>
            <w:tcW w:w="1336" w:type="dxa"/>
            <w:tcBorders>
              <w:top w:val="single" w:sz="12" w:space="0" w:color="auto"/>
              <w:bottom w:val="single" w:sz="4" w:space="0" w:color="auto"/>
            </w:tcBorders>
            <w:shd w:val="clear" w:color="auto" w:fill="auto"/>
            <w:vAlign w:val="center"/>
          </w:tcPr>
          <w:p w14:paraId="02B244E7"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43" w:type="dxa"/>
            <w:tcBorders>
              <w:top w:val="single" w:sz="12" w:space="0" w:color="auto"/>
              <w:bottom w:val="single" w:sz="4" w:space="0" w:color="auto"/>
            </w:tcBorders>
            <w:shd w:val="clear" w:color="auto" w:fill="auto"/>
            <w:vAlign w:val="center"/>
          </w:tcPr>
          <w:p w14:paraId="0C09FFED" w14:textId="37A3633A" w:rsidR="00F0236A" w:rsidRPr="00073574" w:rsidRDefault="00313F0C" w:rsidP="00DF36E1">
            <w:pPr>
              <w:pStyle w:val="Tabletext"/>
              <w:jc w:val="center"/>
              <w:rPr>
                <w:b/>
                <w:bCs/>
                <w:sz w:val="24"/>
                <w:szCs w:val="24"/>
              </w:rPr>
            </w:pPr>
            <w:r w:rsidRPr="00073574">
              <w:rPr>
                <w:b/>
                <w:bCs/>
                <w:sz w:val="24"/>
                <w:szCs w:val="24"/>
              </w:rPr>
              <w:t>√</w:t>
            </w:r>
          </w:p>
        </w:tc>
        <w:tc>
          <w:tcPr>
            <w:tcW w:w="1336" w:type="dxa"/>
            <w:tcBorders>
              <w:top w:val="single" w:sz="12" w:space="0" w:color="auto"/>
              <w:bottom w:val="single" w:sz="4" w:space="0" w:color="auto"/>
            </w:tcBorders>
            <w:shd w:val="clear" w:color="auto" w:fill="auto"/>
            <w:vAlign w:val="center"/>
          </w:tcPr>
          <w:p w14:paraId="76ABEECE" w14:textId="77777777" w:rsidR="00F0236A" w:rsidRPr="00073574" w:rsidRDefault="00F0236A" w:rsidP="00DF36E1">
            <w:pPr>
              <w:pStyle w:val="Tabletext"/>
              <w:jc w:val="center"/>
              <w:rPr>
                <w:b/>
                <w:bCs/>
                <w:sz w:val="24"/>
                <w:szCs w:val="24"/>
              </w:rPr>
            </w:pPr>
          </w:p>
        </w:tc>
      </w:tr>
      <w:tr w:rsidR="00F0236A" w:rsidRPr="00073574" w14:paraId="721CB1BE" w14:textId="77777777" w:rsidTr="5D161764">
        <w:tc>
          <w:tcPr>
            <w:tcW w:w="1131" w:type="dxa"/>
            <w:vMerge/>
          </w:tcPr>
          <w:p w14:paraId="27847C22" w14:textId="77777777" w:rsidR="00F0236A" w:rsidRPr="00073574" w:rsidRDefault="00F0236A" w:rsidP="00DF36E1">
            <w:pPr>
              <w:pStyle w:val="Tabletext"/>
              <w:rPr>
                <w:sz w:val="24"/>
                <w:szCs w:val="24"/>
              </w:rPr>
            </w:pPr>
          </w:p>
        </w:tc>
        <w:tc>
          <w:tcPr>
            <w:tcW w:w="8801" w:type="dxa"/>
            <w:gridSpan w:val="4"/>
            <w:tcBorders>
              <w:top w:val="single" w:sz="4" w:space="0" w:color="auto"/>
              <w:bottom w:val="single" w:sz="12" w:space="0" w:color="auto"/>
            </w:tcBorders>
            <w:shd w:val="clear" w:color="auto" w:fill="auto"/>
          </w:tcPr>
          <w:p w14:paraId="209AEA56" w14:textId="4016E894" w:rsidR="00F0236A" w:rsidRPr="00073574" w:rsidRDefault="00B65D85" w:rsidP="00E15AC7">
            <w:pPr>
              <w:spacing w:before="40" w:after="40"/>
            </w:pPr>
            <w:r w:rsidRPr="00073574">
              <w:rPr>
                <w:szCs w:val="22"/>
              </w:rPr>
              <w:t xml:space="preserve">The QSDG held </w:t>
            </w:r>
            <w:r w:rsidR="00B262F5" w:rsidRPr="00073574">
              <w:rPr>
                <w:szCs w:val="22"/>
              </w:rPr>
              <w:t xml:space="preserve">three </w:t>
            </w:r>
            <w:r w:rsidR="001A10FF" w:rsidRPr="00073574">
              <w:rPr>
                <w:szCs w:val="22"/>
              </w:rPr>
              <w:t xml:space="preserve">face-to-face </w:t>
            </w:r>
            <w:r w:rsidRPr="00073574">
              <w:rPr>
                <w:szCs w:val="22"/>
              </w:rPr>
              <w:t>meetings (Johannesburg, July 2017, Istanbul, September 2018</w:t>
            </w:r>
            <w:r w:rsidR="00B262F5" w:rsidRPr="00073574">
              <w:rPr>
                <w:szCs w:val="22"/>
              </w:rPr>
              <w:t>, Singapore, August 2019</w:t>
            </w:r>
            <w:r w:rsidRPr="00073574">
              <w:rPr>
                <w:szCs w:val="22"/>
              </w:rPr>
              <w:t>), and organized workshops for open operational and regulatory discussions among regulators, operators and suppliers about new strategies to deliver better QoS and QoE to users (</w:t>
            </w:r>
            <w:r w:rsidR="009E6DCD" w:rsidRPr="00073574">
              <w:rPr>
                <w:szCs w:val="22"/>
              </w:rPr>
              <w:t>see 95-03</w:t>
            </w:r>
            <w:r w:rsidRPr="00073574">
              <w:rPr>
                <w:szCs w:val="22"/>
              </w:rPr>
              <w:t>).</w:t>
            </w:r>
          </w:p>
        </w:tc>
      </w:tr>
      <w:tr w:rsidR="00F0236A" w:rsidRPr="00073574" w14:paraId="75EAF995" w14:textId="77777777" w:rsidTr="00BD6575">
        <w:tc>
          <w:tcPr>
            <w:tcW w:w="1131" w:type="dxa"/>
            <w:vMerge w:val="restart"/>
            <w:tcBorders>
              <w:top w:val="single" w:sz="12" w:space="0" w:color="auto"/>
            </w:tcBorders>
            <w:shd w:val="clear" w:color="auto" w:fill="auto"/>
          </w:tcPr>
          <w:p w14:paraId="51DBB152" w14:textId="77777777" w:rsidR="00F0236A" w:rsidRPr="00073574" w:rsidRDefault="00F0236A" w:rsidP="001655CE">
            <w:pPr>
              <w:pStyle w:val="Tabletext"/>
              <w:keepNext/>
              <w:keepLines/>
              <w:rPr>
                <w:b/>
                <w:bCs/>
                <w:sz w:val="24"/>
                <w:szCs w:val="24"/>
              </w:rPr>
            </w:pPr>
            <w:r w:rsidRPr="00073574">
              <w:rPr>
                <w:b/>
                <w:bCs/>
                <w:sz w:val="24"/>
                <w:szCs w:val="24"/>
              </w:rPr>
              <w:t>95-05</w:t>
            </w:r>
          </w:p>
        </w:tc>
        <w:tc>
          <w:tcPr>
            <w:tcW w:w="4986" w:type="dxa"/>
            <w:tcBorders>
              <w:top w:val="single" w:sz="12" w:space="0" w:color="auto"/>
              <w:bottom w:val="single" w:sz="4" w:space="0" w:color="auto"/>
            </w:tcBorders>
            <w:shd w:val="clear" w:color="auto" w:fill="auto"/>
          </w:tcPr>
          <w:p w14:paraId="742E74D2" w14:textId="77777777" w:rsidR="00F0236A" w:rsidRPr="00073574" w:rsidRDefault="00F0236A" w:rsidP="00DF36E1">
            <w:pPr>
              <w:pStyle w:val="Tabletext"/>
              <w:rPr>
                <w:b/>
                <w:bCs/>
                <w:sz w:val="24"/>
                <w:szCs w:val="24"/>
              </w:rPr>
            </w:pPr>
            <w:r w:rsidRPr="00073574">
              <w:rPr>
                <w:b/>
                <w:bCs/>
                <w:sz w:val="24"/>
                <w:szCs w:val="24"/>
              </w:rPr>
              <w:t>TSB Director to assist developing and least developed countries in identifying human and institutional capacity-building opportunities for establishing national quality measurement frameworks (i. TSBDir 1)</w:t>
            </w:r>
          </w:p>
        </w:tc>
        <w:tc>
          <w:tcPr>
            <w:tcW w:w="1336" w:type="dxa"/>
            <w:tcBorders>
              <w:top w:val="single" w:sz="12" w:space="0" w:color="auto"/>
              <w:bottom w:val="single" w:sz="4" w:space="0" w:color="auto"/>
            </w:tcBorders>
            <w:shd w:val="clear" w:color="auto" w:fill="auto"/>
            <w:vAlign w:val="center"/>
          </w:tcPr>
          <w:p w14:paraId="35449AEB"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43" w:type="dxa"/>
            <w:tcBorders>
              <w:top w:val="single" w:sz="12" w:space="0" w:color="auto"/>
              <w:bottom w:val="single" w:sz="4" w:space="0" w:color="auto"/>
            </w:tcBorders>
            <w:shd w:val="clear" w:color="auto" w:fill="auto"/>
            <w:vAlign w:val="center"/>
          </w:tcPr>
          <w:p w14:paraId="23F80250" w14:textId="5C2A36C0" w:rsidR="00F0236A" w:rsidRPr="00073574" w:rsidRDefault="00E676BA" w:rsidP="00DF36E1">
            <w:pPr>
              <w:pStyle w:val="Tabletext"/>
              <w:jc w:val="center"/>
              <w:rPr>
                <w:b/>
                <w:bCs/>
                <w:sz w:val="24"/>
                <w:szCs w:val="24"/>
              </w:rPr>
            </w:pPr>
            <w:r w:rsidRPr="00073574">
              <w:rPr>
                <w:b/>
                <w:bCs/>
                <w:sz w:val="24"/>
                <w:szCs w:val="24"/>
              </w:rPr>
              <w:t>√</w:t>
            </w:r>
          </w:p>
        </w:tc>
        <w:tc>
          <w:tcPr>
            <w:tcW w:w="1336" w:type="dxa"/>
            <w:tcBorders>
              <w:top w:val="single" w:sz="12" w:space="0" w:color="auto"/>
              <w:bottom w:val="single" w:sz="4" w:space="0" w:color="auto"/>
            </w:tcBorders>
            <w:shd w:val="clear" w:color="auto" w:fill="auto"/>
            <w:vAlign w:val="center"/>
          </w:tcPr>
          <w:p w14:paraId="7C7D81D6" w14:textId="77777777" w:rsidR="00F0236A" w:rsidRPr="00073574" w:rsidRDefault="00F0236A" w:rsidP="00DF36E1">
            <w:pPr>
              <w:pStyle w:val="Tabletext"/>
              <w:jc w:val="center"/>
              <w:rPr>
                <w:b/>
                <w:bCs/>
                <w:sz w:val="24"/>
                <w:szCs w:val="24"/>
              </w:rPr>
            </w:pPr>
          </w:p>
        </w:tc>
      </w:tr>
      <w:tr w:rsidR="00F0236A" w:rsidRPr="00073574" w14:paraId="3A84BCE2" w14:textId="77777777" w:rsidTr="5D161764">
        <w:tc>
          <w:tcPr>
            <w:tcW w:w="1131" w:type="dxa"/>
            <w:vMerge/>
          </w:tcPr>
          <w:p w14:paraId="5275B94C" w14:textId="77777777" w:rsidR="00F0236A" w:rsidRPr="00073574" w:rsidRDefault="00F0236A" w:rsidP="00DF36E1">
            <w:pPr>
              <w:pStyle w:val="Tabletext"/>
              <w:rPr>
                <w:sz w:val="24"/>
                <w:szCs w:val="24"/>
              </w:rPr>
            </w:pPr>
          </w:p>
        </w:tc>
        <w:tc>
          <w:tcPr>
            <w:tcW w:w="8801" w:type="dxa"/>
            <w:gridSpan w:val="4"/>
            <w:tcBorders>
              <w:top w:val="single" w:sz="4" w:space="0" w:color="auto"/>
              <w:bottom w:val="single" w:sz="12" w:space="0" w:color="auto"/>
            </w:tcBorders>
            <w:shd w:val="clear" w:color="auto" w:fill="auto"/>
          </w:tcPr>
          <w:p w14:paraId="09526F4E" w14:textId="7915B3A3" w:rsidR="00F0236A" w:rsidRPr="00073574" w:rsidRDefault="00595505" w:rsidP="002E241A">
            <w:pPr>
              <w:pStyle w:val="ListParagraph"/>
              <w:numPr>
                <w:ilvl w:val="0"/>
                <w:numId w:val="37"/>
              </w:numPr>
              <w:spacing w:before="40" w:after="40"/>
              <w:ind w:hanging="357"/>
              <w:contextualSpacing w:val="0"/>
            </w:pPr>
            <w:r w:rsidRPr="00073574">
              <w:t>Facilitated the development and review of regional QoS and QoE frameworks for SADC and WATRA.</w:t>
            </w:r>
            <w:r w:rsidR="008516A7" w:rsidRPr="00073574">
              <w:t xml:space="preserve"> </w:t>
            </w:r>
            <w:r w:rsidR="008516A7" w:rsidRPr="00073574">
              <w:rPr>
                <w:rFonts w:asciiTheme="majorBidi" w:hAnsiTheme="majorBidi" w:cstheme="majorBidi"/>
              </w:rPr>
              <w:t>An e</w:t>
            </w:r>
            <w:r w:rsidR="00C15B60" w:rsidRPr="00073574">
              <w:rPr>
                <w:rFonts w:asciiTheme="majorBidi" w:hAnsiTheme="majorBidi" w:cstheme="majorBidi"/>
              </w:rPr>
              <w:t>-</w:t>
            </w:r>
            <w:r w:rsidR="008516A7" w:rsidRPr="00073574">
              <w:rPr>
                <w:rFonts w:asciiTheme="majorBidi" w:hAnsiTheme="majorBidi" w:cstheme="majorBidi"/>
              </w:rPr>
              <w:t>learning module delivered via ITU Academy was updated to reflect ITU-T Recommendations including ITU-T E.805 (on establishing regulatory frameworks), E.806 and E.812.</w:t>
            </w:r>
          </w:p>
        </w:tc>
      </w:tr>
      <w:tr w:rsidR="00F0236A" w:rsidRPr="00073574" w14:paraId="62F2AF11" w14:textId="77777777" w:rsidTr="00BD6575">
        <w:tc>
          <w:tcPr>
            <w:tcW w:w="1131" w:type="dxa"/>
            <w:vMerge w:val="restart"/>
            <w:tcBorders>
              <w:top w:val="single" w:sz="12" w:space="0" w:color="auto"/>
            </w:tcBorders>
            <w:shd w:val="clear" w:color="auto" w:fill="auto"/>
          </w:tcPr>
          <w:p w14:paraId="114EF0C3" w14:textId="77777777" w:rsidR="00F0236A" w:rsidRPr="00073574" w:rsidRDefault="00F0236A" w:rsidP="00DF36E1">
            <w:pPr>
              <w:pStyle w:val="Tabletext"/>
              <w:rPr>
                <w:b/>
                <w:bCs/>
                <w:sz w:val="24"/>
                <w:szCs w:val="24"/>
              </w:rPr>
            </w:pPr>
            <w:r w:rsidRPr="00073574">
              <w:rPr>
                <w:b/>
                <w:bCs/>
                <w:sz w:val="24"/>
                <w:szCs w:val="24"/>
              </w:rPr>
              <w:t>95-06</w:t>
            </w:r>
          </w:p>
        </w:tc>
        <w:tc>
          <w:tcPr>
            <w:tcW w:w="4986" w:type="dxa"/>
            <w:tcBorders>
              <w:top w:val="single" w:sz="12" w:space="0" w:color="auto"/>
              <w:bottom w:val="single" w:sz="4" w:space="0" w:color="auto"/>
            </w:tcBorders>
            <w:shd w:val="clear" w:color="auto" w:fill="auto"/>
          </w:tcPr>
          <w:p w14:paraId="1C772755" w14:textId="77777777" w:rsidR="00F0236A" w:rsidRPr="00073574" w:rsidRDefault="00F0236A" w:rsidP="00DF36E1">
            <w:pPr>
              <w:pStyle w:val="Tabletext"/>
              <w:rPr>
                <w:b/>
                <w:bCs/>
                <w:sz w:val="24"/>
                <w:szCs w:val="24"/>
              </w:rPr>
            </w:pPr>
            <w:r w:rsidRPr="00073574">
              <w:rPr>
                <w:b/>
                <w:bCs/>
                <w:sz w:val="24"/>
                <w:szCs w:val="24"/>
              </w:rPr>
              <w:t>TSB Director to conduct activities in each region in order to identify and prioritize the problems faced by developing and least developed countries related to the provision of acceptable service quality to users (i. TSBDir 2)</w:t>
            </w:r>
          </w:p>
        </w:tc>
        <w:tc>
          <w:tcPr>
            <w:tcW w:w="1336" w:type="dxa"/>
            <w:tcBorders>
              <w:top w:val="single" w:sz="12" w:space="0" w:color="auto"/>
              <w:bottom w:val="single" w:sz="4" w:space="0" w:color="auto"/>
            </w:tcBorders>
            <w:shd w:val="clear" w:color="auto" w:fill="auto"/>
            <w:vAlign w:val="center"/>
          </w:tcPr>
          <w:p w14:paraId="222CAE17"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43" w:type="dxa"/>
            <w:tcBorders>
              <w:top w:val="single" w:sz="12" w:space="0" w:color="auto"/>
              <w:bottom w:val="single" w:sz="4" w:space="0" w:color="auto"/>
            </w:tcBorders>
            <w:shd w:val="clear" w:color="auto" w:fill="auto"/>
            <w:vAlign w:val="center"/>
          </w:tcPr>
          <w:p w14:paraId="271F6367" w14:textId="768AB2A1" w:rsidR="00F0236A" w:rsidRPr="00073574" w:rsidRDefault="00313F0C" w:rsidP="00DF36E1">
            <w:pPr>
              <w:pStyle w:val="Tabletext"/>
              <w:jc w:val="center"/>
              <w:rPr>
                <w:b/>
                <w:bCs/>
                <w:sz w:val="24"/>
                <w:szCs w:val="24"/>
              </w:rPr>
            </w:pPr>
            <w:r w:rsidRPr="00073574">
              <w:rPr>
                <w:b/>
                <w:bCs/>
                <w:sz w:val="24"/>
                <w:szCs w:val="24"/>
              </w:rPr>
              <w:t>√</w:t>
            </w:r>
          </w:p>
        </w:tc>
        <w:tc>
          <w:tcPr>
            <w:tcW w:w="1336" w:type="dxa"/>
            <w:tcBorders>
              <w:top w:val="single" w:sz="12" w:space="0" w:color="auto"/>
              <w:bottom w:val="single" w:sz="4" w:space="0" w:color="auto"/>
            </w:tcBorders>
            <w:shd w:val="clear" w:color="auto" w:fill="auto"/>
            <w:vAlign w:val="center"/>
          </w:tcPr>
          <w:p w14:paraId="7A351EFC" w14:textId="77777777" w:rsidR="00F0236A" w:rsidRPr="00073574" w:rsidRDefault="00F0236A" w:rsidP="00DF36E1">
            <w:pPr>
              <w:pStyle w:val="Tabletext"/>
              <w:jc w:val="center"/>
              <w:rPr>
                <w:b/>
                <w:bCs/>
                <w:sz w:val="24"/>
                <w:szCs w:val="24"/>
              </w:rPr>
            </w:pPr>
          </w:p>
        </w:tc>
      </w:tr>
      <w:tr w:rsidR="00F0236A" w:rsidRPr="00073574" w14:paraId="097F9E88" w14:textId="77777777" w:rsidTr="5D161764">
        <w:tc>
          <w:tcPr>
            <w:tcW w:w="1131" w:type="dxa"/>
            <w:vMerge/>
          </w:tcPr>
          <w:p w14:paraId="13331365" w14:textId="77777777" w:rsidR="00F0236A" w:rsidRPr="00073574" w:rsidRDefault="00F0236A" w:rsidP="00DF36E1">
            <w:pPr>
              <w:pStyle w:val="Tabletext"/>
              <w:rPr>
                <w:sz w:val="24"/>
                <w:szCs w:val="24"/>
              </w:rPr>
            </w:pPr>
          </w:p>
        </w:tc>
        <w:tc>
          <w:tcPr>
            <w:tcW w:w="8801" w:type="dxa"/>
            <w:gridSpan w:val="4"/>
            <w:tcBorders>
              <w:top w:val="single" w:sz="4" w:space="0" w:color="auto"/>
              <w:bottom w:val="single" w:sz="12" w:space="0" w:color="auto"/>
            </w:tcBorders>
            <w:shd w:val="clear" w:color="auto" w:fill="auto"/>
          </w:tcPr>
          <w:p w14:paraId="297BB29B" w14:textId="18DE2665" w:rsidR="00F0236A" w:rsidRPr="00073574" w:rsidRDefault="00313F0C" w:rsidP="00DF36E1">
            <w:pPr>
              <w:pStyle w:val="Tabletext"/>
              <w:rPr>
                <w:szCs w:val="22"/>
              </w:rPr>
            </w:pPr>
            <w:r w:rsidRPr="00073574">
              <w:rPr>
                <w:szCs w:val="22"/>
              </w:rPr>
              <w:t>See 95-04</w:t>
            </w:r>
            <w:r w:rsidR="00595505" w:rsidRPr="00073574">
              <w:rPr>
                <w:szCs w:val="22"/>
              </w:rPr>
              <w:t xml:space="preserve"> and 95-05</w:t>
            </w:r>
            <w:r w:rsidRPr="00073574">
              <w:rPr>
                <w:szCs w:val="22"/>
              </w:rPr>
              <w:t>.</w:t>
            </w:r>
          </w:p>
        </w:tc>
      </w:tr>
      <w:tr w:rsidR="00F0236A" w:rsidRPr="00073574" w14:paraId="02E772E0" w14:textId="77777777" w:rsidTr="00BD6575">
        <w:tc>
          <w:tcPr>
            <w:tcW w:w="1131" w:type="dxa"/>
            <w:vMerge w:val="restart"/>
            <w:tcBorders>
              <w:top w:val="single" w:sz="12" w:space="0" w:color="auto"/>
            </w:tcBorders>
            <w:shd w:val="clear" w:color="auto" w:fill="auto"/>
          </w:tcPr>
          <w:p w14:paraId="7FF1800C" w14:textId="77777777" w:rsidR="00F0236A" w:rsidRPr="00073574" w:rsidRDefault="00F0236A" w:rsidP="00DF36E1">
            <w:pPr>
              <w:pStyle w:val="Tabletext"/>
              <w:rPr>
                <w:b/>
                <w:bCs/>
                <w:sz w:val="24"/>
                <w:szCs w:val="24"/>
              </w:rPr>
            </w:pPr>
            <w:r w:rsidRPr="00073574">
              <w:rPr>
                <w:b/>
                <w:bCs/>
                <w:sz w:val="24"/>
                <w:szCs w:val="24"/>
              </w:rPr>
              <w:t>95-07</w:t>
            </w:r>
          </w:p>
        </w:tc>
        <w:tc>
          <w:tcPr>
            <w:tcW w:w="4986" w:type="dxa"/>
            <w:tcBorders>
              <w:top w:val="single" w:sz="12" w:space="0" w:color="auto"/>
              <w:bottom w:val="single" w:sz="4" w:space="0" w:color="auto"/>
            </w:tcBorders>
            <w:shd w:val="clear" w:color="auto" w:fill="auto"/>
          </w:tcPr>
          <w:p w14:paraId="6ECA58D9" w14:textId="77777777" w:rsidR="00F0236A" w:rsidRPr="00073574" w:rsidRDefault="00F0236A" w:rsidP="00DF36E1">
            <w:pPr>
              <w:pStyle w:val="Tabletext"/>
              <w:rPr>
                <w:b/>
                <w:bCs/>
                <w:sz w:val="24"/>
                <w:szCs w:val="24"/>
              </w:rPr>
            </w:pPr>
            <w:r w:rsidRPr="00073574">
              <w:rPr>
                <w:b/>
                <w:bCs/>
                <w:sz w:val="24"/>
                <w:szCs w:val="24"/>
              </w:rPr>
              <w:t>TSB Director based on results of instructs 2 above, to assist developing and least developed countries in elaborating and implementing actions to improve service quality and keep users informed (i. TSBDir 3)</w:t>
            </w:r>
          </w:p>
        </w:tc>
        <w:tc>
          <w:tcPr>
            <w:tcW w:w="1336" w:type="dxa"/>
            <w:tcBorders>
              <w:top w:val="single" w:sz="12" w:space="0" w:color="auto"/>
              <w:bottom w:val="single" w:sz="4" w:space="0" w:color="auto"/>
            </w:tcBorders>
            <w:shd w:val="clear" w:color="auto" w:fill="auto"/>
            <w:vAlign w:val="center"/>
          </w:tcPr>
          <w:p w14:paraId="63BF6CD9"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43" w:type="dxa"/>
            <w:tcBorders>
              <w:top w:val="single" w:sz="12" w:space="0" w:color="auto"/>
              <w:bottom w:val="single" w:sz="4" w:space="0" w:color="auto"/>
            </w:tcBorders>
            <w:shd w:val="clear" w:color="auto" w:fill="auto"/>
            <w:vAlign w:val="center"/>
          </w:tcPr>
          <w:p w14:paraId="41BFAFF3" w14:textId="0BB90E92" w:rsidR="00F0236A" w:rsidRPr="00073574" w:rsidRDefault="00007AFA" w:rsidP="00DF36E1">
            <w:pPr>
              <w:pStyle w:val="Tabletext"/>
              <w:jc w:val="center"/>
              <w:rPr>
                <w:b/>
                <w:bCs/>
                <w:sz w:val="24"/>
                <w:szCs w:val="24"/>
              </w:rPr>
            </w:pPr>
            <w:r w:rsidRPr="00073574">
              <w:rPr>
                <w:b/>
                <w:bCs/>
                <w:sz w:val="24"/>
                <w:szCs w:val="24"/>
              </w:rPr>
              <w:t>√</w:t>
            </w:r>
          </w:p>
        </w:tc>
        <w:tc>
          <w:tcPr>
            <w:tcW w:w="1336" w:type="dxa"/>
            <w:tcBorders>
              <w:top w:val="single" w:sz="12" w:space="0" w:color="auto"/>
              <w:bottom w:val="single" w:sz="4" w:space="0" w:color="auto"/>
            </w:tcBorders>
            <w:shd w:val="clear" w:color="auto" w:fill="auto"/>
            <w:vAlign w:val="center"/>
          </w:tcPr>
          <w:p w14:paraId="71CDE56D" w14:textId="77777777" w:rsidR="00F0236A" w:rsidRPr="00073574" w:rsidRDefault="00F0236A" w:rsidP="00DF36E1">
            <w:pPr>
              <w:pStyle w:val="Tabletext"/>
              <w:jc w:val="center"/>
              <w:rPr>
                <w:b/>
                <w:bCs/>
                <w:sz w:val="24"/>
                <w:szCs w:val="24"/>
              </w:rPr>
            </w:pPr>
          </w:p>
        </w:tc>
      </w:tr>
      <w:tr w:rsidR="00F0236A" w:rsidRPr="00073574" w14:paraId="7DF5308D" w14:textId="77777777" w:rsidTr="5D161764">
        <w:tc>
          <w:tcPr>
            <w:tcW w:w="1131" w:type="dxa"/>
            <w:vMerge/>
          </w:tcPr>
          <w:p w14:paraId="042E9AA0" w14:textId="77777777" w:rsidR="00F0236A" w:rsidRPr="00073574" w:rsidRDefault="00F0236A" w:rsidP="00DF36E1">
            <w:pPr>
              <w:pStyle w:val="Tabletext"/>
              <w:rPr>
                <w:sz w:val="24"/>
                <w:szCs w:val="24"/>
              </w:rPr>
            </w:pPr>
          </w:p>
        </w:tc>
        <w:tc>
          <w:tcPr>
            <w:tcW w:w="8801" w:type="dxa"/>
            <w:gridSpan w:val="4"/>
            <w:tcBorders>
              <w:top w:val="single" w:sz="4" w:space="0" w:color="auto"/>
              <w:bottom w:val="single" w:sz="12" w:space="0" w:color="auto"/>
            </w:tcBorders>
            <w:shd w:val="clear" w:color="auto" w:fill="auto"/>
          </w:tcPr>
          <w:p w14:paraId="05EB5460" w14:textId="3835CF09" w:rsidR="00007AFA" w:rsidRPr="00073574" w:rsidRDefault="00007AFA" w:rsidP="002E241A">
            <w:pPr>
              <w:pStyle w:val="ListParagraph"/>
              <w:numPr>
                <w:ilvl w:val="0"/>
                <w:numId w:val="37"/>
              </w:numPr>
              <w:spacing w:before="40"/>
              <w:ind w:hanging="357"/>
              <w:contextualSpacing w:val="0"/>
            </w:pPr>
            <w:r w:rsidRPr="00073574">
              <w:t xml:space="preserve">In November 2017, TSB issued </w:t>
            </w:r>
            <w:hyperlink r:id="rId845">
              <w:r w:rsidR="005474FD" w:rsidRPr="00073574">
                <w:rPr>
                  <w:rStyle w:val="Hyperlink"/>
                </w:rPr>
                <w:t>TSB Circular 62</w:t>
              </w:r>
            </w:hyperlink>
            <w:r w:rsidRPr="00073574">
              <w:t xml:space="preserve"> which contains a questionnaire on the status of national service quality regulatory frameworks.</w:t>
            </w:r>
            <w:r w:rsidR="005474FD" w:rsidRPr="00073574">
              <w:t xml:space="preserve"> </w:t>
            </w:r>
            <w:r w:rsidRPr="00073574">
              <w:t xml:space="preserve">Initial results were presented at the SG12 </w:t>
            </w:r>
            <w:r w:rsidRPr="00073574">
              <w:lastRenderedPageBreak/>
              <w:t>meeting in May 2018</w:t>
            </w:r>
            <w:r w:rsidR="009E6DCD" w:rsidRPr="00073574">
              <w:t xml:space="preserve">. The results were introduced in the </w:t>
            </w:r>
            <w:r w:rsidRPr="00073574">
              <w:t>ITU Workshop on Telecommunication Service Quality Regulatory Frameworks and Experience Driven Networking, Gene</w:t>
            </w:r>
            <w:r w:rsidR="005474FD" w:rsidRPr="00073574">
              <w:t>va, 26 November 2018</w:t>
            </w:r>
            <w:r w:rsidRPr="00073574">
              <w:t>.</w:t>
            </w:r>
          </w:p>
          <w:p w14:paraId="3010885F" w14:textId="6619921A" w:rsidR="00007AFA" w:rsidRPr="00073574" w:rsidRDefault="00007AFA" w:rsidP="002E241A">
            <w:pPr>
              <w:pStyle w:val="ListParagraph"/>
              <w:numPr>
                <w:ilvl w:val="0"/>
                <w:numId w:val="37"/>
              </w:numPr>
              <w:ind w:hanging="357"/>
              <w:contextualSpacing w:val="0"/>
            </w:pPr>
            <w:r w:rsidRPr="00073574">
              <w:t xml:space="preserve">TSB organized workshops addressing the topic </w:t>
            </w:r>
            <w:r w:rsidR="008B45F9" w:rsidRPr="00073574">
              <w:t xml:space="preserve">of </w:t>
            </w:r>
            <w:r w:rsidRPr="00073574">
              <w:t>service quality regulatory frameworks</w:t>
            </w:r>
            <w:r w:rsidR="009E6DCD" w:rsidRPr="00073574">
              <w:t>, see 95-03</w:t>
            </w:r>
            <w:r w:rsidR="008B45F9" w:rsidRPr="00073574">
              <w:t>.</w:t>
            </w:r>
          </w:p>
          <w:p w14:paraId="054C5F69" w14:textId="327F156C" w:rsidR="00007AFA" w:rsidRPr="00073574" w:rsidRDefault="00007AFA" w:rsidP="002E241A">
            <w:pPr>
              <w:pStyle w:val="ListParagraph"/>
              <w:numPr>
                <w:ilvl w:val="0"/>
                <w:numId w:val="37"/>
              </w:numPr>
              <w:ind w:hanging="357"/>
              <w:contextualSpacing w:val="0"/>
            </w:pPr>
            <w:r w:rsidRPr="00073574">
              <w:t xml:space="preserve">TSB facilitated the development of a </w:t>
            </w:r>
            <w:hyperlink r:id="rId846">
              <w:r w:rsidRPr="00073574">
                <w:rPr>
                  <w:rStyle w:val="Hyperlink"/>
                </w:rPr>
                <w:t>Quality of Service Regulation Manu</w:t>
              </w:r>
              <w:r w:rsidR="008B45F9" w:rsidRPr="00073574">
                <w:rPr>
                  <w:rStyle w:val="Hyperlink"/>
                </w:rPr>
                <w:t>al</w:t>
              </w:r>
            </w:hyperlink>
            <w:r w:rsidR="008B45F9" w:rsidRPr="00073574">
              <w:t xml:space="preserve"> issued by the BDT late 2017.</w:t>
            </w:r>
          </w:p>
          <w:p w14:paraId="5DF4E9C7" w14:textId="02BDFCB7" w:rsidR="00007AFA" w:rsidRPr="00073574" w:rsidRDefault="00007AFA" w:rsidP="002E241A">
            <w:pPr>
              <w:pStyle w:val="ListParagraph"/>
              <w:numPr>
                <w:ilvl w:val="0"/>
                <w:numId w:val="37"/>
              </w:numPr>
              <w:ind w:hanging="357"/>
              <w:contextualSpacing w:val="0"/>
            </w:pPr>
            <w:r w:rsidRPr="00073574">
              <w:t>TSB facilitated the development and review of regional QoS and QoE</w:t>
            </w:r>
            <w:r w:rsidR="008B45F9" w:rsidRPr="00073574">
              <w:t xml:space="preserve"> frameworks for SADC and WATRA.</w:t>
            </w:r>
          </w:p>
          <w:p w14:paraId="17B95EB2" w14:textId="0F7EB473" w:rsidR="00007AFA" w:rsidRPr="00073574" w:rsidRDefault="00007AFA" w:rsidP="002E241A">
            <w:pPr>
              <w:pStyle w:val="ListParagraph"/>
              <w:numPr>
                <w:ilvl w:val="0"/>
                <w:numId w:val="37"/>
              </w:numPr>
              <w:ind w:hanging="357"/>
              <w:contextualSpacing w:val="0"/>
            </w:pPr>
            <w:r w:rsidRPr="00073574">
              <w:t>TSB facilitated the development</w:t>
            </w:r>
            <w:r w:rsidR="00E03E5A" w:rsidRPr="00073574">
              <w:t>,</w:t>
            </w:r>
            <w:r w:rsidRPr="00073574">
              <w:t xml:space="preserve"> review </w:t>
            </w:r>
            <w:r w:rsidR="00E03E5A" w:rsidRPr="00073574">
              <w:t xml:space="preserve">and update </w:t>
            </w:r>
            <w:r w:rsidRPr="00073574">
              <w:t xml:space="preserve">of the </w:t>
            </w:r>
            <w:hyperlink r:id="rId847">
              <w:r w:rsidRPr="00073574">
                <w:rPr>
                  <w:rStyle w:val="Hyperlink"/>
                </w:rPr>
                <w:t>Quality of Service Training Programme</w:t>
              </w:r>
            </w:hyperlink>
            <w:r w:rsidRPr="00073574">
              <w:t xml:space="preserve"> under t</w:t>
            </w:r>
            <w:r w:rsidR="008B45F9" w:rsidRPr="00073574">
              <w:t>he auspices of the ITU Academy.</w:t>
            </w:r>
          </w:p>
          <w:p w14:paraId="0AEE95CB" w14:textId="0A814C35" w:rsidR="00F0236A" w:rsidRPr="00073574" w:rsidRDefault="00007AFA" w:rsidP="002E241A">
            <w:pPr>
              <w:pStyle w:val="ListParagraph"/>
              <w:numPr>
                <w:ilvl w:val="0"/>
                <w:numId w:val="37"/>
              </w:numPr>
              <w:spacing w:after="40"/>
              <w:ind w:hanging="357"/>
              <w:contextualSpacing w:val="0"/>
            </w:pPr>
            <w:r w:rsidRPr="00073574">
              <w:t xml:space="preserve">Results of </w:t>
            </w:r>
            <w:r w:rsidR="008B45F9" w:rsidRPr="00073574">
              <w:t xml:space="preserve">the </w:t>
            </w:r>
            <w:r w:rsidRPr="00073574">
              <w:t xml:space="preserve">questionnaire and </w:t>
            </w:r>
            <w:r w:rsidR="008B45F9" w:rsidRPr="00073574">
              <w:t xml:space="preserve">the </w:t>
            </w:r>
            <w:r w:rsidRPr="00073574">
              <w:t xml:space="preserve">workshops </w:t>
            </w:r>
            <w:r w:rsidR="008B45F9" w:rsidRPr="00073574">
              <w:t xml:space="preserve">are </w:t>
            </w:r>
            <w:r w:rsidRPr="00073574">
              <w:t xml:space="preserve">reflected in </w:t>
            </w:r>
            <w:r w:rsidR="001005C2" w:rsidRPr="00073574">
              <w:t xml:space="preserve">Recommendations developed in the course of the study period, including </w:t>
            </w:r>
            <w:r w:rsidR="00626007" w:rsidRPr="00073574">
              <w:t xml:space="preserve">ITU-T </w:t>
            </w:r>
            <w:r w:rsidR="00E03E5A" w:rsidRPr="00073574">
              <w:t xml:space="preserve">E.804.1, </w:t>
            </w:r>
            <w:r w:rsidR="00626007" w:rsidRPr="00073574">
              <w:t>E.805</w:t>
            </w:r>
            <w:r w:rsidR="001005C2" w:rsidRPr="00073574">
              <w:t>,</w:t>
            </w:r>
            <w:r w:rsidR="00E03E5A" w:rsidRPr="00073574">
              <w:t xml:space="preserve"> E.805.1,</w:t>
            </w:r>
            <w:r w:rsidR="001005C2" w:rsidRPr="00073574">
              <w:t xml:space="preserve"> E.806, E.812</w:t>
            </w:r>
            <w:r w:rsidRPr="00073574">
              <w:t>.</w:t>
            </w:r>
          </w:p>
        </w:tc>
      </w:tr>
      <w:tr w:rsidR="00F0236A" w:rsidRPr="00073574" w14:paraId="50ED7E9C" w14:textId="77777777" w:rsidTr="00BD6575">
        <w:tc>
          <w:tcPr>
            <w:tcW w:w="1131" w:type="dxa"/>
            <w:vMerge w:val="restart"/>
            <w:tcBorders>
              <w:top w:val="single" w:sz="12" w:space="0" w:color="auto"/>
            </w:tcBorders>
            <w:shd w:val="clear" w:color="auto" w:fill="auto"/>
          </w:tcPr>
          <w:p w14:paraId="42547B6D" w14:textId="77777777" w:rsidR="00F0236A" w:rsidRPr="00073574" w:rsidRDefault="00F0236A" w:rsidP="00D061FD">
            <w:pPr>
              <w:pStyle w:val="Tabletext"/>
              <w:keepNext/>
              <w:keepLines/>
              <w:rPr>
                <w:b/>
                <w:bCs/>
                <w:sz w:val="24"/>
                <w:szCs w:val="24"/>
              </w:rPr>
            </w:pPr>
            <w:r w:rsidRPr="00073574">
              <w:rPr>
                <w:b/>
                <w:bCs/>
                <w:sz w:val="24"/>
                <w:szCs w:val="24"/>
              </w:rPr>
              <w:lastRenderedPageBreak/>
              <w:t>95-08</w:t>
            </w:r>
          </w:p>
        </w:tc>
        <w:tc>
          <w:tcPr>
            <w:tcW w:w="4986" w:type="dxa"/>
            <w:tcBorders>
              <w:top w:val="single" w:sz="12" w:space="0" w:color="auto"/>
              <w:bottom w:val="single" w:sz="4" w:space="0" w:color="auto"/>
            </w:tcBorders>
            <w:shd w:val="clear" w:color="auto" w:fill="auto"/>
          </w:tcPr>
          <w:p w14:paraId="3E0FCE41" w14:textId="77777777" w:rsidR="00F0236A" w:rsidRPr="00073574" w:rsidRDefault="00F0236A" w:rsidP="00D061FD">
            <w:pPr>
              <w:pStyle w:val="Tabletext"/>
              <w:keepNext/>
              <w:keepLines/>
              <w:rPr>
                <w:b/>
                <w:bCs/>
                <w:sz w:val="24"/>
                <w:szCs w:val="24"/>
              </w:rPr>
            </w:pPr>
            <w:r w:rsidRPr="00073574">
              <w:rPr>
                <w:b/>
                <w:bCs/>
                <w:sz w:val="24"/>
                <w:szCs w:val="24"/>
              </w:rPr>
              <w:t>Study groups to</w:t>
            </w:r>
          </w:p>
          <w:p w14:paraId="7F685C4A" w14:textId="77777777" w:rsidR="00F0236A" w:rsidRPr="00073574" w:rsidRDefault="00F0236A" w:rsidP="002E241A">
            <w:pPr>
              <w:pStyle w:val="ListParagraph"/>
              <w:keepNext/>
              <w:keepLines/>
              <w:numPr>
                <w:ilvl w:val="0"/>
                <w:numId w:val="37"/>
              </w:numPr>
              <w:rPr>
                <w:b/>
                <w:bCs/>
                <w:sz w:val="24"/>
              </w:rPr>
            </w:pPr>
            <w:r w:rsidRPr="00073574">
              <w:rPr>
                <w:b/>
                <w:bCs/>
                <w:sz w:val="24"/>
              </w:rPr>
              <w:t>elaborate Recommendations providing guidance to regulators in regard to defining strategies and testing methodologies to monitor and measure QoS and QoE (i. SGs 1)</w:t>
            </w:r>
          </w:p>
          <w:p w14:paraId="61A98A6D" w14:textId="0A56739B" w:rsidR="00F0236A" w:rsidRPr="00073574" w:rsidRDefault="00F0236A" w:rsidP="002E241A">
            <w:pPr>
              <w:pStyle w:val="ListParagraph"/>
              <w:keepNext/>
              <w:keepLines/>
              <w:numPr>
                <w:ilvl w:val="0"/>
                <w:numId w:val="37"/>
              </w:numPr>
              <w:rPr>
                <w:b/>
                <w:bCs/>
                <w:sz w:val="24"/>
              </w:rPr>
            </w:pPr>
            <w:r w:rsidRPr="00073574">
              <w:rPr>
                <w:b/>
                <w:bCs/>
                <w:sz w:val="24"/>
              </w:rPr>
              <w:t>to study QoS and QoE evaluation scenarios, measurement strategies and testing tools to be adopted by regulators and operators (i. SGs 2)</w:t>
            </w:r>
          </w:p>
          <w:p w14:paraId="40306811" w14:textId="77777777" w:rsidR="00F0236A" w:rsidRPr="00073574" w:rsidRDefault="00F0236A" w:rsidP="002E241A">
            <w:pPr>
              <w:pStyle w:val="ListParagraph"/>
              <w:keepNext/>
              <w:keepLines/>
              <w:numPr>
                <w:ilvl w:val="0"/>
                <w:numId w:val="37"/>
              </w:numPr>
              <w:rPr>
                <w:b/>
                <w:bCs/>
                <w:sz w:val="24"/>
              </w:rPr>
            </w:pPr>
            <w:r w:rsidRPr="00073574">
              <w:rPr>
                <w:b/>
                <w:bCs/>
                <w:sz w:val="24"/>
              </w:rPr>
              <w:t>to study and provide guidance to regulators in regard to sampling methodologies for QoS measurements at a local, national and global level (i. SGs 3)</w:t>
            </w:r>
          </w:p>
          <w:p w14:paraId="1C15204E" w14:textId="77777777" w:rsidR="00F0236A" w:rsidRPr="00073574" w:rsidRDefault="00F0236A" w:rsidP="002E241A">
            <w:pPr>
              <w:pStyle w:val="ListParagraph"/>
              <w:keepNext/>
              <w:keepLines/>
              <w:numPr>
                <w:ilvl w:val="0"/>
                <w:numId w:val="37"/>
              </w:numPr>
              <w:rPr>
                <w:b/>
                <w:bCs/>
                <w:sz w:val="24"/>
              </w:rPr>
            </w:pPr>
            <w:r w:rsidRPr="00073574">
              <w:rPr>
                <w:b/>
                <w:bCs/>
                <w:sz w:val="24"/>
              </w:rPr>
              <w:t>to provide references relating to minimal satisfactory key performance and key quality indicators for evaluating the quality of services (i. SGs 4)</w:t>
            </w:r>
          </w:p>
          <w:p w14:paraId="718518CA" w14:textId="77777777" w:rsidR="00F0236A" w:rsidRPr="00073574" w:rsidRDefault="00F0236A" w:rsidP="002E241A">
            <w:pPr>
              <w:pStyle w:val="ListParagraph"/>
              <w:keepNext/>
              <w:keepLines/>
              <w:numPr>
                <w:ilvl w:val="0"/>
                <w:numId w:val="37"/>
              </w:numPr>
              <w:rPr>
                <w:b/>
                <w:bCs/>
                <w:sz w:val="24"/>
              </w:rPr>
            </w:pPr>
            <w:r w:rsidRPr="00073574">
              <w:rPr>
                <w:b/>
                <w:bCs/>
                <w:sz w:val="24"/>
              </w:rPr>
              <w:t>to implement strategies to raise participation of developing and developed countries from all regions in all their activities (i. SGs 5)</w:t>
            </w:r>
          </w:p>
        </w:tc>
        <w:tc>
          <w:tcPr>
            <w:tcW w:w="1336" w:type="dxa"/>
            <w:tcBorders>
              <w:top w:val="single" w:sz="12" w:space="0" w:color="auto"/>
              <w:bottom w:val="single" w:sz="4" w:space="0" w:color="auto"/>
            </w:tcBorders>
            <w:shd w:val="clear" w:color="auto" w:fill="auto"/>
            <w:vAlign w:val="center"/>
          </w:tcPr>
          <w:p w14:paraId="1A14F007" w14:textId="77777777" w:rsidR="00F0236A" w:rsidRPr="00073574" w:rsidRDefault="00F0236A" w:rsidP="00D061FD">
            <w:pPr>
              <w:pStyle w:val="Tabletext"/>
              <w:keepNext/>
              <w:keepLines/>
              <w:jc w:val="center"/>
              <w:rPr>
                <w:b/>
                <w:bCs/>
                <w:sz w:val="24"/>
                <w:szCs w:val="24"/>
              </w:rPr>
            </w:pPr>
            <w:r w:rsidRPr="00073574">
              <w:rPr>
                <w:b/>
                <w:bCs/>
                <w:sz w:val="24"/>
                <w:szCs w:val="24"/>
              </w:rPr>
              <w:t>Ongoing</w:t>
            </w:r>
          </w:p>
        </w:tc>
        <w:tc>
          <w:tcPr>
            <w:tcW w:w="1143" w:type="dxa"/>
            <w:tcBorders>
              <w:top w:val="single" w:sz="12" w:space="0" w:color="auto"/>
              <w:bottom w:val="single" w:sz="4" w:space="0" w:color="auto"/>
            </w:tcBorders>
            <w:shd w:val="clear" w:color="auto" w:fill="auto"/>
            <w:vAlign w:val="center"/>
          </w:tcPr>
          <w:p w14:paraId="3048ECB9" w14:textId="77777777" w:rsidR="00F0236A" w:rsidRPr="00073574" w:rsidRDefault="00F0236A" w:rsidP="00D061FD">
            <w:pPr>
              <w:pStyle w:val="Tabletext"/>
              <w:keepNext/>
              <w:keepLines/>
              <w:jc w:val="center"/>
              <w:rPr>
                <w:b/>
                <w:bCs/>
                <w:sz w:val="24"/>
                <w:szCs w:val="24"/>
              </w:rPr>
            </w:pPr>
            <w:r w:rsidRPr="00073574">
              <w:rPr>
                <w:b/>
                <w:bCs/>
                <w:sz w:val="24"/>
                <w:szCs w:val="24"/>
              </w:rPr>
              <w:t>√</w:t>
            </w:r>
          </w:p>
        </w:tc>
        <w:tc>
          <w:tcPr>
            <w:tcW w:w="1336" w:type="dxa"/>
            <w:tcBorders>
              <w:top w:val="single" w:sz="12" w:space="0" w:color="auto"/>
              <w:bottom w:val="single" w:sz="4" w:space="0" w:color="auto"/>
            </w:tcBorders>
            <w:shd w:val="clear" w:color="auto" w:fill="auto"/>
            <w:vAlign w:val="center"/>
          </w:tcPr>
          <w:p w14:paraId="78AE472D" w14:textId="77777777" w:rsidR="00F0236A" w:rsidRPr="00073574" w:rsidRDefault="00F0236A" w:rsidP="00D061FD">
            <w:pPr>
              <w:pStyle w:val="Tabletext"/>
              <w:keepNext/>
              <w:keepLines/>
              <w:jc w:val="center"/>
              <w:rPr>
                <w:b/>
                <w:bCs/>
                <w:sz w:val="24"/>
                <w:szCs w:val="24"/>
              </w:rPr>
            </w:pPr>
          </w:p>
        </w:tc>
      </w:tr>
      <w:tr w:rsidR="00F0236A" w:rsidRPr="00073574" w14:paraId="063EBFA5" w14:textId="77777777" w:rsidTr="5D161764">
        <w:tc>
          <w:tcPr>
            <w:tcW w:w="1131" w:type="dxa"/>
            <w:vMerge/>
            <w:vAlign w:val="center"/>
          </w:tcPr>
          <w:p w14:paraId="421F0ADA" w14:textId="77777777" w:rsidR="00F0236A" w:rsidRPr="00073574" w:rsidRDefault="00F0236A" w:rsidP="00F57A07">
            <w:pPr>
              <w:pStyle w:val="Tabletext"/>
              <w:rPr>
                <w:sz w:val="24"/>
                <w:szCs w:val="24"/>
              </w:rPr>
            </w:pPr>
          </w:p>
        </w:tc>
        <w:tc>
          <w:tcPr>
            <w:tcW w:w="8801" w:type="dxa"/>
            <w:gridSpan w:val="4"/>
            <w:tcBorders>
              <w:top w:val="single" w:sz="4" w:space="0" w:color="auto"/>
              <w:bottom w:val="single" w:sz="12" w:space="0" w:color="auto"/>
            </w:tcBorders>
            <w:shd w:val="clear" w:color="auto" w:fill="auto"/>
          </w:tcPr>
          <w:p w14:paraId="4A22D479" w14:textId="0ADD6850" w:rsidR="00742D4E" w:rsidRPr="00073574" w:rsidRDefault="00742D4E" w:rsidP="002E241A">
            <w:pPr>
              <w:pStyle w:val="ListParagraph"/>
              <w:numPr>
                <w:ilvl w:val="0"/>
                <w:numId w:val="53"/>
              </w:numPr>
              <w:spacing w:before="40"/>
              <w:ind w:left="357" w:hanging="357"/>
              <w:contextualSpacing w:val="0"/>
            </w:pPr>
            <w:r w:rsidRPr="00073574">
              <w:t xml:space="preserve">SG2 </w:t>
            </w:r>
            <w:r w:rsidR="000241D0" w:rsidRPr="00073574">
              <w:t>Consented</w:t>
            </w:r>
            <w:r w:rsidRPr="00073574">
              <w:t xml:space="preserve"> ITU-T Recommendation </w:t>
            </w:r>
            <w:r w:rsidR="00637B8F" w:rsidRPr="00073574">
              <w:t xml:space="preserve">M.3365 (ex </w:t>
            </w:r>
            <w:r w:rsidRPr="00073574">
              <w:t>M.rvqms “Requirements for QoE management of video in visual surveillance”</w:t>
            </w:r>
            <w:r w:rsidR="007106C8" w:rsidRPr="00073574">
              <w:t xml:space="preserve"> </w:t>
            </w:r>
            <w:r w:rsidR="000241D0" w:rsidRPr="00073574">
              <w:t xml:space="preserve">on </w:t>
            </w:r>
            <w:r w:rsidR="004F78A6" w:rsidRPr="00073574">
              <w:t>11 June 2021</w:t>
            </w:r>
            <w:r w:rsidRPr="00073574">
              <w:t>.</w:t>
            </w:r>
          </w:p>
          <w:p w14:paraId="729EB1A9" w14:textId="31DB2330" w:rsidR="00D67A5F" w:rsidRPr="00073574" w:rsidRDefault="002F3F67" w:rsidP="002E241A">
            <w:pPr>
              <w:pStyle w:val="ListParagraph"/>
              <w:numPr>
                <w:ilvl w:val="0"/>
                <w:numId w:val="53"/>
              </w:numPr>
              <w:ind w:left="357" w:hanging="357"/>
              <w:contextualSpacing w:val="0"/>
            </w:pPr>
            <w:r w:rsidRPr="00073574">
              <w:t xml:space="preserve">SG3 </w:t>
            </w:r>
            <w:r w:rsidR="00764F24" w:rsidRPr="00073574">
              <w:t>has an ongoing work item</w:t>
            </w:r>
            <w:r w:rsidRPr="00073574">
              <w:t xml:space="preserve"> </w:t>
            </w:r>
            <w:r w:rsidR="005B5661" w:rsidRPr="00073574">
              <w:t>Study_ EPQoS,</w:t>
            </w:r>
            <w:r w:rsidR="00764F24" w:rsidRPr="00073574">
              <w:t xml:space="preserve"> </w:t>
            </w:r>
            <w:r w:rsidRPr="00073574">
              <w:rPr>
                <w:rFonts w:asciiTheme="majorBidi" w:hAnsiTheme="majorBidi" w:cstheme="majorBidi"/>
              </w:rPr>
              <w:t xml:space="preserve">to cover all economic and policy aspects pertaining to quality of service (QoS) and experience (QoE) in the provision of international telecommunication services. The areas of focus include inter-relations between QoS and QoE regulation and impact thereof on customer satisfaction, pricing and competition. This study will also cover a gap analysis on the work done in SG12 including the gaps identified by SG12 Chairman in his presentation to SG3 contained in </w:t>
            </w:r>
            <w:hyperlink r:id="rId848">
              <w:r w:rsidRPr="00073574">
                <w:rPr>
                  <w:rStyle w:val="Hyperlink"/>
                </w:rPr>
                <w:t>TD</w:t>
              </w:r>
              <w:r w:rsidRPr="00073574">
                <w:rPr>
                  <w:rStyle w:val="Hyperlink"/>
                  <w:rFonts w:asciiTheme="majorBidi" w:hAnsiTheme="majorBidi" w:cstheme="majorBidi"/>
                </w:rPr>
                <w:t>87</w:t>
              </w:r>
            </w:hyperlink>
            <w:r w:rsidRPr="00073574">
              <w:rPr>
                <w:rStyle w:val="Hyperlink"/>
              </w:rPr>
              <w:t xml:space="preserve"> (SG3, April 2018)</w:t>
            </w:r>
            <w:r w:rsidRPr="00073574">
              <w:rPr>
                <w:rFonts w:asciiTheme="majorBidi" w:hAnsiTheme="majorBidi" w:cstheme="majorBidi"/>
              </w:rPr>
              <w:t>.</w:t>
            </w:r>
            <w:r w:rsidR="00A64EFA" w:rsidRPr="00073574">
              <w:rPr>
                <w:rFonts w:asciiTheme="majorBidi" w:hAnsiTheme="majorBidi" w:cstheme="majorBidi"/>
              </w:rPr>
              <w:t xml:space="preserve"> SG3 is developing work item </w:t>
            </w:r>
            <w:r w:rsidR="00A64EFA" w:rsidRPr="00073574">
              <w:t>D.Framework</w:t>
            </w:r>
            <w:r w:rsidR="009F66DF" w:rsidRPr="00073574">
              <w:t>,</w:t>
            </w:r>
            <w:r w:rsidR="00A64EFA" w:rsidRPr="00073574">
              <w:t xml:space="preserve"> a framework for ICT service delivery with the guaranteed QoS and requested bitrate on fixed &amp; mobile data networks, for development of </w:t>
            </w:r>
            <w:r w:rsidR="00A64EFA" w:rsidRPr="00073574">
              <w:lastRenderedPageBreak/>
              <w:t>efficient economic mechanisms and models of interaction in the "operator-provider-user" chain.</w:t>
            </w:r>
            <w:r w:rsidR="009F66DF" w:rsidRPr="00073574">
              <w:t xml:space="preserve"> </w:t>
            </w:r>
          </w:p>
          <w:p w14:paraId="4F8E5829" w14:textId="3EE1ACFF" w:rsidR="00D67A5F" w:rsidRPr="00073574" w:rsidRDefault="0001438B" w:rsidP="002E241A">
            <w:pPr>
              <w:pStyle w:val="ListParagraph"/>
              <w:numPr>
                <w:ilvl w:val="0"/>
                <w:numId w:val="53"/>
              </w:numPr>
              <w:ind w:left="357" w:hanging="357"/>
              <w:contextualSpacing w:val="0"/>
            </w:pPr>
            <w:r w:rsidRPr="00073574">
              <w:t>SG12 activities</w:t>
            </w:r>
            <w:r w:rsidR="00C626D3" w:rsidRPr="00073574">
              <w:t>,</w:t>
            </w:r>
            <w:r w:rsidRPr="00073574">
              <w:t xml:space="preserve"> </w:t>
            </w:r>
            <w:r w:rsidR="00C626D3" w:rsidRPr="00073574">
              <w:t xml:space="preserve">outputs, </w:t>
            </w:r>
            <w:r w:rsidRPr="00073574">
              <w:t xml:space="preserve">and </w:t>
            </w:r>
            <w:r w:rsidR="00C626D3" w:rsidRPr="00073574">
              <w:t>ongoing</w:t>
            </w:r>
            <w:r w:rsidR="0052128A" w:rsidRPr="00073574">
              <w:t xml:space="preserve"> </w:t>
            </w:r>
            <w:r w:rsidRPr="00073574">
              <w:t>work items cover all of the points listed above</w:t>
            </w:r>
            <w:r w:rsidR="0052128A" w:rsidRPr="00073574">
              <w:t xml:space="preserve"> (</w:t>
            </w:r>
            <w:r w:rsidR="00814794" w:rsidRPr="00073574">
              <w:t xml:space="preserve">including but not limited to </w:t>
            </w:r>
            <w:r w:rsidR="0052128A" w:rsidRPr="00073574">
              <w:t>ITU-T E.802, ITU-T E.804, ITU-T E.804.1, ITU-T E.805, ITU-T E.805.1, ITU-T E.806, ITU-T E.812, ITU-T E.840)</w:t>
            </w:r>
            <w:r w:rsidRPr="00073574">
              <w:t>.</w:t>
            </w:r>
            <w:r w:rsidR="00B262F5" w:rsidRPr="00073574">
              <w:t xml:space="preserve"> On the matter of IP performance, SG12 approved revised Recommendation ITU-T Y.1540 “Internet protocol data communication service - IP packet transfer and availability performance parameters”. Following over 20 years as an in-force Recommendation, the 2019 Edition of Y.1540 recognizes many changes in the design of IP services and in the protocols employed by end-users. It introduces the new Annex A that defines IP-layer Capacity parameters in ways that cater toward assessment, and provides requirements for methods of measurement of IP-layer Capacity. This new Annex is the result of years of study, and application of SG12 principles of accurately evaluating performance parameters and methods of measurement against a “ground truth” reference in laboratory and field measurements. It also provides background on why TCP-based measurements fail to meet normative requirements.</w:t>
            </w:r>
          </w:p>
          <w:p w14:paraId="70C1077A" w14:textId="0A6EBCC3" w:rsidR="00814794" w:rsidRPr="00073574" w:rsidRDefault="000B4C4A" w:rsidP="002E241A">
            <w:pPr>
              <w:pStyle w:val="ListParagraph"/>
              <w:numPr>
                <w:ilvl w:val="0"/>
                <w:numId w:val="53"/>
              </w:numPr>
              <w:ind w:left="357" w:hanging="357"/>
              <w:contextualSpacing w:val="0"/>
            </w:pPr>
            <w:r w:rsidRPr="00073574">
              <w:t>Guidance on Interpreting ITU-T Y.1540 maximum IP-layer capacity measurements</w:t>
            </w:r>
            <w:r w:rsidR="0046655B" w:rsidRPr="00073574">
              <w:t>, as well as information about the open source implementation of the measurement methodology,</w:t>
            </w:r>
            <w:r w:rsidRPr="00073574">
              <w:t xml:space="preserve"> is provided </w:t>
            </w:r>
            <w:r w:rsidR="000B6CA5" w:rsidRPr="00073574">
              <w:t xml:space="preserve">(and regularly updated) </w:t>
            </w:r>
            <w:r w:rsidRPr="00073574">
              <w:t xml:space="preserve">in </w:t>
            </w:r>
            <w:r w:rsidR="00073260" w:rsidRPr="00073574">
              <w:t>Y-series Supplement 60</w:t>
            </w:r>
            <w:r w:rsidR="000B6CA5" w:rsidRPr="00073574">
              <w:t>.</w:t>
            </w:r>
          </w:p>
          <w:p w14:paraId="5ECCFDCA" w14:textId="6981697A" w:rsidR="00345332" w:rsidRPr="00073574" w:rsidRDefault="00345332" w:rsidP="002E241A">
            <w:pPr>
              <w:pStyle w:val="ListParagraph"/>
              <w:numPr>
                <w:ilvl w:val="0"/>
                <w:numId w:val="53"/>
              </w:numPr>
              <w:ind w:left="357" w:hanging="357"/>
              <w:contextualSpacing w:val="0"/>
            </w:pPr>
            <w:r w:rsidRPr="00073574">
              <w:t>SG11</w:t>
            </w:r>
            <w:r w:rsidR="001B124A" w:rsidRPr="00073574">
              <w:t xml:space="preserve"> agreed Supplement 71 to ITU-T Q-series of Recommendations “Testing methodologies of Internet related performance measurements including e2e bit rate within the fixed and mobile operator’s networks”.</w:t>
            </w:r>
            <w:r w:rsidRPr="00073574">
              <w:t xml:space="preserve"> Following the outcomes of the </w:t>
            </w:r>
            <w:r w:rsidR="00786306" w:rsidRPr="00073574">
              <w:t>ITU</w:t>
            </w:r>
            <w:r w:rsidRPr="00073574">
              <w:t xml:space="preserve"> Workshop on Benchmarking of emerging technologies and applications</w:t>
            </w:r>
            <w:r w:rsidR="00786306" w:rsidRPr="00073574">
              <w:t xml:space="preserve"> -</w:t>
            </w:r>
            <w:r w:rsidRPr="00073574">
              <w:t xml:space="preserve"> Internet related performance measurements (Geneva, 11 March 2019), it was noted that the approach highlighted in ITU-T Q.3960 (2016) and </w:t>
            </w:r>
            <w:r w:rsidR="001B124A" w:rsidRPr="00073574">
              <w:t xml:space="preserve">Supplement 71 (2019) </w:t>
            </w:r>
            <w:r w:rsidRPr="00073574">
              <w:t xml:space="preserve">is compliant with Net Neutrality regulation 2015/2120 from BEREC and OECD 2014 report, underlying that TCP protocol is widely used by customer application. </w:t>
            </w:r>
          </w:p>
          <w:p w14:paraId="5B0D3958" w14:textId="0D6409F7" w:rsidR="00003134" w:rsidRPr="00073574" w:rsidRDefault="00345332" w:rsidP="00910918">
            <w:pPr>
              <w:pStyle w:val="ListParagraph"/>
              <w:tabs>
                <w:tab w:val="left" w:pos="794"/>
                <w:tab w:val="left" w:pos="1191"/>
                <w:tab w:val="left" w:pos="1430"/>
                <w:tab w:val="left" w:pos="1985"/>
              </w:tabs>
              <w:overflowPunct w:val="0"/>
              <w:autoSpaceDE w:val="0"/>
              <w:autoSpaceDN w:val="0"/>
              <w:adjustRightInd w:val="0"/>
              <w:spacing w:before="0" w:after="120"/>
              <w:ind w:left="360"/>
              <w:textAlignment w:val="baseline"/>
              <w:rPr>
                <w:sz w:val="24"/>
              </w:rPr>
            </w:pPr>
            <w:r w:rsidRPr="00073574">
              <w:rPr>
                <w:rFonts w:asciiTheme="majorBidi" w:hAnsiTheme="majorBidi" w:cstheme="majorBidi"/>
              </w:rPr>
              <w:t xml:space="preserve">Also, SG11 </w:t>
            </w:r>
            <w:r w:rsidR="00EE5AA6" w:rsidRPr="00073574">
              <w:rPr>
                <w:rFonts w:asciiTheme="majorBidi" w:hAnsiTheme="majorBidi" w:cstheme="majorBidi"/>
              </w:rPr>
              <w:t xml:space="preserve">approved ITU-T Q.3056 </w:t>
            </w:r>
            <w:r w:rsidRPr="00073574">
              <w:t>Signalling procedures of the probes to be used for remote testing of network parameters</w:t>
            </w:r>
            <w:r w:rsidR="00EE5AA6" w:rsidRPr="00073574">
              <w:t>”</w:t>
            </w:r>
            <w:r w:rsidR="00910918" w:rsidRPr="00073574">
              <w:t xml:space="preserve"> and </w:t>
            </w:r>
            <w:r w:rsidRPr="00073574">
              <w:t>Q.</w:t>
            </w:r>
            <w:r w:rsidR="00910918" w:rsidRPr="00073574">
              <w:t>3916 “</w:t>
            </w:r>
            <w:r w:rsidRPr="00073574">
              <w:t>Signalling requirements and architecture for the Internet service quality monitoring system</w:t>
            </w:r>
            <w:r w:rsidR="00910918" w:rsidRPr="00073574">
              <w:t>”</w:t>
            </w:r>
            <w:r w:rsidRPr="00073574">
              <w:t>.</w:t>
            </w:r>
          </w:p>
          <w:p w14:paraId="255DC195" w14:textId="46712EF0" w:rsidR="00003134" w:rsidRPr="00073574" w:rsidRDefault="00003134" w:rsidP="002E241A">
            <w:pPr>
              <w:pStyle w:val="ListParagraph"/>
              <w:numPr>
                <w:ilvl w:val="0"/>
                <w:numId w:val="53"/>
              </w:numPr>
              <w:spacing w:after="120"/>
              <w:ind w:left="357" w:hanging="357"/>
              <w:contextualSpacing w:val="0"/>
            </w:pPr>
            <w:r w:rsidRPr="00073574">
              <w:t xml:space="preserve">WTSA-16 confirmed the continuation of the Q6/13 "Quality of service (QoS) aspects including IMT-2020 networks" </w:t>
            </w:r>
            <w:r w:rsidR="001476E6" w:rsidRPr="00073574">
              <w:t xml:space="preserve">(since 2021 title is “Networks beyond IMT2020: Quality of service (QoS) mechanisms”) </w:t>
            </w:r>
            <w:r w:rsidRPr="00073574">
              <w:t>in SG13 shifting its accent to 5G</w:t>
            </w:r>
            <w:r w:rsidR="00AC530F" w:rsidRPr="00073574">
              <w:t xml:space="preserve"> and beyond</w:t>
            </w:r>
            <w:r w:rsidRPr="00073574">
              <w:t>.</w:t>
            </w:r>
          </w:p>
          <w:p w14:paraId="6AD98F67" w14:textId="70FAA8E1" w:rsidR="004F11B9" w:rsidRPr="00073574" w:rsidRDefault="004F11B9" w:rsidP="004F11B9">
            <w:pPr>
              <w:pStyle w:val="ListParagraph"/>
              <w:ind w:left="357"/>
              <w:contextualSpacing w:val="0"/>
            </w:pPr>
            <w:r w:rsidRPr="00073574">
              <w:t>SG13 approved Recommendation ITU-T Y.3170 “Requirements of machine learning based QoS assurance for IMT-2020 network” (09/18) that looks in particular into the capabilities for QoS anomaly detection and prediction using machine learning, ITU-T Y.3106 “Quality of service functional requirements for the IMT-2020 network” (04/2019), ITU-T Y.3107 “Functional architecture for QoS assurance management in the IMT-2020 network” (08/2019)</w:t>
            </w:r>
            <w:r w:rsidR="00C54A4D" w:rsidRPr="00073574">
              <w:t>, ITU-T Y.3109 “Quality of service assurance-related requirements and framework for virtual reality delivery using mobile edge computing supported by IMT-2020” (</w:t>
            </w:r>
            <w:r w:rsidR="00E2729C" w:rsidRPr="00073574">
              <w:t>0</w:t>
            </w:r>
            <w:r w:rsidR="00C54A4D" w:rsidRPr="00073574">
              <w:t>4/202</w:t>
            </w:r>
            <w:r w:rsidR="00E2729C" w:rsidRPr="00073574">
              <w:t>1</w:t>
            </w:r>
            <w:r w:rsidR="00C54A4D" w:rsidRPr="00073574">
              <w:t>)</w:t>
            </w:r>
            <w:r w:rsidRPr="00073574">
              <w:t xml:space="preserve"> and ITU-T </w:t>
            </w:r>
            <w:r w:rsidR="00556980" w:rsidRPr="00073574">
              <w:t>Y</w:t>
            </w:r>
            <w:r w:rsidR="004E78C3" w:rsidRPr="00073574">
              <w:t>.</w:t>
            </w:r>
            <w:r w:rsidR="00556980" w:rsidRPr="00073574">
              <w:t>3175</w:t>
            </w:r>
            <w:r w:rsidR="004E78C3" w:rsidRPr="00073574">
              <w:t xml:space="preserve"> “</w:t>
            </w:r>
            <w:r w:rsidR="006701AC" w:rsidRPr="00073574">
              <w:t>Functional architecture of machine learning-based quality of service assurance for the IMT-2020 network</w:t>
            </w:r>
            <w:r w:rsidR="004E78C3" w:rsidRPr="00073574">
              <w:t>”</w:t>
            </w:r>
            <w:r w:rsidR="006701AC" w:rsidRPr="00073574">
              <w:t xml:space="preserve"> (04/2020)</w:t>
            </w:r>
            <w:r w:rsidR="004E78C3" w:rsidRPr="00073574">
              <w:t xml:space="preserve">, </w:t>
            </w:r>
            <w:r w:rsidRPr="00073574">
              <w:t>Y.3172 “Architectural framework for machine learning in future networks including IMT-2020” (06/2019).</w:t>
            </w:r>
          </w:p>
          <w:p w14:paraId="3342889D" w14:textId="77777777" w:rsidR="00DA664B" w:rsidRPr="00073574" w:rsidRDefault="00DA664B" w:rsidP="002E241A">
            <w:pPr>
              <w:pStyle w:val="ListParagraph"/>
              <w:numPr>
                <w:ilvl w:val="0"/>
                <w:numId w:val="53"/>
              </w:numPr>
              <w:spacing w:after="40"/>
              <w:ind w:left="357" w:hanging="357"/>
              <w:contextualSpacing w:val="0"/>
            </w:pPr>
            <w:r w:rsidRPr="00073574">
              <w:t xml:space="preserve">SG16 develops </w:t>
            </w:r>
            <w:hyperlink r:id="rId849">
              <w:r w:rsidRPr="00073574">
                <w:rPr>
                  <w:rStyle w:val="Hyperlink"/>
                </w:rPr>
                <w:t xml:space="preserve">FSTP-TRS-KPI </w:t>
              </w:r>
            </w:hyperlink>
            <w:r w:rsidRPr="00073574">
              <w:t>“Technical Paper: Key performance indicators for telecommunication relay services”.</w:t>
            </w:r>
          </w:p>
          <w:p w14:paraId="510209BC" w14:textId="0E72B8E8" w:rsidR="00E91BE5" w:rsidRPr="00073574" w:rsidRDefault="00C77012" w:rsidP="002E241A">
            <w:pPr>
              <w:pStyle w:val="ListParagraph"/>
              <w:numPr>
                <w:ilvl w:val="0"/>
                <w:numId w:val="53"/>
              </w:numPr>
              <w:spacing w:after="40"/>
              <w:ind w:left="357" w:hanging="357"/>
              <w:contextualSpacing w:val="0"/>
            </w:pPr>
            <w:r w:rsidRPr="00073574">
              <w:t xml:space="preserve">SG20 </w:t>
            </w:r>
            <w:r w:rsidR="00E91BE5" w:rsidRPr="00073574">
              <w:t>is developing draft Recommendation ITU-T Y.NCE.arch.EIoT on “</w:t>
            </w:r>
            <w:r w:rsidR="00353706" w:rsidRPr="00073574">
              <w:t>Functional architecture enhancement with network capability exposure to support flexible QoS/QoE requirements from enterprise IoT services and applications</w:t>
            </w:r>
            <w:r w:rsidR="00E91BE5" w:rsidRPr="00073574">
              <w:t>”</w:t>
            </w:r>
            <w:r w:rsidR="000C4F4E" w:rsidRPr="00073574">
              <w:t>, ITU-T Y.IoT-SQMS “Requirements and functional architecture of IoT sensing quality management service”</w:t>
            </w:r>
            <w:r w:rsidR="00721BB0" w:rsidRPr="00073574">
              <w:t xml:space="preserve"> and </w:t>
            </w:r>
            <w:r w:rsidR="00721BB0" w:rsidRPr="00073574">
              <w:lastRenderedPageBreak/>
              <w:t>ITU-T Y.DPM-qm “</w:t>
            </w:r>
            <w:r w:rsidR="00444E32" w:rsidRPr="00073574">
              <w:t>Requirements and functional model to support data quality management in IoT</w:t>
            </w:r>
            <w:r w:rsidR="00721BB0" w:rsidRPr="00073574">
              <w:t>”</w:t>
            </w:r>
            <w:r w:rsidR="00E91BE5" w:rsidRPr="00073574">
              <w:t>.</w:t>
            </w:r>
          </w:p>
          <w:p w14:paraId="3BF0216A" w14:textId="70ED0C69" w:rsidR="00D42712" w:rsidRPr="00073574" w:rsidRDefault="00D42712" w:rsidP="002E241A">
            <w:pPr>
              <w:pStyle w:val="ListParagraph"/>
              <w:numPr>
                <w:ilvl w:val="0"/>
                <w:numId w:val="53"/>
              </w:numPr>
              <w:spacing w:after="40"/>
              <w:ind w:left="357" w:hanging="357"/>
              <w:contextualSpacing w:val="0"/>
            </w:pPr>
            <w:r w:rsidRPr="00073574">
              <w:t xml:space="preserve">Q3/20 </w:t>
            </w:r>
            <w:r w:rsidR="00283C57" w:rsidRPr="00073574">
              <w:t xml:space="preserve">addresses </w:t>
            </w:r>
            <w:r w:rsidR="00C77012" w:rsidRPr="00073574">
              <w:t xml:space="preserve">topics on IoT and SC&amp;C architectures, protocols and QoS/QoE. </w:t>
            </w:r>
          </w:p>
        </w:tc>
      </w:tr>
    </w:tbl>
    <w:bookmarkStart w:id="584" w:name="Item95_01"/>
    <w:bookmarkStart w:id="585" w:name="Item95_02"/>
    <w:bookmarkStart w:id="586" w:name="Item95_03"/>
    <w:bookmarkStart w:id="587" w:name="Item95_04"/>
    <w:bookmarkStart w:id="588" w:name="Item95_05"/>
    <w:bookmarkStart w:id="589" w:name="Item95_06"/>
    <w:bookmarkStart w:id="590" w:name="Item95_07"/>
    <w:bookmarkStart w:id="591" w:name="Item95_08"/>
    <w:bookmarkStart w:id="592" w:name="Item95_09"/>
    <w:bookmarkStart w:id="593" w:name="Item95_10"/>
    <w:bookmarkStart w:id="594" w:name="Item95_11"/>
    <w:bookmarkStart w:id="595" w:name="Item95_12"/>
    <w:bookmarkEnd w:id="584"/>
    <w:bookmarkEnd w:id="585"/>
    <w:bookmarkEnd w:id="586"/>
    <w:bookmarkEnd w:id="587"/>
    <w:bookmarkEnd w:id="588"/>
    <w:bookmarkEnd w:id="589"/>
    <w:bookmarkEnd w:id="590"/>
    <w:bookmarkEnd w:id="591"/>
    <w:bookmarkEnd w:id="592"/>
    <w:bookmarkEnd w:id="593"/>
    <w:bookmarkEnd w:id="594"/>
    <w:bookmarkEnd w:id="595"/>
    <w:p w14:paraId="304AD224" w14:textId="77777777" w:rsidR="00F0236A" w:rsidRPr="00073574" w:rsidRDefault="00F0236A" w:rsidP="00F0236A">
      <w:pPr>
        <w:rPr>
          <w:sz w:val="24"/>
        </w:rPr>
      </w:pPr>
      <w:r w:rsidRPr="00073574">
        <w:rPr>
          <w:color w:val="2B579A"/>
          <w:shd w:val="clear" w:color="auto" w:fill="E6E6E6"/>
        </w:rPr>
        <w:lastRenderedPageBreak/>
        <w:fldChar w:fldCharType="begin"/>
      </w:r>
      <w:r w:rsidRPr="00073574">
        <w:rPr>
          <w:sz w:val="24"/>
        </w:rPr>
        <w:instrText xml:space="preserve"> HYPERLINK \l "Top" </w:instrText>
      </w:r>
      <w:r w:rsidRPr="00073574">
        <w:rPr>
          <w:color w:val="2B579A"/>
          <w:shd w:val="clear" w:color="auto" w:fill="E6E6E6"/>
        </w:rPr>
        <w:fldChar w:fldCharType="separate"/>
      </w:r>
      <w:r w:rsidRPr="00073574">
        <w:rPr>
          <w:rStyle w:val="Hyperlink"/>
          <w:rFonts w:eastAsia="Times New Roman"/>
          <w:sz w:val="24"/>
        </w:rPr>
        <w:t>» Top</w:t>
      </w:r>
      <w:r w:rsidRPr="00073574">
        <w:rPr>
          <w:rStyle w:val="Hyperlink"/>
          <w:rFonts w:eastAsia="Times New Roman"/>
          <w:sz w:val="24"/>
        </w:rPr>
        <w:fldChar w:fldCharType="end"/>
      </w:r>
    </w:p>
    <w:p w14:paraId="416C8792" w14:textId="77777777" w:rsidR="00F0236A" w:rsidRPr="00073574" w:rsidRDefault="00F0236A" w:rsidP="00F23581">
      <w:pPr>
        <w:pStyle w:val="Heading1"/>
        <w:keepNext/>
        <w:keepLines/>
        <w:rPr>
          <w:sz w:val="24"/>
          <w:szCs w:val="24"/>
          <w:lang w:val="en-GB"/>
        </w:rPr>
      </w:pPr>
      <w:bookmarkStart w:id="596" w:name="_Resolution_96_-"/>
      <w:bookmarkStart w:id="597" w:name="_Toc471715410"/>
      <w:bookmarkStart w:id="598" w:name="_Toc93425297"/>
      <w:bookmarkEnd w:id="596"/>
      <w:r w:rsidRPr="00073574">
        <w:rPr>
          <w:sz w:val="24"/>
          <w:szCs w:val="24"/>
          <w:lang w:val="en-GB"/>
        </w:rPr>
        <w:t>Resolution 96 - ITU Telecommunication Standardization Sector studies for combating counterfeit telecommunication/information and communication technology devices</w:t>
      </w:r>
      <w:bookmarkEnd w:id="597"/>
      <w:bookmarkEnd w:id="598"/>
    </w:p>
    <w:p w14:paraId="7B99B35E" w14:textId="77777777" w:rsidR="00F0236A" w:rsidRPr="00073574" w:rsidRDefault="00F0236A" w:rsidP="00F23581">
      <w:pPr>
        <w:keepNext/>
        <w:keepLines/>
        <w:rPr>
          <w:b/>
          <w:bCs/>
          <w:sz w:val="24"/>
        </w:rPr>
      </w:pPr>
      <w:r w:rsidRPr="00073574">
        <w:rPr>
          <w:b/>
          <w:bCs/>
          <w:sz w:val="24"/>
        </w:rPr>
        <w:t>Resolution 96</w:t>
      </w:r>
    </w:p>
    <w:p w14:paraId="52831A5A" w14:textId="77777777" w:rsidR="00F0236A" w:rsidRPr="00073574" w:rsidRDefault="00F0236A" w:rsidP="00F23581">
      <w:pPr>
        <w:pStyle w:val="Call"/>
        <w:rPr>
          <w:sz w:val="24"/>
          <w:szCs w:val="24"/>
          <w:lang w:val="en-GB" w:eastAsia="en-AU"/>
        </w:rPr>
      </w:pPr>
      <w:r w:rsidRPr="00073574">
        <w:rPr>
          <w:sz w:val="24"/>
          <w:szCs w:val="24"/>
          <w:lang w:val="en-GB" w:eastAsia="en-AU"/>
        </w:rPr>
        <w:t>resolves</w:t>
      </w:r>
    </w:p>
    <w:p w14:paraId="0A96DC9E" w14:textId="77777777" w:rsidR="00F0236A" w:rsidRPr="00073574" w:rsidRDefault="00F0236A" w:rsidP="00F23581">
      <w:pPr>
        <w:keepNext/>
        <w:keepLines/>
        <w:spacing w:after="240"/>
        <w:rPr>
          <w:sz w:val="24"/>
        </w:rPr>
      </w:pPr>
      <w:r w:rsidRPr="00073574">
        <w:rPr>
          <w:sz w:val="24"/>
        </w:rPr>
        <w:t>1</w:t>
      </w:r>
      <w:r w:rsidRPr="00073574">
        <w:rPr>
          <w:sz w:val="24"/>
        </w:rPr>
        <w:tab/>
        <w:t>to explore ways and means to combat and deter telecommunication/ICT device counterfeiting and tampering in order to protect industry, governments and consumers from counterfeit and tempered telecommunication/ICT devices;</w:t>
      </w:r>
    </w:p>
    <w:p w14:paraId="589A5EC8" w14:textId="77777777" w:rsidR="00F0236A" w:rsidRPr="00073574" w:rsidRDefault="00F0236A" w:rsidP="00F0236A">
      <w:pPr>
        <w:spacing w:after="240"/>
        <w:rPr>
          <w:sz w:val="24"/>
        </w:rPr>
      </w:pPr>
      <w:r w:rsidRPr="00073574">
        <w:rPr>
          <w:sz w:val="24"/>
        </w:rPr>
        <w:t>2</w:t>
      </w:r>
      <w:r w:rsidRPr="00073574">
        <w:rPr>
          <w:sz w:val="24"/>
        </w:rPr>
        <w:tab/>
        <w:t>that Study Group 11 should be the lead study group in the area of combating counterfeit and tampered telecommunication/ICT devices,</w:t>
      </w:r>
    </w:p>
    <w:p w14:paraId="35330024" w14:textId="77777777" w:rsidR="00F0236A" w:rsidRPr="00073574" w:rsidRDefault="00F0236A" w:rsidP="00A05A62">
      <w:pPr>
        <w:pStyle w:val="Call"/>
        <w:keepNext w:val="0"/>
        <w:keepLines w:val="0"/>
        <w:rPr>
          <w:sz w:val="24"/>
          <w:szCs w:val="24"/>
          <w:lang w:val="en-GB" w:eastAsia="en-AU"/>
        </w:rPr>
      </w:pPr>
      <w:r w:rsidRPr="00073574">
        <w:rPr>
          <w:sz w:val="24"/>
          <w:szCs w:val="24"/>
          <w:lang w:val="en-GB" w:eastAsia="en-AU"/>
        </w:rPr>
        <w:t>instructs the Director of the Telecommunication Standardization Bureau, in close collaboration with the Director of the Telecommunication Development Bureau</w:t>
      </w:r>
    </w:p>
    <w:p w14:paraId="0099249F" w14:textId="77777777" w:rsidR="00F0236A" w:rsidRPr="00073574" w:rsidRDefault="00F0236A" w:rsidP="00F0236A">
      <w:pPr>
        <w:spacing w:after="240"/>
        <w:rPr>
          <w:sz w:val="24"/>
        </w:rPr>
      </w:pPr>
      <w:r w:rsidRPr="00073574">
        <w:rPr>
          <w:sz w:val="24"/>
        </w:rPr>
        <w:t>1</w:t>
      </w:r>
      <w:r w:rsidRPr="00073574">
        <w:rPr>
          <w:sz w:val="24"/>
        </w:rPr>
        <w:tab/>
        <w:t>to organize workshops and events across the ITU regions to promote the work in this field, involving all stakeholders and raising awareness of the impact of counterfeit and tampered telecommunication/ICT devices;</w:t>
      </w:r>
    </w:p>
    <w:p w14:paraId="0E1E9C71" w14:textId="77777777" w:rsidR="00F0236A" w:rsidRPr="00073574" w:rsidRDefault="00F0236A" w:rsidP="00F0236A">
      <w:pPr>
        <w:spacing w:after="240"/>
        <w:rPr>
          <w:sz w:val="24"/>
        </w:rPr>
      </w:pPr>
      <w:r w:rsidRPr="00073574">
        <w:rPr>
          <w:sz w:val="24"/>
        </w:rPr>
        <w:t>2</w:t>
      </w:r>
      <w:r w:rsidRPr="00073574">
        <w:rPr>
          <w:sz w:val="24"/>
        </w:rPr>
        <w:tab/>
        <w:t>to assist developing countries in preparing human resources to combat the spread of counterfeit and tampered telecommunication/ICT devices, by providing capacity-building and training opportunities;</w:t>
      </w:r>
    </w:p>
    <w:p w14:paraId="476442C4" w14:textId="77777777" w:rsidR="00F0236A" w:rsidRPr="00073574" w:rsidRDefault="00F0236A" w:rsidP="00F0236A">
      <w:pPr>
        <w:spacing w:after="240"/>
        <w:rPr>
          <w:sz w:val="24"/>
        </w:rPr>
      </w:pPr>
      <w:r w:rsidRPr="00073574">
        <w:rPr>
          <w:sz w:val="24"/>
        </w:rPr>
        <w:t>3</w:t>
      </w:r>
      <w:r w:rsidRPr="00073574">
        <w:rPr>
          <w:sz w:val="24"/>
        </w:rPr>
        <w:tab/>
        <w:t>to work in close collaboration with relevant stakeholders, such as WTO, WIPO, WHO and WCO, on activities relating to combating counterfeit and tampered telecommunication/ICT devices, including restricting the trading, export and circulation of these telecommunication/ICT devices internationally;</w:t>
      </w:r>
    </w:p>
    <w:p w14:paraId="6C622285" w14:textId="77777777" w:rsidR="00F0236A" w:rsidRPr="00073574" w:rsidRDefault="00F0236A" w:rsidP="00F0236A">
      <w:pPr>
        <w:spacing w:after="240"/>
        <w:rPr>
          <w:sz w:val="24"/>
        </w:rPr>
      </w:pPr>
      <w:r w:rsidRPr="00073574">
        <w:rPr>
          <w:sz w:val="24"/>
        </w:rPr>
        <w:t>4</w:t>
      </w:r>
      <w:r w:rsidRPr="00073574">
        <w:rPr>
          <w:sz w:val="24"/>
        </w:rPr>
        <w:tab/>
        <w:t>to coordinate activities relating to combating counterfeit and tampered telecommunication/ICT devices through study groups, focus groups and other related groups;</w:t>
      </w:r>
    </w:p>
    <w:p w14:paraId="0BD32B3A" w14:textId="77777777" w:rsidR="00F0236A" w:rsidRPr="00073574" w:rsidRDefault="00F0236A" w:rsidP="00F0236A">
      <w:pPr>
        <w:spacing w:after="240"/>
        <w:rPr>
          <w:sz w:val="24"/>
        </w:rPr>
      </w:pPr>
      <w:r w:rsidRPr="00073574">
        <w:rPr>
          <w:sz w:val="24"/>
        </w:rPr>
        <w:t>5</w:t>
      </w:r>
      <w:r w:rsidRPr="00073574">
        <w:rPr>
          <w:sz w:val="24"/>
        </w:rPr>
        <w:tab/>
        <w:t>to assist Member States in taking the necessary actions to apply relevant ITU-T Recommendations for combating counterfeit and tampered telecommunication/ICT devices, including the use of conformity assessment systems,</w:t>
      </w:r>
    </w:p>
    <w:p w14:paraId="3F2DFA8E" w14:textId="77777777" w:rsidR="00F0236A" w:rsidRPr="00073574" w:rsidRDefault="00F0236A" w:rsidP="00F0236A">
      <w:pPr>
        <w:pStyle w:val="Call"/>
        <w:rPr>
          <w:sz w:val="24"/>
          <w:szCs w:val="24"/>
          <w:lang w:val="en-GB" w:eastAsia="en-AU"/>
        </w:rPr>
      </w:pPr>
      <w:r w:rsidRPr="00073574">
        <w:rPr>
          <w:sz w:val="24"/>
          <w:szCs w:val="24"/>
          <w:lang w:val="en-GB" w:eastAsia="en-AU"/>
        </w:rPr>
        <w:t>instructs the Director of the Telecommunication Standardization Bureau</w:t>
      </w:r>
    </w:p>
    <w:p w14:paraId="61F1F30C" w14:textId="77777777" w:rsidR="00F0236A" w:rsidRPr="00073574" w:rsidRDefault="00F0236A" w:rsidP="00F0236A">
      <w:pPr>
        <w:spacing w:after="240"/>
        <w:rPr>
          <w:sz w:val="24"/>
        </w:rPr>
      </w:pPr>
      <w:r w:rsidRPr="00073574">
        <w:rPr>
          <w:sz w:val="24"/>
        </w:rPr>
        <w:t>1</w:t>
      </w:r>
      <w:r w:rsidRPr="00073574">
        <w:rPr>
          <w:sz w:val="24"/>
        </w:rPr>
        <w:tab/>
        <w:t>to collaborate with industry associations, consortia and forums to identify possible technological measures, both software and hardware, that may be developed to deter tampering and the use and spread of counterfeit and tampered telecommunication/ICT devices;</w:t>
      </w:r>
    </w:p>
    <w:p w14:paraId="1A060EEB" w14:textId="77777777" w:rsidR="00F0236A" w:rsidRPr="00073574" w:rsidRDefault="00F0236A" w:rsidP="00F0236A">
      <w:pPr>
        <w:spacing w:after="240"/>
        <w:rPr>
          <w:sz w:val="24"/>
        </w:rPr>
      </w:pPr>
      <w:r w:rsidRPr="00073574">
        <w:rPr>
          <w:sz w:val="24"/>
        </w:rPr>
        <w:lastRenderedPageBreak/>
        <w:t>2</w:t>
      </w:r>
      <w:r w:rsidRPr="00073574">
        <w:rPr>
          <w:sz w:val="24"/>
        </w:rPr>
        <w:tab/>
        <w:t>to submit the results of these activities to the ITU Council for its consideration and required action;</w:t>
      </w:r>
    </w:p>
    <w:p w14:paraId="75771500" w14:textId="77777777" w:rsidR="00F0236A" w:rsidRPr="00073574" w:rsidRDefault="00F0236A" w:rsidP="00F0236A">
      <w:pPr>
        <w:spacing w:after="240"/>
        <w:rPr>
          <w:sz w:val="24"/>
        </w:rPr>
      </w:pPr>
      <w:r w:rsidRPr="00073574">
        <w:rPr>
          <w:sz w:val="24"/>
        </w:rPr>
        <w:t>3</w:t>
      </w:r>
      <w:r w:rsidRPr="00073574">
        <w:rPr>
          <w:sz w:val="24"/>
        </w:rPr>
        <w:tab/>
        <w:t>to involve experts and external entities as appropriate;</w:t>
      </w:r>
    </w:p>
    <w:p w14:paraId="746D93B6" w14:textId="77777777" w:rsidR="00F0236A" w:rsidRPr="00073574" w:rsidRDefault="00F0236A" w:rsidP="00F0236A">
      <w:pPr>
        <w:pStyle w:val="Call"/>
        <w:rPr>
          <w:sz w:val="24"/>
          <w:szCs w:val="24"/>
          <w:lang w:val="en-GB" w:eastAsia="en-AU"/>
        </w:rPr>
      </w:pPr>
      <w:r w:rsidRPr="00073574">
        <w:rPr>
          <w:sz w:val="24"/>
          <w:szCs w:val="24"/>
          <w:lang w:val="en-GB" w:eastAsia="en-AU"/>
        </w:rPr>
        <w:t>instructs the Director of the Telecommunication Standardization Bureau, in close collaboration with the Directors of the Radiocommunication and Telecommunication Development Bureaux</w:t>
      </w:r>
    </w:p>
    <w:p w14:paraId="2AC8B0EB" w14:textId="77777777" w:rsidR="00F0236A" w:rsidRPr="00073574" w:rsidRDefault="00F0236A" w:rsidP="00F0236A">
      <w:pPr>
        <w:spacing w:after="240"/>
        <w:rPr>
          <w:sz w:val="24"/>
        </w:rPr>
      </w:pPr>
      <w:r w:rsidRPr="00073574">
        <w:rPr>
          <w:sz w:val="24"/>
        </w:rPr>
        <w:t>1</w:t>
      </w:r>
      <w:r w:rsidRPr="00073574">
        <w:rPr>
          <w:sz w:val="24"/>
        </w:rPr>
        <w:tab/>
        <w:t>to assist Member States in addressing their concerns with respect to counterfeit and tampered telecommunication/ICT devices, through information sharing at regional or global level, including conformity assessment systems;</w:t>
      </w:r>
    </w:p>
    <w:p w14:paraId="7037EE53" w14:textId="77777777" w:rsidR="00F0236A" w:rsidRPr="00073574" w:rsidRDefault="00F0236A" w:rsidP="00F0236A">
      <w:pPr>
        <w:spacing w:after="240"/>
        <w:rPr>
          <w:sz w:val="24"/>
        </w:rPr>
      </w:pPr>
      <w:r w:rsidRPr="00073574">
        <w:rPr>
          <w:sz w:val="24"/>
        </w:rPr>
        <w:t>2</w:t>
      </w:r>
      <w:r w:rsidRPr="00073574">
        <w:rPr>
          <w:sz w:val="24"/>
        </w:rPr>
        <w:tab/>
        <w:t>to assist all the membership, considering relevant ITU-T Recommendations, in taking the necessary actions to prevent or detect the tampering with and/or duplication of unique telecommunication/ICT device identifiers, interacting with other SDOs related to these matters,</w:t>
      </w:r>
    </w:p>
    <w:p w14:paraId="2CBEE6E1" w14:textId="77777777" w:rsidR="00F0236A" w:rsidRPr="00073574" w:rsidRDefault="00F0236A" w:rsidP="00F0236A">
      <w:pPr>
        <w:pStyle w:val="Call"/>
        <w:rPr>
          <w:sz w:val="24"/>
          <w:szCs w:val="24"/>
          <w:lang w:val="en-GB" w:eastAsia="en-AU"/>
        </w:rPr>
      </w:pPr>
      <w:r w:rsidRPr="00073574">
        <w:rPr>
          <w:sz w:val="24"/>
          <w:szCs w:val="24"/>
          <w:lang w:val="en-GB" w:eastAsia="en-AU"/>
        </w:rPr>
        <w:t>instructs Study Group 11 of the ITU Telecommunication Standardization Sector, in collaboration with other study groups concerned</w:t>
      </w:r>
    </w:p>
    <w:p w14:paraId="32AC21FA" w14:textId="77777777" w:rsidR="00F0236A" w:rsidRPr="00073574" w:rsidRDefault="00F0236A" w:rsidP="00F0236A">
      <w:pPr>
        <w:spacing w:after="240"/>
        <w:rPr>
          <w:sz w:val="24"/>
        </w:rPr>
      </w:pPr>
      <w:r w:rsidRPr="00073574">
        <w:rPr>
          <w:sz w:val="24"/>
        </w:rPr>
        <w:t>1</w:t>
      </w:r>
      <w:r w:rsidRPr="00073574">
        <w:rPr>
          <w:sz w:val="24"/>
        </w:rPr>
        <w:tab/>
        <w:t>to continue developing Recommendations, technical reports and guidelines to address the problem of counterfeit and tampered ICT equipment and to support the Member States in anti-counterfeiting activities;</w:t>
      </w:r>
    </w:p>
    <w:p w14:paraId="10A03E4D" w14:textId="77777777" w:rsidR="00F0236A" w:rsidRPr="00073574" w:rsidRDefault="00F0236A" w:rsidP="00F0236A">
      <w:pPr>
        <w:spacing w:after="240"/>
        <w:rPr>
          <w:sz w:val="24"/>
        </w:rPr>
      </w:pPr>
      <w:r w:rsidRPr="00073574">
        <w:rPr>
          <w:sz w:val="24"/>
        </w:rPr>
        <w:t>2</w:t>
      </w:r>
      <w:r w:rsidRPr="00073574">
        <w:rPr>
          <w:sz w:val="24"/>
        </w:rPr>
        <w:tab/>
        <w:t>to collect, analyse and exchange information about counterfeiting and tampering practices in the ICT sector, and how ICTs could be used as a tool to combat them;</w:t>
      </w:r>
    </w:p>
    <w:p w14:paraId="6E82D893" w14:textId="77777777" w:rsidR="00F0236A" w:rsidRPr="00073574" w:rsidRDefault="00F0236A" w:rsidP="00F0236A">
      <w:pPr>
        <w:spacing w:after="240"/>
        <w:rPr>
          <w:sz w:val="24"/>
        </w:rPr>
      </w:pPr>
      <w:r w:rsidRPr="00073574">
        <w:rPr>
          <w:sz w:val="24"/>
        </w:rPr>
        <w:t>3</w:t>
      </w:r>
      <w:r w:rsidRPr="00073574">
        <w:rPr>
          <w:sz w:val="24"/>
        </w:rPr>
        <w:tab/>
        <w:t>to study existing as well as new reliable, unique, persistent and secure identifiers, in collaboration with ITU-T Study Groups 2, 17 and 20, that have the potential to be used in combating counterfeit and tampered products and telecommunication/ICT devices, including their scope of application and level of security in the context of their possible duplication/cloning;</w:t>
      </w:r>
    </w:p>
    <w:p w14:paraId="2CBB7FFB" w14:textId="77777777" w:rsidR="00F0236A" w:rsidRPr="00073574" w:rsidRDefault="00F0236A" w:rsidP="00F0236A">
      <w:pPr>
        <w:spacing w:after="240"/>
        <w:rPr>
          <w:sz w:val="24"/>
        </w:rPr>
      </w:pPr>
      <w:r w:rsidRPr="00073574">
        <w:rPr>
          <w:sz w:val="24"/>
        </w:rPr>
        <w:t>4</w:t>
      </w:r>
      <w:r w:rsidRPr="00073574">
        <w:rPr>
          <w:sz w:val="24"/>
        </w:rPr>
        <w:tab/>
        <w:t>to develop methods of assessing and verifying identifiers used for purposes of combating counterfeit production;</w:t>
      </w:r>
    </w:p>
    <w:p w14:paraId="30298E56" w14:textId="77777777" w:rsidR="00F0236A" w:rsidRPr="00073574" w:rsidRDefault="00F0236A" w:rsidP="00F0236A">
      <w:pPr>
        <w:spacing w:after="240"/>
        <w:rPr>
          <w:sz w:val="24"/>
        </w:rPr>
      </w:pPr>
      <w:r w:rsidRPr="00073574">
        <w:rPr>
          <w:sz w:val="24"/>
        </w:rPr>
        <w:t>5</w:t>
      </w:r>
      <w:r w:rsidRPr="00073574">
        <w:rPr>
          <w:sz w:val="24"/>
        </w:rPr>
        <w:tab/>
        <w:t>with the involvement of relevant standardization organizations, to develop mechanisms as appropriate for identifying counterfeit production, by means of unique identifiers that are resistant to duplication and respond to confidentiality/security requirements;</w:t>
      </w:r>
    </w:p>
    <w:p w14:paraId="45463E07" w14:textId="77777777" w:rsidR="00F0236A" w:rsidRPr="00073574" w:rsidRDefault="00F0236A" w:rsidP="00F0236A">
      <w:pPr>
        <w:spacing w:after="240"/>
        <w:rPr>
          <w:sz w:val="24"/>
        </w:rPr>
      </w:pPr>
      <w:r w:rsidRPr="00073574">
        <w:rPr>
          <w:sz w:val="24"/>
        </w:rPr>
        <w:t>6</w:t>
      </w:r>
      <w:r w:rsidRPr="00073574">
        <w:rPr>
          <w:sz w:val="24"/>
        </w:rPr>
        <w:tab/>
        <w:t>to study possible solutions, including frameworks to discover identity management information, that could support combating of counterfeit and tampered telecommunication/ICT devices;</w:t>
      </w:r>
    </w:p>
    <w:p w14:paraId="32C662A4" w14:textId="77777777" w:rsidR="00F0236A" w:rsidRPr="00073574" w:rsidRDefault="00F0236A" w:rsidP="00F0236A">
      <w:pPr>
        <w:spacing w:after="240"/>
        <w:rPr>
          <w:sz w:val="24"/>
        </w:rPr>
      </w:pPr>
      <w:r w:rsidRPr="00073574">
        <w:rPr>
          <w:sz w:val="24"/>
        </w:rPr>
        <w:t>7</w:t>
      </w:r>
      <w:r w:rsidRPr="00073574">
        <w:rPr>
          <w:sz w:val="24"/>
        </w:rPr>
        <w:tab/>
        <w:t>to identify a list of technologies/products, used for testing conformance with ITU-T Recommendations, in order to help in efforts to combat counterfeit ICT production,</w:t>
      </w:r>
    </w:p>
    <w:p w14:paraId="7FC30E15" w14:textId="77777777" w:rsidR="00F0236A" w:rsidRPr="00073574" w:rsidRDefault="00F0236A" w:rsidP="00F0236A">
      <w:pPr>
        <w:pStyle w:val="Call"/>
        <w:rPr>
          <w:sz w:val="24"/>
          <w:szCs w:val="24"/>
          <w:lang w:val="en-GB" w:eastAsia="en-AU"/>
        </w:rPr>
      </w:pPr>
      <w:r w:rsidRPr="00073574">
        <w:rPr>
          <w:sz w:val="24"/>
          <w:szCs w:val="24"/>
          <w:lang w:val="en-GB" w:eastAsia="en-AU"/>
        </w:rPr>
        <w:t>invites Member States</w:t>
      </w:r>
    </w:p>
    <w:p w14:paraId="79003A08" w14:textId="77777777" w:rsidR="00F0236A" w:rsidRPr="00073574" w:rsidRDefault="00F0236A" w:rsidP="00F0236A">
      <w:pPr>
        <w:spacing w:after="240"/>
        <w:rPr>
          <w:sz w:val="24"/>
        </w:rPr>
      </w:pPr>
      <w:r w:rsidRPr="00073574">
        <w:rPr>
          <w:sz w:val="24"/>
        </w:rPr>
        <w:t>1</w:t>
      </w:r>
      <w:r w:rsidRPr="00073574">
        <w:rPr>
          <w:sz w:val="24"/>
        </w:rPr>
        <w:tab/>
        <w:t>to take all necessary measures, including collaboration, cooperation and exchange of experiences and expertise with other Member States, to combat counterfeit and tampered telecommunication/ICT devices in a country/region, as well as globally;</w:t>
      </w:r>
    </w:p>
    <w:p w14:paraId="18BF2F3B" w14:textId="77777777" w:rsidR="00F0236A" w:rsidRPr="00073574" w:rsidRDefault="00F0236A" w:rsidP="00F0236A">
      <w:pPr>
        <w:spacing w:after="240"/>
        <w:rPr>
          <w:sz w:val="24"/>
        </w:rPr>
      </w:pPr>
      <w:r w:rsidRPr="00073574">
        <w:rPr>
          <w:sz w:val="24"/>
        </w:rPr>
        <w:lastRenderedPageBreak/>
        <w:t>2</w:t>
      </w:r>
      <w:r w:rsidRPr="00073574">
        <w:rPr>
          <w:sz w:val="24"/>
        </w:rPr>
        <w:tab/>
        <w:t>to adopt national legal and regulatory frameworks to combat counterfeit and tampered telecommunication/ICT devices;</w:t>
      </w:r>
    </w:p>
    <w:p w14:paraId="7983BAAE" w14:textId="4242F2EC" w:rsidR="00F0236A" w:rsidRPr="00073574" w:rsidRDefault="00F0236A" w:rsidP="00F0236A">
      <w:pPr>
        <w:spacing w:after="240"/>
        <w:rPr>
          <w:sz w:val="24"/>
        </w:rPr>
      </w:pPr>
      <w:r w:rsidRPr="00073574">
        <w:rPr>
          <w:sz w:val="24"/>
        </w:rPr>
        <w:t>3</w:t>
      </w:r>
      <w:r w:rsidRPr="00073574">
        <w:rPr>
          <w:sz w:val="24"/>
        </w:rPr>
        <w:tab/>
        <w:t>to consider measures to mitigate the import, circulation and sale of counterfeit and tampered telecommunicati</w:t>
      </w:r>
      <w:r w:rsidR="00E31596" w:rsidRPr="00073574">
        <w:rPr>
          <w:sz w:val="24"/>
        </w:rPr>
        <w:t>on ICT/devices from the market;</w:t>
      </w:r>
    </w:p>
    <w:p w14:paraId="4D9D93A8" w14:textId="77777777" w:rsidR="00F0236A" w:rsidRPr="00073574" w:rsidRDefault="00F0236A" w:rsidP="00F0236A">
      <w:pPr>
        <w:spacing w:after="240"/>
        <w:rPr>
          <w:sz w:val="24"/>
        </w:rPr>
      </w:pPr>
      <w:r w:rsidRPr="00073574">
        <w:rPr>
          <w:sz w:val="24"/>
        </w:rPr>
        <w:t>4</w:t>
      </w:r>
      <w:r w:rsidRPr="00073574">
        <w:rPr>
          <w:sz w:val="24"/>
        </w:rPr>
        <w:tab/>
        <w:t>to consider solutions, to be used to differentiate between authentic/genuine and counterfeit or tampered telecommunication/ICT devices, e.g. establishing a centralized national reference database of authorized equipment;</w:t>
      </w:r>
    </w:p>
    <w:p w14:paraId="313663FB" w14:textId="77777777" w:rsidR="00F0236A" w:rsidRPr="00073574" w:rsidRDefault="00F0236A" w:rsidP="00F0236A">
      <w:pPr>
        <w:spacing w:after="240"/>
        <w:rPr>
          <w:sz w:val="24"/>
        </w:rPr>
      </w:pPr>
      <w:r w:rsidRPr="00073574">
        <w:rPr>
          <w:sz w:val="24"/>
        </w:rPr>
        <w:t>5</w:t>
      </w:r>
      <w:r w:rsidRPr="00073574">
        <w:rPr>
          <w:sz w:val="24"/>
        </w:rPr>
        <w:tab/>
        <w:t>to conduct awareness campaigns for consumers on the adverse impact of counterfeit and tampered products and telecommunication/ICT devices on the environment and on their own health, as well as on the degraded reliability, quality of serviceQoS and performance of such telecommunication/ICT devices,</w:t>
      </w:r>
    </w:p>
    <w:p w14:paraId="0EA666C2" w14:textId="77777777" w:rsidR="00F0236A" w:rsidRPr="00073574" w:rsidRDefault="00F0236A" w:rsidP="00F0236A">
      <w:pPr>
        <w:pStyle w:val="Call"/>
        <w:rPr>
          <w:sz w:val="24"/>
          <w:szCs w:val="24"/>
          <w:lang w:val="en-GB" w:eastAsia="en-AU"/>
        </w:rPr>
      </w:pPr>
      <w:r w:rsidRPr="00073574">
        <w:rPr>
          <w:sz w:val="24"/>
          <w:szCs w:val="24"/>
          <w:lang w:val="en-GB" w:eastAsia="en-AU"/>
        </w:rPr>
        <w:t>invites Sector Members</w:t>
      </w:r>
    </w:p>
    <w:p w14:paraId="20C0DA66" w14:textId="77777777" w:rsidR="00F0236A" w:rsidRPr="00073574" w:rsidRDefault="00F0236A" w:rsidP="00F0236A">
      <w:pPr>
        <w:spacing w:after="240"/>
        <w:rPr>
          <w:sz w:val="24"/>
        </w:rPr>
      </w:pPr>
      <w:r w:rsidRPr="00073574">
        <w:rPr>
          <w:sz w:val="24"/>
        </w:rPr>
        <w:t>to collaborate with governments, administrations and telecommunication regulators in combating counterfeit and tampered telecommunication/ICT devices,</w:t>
      </w:r>
    </w:p>
    <w:p w14:paraId="21873E31" w14:textId="77777777" w:rsidR="00F0236A" w:rsidRPr="00073574" w:rsidRDefault="00F0236A" w:rsidP="00F0236A">
      <w:pPr>
        <w:pStyle w:val="Call"/>
        <w:rPr>
          <w:sz w:val="24"/>
          <w:szCs w:val="24"/>
          <w:lang w:val="en-GB" w:eastAsia="en-AU"/>
        </w:rPr>
      </w:pPr>
      <w:r w:rsidRPr="00073574">
        <w:rPr>
          <w:sz w:val="24"/>
          <w:szCs w:val="24"/>
          <w:lang w:val="en-GB" w:eastAsia="en-AU"/>
        </w:rPr>
        <w:t>invites all the membership</w:t>
      </w:r>
    </w:p>
    <w:p w14:paraId="5C69AE0C" w14:textId="77777777" w:rsidR="00F0236A" w:rsidRPr="00073574" w:rsidRDefault="00F0236A" w:rsidP="00F0236A">
      <w:pPr>
        <w:spacing w:after="240"/>
        <w:rPr>
          <w:sz w:val="24"/>
        </w:rPr>
      </w:pPr>
      <w:r w:rsidRPr="00073574">
        <w:rPr>
          <w:sz w:val="24"/>
        </w:rPr>
        <w:t>1</w:t>
      </w:r>
      <w:r w:rsidRPr="00073574">
        <w:rPr>
          <w:sz w:val="24"/>
        </w:rPr>
        <w:tab/>
        <w:t>to participate actively in ITU studies relating to combating counterfeit and tampered telecommunication/lCT devices by submitting contributions;</w:t>
      </w:r>
    </w:p>
    <w:p w14:paraId="5D46F0CD" w14:textId="77777777" w:rsidR="00F0236A" w:rsidRPr="00073574" w:rsidRDefault="00F0236A" w:rsidP="00F0236A">
      <w:pPr>
        <w:spacing w:after="240"/>
        <w:rPr>
          <w:sz w:val="24"/>
        </w:rPr>
      </w:pPr>
      <w:r w:rsidRPr="00073574">
        <w:rPr>
          <w:sz w:val="24"/>
        </w:rPr>
        <w:t>2</w:t>
      </w:r>
      <w:r w:rsidRPr="00073574">
        <w:rPr>
          <w:sz w:val="24"/>
        </w:rPr>
        <w:tab/>
        <w:t>to take the necessary actions to prevent or detect tampering of unique telecommunication/ICT device identifiers, in particular regarding cloned telecommunication/ICT devices;</w:t>
      </w:r>
    </w:p>
    <w:p w14:paraId="0590DEA3" w14:textId="77777777" w:rsidR="00F0236A" w:rsidRPr="00073574" w:rsidRDefault="00F0236A" w:rsidP="00F0236A">
      <w:pPr>
        <w:spacing w:after="240"/>
        <w:rPr>
          <w:sz w:val="24"/>
        </w:rPr>
      </w:pPr>
      <w:r w:rsidRPr="00073574">
        <w:rPr>
          <w:sz w:val="24"/>
        </w:rPr>
        <w:t>3</w:t>
      </w:r>
      <w:r w:rsidRPr="00073574">
        <w:rPr>
          <w:sz w:val="24"/>
        </w:rPr>
        <w:tab/>
        <w:t>to collaborate and share expertise in this area.</w:t>
      </w:r>
    </w:p>
    <w:tbl>
      <w:tblPr>
        <w:tblW w:w="993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29"/>
        <w:gridCol w:w="4966"/>
        <w:gridCol w:w="1336"/>
        <w:gridCol w:w="1143"/>
        <w:gridCol w:w="1358"/>
      </w:tblGrid>
      <w:tr w:rsidR="00B6343E" w:rsidRPr="00073574" w14:paraId="4B009898" w14:textId="77777777" w:rsidTr="7277BFE4">
        <w:trPr>
          <w:tblHeader/>
        </w:trPr>
        <w:tc>
          <w:tcPr>
            <w:tcW w:w="1129" w:type="dxa"/>
            <w:tcBorders>
              <w:top w:val="single" w:sz="12" w:space="0" w:color="auto"/>
              <w:bottom w:val="single" w:sz="12" w:space="0" w:color="auto"/>
            </w:tcBorders>
            <w:shd w:val="clear" w:color="auto" w:fill="auto"/>
            <w:vAlign w:val="center"/>
          </w:tcPr>
          <w:p w14:paraId="4B514E28" w14:textId="77777777" w:rsidR="00B6343E" w:rsidRPr="00073574" w:rsidRDefault="00B6343E" w:rsidP="007434ED">
            <w:pPr>
              <w:pStyle w:val="Tablehead"/>
              <w:keepNext w:val="0"/>
              <w:rPr>
                <w:sz w:val="24"/>
                <w:szCs w:val="24"/>
              </w:rPr>
            </w:pPr>
            <w:r w:rsidRPr="00073574">
              <w:rPr>
                <w:sz w:val="24"/>
                <w:szCs w:val="24"/>
              </w:rPr>
              <w:t>Action Item</w:t>
            </w:r>
          </w:p>
        </w:tc>
        <w:tc>
          <w:tcPr>
            <w:tcW w:w="4966" w:type="dxa"/>
            <w:tcBorders>
              <w:top w:val="single" w:sz="12" w:space="0" w:color="auto"/>
              <w:bottom w:val="single" w:sz="12" w:space="0" w:color="auto"/>
            </w:tcBorders>
            <w:shd w:val="clear" w:color="auto" w:fill="auto"/>
            <w:vAlign w:val="center"/>
            <w:hideMark/>
          </w:tcPr>
          <w:p w14:paraId="09303831" w14:textId="77777777" w:rsidR="00B6343E" w:rsidRPr="00073574" w:rsidRDefault="00B6343E" w:rsidP="005E0B71">
            <w:pPr>
              <w:pStyle w:val="Tablehead"/>
              <w:rPr>
                <w:sz w:val="24"/>
                <w:szCs w:val="24"/>
              </w:rPr>
            </w:pPr>
            <w:r w:rsidRPr="00073574">
              <w:rPr>
                <w:sz w:val="24"/>
                <w:szCs w:val="24"/>
              </w:rPr>
              <w:t>Action</w:t>
            </w:r>
          </w:p>
        </w:tc>
        <w:tc>
          <w:tcPr>
            <w:tcW w:w="1336" w:type="dxa"/>
            <w:tcBorders>
              <w:top w:val="single" w:sz="12" w:space="0" w:color="auto"/>
              <w:bottom w:val="single" w:sz="12" w:space="0" w:color="auto"/>
            </w:tcBorders>
            <w:shd w:val="clear" w:color="auto" w:fill="auto"/>
            <w:vAlign w:val="center"/>
            <w:hideMark/>
          </w:tcPr>
          <w:p w14:paraId="19E8533F" w14:textId="77777777" w:rsidR="00B6343E" w:rsidRPr="00073574" w:rsidRDefault="00B6343E" w:rsidP="005E0B71">
            <w:pPr>
              <w:pStyle w:val="Tablehead"/>
              <w:rPr>
                <w:sz w:val="24"/>
                <w:szCs w:val="24"/>
              </w:rPr>
            </w:pPr>
            <w:r w:rsidRPr="00073574">
              <w:rPr>
                <w:sz w:val="24"/>
                <w:szCs w:val="24"/>
              </w:rPr>
              <w:t>Milestone</w:t>
            </w:r>
          </w:p>
        </w:tc>
        <w:tc>
          <w:tcPr>
            <w:tcW w:w="1143" w:type="dxa"/>
            <w:tcBorders>
              <w:top w:val="single" w:sz="12" w:space="0" w:color="auto"/>
              <w:bottom w:val="single" w:sz="12" w:space="0" w:color="auto"/>
            </w:tcBorders>
            <w:shd w:val="clear" w:color="auto" w:fill="auto"/>
          </w:tcPr>
          <w:p w14:paraId="00CE4825" w14:textId="77777777" w:rsidR="00B6343E" w:rsidRPr="00073574" w:rsidRDefault="00B6343E" w:rsidP="005E0B71">
            <w:pPr>
              <w:pStyle w:val="Tablehead"/>
              <w:rPr>
                <w:sz w:val="24"/>
                <w:szCs w:val="24"/>
              </w:rPr>
            </w:pPr>
            <w:r w:rsidRPr="00073574">
              <w:rPr>
                <w:sz w:val="24"/>
                <w:szCs w:val="24"/>
              </w:rPr>
              <w:t>Periodic goals met</w:t>
            </w:r>
          </w:p>
        </w:tc>
        <w:tc>
          <w:tcPr>
            <w:tcW w:w="1358" w:type="dxa"/>
            <w:tcBorders>
              <w:top w:val="single" w:sz="12" w:space="0" w:color="auto"/>
              <w:bottom w:val="single" w:sz="12" w:space="0" w:color="auto"/>
            </w:tcBorders>
            <w:shd w:val="clear" w:color="auto" w:fill="auto"/>
            <w:vAlign w:val="center"/>
          </w:tcPr>
          <w:p w14:paraId="04B26606" w14:textId="77777777" w:rsidR="00B6343E" w:rsidRPr="00073574" w:rsidRDefault="00B6343E" w:rsidP="005E0B71">
            <w:pPr>
              <w:pStyle w:val="Tablehead"/>
              <w:rPr>
                <w:sz w:val="24"/>
                <w:szCs w:val="24"/>
              </w:rPr>
            </w:pPr>
            <w:r w:rsidRPr="00073574">
              <w:rPr>
                <w:sz w:val="24"/>
                <w:szCs w:val="24"/>
              </w:rPr>
              <w:t>Completed</w:t>
            </w:r>
          </w:p>
        </w:tc>
      </w:tr>
      <w:tr w:rsidR="00B6343E" w:rsidRPr="00073574" w14:paraId="59D51029" w14:textId="77777777" w:rsidTr="7277BFE4">
        <w:tc>
          <w:tcPr>
            <w:tcW w:w="1129" w:type="dxa"/>
            <w:vMerge w:val="restart"/>
            <w:tcBorders>
              <w:top w:val="single" w:sz="12" w:space="0" w:color="auto"/>
            </w:tcBorders>
            <w:shd w:val="clear" w:color="auto" w:fill="auto"/>
          </w:tcPr>
          <w:p w14:paraId="70EAEF31" w14:textId="1D8C59C1" w:rsidR="00B6343E" w:rsidRPr="00073574" w:rsidRDefault="00B6343E" w:rsidP="00973D16">
            <w:pPr>
              <w:pStyle w:val="Tabletext"/>
              <w:rPr>
                <w:b/>
                <w:bCs/>
                <w:sz w:val="24"/>
                <w:szCs w:val="24"/>
              </w:rPr>
            </w:pPr>
            <w:r w:rsidRPr="00073574">
              <w:rPr>
                <w:b/>
                <w:bCs/>
                <w:sz w:val="24"/>
                <w:szCs w:val="24"/>
              </w:rPr>
              <w:t>96-01</w:t>
            </w:r>
          </w:p>
        </w:tc>
        <w:tc>
          <w:tcPr>
            <w:tcW w:w="4966" w:type="dxa"/>
            <w:tcBorders>
              <w:top w:val="single" w:sz="12" w:space="0" w:color="auto"/>
              <w:bottom w:val="single" w:sz="2" w:space="0" w:color="auto"/>
            </w:tcBorders>
            <w:shd w:val="clear" w:color="auto" w:fill="auto"/>
          </w:tcPr>
          <w:p w14:paraId="7FE721EF" w14:textId="4EB03635" w:rsidR="00B6343E" w:rsidRPr="00073574" w:rsidRDefault="00B6343E" w:rsidP="00973D16">
            <w:pPr>
              <w:pStyle w:val="Tabletext"/>
              <w:rPr>
                <w:b/>
                <w:bCs/>
                <w:sz w:val="24"/>
                <w:szCs w:val="24"/>
              </w:rPr>
            </w:pPr>
            <w:r w:rsidRPr="00073574">
              <w:rPr>
                <w:b/>
                <w:bCs/>
                <w:sz w:val="24"/>
                <w:szCs w:val="24"/>
              </w:rPr>
              <w:t>All ITU-T study groups to explore ways and means to combat and deter telecommunication/ICT device counterfeiting and tampering in order to protect industry, governments and consumers from counterfeit and tempered telecommunication/ICT devices (resolves 1)</w:t>
            </w:r>
          </w:p>
        </w:tc>
        <w:tc>
          <w:tcPr>
            <w:tcW w:w="1336" w:type="dxa"/>
            <w:tcBorders>
              <w:top w:val="single" w:sz="12" w:space="0" w:color="auto"/>
              <w:bottom w:val="single" w:sz="2" w:space="0" w:color="auto"/>
            </w:tcBorders>
            <w:shd w:val="clear" w:color="auto" w:fill="auto"/>
            <w:vAlign w:val="center"/>
          </w:tcPr>
          <w:p w14:paraId="610DC6D5" w14:textId="591C72AF" w:rsidR="00B6343E" w:rsidRPr="00073574" w:rsidRDefault="00B6343E" w:rsidP="00973D16">
            <w:pPr>
              <w:pStyle w:val="Tabletext"/>
              <w:jc w:val="center"/>
              <w:rPr>
                <w:b/>
                <w:bCs/>
                <w:sz w:val="24"/>
                <w:szCs w:val="24"/>
              </w:rPr>
            </w:pPr>
            <w:r w:rsidRPr="00073574">
              <w:rPr>
                <w:b/>
                <w:bCs/>
                <w:sz w:val="24"/>
                <w:szCs w:val="24"/>
              </w:rPr>
              <w:t>Ongoing</w:t>
            </w:r>
          </w:p>
        </w:tc>
        <w:tc>
          <w:tcPr>
            <w:tcW w:w="1143" w:type="dxa"/>
            <w:tcBorders>
              <w:top w:val="single" w:sz="12" w:space="0" w:color="auto"/>
              <w:bottom w:val="single" w:sz="2" w:space="0" w:color="auto"/>
            </w:tcBorders>
            <w:shd w:val="clear" w:color="auto" w:fill="auto"/>
            <w:vAlign w:val="center"/>
          </w:tcPr>
          <w:p w14:paraId="6891C0B4" w14:textId="33687ED7" w:rsidR="00B6343E" w:rsidRPr="00073574" w:rsidRDefault="00B6343E" w:rsidP="00973D16">
            <w:pPr>
              <w:pStyle w:val="Tabletext"/>
              <w:jc w:val="center"/>
              <w:rPr>
                <w:b/>
                <w:bCs/>
                <w:sz w:val="24"/>
                <w:szCs w:val="24"/>
              </w:rPr>
            </w:pPr>
            <w:r w:rsidRPr="00073574">
              <w:rPr>
                <w:b/>
                <w:bCs/>
                <w:sz w:val="24"/>
                <w:szCs w:val="24"/>
              </w:rPr>
              <w:t>√</w:t>
            </w:r>
          </w:p>
        </w:tc>
        <w:tc>
          <w:tcPr>
            <w:tcW w:w="1358" w:type="dxa"/>
            <w:tcBorders>
              <w:top w:val="single" w:sz="12" w:space="0" w:color="auto"/>
              <w:bottom w:val="single" w:sz="2" w:space="0" w:color="auto"/>
            </w:tcBorders>
            <w:shd w:val="clear" w:color="auto" w:fill="auto"/>
            <w:vAlign w:val="center"/>
          </w:tcPr>
          <w:p w14:paraId="3A9AA5BD" w14:textId="77777777" w:rsidR="00B6343E" w:rsidRPr="00073574" w:rsidRDefault="00B6343E" w:rsidP="00973D16">
            <w:pPr>
              <w:pStyle w:val="Tabletext"/>
              <w:jc w:val="center"/>
              <w:rPr>
                <w:b/>
                <w:bCs/>
                <w:sz w:val="24"/>
                <w:szCs w:val="24"/>
              </w:rPr>
            </w:pPr>
          </w:p>
        </w:tc>
      </w:tr>
      <w:tr w:rsidR="00B6343E" w:rsidRPr="00073574" w14:paraId="3F37BF29" w14:textId="77777777" w:rsidTr="7277BFE4">
        <w:tc>
          <w:tcPr>
            <w:tcW w:w="1129" w:type="dxa"/>
            <w:vMerge/>
          </w:tcPr>
          <w:p w14:paraId="5DD9E031" w14:textId="77777777" w:rsidR="00B6343E" w:rsidRPr="00073574" w:rsidRDefault="00B6343E" w:rsidP="00973D16">
            <w:pPr>
              <w:pStyle w:val="Tabletext"/>
              <w:rPr>
                <w:sz w:val="24"/>
                <w:szCs w:val="24"/>
              </w:rPr>
            </w:pPr>
          </w:p>
        </w:tc>
        <w:tc>
          <w:tcPr>
            <w:tcW w:w="8803" w:type="dxa"/>
            <w:gridSpan w:val="4"/>
            <w:tcBorders>
              <w:top w:val="single" w:sz="2" w:space="0" w:color="auto"/>
              <w:bottom w:val="single" w:sz="12" w:space="0" w:color="auto"/>
            </w:tcBorders>
            <w:shd w:val="clear" w:color="auto" w:fill="auto"/>
          </w:tcPr>
          <w:p w14:paraId="68DD3DBF" w14:textId="77777777" w:rsidR="00B6343E" w:rsidRPr="00073574" w:rsidRDefault="00B6343E" w:rsidP="002E241A">
            <w:pPr>
              <w:pStyle w:val="ListParagraph"/>
              <w:numPr>
                <w:ilvl w:val="0"/>
                <w:numId w:val="37"/>
              </w:numPr>
              <w:spacing w:before="40"/>
              <w:ind w:hanging="357"/>
              <w:rPr>
                <w:rFonts w:asciiTheme="majorBidi" w:hAnsiTheme="majorBidi" w:cstheme="majorBidi"/>
              </w:rPr>
            </w:pPr>
            <w:r w:rsidRPr="00073574">
              <w:rPr>
                <w:rFonts w:asciiTheme="majorBidi" w:hAnsiTheme="majorBidi" w:cstheme="majorBidi"/>
              </w:rPr>
              <w:t>SG2: Liaison statement with SG11 on this issue and considers that a key component of any work in this area is the ability to uniquely identify devices. The identification schemes that may be utilised in addressing these issues are therefore of particular interest to SG2.</w:t>
            </w:r>
          </w:p>
          <w:p w14:paraId="0A96AB72" w14:textId="746D9284" w:rsidR="00B6343E" w:rsidRPr="00073574" w:rsidRDefault="00B6343E" w:rsidP="002E241A">
            <w:pPr>
              <w:pStyle w:val="ListParagraph"/>
              <w:numPr>
                <w:ilvl w:val="0"/>
                <w:numId w:val="37"/>
              </w:numPr>
              <w:contextualSpacing w:val="0"/>
              <w:rPr>
                <w:rFonts w:asciiTheme="majorBidi" w:hAnsiTheme="majorBidi" w:cstheme="majorBidi"/>
              </w:rPr>
            </w:pPr>
            <w:r w:rsidRPr="00073574">
              <w:rPr>
                <w:rFonts w:asciiTheme="majorBidi" w:hAnsiTheme="majorBidi" w:cstheme="majorBidi"/>
              </w:rPr>
              <w:t>SG5: Q7/5 is working on "Circular economy including e-waste” This question also deals with ICT counterfeit devices".</w:t>
            </w:r>
            <w:r w:rsidR="004F64C6" w:rsidRPr="00073574">
              <w:rPr>
                <w:rFonts w:asciiTheme="majorBidi" w:hAnsiTheme="majorBidi" w:cstheme="majorBidi"/>
              </w:rPr>
              <w:t xml:space="preserve"> ITU-T SG is working on draft Recommendation ITU-T L.Counterfeit “Adequate Assessment and Sensitisation on Counterfeit ICT Products and their Environmental Impact”.</w:t>
            </w:r>
          </w:p>
          <w:p w14:paraId="56043512" w14:textId="2933C8B5" w:rsidR="00466E97" w:rsidRPr="00073574" w:rsidRDefault="00466E97" w:rsidP="002E241A">
            <w:pPr>
              <w:pStyle w:val="ListParagraph"/>
              <w:numPr>
                <w:ilvl w:val="0"/>
                <w:numId w:val="37"/>
              </w:numPr>
              <w:contextualSpacing w:val="0"/>
              <w:rPr>
                <w:rFonts w:asciiTheme="majorBidi" w:hAnsiTheme="majorBidi" w:cstheme="majorBidi"/>
              </w:rPr>
            </w:pPr>
            <w:r w:rsidRPr="00073574">
              <w:rPr>
                <w:rFonts w:asciiTheme="majorBidi" w:hAnsiTheme="majorBidi" w:cstheme="majorBidi"/>
              </w:rPr>
              <w:t>SG11 approved a survey report on counterfeit ICT devices in Africa region and</w:t>
            </w:r>
            <w:r w:rsidR="00C15B60" w:rsidRPr="00073574">
              <w:rPr>
                <w:rFonts w:asciiTheme="majorBidi" w:hAnsiTheme="majorBidi" w:cstheme="majorBidi"/>
              </w:rPr>
              <w:t xml:space="preserve"> </w:t>
            </w:r>
            <w:r w:rsidR="007B096C" w:rsidRPr="00073574">
              <w:rPr>
                <w:rFonts w:asciiTheme="majorBidi" w:hAnsiTheme="majorBidi" w:cstheme="majorBidi"/>
              </w:rPr>
              <w:t>new Recommendation ITU-T Q.5050 “Framework for solution to combat counterfeit ICT devices”</w:t>
            </w:r>
            <w:r w:rsidR="001B124A" w:rsidRPr="00073574">
              <w:rPr>
                <w:rFonts w:asciiTheme="majorBidi" w:hAnsiTheme="majorBidi" w:cstheme="majorBidi"/>
              </w:rPr>
              <w:t xml:space="preserve">, which defines </w:t>
            </w:r>
            <w:r w:rsidR="007B096C" w:rsidRPr="00073574">
              <w:rPr>
                <w:rFonts w:asciiTheme="majorBidi" w:hAnsiTheme="majorBidi" w:cstheme="majorBidi"/>
              </w:rPr>
              <w:t>the reference framework and requirements to be considered when deploying solutions to combat the circulation and use of counterfeit ICT devices.</w:t>
            </w:r>
          </w:p>
          <w:p w14:paraId="05987C6F" w14:textId="72B69431" w:rsidR="007C57E1" w:rsidRPr="00073574" w:rsidRDefault="007C57E1" w:rsidP="00973D16">
            <w:pPr>
              <w:pStyle w:val="ListParagraph"/>
              <w:ind w:left="363"/>
              <w:rPr>
                <w:rFonts w:asciiTheme="majorBidi" w:hAnsiTheme="majorBidi" w:cstheme="majorBidi"/>
                <w:szCs w:val="22"/>
              </w:rPr>
            </w:pPr>
            <w:r w:rsidRPr="00073574">
              <w:rPr>
                <w:rFonts w:asciiTheme="majorBidi" w:hAnsiTheme="majorBidi" w:cstheme="majorBidi"/>
                <w:szCs w:val="22"/>
              </w:rPr>
              <w:lastRenderedPageBreak/>
              <w:t xml:space="preserve">SG11 </w:t>
            </w:r>
            <w:r w:rsidR="00F827A4" w:rsidRPr="00073574">
              <w:rPr>
                <w:rFonts w:asciiTheme="majorBidi" w:hAnsiTheme="majorBidi" w:cstheme="majorBidi"/>
                <w:szCs w:val="22"/>
              </w:rPr>
              <w:t xml:space="preserve">approved </w:t>
            </w:r>
            <w:r w:rsidRPr="00073574">
              <w:rPr>
                <w:rFonts w:asciiTheme="majorBidi" w:hAnsiTheme="majorBidi" w:cstheme="majorBidi"/>
                <w:szCs w:val="22"/>
              </w:rPr>
              <w:t>new Recommendation ITU-T Q.5052 “Addressing mobile devices with duplicate unique identifiers”</w:t>
            </w:r>
            <w:r w:rsidR="00F827A4" w:rsidRPr="00073574">
              <w:rPr>
                <w:rFonts w:asciiTheme="majorBidi" w:hAnsiTheme="majorBidi" w:cstheme="majorBidi"/>
                <w:szCs w:val="22"/>
              </w:rPr>
              <w:t xml:space="preserve"> and ITU-T Q.5053 “</w:t>
            </w:r>
            <w:r w:rsidR="009D702A" w:rsidRPr="00073574">
              <w:rPr>
                <w:rFonts w:asciiTheme="majorBidi" w:hAnsiTheme="majorBidi" w:cstheme="majorBidi"/>
                <w:szCs w:val="22"/>
              </w:rPr>
              <w:t>Mobile device access list audit interface</w:t>
            </w:r>
            <w:r w:rsidRPr="00073574">
              <w:rPr>
                <w:rFonts w:asciiTheme="majorBidi" w:hAnsiTheme="majorBidi" w:cstheme="majorBidi"/>
                <w:szCs w:val="22"/>
              </w:rPr>
              <w:t>”.</w:t>
            </w:r>
          </w:p>
          <w:p w14:paraId="4E79E754" w14:textId="77777777" w:rsidR="007C57E1" w:rsidRPr="00073574" w:rsidRDefault="007C57E1" w:rsidP="00973D16">
            <w:pPr>
              <w:pStyle w:val="ListParagraph"/>
              <w:ind w:left="363"/>
              <w:contextualSpacing w:val="0"/>
              <w:rPr>
                <w:rFonts w:asciiTheme="majorBidi" w:hAnsiTheme="majorBidi" w:cstheme="majorBidi"/>
                <w:szCs w:val="22"/>
              </w:rPr>
            </w:pPr>
            <w:r w:rsidRPr="00073574">
              <w:rPr>
                <w:rFonts w:asciiTheme="majorBidi" w:hAnsiTheme="majorBidi" w:cstheme="majorBidi"/>
                <w:szCs w:val="22"/>
              </w:rPr>
              <w:t>SG11 conducted Questionnaire on Reliability of International Mobile Equipment Identity (IMEI), which was initiated according to the ITU-T SG11 decision in October 2019 (TSB Circular 207).</w:t>
            </w:r>
          </w:p>
          <w:p w14:paraId="76C92128" w14:textId="3C39857A" w:rsidR="009B00FA" w:rsidRPr="00073574" w:rsidRDefault="007C57E1" w:rsidP="00973D16">
            <w:pPr>
              <w:pStyle w:val="ListParagraph"/>
              <w:ind w:left="363"/>
              <w:contextualSpacing w:val="0"/>
              <w:rPr>
                <w:rFonts w:asciiTheme="majorBidi" w:hAnsiTheme="majorBidi" w:cstheme="majorBidi"/>
                <w:szCs w:val="22"/>
              </w:rPr>
            </w:pPr>
            <w:r w:rsidRPr="00073574">
              <w:rPr>
                <w:rFonts w:asciiTheme="majorBidi" w:hAnsiTheme="majorBidi" w:cstheme="majorBidi"/>
                <w:szCs w:val="22"/>
              </w:rPr>
              <w:t xml:space="preserve">The new Technical Report ITU-T QTR-RLB-IMEI “Reliability of IMEI” was agreed by SG11. </w:t>
            </w:r>
            <w:r w:rsidR="00B20167" w:rsidRPr="00073574">
              <w:rPr>
                <w:rFonts w:asciiTheme="majorBidi" w:hAnsiTheme="majorBidi" w:cstheme="majorBidi"/>
                <w:szCs w:val="22"/>
              </w:rPr>
              <w:t>T</w:t>
            </w:r>
            <w:r w:rsidRPr="00073574">
              <w:rPr>
                <w:rFonts w:asciiTheme="majorBidi" w:hAnsiTheme="majorBidi" w:cstheme="majorBidi"/>
                <w:szCs w:val="22"/>
              </w:rPr>
              <w:t>his technical report addresses key challenges faced by a range of stakeholders that arise from cloned/tampered IMEIs, including concerns about the misuse of IMEI numbers raised by Member States at ITU Council-17 and ITU Council-18. It also proposes ways to improve IMEI reliability and preventive steps for solving the issues on a national and international level.</w:t>
            </w:r>
          </w:p>
          <w:p w14:paraId="552189A6" w14:textId="27ACA4AA" w:rsidR="00595B20" w:rsidRPr="00073574" w:rsidRDefault="00595B20" w:rsidP="00973D16">
            <w:pPr>
              <w:pStyle w:val="ListParagraph"/>
              <w:ind w:left="363"/>
              <w:contextualSpacing w:val="0"/>
              <w:rPr>
                <w:rFonts w:asciiTheme="majorBidi" w:hAnsiTheme="majorBidi" w:cstheme="majorBidi"/>
                <w:szCs w:val="22"/>
              </w:rPr>
            </w:pPr>
            <w:r w:rsidRPr="00073574">
              <w:rPr>
                <w:rFonts w:asciiTheme="majorBidi" w:hAnsiTheme="majorBidi" w:cstheme="majorBidi"/>
                <w:szCs w:val="22"/>
              </w:rPr>
              <w:t>SG11 agreed ITU-T Q Supplement 74 “</w:t>
            </w:r>
            <w:r w:rsidR="00467386" w:rsidRPr="00073574">
              <w:rPr>
                <w:rFonts w:asciiTheme="majorBidi" w:hAnsiTheme="majorBidi" w:cstheme="majorBidi"/>
                <w:szCs w:val="22"/>
              </w:rPr>
              <w:t>Roadmap for the Q.5050-series - Combat of Counterfeit ICT and Stolen Mobile Devices</w:t>
            </w:r>
            <w:r w:rsidRPr="00073574">
              <w:rPr>
                <w:rFonts w:asciiTheme="majorBidi" w:hAnsiTheme="majorBidi" w:cstheme="majorBidi"/>
                <w:szCs w:val="22"/>
              </w:rPr>
              <w:t>”</w:t>
            </w:r>
            <w:r w:rsidR="005C3A53" w:rsidRPr="00073574">
              <w:rPr>
                <w:rFonts w:asciiTheme="majorBidi" w:hAnsiTheme="majorBidi" w:cstheme="majorBidi"/>
                <w:szCs w:val="22"/>
              </w:rPr>
              <w:t>,</w:t>
            </w:r>
            <w:r w:rsidRPr="00073574">
              <w:rPr>
                <w:rFonts w:asciiTheme="majorBidi" w:hAnsiTheme="majorBidi" w:cstheme="majorBidi"/>
                <w:szCs w:val="22"/>
              </w:rPr>
              <w:t xml:space="preserve"> ITU-T Q Supplement 73 “</w:t>
            </w:r>
            <w:r w:rsidR="00467386" w:rsidRPr="00073574">
              <w:rPr>
                <w:rFonts w:asciiTheme="majorBidi" w:hAnsiTheme="majorBidi" w:cstheme="majorBidi"/>
                <w:szCs w:val="22"/>
              </w:rPr>
              <w:t>Guidelines for Permissive versus Restrictive System Implementations to address counterfeit, stolen and illegal mobile devices</w:t>
            </w:r>
            <w:r w:rsidRPr="00073574">
              <w:rPr>
                <w:rFonts w:asciiTheme="majorBidi" w:hAnsiTheme="majorBidi" w:cstheme="majorBidi"/>
                <w:szCs w:val="22"/>
              </w:rPr>
              <w:t>”</w:t>
            </w:r>
            <w:r w:rsidR="005C3A53" w:rsidRPr="00073574">
              <w:rPr>
                <w:rFonts w:asciiTheme="majorBidi" w:hAnsiTheme="majorBidi" w:cstheme="majorBidi"/>
                <w:szCs w:val="22"/>
              </w:rPr>
              <w:t xml:space="preserve"> and ITU-T Q Supplement 75 “</w:t>
            </w:r>
            <w:r w:rsidR="00243911" w:rsidRPr="00073574">
              <w:rPr>
                <w:rFonts w:asciiTheme="majorBidi" w:hAnsiTheme="majorBidi" w:cstheme="majorBidi"/>
                <w:szCs w:val="22"/>
              </w:rPr>
              <w:t>Use Cases on the Combat of Counterfeit ICT and Stolen Mobile Devices</w:t>
            </w:r>
            <w:r w:rsidRPr="00073574">
              <w:rPr>
                <w:rFonts w:asciiTheme="majorBidi" w:hAnsiTheme="majorBidi" w:cstheme="majorBidi"/>
                <w:szCs w:val="22"/>
              </w:rPr>
              <w:t>”</w:t>
            </w:r>
            <w:r w:rsidR="00467386" w:rsidRPr="00073574">
              <w:rPr>
                <w:rFonts w:asciiTheme="majorBidi" w:hAnsiTheme="majorBidi" w:cstheme="majorBidi"/>
                <w:szCs w:val="22"/>
              </w:rPr>
              <w:t>.</w:t>
            </w:r>
          </w:p>
          <w:p w14:paraId="1A1E8DFF" w14:textId="13263B21" w:rsidR="0024531A" w:rsidRPr="00073574" w:rsidRDefault="0024531A" w:rsidP="00973D16">
            <w:pPr>
              <w:pStyle w:val="ListParagraph"/>
              <w:ind w:left="363"/>
              <w:contextualSpacing w:val="0"/>
              <w:rPr>
                <w:rFonts w:asciiTheme="majorBidi" w:hAnsiTheme="majorBidi" w:cstheme="majorBidi"/>
                <w:szCs w:val="22"/>
              </w:rPr>
            </w:pPr>
            <w:r w:rsidRPr="00073574">
              <w:rPr>
                <w:rFonts w:asciiTheme="majorBidi" w:hAnsiTheme="majorBidi" w:cstheme="majorBidi"/>
                <w:szCs w:val="22"/>
              </w:rPr>
              <w:t>In March 2021, SG11 s</w:t>
            </w:r>
            <w:r w:rsidR="00B83209" w:rsidRPr="00073574">
              <w:rPr>
                <w:rFonts w:asciiTheme="majorBidi" w:hAnsiTheme="majorBidi" w:cstheme="majorBidi"/>
                <w:szCs w:val="22"/>
              </w:rPr>
              <w:t>et up a new Question 17/11 “</w:t>
            </w:r>
            <w:r w:rsidR="005F5458" w:rsidRPr="00073574">
              <w:rPr>
                <w:rFonts w:asciiTheme="majorBidi" w:hAnsiTheme="majorBidi" w:cstheme="majorBidi"/>
                <w:szCs w:val="22"/>
              </w:rPr>
              <w:t>Combating counterfeit or tampered telecommunication/ICT software</w:t>
            </w:r>
            <w:r w:rsidR="00B83209" w:rsidRPr="00073574">
              <w:rPr>
                <w:rFonts w:asciiTheme="majorBidi" w:hAnsiTheme="majorBidi" w:cstheme="majorBidi"/>
                <w:szCs w:val="22"/>
              </w:rPr>
              <w:t xml:space="preserve">” </w:t>
            </w:r>
            <w:r w:rsidR="003722C9" w:rsidRPr="00073574">
              <w:rPr>
                <w:rFonts w:asciiTheme="majorBidi" w:hAnsiTheme="majorBidi" w:cstheme="majorBidi"/>
                <w:szCs w:val="22"/>
              </w:rPr>
              <w:t xml:space="preserve">and </w:t>
            </w:r>
            <w:r w:rsidR="00B83209" w:rsidRPr="00073574">
              <w:rPr>
                <w:rFonts w:asciiTheme="majorBidi" w:hAnsiTheme="majorBidi" w:cstheme="majorBidi"/>
                <w:szCs w:val="22"/>
              </w:rPr>
              <w:t xml:space="preserve">started a new work item </w:t>
            </w:r>
            <w:r w:rsidR="005F5458" w:rsidRPr="00073574">
              <w:rPr>
                <w:rFonts w:asciiTheme="majorBidi" w:hAnsiTheme="majorBidi" w:cstheme="majorBidi"/>
                <w:szCs w:val="22"/>
              </w:rPr>
              <w:t>TR-MCM-Use-Cases “</w:t>
            </w:r>
            <w:r w:rsidR="00B83209" w:rsidRPr="00073574">
              <w:rPr>
                <w:rFonts w:asciiTheme="majorBidi" w:hAnsiTheme="majorBidi" w:cstheme="majorBidi"/>
                <w:szCs w:val="22"/>
              </w:rPr>
              <w:t>Use Cases on the combat of Multimedia Content Misappropriation</w:t>
            </w:r>
            <w:r w:rsidR="005F5458" w:rsidRPr="00073574">
              <w:rPr>
                <w:rFonts w:asciiTheme="majorBidi" w:hAnsiTheme="majorBidi" w:cstheme="majorBidi"/>
                <w:szCs w:val="22"/>
              </w:rPr>
              <w:t>”.</w:t>
            </w:r>
          </w:p>
          <w:p w14:paraId="09DF7906" w14:textId="529C8F6C" w:rsidR="001047F1" w:rsidRPr="00073574" w:rsidRDefault="00BA7E85" w:rsidP="00973D16">
            <w:pPr>
              <w:pStyle w:val="ListParagraph"/>
              <w:ind w:left="363"/>
              <w:contextualSpacing w:val="0"/>
              <w:rPr>
                <w:rFonts w:asciiTheme="majorBidi" w:hAnsiTheme="majorBidi" w:cstheme="majorBidi"/>
                <w:szCs w:val="22"/>
              </w:rPr>
            </w:pPr>
            <w:r w:rsidRPr="00073574">
              <w:rPr>
                <w:rFonts w:asciiTheme="majorBidi" w:hAnsiTheme="majorBidi" w:cstheme="majorBidi"/>
                <w:szCs w:val="22"/>
              </w:rPr>
              <w:t xml:space="preserve">SG11 </w:t>
            </w:r>
            <w:r w:rsidR="001B124A" w:rsidRPr="00073574">
              <w:rPr>
                <w:rFonts w:asciiTheme="majorBidi" w:hAnsiTheme="majorBidi" w:cstheme="majorBidi"/>
                <w:szCs w:val="22"/>
              </w:rPr>
              <w:t xml:space="preserve">is developing </w:t>
            </w:r>
            <w:r w:rsidR="00557C8A" w:rsidRPr="00073574">
              <w:rPr>
                <w:rFonts w:asciiTheme="majorBidi" w:hAnsiTheme="majorBidi" w:cstheme="majorBidi"/>
                <w:szCs w:val="22"/>
              </w:rPr>
              <w:t>several Recommendations/Technical Papers/Technical Reports/Supplements, as follows:</w:t>
            </w:r>
          </w:p>
          <w:p w14:paraId="4E7164E9" w14:textId="77777777" w:rsidR="009D7418" w:rsidRPr="00073574" w:rsidRDefault="009D7418" w:rsidP="009811DD">
            <w:pPr>
              <w:pStyle w:val="ListParagraph"/>
              <w:numPr>
                <w:ilvl w:val="0"/>
                <w:numId w:val="71"/>
              </w:numPr>
              <w:ind w:hanging="357"/>
              <w:contextualSpacing w:val="0"/>
              <w:rPr>
                <w:rFonts w:asciiTheme="majorBidi" w:hAnsiTheme="majorBidi" w:cstheme="majorBidi"/>
              </w:rPr>
            </w:pPr>
            <w:r w:rsidRPr="00073574">
              <w:rPr>
                <w:rFonts w:asciiTheme="majorBidi" w:hAnsiTheme="majorBidi" w:cstheme="majorBidi"/>
              </w:rPr>
              <w:t>Technical Report (TR-CF-QoS) "Impact of Counterfeit Mobile devices on Quality of Service”;</w:t>
            </w:r>
          </w:p>
          <w:p w14:paraId="5F75ADDB" w14:textId="6D1FE1FE" w:rsidR="00D34E11" w:rsidRPr="00073574" w:rsidRDefault="00E866C3" w:rsidP="009811DD">
            <w:pPr>
              <w:pStyle w:val="ListParagraph"/>
              <w:numPr>
                <w:ilvl w:val="0"/>
                <w:numId w:val="71"/>
              </w:numPr>
              <w:ind w:hanging="357"/>
              <w:contextualSpacing w:val="0"/>
              <w:rPr>
                <w:rFonts w:asciiTheme="majorBidi" w:hAnsiTheme="majorBidi" w:cstheme="majorBidi"/>
              </w:rPr>
            </w:pPr>
            <w:r w:rsidRPr="00073574">
              <w:rPr>
                <w:rFonts w:asciiTheme="majorBidi" w:hAnsiTheme="majorBidi" w:cstheme="majorBidi"/>
              </w:rPr>
              <w:t>Supplement Q.Sup.CEIR-EIR-int</w:t>
            </w:r>
            <w:r w:rsidR="00304C0C" w:rsidRPr="00073574">
              <w:rPr>
                <w:rFonts w:asciiTheme="majorBidi" w:hAnsiTheme="majorBidi" w:cstheme="majorBidi"/>
              </w:rPr>
              <w:t xml:space="preserve"> “</w:t>
            </w:r>
            <w:r w:rsidR="006234F3" w:rsidRPr="00073574">
              <w:rPr>
                <w:rFonts w:asciiTheme="majorBidi" w:hAnsiTheme="majorBidi" w:cstheme="majorBidi"/>
              </w:rPr>
              <w:t>Common approaches and interfaces for data exchange between CEIR and EIR</w:t>
            </w:r>
            <w:r w:rsidR="00304C0C" w:rsidRPr="00073574">
              <w:rPr>
                <w:rFonts w:asciiTheme="majorBidi" w:hAnsiTheme="majorBidi" w:cstheme="majorBidi"/>
              </w:rPr>
              <w:t>”;</w:t>
            </w:r>
          </w:p>
          <w:p w14:paraId="53FB5FAA" w14:textId="5731D24C" w:rsidR="001047F1" w:rsidRPr="00073574" w:rsidRDefault="009D7418" w:rsidP="009811DD">
            <w:pPr>
              <w:pStyle w:val="ListParagraph"/>
              <w:numPr>
                <w:ilvl w:val="0"/>
                <w:numId w:val="71"/>
              </w:numPr>
              <w:ind w:hanging="357"/>
              <w:contextualSpacing w:val="0"/>
              <w:rPr>
                <w:rFonts w:asciiTheme="majorBidi" w:hAnsiTheme="majorBidi" w:cstheme="majorBidi"/>
              </w:rPr>
            </w:pPr>
            <w:r w:rsidRPr="00073574">
              <w:rPr>
                <w:rFonts w:asciiTheme="majorBidi" w:hAnsiTheme="majorBidi" w:cstheme="majorBidi"/>
              </w:rPr>
              <w:t>Supplement (Q.Sup.CFS-AFR) "Guidelines on combating counterfeit and stolen mobile devices in African region".</w:t>
            </w:r>
          </w:p>
          <w:p w14:paraId="673EF9B7" w14:textId="233069D9" w:rsidR="00595505" w:rsidRPr="00073574" w:rsidRDefault="00595505" w:rsidP="002E241A">
            <w:pPr>
              <w:pStyle w:val="ListParagraph"/>
              <w:numPr>
                <w:ilvl w:val="0"/>
                <w:numId w:val="37"/>
              </w:numPr>
              <w:ind w:hanging="357"/>
              <w:contextualSpacing w:val="0"/>
            </w:pPr>
            <w:r w:rsidRPr="00073574">
              <w:t xml:space="preserve">SG12 </w:t>
            </w:r>
            <w:r w:rsidR="00E9453E" w:rsidRPr="00073574">
              <w:t xml:space="preserve">is </w:t>
            </w:r>
            <w:r w:rsidRPr="00073574">
              <w:t>discussi</w:t>
            </w:r>
            <w:r w:rsidR="00E9453E" w:rsidRPr="00073574">
              <w:t>ng the</w:t>
            </w:r>
            <w:r w:rsidRPr="00073574">
              <w:t xml:space="preserve"> impact of counterfeit devices on QoS and QoE</w:t>
            </w:r>
            <w:r w:rsidR="00E9453E" w:rsidRPr="00073574">
              <w:t>.</w:t>
            </w:r>
            <w:r w:rsidR="00AD10E4" w:rsidRPr="00073574">
              <w:t xml:space="preserve"> Contributions by members addressing the identification of counterfeit devices were forwarded to SG11.</w:t>
            </w:r>
          </w:p>
          <w:p w14:paraId="0A5A2485" w14:textId="6921F790" w:rsidR="00B6343E" w:rsidRPr="00073574" w:rsidRDefault="7E52CFB6" w:rsidP="002E241A">
            <w:pPr>
              <w:pStyle w:val="ListParagraph"/>
              <w:numPr>
                <w:ilvl w:val="0"/>
                <w:numId w:val="37"/>
              </w:numPr>
              <w:spacing w:after="40"/>
              <w:ind w:hanging="357"/>
              <w:contextualSpacing w:val="0"/>
            </w:pPr>
            <w:r w:rsidRPr="00073574">
              <w:rPr>
                <w:rFonts w:asciiTheme="majorBidi" w:hAnsiTheme="majorBidi" w:cstheme="majorBidi"/>
              </w:rPr>
              <w:t xml:space="preserve">SG20 </w:t>
            </w:r>
            <w:r w:rsidR="7E219A60" w:rsidRPr="00073574">
              <w:rPr>
                <w:rFonts w:asciiTheme="majorBidi" w:hAnsiTheme="majorBidi" w:cstheme="majorBidi"/>
              </w:rPr>
              <w:t>developed</w:t>
            </w:r>
            <w:r w:rsidR="37180D84" w:rsidRPr="00073574">
              <w:rPr>
                <w:rFonts w:asciiTheme="majorBidi" w:hAnsiTheme="majorBidi" w:cstheme="majorBidi"/>
              </w:rPr>
              <w:t xml:space="preserve"> Recommendation ITU</w:t>
            </w:r>
            <w:r w:rsidR="001E654F" w:rsidRPr="00073574">
              <w:rPr>
                <w:rFonts w:asciiTheme="majorBidi" w:hAnsiTheme="majorBidi" w:cstheme="majorBidi"/>
              </w:rPr>
              <w:t>-</w:t>
            </w:r>
            <w:r w:rsidR="37CB18D7" w:rsidRPr="00073574">
              <w:rPr>
                <w:rFonts w:asciiTheme="majorBidi" w:hAnsiTheme="majorBidi" w:cstheme="majorBidi"/>
              </w:rPr>
              <w:t xml:space="preserve">T </w:t>
            </w:r>
            <w:r w:rsidR="293D0685" w:rsidRPr="00073574">
              <w:rPr>
                <w:rFonts w:asciiTheme="majorBidi" w:hAnsiTheme="majorBidi" w:cstheme="majorBidi"/>
              </w:rPr>
              <w:t>Y.</w:t>
            </w:r>
            <w:r w:rsidR="37CB18D7" w:rsidRPr="00073574">
              <w:rPr>
                <w:rFonts w:asciiTheme="majorBidi" w:hAnsiTheme="majorBidi" w:cstheme="majorBidi"/>
              </w:rPr>
              <w:t xml:space="preserve">4808 </w:t>
            </w:r>
            <w:r w:rsidRPr="00073574">
              <w:rPr>
                <w:rFonts w:asciiTheme="majorBidi" w:hAnsiTheme="majorBidi" w:cstheme="majorBidi"/>
              </w:rPr>
              <w:t>"</w:t>
            </w:r>
            <w:r w:rsidR="001B7AD0" w:rsidRPr="00073574">
              <w:t xml:space="preserve"> </w:t>
            </w:r>
            <w:r w:rsidR="001B7AD0" w:rsidRPr="00073574">
              <w:rPr>
                <w:rFonts w:asciiTheme="majorBidi" w:hAnsiTheme="majorBidi" w:cstheme="majorBidi"/>
              </w:rPr>
              <w:t>Digital entity architecture framework to combat counterfeiting in IoT</w:t>
            </w:r>
            <w:r w:rsidR="001B7AD0" w:rsidRPr="00073574" w:rsidDel="001B7AD0">
              <w:rPr>
                <w:rFonts w:asciiTheme="majorBidi" w:hAnsiTheme="majorBidi" w:cstheme="majorBidi"/>
              </w:rPr>
              <w:t xml:space="preserve"> </w:t>
            </w:r>
            <w:r w:rsidRPr="00073574">
              <w:rPr>
                <w:rFonts w:asciiTheme="majorBidi" w:hAnsiTheme="majorBidi" w:cstheme="majorBidi"/>
              </w:rPr>
              <w:t>".</w:t>
            </w:r>
          </w:p>
        </w:tc>
      </w:tr>
      <w:tr w:rsidR="00070B6D" w:rsidRPr="00073574" w14:paraId="49C32B72" w14:textId="77777777" w:rsidTr="7277BFE4">
        <w:tc>
          <w:tcPr>
            <w:tcW w:w="1129" w:type="dxa"/>
            <w:vMerge w:val="restart"/>
            <w:tcBorders>
              <w:top w:val="single" w:sz="12" w:space="0" w:color="auto"/>
            </w:tcBorders>
            <w:shd w:val="clear" w:color="auto" w:fill="auto"/>
          </w:tcPr>
          <w:p w14:paraId="58AD4E40" w14:textId="7A4ED9A2" w:rsidR="00070B6D" w:rsidRPr="00073574" w:rsidRDefault="00070B6D" w:rsidP="00973D16">
            <w:pPr>
              <w:pStyle w:val="Tabletext"/>
              <w:rPr>
                <w:b/>
                <w:bCs/>
                <w:sz w:val="24"/>
                <w:szCs w:val="24"/>
              </w:rPr>
            </w:pPr>
            <w:r w:rsidRPr="00073574">
              <w:rPr>
                <w:b/>
                <w:bCs/>
                <w:sz w:val="24"/>
                <w:szCs w:val="24"/>
              </w:rPr>
              <w:lastRenderedPageBreak/>
              <w:t>96-02</w:t>
            </w:r>
          </w:p>
        </w:tc>
        <w:tc>
          <w:tcPr>
            <w:tcW w:w="4966" w:type="dxa"/>
            <w:tcBorders>
              <w:top w:val="single" w:sz="12" w:space="0" w:color="auto"/>
              <w:bottom w:val="single" w:sz="4" w:space="0" w:color="auto"/>
            </w:tcBorders>
            <w:shd w:val="clear" w:color="auto" w:fill="auto"/>
          </w:tcPr>
          <w:p w14:paraId="0EDE89EA" w14:textId="7172C900" w:rsidR="00070B6D" w:rsidRPr="00073574" w:rsidRDefault="00070B6D" w:rsidP="00486465">
            <w:pPr>
              <w:pStyle w:val="Tabletext"/>
              <w:keepNext/>
              <w:keepLines/>
              <w:rPr>
                <w:b/>
                <w:bCs/>
                <w:sz w:val="24"/>
                <w:szCs w:val="24"/>
              </w:rPr>
            </w:pPr>
            <w:r w:rsidRPr="00073574">
              <w:rPr>
                <w:b/>
                <w:bCs/>
                <w:sz w:val="24"/>
                <w:szCs w:val="24"/>
              </w:rPr>
              <w:t>SG11 is the lead study group in the area of combating counterfeit and tampered telecommunication/ICT devices (resolves 2)</w:t>
            </w:r>
          </w:p>
        </w:tc>
        <w:tc>
          <w:tcPr>
            <w:tcW w:w="1336" w:type="dxa"/>
            <w:tcBorders>
              <w:top w:val="single" w:sz="12" w:space="0" w:color="auto"/>
              <w:bottom w:val="single" w:sz="4" w:space="0" w:color="auto"/>
            </w:tcBorders>
            <w:shd w:val="clear" w:color="auto" w:fill="auto"/>
            <w:vAlign w:val="center"/>
          </w:tcPr>
          <w:p w14:paraId="0A5D8F8E" w14:textId="5B9602A7" w:rsidR="00070B6D" w:rsidRPr="00073574" w:rsidRDefault="00070B6D" w:rsidP="00486465">
            <w:pPr>
              <w:pStyle w:val="Tabletext"/>
              <w:keepNext/>
              <w:keepLines/>
              <w:jc w:val="center"/>
              <w:rPr>
                <w:b/>
                <w:bCs/>
                <w:sz w:val="24"/>
                <w:szCs w:val="24"/>
              </w:rPr>
            </w:pPr>
            <w:r w:rsidRPr="00073574">
              <w:rPr>
                <w:b/>
                <w:bCs/>
                <w:sz w:val="24"/>
                <w:szCs w:val="24"/>
              </w:rPr>
              <w:t>Ongoing</w:t>
            </w:r>
          </w:p>
        </w:tc>
        <w:tc>
          <w:tcPr>
            <w:tcW w:w="1143" w:type="dxa"/>
            <w:tcBorders>
              <w:top w:val="single" w:sz="12" w:space="0" w:color="auto"/>
              <w:bottom w:val="single" w:sz="4" w:space="0" w:color="auto"/>
            </w:tcBorders>
            <w:shd w:val="clear" w:color="auto" w:fill="auto"/>
            <w:vAlign w:val="center"/>
          </w:tcPr>
          <w:p w14:paraId="4259013E" w14:textId="24F0B209" w:rsidR="00070B6D" w:rsidRPr="00073574" w:rsidRDefault="00070B6D" w:rsidP="00486465">
            <w:pPr>
              <w:pStyle w:val="Tabletext"/>
              <w:keepNext/>
              <w:keepLines/>
              <w:jc w:val="center"/>
              <w:rPr>
                <w:b/>
                <w:bCs/>
                <w:sz w:val="24"/>
                <w:szCs w:val="24"/>
              </w:rPr>
            </w:pPr>
            <w:r w:rsidRPr="00073574">
              <w:rPr>
                <w:b/>
                <w:bCs/>
                <w:sz w:val="24"/>
                <w:szCs w:val="24"/>
              </w:rPr>
              <w:t>√</w:t>
            </w:r>
          </w:p>
        </w:tc>
        <w:tc>
          <w:tcPr>
            <w:tcW w:w="1358" w:type="dxa"/>
            <w:tcBorders>
              <w:top w:val="single" w:sz="12" w:space="0" w:color="auto"/>
              <w:bottom w:val="single" w:sz="4" w:space="0" w:color="auto"/>
            </w:tcBorders>
            <w:shd w:val="clear" w:color="auto" w:fill="auto"/>
            <w:vAlign w:val="center"/>
          </w:tcPr>
          <w:p w14:paraId="6B918C60" w14:textId="77777777" w:rsidR="00070B6D" w:rsidRPr="00073574" w:rsidRDefault="00070B6D" w:rsidP="00486465">
            <w:pPr>
              <w:pStyle w:val="Tabletext"/>
              <w:keepNext/>
              <w:keepLines/>
              <w:jc w:val="center"/>
              <w:rPr>
                <w:b/>
                <w:bCs/>
                <w:sz w:val="24"/>
                <w:szCs w:val="24"/>
              </w:rPr>
            </w:pPr>
          </w:p>
        </w:tc>
      </w:tr>
      <w:tr w:rsidR="00B6343E" w:rsidRPr="00073574" w14:paraId="4BED6BC2" w14:textId="77777777" w:rsidTr="7277BFE4">
        <w:tc>
          <w:tcPr>
            <w:tcW w:w="1129" w:type="dxa"/>
            <w:vMerge/>
          </w:tcPr>
          <w:p w14:paraId="5F6695E5" w14:textId="77777777" w:rsidR="00B6343E" w:rsidRPr="00073574" w:rsidRDefault="00B6343E" w:rsidP="00486465">
            <w:pPr>
              <w:pStyle w:val="Tabletext"/>
              <w:keepNext/>
              <w:keepLines/>
              <w:rPr>
                <w:sz w:val="24"/>
                <w:szCs w:val="24"/>
              </w:rPr>
            </w:pPr>
          </w:p>
        </w:tc>
        <w:tc>
          <w:tcPr>
            <w:tcW w:w="8803" w:type="dxa"/>
            <w:gridSpan w:val="4"/>
            <w:tcBorders>
              <w:top w:val="single" w:sz="4" w:space="0" w:color="auto"/>
              <w:bottom w:val="single" w:sz="12" w:space="0" w:color="auto"/>
            </w:tcBorders>
            <w:shd w:val="clear" w:color="auto" w:fill="auto"/>
          </w:tcPr>
          <w:p w14:paraId="7D915817" w14:textId="37396094" w:rsidR="00B6343E" w:rsidRPr="00073574" w:rsidRDefault="00173515" w:rsidP="00486465">
            <w:pPr>
              <w:pStyle w:val="normalWSIS"/>
              <w:keepNext/>
              <w:keepLines/>
              <w:numPr>
                <w:ilvl w:val="0"/>
                <w:numId w:val="0"/>
              </w:numPr>
              <w:spacing w:before="40" w:after="0"/>
              <w:jc w:val="left"/>
              <w:rPr>
                <w:rFonts w:asciiTheme="majorBidi" w:hAnsiTheme="majorBidi" w:cstheme="majorBidi"/>
              </w:rPr>
            </w:pPr>
            <w:r w:rsidRPr="00073574">
              <w:rPr>
                <w:rFonts w:asciiTheme="majorBidi" w:hAnsiTheme="majorBidi" w:cstheme="majorBidi"/>
              </w:rPr>
              <w:t>See 96-01</w:t>
            </w:r>
          </w:p>
        </w:tc>
      </w:tr>
      <w:tr w:rsidR="00567973" w:rsidRPr="00073574" w14:paraId="3B75CFC1" w14:textId="77777777" w:rsidTr="7277BFE4">
        <w:tc>
          <w:tcPr>
            <w:tcW w:w="1129" w:type="dxa"/>
            <w:vMerge w:val="restart"/>
            <w:tcBorders>
              <w:top w:val="single" w:sz="12" w:space="0" w:color="auto"/>
            </w:tcBorders>
            <w:shd w:val="clear" w:color="auto" w:fill="auto"/>
          </w:tcPr>
          <w:p w14:paraId="6E4BBFA0" w14:textId="00B15B2B" w:rsidR="00567973" w:rsidRPr="00073574" w:rsidRDefault="00567973" w:rsidP="00486465">
            <w:pPr>
              <w:pStyle w:val="Tabletext"/>
              <w:rPr>
                <w:b/>
                <w:bCs/>
                <w:sz w:val="24"/>
                <w:szCs w:val="24"/>
              </w:rPr>
            </w:pPr>
            <w:r w:rsidRPr="00073574">
              <w:rPr>
                <w:b/>
                <w:bCs/>
                <w:sz w:val="24"/>
                <w:szCs w:val="24"/>
              </w:rPr>
              <w:t>96-03</w:t>
            </w:r>
          </w:p>
        </w:tc>
        <w:tc>
          <w:tcPr>
            <w:tcW w:w="4966" w:type="dxa"/>
            <w:tcBorders>
              <w:top w:val="single" w:sz="12" w:space="0" w:color="auto"/>
              <w:bottom w:val="single" w:sz="4" w:space="0" w:color="auto"/>
            </w:tcBorders>
            <w:shd w:val="clear" w:color="auto" w:fill="auto"/>
          </w:tcPr>
          <w:p w14:paraId="6B034845" w14:textId="2F032D81" w:rsidR="00567973" w:rsidRPr="00073574" w:rsidRDefault="00567973" w:rsidP="00567973">
            <w:pPr>
              <w:pStyle w:val="Tabletext"/>
              <w:rPr>
                <w:b/>
                <w:bCs/>
                <w:sz w:val="24"/>
                <w:szCs w:val="24"/>
              </w:rPr>
            </w:pPr>
            <w:r w:rsidRPr="00073574">
              <w:rPr>
                <w:b/>
                <w:bCs/>
                <w:sz w:val="24"/>
                <w:szCs w:val="24"/>
              </w:rPr>
              <w:t>TSB Director to organize workshops and events across the ITU regions to promote the work in this field, involving all stakeholders and raising awareness of the impact of counterfeit and tampered telecommunication/ICT devices (i. TSBDir 1)</w:t>
            </w:r>
          </w:p>
        </w:tc>
        <w:tc>
          <w:tcPr>
            <w:tcW w:w="1336" w:type="dxa"/>
            <w:tcBorders>
              <w:top w:val="single" w:sz="12" w:space="0" w:color="auto"/>
              <w:bottom w:val="single" w:sz="4" w:space="0" w:color="auto"/>
            </w:tcBorders>
            <w:shd w:val="clear" w:color="auto" w:fill="auto"/>
            <w:vAlign w:val="center"/>
          </w:tcPr>
          <w:p w14:paraId="77F875AD" w14:textId="27F58023" w:rsidR="00567973" w:rsidRPr="00073574" w:rsidRDefault="00567973" w:rsidP="00567973">
            <w:pPr>
              <w:pStyle w:val="Tabletext"/>
              <w:jc w:val="center"/>
              <w:rPr>
                <w:b/>
                <w:bCs/>
                <w:sz w:val="24"/>
                <w:szCs w:val="24"/>
              </w:rPr>
            </w:pPr>
            <w:r w:rsidRPr="00073574">
              <w:rPr>
                <w:b/>
                <w:bCs/>
                <w:sz w:val="24"/>
                <w:szCs w:val="24"/>
              </w:rPr>
              <w:t>Ongoing</w:t>
            </w:r>
          </w:p>
        </w:tc>
        <w:tc>
          <w:tcPr>
            <w:tcW w:w="1143" w:type="dxa"/>
            <w:tcBorders>
              <w:top w:val="single" w:sz="12" w:space="0" w:color="auto"/>
              <w:bottom w:val="single" w:sz="4" w:space="0" w:color="auto"/>
            </w:tcBorders>
            <w:shd w:val="clear" w:color="auto" w:fill="auto"/>
            <w:vAlign w:val="center"/>
          </w:tcPr>
          <w:p w14:paraId="11C75C5F" w14:textId="10418EA1" w:rsidR="00567973" w:rsidRPr="00073574" w:rsidRDefault="00567973" w:rsidP="00567973">
            <w:pPr>
              <w:pStyle w:val="Tabletext"/>
              <w:jc w:val="center"/>
              <w:rPr>
                <w:b/>
                <w:bCs/>
                <w:sz w:val="24"/>
                <w:szCs w:val="24"/>
              </w:rPr>
            </w:pPr>
            <w:r w:rsidRPr="00073574">
              <w:rPr>
                <w:b/>
                <w:bCs/>
                <w:sz w:val="24"/>
                <w:szCs w:val="24"/>
              </w:rPr>
              <w:t>√</w:t>
            </w:r>
          </w:p>
        </w:tc>
        <w:tc>
          <w:tcPr>
            <w:tcW w:w="1358" w:type="dxa"/>
            <w:tcBorders>
              <w:top w:val="single" w:sz="12" w:space="0" w:color="auto"/>
              <w:bottom w:val="single" w:sz="4" w:space="0" w:color="auto"/>
            </w:tcBorders>
            <w:shd w:val="clear" w:color="auto" w:fill="auto"/>
            <w:vAlign w:val="center"/>
          </w:tcPr>
          <w:p w14:paraId="282F58FE" w14:textId="77777777" w:rsidR="00567973" w:rsidRPr="00073574" w:rsidRDefault="00567973" w:rsidP="00567973">
            <w:pPr>
              <w:pStyle w:val="Tabletext"/>
              <w:jc w:val="center"/>
              <w:rPr>
                <w:b/>
                <w:bCs/>
                <w:sz w:val="24"/>
                <w:szCs w:val="24"/>
              </w:rPr>
            </w:pPr>
          </w:p>
        </w:tc>
      </w:tr>
      <w:tr w:rsidR="00567973" w:rsidRPr="00073574" w14:paraId="29FF8C7E" w14:textId="77777777" w:rsidTr="7277BFE4">
        <w:tc>
          <w:tcPr>
            <w:tcW w:w="1129" w:type="dxa"/>
            <w:vMerge/>
          </w:tcPr>
          <w:p w14:paraId="31B003E5" w14:textId="77777777" w:rsidR="00567973" w:rsidRPr="00073574" w:rsidRDefault="00567973" w:rsidP="00567973">
            <w:pPr>
              <w:pStyle w:val="Tabletext"/>
              <w:rPr>
                <w:sz w:val="24"/>
                <w:szCs w:val="24"/>
              </w:rPr>
            </w:pPr>
          </w:p>
        </w:tc>
        <w:tc>
          <w:tcPr>
            <w:tcW w:w="8803" w:type="dxa"/>
            <w:gridSpan w:val="4"/>
            <w:tcBorders>
              <w:top w:val="single" w:sz="4" w:space="0" w:color="auto"/>
              <w:bottom w:val="single" w:sz="12" w:space="0" w:color="auto"/>
            </w:tcBorders>
            <w:shd w:val="clear" w:color="auto" w:fill="auto"/>
          </w:tcPr>
          <w:p w14:paraId="019ED989" w14:textId="77777777" w:rsidR="00F4175F" w:rsidRPr="00073574" w:rsidRDefault="00F4175F" w:rsidP="00486465">
            <w:pPr>
              <w:spacing w:before="40"/>
              <w:rPr>
                <w:szCs w:val="22"/>
              </w:rPr>
            </w:pPr>
            <w:r w:rsidRPr="00073574">
              <w:rPr>
                <w:szCs w:val="22"/>
              </w:rPr>
              <w:t>SG11 conducted its Regional workshop for Africa on "</w:t>
            </w:r>
            <w:hyperlink r:id="rId850" w:history="1">
              <w:r w:rsidRPr="00073574">
                <w:rPr>
                  <w:rStyle w:val="Hyperlink"/>
                  <w:szCs w:val="22"/>
                </w:rPr>
                <w:t>Counterfeit ICT Devices, Conformance and Interoperability Testing Challenges in Africa</w:t>
              </w:r>
            </w:hyperlink>
            <w:r w:rsidRPr="00073574">
              <w:rPr>
                <w:szCs w:val="22"/>
              </w:rPr>
              <w:t xml:space="preserve">" (5 April 2017, Cairo, Egypt). </w:t>
            </w:r>
            <w:r w:rsidRPr="00073574">
              <w:rPr>
                <w:rFonts w:asciiTheme="majorBidi" w:hAnsiTheme="majorBidi" w:cstheme="majorBidi"/>
              </w:rPr>
              <w:t xml:space="preserve">The event gave an overview of the current situation on combating counterfeiting, new trends and mechanisms in ICT counterfeiting, tampering and/or duplication of unique device identifiers and the </w:t>
            </w:r>
            <w:r w:rsidRPr="00073574">
              <w:rPr>
                <w:rFonts w:asciiTheme="majorBidi" w:hAnsiTheme="majorBidi" w:cstheme="majorBidi"/>
              </w:rPr>
              <w:lastRenderedPageBreak/>
              <w:t>implementation of C&amp;I regimes in the region. The outcomes of the workshop identifies the key priorities for African countries in standardization of issues highlighted during the event.</w:t>
            </w:r>
          </w:p>
          <w:p w14:paraId="460C175D" w14:textId="77777777" w:rsidR="00F4175F" w:rsidRPr="00073574" w:rsidRDefault="00F4175F" w:rsidP="00F4175F">
            <w:pPr>
              <w:rPr>
                <w:rFonts w:asciiTheme="majorBidi" w:hAnsiTheme="majorBidi" w:cstheme="majorBidi"/>
              </w:rPr>
            </w:pPr>
            <w:r w:rsidRPr="00073574">
              <w:rPr>
                <w:rFonts w:asciiTheme="majorBidi" w:hAnsiTheme="majorBidi" w:cstheme="majorBidi"/>
              </w:rPr>
              <w:t xml:space="preserve">The second ITU-T Study Group 11 regional </w:t>
            </w:r>
            <w:hyperlink r:id="rId851" w:history="1">
              <w:r w:rsidRPr="00073574">
                <w:rPr>
                  <w:rStyle w:val="Hyperlink"/>
                  <w:rFonts w:asciiTheme="majorBidi" w:hAnsiTheme="majorBidi"/>
                </w:rPr>
                <w:t>workshop for Africa</w:t>
              </w:r>
            </w:hyperlink>
            <w:r w:rsidRPr="00073574">
              <w:rPr>
                <w:rFonts w:asciiTheme="majorBidi" w:hAnsiTheme="majorBidi" w:cstheme="majorBidi"/>
              </w:rPr>
              <w:t xml:space="preserve"> on "Counterfeit ICT Devices, Conformance and Interoperability Testing Challenges in Africa" took place in Tunis, Tunisia on 23 April 2018, followed by the second ITU-T SG11 Regional Group meeting for Africa (SG11RG-AFR) (23-25 April 2018). During SG11RG-AFR meeting, it was noted that duplication/cloning and tampering of unique identifiers of ICT devices, such as IMEI, are still a huge problem in the African Region. Also, it was stated that ITU should address this problem by proposing secure mechanisms to be used for identification of ICT devices, not limited to mobile phones (see </w:t>
            </w:r>
            <w:hyperlink r:id="rId852" w:history="1">
              <w:r w:rsidRPr="00073574">
                <w:rPr>
                  <w:rStyle w:val="Hyperlink"/>
                  <w:rFonts w:asciiTheme="majorBidi" w:hAnsiTheme="majorBidi"/>
                </w:rPr>
                <w:t>R2</w:t>
              </w:r>
            </w:hyperlink>
            <w:r w:rsidRPr="00073574">
              <w:rPr>
                <w:rFonts w:asciiTheme="majorBidi" w:hAnsiTheme="majorBidi" w:cstheme="majorBidi"/>
              </w:rPr>
              <w:t>).</w:t>
            </w:r>
          </w:p>
          <w:p w14:paraId="42D8DA4C" w14:textId="77777777" w:rsidR="00567973" w:rsidRPr="00073574" w:rsidRDefault="00F4175F" w:rsidP="00F4175F">
            <w:pPr>
              <w:pStyle w:val="Tabletext"/>
              <w:rPr>
                <w:rFonts w:asciiTheme="majorBidi" w:hAnsiTheme="majorBidi" w:cstheme="majorBidi"/>
                <w:i/>
                <w:iCs/>
              </w:rPr>
            </w:pPr>
            <w:r w:rsidRPr="00073574">
              <w:rPr>
                <w:rFonts w:asciiTheme="majorBidi" w:hAnsiTheme="majorBidi" w:cstheme="majorBidi"/>
              </w:rPr>
              <w:t xml:space="preserve">In July 2018, ITU-T SG11 organized a </w:t>
            </w:r>
            <w:hyperlink r:id="rId853" w:history="1">
              <w:r w:rsidRPr="00073574">
                <w:rPr>
                  <w:rStyle w:val="Hyperlink"/>
                  <w:rFonts w:asciiTheme="majorBidi" w:hAnsiTheme="majorBidi"/>
                </w:rPr>
                <w:t>Workshop on "Global approaches on combating counterfeiting and stolen ICT devices"</w:t>
              </w:r>
            </w:hyperlink>
            <w:r w:rsidRPr="00073574">
              <w:rPr>
                <w:rFonts w:asciiTheme="majorBidi" w:hAnsiTheme="majorBidi" w:cstheme="majorBidi"/>
              </w:rPr>
              <w:t>. One of the aims of the Workshop was to focus on concerns raised by ITU Member States during Council-18 on tampering with unique telecommunication device identifiers used in ICT devices such as IMEI. During Workshop, it was noted that the reliability of ICT identifiers are still a key important issue for most of countries. Following the outcomes of the Workshop, ITU-T SG11 was encouraged to take some actions, which aim to increase reliability of existing ICT identifiers. The details are available in the SG11 Report (</w:t>
            </w:r>
            <w:hyperlink r:id="rId854" w:history="1">
              <w:r w:rsidRPr="00073574">
                <w:rPr>
                  <w:rStyle w:val="Hyperlink"/>
                  <w:rFonts w:asciiTheme="majorBidi" w:hAnsiTheme="majorBidi"/>
                </w:rPr>
                <w:t>R11</w:t>
              </w:r>
            </w:hyperlink>
            <w:r w:rsidRPr="00073574">
              <w:rPr>
                <w:rFonts w:asciiTheme="majorBidi" w:hAnsiTheme="majorBidi" w:cstheme="majorBidi"/>
              </w:rPr>
              <w:t>)</w:t>
            </w:r>
            <w:r w:rsidRPr="00073574">
              <w:rPr>
                <w:rFonts w:asciiTheme="majorBidi" w:hAnsiTheme="majorBidi" w:cstheme="majorBidi"/>
                <w:i/>
                <w:iCs/>
              </w:rPr>
              <w:t>.</w:t>
            </w:r>
          </w:p>
          <w:p w14:paraId="0909EC7D" w14:textId="77777777" w:rsidR="008C2458" w:rsidRPr="00073574" w:rsidRDefault="008C2458" w:rsidP="00F4175F">
            <w:pPr>
              <w:pStyle w:val="Tabletext"/>
              <w:rPr>
                <w:szCs w:val="22"/>
              </w:rPr>
            </w:pPr>
            <w:r w:rsidRPr="00073574">
              <w:rPr>
                <w:szCs w:val="22"/>
              </w:rPr>
              <w:t xml:space="preserve">The third ITU-T Study Group 11 Regional Workshop for Africa on “Counterfeit ICT Devices, Conformance and Interoperability Testing Challenges in Africa” took place in Tunis, Tunisia on 30 September 2019 followed by the third </w:t>
            </w:r>
            <w:r w:rsidRPr="00073574">
              <w:rPr>
                <w:rFonts w:asciiTheme="majorBidi" w:hAnsiTheme="majorBidi" w:cstheme="majorBidi"/>
              </w:rPr>
              <w:t>ITU-T SG11 Regional Group meeting for Africa (SG11RG-AFR) (30 September – 2 October 2019)</w:t>
            </w:r>
            <w:r w:rsidRPr="00073574">
              <w:rPr>
                <w:szCs w:val="22"/>
              </w:rPr>
              <w:t>. It was noted that that counterfeit devices particularly mobile phones in the region is a major concern. There is the need to find mechanisms to secure supply chain and so it was commended to establish of regional or sub-regional CEIR to combat counterfeit and stolen ICT devices.</w:t>
            </w:r>
          </w:p>
          <w:p w14:paraId="4892276E" w14:textId="1BC6104E" w:rsidR="008C2458" w:rsidRPr="00073574" w:rsidRDefault="00DA0098" w:rsidP="00F4175F">
            <w:pPr>
              <w:pStyle w:val="Tabletext"/>
              <w:rPr>
                <w:szCs w:val="22"/>
              </w:rPr>
            </w:pPr>
            <w:r w:rsidRPr="00073574">
              <w:rPr>
                <w:szCs w:val="22"/>
              </w:rPr>
              <w:t>ITU organized a Workshop on “</w:t>
            </w:r>
            <w:r w:rsidR="004649B6" w:rsidRPr="00073574">
              <w:rPr>
                <w:szCs w:val="22"/>
              </w:rPr>
              <w:t>Combating counterfeit telecommunication/ICT devices and software</w:t>
            </w:r>
            <w:r w:rsidRPr="00073574">
              <w:rPr>
                <w:szCs w:val="22"/>
              </w:rPr>
              <w:t>” during WSIS Forum 2021. In May 2021, ITU organized a joint ITU/MWF webinar on “</w:t>
            </w:r>
            <w:r w:rsidR="004649B6" w:rsidRPr="00073574">
              <w:rPr>
                <w:szCs w:val="22"/>
              </w:rPr>
              <w:t>Combating Counterfeit and Irregular Mobile Devices: How to address the Problem</w:t>
            </w:r>
            <w:r w:rsidRPr="00073574">
              <w:rPr>
                <w:szCs w:val="22"/>
              </w:rPr>
              <w:t>”.</w:t>
            </w:r>
          </w:p>
        </w:tc>
      </w:tr>
      <w:tr w:rsidR="00567973" w:rsidRPr="00073574" w14:paraId="25934483" w14:textId="77777777" w:rsidTr="7277BFE4">
        <w:tc>
          <w:tcPr>
            <w:tcW w:w="1129" w:type="dxa"/>
            <w:vMerge w:val="restart"/>
            <w:tcBorders>
              <w:top w:val="single" w:sz="12" w:space="0" w:color="auto"/>
            </w:tcBorders>
            <w:shd w:val="clear" w:color="auto" w:fill="auto"/>
          </w:tcPr>
          <w:p w14:paraId="4BBD75F8" w14:textId="1406A00B" w:rsidR="00567973" w:rsidRPr="00073574" w:rsidRDefault="00567973" w:rsidP="00F23581">
            <w:pPr>
              <w:pStyle w:val="Tabletext"/>
              <w:keepNext/>
              <w:keepLines/>
              <w:rPr>
                <w:b/>
                <w:bCs/>
                <w:sz w:val="24"/>
                <w:szCs w:val="24"/>
              </w:rPr>
            </w:pPr>
            <w:r w:rsidRPr="00073574">
              <w:rPr>
                <w:b/>
                <w:bCs/>
                <w:sz w:val="24"/>
                <w:szCs w:val="24"/>
              </w:rPr>
              <w:lastRenderedPageBreak/>
              <w:t>96-04</w:t>
            </w:r>
          </w:p>
        </w:tc>
        <w:tc>
          <w:tcPr>
            <w:tcW w:w="4966" w:type="dxa"/>
            <w:tcBorders>
              <w:top w:val="single" w:sz="12" w:space="0" w:color="auto"/>
              <w:bottom w:val="single" w:sz="4" w:space="0" w:color="auto"/>
            </w:tcBorders>
            <w:shd w:val="clear" w:color="auto" w:fill="auto"/>
            <w:vAlign w:val="center"/>
          </w:tcPr>
          <w:p w14:paraId="3E638DC6" w14:textId="5D3686CF" w:rsidR="00567973" w:rsidRPr="00073574" w:rsidRDefault="00567973" w:rsidP="00567973">
            <w:pPr>
              <w:pStyle w:val="Tabletext"/>
              <w:rPr>
                <w:b/>
                <w:bCs/>
                <w:sz w:val="24"/>
                <w:szCs w:val="24"/>
              </w:rPr>
            </w:pPr>
            <w:r w:rsidRPr="00073574">
              <w:rPr>
                <w:b/>
                <w:bCs/>
                <w:sz w:val="24"/>
                <w:szCs w:val="24"/>
              </w:rPr>
              <w:t>TSB Director to assist developing countries in preparing human resources to combat the spread of counterfeit and tampered telecommunication/ICT devices, by providing capacity-building and training opportunities (i. TSBDir 2)</w:t>
            </w:r>
          </w:p>
        </w:tc>
        <w:tc>
          <w:tcPr>
            <w:tcW w:w="1336" w:type="dxa"/>
            <w:tcBorders>
              <w:top w:val="single" w:sz="12" w:space="0" w:color="auto"/>
              <w:bottom w:val="single" w:sz="4" w:space="0" w:color="auto"/>
            </w:tcBorders>
            <w:shd w:val="clear" w:color="auto" w:fill="auto"/>
            <w:vAlign w:val="center"/>
          </w:tcPr>
          <w:p w14:paraId="0C42C73D" w14:textId="0FDE919D" w:rsidR="00567973" w:rsidRPr="00073574" w:rsidRDefault="00567973" w:rsidP="00567973">
            <w:pPr>
              <w:pStyle w:val="Tabletext"/>
              <w:jc w:val="center"/>
              <w:rPr>
                <w:b/>
                <w:bCs/>
                <w:sz w:val="24"/>
                <w:szCs w:val="24"/>
              </w:rPr>
            </w:pPr>
            <w:r w:rsidRPr="00073574">
              <w:rPr>
                <w:b/>
                <w:bCs/>
                <w:sz w:val="24"/>
                <w:szCs w:val="24"/>
              </w:rPr>
              <w:t>Ongoing</w:t>
            </w:r>
          </w:p>
        </w:tc>
        <w:tc>
          <w:tcPr>
            <w:tcW w:w="1143" w:type="dxa"/>
            <w:tcBorders>
              <w:top w:val="single" w:sz="12" w:space="0" w:color="auto"/>
              <w:bottom w:val="single" w:sz="4" w:space="0" w:color="auto"/>
            </w:tcBorders>
            <w:shd w:val="clear" w:color="auto" w:fill="auto"/>
            <w:vAlign w:val="center"/>
          </w:tcPr>
          <w:p w14:paraId="78E22E9F" w14:textId="6884E26A" w:rsidR="00567973" w:rsidRPr="00073574" w:rsidRDefault="00567973" w:rsidP="00567973">
            <w:pPr>
              <w:pStyle w:val="Tabletext"/>
              <w:jc w:val="center"/>
              <w:rPr>
                <w:b/>
                <w:bCs/>
                <w:sz w:val="24"/>
                <w:szCs w:val="24"/>
              </w:rPr>
            </w:pPr>
            <w:r w:rsidRPr="00073574">
              <w:rPr>
                <w:b/>
                <w:bCs/>
                <w:sz w:val="24"/>
                <w:szCs w:val="24"/>
              </w:rPr>
              <w:t>√</w:t>
            </w:r>
          </w:p>
        </w:tc>
        <w:tc>
          <w:tcPr>
            <w:tcW w:w="1358" w:type="dxa"/>
            <w:tcBorders>
              <w:top w:val="single" w:sz="12" w:space="0" w:color="auto"/>
              <w:bottom w:val="single" w:sz="4" w:space="0" w:color="auto"/>
            </w:tcBorders>
            <w:shd w:val="clear" w:color="auto" w:fill="auto"/>
            <w:vAlign w:val="center"/>
          </w:tcPr>
          <w:p w14:paraId="18238433" w14:textId="77777777" w:rsidR="00567973" w:rsidRPr="00073574" w:rsidRDefault="00567973" w:rsidP="00567973">
            <w:pPr>
              <w:pStyle w:val="Tabletext"/>
              <w:jc w:val="center"/>
              <w:rPr>
                <w:b/>
                <w:bCs/>
                <w:sz w:val="24"/>
                <w:szCs w:val="24"/>
              </w:rPr>
            </w:pPr>
          </w:p>
        </w:tc>
      </w:tr>
      <w:tr w:rsidR="00567973" w:rsidRPr="00073574" w14:paraId="0C722B59" w14:textId="77777777" w:rsidTr="7277BFE4">
        <w:tc>
          <w:tcPr>
            <w:tcW w:w="1129" w:type="dxa"/>
            <w:vMerge/>
          </w:tcPr>
          <w:p w14:paraId="1DB820F8" w14:textId="77777777" w:rsidR="00567973" w:rsidRPr="00073574" w:rsidRDefault="00567973" w:rsidP="00567973">
            <w:pPr>
              <w:pStyle w:val="Tabletext"/>
              <w:rPr>
                <w:sz w:val="24"/>
                <w:szCs w:val="24"/>
              </w:rPr>
            </w:pPr>
          </w:p>
        </w:tc>
        <w:tc>
          <w:tcPr>
            <w:tcW w:w="8803" w:type="dxa"/>
            <w:gridSpan w:val="4"/>
            <w:tcBorders>
              <w:top w:val="single" w:sz="4" w:space="0" w:color="auto"/>
              <w:bottom w:val="single" w:sz="12" w:space="0" w:color="auto"/>
            </w:tcBorders>
            <w:shd w:val="clear" w:color="auto" w:fill="auto"/>
          </w:tcPr>
          <w:p w14:paraId="3BD59998" w14:textId="4CEEE70E" w:rsidR="00567973" w:rsidRPr="00073574" w:rsidRDefault="00567973" w:rsidP="00567973">
            <w:pPr>
              <w:pStyle w:val="Tabletext"/>
              <w:rPr>
                <w:szCs w:val="22"/>
              </w:rPr>
            </w:pPr>
            <w:r w:rsidRPr="00073574">
              <w:rPr>
                <w:szCs w:val="22"/>
              </w:rPr>
              <w:t>TSB in collaboration with BDT conducted a study in Africa in accordance with the outcome of the results of the ITU-T SG11 meeting (22-29 April 2015) where it was recognized that counterfeit and substandard ICT devices pose a lot of challenges in developing countries, particularly the Africa region. The Survey report on counterfeit ICT devices in Africa region was approved by ITU-T SG11 in February 2017. The survey identified strong demand for an African Regional Group within Study Group 11.</w:t>
            </w:r>
          </w:p>
        </w:tc>
      </w:tr>
      <w:tr w:rsidR="00211D4A" w:rsidRPr="00073574" w14:paraId="66609383" w14:textId="77777777" w:rsidTr="7277BFE4">
        <w:tc>
          <w:tcPr>
            <w:tcW w:w="1129" w:type="dxa"/>
            <w:vMerge w:val="restart"/>
            <w:tcBorders>
              <w:top w:val="single" w:sz="12" w:space="0" w:color="auto"/>
            </w:tcBorders>
            <w:shd w:val="clear" w:color="auto" w:fill="auto"/>
          </w:tcPr>
          <w:p w14:paraId="12F5A19E" w14:textId="31B3491D" w:rsidR="00211D4A" w:rsidRPr="00073574" w:rsidRDefault="00211D4A" w:rsidP="00D80296">
            <w:pPr>
              <w:pStyle w:val="Tabletext"/>
              <w:keepNext/>
              <w:keepLines/>
              <w:rPr>
                <w:b/>
                <w:bCs/>
                <w:sz w:val="24"/>
                <w:szCs w:val="24"/>
              </w:rPr>
            </w:pPr>
            <w:r w:rsidRPr="00073574">
              <w:rPr>
                <w:b/>
                <w:bCs/>
                <w:sz w:val="24"/>
                <w:szCs w:val="24"/>
              </w:rPr>
              <w:lastRenderedPageBreak/>
              <w:t>96-05</w:t>
            </w:r>
          </w:p>
        </w:tc>
        <w:tc>
          <w:tcPr>
            <w:tcW w:w="4966" w:type="dxa"/>
            <w:tcBorders>
              <w:top w:val="single" w:sz="12" w:space="0" w:color="auto"/>
              <w:bottom w:val="single" w:sz="4" w:space="0" w:color="auto"/>
            </w:tcBorders>
            <w:shd w:val="clear" w:color="auto" w:fill="auto"/>
          </w:tcPr>
          <w:p w14:paraId="7445EB49" w14:textId="46089D4D" w:rsidR="00211D4A" w:rsidRPr="00073574" w:rsidRDefault="00211D4A" w:rsidP="00211D4A">
            <w:pPr>
              <w:pStyle w:val="Tabletext"/>
              <w:rPr>
                <w:b/>
                <w:bCs/>
                <w:sz w:val="24"/>
                <w:szCs w:val="24"/>
              </w:rPr>
            </w:pPr>
            <w:r w:rsidRPr="00073574">
              <w:rPr>
                <w:b/>
                <w:bCs/>
                <w:sz w:val="24"/>
                <w:szCs w:val="24"/>
              </w:rPr>
              <w:t>TSB Director to work in close collaboration with relevant stakeholders, such as WTO, WIPO, WHO and WCO, on activities relating to combating counterfeit and tampered telecommunication/ICT devices, including restricting the trading, export and circulation of these telecommunication/ICT devices internationally (i. TSBDir 3)</w:t>
            </w:r>
          </w:p>
        </w:tc>
        <w:tc>
          <w:tcPr>
            <w:tcW w:w="1336" w:type="dxa"/>
            <w:tcBorders>
              <w:top w:val="single" w:sz="12" w:space="0" w:color="auto"/>
              <w:bottom w:val="single" w:sz="4" w:space="0" w:color="auto"/>
            </w:tcBorders>
            <w:shd w:val="clear" w:color="auto" w:fill="auto"/>
            <w:vAlign w:val="center"/>
          </w:tcPr>
          <w:p w14:paraId="396034E6" w14:textId="53875C8D" w:rsidR="00211D4A" w:rsidRPr="00073574" w:rsidRDefault="00211D4A" w:rsidP="00211D4A">
            <w:pPr>
              <w:pStyle w:val="Tabletext"/>
              <w:jc w:val="center"/>
              <w:rPr>
                <w:b/>
                <w:bCs/>
                <w:sz w:val="24"/>
                <w:szCs w:val="24"/>
              </w:rPr>
            </w:pPr>
            <w:r w:rsidRPr="00073574">
              <w:rPr>
                <w:b/>
                <w:bCs/>
                <w:sz w:val="24"/>
                <w:szCs w:val="24"/>
              </w:rPr>
              <w:t>Ongoing</w:t>
            </w:r>
          </w:p>
        </w:tc>
        <w:tc>
          <w:tcPr>
            <w:tcW w:w="1143" w:type="dxa"/>
            <w:tcBorders>
              <w:top w:val="single" w:sz="12" w:space="0" w:color="auto"/>
              <w:bottom w:val="single" w:sz="4" w:space="0" w:color="auto"/>
            </w:tcBorders>
            <w:shd w:val="clear" w:color="auto" w:fill="auto"/>
            <w:vAlign w:val="center"/>
          </w:tcPr>
          <w:p w14:paraId="3ADA2C41" w14:textId="0AF6754D" w:rsidR="00211D4A" w:rsidRPr="00073574" w:rsidRDefault="00211D4A" w:rsidP="00211D4A">
            <w:pPr>
              <w:pStyle w:val="Tabletext"/>
              <w:jc w:val="center"/>
              <w:rPr>
                <w:b/>
                <w:bCs/>
                <w:sz w:val="24"/>
                <w:szCs w:val="24"/>
              </w:rPr>
            </w:pPr>
            <w:r w:rsidRPr="00073574">
              <w:rPr>
                <w:b/>
                <w:bCs/>
                <w:sz w:val="24"/>
                <w:szCs w:val="24"/>
              </w:rPr>
              <w:t>√</w:t>
            </w:r>
          </w:p>
        </w:tc>
        <w:tc>
          <w:tcPr>
            <w:tcW w:w="1358" w:type="dxa"/>
            <w:tcBorders>
              <w:top w:val="single" w:sz="12" w:space="0" w:color="auto"/>
              <w:bottom w:val="single" w:sz="4" w:space="0" w:color="auto"/>
            </w:tcBorders>
            <w:shd w:val="clear" w:color="auto" w:fill="auto"/>
            <w:vAlign w:val="center"/>
          </w:tcPr>
          <w:p w14:paraId="5EE08524" w14:textId="77777777" w:rsidR="00211D4A" w:rsidRPr="00073574" w:rsidRDefault="00211D4A" w:rsidP="00211D4A">
            <w:pPr>
              <w:pStyle w:val="Tabletext"/>
              <w:jc w:val="center"/>
              <w:rPr>
                <w:b/>
                <w:bCs/>
                <w:sz w:val="24"/>
                <w:szCs w:val="24"/>
              </w:rPr>
            </w:pPr>
          </w:p>
        </w:tc>
      </w:tr>
      <w:tr w:rsidR="00211D4A" w:rsidRPr="00073574" w14:paraId="077FACED" w14:textId="77777777" w:rsidTr="7277BFE4">
        <w:tc>
          <w:tcPr>
            <w:tcW w:w="1129" w:type="dxa"/>
            <w:vMerge/>
          </w:tcPr>
          <w:p w14:paraId="2207F5D6" w14:textId="77777777" w:rsidR="00211D4A" w:rsidRPr="00073574" w:rsidRDefault="00211D4A" w:rsidP="00211D4A">
            <w:pPr>
              <w:pStyle w:val="Tabletext"/>
              <w:rPr>
                <w:sz w:val="24"/>
                <w:szCs w:val="24"/>
              </w:rPr>
            </w:pPr>
          </w:p>
        </w:tc>
        <w:tc>
          <w:tcPr>
            <w:tcW w:w="8803" w:type="dxa"/>
            <w:gridSpan w:val="4"/>
            <w:tcBorders>
              <w:top w:val="single" w:sz="4" w:space="0" w:color="auto"/>
              <w:bottom w:val="single" w:sz="12" w:space="0" w:color="auto"/>
            </w:tcBorders>
            <w:shd w:val="clear" w:color="auto" w:fill="auto"/>
          </w:tcPr>
          <w:p w14:paraId="2BFEC9EA" w14:textId="77777777" w:rsidR="00211D4A" w:rsidRPr="00073574" w:rsidRDefault="00211D4A" w:rsidP="00211D4A">
            <w:pPr>
              <w:pStyle w:val="Default"/>
              <w:rPr>
                <w:sz w:val="22"/>
                <w:szCs w:val="22"/>
                <w:lang w:val="en-GB"/>
              </w:rPr>
            </w:pPr>
            <w:r w:rsidRPr="00073574">
              <w:rPr>
                <w:sz w:val="22"/>
                <w:szCs w:val="22"/>
                <w:lang w:val="en-GB"/>
              </w:rPr>
              <w:t>Following the outcomes of the first SG11RG-AFR meeting, ITU is going to start collaboration with Africa Region organizations (ATU, WATRA, EACO, SADC) on combating counterfeiting.</w:t>
            </w:r>
          </w:p>
          <w:p w14:paraId="3163CCC0" w14:textId="77777777" w:rsidR="00211D4A" w:rsidRPr="00073574" w:rsidRDefault="00211D4A" w:rsidP="00211D4A">
            <w:pPr>
              <w:pStyle w:val="Tabletext"/>
              <w:rPr>
                <w:szCs w:val="22"/>
              </w:rPr>
            </w:pPr>
            <w:r w:rsidRPr="00073574">
              <w:rPr>
                <w:szCs w:val="22"/>
              </w:rPr>
              <w:t>SG11 informed OECD, WIPO, WTO, 3GPP, MWF, GSMA as well as regional organizations (APT, ATU, CITEL, CEPT, RCC) and ITU SGs on the current activities related to combating counterfeiting.</w:t>
            </w:r>
          </w:p>
          <w:p w14:paraId="5CB2B392" w14:textId="7126076F" w:rsidR="0078442B" w:rsidRPr="00073574" w:rsidRDefault="0078442B" w:rsidP="0078442B">
            <w:pPr>
              <w:pStyle w:val="Tabletext"/>
              <w:rPr>
                <w:szCs w:val="22"/>
              </w:rPr>
            </w:pPr>
            <w:r w:rsidRPr="00073574">
              <w:rPr>
                <w:szCs w:val="22"/>
              </w:rPr>
              <w:t xml:space="preserve">TSB secretariat </w:t>
            </w:r>
            <w:r w:rsidR="0094452F" w:rsidRPr="00073574">
              <w:rPr>
                <w:szCs w:val="22"/>
              </w:rPr>
              <w:t>participate</w:t>
            </w:r>
            <w:r w:rsidR="00E57F5E" w:rsidRPr="00073574">
              <w:rPr>
                <w:szCs w:val="22"/>
              </w:rPr>
              <w:t>d</w:t>
            </w:r>
            <w:r w:rsidR="0094452F" w:rsidRPr="00073574">
              <w:rPr>
                <w:szCs w:val="22"/>
              </w:rPr>
              <w:t xml:space="preserve"> in </w:t>
            </w:r>
            <w:r w:rsidR="00262395" w:rsidRPr="00073574">
              <w:rPr>
                <w:szCs w:val="22"/>
              </w:rPr>
              <w:t>and</w:t>
            </w:r>
            <w:r w:rsidRPr="00073574">
              <w:rPr>
                <w:szCs w:val="22"/>
              </w:rPr>
              <w:t xml:space="preserve"> gave an overview of ITU-T activities on combating counterfeit and stolen ICT devices at the coordination meeting of IGOs working in the area of building respect for Intellectual Property (IP)</w:t>
            </w:r>
            <w:r w:rsidR="00262395" w:rsidRPr="00073574">
              <w:rPr>
                <w:szCs w:val="22"/>
              </w:rPr>
              <w:t xml:space="preserve"> in </w:t>
            </w:r>
            <w:r w:rsidRPr="00073574">
              <w:rPr>
                <w:szCs w:val="22"/>
              </w:rPr>
              <w:t xml:space="preserve">2019, </w:t>
            </w:r>
            <w:r w:rsidR="00262395" w:rsidRPr="00073574">
              <w:rPr>
                <w:szCs w:val="22"/>
              </w:rPr>
              <w:t>2020 and 2021</w:t>
            </w:r>
            <w:r w:rsidRPr="00073574">
              <w:rPr>
                <w:szCs w:val="22"/>
              </w:rPr>
              <w:t>.</w:t>
            </w:r>
          </w:p>
          <w:p w14:paraId="266EE624" w14:textId="4E9FCF5D" w:rsidR="0078442B" w:rsidRPr="00073574" w:rsidRDefault="0078442B" w:rsidP="0078442B">
            <w:pPr>
              <w:pStyle w:val="Tabletext"/>
              <w:rPr>
                <w:szCs w:val="22"/>
              </w:rPr>
            </w:pPr>
            <w:r w:rsidRPr="00073574">
              <w:rPr>
                <w:szCs w:val="22"/>
              </w:rPr>
              <w:t>Following outcomes of the SG11RG-AFR meeting (</w:t>
            </w:r>
            <w:r w:rsidRPr="00073574">
              <w:rPr>
                <w:rFonts w:asciiTheme="majorBidi" w:hAnsiTheme="majorBidi" w:cstheme="majorBidi"/>
              </w:rPr>
              <w:t>30 September – 2 October 2019</w:t>
            </w:r>
            <w:r w:rsidRPr="00073574">
              <w:rPr>
                <w:szCs w:val="22"/>
              </w:rPr>
              <w:t>), it was noted that there is a necessity to begin extensive discussion within the region for implementation of strategies for combating counterfeiting mobile devices and fraud. In this regard, there is call for African regulators associations to arrange a joint meeting in order to set up a common strategy based on the proposed technical report. This approach will help all members states of the Africa region to protect innovations, brands and genuine products in the market and support products circulation to protect health, safety and security of consumers in the Africa region.</w:t>
            </w:r>
          </w:p>
        </w:tc>
      </w:tr>
      <w:tr w:rsidR="00211D4A" w:rsidRPr="00073574" w14:paraId="2C47793E" w14:textId="77777777" w:rsidTr="7277BFE4">
        <w:tc>
          <w:tcPr>
            <w:tcW w:w="1129" w:type="dxa"/>
            <w:vMerge w:val="restart"/>
            <w:tcBorders>
              <w:top w:val="single" w:sz="12" w:space="0" w:color="auto"/>
            </w:tcBorders>
            <w:shd w:val="clear" w:color="auto" w:fill="auto"/>
          </w:tcPr>
          <w:p w14:paraId="4819BC44" w14:textId="23E60DFE" w:rsidR="00211D4A" w:rsidRPr="00073574" w:rsidRDefault="00211D4A" w:rsidP="007434ED">
            <w:pPr>
              <w:pStyle w:val="Tabletext"/>
              <w:keepNext/>
              <w:rPr>
                <w:b/>
                <w:bCs/>
                <w:sz w:val="24"/>
                <w:szCs w:val="24"/>
              </w:rPr>
            </w:pPr>
            <w:r w:rsidRPr="00073574">
              <w:rPr>
                <w:b/>
                <w:bCs/>
                <w:sz w:val="24"/>
                <w:szCs w:val="24"/>
              </w:rPr>
              <w:t>96-06</w:t>
            </w:r>
          </w:p>
        </w:tc>
        <w:tc>
          <w:tcPr>
            <w:tcW w:w="4966" w:type="dxa"/>
            <w:tcBorders>
              <w:top w:val="single" w:sz="12" w:space="0" w:color="auto"/>
              <w:bottom w:val="single" w:sz="4" w:space="0" w:color="auto"/>
            </w:tcBorders>
            <w:shd w:val="clear" w:color="auto" w:fill="auto"/>
            <w:vAlign w:val="center"/>
          </w:tcPr>
          <w:p w14:paraId="1E585113" w14:textId="68870640" w:rsidR="00211D4A" w:rsidRPr="00073574" w:rsidRDefault="00211D4A" w:rsidP="00211D4A">
            <w:pPr>
              <w:pStyle w:val="Tabletext"/>
              <w:rPr>
                <w:b/>
                <w:bCs/>
                <w:sz w:val="24"/>
                <w:szCs w:val="24"/>
              </w:rPr>
            </w:pPr>
            <w:r w:rsidRPr="00073574">
              <w:rPr>
                <w:b/>
                <w:bCs/>
                <w:sz w:val="24"/>
                <w:szCs w:val="24"/>
              </w:rPr>
              <w:t>TSB Director to coordinate activities relating to combating counterfeit and tampered telecommunication/ICT devices through study groups, focus groups and other related groups (i. TSBDir 4)</w:t>
            </w:r>
          </w:p>
        </w:tc>
        <w:tc>
          <w:tcPr>
            <w:tcW w:w="1336" w:type="dxa"/>
            <w:tcBorders>
              <w:top w:val="single" w:sz="12" w:space="0" w:color="auto"/>
              <w:bottom w:val="single" w:sz="4" w:space="0" w:color="auto"/>
            </w:tcBorders>
            <w:shd w:val="clear" w:color="auto" w:fill="auto"/>
            <w:vAlign w:val="center"/>
          </w:tcPr>
          <w:p w14:paraId="3D2B0D9C" w14:textId="1F07A7DC" w:rsidR="00211D4A" w:rsidRPr="00073574" w:rsidRDefault="00211D4A" w:rsidP="00211D4A">
            <w:pPr>
              <w:pStyle w:val="Tabletext"/>
              <w:jc w:val="center"/>
              <w:rPr>
                <w:b/>
                <w:bCs/>
                <w:sz w:val="24"/>
                <w:szCs w:val="24"/>
              </w:rPr>
            </w:pPr>
            <w:r w:rsidRPr="00073574">
              <w:rPr>
                <w:b/>
                <w:bCs/>
                <w:sz w:val="24"/>
                <w:szCs w:val="24"/>
              </w:rPr>
              <w:t>Ongoing</w:t>
            </w:r>
          </w:p>
        </w:tc>
        <w:tc>
          <w:tcPr>
            <w:tcW w:w="1143" w:type="dxa"/>
            <w:tcBorders>
              <w:top w:val="single" w:sz="12" w:space="0" w:color="auto"/>
              <w:bottom w:val="single" w:sz="4" w:space="0" w:color="auto"/>
            </w:tcBorders>
            <w:shd w:val="clear" w:color="auto" w:fill="auto"/>
            <w:vAlign w:val="center"/>
          </w:tcPr>
          <w:p w14:paraId="37B5ECFE" w14:textId="4A9BD3D6" w:rsidR="00211D4A" w:rsidRPr="00073574" w:rsidRDefault="00173515" w:rsidP="00211D4A">
            <w:pPr>
              <w:pStyle w:val="Tabletext"/>
              <w:jc w:val="center"/>
              <w:rPr>
                <w:b/>
                <w:bCs/>
                <w:sz w:val="24"/>
                <w:szCs w:val="24"/>
              </w:rPr>
            </w:pPr>
            <w:r w:rsidRPr="00073574">
              <w:rPr>
                <w:b/>
                <w:bCs/>
                <w:sz w:val="24"/>
                <w:szCs w:val="24"/>
              </w:rPr>
              <w:t>√</w:t>
            </w:r>
          </w:p>
        </w:tc>
        <w:tc>
          <w:tcPr>
            <w:tcW w:w="1358" w:type="dxa"/>
            <w:tcBorders>
              <w:top w:val="single" w:sz="12" w:space="0" w:color="auto"/>
              <w:bottom w:val="single" w:sz="4" w:space="0" w:color="auto"/>
            </w:tcBorders>
            <w:shd w:val="clear" w:color="auto" w:fill="auto"/>
            <w:vAlign w:val="center"/>
          </w:tcPr>
          <w:p w14:paraId="5951A583" w14:textId="77777777" w:rsidR="00211D4A" w:rsidRPr="00073574" w:rsidRDefault="00211D4A" w:rsidP="00211D4A">
            <w:pPr>
              <w:pStyle w:val="Tabletext"/>
              <w:jc w:val="center"/>
              <w:rPr>
                <w:b/>
                <w:bCs/>
                <w:sz w:val="24"/>
                <w:szCs w:val="24"/>
              </w:rPr>
            </w:pPr>
          </w:p>
        </w:tc>
      </w:tr>
      <w:tr w:rsidR="00211D4A" w:rsidRPr="00073574" w14:paraId="3AEBDC6C" w14:textId="77777777" w:rsidTr="7277BFE4">
        <w:tc>
          <w:tcPr>
            <w:tcW w:w="1129" w:type="dxa"/>
            <w:vMerge/>
          </w:tcPr>
          <w:p w14:paraId="4D031385" w14:textId="77777777" w:rsidR="00211D4A" w:rsidRPr="00073574" w:rsidRDefault="00211D4A" w:rsidP="00211D4A">
            <w:pPr>
              <w:pStyle w:val="Tabletext"/>
              <w:rPr>
                <w:sz w:val="24"/>
                <w:szCs w:val="24"/>
              </w:rPr>
            </w:pPr>
          </w:p>
        </w:tc>
        <w:tc>
          <w:tcPr>
            <w:tcW w:w="8803" w:type="dxa"/>
            <w:gridSpan w:val="4"/>
            <w:tcBorders>
              <w:top w:val="single" w:sz="4" w:space="0" w:color="auto"/>
              <w:bottom w:val="single" w:sz="12" w:space="0" w:color="auto"/>
            </w:tcBorders>
            <w:shd w:val="clear" w:color="auto" w:fill="auto"/>
          </w:tcPr>
          <w:p w14:paraId="0A10A08C" w14:textId="7BB6FFC5" w:rsidR="00211D4A" w:rsidRPr="00073574" w:rsidRDefault="00173515" w:rsidP="00211D4A">
            <w:pPr>
              <w:pStyle w:val="Tabletext"/>
              <w:rPr>
                <w:szCs w:val="22"/>
              </w:rPr>
            </w:pPr>
            <w:r w:rsidRPr="00073574">
              <w:rPr>
                <w:szCs w:val="22"/>
              </w:rPr>
              <w:t>See 96-01</w:t>
            </w:r>
          </w:p>
        </w:tc>
      </w:tr>
      <w:tr w:rsidR="00211D4A" w:rsidRPr="00073574" w14:paraId="226B2BD5" w14:textId="77777777" w:rsidTr="7277BFE4">
        <w:tc>
          <w:tcPr>
            <w:tcW w:w="1129" w:type="dxa"/>
            <w:vMerge w:val="restart"/>
            <w:tcBorders>
              <w:top w:val="single" w:sz="12" w:space="0" w:color="auto"/>
            </w:tcBorders>
            <w:shd w:val="clear" w:color="auto" w:fill="auto"/>
          </w:tcPr>
          <w:p w14:paraId="0573F29B" w14:textId="2E9430AE" w:rsidR="00211D4A" w:rsidRPr="00073574" w:rsidRDefault="00211D4A" w:rsidP="00DB1429">
            <w:pPr>
              <w:pStyle w:val="Tabletext"/>
              <w:keepNext/>
              <w:keepLines/>
              <w:rPr>
                <w:b/>
                <w:bCs/>
                <w:sz w:val="24"/>
                <w:szCs w:val="24"/>
              </w:rPr>
            </w:pPr>
            <w:r w:rsidRPr="00073574">
              <w:rPr>
                <w:b/>
                <w:bCs/>
                <w:sz w:val="24"/>
                <w:szCs w:val="24"/>
              </w:rPr>
              <w:t>96-07</w:t>
            </w:r>
          </w:p>
        </w:tc>
        <w:tc>
          <w:tcPr>
            <w:tcW w:w="4966" w:type="dxa"/>
            <w:tcBorders>
              <w:top w:val="single" w:sz="12" w:space="0" w:color="auto"/>
              <w:bottom w:val="single" w:sz="4" w:space="0" w:color="auto"/>
            </w:tcBorders>
            <w:shd w:val="clear" w:color="auto" w:fill="auto"/>
          </w:tcPr>
          <w:p w14:paraId="4C2ECFD7" w14:textId="6A7AEFBC" w:rsidR="00211D4A" w:rsidRPr="00073574" w:rsidRDefault="00211D4A" w:rsidP="00211D4A">
            <w:pPr>
              <w:pStyle w:val="Tabletext"/>
              <w:rPr>
                <w:b/>
                <w:bCs/>
                <w:sz w:val="24"/>
                <w:szCs w:val="24"/>
              </w:rPr>
            </w:pPr>
            <w:r w:rsidRPr="00073574">
              <w:rPr>
                <w:b/>
                <w:bCs/>
                <w:sz w:val="24"/>
                <w:szCs w:val="24"/>
              </w:rPr>
              <w:t>TSB Director to assist Member States in taking the necessary actions to apply relevant ITU-T Recommendations for combating counterfeit and tampered telecommunication/ICT devices, including the use of conformity assessment systems (i. TSBDir 5)</w:t>
            </w:r>
          </w:p>
        </w:tc>
        <w:tc>
          <w:tcPr>
            <w:tcW w:w="1336" w:type="dxa"/>
            <w:tcBorders>
              <w:top w:val="single" w:sz="12" w:space="0" w:color="auto"/>
              <w:bottom w:val="single" w:sz="4" w:space="0" w:color="auto"/>
            </w:tcBorders>
            <w:shd w:val="clear" w:color="auto" w:fill="auto"/>
            <w:vAlign w:val="center"/>
          </w:tcPr>
          <w:p w14:paraId="3AE85967" w14:textId="094C0187" w:rsidR="00211D4A" w:rsidRPr="00073574" w:rsidRDefault="00211D4A" w:rsidP="00211D4A">
            <w:pPr>
              <w:pStyle w:val="Tabletext"/>
              <w:jc w:val="center"/>
              <w:rPr>
                <w:b/>
                <w:bCs/>
                <w:sz w:val="24"/>
                <w:szCs w:val="24"/>
              </w:rPr>
            </w:pPr>
            <w:r w:rsidRPr="00073574">
              <w:rPr>
                <w:b/>
                <w:bCs/>
                <w:sz w:val="24"/>
                <w:szCs w:val="24"/>
              </w:rPr>
              <w:t>Ongoing</w:t>
            </w:r>
          </w:p>
        </w:tc>
        <w:tc>
          <w:tcPr>
            <w:tcW w:w="1143" w:type="dxa"/>
            <w:tcBorders>
              <w:top w:val="single" w:sz="12" w:space="0" w:color="auto"/>
              <w:bottom w:val="single" w:sz="4" w:space="0" w:color="auto"/>
            </w:tcBorders>
            <w:shd w:val="clear" w:color="auto" w:fill="auto"/>
            <w:vAlign w:val="center"/>
          </w:tcPr>
          <w:p w14:paraId="7EBA8647" w14:textId="43E33FAE" w:rsidR="00211D4A" w:rsidRPr="00073574" w:rsidRDefault="00211D4A" w:rsidP="00211D4A">
            <w:pPr>
              <w:pStyle w:val="Tabletext"/>
              <w:jc w:val="center"/>
              <w:rPr>
                <w:b/>
                <w:bCs/>
                <w:sz w:val="24"/>
                <w:szCs w:val="24"/>
              </w:rPr>
            </w:pPr>
            <w:r w:rsidRPr="00073574">
              <w:rPr>
                <w:b/>
                <w:bCs/>
                <w:sz w:val="24"/>
                <w:szCs w:val="24"/>
              </w:rPr>
              <w:t>√</w:t>
            </w:r>
          </w:p>
        </w:tc>
        <w:tc>
          <w:tcPr>
            <w:tcW w:w="1358" w:type="dxa"/>
            <w:tcBorders>
              <w:top w:val="single" w:sz="12" w:space="0" w:color="auto"/>
              <w:bottom w:val="single" w:sz="4" w:space="0" w:color="auto"/>
            </w:tcBorders>
            <w:shd w:val="clear" w:color="auto" w:fill="auto"/>
            <w:vAlign w:val="center"/>
          </w:tcPr>
          <w:p w14:paraId="54BE4508" w14:textId="77777777" w:rsidR="00211D4A" w:rsidRPr="00073574" w:rsidRDefault="00211D4A" w:rsidP="00211D4A">
            <w:pPr>
              <w:pStyle w:val="Tabletext"/>
              <w:jc w:val="center"/>
              <w:rPr>
                <w:b/>
                <w:bCs/>
                <w:sz w:val="24"/>
                <w:szCs w:val="24"/>
              </w:rPr>
            </w:pPr>
          </w:p>
        </w:tc>
      </w:tr>
      <w:tr w:rsidR="00211D4A" w:rsidRPr="00073574" w14:paraId="15F9EE74" w14:textId="77777777" w:rsidTr="7277BFE4">
        <w:tc>
          <w:tcPr>
            <w:tcW w:w="1129" w:type="dxa"/>
            <w:vMerge/>
          </w:tcPr>
          <w:p w14:paraId="047D61C0" w14:textId="77777777" w:rsidR="00211D4A" w:rsidRPr="00073574" w:rsidRDefault="00211D4A" w:rsidP="00211D4A">
            <w:pPr>
              <w:pStyle w:val="Tabletext"/>
              <w:rPr>
                <w:sz w:val="24"/>
                <w:szCs w:val="24"/>
              </w:rPr>
            </w:pPr>
          </w:p>
        </w:tc>
        <w:tc>
          <w:tcPr>
            <w:tcW w:w="8803" w:type="dxa"/>
            <w:gridSpan w:val="4"/>
            <w:tcBorders>
              <w:top w:val="single" w:sz="4" w:space="0" w:color="auto"/>
              <w:bottom w:val="single" w:sz="12" w:space="0" w:color="auto"/>
            </w:tcBorders>
            <w:shd w:val="clear" w:color="auto" w:fill="auto"/>
          </w:tcPr>
          <w:p w14:paraId="16B1D0D4" w14:textId="77777777" w:rsidR="00211D4A" w:rsidRPr="00073574" w:rsidRDefault="00211D4A" w:rsidP="00211D4A">
            <w:pPr>
              <w:pStyle w:val="Tabletext"/>
              <w:rPr>
                <w:szCs w:val="22"/>
              </w:rPr>
            </w:pPr>
            <w:r w:rsidRPr="00073574">
              <w:rPr>
                <w:szCs w:val="22"/>
              </w:rPr>
              <w:t>SG11 established an action plan for implementation of WTSA-16 Resolution 96</w:t>
            </w:r>
            <w:r w:rsidR="00A95AF4" w:rsidRPr="00073574">
              <w:rPr>
                <w:szCs w:val="22"/>
              </w:rPr>
              <w:t>,</w:t>
            </w:r>
            <w:r w:rsidRPr="00073574">
              <w:rPr>
                <w:szCs w:val="22"/>
              </w:rPr>
              <w:t xml:space="preserve"> which identifies the need to define relevant ITU-T Recommendations for combating counterfeit and tampered telecommunication/ICT devices.</w:t>
            </w:r>
          </w:p>
          <w:p w14:paraId="591BAE48" w14:textId="5BE64E23" w:rsidR="00211D4A" w:rsidRPr="00073574" w:rsidRDefault="007C6DF1" w:rsidP="00211D4A">
            <w:pPr>
              <w:pStyle w:val="Tabletext"/>
              <w:rPr>
                <w:szCs w:val="22"/>
              </w:rPr>
            </w:pPr>
            <w:r w:rsidRPr="00073574">
              <w:rPr>
                <w:szCs w:val="22"/>
              </w:rPr>
              <w:t xml:space="preserve">During </w:t>
            </w:r>
            <w:r w:rsidR="001D366F" w:rsidRPr="00073574">
              <w:rPr>
                <w:szCs w:val="22"/>
              </w:rPr>
              <w:t xml:space="preserve">WSIS Forum 2021 </w:t>
            </w:r>
            <w:r w:rsidR="0088605E" w:rsidRPr="00073574">
              <w:rPr>
                <w:szCs w:val="22"/>
              </w:rPr>
              <w:t xml:space="preserve">Session 406 </w:t>
            </w:r>
            <w:r w:rsidRPr="00073574">
              <w:rPr>
                <w:szCs w:val="22"/>
              </w:rPr>
              <w:t>“</w:t>
            </w:r>
            <w:r w:rsidR="001D4F91" w:rsidRPr="00073574">
              <w:rPr>
                <w:szCs w:val="22"/>
              </w:rPr>
              <w:t>Combating counterfeit telecommunication/ICT devices and software</w:t>
            </w:r>
            <w:r w:rsidRPr="00073574">
              <w:rPr>
                <w:szCs w:val="22"/>
              </w:rPr>
              <w:t xml:space="preserve">” it was highlighted that </w:t>
            </w:r>
            <w:hyperlink r:id="rId855" w:history="1">
              <w:r w:rsidR="00900C4B" w:rsidRPr="00073574">
                <w:rPr>
                  <w:szCs w:val="22"/>
                </w:rPr>
                <w:t>ITU Conformity Product Database</w:t>
              </w:r>
            </w:hyperlink>
            <w:r w:rsidR="00900C4B" w:rsidRPr="00073574">
              <w:rPr>
                <w:szCs w:val="22"/>
              </w:rPr>
              <w:t xml:space="preserve"> </w:t>
            </w:r>
            <w:r w:rsidR="003629FB" w:rsidRPr="00073574">
              <w:rPr>
                <w:szCs w:val="22"/>
              </w:rPr>
              <w:t>might become a tool to facilitate combating counterfeiting</w:t>
            </w:r>
            <w:r w:rsidR="001D4F91" w:rsidRPr="00073574">
              <w:rPr>
                <w:szCs w:val="22"/>
              </w:rPr>
              <w:t>.</w:t>
            </w:r>
          </w:p>
        </w:tc>
      </w:tr>
      <w:tr w:rsidR="00211D4A" w:rsidRPr="00073574" w14:paraId="4FBB49D2" w14:textId="77777777" w:rsidTr="7277BFE4">
        <w:tc>
          <w:tcPr>
            <w:tcW w:w="1129" w:type="dxa"/>
            <w:vMerge w:val="restart"/>
            <w:tcBorders>
              <w:top w:val="single" w:sz="12" w:space="0" w:color="auto"/>
            </w:tcBorders>
            <w:shd w:val="clear" w:color="auto" w:fill="auto"/>
          </w:tcPr>
          <w:p w14:paraId="303D9A01" w14:textId="62FBFE90" w:rsidR="00211D4A" w:rsidRPr="00073574" w:rsidRDefault="00211D4A" w:rsidP="007F3ABA">
            <w:pPr>
              <w:pStyle w:val="Tabletext"/>
              <w:keepNext/>
              <w:keepLines/>
              <w:rPr>
                <w:b/>
                <w:bCs/>
                <w:sz w:val="24"/>
                <w:szCs w:val="24"/>
              </w:rPr>
            </w:pPr>
            <w:r w:rsidRPr="00073574">
              <w:rPr>
                <w:b/>
                <w:bCs/>
                <w:sz w:val="24"/>
                <w:szCs w:val="24"/>
              </w:rPr>
              <w:lastRenderedPageBreak/>
              <w:t>96-08</w:t>
            </w:r>
          </w:p>
        </w:tc>
        <w:tc>
          <w:tcPr>
            <w:tcW w:w="4966" w:type="dxa"/>
            <w:tcBorders>
              <w:top w:val="single" w:sz="12" w:space="0" w:color="auto"/>
              <w:bottom w:val="single" w:sz="4" w:space="0" w:color="auto"/>
            </w:tcBorders>
            <w:shd w:val="clear" w:color="auto" w:fill="auto"/>
          </w:tcPr>
          <w:p w14:paraId="23EC2855" w14:textId="7861CA2D" w:rsidR="00211D4A" w:rsidRPr="00073574" w:rsidRDefault="00211D4A" w:rsidP="00202A1B">
            <w:pPr>
              <w:spacing w:before="40"/>
              <w:rPr>
                <w:b/>
                <w:bCs/>
                <w:sz w:val="24"/>
              </w:rPr>
            </w:pPr>
            <w:r w:rsidRPr="00073574">
              <w:rPr>
                <w:b/>
                <w:bCs/>
                <w:sz w:val="24"/>
              </w:rPr>
              <w:t>TSB Director to collaborate with industry associations, consortia and forums to identify possible technological measures, both software and hardware, that may be developed to deter tampering and the use and spread of counterfeit and tampered telecommunication/ICT devices (i. TSBDir 1)</w:t>
            </w:r>
          </w:p>
        </w:tc>
        <w:tc>
          <w:tcPr>
            <w:tcW w:w="1336" w:type="dxa"/>
            <w:tcBorders>
              <w:top w:val="single" w:sz="12" w:space="0" w:color="auto"/>
              <w:bottom w:val="single" w:sz="4" w:space="0" w:color="auto"/>
            </w:tcBorders>
            <w:shd w:val="clear" w:color="auto" w:fill="auto"/>
            <w:vAlign w:val="center"/>
          </w:tcPr>
          <w:p w14:paraId="35D4149B" w14:textId="5A9627D1" w:rsidR="00211D4A" w:rsidRPr="00073574" w:rsidRDefault="00211D4A" w:rsidP="00211D4A">
            <w:pPr>
              <w:pStyle w:val="Tabletext"/>
              <w:jc w:val="center"/>
              <w:rPr>
                <w:b/>
                <w:bCs/>
                <w:sz w:val="24"/>
                <w:szCs w:val="24"/>
              </w:rPr>
            </w:pPr>
            <w:r w:rsidRPr="00073574">
              <w:rPr>
                <w:b/>
                <w:bCs/>
                <w:sz w:val="24"/>
                <w:szCs w:val="24"/>
              </w:rPr>
              <w:t>Ongoing</w:t>
            </w:r>
          </w:p>
        </w:tc>
        <w:tc>
          <w:tcPr>
            <w:tcW w:w="1143" w:type="dxa"/>
            <w:tcBorders>
              <w:top w:val="single" w:sz="12" w:space="0" w:color="auto"/>
              <w:bottom w:val="single" w:sz="4" w:space="0" w:color="auto"/>
            </w:tcBorders>
            <w:shd w:val="clear" w:color="auto" w:fill="auto"/>
            <w:vAlign w:val="center"/>
          </w:tcPr>
          <w:p w14:paraId="24273BFA" w14:textId="4D826659" w:rsidR="00211D4A" w:rsidRPr="00073574" w:rsidRDefault="00211D4A" w:rsidP="00211D4A">
            <w:pPr>
              <w:pStyle w:val="Tabletext"/>
              <w:jc w:val="center"/>
              <w:rPr>
                <w:b/>
                <w:bCs/>
                <w:sz w:val="24"/>
                <w:szCs w:val="24"/>
              </w:rPr>
            </w:pPr>
            <w:r w:rsidRPr="00073574">
              <w:rPr>
                <w:b/>
                <w:bCs/>
                <w:sz w:val="24"/>
                <w:szCs w:val="24"/>
              </w:rPr>
              <w:t>√</w:t>
            </w:r>
          </w:p>
        </w:tc>
        <w:tc>
          <w:tcPr>
            <w:tcW w:w="1358" w:type="dxa"/>
            <w:tcBorders>
              <w:top w:val="single" w:sz="12" w:space="0" w:color="auto"/>
              <w:bottom w:val="single" w:sz="4" w:space="0" w:color="auto"/>
            </w:tcBorders>
            <w:shd w:val="clear" w:color="auto" w:fill="auto"/>
            <w:vAlign w:val="center"/>
          </w:tcPr>
          <w:p w14:paraId="1034AC1B" w14:textId="77777777" w:rsidR="00211D4A" w:rsidRPr="00073574" w:rsidRDefault="00211D4A" w:rsidP="00211D4A">
            <w:pPr>
              <w:pStyle w:val="Tabletext"/>
              <w:jc w:val="center"/>
              <w:rPr>
                <w:b/>
                <w:bCs/>
                <w:sz w:val="24"/>
                <w:szCs w:val="24"/>
              </w:rPr>
            </w:pPr>
          </w:p>
        </w:tc>
      </w:tr>
      <w:tr w:rsidR="00211D4A" w:rsidRPr="00073574" w14:paraId="788D49E1" w14:textId="77777777" w:rsidTr="7277BFE4">
        <w:tc>
          <w:tcPr>
            <w:tcW w:w="1129" w:type="dxa"/>
            <w:vMerge/>
          </w:tcPr>
          <w:p w14:paraId="5F0BD81A" w14:textId="77777777" w:rsidR="00211D4A" w:rsidRPr="00073574" w:rsidRDefault="00211D4A" w:rsidP="00211D4A">
            <w:pPr>
              <w:pStyle w:val="Tabletext"/>
              <w:rPr>
                <w:sz w:val="24"/>
                <w:szCs w:val="24"/>
              </w:rPr>
            </w:pPr>
          </w:p>
        </w:tc>
        <w:tc>
          <w:tcPr>
            <w:tcW w:w="8803" w:type="dxa"/>
            <w:gridSpan w:val="4"/>
            <w:tcBorders>
              <w:top w:val="single" w:sz="4" w:space="0" w:color="auto"/>
              <w:bottom w:val="single" w:sz="12" w:space="0" w:color="auto"/>
            </w:tcBorders>
            <w:shd w:val="clear" w:color="auto" w:fill="auto"/>
          </w:tcPr>
          <w:p w14:paraId="07B8BC77" w14:textId="77777777" w:rsidR="00211D4A" w:rsidRPr="00073574" w:rsidRDefault="0078442B" w:rsidP="00211D4A">
            <w:pPr>
              <w:pStyle w:val="Tabletext"/>
              <w:rPr>
                <w:szCs w:val="22"/>
              </w:rPr>
            </w:pPr>
            <w:r w:rsidRPr="00073574">
              <w:rPr>
                <w:szCs w:val="22"/>
              </w:rPr>
              <w:t>One demo zone was deployed during ITU Workshop on Global approaches on combating counterfeiting and stolen ICT devices (July 2018): IMEI-DOA solution to combat counterfeiting ICT devices (Rostelecom).</w:t>
            </w:r>
          </w:p>
          <w:p w14:paraId="67CD4899" w14:textId="77777777" w:rsidR="00491190" w:rsidRPr="00073574" w:rsidRDefault="00491190" w:rsidP="00211D4A">
            <w:pPr>
              <w:pStyle w:val="Tabletext"/>
              <w:rPr>
                <w:szCs w:val="22"/>
              </w:rPr>
            </w:pPr>
            <w:r w:rsidRPr="00073574">
              <w:rPr>
                <w:szCs w:val="22"/>
              </w:rPr>
              <w:t xml:space="preserve">TSB </w:t>
            </w:r>
            <w:r w:rsidR="00CB66DA" w:rsidRPr="00073574">
              <w:rPr>
                <w:szCs w:val="22"/>
              </w:rPr>
              <w:t>collaborates with industry</w:t>
            </w:r>
            <w:r w:rsidR="007C48FD" w:rsidRPr="00073574">
              <w:rPr>
                <w:szCs w:val="22"/>
              </w:rPr>
              <w:t xml:space="preserve"> and as a result the new ITU members joined SG11 as Associates.</w:t>
            </w:r>
          </w:p>
          <w:p w14:paraId="7426335C" w14:textId="6524FAA0" w:rsidR="00211D4A" w:rsidRPr="00073574" w:rsidRDefault="007422EA" w:rsidP="00211D4A">
            <w:pPr>
              <w:pStyle w:val="Tabletext"/>
              <w:rPr>
                <w:sz w:val="24"/>
                <w:szCs w:val="24"/>
              </w:rPr>
            </w:pPr>
            <w:r w:rsidRPr="00073574">
              <w:rPr>
                <w:szCs w:val="22"/>
              </w:rPr>
              <w:t>The Device Identification, Registration and Blocking System (DIRBS) is available as open source and it could be used for addressing illegal and non-type approved devices in a country (ITU-T Q.5050).</w:t>
            </w:r>
          </w:p>
        </w:tc>
      </w:tr>
      <w:tr w:rsidR="00211D4A" w:rsidRPr="00073574" w14:paraId="258C7C40" w14:textId="77777777" w:rsidTr="7277BFE4">
        <w:tc>
          <w:tcPr>
            <w:tcW w:w="1129" w:type="dxa"/>
            <w:vMerge w:val="restart"/>
            <w:tcBorders>
              <w:top w:val="single" w:sz="12" w:space="0" w:color="auto"/>
            </w:tcBorders>
            <w:shd w:val="clear" w:color="auto" w:fill="auto"/>
          </w:tcPr>
          <w:p w14:paraId="0BF979AB" w14:textId="52816B17" w:rsidR="00211D4A" w:rsidRPr="00073574" w:rsidRDefault="00211D4A" w:rsidP="00BD6575">
            <w:pPr>
              <w:pStyle w:val="Tabletext"/>
              <w:keepNext/>
              <w:keepLines/>
              <w:rPr>
                <w:b/>
                <w:bCs/>
                <w:sz w:val="24"/>
                <w:szCs w:val="24"/>
              </w:rPr>
            </w:pPr>
            <w:r w:rsidRPr="00073574">
              <w:rPr>
                <w:b/>
                <w:bCs/>
                <w:sz w:val="24"/>
                <w:szCs w:val="24"/>
              </w:rPr>
              <w:t>96-09</w:t>
            </w:r>
          </w:p>
        </w:tc>
        <w:tc>
          <w:tcPr>
            <w:tcW w:w="4966" w:type="dxa"/>
            <w:tcBorders>
              <w:top w:val="single" w:sz="12" w:space="0" w:color="auto"/>
              <w:bottom w:val="single" w:sz="4" w:space="0" w:color="auto"/>
            </w:tcBorders>
            <w:shd w:val="clear" w:color="auto" w:fill="auto"/>
          </w:tcPr>
          <w:p w14:paraId="7CBD4419" w14:textId="49F62D24" w:rsidR="00211D4A" w:rsidRPr="00073574" w:rsidRDefault="00211D4A" w:rsidP="00202A1B">
            <w:pPr>
              <w:spacing w:before="40"/>
              <w:rPr>
                <w:b/>
                <w:bCs/>
                <w:sz w:val="24"/>
              </w:rPr>
            </w:pPr>
            <w:r w:rsidRPr="00073574">
              <w:rPr>
                <w:b/>
                <w:bCs/>
                <w:sz w:val="24"/>
              </w:rPr>
              <w:t>TSB Director to submit the results of these activities to the ITU Council for its consideration and required action (i. TSBDir 2)</w:t>
            </w:r>
          </w:p>
        </w:tc>
        <w:tc>
          <w:tcPr>
            <w:tcW w:w="1336" w:type="dxa"/>
            <w:tcBorders>
              <w:top w:val="single" w:sz="12" w:space="0" w:color="auto"/>
              <w:bottom w:val="single" w:sz="4" w:space="0" w:color="auto"/>
            </w:tcBorders>
            <w:shd w:val="clear" w:color="auto" w:fill="auto"/>
            <w:vAlign w:val="center"/>
          </w:tcPr>
          <w:p w14:paraId="042EAB7A" w14:textId="2D506C75" w:rsidR="00211D4A" w:rsidRPr="00073574" w:rsidRDefault="00211D4A" w:rsidP="00211D4A">
            <w:pPr>
              <w:pStyle w:val="Tabletext"/>
              <w:jc w:val="center"/>
              <w:rPr>
                <w:b/>
                <w:bCs/>
                <w:sz w:val="24"/>
                <w:szCs w:val="24"/>
              </w:rPr>
            </w:pPr>
            <w:r w:rsidRPr="00073574">
              <w:rPr>
                <w:b/>
                <w:bCs/>
                <w:sz w:val="24"/>
                <w:szCs w:val="24"/>
              </w:rPr>
              <w:t>Council 20</w:t>
            </w:r>
            <w:r w:rsidR="00B02972" w:rsidRPr="00073574">
              <w:rPr>
                <w:b/>
                <w:bCs/>
                <w:sz w:val="24"/>
                <w:szCs w:val="24"/>
              </w:rPr>
              <w:t>2</w:t>
            </w:r>
            <w:r w:rsidR="00D75F95" w:rsidRPr="00073574">
              <w:rPr>
                <w:b/>
                <w:bCs/>
                <w:sz w:val="24"/>
                <w:szCs w:val="24"/>
              </w:rPr>
              <w:t>1</w:t>
            </w:r>
            <w:r w:rsidRPr="00073574">
              <w:rPr>
                <w:b/>
                <w:bCs/>
                <w:sz w:val="24"/>
                <w:szCs w:val="24"/>
              </w:rPr>
              <w:t>,</w:t>
            </w:r>
          </w:p>
          <w:p w14:paraId="03EA6F04" w14:textId="0D75224B" w:rsidR="00211D4A" w:rsidRPr="00073574" w:rsidRDefault="00211D4A" w:rsidP="00211D4A">
            <w:pPr>
              <w:pStyle w:val="Tabletext"/>
              <w:jc w:val="center"/>
              <w:rPr>
                <w:b/>
                <w:bCs/>
                <w:sz w:val="24"/>
                <w:szCs w:val="24"/>
              </w:rPr>
            </w:pPr>
            <w:r w:rsidRPr="00073574">
              <w:rPr>
                <w:b/>
                <w:bCs/>
                <w:sz w:val="24"/>
                <w:szCs w:val="24"/>
              </w:rPr>
              <w:t>Ongoing</w:t>
            </w:r>
          </w:p>
        </w:tc>
        <w:tc>
          <w:tcPr>
            <w:tcW w:w="1143" w:type="dxa"/>
            <w:tcBorders>
              <w:top w:val="single" w:sz="12" w:space="0" w:color="auto"/>
              <w:bottom w:val="single" w:sz="4" w:space="0" w:color="auto"/>
            </w:tcBorders>
            <w:shd w:val="clear" w:color="auto" w:fill="auto"/>
            <w:vAlign w:val="center"/>
          </w:tcPr>
          <w:p w14:paraId="53B1B0B6" w14:textId="61B148D9" w:rsidR="00211D4A" w:rsidRPr="00073574" w:rsidRDefault="00211D4A" w:rsidP="00211D4A">
            <w:pPr>
              <w:pStyle w:val="Tabletext"/>
              <w:jc w:val="center"/>
              <w:rPr>
                <w:b/>
                <w:bCs/>
                <w:sz w:val="24"/>
                <w:szCs w:val="24"/>
              </w:rPr>
            </w:pPr>
            <w:r w:rsidRPr="00073574">
              <w:rPr>
                <w:b/>
                <w:bCs/>
                <w:sz w:val="24"/>
                <w:szCs w:val="24"/>
              </w:rPr>
              <w:t>√</w:t>
            </w:r>
          </w:p>
        </w:tc>
        <w:tc>
          <w:tcPr>
            <w:tcW w:w="1358" w:type="dxa"/>
            <w:tcBorders>
              <w:top w:val="single" w:sz="12" w:space="0" w:color="auto"/>
              <w:bottom w:val="single" w:sz="4" w:space="0" w:color="auto"/>
            </w:tcBorders>
            <w:shd w:val="clear" w:color="auto" w:fill="auto"/>
            <w:vAlign w:val="center"/>
          </w:tcPr>
          <w:p w14:paraId="62D52229" w14:textId="77777777" w:rsidR="00211D4A" w:rsidRPr="00073574" w:rsidRDefault="00211D4A" w:rsidP="00211D4A">
            <w:pPr>
              <w:pStyle w:val="Tabletext"/>
              <w:jc w:val="center"/>
              <w:rPr>
                <w:b/>
                <w:bCs/>
                <w:sz w:val="24"/>
                <w:szCs w:val="24"/>
              </w:rPr>
            </w:pPr>
          </w:p>
        </w:tc>
      </w:tr>
      <w:tr w:rsidR="00211D4A" w:rsidRPr="00073574" w14:paraId="457E5762" w14:textId="77777777" w:rsidTr="7277BFE4">
        <w:tc>
          <w:tcPr>
            <w:tcW w:w="1129" w:type="dxa"/>
            <w:vMerge/>
          </w:tcPr>
          <w:p w14:paraId="198778AC" w14:textId="77777777" w:rsidR="00211D4A" w:rsidRPr="00073574" w:rsidRDefault="00211D4A" w:rsidP="00211D4A">
            <w:pPr>
              <w:pStyle w:val="Tabletext"/>
              <w:rPr>
                <w:sz w:val="24"/>
                <w:szCs w:val="24"/>
              </w:rPr>
            </w:pPr>
          </w:p>
        </w:tc>
        <w:tc>
          <w:tcPr>
            <w:tcW w:w="8803" w:type="dxa"/>
            <w:gridSpan w:val="4"/>
            <w:tcBorders>
              <w:top w:val="single" w:sz="4" w:space="0" w:color="auto"/>
              <w:bottom w:val="single" w:sz="12" w:space="0" w:color="auto"/>
            </w:tcBorders>
            <w:shd w:val="clear" w:color="auto" w:fill="auto"/>
          </w:tcPr>
          <w:p w14:paraId="7D2D14A7" w14:textId="2AA22FD6" w:rsidR="00211D4A" w:rsidRPr="00073574" w:rsidRDefault="00211D4A" w:rsidP="00211D4A">
            <w:pPr>
              <w:pStyle w:val="Tabletext"/>
              <w:rPr>
                <w:sz w:val="24"/>
                <w:szCs w:val="24"/>
              </w:rPr>
            </w:pPr>
            <w:r w:rsidRPr="00073574">
              <w:rPr>
                <w:szCs w:val="22"/>
              </w:rPr>
              <w:t xml:space="preserve">The reports of the current activities on combating counterfeiting are contained in </w:t>
            </w:r>
            <w:hyperlink r:id="rId856" w:history="1">
              <w:r w:rsidRPr="00073574">
                <w:rPr>
                  <w:rStyle w:val="Hyperlink"/>
                  <w:szCs w:val="22"/>
                </w:rPr>
                <w:t>C17/24</w:t>
              </w:r>
            </w:hyperlink>
            <w:r w:rsidR="007A64B2" w:rsidRPr="00073574">
              <w:rPr>
                <w:szCs w:val="22"/>
              </w:rPr>
              <w:t xml:space="preserve"> </w:t>
            </w:r>
            <w:hyperlink r:id="rId857" w:history="1">
              <w:r w:rsidR="007A64B2" w:rsidRPr="00073574">
                <w:rPr>
                  <w:rStyle w:val="Hyperlink"/>
                  <w:szCs w:val="22"/>
                </w:rPr>
                <w:t>C19/35</w:t>
              </w:r>
            </w:hyperlink>
            <w:r w:rsidR="007A64B2" w:rsidRPr="00073574">
              <w:rPr>
                <w:rStyle w:val="Hyperlink"/>
                <w:szCs w:val="22"/>
              </w:rPr>
              <w:t>,</w:t>
            </w:r>
            <w:r w:rsidR="007A64B2" w:rsidRPr="00073574">
              <w:rPr>
                <w:rStyle w:val="Hyperlink"/>
              </w:rPr>
              <w:t xml:space="preserve"> </w:t>
            </w:r>
            <w:hyperlink r:id="rId858" w:history="1">
              <w:r w:rsidR="00EF28E3" w:rsidRPr="00073574">
                <w:rPr>
                  <w:rStyle w:val="Hyperlink"/>
                </w:rPr>
                <w:t>C20/35</w:t>
              </w:r>
            </w:hyperlink>
            <w:r w:rsidR="00EF28E3" w:rsidRPr="00073574">
              <w:rPr>
                <w:rStyle w:val="Hyperlink"/>
              </w:rPr>
              <w:t xml:space="preserve">, </w:t>
            </w:r>
            <w:hyperlink r:id="rId859" w:history="1">
              <w:r w:rsidR="007A64B2" w:rsidRPr="00073574">
                <w:rPr>
                  <w:rStyle w:val="Hyperlink"/>
                </w:rPr>
                <w:t>C21/35</w:t>
              </w:r>
            </w:hyperlink>
            <w:r w:rsidR="007A64B2" w:rsidRPr="00073574">
              <w:rPr>
                <w:szCs w:val="22"/>
              </w:rPr>
              <w:t xml:space="preserve"> Reports of TSB Director</w:t>
            </w:r>
            <w:r w:rsidRPr="00073574">
              <w:rPr>
                <w:szCs w:val="22"/>
              </w:rPr>
              <w:t>.</w:t>
            </w:r>
          </w:p>
        </w:tc>
      </w:tr>
      <w:tr w:rsidR="00211D4A" w:rsidRPr="00073574" w14:paraId="072E67A2" w14:textId="77777777" w:rsidTr="7277BFE4">
        <w:tc>
          <w:tcPr>
            <w:tcW w:w="1129" w:type="dxa"/>
            <w:vMerge w:val="restart"/>
            <w:tcBorders>
              <w:top w:val="single" w:sz="12" w:space="0" w:color="auto"/>
            </w:tcBorders>
            <w:shd w:val="clear" w:color="auto" w:fill="auto"/>
          </w:tcPr>
          <w:p w14:paraId="1AEB293D" w14:textId="08BB95A9" w:rsidR="00211D4A" w:rsidRPr="00073574" w:rsidRDefault="00211D4A" w:rsidP="006D3B50">
            <w:pPr>
              <w:pStyle w:val="Tabletext"/>
              <w:rPr>
                <w:b/>
                <w:bCs/>
                <w:sz w:val="24"/>
                <w:szCs w:val="24"/>
              </w:rPr>
            </w:pPr>
            <w:r w:rsidRPr="00073574">
              <w:rPr>
                <w:b/>
                <w:bCs/>
                <w:sz w:val="24"/>
                <w:szCs w:val="24"/>
              </w:rPr>
              <w:t>96-10</w:t>
            </w:r>
          </w:p>
        </w:tc>
        <w:tc>
          <w:tcPr>
            <w:tcW w:w="4966" w:type="dxa"/>
            <w:tcBorders>
              <w:top w:val="single" w:sz="12" w:space="0" w:color="auto"/>
              <w:bottom w:val="single" w:sz="4" w:space="0" w:color="auto"/>
            </w:tcBorders>
            <w:shd w:val="clear" w:color="auto" w:fill="auto"/>
          </w:tcPr>
          <w:p w14:paraId="4A99CC72" w14:textId="1DB3153E" w:rsidR="00211D4A" w:rsidRPr="00073574" w:rsidRDefault="00211D4A" w:rsidP="00202A1B">
            <w:pPr>
              <w:spacing w:before="40"/>
              <w:rPr>
                <w:b/>
                <w:bCs/>
                <w:sz w:val="24"/>
              </w:rPr>
            </w:pPr>
            <w:r w:rsidRPr="00073574">
              <w:rPr>
                <w:b/>
                <w:bCs/>
                <w:sz w:val="24"/>
              </w:rPr>
              <w:t>TSB Director to involve experts and external entities as appropriate (i. TSBDir 3)</w:t>
            </w:r>
          </w:p>
        </w:tc>
        <w:tc>
          <w:tcPr>
            <w:tcW w:w="1336" w:type="dxa"/>
            <w:tcBorders>
              <w:top w:val="single" w:sz="12" w:space="0" w:color="auto"/>
              <w:bottom w:val="single" w:sz="4" w:space="0" w:color="auto"/>
            </w:tcBorders>
            <w:shd w:val="clear" w:color="auto" w:fill="auto"/>
            <w:vAlign w:val="center"/>
          </w:tcPr>
          <w:p w14:paraId="09450F9A" w14:textId="7A42ACA2" w:rsidR="00211D4A" w:rsidRPr="00073574" w:rsidRDefault="00211D4A" w:rsidP="00211D4A">
            <w:pPr>
              <w:pStyle w:val="Tabletext"/>
              <w:jc w:val="center"/>
              <w:rPr>
                <w:b/>
                <w:bCs/>
                <w:sz w:val="24"/>
                <w:szCs w:val="24"/>
              </w:rPr>
            </w:pPr>
            <w:r w:rsidRPr="00073574">
              <w:rPr>
                <w:b/>
                <w:bCs/>
                <w:sz w:val="24"/>
                <w:szCs w:val="24"/>
              </w:rPr>
              <w:t>Ongoing</w:t>
            </w:r>
          </w:p>
        </w:tc>
        <w:tc>
          <w:tcPr>
            <w:tcW w:w="1143" w:type="dxa"/>
            <w:tcBorders>
              <w:top w:val="single" w:sz="12" w:space="0" w:color="auto"/>
              <w:bottom w:val="single" w:sz="4" w:space="0" w:color="auto"/>
            </w:tcBorders>
            <w:shd w:val="clear" w:color="auto" w:fill="auto"/>
            <w:vAlign w:val="center"/>
          </w:tcPr>
          <w:p w14:paraId="397446C9" w14:textId="6AE5BD22" w:rsidR="00211D4A" w:rsidRPr="00073574" w:rsidRDefault="00211D4A" w:rsidP="00211D4A">
            <w:pPr>
              <w:pStyle w:val="Tabletext"/>
              <w:jc w:val="center"/>
              <w:rPr>
                <w:b/>
                <w:bCs/>
                <w:sz w:val="24"/>
                <w:szCs w:val="24"/>
              </w:rPr>
            </w:pPr>
            <w:r w:rsidRPr="00073574">
              <w:rPr>
                <w:b/>
                <w:bCs/>
                <w:sz w:val="24"/>
                <w:szCs w:val="24"/>
              </w:rPr>
              <w:t>√</w:t>
            </w:r>
          </w:p>
        </w:tc>
        <w:tc>
          <w:tcPr>
            <w:tcW w:w="1358" w:type="dxa"/>
            <w:tcBorders>
              <w:top w:val="single" w:sz="12" w:space="0" w:color="auto"/>
              <w:bottom w:val="single" w:sz="4" w:space="0" w:color="auto"/>
            </w:tcBorders>
            <w:shd w:val="clear" w:color="auto" w:fill="auto"/>
            <w:vAlign w:val="center"/>
          </w:tcPr>
          <w:p w14:paraId="3CCC5D91" w14:textId="77777777" w:rsidR="00211D4A" w:rsidRPr="00073574" w:rsidRDefault="00211D4A" w:rsidP="00211D4A">
            <w:pPr>
              <w:pStyle w:val="Tabletext"/>
              <w:jc w:val="center"/>
              <w:rPr>
                <w:b/>
                <w:bCs/>
                <w:sz w:val="24"/>
                <w:szCs w:val="24"/>
              </w:rPr>
            </w:pPr>
          </w:p>
        </w:tc>
      </w:tr>
      <w:tr w:rsidR="00211D4A" w:rsidRPr="00073574" w14:paraId="342E7A8E" w14:textId="77777777" w:rsidTr="7277BFE4">
        <w:tc>
          <w:tcPr>
            <w:tcW w:w="1129" w:type="dxa"/>
            <w:vMerge/>
          </w:tcPr>
          <w:p w14:paraId="1A4A712B" w14:textId="77777777" w:rsidR="00211D4A" w:rsidRPr="00073574" w:rsidRDefault="00211D4A" w:rsidP="00211D4A">
            <w:pPr>
              <w:pStyle w:val="Tabletext"/>
              <w:rPr>
                <w:sz w:val="24"/>
                <w:szCs w:val="24"/>
              </w:rPr>
            </w:pPr>
          </w:p>
        </w:tc>
        <w:tc>
          <w:tcPr>
            <w:tcW w:w="8803" w:type="dxa"/>
            <w:gridSpan w:val="4"/>
            <w:tcBorders>
              <w:top w:val="single" w:sz="4" w:space="0" w:color="auto"/>
              <w:bottom w:val="single" w:sz="12" w:space="0" w:color="auto"/>
            </w:tcBorders>
            <w:shd w:val="clear" w:color="auto" w:fill="auto"/>
          </w:tcPr>
          <w:p w14:paraId="34E444C1" w14:textId="0A95ABFA" w:rsidR="00211D4A" w:rsidRPr="00073574" w:rsidRDefault="00211D4A" w:rsidP="00211D4A">
            <w:pPr>
              <w:pStyle w:val="Tabletext"/>
              <w:rPr>
                <w:sz w:val="24"/>
                <w:szCs w:val="24"/>
              </w:rPr>
            </w:pPr>
            <w:r w:rsidRPr="00073574">
              <w:rPr>
                <w:szCs w:val="22"/>
              </w:rPr>
              <w:t>ITU works in collaboration with relevant stakeholders.</w:t>
            </w:r>
          </w:p>
        </w:tc>
      </w:tr>
      <w:tr w:rsidR="00211D4A" w:rsidRPr="00073574" w14:paraId="2F298283" w14:textId="77777777" w:rsidTr="7277BFE4">
        <w:tc>
          <w:tcPr>
            <w:tcW w:w="1129" w:type="dxa"/>
            <w:vMerge w:val="restart"/>
            <w:tcBorders>
              <w:top w:val="single" w:sz="12" w:space="0" w:color="auto"/>
            </w:tcBorders>
            <w:shd w:val="clear" w:color="auto" w:fill="auto"/>
          </w:tcPr>
          <w:p w14:paraId="76205646" w14:textId="67D26320" w:rsidR="00211D4A" w:rsidRPr="00073574" w:rsidRDefault="00211D4A" w:rsidP="00161B6B">
            <w:pPr>
              <w:pStyle w:val="Tabletext"/>
              <w:keepNext/>
              <w:keepLines/>
              <w:rPr>
                <w:b/>
                <w:bCs/>
                <w:sz w:val="24"/>
                <w:szCs w:val="24"/>
              </w:rPr>
            </w:pPr>
            <w:r w:rsidRPr="00073574">
              <w:rPr>
                <w:b/>
                <w:bCs/>
                <w:sz w:val="24"/>
                <w:szCs w:val="24"/>
              </w:rPr>
              <w:t>96-11</w:t>
            </w:r>
          </w:p>
        </w:tc>
        <w:tc>
          <w:tcPr>
            <w:tcW w:w="4966" w:type="dxa"/>
            <w:tcBorders>
              <w:top w:val="single" w:sz="12" w:space="0" w:color="auto"/>
              <w:bottom w:val="single" w:sz="4" w:space="0" w:color="auto"/>
            </w:tcBorders>
            <w:shd w:val="clear" w:color="auto" w:fill="auto"/>
            <w:vAlign w:val="center"/>
          </w:tcPr>
          <w:p w14:paraId="519AC094" w14:textId="0D31B9C4" w:rsidR="00211D4A" w:rsidRPr="00073574" w:rsidRDefault="00211D4A" w:rsidP="00202A1B">
            <w:pPr>
              <w:spacing w:before="40"/>
              <w:rPr>
                <w:b/>
                <w:bCs/>
                <w:sz w:val="24"/>
              </w:rPr>
            </w:pPr>
            <w:r w:rsidRPr="00073574">
              <w:rPr>
                <w:b/>
                <w:bCs/>
                <w:sz w:val="24"/>
              </w:rPr>
              <w:t>TSB Director to assist Member States in addressing their concerns with respect to counterfeit and tampered telecommunication/ICT devices, through information sharing at regional or global level, including conformity assessment systems (i. TSBDir 1)</w:t>
            </w:r>
          </w:p>
        </w:tc>
        <w:tc>
          <w:tcPr>
            <w:tcW w:w="1336" w:type="dxa"/>
            <w:tcBorders>
              <w:top w:val="single" w:sz="12" w:space="0" w:color="auto"/>
              <w:bottom w:val="single" w:sz="4" w:space="0" w:color="auto"/>
            </w:tcBorders>
            <w:shd w:val="clear" w:color="auto" w:fill="auto"/>
            <w:vAlign w:val="center"/>
          </w:tcPr>
          <w:p w14:paraId="38DABF10" w14:textId="47B05757" w:rsidR="00211D4A" w:rsidRPr="00073574" w:rsidRDefault="00211D4A" w:rsidP="00211D4A">
            <w:pPr>
              <w:pStyle w:val="Tabletext"/>
              <w:jc w:val="center"/>
              <w:rPr>
                <w:b/>
                <w:bCs/>
                <w:sz w:val="24"/>
                <w:szCs w:val="24"/>
              </w:rPr>
            </w:pPr>
            <w:r w:rsidRPr="00073574">
              <w:rPr>
                <w:b/>
                <w:bCs/>
                <w:sz w:val="24"/>
                <w:szCs w:val="24"/>
              </w:rPr>
              <w:t>Ongoing</w:t>
            </w:r>
          </w:p>
        </w:tc>
        <w:tc>
          <w:tcPr>
            <w:tcW w:w="1143" w:type="dxa"/>
            <w:tcBorders>
              <w:top w:val="single" w:sz="12" w:space="0" w:color="auto"/>
              <w:bottom w:val="single" w:sz="4" w:space="0" w:color="auto"/>
            </w:tcBorders>
            <w:shd w:val="clear" w:color="auto" w:fill="auto"/>
            <w:vAlign w:val="center"/>
          </w:tcPr>
          <w:p w14:paraId="3AE0A5B9" w14:textId="531374DA" w:rsidR="00211D4A" w:rsidRPr="00073574" w:rsidRDefault="00211D4A" w:rsidP="00211D4A">
            <w:pPr>
              <w:pStyle w:val="Tabletext"/>
              <w:jc w:val="center"/>
              <w:rPr>
                <w:b/>
                <w:bCs/>
                <w:sz w:val="24"/>
                <w:szCs w:val="24"/>
              </w:rPr>
            </w:pPr>
            <w:r w:rsidRPr="00073574">
              <w:rPr>
                <w:b/>
                <w:bCs/>
                <w:sz w:val="24"/>
                <w:szCs w:val="24"/>
              </w:rPr>
              <w:t>√</w:t>
            </w:r>
          </w:p>
        </w:tc>
        <w:tc>
          <w:tcPr>
            <w:tcW w:w="1358" w:type="dxa"/>
            <w:tcBorders>
              <w:top w:val="single" w:sz="12" w:space="0" w:color="auto"/>
              <w:bottom w:val="single" w:sz="4" w:space="0" w:color="auto"/>
            </w:tcBorders>
            <w:shd w:val="clear" w:color="auto" w:fill="auto"/>
            <w:vAlign w:val="center"/>
          </w:tcPr>
          <w:p w14:paraId="57428D09" w14:textId="77777777" w:rsidR="00211D4A" w:rsidRPr="00073574" w:rsidRDefault="00211D4A" w:rsidP="00211D4A">
            <w:pPr>
              <w:pStyle w:val="Tabletext"/>
              <w:jc w:val="center"/>
              <w:rPr>
                <w:b/>
                <w:bCs/>
                <w:sz w:val="24"/>
                <w:szCs w:val="24"/>
              </w:rPr>
            </w:pPr>
          </w:p>
        </w:tc>
      </w:tr>
      <w:tr w:rsidR="00211D4A" w:rsidRPr="00073574" w14:paraId="63A7E4C6" w14:textId="77777777" w:rsidTr="7277BFE4">
        <w:tc>
          <w:tcPr>
            <w:tcW w:w="1129" w:type="dxa"/>
            <w:vMerge/>
          </w:tcPr>
          <w:p w14:paraId="6680B92C" w14:textId="77777777" w:rsidR="00211D4A" w:rsidRPr="00073574" w:rsidRDefault="00211D4A" w:rsidP="00211D4A">
            <w:pPr>
              <w:pStyle w:val="Tabletext"/>
              <w:rPr>
                <w:sz w:val="24"/>
                <w:szCs w:val="24"/>
              </w:rPr>
            </w:pPr>
          </w:p>
        </w:tc>
        <w:tc>
          <w:tcPr>
            <w:tcW w:w="8803" w:type="dxa"/>
            <w:gridSpan w:val="4"/>
            <w:tcBorders>
              <w:top w:val="single" w:sz="4" w:space="0" w:color="auto"/>
              <w:bottom w:val="single" w:sz="12" w:space="0" w:color="auto"/>
            </w:tcBorders>
            <w:shd w:val="clear" w:color="auto" w:fill="auto"/>
          </w:tcPr>
          <w:p w14:paraId="59A4E0CD" w14:textId="77777777" w:rsidR="00DE31EC" w:rsidRPr="00073574" w:rsidRDefault="00DE31EC" w:rsidP="00486465">
            <w:pPr>
              <w:spacing w:before="40"/>
              <w:rPr>
                <w:szCs w:val="22"/>
              </w:rPr>
            </w:pPr>
            <w:r w:rsidRPr="00073574">
              <w:rPr>
                <w:szCs w:val="22"/>
              </w:rPr>
              <w:t>SG11, at its February 2017 meeting, approved a technical report on "ITU survey report on counterfeit ICT devices in Africa region", gathers information on challenges, use cases and efforts in place to address the problem of counterfeit ICT devices and collects information from Member States in the region to progress the on-going study on Counterfeit ICT devices, in ITU-T SG11 and ITU-D Study Groups.</w:t>
            </w:r>
          </w:p>
          <w:p w14:paraId="2550FA08" w14:textId="77777777" w:rsidR="00DE31EC" w:rsidRPr="00073574" w:rsidRDefault="00DE31EC" w:rsidP="00DE31EC">
            <w:pPr>
              <w:pStyle w:val="Tabletext"/>
              <w:rPr>
                <w:szCs w:val="22"/>
              </w:rPr>
            </w:pPr>
            <w:r w:rsidRPr="00073574">
              <w:rPr>
                <w:szCs w:val="22"/>
              </w:rPr>
              <w:t>SG11 conducted several Regional workshops for Africa, as follows:</w:t>
            </w:r>
          </w:p>
          <w:p w14:paraId="2E94CB6A" w14:textId="77777777" w:rsidR="00DE31EC" w:rsidRPr="00073574" w:rsidRDefault="0053741E" w:rsidP="009811DD">
            <w:pPr>
              <w:pStyle w:val="ListParagraph"/>
              <w:numPr>
                <w:ilvl w:val="0"/>
                <w:numId w:val="83"/>
              </w:numPr>
              <w:shd w:val="clear" w:color="auto" w:fill="FFFFFF"/>
              <w:ind w:left="714" w:hanging="357"/>
              <w:contextualSpacing w:val="0"/>
              <w:textAlignment w:val="baseline"/>
            </w:pPr>
            <w:hyperlink r:id="rId860">
              <w:r w:rsidR="00DE31EC" w:rsidRPr="00073574">
                <w:rPr>
                  <w:rStyle w:val="Hyperlink"/>
                </w:rPr>
                <w:t>Counterfeit ICT Devices, Conformance and Interoperability Testing Challenges in Africa</w:t>
              </w:r>
            </w:hyperlink>
            <w:r w:rsidR="00DE31EC" w:rsidRPr="00073574">
              <w:t xml:space="preserve"> (5 April 2017, Cairo, Egypt);</w:t>
            </w:r>
          </w:p>
          <w:p w14:paraId="1D4C786D" w14:textId="3B9D7E4C" w:rsidR="00DE31EC" w:rsidRPr="00073574" w:rsidRDefault="00DE31EC" w:rsidP="009811DD">
            <w:pPr>
              <w:pStyle w:val="ListParagraph"/>
              <w:numPr>
                <w:ilvl w:val="0"/>
                <w:numId w:val="83"/>
              </w:numPr>
              <w:shd w:val="clear" w:color="auto" w:fill="FFFFFF"/>
              <w:ind w:left="714" w:hanging="357"/>
              <w:contextualSpacing w:val="0"/>
              <w:textAlignment w:val="baseline"/>
            </w:pPr>
            <w:r w:rsidRPr="00073574">
              <w:rPr>
                <w:rFonts w:asciiTheme="majorBidi" w:hAnsiTheme="majorBidi" w:cstheme="majorBidi"/>
              </w:rPr>
              <w:t>Counterfeit ICT Devices, Conformance and Interoperability Testing Challenges in Africa (Tunis, Tunisia on 23 April 2018)</w:t>
            </w:r>
            <w:r w:rsidR="00E25833" w:rsidRPr="00073574">
              <w:rPr>
                <w:rFonts w:asciiTheme="majorBidi" w:hAnsiTheme="majorBidi" w:cstheme="majorBidi"/>
              </w:rPr>
              <w:t>;</w:t>
            </w:r>
          </w:p>
          <w:p w14:paraId="375D478A" w14:textId="79DF1DE9" w:rsidR="00E25833" w:rsidRPr="00073574" w:rsidRDefault="00E25833" w:rsidP="009811DD">
            <w:pPr>
              <w:pStyle w:val="ListParagraph"/>
              <w:numPr>
                <w:ilvl w:val="0"/>
                <w:numId w:val="83"/>
              </w:numPr>
              <w:shd w:val="clear" w:color="auto" w:fill="FFFFFF"/>
              <w:ind w:left="714" w:hanging="357"/>
              <w:contextualSpacing w:val="0"/>
              <w:textAlignment w:val="baseline"/>
            </w:pPr>
            <w:r w:rsidRPr="00073574">
              <w:t>Counterfeit ICT Devices, Conformance and Interoperability Testing Challenges in Africa took place in Tunis, Tunisia on 30 September 2019</w:t>
            </w:r>
            <w:r w:rsidR="002154FE" w:rsidRPr="00073574">
              <w:t>.</w:t>
            </w:r>
          </w:p>
          <w:p w14:paraId="1D81525B" w14:textId="77777777" w:rsidR="00173515" w:rsidRPr="00073574" w:rsidRDefault="00DE31EC" w:rsidP="00DE31EC">
            <w:pPr>
              <w:pStyle w:val="Tabletext"/>
              <w:rPr>
                <w:rFonts w:asciiTheme="majorBidi" w:hAnsiTheme="majorBidi" w:cstheme="majorBidi"/>
                <w:szCs w:val="24"/>
              </w:rPr>
            </w:pPr>
            <w:r w:rsidRPr="00073574">
              <w:rPr>
                <w:rFonts w:asciiTheme="majorBidi" w:hAnsiTheme="majorBidi" w:cstheme="majorBidi"/>
              </w:rPr>
              <w:t xml:space="preserve">In July 2018, </w:t>
            </w:r>
            <w:r w:rsidRPr="00073574">
              <w:rPr>
                <w:rFonts w:asciiTheme="majorBidi" w:hAnsiTheme="majorBidi" w:cstheme="majorBidi"/>
                <w:szCs w:val="24"/>
              </w:rPr>
              <w:t xml:space="preserve">ITU-T SG11 organized a </w:t>
            </w:r>
            <w:hyperlink r:id="rId861" w:history="1">
              <w:r w:rsidRPr="00073574">
                <w:rPr>
                  <w:rStyle w:val="Hyperlink"/>
                  <w:rFonts w:asciiTheme="majorBidi" w:hAnsiTheme="majorBidi" w:cstheme="majorBidi"/>
                </w:rPr>
                <w:t>Workshop on "Global approaches on combating counterfeiting and stolen ICT devices"</w:t>
              </w:r>
            </w:hyperlink>
            <w:r w:rsidRPr="00073574">
              <w:rPr>
                <w:rFonts w:asciiTheme="majorBidi" w:hAnsiTheme="majorBidi" w:cstheme="majorBidi"/>
                <w:szCs w:val="24"/>
              </w:rPr>
              <w:t>.</w:t>
            </w:r>
          </w:p>
          <w:p w14:paraId="1EE8DB7C" w14:textId="0D222A64" w:rsidR="001537CD" w:rsidRPr="00073574" w:rsidRDefault="00893E34" w:rsidP="00DE31EC">
            <w:pPr>
              <w:pStyle w:val="Tabletext"/>
              <w:rPr>
                <w:szCs w:val="22"/>
              </w:rPr>
            </w:pPr>
            <w:r w:rsidRPr="00073574">
              <w:rPr>
                <w:rFonts w:asciiTheme="majorBidi" w:hAnsiTheme="majorBidi" w:cstheme="majorBidi"/>
                <w:szCs w:val="24"/>
              </w:rPr>
              <w:t xml:space="preserve">In </w:t>
            </w:r>
            <w:r w:rsidR="001537CD" w:rsidRPr="00073574">
              <w:rPr>
                <w:rFonts w:asciiTheme="majorBidi" w:hAnsiTheme="majorBidi" w:cstheme="majorBidi"/>
                <w:szCs w:val="24"/>
              </w:rPr>
              <w:t xml:space="preserve">May 2021, </w:t>
            </w:r>
            <w:r w:rsidR="001537CD" w:rsidRPr="00073574">
              <w:rPr>
                <w:szCs w:val="22"/>
              </w:rPr>
              <w:t xml:space="preserve">ITU organized two </w:t>
            </w:r>
            <w:r w:rsidR="0086324C" w:rsidRPr="00073574">
              <w:rPr>
                <w:szCs w:val="22"/>
              </w:rPr>
              <w:t>events</w:t>
            </w:r>
            <w:r w:rsidR="001537CD" w:rsidRPr="00073574">
              <w:rPr>
                <w:szCs w:val="22"/>
              </w:rPr>
              <w:t>:</w:t>
            </w:r>
          </w:p>
          <w:p w14:paraId="5FC4D73F" w14:textId="4F2EB386" w:rsidR="0086324C" w:rsidRPr="00073574" w:rsidRDefault="0086324C" w:rsidP="009811DD">
            <w:pPr>
              <w:pStyle w:val="ListParagraph"/>
              <w:numPr>
                <w:ilvl w:val="0"/>
                <w:numId w:val="83"/>
              </w:numPr>
              <w:shd w:val="clear" w:color="auto" w:fill="FFFFFF"/>
              <w:ind w:left="714" w:hanging="357"/>
              <w:contextualSpacing w:val="0"/>
              <w:textAlignment w:val="baseline"/>
              <w:rPr>
                <w:sz w:val="24"/>
              </w:rPr>
            </w:pPr>
            <w:r w:rsidRPr="00073574">
              <w:lastRenderedPageBreak/>
              <w:t xml:space="preserve">ITU Workshop on </w:t>
            </w:r>
            <w:r w:rsidR="001537CD" w:rsidRPr="00073574">
              <w:t>“Combating counterfeit telecommunication/ICT devices and software” during WSIS Forum 2021</w:t>
            </w:r>
          </w:p>
          <w:p w14:paraId="734CC82A" w14:textId="30D2A7BB" w:rsidR="00173515" w:rsidRPr="00073574" w:rsidRDefault="0086324C" w:rsidP="009811DD">
            <w:pPr>
              <w:pStyle w:val="ListParagraph"/>
              <w:numPr>
                <w:ilvl w:val="0"/>
                <w:numId w:val="83"/>
              </w:numPr>
              <w:shd w:val="clear" w:color="auto" w:fill="FFFFFF"/>
              <w:ind w:left="714" w:hanging="357"/>
              <w:contextualSpacing w:val="0"/>
              <w:textAlignment w:val="baseline"/>
              <w:rPr>
                <w:sz w:val="24"/>
              </w:rPr>
            </w:pPr>
            <w:r w:rsidRPr="00073574">
              <w:t>J</w:t>
            </w:r>
            <w:r w:rsidR="001537CD" w:rsidRPr="00073574">
              <w:t>oint ITU/MWF webinar on “Combating Counterfeit and Irregular Mobile Devices: How to address the Problem”.</w:t>
            </w:r>
          </w:p>
        </w:tc>
      </w:tr>
      <w:tr w:rsidR="00211D4A" w:rsidRPr="00073574" w14:paraId="6DDAD366" w14:textId="77777777" w:rsidTr="7277BFE4">
        <w:tc>
          <w:tcPr>
            <w:tcW w:w="1129" w:type="dxa"/>
            <w:vMerge w:val="restart"/>
            <w:tcBorders>
              <w:top w:val="single" w:sz="12" w:space="0" w:color="auto"/>
            </w:tcBorders>
            <w:shd w:val="clear" w:color="auto" w:fill="auto"/>
          </w:tcPr>
          <w:p w14:paraId="3B0060F6" w14:textId="216DAC51" w:rsidR="00211D4A" w:rsidRPr="00073574" w:rsidRDefault="00211D4A" w:rsidP="007F3ABA">
            <w:pPr>
              <w:pStyle w:val="Tabletext"/>
              <w:keepNext/>
              <w:keepLines/>
              <w:rPr>
                <w:b/>
                <w:bCs/>
                <w:sz w:val="24"/>
                <w:szCs w:val="24"/>
              </w:rPr>
            </w:pPr>
            <w:r w:rsidRPr="00073574">
              <w:rPr>
                <w:b/>
                <w:bCs/>
                <w:sz w:val="24"/>
                <w:szCs w:val="24"/>
              </w:rPr>
              <w:lastRenderedPageBreak/>
              <w:t>96-12</w:t>
            </w:r>
          </w:p>
        </w:tc>
        <w:tc>
          <w:tcPr>
            <w:tcW w:w="4966" w:type="dxa"/>
            <w:tcBorders>
              <w:top w:val="single" w:sz="12" w:space="0" w:color="auto"/>
              <w:bottom w:val="single" w:sz="4" w:space="0" w:color="auto"/>
            </w:tcBorders>
            <w:shd w:val="clear" w:color="auto" w:fill="auto"/>
          </w:tcPr>
          <w:p w14:paraId="18949FD3" w14:textId="077854A1" w:rsidR="00211D4A" w:rsidRPr="00073574" w:rsidRDefault="00211D4A" w:rsidP="00202A1B">
            <w:pPr>
              <w:spacing w:before="40"/>
              <w:rPr>
                <w:b/>
                <w:bCs/>
                <w:sz w:val="24"/>
              </w:rPr>
            </w:pPr>
            <w:r w:rsidRPr="00073574">
              <w:rPr>
                <w:b/>
                <w:bCs/>
                <w:sz w:val="24"/>
              </w:rPr>
              <w:t>TSB Director to assist all the membership, considering relevant ITU-T Recommendations, in taking the necessary actions to prevent or detect the tampering with and/or duplication of unique telecommunication/ICT device identifiers, interacting with other SDOs related to these matters (i. TSBDir 2)</w:t>
            </w:r>
          </w:p>
        </w:tc>
        <w:tc>
          <w:tcPr>
            <w:tcW w:w="1336" w:type="dxa"/>
            <w:tcBorders>
              <w:top w:val="single" w:sz="12" w:space="0" w:color="auto"/>
              <w:bottom w:val="single" w:sz="4" w:space="0" w:color="auto"/>
            </w:tcBorders>
            <w:shd w:val="clear" w:color="auto" w:fill="auto"/>
            <w:vAlign w:val="center"/>
          </w:tcPr>
          <w:p w14:paraId="18C42F0E" w14:textId="2E53569E" w:rsidR="00211D4A" w:rsidRPr="00073574" w:rsidRDefault="00211D4A" w:rsidP="00211D4A">
            <w:pPr>
              <w:pStyle w:val="Tabletext"/>
              <w:jc w:val="center"/>
              <w:rPr>
                <w:b/>
                <w:bCs/>
                <w:sz w:val="24"/>
                <w:szCs w:val="24"/>
              </w:rPr>
            </w:pPr>
            <w:r w:rsidRPr="00073574">
              <w:rPr>
                <w:b/>
                <w:bCs/>
                <w:sz w:val="24"/>
                <w:szCs w:val="24"/>
              </w:rPr>
              <w:t>Ongoing</w:t>
            </w:r>
          </w:p>
        </w:tc>
        <w:tc>
          <w:tcPr>
            <w:tcW w:w="1143" w:type="dxa"/>
            <w:tcBorders>
              <w:top w:val="single" w:sz="12" w:space="0" w:color="auto"/>
              <w:bottom w:val="single" w:sz="4" w:space="0" w:color="auto"/>
            </w:tcBorders>
            <w:shd w:val="clear" w:color="auto" w:fill="auto"/>
            <w:vAlign w:val="center"/>
          </w:tcPr>
          <w:p w14:paraId="394DF7EA" w14:textId="4E2EB2BB" w:rsidR="00211D4A" w:rsidRPr="00073574" w:rsidRDefault="00211D4A" w:rsidP="00211D4A">
            <w:pPr>
              <w:pStyle w:val="Tabletext"/>
              <w:jc w:val="center"/>
              <w:rPr>
                <w:b/>
                <w:bCs/>
                <w:sz w:val="24"/>
                <w:szCs w:val="24"/>
              </w:rPr>
            </w:pPr>
            <w:r w:rsidRPr="00073574">
              <w:rPr>
                <w:b/>
                <w:bCs/>
                <w:sz w:val="24"/>
                <w:szCs w:val="24"/>
              </w:rPr>
              <w:t>√</w:t>
            </w:r>
          </w:p>
        </w:tc>
        <w:tc>
          <w:tcPr>
            <w:tcW w:w="1358" w:type="dxa"/>
            <w:tcBorders>
              <w:top w:val="single" w:sz="12" w:space="0" w:color="auto"/>
              <w:bottom w:val="single" w:sz="4" w:space="0" w:color="auto"/>
            </w:tcBorders>
            <w:shd w:val="clear" w:color="auto" w:fill="auto"/>
            <w:vAlign w:val="center"/>
          </w:tcPr>
          <w:p w14:paraId="7F2C9EF3" w14:textId="77777777" w:rsidR="00211D4A" w:rsidRPr="00073574" w:rsidRDefault="00211D4A" w:rsidP="00211D4A">
            <w:pPr>
              <w:pStyle w:val="Tabletext"/>
              <w:jc w:val="center"/>
              <w:rPr>
                <w:b/>
                <w:bCs/>
                <w:sz w:val="24"/>
                <w:szCs w:val="24"/>
              </w:rPr>
            </w:pPr>
          </w:p>
        </w:tc>
      </w:tr>
      <w:tr w:rsidR="00211D4A" w:rsidRPr="00073574" w14:paraId="64E451A3" w14:textId="77777777" w:rsidTr="7277BFE4">
        <w:tc>
          <w:tcPr>
            <w:tcW w:w="1129" w:type="dxa"/>
            <w:vMerge/>
          </w:tcPr>
          <w:p w14:paraId="7EECEB75" w14:textId="77777777" w:rsidR="00211D4A" w:rsidRPr="00073574" w:rsidRDefault="00211D4A" w:rsidP="00211D4A">
            <w:pPr>
              <w:pStyle w:val="Tabletext"/>
              <w:rPr>
                <w:sz w:val="24"/>
                <w:szCs w:val="24"/>
              </w:rPr>
            </w:pPr>
          </w:p>
        </w:tc>
        <w:tc>
          <w:tcPr>
            <w:tcW w:w="8803" w:type="dxa"/>
            <w:gridSpan w:val="4"/>
            <w:tcBorders>
              <w:top w:val="single" w:sz="4" w:space="0" w:color="auto"/>
              <w:bottom w:val="single" w:sz="12" w:space="0" w:color="auto"/>
            </w:tcBorders>
            <w:shd w:val="clear" w:color="auto" w:fill="auto"/>
          </w:tcPr>
          <w:p w14:paraId="38BF640C" w14:textId="6A60C2D2" w:rsidR="0009558B" w:rsidRPr="00073574" w:rsidRDefault="0009558B" w:rsidP="002E241A">
            <w:pPr>
              <w:pStyle w:val="ListParagraph"/>
              <w:numPr>
                <w:ilvl w:val="0"/>
                <w:numId w:val="37"/>
              </w:numPr>
              <w:spacing w:before="40"/>
              <w:ind w:hanging="357"/>
            </w:pPr>
            <w:r w:rsidRPr="00073574">
              <w:t>SG11</w:t>
            </w:r>
            <w:r w:rsidR="00292AB5" w:rsidRPr="00073574">
              <w:t xml:space="preserve"> </w:t>
            </w:r>
            <w:r w:rsidR="00B259DC" w:rsidRPr="00073574">
              <w:t>approved</w:t>
            </w:r>
            <w:r w:rsidR="002D4C14" w:rsidRPr="00073574">
              <w:t xml:space="preserve"> Recommendation ITU-T</w:t>
            </w:r>
            <w:r w:rsidR="00B259DC" w:rsidRPr="00073574">
              <w:t xml:space="preserve"> </w:t>
            </w:r>
            <w:r w:rsidRPr="00073574">
              <w:t>Q.</w:t>
            </w:r>
            <w:r w:rsidR="00292AB5" w:rsidRPr="00073574">
              <w:t>4063</w:t>
            </w:r>
            <w:r w:rsidRPr="00073574">
              <w:t xml:space="preserve"> "The framework of testing of identification systems used in IoT".</w:t>
            </w:r>
          </w:p>
          <w:p w14:paraId="06E6A66D" w14:textId="660A19BC" w:rsidR="00292AB5" w:rsidRPr="00073574" w:rsidRDefault="00BA7E85" w:rsidP="00D44AD4">
            <w:pPr>
              <w:pStyle w:val="ListParagraph"/>
              <w:spacing w:after="120"/>
              <w:ind w:left="363"/>
              <w:contextualSpacing w:val="0"/>
              <w:rPr>
                <w:szCs w:val="22"/>
              </w:rPr>
            </w:pPr>
            <w:r w:rsidRPr="00073574">
              <w:rPr>
                <w:szCs w:val="22"/>
              </w:rPr>
              <w:t>Following the decision of Council-18 (C18/107, clause 2), ITU, in particular TSB, should be studying the questions raised by members on IMEI security in one of the ITU-T study groups. Council-18 report (C18/107) requested “ITU-T study groups, in particular Study Group 11, to continue to develop Recommendations, technical reports and guidelines to address the problems posed by counterfeits".</w:t>
            </w:r>
          </w:p>
          <w:p w14:paraId="2503C67B" w14:textId="3F7B0F88" w:rsidR="00FF5FE5" w:rsidRPr="00073574" w:rsidRDefault="00FF5FE5" w:rsidP="00FF5FE5">
            <w:pPr>
              <w:pStyle w:val="ListParagraph"/>
              <w:spacing w:after="120"/>
              <w:ind w:left="363"/>
              <w:contextualSpacing w:val="0"/>
              <w:rPr>
                <w:szCs w:val="22"/>
              </w:rPr>
            </w:pPr>
            <w:r w:rsidRPr="00073574">
              <w:rPr>
                <w:szCs w:val="22"/>
              </w:rPr>
              <w:t>TSB conducted</w:t>
            </w:r>
            <w:r w:rsidR="009F12A7" w:rsidRPr="00073574">
              <w:rPr>
                <w:szCs w:val="22"/>
              </w:rPr>
              <w:t xml:space="preserve"> a</w:t>
            </w:r>
            <w:r w:rsidRPr="00073574">
              <w:rPr>
                <w:szCs w:val="22"/>
              </w:rPr>
              <w:t xml:space="preserve"> Questionnaire on Reliability of International Mobile Equipment Identity (IMEI), which was initiated according to the ITU-T SG11 decision in October 2019 (TSB Circular 207).</w:t>
            </w:r>
          </w:p>
          <w:p w14:paraId="71072D97" w14:textId="321CFF12" w:rsidR="00FF5FE5" w:rsidRPr="00073574" w:rsidRDefault="00FF5FE5" w:rsidP="00D44AD4">
            <w:pPr>
              <w:pStyle w:val="ListParagraph"/>
              <w:spacing w:after="120"/>
              <w:ind w:left="363"/>
              <w:contextualSpacing w:val="0"/>
              <w:rPr>
                <w:szCs w:val="22"/>
              </w:rPr>
            </w:pPr>
            <w:r w:rsidRPr="00073574">
              <w:rPr>
                <w:szCs w:val="22"/>
              </w:rPr>
              <w:t>In July 2020, based on the report developed by TSB, SG11 agreed</w:t>
            </w:r>
            <w:r w:rsidR="002D4C14" w:rsidRPr="00073574">
              <w:rPr>
                <w:szCs w:val="22"/>
              </w:rPr>
              <w:t xml:space="preserve"> </w:t>
            </w:r>
            <w:r w:rsidRPr="00073574">
              <w:rPr>
                <w:szCs w:val="22"/>
              </w:rPr>
              <w:t>Technical Report Q</w:t>
            </w:r>
            <w:r w:rsidR="00BA7E85" w:rsidRPr="00073574">
              <w:rPr>
                <w:szCs w:val="22"/>
              </w:rPr>
              <w:t>TR-RLB-IMEI "Reliability of IMEI identifier". This technical report contains a study about key vulnerabilities on IMEI reprogramming on mobile devices and proposals to improve IMEI reliability.</w:t>
            </w:r>
          </w:p>
          <w:p w14:paraId="6793DA40" w14:textId="77777777" w:rsidR="001D0DD1" w:rsidRPr="00073574" w:rsidRDefault="00E25833" w:rsidP="002E241A">
            <w:pPr>
              <w:pStyle w:val="ListParagraph"/>
              <w:numPr>
                <w:ilvl w:val="0"/>
                <w:numId w:val="37"/>
              </w:numPr>
              <w:ind w:hanging="357"/>
              <w:contextualSpacing w:val="0"/>
            </w:pPr>
            <w:r w:rsidRPr="00073574">
              <w:rPr>
                <w:szCs w:val="22"/>
              </w:rPr>
              <w:t xml:space="preserve">SG11 </w:t>
            </w:r>
            <w:r w:rsidR="0071667A" w:rsidRPr="00073574">
              <w:rPr>
                <w:szCs w:val="22"/>
              </w:rPr>
              <w:t xml:space="preserve">approved </w:t>
            </w:r>
            <w:r w:rsidRPr="00073574">
              <w:rPr>
                <w:rFonts w:asciiTheme="majorBidi" w:hAnsiTheme="majorBidi" w:cstheme="majorBidi"/>
                <w:szCs w:val="22"/>
              </w:rPr>
              <w:t xml:space="preserve">Recommendation ITU-T </w:t>
            </w:r>
            <w:r w:rsidR="0071667A" w:rsidRPr="00073574">
              <w:rPr>
                <w:rFonts w:asciiTheme="majorBidi" w:hAnsiTheme="majorBidi" w:cstheme="majorBidi"/>
                <w:szCs w:val="22"/>
              </w:rPr>
              <w:t xml:space="preserve">Q.5053 </w:t>
            </w:r>
            <w:r w:rsidRPr="00073574">
              <w:rPr>
                <w:rFonts w:asciiTheme="majorBidi" w:hAnsiTheme="majorBidi" w:cstheme="majorBidi"/>
                <w:szCs w:val="22"/>
              </w:rPr>
              <w:t>“</w:t>
            </w:r>
            <w:r w:rsidR="00012D78" w:rsidRPr="00073574">
              <w:rPr>
                <w:rFonts w:asciiTheme="majorBidi" w:hAnsiTheme="majorBidi" w:cstheme="majorBidi"/>
                <w:szCs w:val="22"/>
              </w:rPr>
              <w:t>Mobile device access list audit interface</w:t>
            </w:r>
            <w:r w:rsidRPr="00073574">
              <w:rPr>
                <w:rFonts w:asciiTheme="majorBidi" w:hAnsiTheme="majorBidi" w:cstheme="majorBidi"/>
                <w:szCs w:val="22"/>
              </w:rPr>
              <w:t>”</w:t>
            </w:r>
            <w:r w:rsidR="0033571C" w:rsidRPr="00073574">
              <w:rPr>
                <w:rFonts w:asciiTheme="majorBidi" w:hAnsiTheme="majorBidi" w:cstheme="majorBidi"/>
                <w:szCs w:val="22"/>
              </w:rPr>
              <w:t xml:space="preserve"> and </w:t>
            </w:r>
            <w:r w:rsidR="00012D78" w:rsidRPr="00073574">
              <w:rPr>
                <w:rFonts w:asciiTheme="majorBidi" w:hAnsiTheme="majorBidi" w:cstheme="majorBidi"/>
                <w:szCs w:val="22"/>
              </w:rPr>
              <w:t xml:space="preserve">Recommendation </w:t>
            </w:r>
            <w:r w:rsidR="0033571C" w:rsidRPr="00073574">
              <w:rPr>
                <w:szCs w:val="22"/>
              </w:rPr>
              <w:t xml:space="preserve">ITU-T </w:t>
            </w:r>
            <w:r w:rsidRPr="00073574">
              <w:rPr>
                <w:szCs w:val="22"/>
              </w:rPr>
              <w:t>Q.</w:t>
            </w:r>
            <w:r w:rsidR="0033571C" w:rsidRPr="00073574">
              <w:rPr>
                <w:szCs w:val="22"/>
              </w:rPr>
              <w:t>5052</w:t>
            </w:r>
            <w:r w:rsidRPr="00073574">
              <w:rPr>
                <w:szCs w:val="22"/>
              </w:rPr>
              <w:t xml:space="preserve"> “Addressing ICT mobile devices with duplicate unique identifiers”.</w:t>
            </w:r>
          </w:p>
          <w:p w14:paraId="6211EE00" w14:textId="57234540" w:rsidR="00211D4A" w:rsidRPr="00073574" w:rsidRDefault="0009558B" w:rsidP="002E241A">
            <w:pPr>
              <w:pStyle w:val="ListParagraph"/>
              <w:numPr>
                <w:ilvl w:val="0"/>
                <w:numId w:val="37"/>
              </w:numPr>
              <w:ind w:hanging="357"/>
              <w:contextualSpacing w:val="0"/>
            </w:pPr>
            <w:r w:rsidRPr="00073574">
              <w:t xml:space="preserve">SG20 </w:t>
            </w:r>
            <w:r w:rsidR="002F6ED1" w:rsidRPr="00073574">
              <w:t>approved Recommendation ITU-T Y.4808 "Digital entity architecture framework to combat counterfeiting in IoT.</w:t>
            </w:r>
          </w:p>
        </w:tc>
      </w:tr>
      <w:tr w:rsidR="00211D4A" w:rsidRPr="00073574" w14:paraId="5FA287F2" w14:textId="77777777" w:rsidTr="7277BFE4">
        <w:tc>
          <w:tcPr>
            <w:tcW w:w="1129" w:type="dxa"/>
            <w:vMerge w:val="restart"/>
            <w:tcBorders>
              <w:top w:val="single" w:sz="12" w:space="0" w:color="auto"/>
            </w:tcBorders>
            <w:shd w:val="clear" w:color="auto" w:fill="auto"/>
          </w:tcPr>
          <w:p w14:paraId="261CB9AD" w14:textId="153C741D" w:rsidR="00211D4A" w:rsidRPr="00073574" w:rsidRDefault="00211D4A" w:rsidP="00BD6575">
            <w:pPr>
              <w:pStyle w:val="Tabletext"/>
              <w:keepNext/>
              <w:keepLines/>
              <w:rPr>
                <w:b/>
                <w:bCs/>
                <w:sz w:val="24"/>
                <w:szCs w:val="24"/>
              </w:rPr>
            </w:pPr>
            <w:r w:rsidRPr="00073574">
              <w:rPr>
                <w:b/>
                <w:bCs/>
                <w:sz w:val="24"/>
                <w:szCs w:val="24"/>
              </w:rPr>
              <w:t>96-13</w:t>
            </w:r>
          </w:p>
        </w:tc>
        <w:tc>
          <w:tcPr>
            <w:tcW w:w="4966" w:type="dxa"/>
            <w:tcBorders>
              <w:top w:val="single" w:sz="12" w:space="0" w:color="auto"/>
              <w:bottom w:val="single" w:sz="4" w:space="0" w:color="auto"/>
            </w:tcBorders>
            <w:shd w:val="clear" w:color="auto" w:fill="auto"/>
          </w:tcPr>
          <w:p w14:paraId="370BE50F" w14:textId="4B3F3C86" w:rsidR="00211D4A" w:rsidRPr="00073574" w:rsidRDefault="00211D4A" w:rsidP="00202A1B">
            <w:pPr>
              <w:spacing w:before="40"/>
              <w:rPr>
                <w:b/>
                <w:bCs/>
                <w:sz w:val="24"/>
              </w:rPr>
            </w:pPr>
            <w:r w:rsidRPr="00073574">
              <w:rPr>
                <w:b/>
                <w:bCs/>
                <w:sz w:val="24"/>
              </w:rPr>
              <w:t>SG11 to continue developing Recommendations, technical reports and guidelines to address the problem of counterfeit and tampered ICT equipment and to support the Member States in anti-counterfeiting activities (i. SG11 1)</w:t>
            </w:r>
          </w:p>
        </w:tc>
        <w:tc>
          <w:tcPr>
            <w:tcW w:w="1336" w:type="dxa"/>
            <w:tcBorders>
              <w:top w:val="single" w:sz="12" w:space="0" w:color="auto"/>
              <w:bottom w:val="single" w:sz="4" w:space="0" w:color="auto"/>
            </w:tcBorders>
            <w:shd w:val="clear" w:color="auto" w:fill="auto"/>
            <w:vAlign w:val="center"/>
          </w:tcPr>
          <w:p w14:paraId="5E5F47AA" w14:textId="5401BF2A" w:rsidR="00211D4A" w:rsidRPr="00073574" w:rsidRDefault="00211D4A" w:rsidP="00211D4A">
            <w:pPr>
              <w:pStyle w:val="Tabletext"/>
              <w:jc w:val="center"/>
              <w:rPr>
                <w:b/>
                <w:bCs/>
                <w:sz w:val="24"/>
                <w:szCs w:val="24"/>
              </w:rPr>
            </w:pPr>
            <w:r w:rsidRPr="00073574">
              <w:rPr>
                <w:b/>
                <w:bCs/>
                <w:sz w:val="24"/>
                <w:szCs w:val="24"/>
              </w:rPr>
              <w:t>Ongoing</w:t>
            </w:r>
          </w:p>
        </w:tc>
        <w:tc>
          <w:tcPr>
            <w:tcW w:w="1143" w:type="dxa"/>
            <w:tcBorders>
              <w:top w:val="single" w:sz="12" w:space="0" w:color="auto"/>
              <w:bottom w:val="single" w:sz="4" w:space="0" w:color="auto"/>
            </w:tcBorders>
            <w:shd w:val="clear" w:color="auto" w:fill="auto"/>
            <w:vAlign w:val="center"/>
          </w:tcPr>
          <w:p w14:paraId="084D2F16" w14:textId="620F89F8" w:rsidR="00211D4A" w:rsidRPr="00073574" w:rsidRDefault="00211D4A" w:rsidP="00211D4A">
            <w:pPr>
              <w:pStyle w:val="Tabletext"/>
              <w:jc w:val="center"/>
              <w:rPr>
                <w:b/>
                <w:bCs/>
                <w:sz w:val="24"/>
                <w:szCs w:val="24"/>
              </w:rPr>
            </w:pPr>
            <w:r w:rsidRPr="00073574">
              <w:rPr>
                <w:b/>
                <w:bCs/>
                <w:sz w:val="24"/>
                <w:szCs w:val="24"/>
              </w:rPr>
              <w:t>√</w:t>
            </w:r>
          </w:p>
        </w:tc>
        <w:tc>
          <w:tcPr>
            <w:tcW w:w="1358" w:type="dxa"/>
            <w:tcBorders>
              <w:top w:val="single" w:sz="12" w:space="0" w:color="auto"/>
              <w:bottom w:val="single" w:sz="4" w:space="0" w:color="auto"/>
            </w:tcBorders>
            <w:shd w:val="clear" w:color="auto" w:fill="auto"/>
            <w:vAlign w:val="center"/>
          </w:tcPr>
          <w:p w14:paraId="141408CE" w14:textId="77777777" w:rsidR="00211D4A" w:rsidRPr="00073574" w:rsidRDefault="00211D4A" w:rsidP="00211D4A">
            <w:pPr>
              <w:pStyle w:val="Tabletext"/>
              <w:jc w:val="center"/>
              <w:rPr>
                <w:b/>
                <w:bCs/>
                <w:sz w:val="24"/>
                <w:szCs w:val="24"/>
              </w:rPr>
            </w:pPr>
          </w:p>
        </w:tc>
      </w:tr>
      <w:tr w:rsidR="00211D4A" w:rsidRPr="00073574" w14:paraId="0C192425" w14:textId="77777777" w:rsidTr="7277BFE4">
        <w:tc>
          <w:tcPr>
            <w:tcW w:w="1129" w:type="dxa"/>
            <w:vMerge/>
          </w:tcPr>
          <w:p w14:paraId="79464932" w14:textId="77777777" w:rsidR="00211D4A" w:rsidRPr="00073574" w:rsidRDefault="00211D4A" w:rsidP="00211D4A">
            <w:pPr>
              <w:pStyle w:val="Tabletext"/>
              <w:rPr>
                <w:sz w:val="24"/>
                <w:szCs w:val="24"/>
              </w:rPr>
            </w:pPr>
          </w:p>
        </w:tc>
        <w:tc>
          <w:tcPr>
            <w:tcW w:w="8803" w:type="dxa"/>
            <w:gridSpan w:val="4"/>
            <w:tcBorders>
              <w:top w:val="single" w:sz="4" w:space="0" w:color="auto"/>
              <w:bottom w:val="single" w:sz="12" w:space="0" w:color="auto"/>
            </w:tcBorders>
            <w:shd w:val="clear" w:color="auto" w:fill="auto"/>
          </w:tcPr>
          <w:p w14:paraId="1872EDCA" w14:textId="092CD586" w:rsidR="00211D4A" w:rsidRPr="00073574" w:rsidRDefault="00211D4A" w:rsidP="00211D4A">
            <w:pPr>
              <w:pStyle w:val="Tabletext"/>
              <w:rPr>
                <w:sz w:val="24"/>
                <w:szCs w:val="24"/>
              </w:rPr>
            </w:pPr>
            <w:r w:rsidRPr="00073574">
              <w:rPr>
                <w:szCs w:val="22"/>
              </w:rPr>
              <w:t>SG11: see 96-01.</w:t>
            </w:r>
          </w:p>
        </w:tc>
      </w:tr>
      <w:tr w:rsidR="00211D4A" w:rsidRPr="00073574" w14:paraId="1FDBAC6B" w14:textId="77777777" w:rsidTr="7277BFE4">
        <w:tc>
          <w:tcPr>
            <w:tcW w:w="1129" w:type="dxa"/>
            <w:vMerge w:val="restart"/>
            <w:tcBorders>
              <w:top w:val="single" w:sz="12" w:space="0" w:color="auto"/>
            </w:tcBorders>
            <w:shd w:val="clear" w:color="auto" w:fill="auto"/>
          </w:tcPr>
          <w:p w14:paraId="3B8C570A" w14:textId="7E9140FE" w:rsidR="00211D4A" w:rsidRPr="00073574" w:rsidRDefault="00211D4A" w:rsidP="00211D4A">
            <w:pPr>
              <w:pStyle w:val="Tabletext"/>
              <w:rPr>
                <w:b/>
                <w:bCs/>
                <w:sz w:val="24"/>
                <w:szCs w:val="24"/>
              </w:rPr>
            </w:pPr>
            <w:r w:rsidRPr="00073574">
              <w:rPr>
                <w:b/>
                <w:bCs/>
                <w:sz w:val="24"/>
                <w:szCs w:val="24"/>
              </w:rPr>
              <w:t>96-14</w:t>
            </w:r>
          </w:p>
        </w:tc>
        <w:tc>
          <w:tcPr>
            <w:tcW w:w="4966" w:type="dxa"/>
            <w:tcBorders>
              <w:top w:val="single" w:sz="12" w:space="0" w:color="auto"/>
              <w:bottom w:val="single" w:sz="4" w:space="0" w:color="auto"/>
            </w:tcBorders>
            <w:shd w:val="clear" w:color="auto" w:fill="auto"/>
          </w:tcPr>
          <w:p w14:paraId="11F3EBEF" w14:textId="2577569F" w:rsidR="00211D4A" w:rsidRPr="00073574" w:rsidRDefault="00211D4A" w:rsidP="00202A1B">
            <w:pPr>
              <w:spacing w:before="40"/>
              <w:rPr>
                <w:b/>
                <w:bCs/>
                <w:sz w:val="24"/>
              </w:rPr>
            </w:pPr>
            <w:r w:rsidRPr="00073574">
              <w:rPr>
                <w:b/>
                <w:bCs/>
                <w:sz w:val="24"/>
              </w:rPr>
              <w:t>SG11 to collect, analyse and exchange information about counterfeiting and tampering practices in the ICT sector, and how ICTs could be used as a tool to combat them; (i. SG11 2, 3)</w:t>
            </w:r>
          </w:p>
        </w:tc>
        <w:tc>
          <w:tcPr>
            <w:tcW w:w="1336" w:type="dxa"/>
            <w:tcBorders>
              <w:top w:val="single" w:sz="12" w:space="0" w:color="auto"/>
              <w:bottom w:val="single" w:sz="4" w:space="0" w:color="auto"/>
            </w:tcBorders>
            <w:shd w:val="clear" w:color="auto" w:fill="auto"/>
            <w:vAlign w:val="center"/>
          </w:tcPr>
          <w:p w14:paraId="55AEE65F" w14:textId="6E42DF76" w:rsidR="00211D4A" w:rsidRPr="00073574" w:rsidRDefault="00211D4A" w:rsidP="00211D4A">
            <w:pPr>
              <w:pStyle w:val="Tabletext"/>
              <w:jc w:val="center"/>
              <w:rPr>
                <w:b/>
                <w:bCs/>
                <w:sz w:val="24"/>
                <w:szCs w:val="24"/>
              </w:rPr>
            </w:pPr>
            <w:r w:rsidRPr="00073574">
              <w:rPr>
                <w:b/>
                <w:bCs/>
                <w:sz w:val="24"/>
                <w:szCs w:val="24"/>
              </w:rPr>
              <w:t>Ongoing</w:t>
            </w:r>
          </w:p>
        </w:tc>
        <w:tc>
          <w:tcPr>
            <w:tcW w:w="1143" w:type="dxa"/>
            <w:tcBorders>
              <w:top w:val="single" w:sz="12" w:space="0" w:color="auto"/>
              <w:bottom w:val="single" w:sz="4" w:space="0" w:color="auto"/>
            </w:tcBorders>
            <w:shd w:val="clear" w:color="auto" w:fill="auto"/>
            <w:vAlign w:val="center"/>
          </w:tcPr>
          <w:p w14:paraId="31C8AD58" w14:textId="16839992" w:rsidR="00211D4A" w:rsidRPr="00073574" w:rsidRDefault="00211D4A" w:rsidP="00211D4A">
            <w:pPr>
              <w:pStyle w:val="Tabletext"/>
              <w:jc w:val="center"/>
              <w:rPr>
                <w:b/>
                <w:bCs/>
                <w:sz w:val="24"/>
                <w:szCs w:val="24"/>
              </w:rPr>
            </w:pPr>
            <w:r w:rsidRPr="00073574">
              <w:rPr>
                <w:b/>
                <w:bCs/>
                <w:sz w:val="24"/>
                <w:szCs w:val="24"/>
              </w:rPr>
              <w:t>√</w:t>
            </w:r>
          </w:p>
        </w:tc>
        <w:tc>
          <w:tcPr>
            <w:tcW w:w="1358" w:type="dxa"/>
            <w:tcBorders>
              <w:top w:val="single" w:sz="12" w:space="0" w:color="auto"/>
              <w:bottom w:val="single" w:sz="4" w:space="0" w:color="auto"/>
            </w:tcBorders>
            <w:shd w:val="clear" w:color="auto" w:fill="auto"/>
            <w:vAlign w:val="center"/>
          </w:tcPr>
          <w:p w14:paraId="7AAED2D8" w14:textId="77777777" w:rsidR="00211D4A" w:rsidRPr="00073574" w:rsidRDefault="00211D4A" w:rsidP="00211D4A">
            <w:pPr>
              <w:pStyle w:val="Tabletext"/>
              <w:jc w:val="center"/>
              <w:rPr>
                <w:b/>
                <w:bCs/>
                <w:sz w:val="24"/>
                <w:szCs w:val="24"/>
              </w:rPr>
            </w:pPr>
          </w:p>
        </w:tc>
      </w:tr>
      <w:tr w:rsidR="00211D4A" w:rsidRPr="00073574" w14:paraId="3A2FFAFD" w14:textId="77777777" w:rsidTr="7277BFE4">
        <w:tc>
          <w:tcPr>
            <w:tcW w:w="1129" w:type="dxa"/>
            <w:vMerge/>
          </w:tcPr>
          <w:p w14:paraId="497259C4" w14:textId="77777777" w:rsidR="00211D4A" w:rsidRPr="00073574" w:rsidRDefault="00211D4A" w:rsidP="00211D4A">
            <w:pPr>
              <w:pStyle w:val="Tabletext"/>
              <w:rPr>
                <w:sz w:val="24"/>
                <w:szCs w:val="24"/>
              </w:rPr>
            </w:pPr>
          </w:p>
        </w:tc>
        <w:tc>
          <w:tcPr>
            <w:tcW w:w="8803" w:type="dxa"/>
            <w:gridSpan w:val="4"/>
            <w:tcBorders>
              <w:top w:val="single" w:sz="4" w:space="0" w:color="auto"/>
              <w:bottom w:val="single" w:sz="12" w:space="0" w:color="auto"/>
            </w:tcBorders>
            <w:shd w:val="clear" w:color="auto" w:fill="auto"/>
          </w:tcPr>
          <w:p w14:paraId="42EA8653" w14:textId="7F9313E8" w:rsidR="00211D4A" w:rsidRPr="00073574" w:rsidRDefault="00211D4A" w:rsidP="00211D4A">
            <w:pPr>
              <w:pStyle w:val="Tabletext"/>
              <w:rPr>
                <w:sz w:val="24"/>
                <w:szCs w:val="24"/>
              </w:rPr>
            </w:pPr>
            <w:r w:rsidRPr="00073574">
              <w:rPr>
                <w:szCs w:val="22"/>
              </w:rPr>
              <w:t xml:space="preserve">SG11 </w:t>
            </w:r>
            <w:r w:rsidR="00A75537" w:rsidRPr="00073574">
              <w:rPr>
                <w:szCs w:val="22"/>
              </w:rPr>
              <w:t xml:space="preserve">approved </w:t>
            </w:r>
            <w:r w:rsidR="00A75537" w:rsidRPr="00073574">
              <w:rPr>
                <w:rFonts w:asciiTheme="majorBidi" w:hAnsiTheme="majorBidi" w:cstheme="majorBidi"/>
                <w:szCs w:val="22"/>
              </w:rPr>
              <w:t>Q Supplement 75 “Use Cases on the Combat of Counterfeit ICT and Stolen Mobile Devices”</w:t>
            </w:r>
            <w:r w:rsidRPr="00073574">
              <w:rPr>
                <w:szCs w:val="22"/>
              </w:rPr>
              <w:t>.</w:t>
            </w:r>
          </w:p>
        </w:tc>
      </w:tr>
      <w:tr w:rsidR="00211D4A" w:rsidRPr="00073574" w14:paraId="4E34A63A" w14:textId="77777777" w:rsidTr="7277BFE4">
        <w:tc>
          <w:tcPr>
            <w:tcW w:w="1129" w:type="dxa"/>
            <w:vMerge w:val="restart"/>
            <w:tcBorders>
              <w:top w:val="single" w:sz="12" w:space="0" w:color="auto"/>
            </w:tcBorders>
            <w:shd w:val="clear" w:color="auto" w:fill="auto"/>
          </w:tcPr>
          <w:p w14:paraId="5DBC97C5" w14:textId="45B659CB" w:rsidR="00211D4A" w:rsidRPr="00073574" w:rsidRDefault="00211D4A" w:rsidP="00803D3F">
            <w:pPr>
              <w:pStyle w:val="Tabletext"/>
              <w:keepNext/>
              <w:keepLines/>
              <w:rPr>
                <w:b/>
                <w:bCs/>
                <w:sz w:val="24"/>
                <w:szCs w:val="24"/>
              </w:rPr>
            </w:pPr>
            <w:r w:rsidRPr="00073574">
              <w:rPr>
                <w:b/>
                <w:bCs/>
                <w:sz w:val="24"/>
                <w:szCs w:val="24"/>
              </w:rPr>
              <w:lastRenderedPageBreak/>
              <w:t>96-15</w:t>
            </w:r>
          </w:p>
        </w:tc>
        <w:tc>
          <w:tcPr>
            <w:tcW w:w="4966" w:type="dxa"/>
            <w:tcBorders>
              <w:top w:val="single" w:sz="12" w:space="0" w:color="auto"/>
              <w:bottom w:val="single" w:sz="4" w:space="0" w:color="auto"/>
            </w:tcBorders>
            <w:shd w:val="clear" w:color="auto" w:fill="auto"/>
          </w:tcPr>
          <w:p w14:paraId="7F9FA4D9" w14:textId="77777777" w:rsidR="00211D4A" w:rsidRPr="00073574" w:rsidRDefault="00211D4A" w:rsidP="00211D4A">
            <w:pPr>
              <w:pStyle w:val="Tabletext"/>
              <w:rPr>
                <w:b/>
                <w:bCs/>
                <w:sz w:val="24"/>
                <w:szCs w:val="24"/>
              </w:rPr>
            </w:pPr>
            <w:r w:rsidRPr="00073574">
              <w:rPr>
                <w:b/>
                <w:bCs/>
                <w:sz w:val="24"/>
                <w:szCs w:val="24"/>
              </w:rPr>
              <w:t>SG11 to study existing as well as new reliable, unique, persistent and secure identifiers, in collaboration with ITU-T Study Groups 2, 17 and 20, that have the potential to be used in combating counterfeit and tampered products and telecommunication/ICT devices, including their scope of application and level of security in the context of their possible duplication/cloning;</w:t>
            </w:r>
          </w:p>
          <w:p w14:paraId="271754EF" w14:textId="2A840C73" w:rsidR="00211D4A" w:rsidRPr="00073574" w:rsidRDefault="00211D4A" w:rsidP="00211D4A">
            <w:pPr>
              <w:rPr>
                <w:b/>
                <w:bCs/>
                <w:sz w:val="24"/>
              </w:rPr>
            </w:pPr>
            <w:r w:rsidRPr="00073574">
              <w:rPr>
                <w:b/>
                <w:bCs/>
                <w:sz w:val="24"/>
              </w:rPr>
              <w:t>and to develop methods of assessing and verifying identifiers used for purposes of combating counterfeit production (i. SG11 3, 4)</w:t>
            </w:r>
          </w:p>
        </w:tc>
        <w:tc>
          <w:tcPr>
            <w:tcW w:w="1336" w:type="dxa"/>
            <w:tcBorders>
              <w:top w:val="single" w:sz="12" w:space="0" w:color="auto"/>
              <w:bottom w:val="single" w:sz="4" w:space="0" w:color="auto"/>
            </w:tcBorders>
            <w:shd w:val="clear" w:color="auto" w:fill="auto"/>
            <w:vAlign w:val="center"/>
          </w:tcPr>
          <w:p w14:paraId="45220BAC" w14:textId="26DE55BF" w:rsidR="00211D4A" w:rsidRPr="00073574" w:rsidRDefault="00211D4A" w:rsidP="00211D4A">
            <w:pPr>
              <w:pStyle w:val="Tabletext"/>
              <w:jc w:val="center"/>
              <w:rPr>
                <w:b/>
                <w:bCs/>
                <w:sz w:val="24"/>
                <w:szCs w:val="24"/>
              </w:rPr>
            </w:pPr>
            <w:r w:rsidRPr="00073574">
              <w:rPr>
                <w:b/>
                <w:bCs/>
                <w:sz w:val="24"/>
                <w:szCs w:val="24"/>
              </w:rPr>
              <w:t>Ongoing</w:t>
            </w:r>
          </w:p>
        </w:tc>
        <w:tc>
          <w:tcPr>
            <w:tcW w:w="1143" w:type="dxa"/>
            <w:tcBorders>
              <w:top w:val="single" w:sz="12" w:space="0" w:color="auto"/>
              <w:bottom w:val="single" w:sz="4" w:space="0" w:color="auto"/>
            </w:tcBorders>
            <w:shd w:val="clear" w:color="auto" w:fill="auto"/>
            <w:vAlign w:val="center"/>
          </w:tcPr>
          <w:p w14:paraId="46269DD3" w14:textId="3A8C3C2E" w:rsidR="00211D4A" w:rsidRPr="00073574" w:rsidRDefault="00211D4A" w:rsidP="00211D4A">
            <w:pPr>
              <w:pStyle w:val="Tabletext"/>
              <w:jc w:val="center"/>
              <w:rPr>
                <w:b/>
                <w:bCs/>
                <w:sz w:val="24"/>
                <w:szCs w:val="24"/>
              </w:rPr>
            </w:pPr>
            <w:r w:rsidRPr="00073574">
              <w:rPr>
                <w:b/>
                <w:bCs/>
                <w:sz w:val="24"/>
                <w:szCs w:val="24"/>
              </w:rPr>
              <w:t>√</w:t>
            </w:r>
          </w:p>
        </w:tc>
        <w:tc>
          <w:tcPr>
            <w:tcW w:w="1358" w:type="dxa"/>
            <w:tcBorders>
              <w:top w:val="single" w:sz="12" w:space="0" w:color="auto"/>
              <w:bottom w:val="single" w:sz="4" w:space="0" w:color="auto"/>
            </w:tcBorders>
            <w:shd w:val="clear" w:color="auto" w:fill="auto"/>
            <w:vAlign w:val="center"/>
          </w:tcPr>
          <w:p w14:paraId="52818769" w14:textId="77777777" w:rsidR="00211D4A" w:rsidRPr="00073574" w:rsidRDefault="00211D4A" w:rsidP="00211D4A">
            <w:pPr>
              <w:pStyle w:val="Tabletext"/>
              <w:jc w:val="center"/>
              <w:rPr>
                <w:b/>
                <w:bCs/>
                <w:sz w:val="24"/>
                <w:szCs w:val="24"/>
              </w:rPr>
            </w:pPr>
          </w:p>
        </w:tc>
      </w:tr>
      <w:tr w:rsidR="00211D4A" w:rsidRPr="00073574" w14:paraId="618B2EB7" w14:textId="77777777" w:rsidTr="7277BFE4">
        <w:tc>
          <w:tcPr>
            <w:tcW w:w="1129" w:type="dxa"/>
            <w:vMerge/>
          </w:tcPr>
          <w:p w14:paraId="54D9EC2A" w14:textId="77777777" w:rsidR="00211D4A" w:rsidRPr="00073574" w:rsidRDefault="00211D4A" w:rsidP="00211D4A">
            <w:pPr>
              <w:pStyle w:val="Tabletext"/>
              <w:rPr>
                <w:sz w:val="24"/>
                <w:szCs w:val="24"/>
              </w:rPr>
            </w:pPr>
          </w:p>
        </w:tc>
        <w:tc>
          <w:tcPr>
            <w:tcW w:w="8803" w:type="dxa"/>
            <w:gridSpan w:val="4"/>
            <w:tcBorders>
              <w:top w:val="single" w:sz="4" w:space="0" w:color="auto"/>
              <w:bottom w:val="single" w:sz="12" w:space="0" w:color="auto"/>
            </w:tcBorders>
            <w:shd w:val="clear" w:color="auto" w:fill="auto"/>
          </w:tcPr>
          <w:p w14:paraId="30ED889A" w14:textId="77777777" w:rsidR="00211D4A" w:rsidRPr="00073574" w:rsidRDefault="00211D4A" w:rsidP="00211D4A">
            <w:pPr>
              <w:pStyle w:val="Tabletext"/>
              <w:rPr>
                <w:szCs w:val="22"/>
              </w:rPr>
            </w:pPr>
            <w:r w:rsidRPr="00073574">
              <w:rPr>
                <w:szCs w:val="22"/>
              </w:rPr>
              <w:t>SG2: see 96-01.</w:t>
            </w:r>
          </w:p>
          <w:p w14:paraId="4CAA7179" w14:textId="77777777" w:rsidR="00211D4A" w:rsidRPr="00073574" w:rsidRDefault="00211D4A" w:rsidP="00211D4A">
            <w:pPr>
              <w:pStyle w:val="Tabletext"/>
              <w:rPr>
                <w:szCs w:val="22"/>
              </w:rPr>
            </w:pPr>
            <w:r w:rsidRPr="00073574">
              <w:rPr>
                <w:szCs w:val="22"/>
              </w:rPr>
              <w:t>SG11: see 96-12.</w:t>
            </w:r>
          </w:p>
          <w:p w14:paraId="4745F314" w14:textId="41D010E3" w:rsidR="00E32C77" w:rsidRPr="00073574" w:rsidRDefault="00E32C77" w:rsidP="00211D4A">
            <w:pPr>
              <w:pStyle w:val="Tabletext"/>
              <w:rPr>
                <w:sz w:val="24"/>
                <w:szCs w:val="24"/>
              </w:rPr>
            </w:pPr>
            <w:r w:rsidRPr="00073574">
              <w:rPr>
                <w:szCs w:val="24"/>
              </w:rPr>
              <w:t>SG20: see 96-01.</w:t>
            </w:r>
          </w:p>
        </w:tc>
      </w:tr>
      <w:tr w:rsidR="00BE357E" w:rsidRPr="00073574" w14:paraId="69EB7788" w14:textId="77777777" w:rsidTr="7277BFE4">
        <w:tc>
          <w:tcPr>
            <w:tcW w:w="1129" w:type="dxa"/>
            <w:vMerge w:val="restart"/>
            <w:tcBorders>
              <w:top w:val="single" w:sz="12" w:space="0" w:color="auto"/>
            </w:tcBorders>
            <w:shd w:val="clear" w:color="auto" w:fill="auto"/>
          </w:tcPr>
          <w:p w14:paraId="06D2A31A" w14:textId="0F738196" w:rsidR="00BE357E" w:rsidRPr="00073574" w:rsidRDefault="00BE357E" w:rsidP="00402B09">
            <w:pPr>
              <w:pStyle w:val="Tabletext"/>
              <w:keepNext/>
              <w:keepLines/>
              <w:rPr>
                <w:b/>
                <w:bCs/>
                <w:sz w:val="24"/>
                <w:szCs w:val="24"/>
              </w:rPr>
            </w:pPr>
            <w:r w:rsidRPr="00073574">
              <w:rPr>
                <w:b/>
                <w:bCs/>
                <w:sz w:val="24"/>
                <w:szCs w:val="24"/>
              </w:rPr>
              <w:t>96-16</w:t>
            </w:r>
          </w:p>
        </w:tc>
        <w:tc>
          <w:tcPr>
            <w:tcW w:w="4966" w:type="dxa"/>
            <w:tcBorders>
              <w:top w:val="single" w:sz="12" w:space="0" w:color="auto"/>
              <w:bottom w:val="single" w:sz="4" w:space="0" w:color="auto"/>
            </w:tcBorders>
            <w:shd w:val="clear" w:color="auto" w:fill="auto"/>
          </w:tcPr>
          <w:p w14:paraId="59C7C2F5" w14:textId="34ADE5D0" w:rsidR="00BE357E" w:rsidRPr="00073574" w:rsidRDefault="00BE357E" w:rsidP="00202A1B">
            <w:pPr>
              <w:spacing w:before="40"/>
              <w:rPr>
                <w:b/>
                <w:bCs/>
                <w:sz w:val="24"/>
              </w:rPr>
            </w:pPr>
            <w:r w:rsidRPr="00073574">
              <w:rPr>
                <w:b/>
                <w:bCs/>
                <w:sz w:val="24"/>
              </w:rPr>
              <w:t>SG11 with the involvement of relevant standardization organizations, to develop mechanisms as appropriate for identifying counterfeit production, by means of unique identifiers that are resistant to duplication and respond to confidentiality/security requirements (i. SG11 5)</w:t>
            </w:r>
          </w:p>
        </w:tc>
        <w:tc>
          <w:tcPr>
            <w:tcW w:w="1336" w:type="dxa"/>
            <w:tcBorders>
              <w:top w:val="single" w:sz="12" w:space="0" w:color="auto"/>
              <w:bottom w:val="single" w:sz="4" w:space="0" w:color="auto"/>
            </w:tcBorders>
            <w:shd w:val="clear" w:color="auto" w:fill="auto"/>
            <w:vAlign w:val="center"/>
          </w:tcPr>
          <w:p w14:paraId="5F8F18C7" w14:textId="0E563EB9" w:rsidR="00BE357E" w:rsidRPr="00073574" w:rsidRDefault="00BE357E" w:rsidP="00BE357E">
            <w:pPr>
              <w:pStyle w:val="Tabletext"/>
              <w:jc w:val="center"/>
              <w:rPr>
                <w:b/>
                <w:bCs/>
                <w:sz w:val="24"/>
                <w:szCs w:val="24"/>
              </w:rPr>
            </w:pPr>
            <w:r w:rsidRPr="00073574">
              <w:rPr>
                <w:b/>
                <w:bCs/>
                <w:sz w:val="24"/>
                <w:szCs w:val="24"/>
              </w:rPr>
              <w:t>Ongoing</w:t>
            </w:r>
          </w:p>
        </w:tc>
        <w:tc>
          <w:tcPr>
            <w:tcW w:w="1143" w:type="dxa"/>
            <w:tcBorders>
              <w:top w:val="single" w:sz="12" w:space="0" w:color="auto"/>
              <w:bottom w:val="single" w:sz="4" w:space="0" w:color="auto"/>
            </w:tcBorders>
            <w:shd w:val="clear" w:color="auto" w:fill="auto"/>
            <w:vAlign w:val="center"/>
          </w:tcPr>
          <w:p w14:paraId="0FB67A17" w14:textId="277540EC" w:rsidR="00BE357E" w:rsidRPr="00073574" w:rsidRDefault="00173515" w:rsidP="00BE357E">
            <w:pPr>
              <w:pStyle w:val="Tabletext"/>
              <w:jc w:val="center"/>
              <w:rPr>
                <w:b/>
                <w:bCs/>
                <w:sz w:val="24"/>
                <w:szCs w:val="24"/>
              </w:rPr>
            </w:pPr>
            <w:r w:rsidRPr="00073574">
              <w:rPr>
                <w:b/>
                <w:bCs/>
                <w:sz w:val="24"/>
                <w:szCs w:val="24"/>
              </w:rPr>
              <w:t>√</w:t>
            </w:r>
          </w:p>
        </w:tc>
        <w:tc>
          <w:tcPr>
            <w:tcW w:w="1358" w:type="dxa"/>
            <w:tcBorders>
              <w:top w:val="single" w:sz="12" w:space="0" w:color="auto"/>
              <w:bottom w:val="single" w:sz="4" w:space="0" w:color="auto"/>
            </w:tcBorders>
            <w:shd w:val="clear" w:color="auto" w:fill="auto"/>
            <w:vAlign w:val="center"/>
          </w:tcPr>
          <w:p w14:paraId="66767821" w14:textId="77777777" w:rsidR="00BE357E" w:rsidRPr="00073574" w:rsidRDefault="00BE357E" w:rsidP="00BE357E">
            <w:pPr>
              <w:pStyle w:val="Tabletext"/>
              <w:jc w:val="center"/>
              <w:rPr>
                <w:b/>
                <w:bCs/>
                <w:sz w:val="24"/>
                <w:szCs w:val="24"/>
              </w:rPr>
            </w:pPr>
          </w:p>
        </w:tc>
      </w:tr>
      <w:tr w:rsidR="00C75BA8" w:rsidRPr="00073574" w14:paraId="04617093" w14:textId="77777777" w:rsidTr="7277BFE4">
        <w:tc>
          <w:tcPr>
            <w:tcW w:w="1129" w:type="dxa"/>
            <w:vMerge/>
          </w:tcPr>
          <w:p w14:paraId="09558BAE" w14:textId="77777777" w:rsidR="00C75BA8" w:rsidRPr="00073574" w:rsidRDefault="00C75BA8" w:rsidP="005E0B71">
            <w:pPr>
              <w:pStyle w:val="Tabletext"/>
              <w:rPr>
                <w:b/>
                <w:bCs/>
                <w:sz w:val="24"/>
                <w:szCs w:val="24"/>
              </w:rPr>
            </w:pPr>
          </w:p>
        </w:tc>
        <w:tc>
          <w:tcPr>
            <w:tcW w:w="8803" w:type="dxa"/>
            <w:gridSpan w:val="4"/>
            <w:tcBorders>
              <w:top w:val="single" w:sz="4" w:space="0" w:color="auto"/>
              <w:bottom w:val="single" w:sz="4" w:space="0" w:color="auto"/>
            </w:tcBorders>
            <w:shd w:val="clear" w:color="auto" w:fill="auto"/>
          </w:tcPr>
          <w:p w14:paraId="58BDCCAA" w14:textId="288C92CB" w:rsidR="00C75BA8" w:rsidRPr="00073574" w:rsidRDefault="00C75BA8" w:rsidP="00C75BA8">
            <w:pPr>
              <w:pStyle w:val="Tabletext"/>
              <w:rPr>
                <w:b/>
                <w:bCs/>
                <w:sz w:val="24"/>
                <w:szCs w:val="24"/>
              </w:rPr>
            </w:pPr>
            <w:r w:rsidRPr="00073574">
              <w:rPr>
                <w:bCs/>
                <w:szCs w:val="22"/>
              </w:rPr>
              <w:t>See 96-12</w:t>
            </w:r>
          </w:p>
        </w:tc>
      </w:tr>
      <w:tr w:rsidR="00BE357E" w:rsidRPr="00073574" w14:paraId="51FC80CC" w14:textId="77777777" w:rsidTr="7277BFE4">
        <w:tc>
          <w:tcPr>
            <w:tcW w:w="1129" w:type="dxa"/>
            <w:vMerge w:val="restart"/>
            <w:tcBorders>
              <w:top w:val="single" w:sz="12" w:space="0" w:color="auto"/>
            </w:tcBorders>
            <w:shd w:val="clear" w:color="auto" w:fill="auto"/>
          </w:tcPr>
          <w:p w14:paraId="26C01D5D" w14:textId="16C7613E" w:rsidR="00BE357E" w:rsidRPr="00073574" w:rsidRDefault="00BE357E" w:rsidP="00BD6575">
            <w:pPr>
              <w:pStyle w:val="Tabletext"/>
              <w:keepNext/>
              <w:keepLines/>
              <w:rPr>
                <w:b/>
                <w:bCs/>
                <w:sz w:val="24"/>
                <w:szCs w:val="24"/>
              </w:rPr>
            </w:pPr>
            <w:r w:rsidRPr="00073574">
              <w:rPr>
                <w:b/>
                <w:bCs/>
                <w:sz w:val="24"/>
                <w:szCs w:val="24"/>
              </w:rPr>
              <w:t>96-17</w:t>
            </w:r>
          </w:p>
        </w:tc>
        <w:tc>
          <w:tcPr>
            <w:tcW w:w="4966" w:type="dxa"/>
            <w:tcBorders>
              <w:top w:val="single" w:sz="12" w:space="0" w:color="auto"/>
              <w:bottom w:val="single" w:sz="4" w:space="0" w:color="auto"/>
            </w:tcBorders>
            <w:shd w:val="clear" w:color="auto" w:fill="auto"/>
          </w:tcPr>
          <w:p w14:paraId="333352ED" w14:textId="444E6DE1" w:rsidR="00BE357E" w:rsidRPr="00073574" w:rsidRDefault="00BE357E" w:rsidP="00202A1B">
            <w:pPr>
              <w:spacing w:before="40"/>
              <w:rPr>
                <w:b/>
                <w:bCs/>
                <w:sz w:val="24"/>
              </w:rPr>
            </w:pPr>
            <w:r w:rsidRPr="00073574">
              <w:rPr>
                <w:b/>
                <w:bCs/>
                <w:sz w:val="24"/>
              </w:rPr>
              <w:t>SG11 to study possible solutions, including frameworks to discover identity management information, that could support combating of counterfeit and tampered telecommunication/ICT devices (i. SG11 6)</w:t>
            </w:r>
          </w:p>
        </w:tc>
        <w:tc>
          <w:tcPr>
            <w:tcW w:w="1336" w:type="dxa"/>
            <w:tcBorders>
              <w:top w:val="single" w:sz="12" w:space="0" w:color="auto"/>
              <w:bottom w:val="single" w:sz="4" w:space="0" w:color="auto"/>
            </w:tcBorders>
            <w:shd w:val="clear" w:color="auto" w:fill="auto"/>
            <w:vAlign w:val="center"/>
          </w:tcPr>
          <w:p w14:paraId="53011547" w14:textId="0FDA2B08" w:rsidR="00BE357E" w:rsidRPr="00073574" w:rsidRDefault="00BE357E" w:rsidP="00BE357E">
            <w:pPr>
              <w:pStyle w:val="Tabletext"/>
              <w:jc w:val="center"/>
              <w:rPr>
                <w:b/>
                <w:bCs/>
                <w:sz w:val="24"/>
                <w:szCs w:val="24"/>
              </w:rPr>
            </w:pPr>
            <w:r w:rsidRPr="00073574">
              <w:rPr>
                <w:b/>
                <w:bCs/>
                <w:sz w:val="24"/>
                <w:szCs w:val="24"/>
              </w:rPr>
              <w:t>Ongoing</w:t>
            </w:r>
          </w:p>
        </w:tc>
        <w:tc>
          <w:tcPr>
            <w:tcW w:w="1143" w:type="dxa"/>
            <w:tcBorders>
              <w:top w:val="single" w:sz="12" w:space="0" w:color="auto"/>
              <w:bottom w:val="single" w:sz="4" w:space="0" w:color="auto"/>
            </w:tcBorders>
            <w:shd w:val="clear" w:color="auto" w:fill="auto"/>
            <w:vAlign w:val="center"/>
          </w:tcPr>
          <w:p w14:paraId="6B9A340F" w14:textId="3FB180A9" w:rsidR="00BE357E" w:rsidRPr="00073574" w:rsidRDefault="00BE357E" w:rsidP="00BE357E">
            <w:pPr>
              <w:pStyle w:val="Tabletext"/>
              <w:jc w:val="center"/>
              <w:rPr>
                <w:b/>
                <w:bCs/>
                <w:sz w:val="24"/>
                <w:szCs w:val="24"/>
              </w:rPr>
            </w:pPr>
            <w:r w:rsidRPr="00073574">
              <w:rPr>
                <w:b/>
                <w:bCs/>
                <w:sz w:val="24"/>
                <w:szCs w:val="24"/>
              </w:rPr>
              <w:t>√</w:t>
            </w:r>
          </w:p>
        </w:tc>
        <w:tc>
          <w:tcPr>
            <w:tcW w:w="1358" w:type="dxa"/>
            <w:tcBorders>
              <w:top w:val="single" w:sz="12" w:space="0" w:color="auto"/>
              <w:bottom w:val="single" w:sz="4" w:space="0" w:color="auto"/>
            </w:tcBorders>
            <w:shd w:val="clear" w:color="auto" w:fill="auto"/>
            <w:vAlign w:val="center"/>
          </w:tcPr>
          <w:p w14:paraId="15CC198A" w14:textId="77777777" w:rsidR="00BE357E" w:rsidRPr="00073574" w:rsidRDefault="00BE357E" w:rsidP="00BE357E">
            <w:pPr>
              <w:pStyle w:val="Tabletext"/>
              <w:jc w:val="center"/>
              <w:rPr>
                <w:b/>
                <w:bCs/>
                <w:sz w:val="24"/>
                <w:szCs w:val="24"/>
              </w:rPr>
            </w:pPr>
          </w:p>
        </w:tc>
      </w:tr>
      <w:tr w:rsidR="00C75BA8" w:rsidRPr="00073574" w14:paraId="1FEE525C" w14:textId="77777777" w:rsidTr="7277BFE4">
        <w:tc>
          <w:tcPr>
            <w:tcW w:w="1129" w:type="dxa"/>
            <w:vMerge/>
          </w:tcPr>
          <w:p w14:paraId="5EE5FEC1" w14:textId="77777777" w:rsidR="00C75BA8" w:rsidRPr="00073574" w:rsidRDefault="00C75BA8" w:rsidP="00BE357E">
            <w:pPr>
              <w:pStyle w:val="Tabletext"/>
              <w:rPr>
                <w:b/>
                <w:bCs/>
                <w:sz w:val="24"/>
                <w:szCs w:val="24"/>
              </w:rPr>
            </w:pPr>
          </w:p>
        </w:tc>
        <w:tc>
          <w:tcPr>
            <w:tcW w:w="8803" w:type="dxa"/>
            <w:gridSpan w:val="4"/>
            <w:tcBorders>
              <w:top w:val="single" w:sz="4" w:space="0" w:color="auto"/>
              <w:bottom w:val="single" w:sz="4" w:space="0" w:color="auto"/>
            </w:tcBorders>
            <w:shd w:val="clear" w:color="auto" w:fill="auto"/>
          </w:tcPr>
          <w:p w14:paraId="1C977819" w14:textId="77777777" w:rsidR="00C75BA8" w:rsidRPr="00073574" w:rsidRDefault="00B0280B" w:rsidP="00C75BA8">
            <w:pPr>
              <w:pStyle w:val="Tabletext"/>
              <w:rPr>
                <w:rFonts w:asciiTheme="majorBidi" w:hAnsiTheme="majorBidi" w:cstheme="majorBidi"/>
                <w:szCs w:val="22"/>
              </w:rPr>
            </w:pPr>
            <w:r w:rsidRPr="00073574">
              <w:rPr>
                <w:rFonts w:asciiTheme="majorBidi" w:hAnsiTheme="majorBidi" w:cstheme="majorBidi"/>
                <w:szCs w:val="22"/>
              </w:rPr>
              <w:t>In March 2019, further to TSB Circular 105 of 5 September 2018, and pursuant to clause 9.5 of Resolution 1 (Rev. Hammamet, 2016), SG11 approved new Recommendation ITU-T Q.5050 “Framework for solution to combat counterfeit ICT devices”. This Recommendation contains the reference framework and requirements to be considered when deploying solutions to combat the circulation and use of counterfeit ICT devices.</w:t>
            </w:r>
          </w:p>
          <w:p w14:paraId="5B8BDEC7" w14:textId="15964208" w:rsidR="00FC21E6" w:rsidRPr="00073574" w:rsidRDefault="00FC21E6" w:rsidP="00C75BA8">
            <w:pPr>
              <w:pStyle w:val="Tabletext"/>
              <w:rPr>
                <w:b/>
                <w:bCs/>
                <w:sz w:val="24"/>
                <w:szCs w:val="24"/>
              </w:rPr>
            </w:pPr>
            <w:r w:rsidRPr="00073574">
              <w:rPr>
                <w:bCs/>
                <w:szCs w:val="24"/>
              </w:rPr>
              <w:t xml:space="preserve">In 2020, SG11 </w:t>
            </w:r>
            <w:r w:rsidR="008554AA" w:rsidRPr="00073574">
              <w:rPr>
                <w:bCs/>
                <w:szCs w:val="24"/>
              </w:rPr>
              <w:t>approved</w:t>
            </w:r>
            <w:r w:rsidRPr="00073574">
              <w:rPr>
                <w:bCs/>
                <w:szCs w:val="24"/>
              </w:rPr>
              <w:t xml:space="preserve"> </w:t>
            </w:r>
            <w:r w:rsidRPr="00073574">
              <w:rPr>
                <w:rFonts w:eastAsia="SimSun"/>
              </w:rPr>
              <w:t xml:space="preserve">new Recommendation ITU-T Q.5052 “Addressing mobile devices with duplicate unique identifier” which </w:t>
            </w:r>
            <w:r w:rsidRPr="00073574">
              <w:t>identifies challenges and proposes mechanisms to enable the detection of mobile devices with duplicate identifiers present on operator networks, at national and international environment, as well as recommending mechanisms for validating the legitimacy of such devices.</w:t>
            </w:r>
          </w:p>
        </w:tc>
      </w:tr>
      <w:tr w:rsidR="00BE357E" w:rsidRPr="00073574" w14:paraId="78748CAA" w14:textId="77777777" w:rsidTr="7277BFE4">
        <w:tc>
          <w:tcPr>
            <w:tcW w:w="1129" w:type="dxa"/>
            <w:vMerge w:val="restart"/>
            <w:tcBorders>
              <w:top w:val="single" w:sz="12" w:space="0" w:color="auto"/>
            </w:tcBorders>
            <w:shd w:val="clear" w:color="auto" w:fill="auto"/>
          </w:tcPr>
          <w:p w14:paraId="45EFD19D" w14:textId="3494FF00" w:rsidR="00BE357E" w:rsidRPr="00073574" w:rsidRDefault="00BE357E" w:rsidP="00BE357E">
            <w:pPr>
              <w:pStyle w:val="Tabletext"/>
              <w:rPr>
                <w:b/>
                <w:bCs/>
                <w:sz w:val="24"/>
                <w:szCs w:val="24"/>
              </w:rPr>
            </w:pPr>
            <w:r w:rsidRPr="00073574">
              <w:rPr>
                <w:b/>
                <w:bCs/>
                <w:sz w:val="24"/>
                <w:szCs w:val="24"/>
              </w:rPr>
              <w:t>96-18</w:t>
            </w:r>
          </w:p>
        </w:tc>
        <w:tc>
          <w:tcPr>
            <w:tcW w:w="4966" w:type="dxa"/>
            <w:tcBorders>
              <w:top w:val="single" w:sz="12" w:space="0" w:color="auto"/>
              <w:bottom w:val="single" w:sz="4" w:space="0" w:color="auto"/>
            </w:tcBorders>
            <w:shd w:val="clear" w:color="auto" w:fill="auto"/>
          </w:tcPr>
          <w:p w14:paraId="1C494CAE" w14:textId="6FA41103" w:rsidR="00BE357E" w:rsidRPr="00073574" w:rsidRDefault="00BE357E" w:rsidP="00202A1B">
            <w:pPr>
              <w:spacing w:before="40"/>
              <w:rPr>
                <w:b/>
                <w:bCs/>
                <w:sz w:val="24"/>
              </w:rPr>
            </w:pPr>
            <w:r w:rsidRPr="00073574">
              <w:rPr>
                <w:b/>
                <w:bCs/>
                <w:sz w:val="24"/>
              </w:rPr>
              <w:t>SG11 to identify a list of technologies/products, used for testing conformance with ITU-T Recommendations, in order to help in efforts to combat counterfeit ICT production (i. SG11 7)</w:t>
            </w:r>
          </w:p>
        </w:tc>
        <w:tc>
          <w:tcPr>
            <w:tcW w:w="1336" w:type="dxa"/>
            <w:tcBorders>
              <w:top w:val="single" w:sz="12" w:space="0" w:color="auto"/>
              <w:bottom w:val="single" w:sz="4" w:space="0" w:color="auto"/>
            </w:tcBorders>
            <w:shd w:val="clear" w:color="auto" w:fill="auto"/>
            <w:vAlign w:val="center"/>
          </w:tcPr>
          <w:p w14:paraId="430F5E1E" w14:textId="042DA0D2" w:rsidR="00BE357E" w:rsidRPr="00073574" w:rsidRDefault="00BE357E" w:rsidP="00BE357E">
            <w:pPr>
              <w:pStyle w:val="Tabletext"/>
              <w:jc w:val="center"/>
              <w:rPr>
                <w:b/>
                <w:bCs/>
                <w:sz w:val="24"/>
                <w:szCs w:val="24"/>
              </w:rPr>
            </w:pPr>
            <w:r w:rsidRPr="00073574">
              <w:rPr>
                <w:b/>
                <w:bCs/>
                <w:sz w:val="24"/>
                <w:szCs w:val="24"/>
              </w:rPr>
              <w:t>Ongoing</w:t>
            </w:r>
          </w:p>
        </w:tc>
        <w:tc>
          <w:tcPr>
            <w:tcW w:w="1143" w:type="dxa"/>
            <w:tcBorders>
              <w:top w:val="single" w:sz="12" w:space="0" w:color="auto"/>
              <w:bottom w:val="single" w:sz="4" w:space="0" w:color="auto"/>
            </w:tcBorders>
            <w:shd w:val="clear" w:color="auto" w:fill="auto"/>
            <w:vAlign w:val="center"/>
          </w:tcPr>
          <w:p w14:paraId="3F9A7380" w14:textId="0D6C3E2E" w:rsidR="00BE357E" w:rsidRPr="00073574" w:rsidRDefault="00DE030A" w:rsidP="00BE357E">
            <w:pPr>
              <w:pStyle w:val="Tabletext"/>
              <w:jc w:val="center"/>
              <w:rPr>
                <w:b/>
                <w:bCs/>
                <w:sz w:val="24"/>
                <w:szCs w:val="24"/>
              </w:rPr>
            </w:pPr>
            <w:r w:rsidRPr="00073574">
              <w:rPr>
                <w:b/>
                <w:bCs/>
                <w:sz w:val="24"/>
                <w:szCs w:val="24"/>
              </w:rPr>
              <w:t>√</w:t>
            </w:r>
          </w:p>
        </w:tc>
        <w:tc>
          <w:tcPr>
            <w:tcW w:w="1358" w:type="dxa"/>
            <w:tcBorders>
              <w:top w:val="single" w:sz="12" w:space="0" w:color="auto"/>
              <w:bottom w:val="single" w:sz="4" w:space="0" w:color="auto"/>
            </w:tcBorders>
            <w:shd w:val="clear" w:color="auto" w:fill="auto"/>
            <w:vAlign w:val="center"/>
          </w:tcPr>
          <w:p w14:paraId="234DBDBC" w14:textId="77777777" w:rsidR="00BE357E" w:rsidRPr="00073574" w:rsidRDefault="00BE357E" w:rsidP="00BE357E">
            <w:pPr>
              <w:pStyle w:val="Tabletext"/>
              <w:jc w:val="center"/>
              <w:rPr>
                <w:b/>
                <w:bCs/>
                <w:sz w:val="24"/>
                <w:szCs w:val="24"/>
              </w:rPr>
            </w:pPr>
          </w:p>
        </w:tc>
      </w:tr>
      <w:tr w:rsidR="00C75BA8" w:rsidRPr="00073574" w14:paraId="02ABFA5B" w14:textId="77777777" w:rsidTr="7277BFE4">
        <w:tc>
          <w:tcPr>
            <w:tcW w:w="1129" w:type="dxa"/>
            <w:vMerge/>
            <w:vAlign w:val="center"/>
          </w:tcPr>
          <w:p w14:paraId="2A455EE1" w14:textId="77777777" w:rsidR="00C75BA8" w:rsidRPr="00073574" w:rsidRDefault="00C75BA8" w:rsidP="005E0B71">
            <w:pPr>
              <w:pStyle w:val="Tabletext"/>
              <w:rPr>
                <w:b/>
                <w:bCs/>
                <w:sz w:val="24"/>
                <w:szCs w:val="24"/>
              </w:rPr>
            </w:pPr>
          </w:p>
        </w:tc>
        <w:tc>
          <w:tcPr>
            <w:tcW w:w="8803" w:type="dxa"/>
            <w:gridSpan w:val="4"/>
            <w:tcBorders>
              <w:top w:val="single" w:sz="4" w:space="0" w:color="auto"/>
              <w:bottom w:val="single" w:sz="4" w:space="0" w:color="auto"/>
            </w:tcBorders>
            <w:shd w:val="clear" w:color="auto" w:fill="auto"/>
          </w:tcPr>
          <w:p w14:paraId="6DA233D9" w14:textId="75EA7995" w:rsidR="00C75BA8" w:rsidRPr="00073574" w:rsidRDefault="00DD692C" w:rsidP="00C75BA8">
            <w:pPr>
              <w:pStyle w:val="Tabletext"/>
              <w:rPr>
                <w:szCs w:val="22"/>
              </w:rPr>
            </w:pPr>
            <w:r w:rsidRPr="00073574">
              <w:rPr>
                <w:szCs w:val="22"/>
              </w:rPr>
              <w:t xml:space="preserve">During WSIS Session </w:t>
            </w:r>
            <w:r w:rsidR="009A306E" w:rsidRPr="00073574">
              <w:rPr>
                <w:szCs w:val="22"/>
              </w:rPr>
              <w:t>4</w:t>
            </w:r>
            <w:r w:rsidRPr="00073574">
              <w:rPr>
                <w:szCs w:val="22"/>
              </w:rPr>
              <w:t>06</w:t>
            </w:r>
            <w:r w:rsidR="009A306E" w:rsidRPr="00073574">
              <w:rPr>
                <w:szCs w:val="22"/>
              </w:rPr>
              <w:t xml:space="preserve"> “</w:t>
            </w:r>
            <w:r w:rsidR="005E5026" w:rsidRPr="00073574">
              <w:rPr>
                <w:szCs w:val="22"/>
              </w:rPr>
              <w:t>Combating counterfeit telecommunication/ICT devices and software</w:t>
            </w:r>
            <w:r w:rsidR="009A306E" w:rsidRPr="00073574">
              <w:rPr>
                <w:szCs w:val="22"/>
              </w:rPr>
              <w:t>” (May 2021)</w:t>
            </w:r>
            <w:r w:rsidR="00843B38" w:rsidRPr="00073574">
              <w:rPr>
                <w:szCs w:val="22"/>
              </w:rPr>
              <w:t xml:space="preserve">, it was </w:t>
            </w:r>
            <w:r w:rsidR="002F155A" w:rsidRPr="00073574">
              <w:rPr>
                <w:szCs w:val="22"/>
              </w:rPr>
              <w:t>highlighted that ITU Pro</w:t>
            </w:r>
            <w:r w:rsidR="005D6252" w:rsidRPr="00073574">
              <w:rPr>
                <w:szCs w:val="22"/>
              </w:rPr>
              <w:t>d</w:t>
            </w:r>
            <w:r w:rsidR="002F155A" w:rsidRPr="00073574">
              <w:rPr>
                <w:szCs w:val="22"/>
              </w:rPr>
              <w:t>u</w:t>
            </w:r>
            <w:r w:rsidR="005D6252" w:rsidRPr="00073574">
              <w:rPr>
                <w:szCs w:val="22"/>
              </w:rPr>
              <w:t>c</w:t>
            </w:r>
            <w:r w:rsidR="002F155A" w:rsidRPr="00073574">
              <w:rPr>
                <w:szCs w:val="22"/>
              </w:rPr>
              <w:t xml:space="preserve">t Conformity Database </w:t>
            </w:r>
            <w:r w:rsidR="005D6252" w:rsidRPr="00073574">
              <w:t>might become a tool to facilitate combating counterfeiting.</w:t>
            </w:r>
          </w:p>
        </w:tc>
      </w:tr>
    </w:tbl>
    <w:p w14:paraId="209F20DE" w14:textId="10CD84F0" w:rsidR="00F0236A" w:rsidRPr="00073574" w:rsidRDefault="00D22058" w:rsidP="00F0236A">
      <w:pPr>
        <w:rPr>
          <w:sz w:val="24"/>
        </w:rPr>
      </w:pPr>
      <w:bookmarkStart w:id="599" w:name="Item96_01"/>
      <w:bookmarkStart w:id="600" w:name="Item96_02"/>
      <w:bookmarkStart w:id="601" w:name="Item96_03"/>
      <w:bookmarkStart w:id="602" w:name="Item96_04"/>
      <w:bookmarkStart w:id="603" w:name="Item96_05"/>
      <w:bookmarkStart w:id="604" w:name="Item96_06"/>
      <w:bookmarkStart w:id="605" w:name="Item96_07"/>
      <w:bookmarkStart w:id="606" w:name="Item96_08"/>
      <w:bookmarkStart w:id="607" w:name="Item96_09"/>
      <w:bookmarkStart w:id="608" w:name="Item96_10"/>
      <w:bookmarkStart w:id="609" w:name="Item96_11"/>
      <w:bookmarkStart w:id="610" w:name="Item96_12"/>
      <w:bookmarkStart w:id="611" w:name="Item96_13"/>
      <w:bookmarkStart w:id="612" w:name="Item96_14"/>
      <w:bookmarkStart w:id="613" w:name="Item96_15"/>
      <w:bookmarkStart w:id="614" w:name="Item96_16"/>
      <w:bookmarkStart w:id="615" w:name="Item96_17"/>
      <w:bookmarkStart w:id="616" w:name="Item96_1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r w:rsidRPr="00073574">
        <w:br w:type="textWrapping" w:clear="all"/>
      </w:r>
      <w:hyperlink w:anchor="Top" w:history="1">
        <w:r w:rsidR="00F0236A" w:rsidRPr="00073574">
          <w:rPr>
            <w:rStyle w:val="Hyperlink"/>
            <w:rFonts w:eastAsia="Times New Roman"/>
            <w:sz w:val="24"/>
          </w:rPr>
          <w:t>» Top</w:t>
        </w:r>
      </w:hyperlink>
    </w:p>
    <w:p w14:paraId="13BCA9F6" w14:textId="77777777" w:rsidR="00F0236A" w:rsidRPr="00073574" w:rsidRDefault="00F0236A" w:rsidP="00E75CE1">
      <w:pPr>
        <w:pStyle w:val="Heading1"/>
        <w:keepNext/>
        <w:keepLines/>
        <w:rPr>
          <w:sz w:val="24"/>
          <w:szCs w:val="24"/>
          <w:lang w:val="en-GB"/>
        </w:rPr>
      </w:pPr>
      <w:bookmarkStart w:id="617" w:name="_Resolution_97_-"/>
      <w:bookmarkStart w:id="618" w:name="_Toc471715411"/>
      <w:bookmarkStart w:id="619" w:name="_Toc93425298"/>
      <w:bookmarkEnd w:id="617"/>
      <w:r w:rsidRPr="00073574">
        <w:rPr>
          <w:sz w:val="24"/>
          <w:szCs w:val="24"/>
          <w:lang w:val="en-GB"/>
        </w:rPr>
        <w:t>Resolution 97 - Combating mobile telecommunication device theft</w:t>
      </w:r>
      <w:bookmarkEnd w:id="618"/>
      <w:bookmarkEnd w:id="619"/>
    </w:p>
    <w:p w14:paraId="47D0F684" w14:textId="77777777" w:rsidR="00F0236A" w:rsidRPr="00073574" w:rsidRDefault="00F0236A" w:rsidP="00E75CE1">
      <w:pPr>
        <w:keepNext/>
        <w:keepLines/>
        <w:rPr>
          <w:b/>
          <w:bCs/>
          <w:sz w:val="24"/>
        </w:rPr>
      </w:pPr>
      <w:r w:rsidRPr="00073574">
        <w:rPr>
          <w:b/>
          <w:bCs/>
          <w:sz w:val="24"/>
        </w:rPr>
        <w:t>Resolution 97</w:t>
      </w:r>
    </w:p>
    <w:p w14:paraId="368E0FFA" w14:textId="77777777" w:rsidR="00F0236A" w:rsidRPr="00073574" w:rsidRDefault="00F0236A" w:rsidP="00E75CE1">
      <w:pPr>
        <w:pStyle w:val="Call"/>
        <w:rPr>
          <w:sz w:val="24"/>
          <w:szCs w:val="24"/>
          <w:lang w:val="en-GB" w:eastAsia="en-AU"/>
        </w:rPr>
      </w:pPr>
      <w:r w:rsidRPr="00073574">
        <w:rPr>
          <w:sz w:val="24"/>
          <w:szCs w:val="24"/>
          <w:lang w:val="en-GB" w:eastAsia="en-AU"/>
        </w:rPr>
        <w:t>resolves</w:t>
      </w:r>
    </w:p>
    <w:p w14:paraId="0307C47D" w14:textId="77777777" w:rsidR="00F0236A" w:rsidRPr="00073574" w:rsidRDefault="00F0236A" w:rsidP="00E75CE1">
      <w:pPr>
        <w:keepNext/>
        <w:keepLines/>
        <w:spacing w:after="240"/>
        <w:rPr>
          <w:sz w:val="24"/>
        </w:rPr>
      </w:pPr>
      <w:r w:rsidRPr="00073574">
        <w:rPr>
          <w:sz w:val="24"/>
        </w:rPr>
        <w:t>1</w:t>
      </w:r>
      <w:r w:rsidRPr="00073574">
        <w:rPr>
          <w:sz w:val="24"/>
        </w:rPr>
        <w:tab/>
        <w:t>that ITU-T should explore all applicable solutions and develop ITU-T Recommendations to combat and deter mobile device theft, offering all interested parties a forum for encouraging discussion, member cooperation, the exchange of best practices and guidelines and the dissemination of information on combating mobile device theft;</w:t>
      </w:r>
    </w:p>
    <w:p w14:paraId="5C099AA4" w14:textId="77777777" w:rsidR="00F0236A" w:rsidRPr="00073574" w:rsidRDefault="00F0236A" w:rsidP="00F0236A">
      <w:pPr>
        <w:spacing w:after="240"/>
        <w:rPr>
          <w:sz w:val="24"/>
        </w:rPr>
      </w:pPr>
      <w:r w:rsidRPr="00073574">
        <w:rPr>
          <w:sz w:val="24"/>
        </w:rPr>
        <w:t>2</w:t>
      </w:r>
      <w:r w:rsidRPr="00073574">
        <w:rPr>
          <w:sz w:val="24"/>
        </w:rPr>
        <w:tab/>
        <w:t>that ITU-T should, in collaboration with the relevant standards organizations, develop solutions to address the problem of duplication of unique identifiers;</w:t>
      </w:r>
    </w:p>
    <w:p w14:paraId="777E7E5D" w14:textId="77777777" w:rsidR="00F0236A" w:rsidRPr="00073574" w:rsidRDefault="00F0236A" w:rsidP="00F0236A">
      <w:pPr>
        <w:spacing w:after="240"/>
        <w:rPr>
          <w:sz w:val="24"/>
        </w:rPr>
      </w:pPr>
      <w:r w:rsidRPr="00073574">
        <w:rPr>
          <w:sz w:val="24"/>
        </w:rPr>
        <w:t>3</w:t>
      </w:r>
      <w:r w:rsidRPr="00073574">
        <w:rPr>
          <w:sz w:val="24"/>
        </w:rPr>
        <w:tab/>
        <w:t>that ITU-Т Study Group 11 should be the lead study group at ITU-T on activities relating to combating mobile telecommunication device theft,</w:t>
      </w:r>
    </w:p>
    <w:p w14:paraId="4AC29F22" w14:textId="77777777" w:rsidR="00F0236A" w:rsidRPr="00073574" w:rsidRDefault="00F0236A" w:rsidP="00F0236A">
      <w:pPr>
        <w:pStyle w:val="Call"/>
        <w:rPr>
          <w:sz w:val="24"/>
          <w:szCs w:val="24"/>
          <w:lang w:val="en-GB" w:eastAsia="en-AU"/>
        </w:rPr>
      </w:pPr>
      <w:r w:rsidRPr="00073574">
        <w:rPr>
          <w:sz w:val="24"/>
          <w:szCs w:val="24"/>
          <w:lang w:val="en-GB" w:eastAsia="en-AU"/>
        </w:rPr>
        <w:t>resolves to instruct the Director of the Telecommunication Standardization Bureau, in collaboration with the Directors of the Radiocommunication Bureau and Telecommunication Development Bureau</w:t>
      </w:r>
    </w:p>
    <w:p w14:paraId="275FC42E" w14:textId="77777777" w:rsidR="00F0236A" w:rsidRPr="00073574" w:rsidRDefault="00F0236A" w:rsidP="00F0236A">
      <w:pPr>
        <w:spacing w:after="240"/>
        <w:rPr>
          <w:sz w:val="24"/>
        </w:rPr>
      </w:pPr>
      <w:r w:rsidRPr="00073574">
        <w:rPr>
          <w:sz w:val="24"/>
        </w:rPr>
        <w:t>1</w:t>
      </w:r>
      <w:r w:rsidRPr="00073574">
        <w:rPr>
          <w:sz w:val="24"/>
        </w:rPr>
        <w:tab/>
        <w:t>to compile information on best practices developed by industry or governments and promising trends in combating mobile device theft;</w:t>
      </w:r>
    </w:p>
    <w:p w14:paraId="1FF5D09C" w14:textId="77777777" w:rsidR="00F0236A" w:rsidRPr="00073574" w:rsidRDefault="00F0236A" w:rsidP="00F0236A">
      <w:pPr>
        <w:spacing w:after="240"/>
        <w:rPr>
          <w:sz w:val="24"/>
        </w:rPr>
      </w:pPr>
      <w:r w:rsidRPr="00073574">
        <w:rPr>
          <w:sz w:val="24"/>
        </w:rPr>
        <w:t>2</w:t>
      </w:r>
      <w:r w:rsidRPr="00073574">
        <w:rPr>
          <w:sz w:val="24"/>
        </w:rPr>
        <w:tab/>
        <w:t>to facilitate, in collaboration with industry organizations and standards development organizations (SDOs), the standardization and dissemination of Recommendations, technical reports and guidelines to combat mobile device theft and its negative effects, specifically regarding the exchange of identifiers of mobile devices reported stolen or lost, and to prevent lost or stolen mobile devices from accessing mobile networks;</w:t>
      </w:r>
    </w:p>
    <w:p w14:paraId="3450B77B" w14:textId="402FA320" w:rsidR="00F0236A" w:rsidRPr="00073574" w:rsidRDefault="00F0236A" w:rsidP="00F0236A">
      <w:pPr>
        <w:spacing w:after="240"/>
        <w:rPr>
          <w:sz w:val="24"/>
        </w:rPr>
      </w:pPr>
      <w:r w:rsidRPr="00073574">
        <w:rPr>
          <w:sz w:val="24"/>
        </w:rPr>
        <w:t>3</w:t>
      </w:r>
      <w:r w:rsidRPr="00073574">
        <w:rPr>
          <w:sz w:val="24"/>
        </w:rPr>
        <w:tab/>
        <w:t>to consult with the Sector</w:t>
      </w:r>
      <w:r w:rsidR="003C7E25" w:rsidRPr="00073574">
        <w:rPr>
          <w:sz w:val="24"/>
        </w:rPr>
        <w:t>'</w:t>
      </w:r>
      <w:r w:rsidRPr="00073574">
        <w:rPr>
          <w:sz w:val="24"/>
        </w:rPr>
        <w:t>s relevant study groups, manufacturers of mobile devices, manufacturers of telecommunication network components, operators, telecommunication SDOs as well as developers of promising technologies related to these matters, in order to identify existing and future technological measures, both software and hardware, to mitigate the consequences of the use of stolen mobile devices;</w:t>
      </w:r>
    </w:p>
    <w:p w14:paraId="179BB61D" w14:textId="3D8FA9B8" w:rsidR="00F0236A" w:rsidRPr="00073574" w:rsidRDefault="00F0236A" w:rsidP="00F0236A">
      <w:pPr>
        <w:spacing w:after="240"/>
        <w:rPr>
          <w:sz w:val="24"/>
        </w:rPr>
      </w:pPr>
      <w:r w:rsidRPr="00073574">
        <w:rPr>
          <w:sz w:val="24"/>
        </w:rPr>
        <w:t>4</w:t>
      </w:r>
      <w:r w:rsidRPr="00073574">
        <w:rPr>
          <w:sz w:val="24"/>
        </w:rPr>
        <w:tab/>
        <w:t>to provide assistance, within ITU-T</w:t>
      </w:r>
      <w:r w:rsidR="003C7E25" w:rsidRPr="00073574">
        <w:rPr>
          <w:sz w:val="24"/>
        </w:rPr>
        <w:t>'</w:t>
      </w:r>
      <w:r w:rsidRPr="00073574">
        <w:rPr>
          <w:sz w:val="24"/>
        </w:rPr>
        <w:t>s expertise and within available resources, as appropriate, in cooperation with relevant organizations, to Member States, if so requested, in order to reduce mobile device theft and the use of stolen mobile devices in their countries,</w:t>
      </w:r>
    </w:p>
    <w:p w14:paraId="4BA63480" w14:textId="77777777" w:rsidR="00F0236A" w:rsidRPr="00073574" w:rsidRDefault="00F0236A" w:rsidP="00F0236A">
      <w:pPr>
        <w:pStyle w:val="Call"/>
        <w:rPr>
          <w:sz w:val="24"/>
          <w:szCs w:val="24"/>
          <w:lang w:val="en-GB" w:eastAsia="en-AU"/>
        </w:rPr>
      </w:pPr>
      <w:r w:rsidRPr="00073574">
        <w:rPr>
          <w:sz w:val="24"/>
          <w:szCs w:val="24"/>
          <w:lang w:val="en-GB" w:eastAsia="en-AU"/>
        </w:rPr>
        <w:t>instructs Study Groups 11 and 17 of the ITU Telecommunication Standardization Sector, within their mandates and in collaboration with other interested study groups,</w:t>
      </w:r>
    </w:p>
    <w:p w14:paraId="4238F4A8" w14:textId="77777777" w:rsidR="00F0236A" w:rsidRPr="00073574" w:rsidRDefault="00F0236A" w:rsidP="00F0236A">
      <w:pPr>
        <w:spacing w:after="240"/>
        <w:rPr>
          <w:sz w:val="24"/>
        </w:rPr>
      </w:pPr>
      <w:r w:rsidRPr="00073574">
        <w:rPr>
          <w:sz w:val="24"/>
        </w:rPr>
        <w:t>1</w:t>
      </w:r>
      <w:r w:rsidRPr="00073574">
        <w:rPr>
          <w:sz w:val="24"/>
        </w:rPr>
        <w:tab/>
        <w:t>to develop Recommendations, technical reports and guidelines to address the problem of mobile telecommunication device theft and its negative effects;</w:t>
      </w:r>
    </w:p>
    <w:p w14:paraId="1E0EA8ED" w14:textId="77777777" w:rsidR="00F0236A" w:rsidRPr="00073574" w:rsidRDefault="00F0236A" w:rsidP="00F0236A">
      <w:pPr>
        <w:spacing w:after="240"/>
        <w:rPr>
          <w:sz w:val="24"/>
        </w:rPr>
      </w:pPr>
      <w:r w:rsidRPr="00073574">
        <w:rPr>
          <w:sz w:val="24"/>
        </w:rPr>
        <w:lastRenderedPageBreak/>
        <w:t>2</w:t>
      </w:r>
      <w:r w:rsidRPr="00073574">
        <w:rPr>
          <w:sz w:val="24"/>
        </w:rPr>
        <w:tab/>
        <w:t>to study any possible solutions to combat the use of stolen mobile telecommunication devices with tampered (changed without authorization) identities and to prevent them from accessing the mobile network;</w:t>
      </w:r>
    </w:p>
    <w:p w14:paraId="3373420C" w14:textId="77777777" w:rsidR="00F0236A" w:rsidRPr="00073574" w:rsidRDefault="00F0236A" w:rsidP="00F0236A">
      <w:pPr>
        <w:spacing w:after="240"/>
        <w:rPr>
          <w:sz w:val="24"/>
        </w:rPr>
      </w:pPr>
      <w:r w:rsidRPr="00073574">
        <w:rPr>
          <w:sz w:val="24"/>
        </w:rPr>
        <w:t>3</w:t>
      </w:r>
      <w:r w:rsidRPr="00073574">
        <w:rPr>
          <w:sz w:val="24"/>
        </w:rPr>
        <w:tab/>
        <w:t>to study any technologies that can be used as a tool for combating mobile telecommunication device theft;</w:t>
      </w:r>
    </w:p>
    <w:p w14:paraId="67B997CE" w14:textId="77777777" w:rsidR="00F0236A" w:rsidRPr="00073574" w:rsidRDefault="00F0236A" w:rsidP="00F0236A">
      <w:pPr>
        <w:spacing w:after="240"/>
        <w:rPr>
          <w:sz w:val="24"/>
        </w:rPr>
      </w:pPr>
      <w:r w:rsidRPr="00073574">
        <w:rPr>
          <w:sz w:val="24"/>
        </w:rPr>
        <w:t>4</w:t>
      </w:r>
      <w:r w:rsidRPr="00073574">
        <w:rPr>
          <w:sz w:val="24"/>
        </w:rPr>
        <w:tab/>
        <w:t>to draw up a list of identifiers used in mobile telecommunication/ICT devices,</w:t>
      </w:r>
    </w:p>
    <w:p w14:paraId="5601A4AF" w14:textId="77777777" w:rsidR="00F0236A" w:rsidRPr="00073574" w:rsidRDefault="00F0236A" w:rsidP="00F0236A">
      <w:pPr>
        <w:pStyle w:val="Call"/>
        <w:rPr>
          <w:sz w:val="24"/>
          <w:szCs w:val="24"/>
          <w:lang w:val="en-GB" w:eastAsia="en-AU"/>
        </w:rPr>
      </w:pPr>
      <w:r w:rsidRPr="00073574">
        <w:rPr>
          <w:sz w:val="24"/>
          <w:szCs w:val="24"/>
          <w:lang w:val="en-GB" w:eastAsia="en-AU"/>
        </w:rPr>
        <w:t>invites Member States and Sector Members</w:t>
      </w:r>
    </w:p>
    <w:p w14:paraId="1817A82A" w14:textId="77777777" w:rsidR="00F0236A" w:rsidRPr="00073574" w:rsidRDefault="00F0236A" w:rsidP="00F0236A">
      <w:pPr>
        <w:spacing w:after="240"/>
        <w:rPr>
          <w:sz w:val="24"/>
        </w:rPr>
      </w:pPr>
      <w:r w:rsidRPr="00073574">
        <w:rPr>
          <w:sz w:val="24"/>
        </w:rPr>
        <w:t>1</w:t>
      </w:r>
      <w:r w:rsidRPr="00073574">
        <w:rPr>
          <w:sz w:val="24"/>
        </w:rPr>
        <w:tab/>
        <w:t>to take all necessary measures to combat mobile telecommunication device theft and its negative effects;</w:t>
      </w:r>
    </w:p>
    <w:p w14:paraId="5E9B1DE3" w14:textId="77777777" w:rsidR="00F0236A" w:rsidRPr="00073574" w:rsidRDefault="00F0236A" w:rsidP="00F0236A">
      <w:pPr>
        <w:spacing w:after="240"/>
        <w:rPr>
          <w:sz w:val="24"/>
        </w:rPr>
      </w:pPr>
      <w:r w:rsidRPr="00073574">
        <w:rPr>
          <w:sz w:val="24"/>
        </w:rPr>
        <w:t>2</w:t>
      </w:r>
      <w:r w:rsidRPr="00073574">
        <w:rPr>
          <w:sz w:val="24"/>
        </w:rPr>
        <w:tab/>
        <w:t>to cooperate and share expertise in this area;</w:t>
      </w:r>
    </w:p>
    <w:p w14:paraId="7FD66401" w14:textId="77777777" w:rsidR="00F0236A" w:rsidRPr="00073574" w:rsidRDefault="00F0236A" w:rsidP="00F0236A">
      <w:pPr>
        <w:spacing w:after="240"/>
        <w:rPr>
          <w:sz w:val="24"/>
        </w:rPr>
      </w:pPr>
      <w:r w:rsidRPr="00073574">
        <w:rPr>
          <w:sz w:val="24"/>
        </w:rPr>
        <w:t>3</w:t>
      </w:r>
      <w:r w:rsidRPr="00073574">
        <w:rPr>
          <w:sz w:val="24"/>
        </w:rPr>
        <w:tab/>
        <w:t>to participate actively in ITU studies relating to the implementation of this resolution by submitting contributions;</w:t>
      </w:r>
    </w:p>
    <w:p w14:paraId="5EC772B2" w14:textId="77777777" w:rsidR="00F0236A" w:rsidRPr="00073574" w:rsidRDefault="00F0236A" w:rsidP="00F0236A">
      <w:pPr>
        <w:spacing w:after="240"/>
        <w:rPr>
          <w:sz w:val="24"/>
        </w:rPr>
      </w:pPr>
      <w:r w:rsidRPr="00073574">
        <w:rPr>
          <w:sz w:val="24"/>
        </w:rPr>
        <w:t>4</w:t>
      </w:r>
      <w:r w:rsidRPr="00073574">
        <w:rPr>
          <w:sz w:val="24"/>
        </w:rPr>
        <w:tab/>
        <w:t>to take the necessary actions to prevent or discover and control tampering (unauthorized changing) of unique mobile telecommunication/ICT device identifiers and prevent tampered devices from accessing mobile networks.</w:t>
      </w:r>
    </w:p>
    <w:tbl>
      <w:tblPr>
        <w:tblW w:w="993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30"/>
        <w:gridCol w:w="4988"/>
        <w:gridCol w:w="1335"/>
        <w:gridCol w:w="1143"/>
        <w:gridCol w:w="1336"/>
      </w:tblGrid>
      <w:tr w:rsidR="00F0236A" w:rsidRPr="00073574" w14:paraId="4F828600" w14:textId="77777777" w:rsidTr="539711DF">
        <w:trPr>
          <w:tblHeader/>
        </w:trPr>
        <w:tc>
          <w:tcPr>
            <w:tcW w:w="1130" w:type="dxa"/>
            <w:tcBorders>
              <w:top w:val="single" w:sz="12" w:space="0" w:color="auto"/>
              <w:bottom w:val="single" w:sz="12" w:space="0" w:color="auto"/>
            </w:tcBorders>
            <w:shd w:val="clear" w:color="auto" w:fill="auto"/>
            <w:vAlign w:val="center"/>
          </w:tcPr>
          <w:p w14:paraId="24880C14" w14:textId="77777777" w:rsidR="00F0236A" w:rsidRPr="00073574" w:rsidRDefault="00F0236A" w:rsidP="00A05A62">
            <w:pPr>
              <w:pStyle w:val="Tablehead"/>
              <w:keepNext w:val="0"/>
              <w:rPr>
                <w:sz w:val="24"/>
                <w:szCs w:val="24"/>
              </w:rPr>
            </w:pPr>
            <w:r w:rsidRPr="00073574">
              <w:rPr>
                <w:sz w:val="24"/>
                <w:szCs w:val="24"/>
              </w:rPr>
              <w:t>Action Item</w:t>
            </w:r>
          </w:p>
        </w:tc>
        <w:tc>
          <w:tcPr>
            <w:tcW w:w="4988" w:type="dxa"/>
            <w:tcBorders>
              <w:top w:val="single" w:sz="12" w:space="0" w:color="auto"/>
              <w:bottom w:val="single" w:sz="12" w:space="0" w:color="auto"/>
            </w:tcBorders>
            <w:shd w:val="clear" w:color="auto" w:fill="auto"/>
            <w:vAlign w:val="center"/>
            <w:hideMark/>
          </w:tcPr>
          <w:p w14:paraId="124426F2" w14:textId="77777777" w:rsidR="00F0236A" w:rsidRPr="00073574" w:rsidRDefault="00F0236A" w:rsidP="00DF36E1">
            <w:pPr>
              <w:pStyle w:val="Tablehead"/>
              <w:rPr>
                <w:sz w:val="24"/>
                <w:szCs w:val="24"/>
              </w:rPr>
            </w:pPr>
            <w:r w:rsidRPr="00073574">
              <w:rPr>
                <w:sz w:val="24"/>
                <w:szCs w:val="24"/>
              </w:rPr>
              <w:t>Action</w:t>
            </w:r>
          </w:p>
        </w:tc>
        <w:tc>
          <w:tcPr>
            <w:tcW w:w="1335" w:type="dxa"/>
            <w:tcBorders>
              <w:top w:val="single" w:sz="12" w:space="0" w:color="auto"/>
              <w:bottom w:val="single" w:sz="12" w:space="0" w:color="auto"/>
            </w:tcBorders>
            <w:shd w:val="clear" w:color="auto" w:fill="auto"/>
            <w:vAlign w:val="center"/>
            <w:hideMark/>
          </w:tcPr>
          <w:p w14:paraId="5B96D6EC" w14:textId="77777777" w:rsidR="00F0236A" w:rsidRPr="00073574" w:rsidRDefault="00F0236A" w:rsidP="00DF36E1">
            <w:pPr>
              <w:pStyle w:val="Tablehead"/>
              <w:rPr>
                <w:sz w:val="24"/>
                <w:szCs w:val="24"/>
              </w:rPr>
            </w:pPr>
            <w:r w:rsidRPr="00073574">
              <w:rPr>
                <w:sz w:val="24"/>
                <w:szCs w:val="24"/>
              </w:rPr>
              <w:t>Milestone</w:t>
            </w:r>
          </w:p>
        </w:tc>
        <w:tc>
          <w:tcPr>
            <w:tcW w:w="1143" w:type="dxa"/>
            <w:tcBorders>
              <w:top w:val="single" w:sz="12" w:space="0" w:color="auto"/>
              <w:bottom w:val="single" w:sz="12" w:space="0" w:color="auto"/>
            </w:tcBorders>
            <w:shd w:val="clear" w:color="auto" w:fill="auto"/>
          </w:tcPr>
          <w:p w14:paraId="44C000BD" w14:textId="77777777" w:rsidR="00F0236A" w:rsidRPr="00073574" w:rsidRDefault="00F0236A" w:rsidP="00DF36E1">
            <w:pPr>
              <w:pStyle w:val="Tablehead"/>
              <w:rPr>
                <w:sz w:val="24"/>
                <w:szCs w:val="24"/>
              </w:rPr>
            </w:pPr>
            <w:r w:rsidRPr="00073574">
              <w:rPr>
                <w:sz w:val="24"/>
                <w:szCs w:val="24"/>
              </w:rPr>
              <w:t>Periodic goals met</w:t>
            </w:r>
          </w:p>
        </w:tc>
        <w:tc>
          <w:tcPr>
            <w:tcW w:w="1336" w:type="dxa"/>
            <w:tcBorders>
              <w:top w:val="single" w:sz="12" w:space="0" w:color="auto"/>
              <w:bottom w:val="single" w:sz="12" w:space="0" w:color="auto"/>
            </w:tcBorders>
            <w:shd w:val="clear" w:color="auto" w:fill="auto"/>
            <w:vAlign w:val="center"/>
          </w:tcPr>
          <w:p w14:paraId="14E926CF" w14:textId="77777777" w:rsidR="00F0236A" w:rsidRPr="00073574" w:rsidRDefault="00F0236A" w:rsidP="00DF36E1">
            <w:pPr>
              <w:pStyle w:val="Tablehead"/>
              <w:rPr>
                <w:sz w:val="24"/>
                <w:szCs w:val="24"/>
              </w:rPr>
            </w:pPr>
            <w:r w:rsidRPr="00073574">
              <w:rPr>
                <w:sz w:val="24"/>
                <w:szCs w:val="24"/>
              </w:rPr>
              <w:t>Completed</w:t>
            </w:r>
          </w:p>
        </w:tc>
      </w:tr>
      <w:tr w:rsidR="00F0236A" w:rsidRPr="00073574" w14:paraId="7D24FDBF" w14:textId="77777777" w:rsidTr="539711DF">
        <w:tc>
          <w:tcPr>
            <w:tcW w:w="1130" w:type="dxa"/>
            <w:vMerge w:val="restart"/>
            <w:tcBorders>
              <w:top w:val="single" w:sz="12" w:space="0" w:color="auto"/>
            </w:tcBorders>
            <w:shd w:val="clear" w:color="auto" w:fill="auto"/>
          </w:tcPr>
          <w:p w14:paraId="5D5B8DAF" w14:textId="77777777" w:rsidR="00F0236A" w:rsidRPr="00073574" w:rsidRDefault="00F0236A" w:rsidP="00DF36E1">
            <w:pPr>
              <w:pStyle w:val="Tabletext"/>
              <w:rPr>
                <w:b/>
                <w:bCs/>
                <w:sz w:val="24"/>
                <w:szCs w:val="24"/>
              </w:rPr>
            </w:pPr>
            <w:r w:rsidRPr="00073574">
              <w:rPr>
                <w:b/>
                <w:bCs/>
                <w:sz w:val="24"/>
                <w:szCs w:val="24"/>
              </w:rPr>
              <w:t>97-01</w:t>
            </w:r>
          </w:p>
        </w:tc>
        <w:tc>
          <w:tcPr>
            <w:tcW w:w="4988" w:type="dxa"/>
            <w:tcBorders>
              <w:top w:val="single" w:sz="12" w:space="0" w:color="auto"/>
              <w:bottom w:val="single" w:sz="2" w:space="0" w:color="auto"/>
            </w:tcBorders>
            <w:shd w:val="clear" w:color="auto" w:fill="auto"/>
          </w:tcPr>
          <w:p w14:paraId="1C574AB1" w14:textId="77777777" w:rsidR="00F0236A" w:rsidRPr="00073574" w:rsidRDefault="00F0236A" w:rsidP="00DF36E1">
            <w:pPr>
              <w:pStyle w:val="Tabletext"/>
              <w:rPr>
                <w:b/>
                <w:bCs/>
                <w:sz w:val="24"/>
                <w:szCs w:val="24"/>
              </w:rPr>
            </w:pPr>
            <w:r w:rsidRPr="00073574">
              <w:rPr>
                <w:b/>
                <w:bCs/>
                <w:sz w:val="24"/>
                <w:szCs w:val="24"/>
              </w:rPr>
              <w:t>ITU-T study groups should explore all applicable solutions and develop ITU-T Recommendations to combat and deter mobile device theft, offering all interested parties a forum for encouraging discussion, member cooperation, the exchange of best practices and guidelines and the dissemination of information on combating mobile device theft (resolves 1)</w:t>
            </w:r>
          </w:p>
        </w:tc>
        <w:tc>
          <w:tcPr>
            <w:tcW w:w="1335" w:type="dxa"/>
            <w:tcBorders>
              <w:top w:val="single" w:sz="12" w:space="0" w:color="auto"/>
              <w:bottom w:val="single" w:sz="2" w:space="0" w:color="auto"/>
            </w:tcBorders>
            <w:shd w:val="clear" w:color="auto" w:fill="auto"/>
            <w:vAlign w:val="center"/>
          </w:tcPr>
          <w:p w14:paraId="5BD93327"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43" w:type="dxa"/>
            <w:tcBorders>
              <w:top w:val="single" w:sz="12" w:space="0" w:color="auto"/>
              <w:bottom w:val="single" w:sz="2" w:space="0" w:color="auto"/>
            </w:tcBorders>
            <w:shd w:val="clear" w:color="auto" w:fill="auto"/>
            <w:vAlign w:val="center"/>
          </w:tcPr>
          <w:p w14:paraId="368C4A9E"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bottom w:val="single" w:sz="2" w:space="0" w:color="auto"/>
            </w:tcBorders>
            <w:shd w:val="clear" w:color="auto" w:fill="auto"/>
            <w:vAlign w:val="center"/>
          </w:tcPr>
          <w:p w14:paraId="3F175502" w14:textId="77777777" w:rsidR="00F0236A" w:rsidRPr="00073574" w:rsidRDefault="00F0236A" w:rsidP="00DF36E1">
            <w:pPr>
              <w:pStyle w:val="Tabletext"/>
              <w:jc w:val="center"/>
              <w:rPr>
                <w:b/>
                <w:bCs/>
                <w:sz w:val="24"/>
                <w:szCs w:val="24"/>
              </w:rPr>
            </w:pPr>
          </w:p>
        </w:tc>
      </w:tr>
      <w:tr w:rsidR="00F0236A" w:rsidRPr="00073574" w14:paraId="0E3307C8" w14:textId="77777777" w:rsidTr="539711DF">
        <w:tc>
          <w:tcPr>
            <w:tcW w:w="1130" w:type="dxa"/>
            <w:vMerge/>
          </w:tcPr>
          <w:p w14:paraId="0F27884B" w14:textId="77777777" w:rsidR="00F0236A" w:rsidRPr="00073574" w:rsidRDefault="00F0236A" w:rsidP="00DF36E1">
            <w:pPr>
              <w:pStyle w:val="Tabletext"/>
              <w:rPr>
                <w:sz w:val="24"/>
                <w:szCs w:val="24"/>
              </w:rPr>
            </w:pPr>
          </w:p>
        </w:tc>
        <w:tc>
          <w:tcPr>
            <w:tcW w:w="8802" w:type="dxa"/>
            <w:gridSpan w:val="4"/>
            <w:tcBorders>
              <w:top w:val="single" w:sz="2" w:space="0" w:color="auto"/>
              <w:bottom w:val="single" w:sz="12" w:space="0" w:color="auto"/>
            </w:tcBorders>
            <w:shd w:val="clear" w:color="auto" w:fill="auto"/>
          </w:tcPr>
          <w:p w14:paraId="7AA45B1E" w14:textId="15EF0D63" w:rsidR="00F0236A" w:rsidRPr="00073574" w:rsidRDefault="00F0236A" w:rsidP="00D352D9">
            <w:pPr>
              <w:pStyle w:val="Tabletext"/>
              <w:numPr>
                <w:ilvl w:val="0"/>
                <w:numId w:val="4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ind w:left="352" w:hanging="352"/>
            </w:pPr>
            <w:r w:rsidRPr="00073574">
              <w:t>SG11 established a plan for implementation of the Resolution 97 (WTSA-16) and</w:t>
            </w:r>
            <w:r w:rsidR="00E25833" w:rsidRPr="00073574">
              <w:t xml:space="preserve"> </w:t>
            </w:r>
            <w:r w:rsidR="007D0C3B" w:rsidRPr="00073574">
              <w:rPr>
                <w:rFonts w:asciiTheme="majorBidi" w:hAnsiTheme="majorBidi" w:cstheme="majorBidi"/>
              </w:rPr>
              <w:t xml:space="preserve">approved </w:t>
            </w:r>
            <w:r w:rsidR="00E25833" w:rsidRPr="00073574">
              <w:rPr>
                <w:rFonts w:asciiTheme="majorBidi" w:hAnsiTheme="majorBidi" w:cstheme="majorBidi"/>
              </w:rPr>
              <w:t>new Recommendation ITU-T Q.5051 “Framework for Combating the use of Stolen Mobile Devices”</w:t>
            </w:r>
            <w:r w:rsidRPr="00073574">
              <w:t>.</w:t>
            </w:r>
          </w:p>
          <w:p w14:paraId="0E487EBE" w14:textId="02609A5A" w:rsidR="00F0236A" w:rsidRPr="00073574" w:rsidRDefault="00F0236A" w:rsidP="00D352D9">
            <w:pPr>
              <w:pStyle w:val="Tabletext"/>
              <w:numPr>
                <w:ilvl w:val="0"/>
                <w:numId w:val="4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ind w:left="352" w:hanging="352"/>
            </w:pPr>
            <w:r w:rsidRPr="00073574">
              <w:rPr>
                <w:rFonts w:asciiTheme="majorBidi" w:hAnsiTheme="majorBidi" w:cstheme="majorBidi"/>
              </w:rPr>
              <w:t xml:space="preserve">SG17 </w:t>
            </w:r>
            <w:r w:rsidR="503D82F7" w:rsidRPr="00073574">
              <w:rPr>
                <w:rFonts w:asciiTheme="majorBidi" w:hAnsiTheme="majorBidi" w:cstheme="majorBidi"/>
              </w:rPr>
              <w:t>developed</w:t>
            </w:r>
            <w:r w:rsidRPr="00073574">
              <w:rPr>
                <w:rFonts w:asciiTheme="majorBidi" w:hAnsiTheme="majorBidi" w:cstheme="majorBidi"/>
              </w:rPr>
              <w:t xml:space="preserve"> Recommendation ITU-T X.1127 </w:t>
            </w:r>
            <w:r w:rsidR="5F8382D8" w:rsidRPr="00073574">
              <w:rPr>
                <w:rFonts w:asciiTheme="majorBidi" w:hAnsiTheme="majorBidi" w:cstheme="majorBidi"/>
              </w:rPr>
              <w:t xml:space="preserve">(2017) </w:t>
            </w:r>
            <w:r w:rsidR="003C7E25" w:rsidRPr="00073574">
              <w:rPr>
                <w:rFonts w:asciiTheme="majorBidi" w:hAnsiTheme="majorBidi" w:cstheme="majorBidi"/>
              </w:rPr>
              <w:t>"</w:t>
            </w:r>
            <w:r w:rsidRPr="00073574">
              <w:rPr>
                <w:rFonts w:asciiTheme="majorBidi" w:hAnsiTheme="majorBidi" w:cstheme="majorBidi"/>
              </w:rPr>
              <w:t>Functional security requirements and architecture for mobile phone anti-theft measures</w:t>
            </w:r>
            <w:r w:rsidR="003C7E25" w:rsidRPr="00073574">
              <w:rPr>
                <w:rFonts w:asciiTheme="majorBidi" w:hAnsiTheme="majorBidi" w:cstheme="majorBidi"/>
              </w:rPr>
              <w:t>"</w:t>
            </w:r>
            <w:r w:rsidRPr="00073574">
              <w:rPr>
                <w:rFonts w:asciiTheme="majorBidi" w:hAnsiTheme="majorBidi" w:cstheme="majorBidi"/>
              </w:rPr>
              <w:t>.</w:t>
            </w:r>
          </w:p>
        </w:tc>
      </w:tr>
      <w:tr w:rsidR="00F0236A" w:rsidRPr="00073574" w14:paraId="7B5CC27B" w14:textId="77777777" w:rsidTr="539711DF">
        <w:tc>
          <w:tcPr>
            <w:tcW w:w="1130" w:type="dxa"/>
            <w:vMerge w:val="restart"/>
            <w:tcBorders>
              <w:top w:val="single" w:sz="12" w:space="0" w:color="auto"/>
            </w:tcBorders>
            <w:shd w:val="clear" w:color="auto" w:fill="auto"/>
          </w:tcPr>
          <w:p w14:paraId="56BE4571" w14:textId="77777777" w:rsidR="00F0236A" w:rsidRPr="00073574" w:rsidRDefault="00F0236A" w:rsidP="00DF36E1">
            <w:pPr>
              <w:pStyle w:val="Tabletext"/>
              <w:keepNext/>
              <w:keepLines/>
              <w:rPr>
                <w:b/>
                <w:bCs/>
                <w:sz w:val="24"/>
                <w:szCs w:val="24"/>
              </w:rPr>
            </w:pPr>
            <w:r w:rsidRPr="00073574">
              <w:rPr>
                <w:b/>
                <w:bCs/>
                <w:sz w:val="24"/>
                <w:szCs w:val="24"/>
              </w:rPr>
              <w:t>97-02</w:t>
            </w:r>
          </w:p>
        </w:tc>
        <w:tc>
          <w:tcPr>
            <w:tcW w:w="4988" w:type="dxa"/>
            <w:tcBorders>
              <w:top w:val="single" w:sz="12" w:space="0" w:color="auto"/>
              <w:bottom w:val="single" w:sz="4" w:space="0" w:color="auto"/>
            </w:tcBorders>
            <w:shd w:val="clear" w:color="auto" w:fill="auto"/>
          </w:tcPr>
          <w:p w14:paraId="5C7AEC52" w14:textId="77777777" w:rsidR="00F0236A" w:rsidRPr="00073574" w:rsidRDefault="00F0236A" w:rsidP="00DF36E1">
            <w:pPr>
              <w:pStyle w:val="Tabletext"/>
              <w:keepNext/>
              <w:keepLines/>
              <w:rPr>
                <w:b/>
                <w:bCs/>
                <w:sz w:val="24"/>
                <w:szCs w:val="24"/>
              </w:rPr>
            </w:pPr>
            <w:r w:rsidRPr="00073574">
              <w:rPr>
                <w:b/>
                <w:bCs/>
                <w:sz w:val="24"/>
                <w:szCs w:val="24"/>
              </w:rPr>
              <w:t>ITU-T study groups should, in collaboration with the relevant standards organizations, develop solutions to address the problem of duplication of unique identifiers (resolves 2)</w:t>
            </w:r>
          </w:p>
        </w:tc>
        <w:tc>
          <w:tcPr>
            <w:tcW w:w="1335" w:type="dxa"/>
            <w:tcBorders>
              <w:top w:val="single" w:sz="12" w:space="0" w:color="auto"/>
              <w:bottom w:val="single" w:sz="4" w:space="0" w:color="auto"/>
            </w:tcBorders>
            <w:shd w:val="clear" w:color="auto" w:fill="auto"/>
            <w:vAlign w:val="center"/>
          </w:tcPr>
          <w:p w14:paraId="72C8F1AF"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43" w:type="dxa"/>
            <w:tcBorders>
              <w:top w:val="single" w:sz="12" w:space="0" w:color="auto"/>
              <w:bottom w:val="single" w:sz="4" w:space="0" w:color="auto"/>
            </w:tcBorders>
            <w:shd w:val="clear" w:color="auto" w:fill="auto"/>
            <w:vAlign w:val="center"/>
          </w:tcPr>
          <w:p w14:paraId="21ECB5FF"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bottom w:val="single" w:sz="4" w:space="0" w:color="auto"/>
            </w:tcBorders>
            <w:shd w:val="clear" w:color="auto" w:fill="auto"/>
            <w:vAlign w:val="center"/>
          </w:tcPr>
          <w:p w14:paraId="110EAF03" w14:textId="77777777" w:rsidR="00F0236A" w:rsidRPr="00073574" w:rsidRDefault="00F0236A" w:rsidP="00DF36E1">
            <w:pPr>
              <w:pStyle w:val="Tabletext"/>
              <w:jc w:val="center"/>
              <w:rPr>
                <w:b/>
                <w:bCs/>
                <w:sz w:val="24"/>
                <w:szCs w:val="24"/>
              </w:rPr>
            </w:pPr>
          </w:p>
        </w:tc>
      </w:tr>
      <w:tr w:rsidR="00F0236A" w:rsidRPr="00073574" w14:paraId="3B5BABE1" w14:textId="77777777" w:rsidTr="539711DF">
        <w:tc>
          <w:tcPr>
            <w:tcW w:w="1130" w:type="dxa"/>
            <w:vMerge/>
          </w:tcPr>
          <w:p w14:paraId="309DD1F6" w14:textId="77777777" w:rsidR="00F0236A" w:rsidRPr="00073574" w:rsidRDefault="00F0236A" w:rsidP="00DF36E1">
            <w:pPr>
              <w:pStyle w:val="Tabletext"/>
              <w:rPr>
                <w:sz w:val="24"/>
                <w:szCs w:val="24"/>
              </w:rPr>
            </w:pPr>
          </w:p>
        </w:tc>
        <w:tc>
          <w:tcPr>
            <w:tcW w:w="8802" w:type="dxa"/>
            <w:gridSpan w:val="4"/>
            <w:tcBorders>
              <w:top w:val="single" w:sz="4" w:space="0" w:color="auto"/>
              <w:bottom w:val="single" w:sz="12" w:space="0" w:color="auto"/>
            </w:tcBorders>
            <w:shd w:val="clear" w:color="auto" w:fill="auto"/>
          </w:tcPr>
          <w:p w14:paraId="318C85C9" w14:textId="77777777" w:rsidR="00F0236A" w:rsidRPr="00073574" w:rsidRDefault="00F0236A" w:rsidP="00D352D9">
            <w:pPr>
              <w:pStyle w:val="Tabletext"/>
              <w:numPr>
                <w:ilvl w:val="0"/>
                <w:numId w:val="45"/>
              </w:numPr>
              <w:tabs>
                <w:tab w:val="clear" w:pos="284"/>
                <w:tab w:val="clear" w:pos="851"/>
              </w:tabs>
              <w:spacing w:before="120"/>
              <w:ind w:left="380" w:hanging="380"/>
            </w:pPr>
            <w:r w:rsidRPr="00073574">
              <w:t>SG2: see 96-01.</w:t>
            </w:r>
          </w:p>
          <w:p w14:paraId="76F54B6E" w14:textId="4C7151F5" w:rsidR="00F0236A" w:rsidRPr="00073574" w:rsidRDefault="00F0236A" w:rsidP="00D352D9">
            <w:pPr>
              <w:pStyle w:val="Tabletext"/>
              <w:numPr>
                <w:ilvl w:val="0"/>
                <w:numId w:val="45"/>
              </w:numPr>
              <w:tabs>
                <w:tab w:val="clear" w:pos="284"/>
                <w:tab w:val="clear" w:pos="851"/>
              </w:tabs>
              <w:spacing w:before="120"/>
              <w:ind w:left="380" w:hanging="380"/>
            </w:pPr>
            <w:r w:rsidRPr="00073574">
              <w:t>SG11 informed OECD, WIPO, WTO, 3GPP, MWF, GSMA as well as regional organizations (APT, ATU, CITEL, CEPT, RCC) and ITU SGs on the current activities related to mobile device theft.</w:t>
            </w:r>
            <w:r w:rsidR="00E25833" w:rsidRPr="00073574">
              <w:t xml:space="preserve"> TSB secretariat </w:t>
            </w:r>
            <w:r w:rsidR="00EF1C8A" w:rsidRPr="00073574">
              <w:t>participated in and</w:t>
            </w:r>
            <w:r w:rsidR="00E25833" w:rsidRPr="00073574">
              <w:t xml:space="preserve"> gave an overview of ITU-T activities on combating counterfeit and stolen ICT devices at the coordination meeting of </w:t>
            </w:r>
            <w:r w:rsidR="00E25833" w:rsidRPr="00073574">
              <w:lastRenderedPageBreak/>
              <w:t>IGOs working in the area of building respect for Intellectual Property (IP)</w:t>
            </w:r>
            <w:r w:rsidR="00EF1C8A" w:rsidRPr="00073574">
              <w:t xml:space="preserve"> in </w:t>
            </w:r>
            <w:r w:rsidR="00E25833" w:rsidRPr="00073574">
              <w:t xml:space="preserve">2019, </w:t>
            </w:r>
            <w:r w:rsidR="00EF1C8A" w:rsidRPr="00073574">
              <w:t>2020 and 2021</w:t>
            </w:r>
            <w:r w:rsidR="00E25833" w:rsidRPr="00073574">
              <w:t>.</w:t>
            </w:r>
          </w:p>
        </w:tc>
      </w:tr>
      <w:tr w:rsidR="00F0236A" w:rsidRPr="00073574" w14:paraId="688992BE" w14:textId="77777777" w:rsidTr="539711DF">
        <w:tc>
          <w:tcPr>
            <w:tcW w:w="1130" w:type="dxa"/>
            <w:vMerge w:val="restart"/>
            <w:tcBorders>
              <w:top w:val="single" w:sz="12" w:space="0" w:color="auto"/>
            </w:tcBorders>
            <w:shd w:val="clear" w:color="auto" w:fill="auto"/>
          </w:tcPr>
          <w:p w14:paraId="46DDA663" w14:textId="77777777" w:rsidR="00F0236A" w:rsidRPr="00073574" w:rsidRDefault="00F0236A" w:rsidP="001B776E">
            <w:pPr>
              <w:pStyle w:val="Tabletext"/>
              <w:keepNext/>
              <w:keepLines/>
              <w:rPr>
                <w:b/>
                <w:bCs/>
                <w:sz w:val="24"/>
                <w:szCs w:val="24"/>
              </w:rPr>
            </w:pPr>
            <w:r w:rsidRPr="00073574">
              <w:rPr>
                <w:b/>
                <w:bCs/>
                <w:sz w:val="24"/>
                <w:szCs w:val="24"/>
              </w:rPr>
              <w:lastRenderedPageBreak/>
              <w:t>97-03</w:t>
            </w:r>
          </w:p>
        </w:tc>
        <w:tc>
          <w:tcPr>
            <w:tcW w:w="4988" w:type="dxa"/>
            <w:tcBorders>
              <w:top w:val="single" w:sz="12" w:space="0" w:color="auto"/>
              <w:bottom w:val="single" w:sz="4" w:space="0" w:color="auto"/>
            </w:tcBorders>
            <w:shd w:val="clear" w:color="auto" w:fill="auto"/>
          </w:tcPr>
          <w:p w14:paraId="40450107" w14:textId="77777777" w:rsidR="00F0236A" w:rsidRPr="00073574" w:rsidRDefault="00F0236A" w:rsidP="00DF36E1">
            <w:pPr>
              <w:pStyle w:val="Tabletext"/>
              <w:rPr>
                <w:b/>
                <w:bCs/>
                <w:sz w:val="24"/>
                <w:szCs w:val="24"/>
              </w:rPr>
            </w:pPr>
            <w:r w:rsidRPr="00073574">
              <w:rPr>
                <w:b/>
                <w:bCs/>
                <w:sz w:val="24"/>
                <w:szCs w:val="24"/>
              </w:rPr>
              <w:t>SG11 should be the lead study group at ITU-T on activities relating to combating mobile telecommunication device theft (resolves 3)</w:t>
            </w:r>
          </w:p>
        </w:tc>
        <w:tc>
          <w:tcPr>
            <w:tcW w:w="1335" w:type="dxa"/>
            <w:tcBorders>
              <w:top w:val="single" w:sz="12" w:space="0" w:color="auto"/>
              <w:bottom w:val="single" w:sz="4" w:space="0" w:color="auto"/>
            </w:tcBorders>
            <w:shd w:val="clear" w:color="auto" w:fill="auto"/>
            <w:vAlign w:val="center"/>
          </w:tcPr>
          <w:p w14:paraId="324533F3"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43" w:type="dxa"/>
            <w:tcBorders>
              <w:top w:val="single" w:sz="12" w:space="0" w:color="auto"/>
              <w:bottom w:val="single" w:sz="4" w:space="0" w:color="auto"/>
            </w:tcBorders>
            <w:shd w:val="clear" w:color="auto" w:fill="auto"/>
            <w:vAlign w:val="center"/>
          </w:tcPr>
          <w:p w14:paraId="23E6B2EB"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bottom w:val="single" w:sz="4" w:space="0" w:color="auto"/>
            </w:tcBorders>
            <w:shd w:val="clear" w:color="auto" w:fill="auto"/>
            <w:vAlign w:val="center"/>
          </w:tcPr>
          <w:p w14:paraId="646A9957" w14:textId="77777777" w:rsidR="00F0236A" w:rsidRPr="00073574" w:rsidRDefault="00F0236A" w:rsidP="00DF36E1">
            <w:pPr>
              <w:pStyle w:val="Tabletext"/>
              <w:jc w:val="center"/>
              <w:rPr>
                <w:b/>
                <w:bCs/>
                <w:sz w:val="24"/>
                <w:szCs w:val="24"/>
              </w:rPr>
            </w:pPr>
          </w:p>
        </w:tc>
      </w:tr>
      <w:tr w:rsidR="00F0236A" w:rsidRPr="00073574" w14:paraId="55CCD7C9" w14:textId="77777777" w:rsidTr="539711DF">
        <w:tc>
          <w:tcPr>
            <w:tcW w:w="1130" w:type="dxa"/>
            <w:vMerge/>
          </w:tcPr>
          <w:p w14:paraId="00CF71B2" w14:textId="77777777" w:rsidR="00F0236A" w:rsidRPr="00073574" w:rsidRDefault="00F0236A" w:rsidP="00DF36E1">
            <w:pPr>
              <w:pStyle w:val="Tabletext"/>
              <w:rPr>
                <w:sz w:val="24"/>
                <w:szCs w:val="24"/>
              </w:rPr>
            </w:pPr>
          </w:p>
        </w:tc>
        <w:tc>
          <w:tcPr>
            <w:tcW w:w="8802" w:type="dxa"/>
            <w:gridSpan w:val="4"/>
            <w:tcBorders>
              <w:top w:val="single" w:sz="4" w:space="0" w:color="auto"/>
              <w:bottom w:val="single" w:sz="12" w:space="0" w:color="auto"/>
            </w:tcBorders>
            <w:shd w:val="clear" w:color="auto" w:fill="auto"/>
          </w:tcPr>
          <w:p w14:paraId="31497801" w14:textId="77777777" w:rsidR="00F0236A" w:rsidRPr="00073574" w:rsidRDefault="00F0236A" w:rsidP="00DF36E1">
            <w:pPr>
              <w:pStyle w:val="Tabletext"/>
              <w:rPr>
                <w:szCs w:val="22"/>
              </w:rPr>
            </w:pPr>
            <w:r w:rsidRPr="00073574">
              <w:rPr>
                <w:szCs w:val="22"/>
              </w:rPr>
              <w:t>SG11 informs ITU SGs on the ongoing work related to mobile device theft and encourages their active participation on this matter.</w:t>
            </w:r>
          </w:p>
          <w:p w14:paraId="6A8D9CFF" w14:textId="77777777" w:rsidR="00F0236A" w:rsidRPr="00073574" w:rsidRDefault="00F0236A" w:rsidP="00DF36E1">
            <w:pPr>
              <w:pStyle w:val="Tabletext"/>
              <w:rPr>
                <w:sz w:val="24"/>
                <w:szCs w:val="24"/>
              </w:rPr>
            </w:pPr>
            <w:r w:rsidRPr="00073574">
              <w:rPr>
                <w:szCs w:val="22"/>
              </w:rPr>
              <w:t>SG11 established an action plan for implementation of WTSA-16 Resolution 97.</w:t>
            </w:r>
          </w:p>
        </w:tc>
      </w:tr>
      <w:tr w:rsidR="00F0236A" w:rsidRPr="00073574" w14:paraId="242F0702" w14:textId="77777777" w:rsidTr="539711DF">
        <w:tc>
          <w:tcPr>
            <w:tcW w:w="1130" w:type="dxa"/>
            <w:vMerge w:val="restart"/>
            <w:tcBorders>
              <w:top w:val="single" w:sz="12" w:space="0" w:color="auto"/>
            </w:tcBorders>
            <w:shd w:val="clear" w:color="auto" w:fill="auto"/>
          </w:tcPr>
          <w:p w14:paraId="2E7F26D1" w14:textId="77777777" w:rsidR="00F0236A" w:rsidRPr="00073574" w:rsidRDefault="00F0236A" w:rsidP="004B2752">
            <w:pPr>
              <w:pStyle w:val="Tabletext"/>
              <w:keepNext/>
              <w:keepLines/>
              <w:rPr>
                <w:b/>
                <w:bCs/>
                <w:sz w:val="24"/>
                <w:szCs w:val="24"/>
              </w:rPr>
            </w:pPr>
            <w:r w:rsidRPr="00073574">
              <w:rPr>
                <w:b/>
                <w:bCs/>
                <w:sz w:val="24"/>
                <w:szCs w:val="24"/>
              </w:rPr>
              <w:t>97-04</w:t>
            </w:r>
          </w:p>
        </w:tc>
        <w:tc>
          <w:tcPr>
            <w:tcW w:w="4988" w:type="dxa"/>
            <w:tcBorders>
              <w:top w:val="single" w:sz="12" w:space="0" w:color="auto"/>
              <w:bottom w:val="single" w:sz="4" w:space="0" w:color="auto"/>
            </w:tcBorders>
            <w:shd w:val="clear" w:color="auto" w:fill="auto"/>
          </w:tcPr>
          <w:p w14:paraId="5F00EFDF" w14:textId="77777777" w:rsidR="00F0236A" w:rsidRPr="00073574" w:rsidRDefault="00F0236A" w:rsidP="00DF36E1">
            <w:pPr>
              <w:pStyle w:val="Tabletext"/>
              <w:rPr>
                <w:b/>
                <w:bCs/>
                <w:sz w:val="24"/>
                <w:szCs w:val="24"/>
              </w:rPr>
            </w:pPr>
            <w:r w:rsidRPr="00073574">
              <w:rPr>
                <w:b/>
                <w:bCs/>
                <w:sz w:val="24"/>
                <w:szCs w:val="24"/>
              </w:rPr>
              <w:t>TSB Director to compile information on best practices developed by industry or governments and promising trends in combating mobile device theft (i. TSBDir 1)</w:t>
            </w:r>
          </w:p>
        </w:tc>
        <w:tc>
          <w:tcPr>
            <w:tcW w:w="1335" w:type="dxa"/>
            <w:tcBorders>
              <w:top w:val="single" w:sz="12" w:space="0" w:color="auto"/>
              <w:bottom w:val="single" w:sz="4" w:space="0" w:color="auto"/>
            </w:tcBorders>
            <w:shd w:val="clear" w:color="auto" w:fill="auto"/>
            <w:vAlign w:val="center"/>
          </w:tcPr>
          <w:p w14:paraId="41FF36F2"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43" w:type="dxa"/>
            <w:tcBorders>
              <w:top w:val="single" w:sz="12" w:space="0" w:color="auto"/>
              <w:bottom w:val="single" w:sz="4" w:space="0" w:color="auto"/>
            </w:tcBorders>
            <w:shd w:val="clear" w:color="auto" w:fill="auto"/>
            <w:vAlign w:val="center"/>
          </w:tcPr>
          <w:p w14:paraId="76EBC232"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bottom w:val="single" w:sz="4" w:space="0" w:color="auto"/>
            </w:tcBorders>
            <w:shd w:val="clear" w:color="auto" w:fill="auto"/>
            <w:vAlign w:val="center"/>
          </w:tcPr>
          <w:p w14:paraId="4D85E1AA" w14:textId="77777777" w:rsidR="00F0236A" w:rsidRPr="00073574" w:rsidRDefault="00F0236A" w:rsidP="00DF36E1">
            <w:pPr>
              <w:pStyle w:val="Tabletext"/>
              <w:jc w:val="center"/>
              <w:rPr>
                <w:b/>
                <w:bCs/>
                <w:sz w:val="24"/>
                <w:szCs w:val="24"/>
              </w:rPr>
            </w:pPr>
          </w:p>
        </w:tc>
      </w:tr>
      <w:tr w:rsidR="00F0236A" w:rsidRPr="00073574" w14:paraId="0402FCA3" w14:textId="77777777" w:rsidTr="539711DF">
        <w:tc>
          <w:tcPr>
            <w:tcW w:w="1130" w:type="dxa"/>
            <w:vMerge/>
          </w:tcPr>
          <w:p w14:paraId="3B2C9FCF" w14:textId="77777777" w:rsidR="00F0236A" w:rsidRPr="00073574" w:rsidRDefault="00F0236A" w:rsidP="00DF36E1">
            <w:pPr>
              <w:pStyle w:val="Tabletext"/>
              <w:rPr>
                <w:sz w:val="24"/>
                <w:szCs w:val="24"/>
              </w:rPr>
            </w:pPr>
          </w:p>
        </w:tc>
        <w:tc>
          <w:tcPr>
            <w:tcW w:w="8802" w:type="dxa"/>
            <w:gridSpan w:val="4"/>
            <w:tcBorders>
              <w:top w:val="single" w:sz="4" w:space="0" w:color="auto"/>
              <w:bottom w:val="single" w:sz="12" w:space="0" w:color="auto"/>
            </w:tcBorders>
            <w:shd w:val="clear" w:color="auto" w:fill="auto"/>
          </w:tcPr>
          <w:p w14:paraId="39FB9800" w14:textId="3C534AC5" w:rsidR="00F0236A" w:rsidRPr="00073574" w:rsidRDefault="00F0236A" w:rsidP="00DF36E1">
            <w:pPr>
              <w:pStyle w:val="Tabletext"/>
              <w:rPr>
                <w:szCs w:val="22"/>
              </w:rPr>
            </w:pPr>
            <w:r w:rsidRPr="00073574">
              <w:rPr>
                <w:szCs w:val="22"/>
              </w:rPr>
              <w:t>SG11 will follow up the plan for implementation of Resolution 97 (WTSA-16).</w:t>
            </w:r>
            <w:r w:rsidR="00CB2C16" w:rsidRPr="00073574">
              <w:rPr>
                <w:szCs w:val="22"/>
              </w:rPr>
              <w:t xml:space="preserve"> SG11 </w:t>
            </w:r>
            <w:r w:rsidR="009965EC" w:rsidRPr="00073574">
              <w:rPr>
                <w:szCs w:val="22"/>
              </w:rPr>
              <w:t>approved</w:t>
            </w:r>
            <w:r w:rsidR="00CB2C16" w:rsidRPr="00073574">
              <w:rPr>
                <w:szCs w:val="22"/>
              </w:rPr>
              <w:t xml:space="preserve"> </w:t>
            </w:r>
            <w:r w:rsidR="00CB2C16" w:rsidRPr="00073574">
              <w:rPr>
                <w:rFonts w:asciiTheme="majorBidi" w:hAnsiTheme="majorBidi" w:cstheme="majorBidi"/>
                <w:szCs w:val="22"/>
              </w:rPr>
              <w:t>Q</w:t>
            </w:r>
            <w:r w:rsidR="009965EC" w:rsidRPr="00073574">
              <w:rPr>
                <w:rFonts w:asciiTheme="majorBidi" w:hAnsiTheme="majorBidi" w:cstheme="majorBidi"/>
                <w:szCs w:val="22"/>
              </w:rPr>
              <w:t xml:space="preserve"> Supplement 75 “Use Cases on the Combat of Counterfeit ICT and Stolen Mobile Devices”</w:t>
            </w:r>
            <w:r w:rsidR="009C26A3" w:rsidRPr="00073574">
              <w:rPr>
                <w:szCs w:val="22"/>
              </w:rPr>
              <w:t>.</w:t>
            </w:r>
          </w:p>
        </w:tc>
      </w:tr>
      <w:tr w:rsidR="00F0236A" w:rsidRPr="00073574" w14:paraId="7F7933AB" w14:textId="77777777" w:rsidTr="539711DF">
        <w:tc>
          <w:tcPr>
            <w:tcW w:w="1130" w:type="dxa"/>
            <w:vMerge w:val="restart"/>
            <w:tcBorders>
              <w:top w:val="single" w:sz="12" w:space="0" w:color="auto"/>
            </w:tcBorders>
            <w:shd w:val="clear" w:color="auto" w:fill="auto"/>
          </w:tcPr>
          <w:p w14:paraId="01A2BB61" w14:textId="77777777" w:rsidR="00F0236A" w:rsidRPr="00073574" w:rsidRDefault="00F0236A" w:rsidP="00B65CA8">
            <w:pPr>
              <w:pStyle w:val="Tabletext"/>
              <w:keepNext/>
              <w:keepLines/>
              <w:rPr>
                <w:b/>
                <w:bCs/>
                <w:sz w:val="24"/>
                <w:szCs w:val="24"/>
              </w:rPr>
            </w:pPr>
            <w:r w:rsidRPr="00073574">
              <w:rPr>
                <w:b/>
                <w:bCs/>
                <w:sz w:val="24"/>
                <w:szCs w:val="24"/>
              </w:rPr>
              <w:t>97-05</w:t>
            </w:r>
          </w:p>
        </w:tc>
        <w:tc>
          <w:tcPr>
            <w:tcW w:w="4988" w:type="dxa"/>
            <w:tcBorders>
              <w:top w:val="single" w:sz="12" w:space="0" w:color="auto"/>
              <w:bottom w:val="single" w:sz="4" w:space="0" w:color="auto"/>
            </w:tcBorders>
            <w:shd w:val="clear" w:color="auto" w:fill="auto"/>
          </w:tcPr>
          <w:p w14:paraId="5AFB3AA0" w14:textId="77777777" w:rsidR="00F0236A" w:rsidRPr="00073574" w:rsidRDefault="00F0236A" w:rsidP="00DF36E1">
            <w:pPr>
              <w:pStyle w:val="Tabletext"/>
              <w:rPr>
                <w:b/>
                <w:bCs/>
                <w:sz w:val="24"/>
                <w:szCs w:val="24"/>
              </w:rPr>
            </w:pPr>
            <w:r w:rsidRPr="00073574">
              <w:rPr>
                <w:b/>
                <w:bCs/>
                <w:sz w:val="24"/>
                <w:szCs w:val="24"/>
              </w:rPr>
              <w:t>TSB Director to facilitate, in collaboration with industry organizations and standards development organizations (SDOs), the standardization and dissemination of Recommendations, technical reports and guidelines to combat mobile device theft and its negative effects, specifically regarding the exchange of identifiers of mobile devices reported stolen or lost, and to prevent lost or stolen mobile devices from accessing mobile networks (i. TSBDir 2)</w:t>
            </w:r>
          </w:p>
        </w:tc>
        <w:tc>
          <w:tcPr>
            <w:tcW w:w="1335" w:type="dxa"/>
            <w:tcBorders>
              <w:top w:val="single" w:sz="12" w:space="0" w:color="auto"/>
              <w:bottom w:val="single" w:sz="4" w:space="0" w:color="auto"/>
            </w:tcBorders>
            <w:shd w:val="clear" w:color="auto" w:fill="auto"/>
            <w:vAlign w:val="center"/>
          </w:tcPr>
          <w:p w14:paraId="7304E36A"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43" w:type="dxa"/>
            <w:tcBorders>
              <w:top w:val="single" w:sz="12" w:space="0" w:color="auto"/>
              <w:bottom w:val="single" w:sz="4" w:space="0" w:color="auto"/>
            </w:tcBorders>
            <w:shd w:val="clear" w:color="auto" w:fill="auto"/>
            <w:vAlign w:val="center"/>
          </w:tcPr>
          <w:p w14:paraId="1D955644"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bottom w:val="single" w:sz="4" w:space="0" w:color="auto"/>
            </w:tcBorders>
            <w:shd w:val="clear" w:color="auto" w:fill="auto"/>
            <w:vAlign w:val="center"/>
          </w:tcPr>
          <w:p w14:paraId="051B32D1" w14:textId="77777777" w:rsidR="00F0236A" w:rsidRPr="00073574" w:rsidRDefault="00F0236A" w:rsidP="00DF36E1">
            <w:pPr>
              <w:pStyle w:val="Tabletext"/>
              <w:jc w:val="center"/>
              <w:rPr>
                <w:b/>
                <w:bCs/>
                <w:sz w:val="24"/>
                <w:szCs w:val="24"/>
              </w:rPr>
            </w:pPr>
          </w:p>
        </w:tc>
      </w:tr>
      <w:tr w:rsidR="00F0236A" w:rsidRPr="00073574" w14:paraId="22795C0B" w14:textId="77777777" w:rsidTr="539711DF">
        <w:tc>
          <w:tcPr>
            <w:tcW w:w="1130" w:type="dxa"/>
            <w:vMerge/>
          </w:tcPr>
          <w:p w14:paraId="67C02CB7" w14:textId="77777777" w:rsidR="00F0236A" w:rsidRPr="00073574" w:rsidRDefault="00F0236A" w:rsidP="00DF36E1">
            <w:pPr>
              <w:pStyle w:val="Tabletext"/>
              <w:rPr>
                <w:sz w:val="24"/>
                <w:szCs w:val="24"/>
              </w:rPr>
            </w:pPr>
          </w:p>
        </w:tc>
        <w:tc>
          <w:tcPr>
            <w:tcW w:w="8802" w:type="dxa"/>
            <w:gridSpan w:val="4"/>
            <w:tcBorders>
              <w:top w:val="single" w:sz="4" w:space="0" w:color="auto"/>
              <w:bottom w:val="single" w:sz="12" w:space="0" w:color="auto"/>
            </w:tcBorders>
            <w:shd w:val="clear" w:color="auto" w:fill="auto"/>
          </w:tcPr>
          <w:p w14:paraId="08FFBA64" w14:textId="0A4487AF" w:rsidR="00F0236A" w:rsidRPr="00073574" w:rsidRDefault="00F0236A" w:rsidP="00DF36E1">
            <w:pPr>
              <w:pStyle w:val="Tabletext"/>
              <w:rPr>
                <w:szCs w:val="22"/>
              </w:rPr>
            </w:pPr>
            <w:r w:rsidRPr="00073574">
              <w:rPr>
                <w:szCs w:val="22"/>
              </w:rPr>
              <w:t>SG11 follow</w:t>
            </w:r>
            <w:r w:rsidR="004A6BA7" w:rsidRPr="00073574">
              <w:rPr>
                <w:szCs w:val="22"/>
              </w:rPr>
              <w:t>s</w:t>
            </w:r>
            <w:r w:rsidRPr="00073574">
              <w:rPr>
                <w:szCs w:val="22"/>
              </w:rPr>
              <w:t xml:space="preserve"> up the plan for implementation of Resolution 97 (WTSA-16).</w:t>
            </w:r>
            <w:r w:rsidR="007B6526" w:rsidRPr="00073574">
              <w:rPr>
                <w:szCs w:val="22"/>
              </w:rPr>
              <w:t xml:space="preserve"> SG11 develop</w:t>
            </w:r>
            <w:r w:rsidR="00B163D6" w:rsidRPr="00073574">
              <w:rPr>
                <w:szCs w:val="22"/>
              </w:rPr>
              <w:t>ed</w:t>
            </w:r>
            <w:r w:rsidR="007B6526" w:rsidRPr="00073574">
              <w:rPr>
                <w:szCs w:val="22"/>
              </w:rPr>
              <w:t xml:space="preserve"> new </w:t>
            </w:r>
            <w:r w:rsidR="00577D68" w:rsidRPr="00073574">
              <w:rPr>
                <w:szCs w:val="22"/>
              </w:rPr>
              <w:t>ITU</w:t>
            </w:r>
            <w:r w:rsidR="008907B9" w:rsidRPr="00073574">
              <w:rPr>
                <w:szCs w:val="22"/>
              </w:rPr>
              <w:t>-T Q</w:t>
            </w:r>
            <w:r w:rsidR="00577D68" w:rsidRPr="00073574">
              <w:rPr>
                <w:szCs w:val="22"/>
              </w:rPr>
              <w:t xml:space="preserve"> </w:t>
            </w:r>
            <w:r w:rsidR="007B6526" w:rsidRPr="00073574">
              <w:rPr>
                <w:szCs w:val="22"/>
              </w:rPr>
              <w:t xml:space="preserve">Supplement </w:t>
            </w:r>
            <w:r w:rsidR="008907B9" w:rsidRPr="00073574">
              <w:rPr>
                <w:szCs w:val="22"/>
              </w:rPr>
              <w:t xml:space="preserve">73 </w:t>
            </w:r>
            <w:r w:rsidR="007B6526" w:rsidRPr="00073574">
              <w:rPr>
                <w:szCs w:val="22"/>
              </w:rPr>
              <w:t>"</w:t>
            </w:r>
            <w:r w:rsidR="008907B9" w:rsidRPr="00073574">
              <w:t xml:space="preserve"> </w:t>
            </w:r>
            <w:r w:rsidR="008907B9" w:rsidRPr="00073574">
              <w:rPr>
                <w:szCs w:val="22"/>
              </w:rPr>
              <w:t>Guidelines for Permissive versus Restrictive System Implementations to address counterfeit, stolen and illegal mobile devices</w:t>
            </w:r>
            <w:r w:rsidR="007B6526" w:rsidRPr="00073574">
              <w:rPr>
                <w:szCs w:val="22"/>
              </w:rPr>
              <w:t>".</w:t>
            </w:r>
            <w:r w:rsidR="0062433F" w:rsidRPr="00073574">
              <w:rPr>
                <w:szCs w:val="22"/>
              </w:rPr>
              <w:t xml:space="preserve"> SG11 </w:t>
            </w:r>
            <w:r w:rsidR="0065524E" w:rsidRPr="00073574">
              <w:rPr>
                <w:szCs w:val="22"/>
              </w:rPr>
              <w:t>agreed ITU-T Q Supplement 74 “Roadmap for the Q.5050-series - Combat of Counterfeit ICT and Stolen Mobile Devices”.</w:t>
            </w:r>
          </w:p>
          <w:p w14:paraId="52806396" w14:textId="2A4DE534" w:rsidR="00F0236A" w:rsidRPr="00073574" w:rsidRDefault="0054273C" w:rsidP="00DF36E1">
            <w:pPr>
              <w:pStyle w:val="Tabletext"/>
              <w:rPr>
                <w:szCs w:val="22"/>
              </w:rPr>
            </w:pPr>
            <w:r w:rsidRPr="00073574">
              <w:rPr>
                <w:szCs w:val="22"/>
              </w:rPr>
              <w:t xml:space="preserve">In May 2021, </w:t>
            </w:r>
            <w:r w:rsidR="004A6BA7" w:rsidRPr="00073574">
              <w:rPr>
                <w:szCs w:val="22"/>
              </w:rPr>
              <w:t>ITU organized a joint webinar with Mobile Wireless Forum on "Combating Counterfeit and Irregular Mobile Devices: How to address the Problem".</w:t>
            </w:r>
          </w:p>
        </w:tc>
      </w:tr>
      <w:tr w:rsidR="0062029B" w:rsidRPr="00073574" w14:paraId="31E1F77F" w14:textId="77777777" w:rsidTr="00443DEB">
        <w:tc>
          <w:tcPr>
            <w:tcW w:w="1130" w:type="dxa"/>
            <w:vMerge w:val="restart"/>
          </w:tcPr>
          <w:p w14:paraId="14F36127" w14:textId="67280A10" w:rsidR="0062029B" w:rsidRPr="00073574" w:rsidRDefault="0062029B" w:rsidP="0062029B">
            <w:pPr>
              <w:pStyle w:val="Tabletext"/>
              <w:rPr>
                <w:sz w:val="24"/>
                <w:szCs w:val="24"/>
              </w:rPr>
            </w:pPr>
            <w:r w:rsidRPr="00073574">
              <w:rPr>
                <w:b/>
                <w:bCs/>
                <w:sz w:val="24"/>
                <w:szCs w:val="24"/>
              </w:rPr>
              <w:t>97-06</w:t>
            </w:r>
          </w:p>
        </w:tc>
        <w:tc>
          <w:tcPr>
            <w:tcW w:w="4988" w:type="dxa"/>
            <w:tcBorders>
              <w:top w:val="single" w:sz="4" w:space="0" w:color="auto"/>
              <w:bottom w:val="single" w:sz="12" w:space="0" w:color="auto"/>
            </w:tcBorders>
            <w:shd w:val="clear" w:color="auto" w:fill="auto"/>
          </w:tcPr>
          <w:p w14:paraId="2F6EB435" w14:textId="444F5912" w:rsidR="0062029B" w:rsidRPr="00073574" w:rsidRDefault="0062029B" w:rsidP="0062029B">
            <w:pPr>
              <w:pStyle w:val="Tabletext"/>
              <w:rPr>
                <w:szCs w:val="22"/>
              </w:rPr>
            </w:pPr>
            <w:r w:rsidRPr="00073574">
              <w:rPr>
                <w:b/>
                <w:bCs/>
                <w:sz w:val="24"/>
                <w:szCs w:val="24"/>
              </w:rPr>
              <w:t>TSB Director to consult with the Sector's relevant study groups, manufacturers of mobile devices, manufacturers of telecommunication network components, operators, telecommunication SDOs as well as developers of promising technologies related to these matters, in order to identify existing and future technological measures, both software and hardware, to mitigate the consequences of the use of stolen mobile devices (i. TSBDir 3)</w:t>
            </w:r>
          </w:p>
        </w:tc>
        <w:tc>
          <w:tcPr>
            <w:tcW w:w="1335" w:type="dxa"/>
            <w:tcBorders>
              <w:top w:val="single" w:sz="4" w:space="0" w:color="auto"/>
              <w:bottom w:val="single" w:sz="12" w:space="0" w:color="auto"/>
            </w:tcBorders>
            <w:shd w:val="clear" w:color="auto" w:fill="auto"/>
            <w:vAlign w:val="center"/>
          </w:tcPr>
          <w:p w14:paraId="45042713" w14:textId="156B1D70" w:rsidR="0062029B" w:rsidRPr="00073574" w:rsidRDefault="0062029B" w:rsidP="0062029B">
            <w:pPr>
              <w:pStyle w:val="Tabletext"/>
              <w:jc w:val="center"/>
              <w:rPr>
                <w:szCs w:val="22"/>
              </w:rPr>
            </w:pPr>
            <w:r w:rsidRPr="00073574">
              <w:rPr>
                <w:b/>
                <w:bCs/>
                <w:sz w:val="24"/>
                <w:szCs w:val="24"/>
              </w:rPr>
              <w:t>Ongoing</w:t>
            </w:r>
          </w:p>
        </w:tc>
        <w:tc>
          <w:tcPr>
            <w:tcW w:w="1143" w:type="dxa"/>
            <w:tcBorders>
              <w:top w:val="single" w:sz="4" w:space="0" w:color="auto"/>
              <w:bottom w:val="single" w:sz="12" w:space="0" w:color="auto"/>
            </w:tcBorders>
            <w:shd w:val="clear" w:color="auto" w:fill="auto"/>
            <w:vAlign w:val="center"/>
          </w:tcPr>
          <w:p w14:paraId="4B5BEB3A" w14:textId="49551DBD" w:rsidR="0062029B" w:rsidRPr="00073574" w:rsidRDefault="0062029B" w:rsidP="0062029B">
            <w:pPr>
              <w:pStyle w:val="Tabletext"/>
              <w:jc w:val="center"/>
              <w:rPr>
                <w:szCs w:val="22"/>
              </w:rPr>
            </w:pPr>
            <w:r w:rsidRPr="00073574">
              <w:rPr>
                <w:b/>
                <w:bCs/>
                <w:sz w:val="24"/>
                <w:szCs w:val="24"/>
              </w:rPr>
              <w:t>√</w:t>
            </w:r>
          </w:p>
        </w:tc>
        <w:tc>
          <w:tcPr>
            <w:tcW w:w="1336" w:type="dxa"/>
            <w:tcBorders>
              <w:top w:val="single" w:sz="4" w:space="0" w:color="auto"/>
              <w:bottom w:val="single" w:sz="12" w:space="0" w:color="auto"/>
            </w:tcBorders>
            <w:shd w:val="clear" w:color="auto" w:fill="auto"/>
            <w:vAlign w:val="center"/>
          </w:tcPr>
          <w:p w14:paraId="57E2C665" w14:textId="281B03D4" w:rsidR="0062029B" w:rsidRPr="00073574" w:rsidRDefault="0062029B" w:rsidP="0062029B">
            <w:pPr>
              <w:pStyle w:val="Tabletext"/>
              <w:jc w:val="center"/>
              <w:rPr>
                <w:szCs w:val="22"/>
              </w:rPr>
            </w:pPr>
          </w:p>
        </w:tc>
      </w:tr>
      <w:tr w:rsidR="0062029B" w:rsidRPr="00073574" w14:paraId="305C6485" w14:textId="77777777" w:rsidTr="539711DF">
        <w:tc>
          <w:tcPr>
            <w:tcW w:w="1130" w:type="dxa"/>
            <w:vMerge/>
          </w:tcPr>
          <w:p w14:paraId="748BA080" w14:textId="77777777" w:rsidR="0062029B" w:rsidRPr="00073574" w:rsidRDefault="0062029B" w:rsidP="00DF36E1">
            <w:pPr>
              <w:pStyle w:val="Tabletext"/>
              <w:rPr>
                <w:sz w:val="24"/>
                <w:szCs w:val="24"/>
              </w:rPr>
            </w:pPr>
          </w:p>
        </w:tc>
        <w:tc>
          <w:tcPr>
            <w:tcW w:w="8802" w:type="dxa"/>
            <w:gridSpan w:val="4"/>
            <w:tcBorders>
              <w:top w:val="single" w:sz="4" w:space="0" w:color="auto"/>
              <w:bottom w:val="single" w:sz="12" w:space="0" w:color="auto"/>
            </w:tcBorders>
            <w:shd w:val="clear" w:color="auto" w:fill="auto"/>
          </w:tcPr>
          <w:p w14:paraId="065D851E" w14:textId="02160C6F" w:rsidR="0062029B" w:rsidRPr="00073574" w:rsidRDefault="0062029B" w:rsidP="0062029B">
            <w:pPr>
              <w:pStyle w:val="Tabletext"/>
              <w:rPr>
                <w:szCs w:val="22"/>
              </w:rPr>
            </w:pPr>
            <w:r w:rsidRPr="00073574">
              <w:rPr>
                <w:szCs w:val="22"/>
              </w:rPr>
              <w:t>SG11 follows up the plan for implementation of Resolution 97 (WTSA-16). New members were involved in SG11 related activities following consultations and ITU Workshops.</w:t>
            </w:r>
          </w:p>
          <w:p w14:paraId="2B993A40" w14:textId="06CC04D4" w:rsidR="0062029B" w:rsidRPr="00073574" w:rsidRDefault="0062029B" w:rsidP="0062029B">
            <w:pPr>
              <w:pStyle w:val="Tabletext"/>
              <w:rPr>
                <w:szCs w:val="22"/>
              </w:rPr>
            </w:pPr>
            <w:r w:rsidRPr="00073574">
              <w:rPr>
                <w:szCs w:val="22"/>
              </w:rPr>
              <w:lastRenderedPageBreak/>
              <w:t>One demo zone was deployed during ITU Workshop on Global approaches on combating counterfeiting and stolen ICT devices (July 2018): Combat Mobile Device Theft with blockchain-based Global IMEI Storage and Services Innovation, Deutsche Telekom, SAP and Camelot ITLab.</w:t>
            </w:r>
          </w:p>
        </w:tc>
      </w:tr>
      <w:tr w:rsidR="00F0236A" w:rsidRPr="00073574" w14:paraId="76C7449B" w14:textId="77777777" w:rsidTr="539711DF">
        <w:tc>
          <w:tcPr>
            <w:tcW w:w="1130" w:type="dxa"/>
            <w:vMerge w:val="restart"/>
            <w:tcBorders>
              <w:top w:val="single" w:sz="12" w:space="0" w:color="auto"/>
            </w:tcBorders>
            <w:shd w:val="clear" w:color="auto" w:fill="auto"/>
          </w:tcPr>
          <w:p w14:paraId="46176812" w14:textId="77777777" w:rsidR="00F0236A" w:rsidRPr="00073574" w:rsidRDefault="00F0236A" w:rsidP="00202A1B">
            <w:pPr>
              <w:pStyle w:val="Tabletext"/>
              <w:rPr>
                <w:b/>
                <w:bCs/>
                <w:sz w:val="24"/>
                <w:szCs w:val="24"/>
              </w:rPr>
            </w:pPr>
            <w:r w:rsidRPr="00073574">
              <w:rPr>
                <w:b/>
                <w:bCs/>
                <w:sz w:val="24"/>
                <w:szCs w:val="24"/>
              </w:rPr>
              <w:lastRenderedPageBreak/>
              <w:t>97-07</w:t>
            </w:r>
          </w:p>
        </w:tc>
        <w:tc>
          <w:tcPr>
            <w:tcW w:w="4988" w:type="dxa"/>
            <w:tcBorders>
              <w:top w:val="single" w:sz="12" w:space="0" w:color="auto"/>
              <w:bottom w:val="single" w:sz="4" w:space="0" w:color="auto"/>
            </w:tcBorders>
            <w:shd w:val="clear" w:color="auto" w:fill="auto"/>
          </w:tcPr>
          <w:p w14:paraId="0B004B64" w14:textId="4FD751CF" w:rsidR="00F0236A" w:rsidRPr="00073574" w:rsidRDefault="00F0236A" w:rsidP="00202A1B">
            <w:pPr>
              <w:pStyle w:val="Tabletext"/>
              <w:rPr>
                <w:b/>
                <w:bCs/>
                <w:sz w:val="24"/>
                <w:szCs w:val="24"/>
              </w:rPr>
            </w:pPr>
            <w:r w:rsidRPr="00073574">
              <w:rPr>
                <w:b/>
                <w:bCs/>
                <w:sz w:val="24"/>
                <w:szCs w:val="24"/>
              </w:rPr>
              <w:t>TSB Director to provide assistance, within ITU-T</w:t>
            </w:r>
            <w:r w:rsidR="003C7E25" w:rsidRPr="00073574">
              <w:rPr>
                <w:b/>
                <w:bCs/>
                <w:sz w:val="24"/>
                <w:szCs w:val="24"/>
              </w:rPr>
              <w:t>'</w:t>
            </w:r>
            <w:r w:rsidRPr="00073574">
              <w:rPr>
                <w:b/>
                <w:bCs/>
                <w:sz w:val="24"/>
                <w:szCs w:val="24"/>
              </w:rPr>
              <w:t>s expertise and within available resources, as appropriate, in cooperation with relevant organizations, to Member States, if so requested, in order to reduce mobile device theft and the use of stolen mobile devices in their countries (i. TSBDir 4)</w:t>
            </w:r>
          </w:p>
        </w:tc>
        <w:tc>
          <w:tcPr>
            <w:tcW w:w="1335" w:type="dxa"/>
            <w:tcBorders>
              <w:top w:val="single" w:sz="12" w:space="0" w:color="auto"/>
              <w:bottom w:val="single" w:sz="4" w:space="0" w:color="auto"/>
            </w:tcBorders>
            <w:shd w:val="clear" w:color="auto" w:fill="auto"/>
            <w:vAlign w:val="center"/>
          </w:tcPr>
          <w:p w14:paraId="2558EE6E" w14:textId="77777777" w:rsidR="00F0236A" w:rsidRPr="00073574" w:rsidRDefault="00F0236A" w:rsidP="00202A1B">
            <w:pPr>
              <w:pStyle w:val="Tabletext"/>
              <w:jc w:val="center"/>
              <w:rPr>
                <w:b/>
                <w:bCs/>
                <w:sz w:val="24"/>
                <w:szCs w:val="24"/>
              </w:rPr>
            </w:pPr>
            <w:r w:rsidRPr="00073574">
              <w:rPr>
                <w:b/>
                <w:bCs/>
                <w:sz w:val="24"/>
                <w:szCs w:val="24"/>
              </w:rPr>
              <w:t>Ongoing</w:t>
            </w:r>
          </w:p>
        </w:tc>
        <w:tc>
          <w:tcPr>
            <w:tcW w:w="1143" w:type="dxa"/>
            <w:tcBorders>
              <w:top w:val="single" w:sz="12" w:space="0" w:color="auto"/>
              <w:bottom w:val="single" w:sz="4" w:space="0" w:color="auto"/>
            </w:tcBorders>
            <w:shd w:val="clear" w:color="auto" w:fill="auto"/>
            <w:vAlign w:val="center"/>
          </w:tcPr>
          <w:p w14:paraId="5FBFC727" w14:textId="77777777" w:rsidR="00F0236A" w:rsidRPr="00073574" w:rsidRDefault="00F0236A" w:rsidP="00202A1B">
            <w:pPr>
              <w:pStyle w:val="Tabletext"/>
              <w:jc w:val="center"/>
              <w:rPr>
                <w:b/>
                <w:bCs/>
                <w:sz w:val="24"/>
                <w:szCs w:val="24"/>
              </w:rPr>
            </w:pPr>
            <w:r w:rsidRPr="00073574">
              <w:rPr>
                <w:b/>
                <w:bCs/>
                <w:sz w:val="24"/>
                <w:szCs w:val="24"/>
              </w:rPr>
              <w:t>√</w:t>
            </w:r>
          </w:p>
        </w:tc>
        <w:tc>
          <w:tcPr>
            <w:tcW w:w="1336" w:type="dxa"/>
            <w:tcBorders>
              <w:top w:val="single" w:sz="12" w:space="0" w:color="auto"/>
              <w:bottom w:val="single" w:sz="4" w:space="0" w:color="auto"/>
            </w:tcBorders>
            <w:shd w:val="clear" w:color="auto" w:fill="auto"/>
            <w:vAlign w:val="center"/>
          </w:tcPr>
          <w:p w14:paraId="5B481129" w14:textId="77777777" w:rsidR="00F0236A" w:rsidRPr="00073574" w:rsidRDefault="00F0236A" w:rsidP="00202A1B">
            <w:pPr>
              <w:pStyle w:val="Tabletext"/>
              <w:jc w:val="center"/>
              <w:rPr>
                <w:b/>
                <w:bCs/>
                <w:sz w:val="24"/>
                <w:szCs w:val="24"/>
              </w:rPr>
            </w:pPr>
          </w:p>
        </w:tc>
      </w:tr>
      <w:tr w:rsidR="00F0236A" w:rsidRPr="00073574" w14:paraId="652DB954" w14:textId="77777777" w:rsidTr="539711DF">
        <w:tc>
          <w:tcPr>
            <w:tcW w:w="1130" w:type="dxa"/>
            <w:vMerge/>
          </w:tcPr>
          <w:p w14:paraId="559FF208" w14:textId="77777777" w:rsidR="00F0236A" w:rsidRPr="00073574" w:rsidRDefault="00F0236A" w:rsidP="00202A1B">
            <w:pPr>
              <w:pStyle w:val="Tabletext"/>
              <w:rPr>
                <w:sz w:val="24"/>
                <w:szCs w:val="24"/>
              </w:rPr>
            </w:pPr>
          </w:p>
        </w:tc>
        <w:tc>
          <w:tcPr>
            <w:tcW w:w="8802" w:type="dxa"/>
            <w:gridSpan w:val="4"/>
            <w:tcBorders>
              <w:top w:val="single" w:sz="4" w:space="0" w:color="auto"/>
              <w:bottom w:val="single" w:sz="12" w:space="0" w:color="auto"/>
            </w:tcBorders>
            <w:shd w:val="clear" w:color="auto" w:fill="auto"/>
          </w:tcPr>
          <w:p w14:paraId="0A7F7195" w14:textId="77777777" w:rsidR="00F0236A" w:rsidRPr="00073574" w:rsidRDefault="00F0236A" w:rsidP="00202A1B">
            <w:pPr>
              <w:pStyle w:val="Tabletext"/>
              <w:rPr>
                <w:szCs w:val="22"/>
              </w:rPr>
            </w:pPr>
            <w:r w:rsidRPr="00073574">
              <w:rPr>
                <w:szCs w:val="22"/>
              </w:rPr>
              <w:t xml:space="preserve">In July 2017, the Director of TSB communicated with the GSMA on the misuse of International Mobile Equipment Identity (IMEI) numbers in mobile handsets, see </w:t>
            </w:r>
            <w:hyperlink r:id="rId862" w:history="1">
              <w:r w:rsidRPr="00073574">
                <w:rPr>
                  <w:rStyle w:val="Hyperlink"/>
                  <w:szCs w:val="22"/>
                </w:rPr>
                <w:t>CWG-FHR 8/19</w:t>
              </w:r>
            </w:hyperlink>
            <w:r w:rsidRPr="00073574">
              <w:rPr>
                <w:szCs w:val="22"/>
              </w:rPr>
              <w:t>. All interested ITU members are invited to contribute to SG11 proposing the way forward. ITU-T, in particular ITU-T SG11 is looking forward to continuing collaboration with GSMA to address such issues.</w:t>
            </w:r>
          </w:p>
          <w:p w14:paraId="56351A73" w14:textId="664CB40A" w:rsidR="00BB487F" w:rsidRPr="00073574" w:rsidRDefault="00BB487F" w:rsidP="00202A1B">
            <w:pPr>
              <w:pStyle w:val="Tabletext"/>
              <w:spacing w:before="120" w:after="120"/>
              <w:rPr>
                <w:rFonts w:asciiTheme="majorBidi" w:hAnsiTheme="majorBidi" w:cstheme="majorBidi"/>
              </w:rPr>
            </w:pPr>
            <w:r w:rsidRPr="00073574">
              <w:rPr>
                <w:rFonts w:asciiTheme="majorBidi" w:hAnsiTheme="majorBidi" w:cstheme="majorBidi"/>
              </w:rPr>
              <w:t xml:space="preserve">The second ITU-T Study Group 11 regional </w:t>
            </w:r>
            <w:hyperlink r:id="rId863" w:history="1">
              <w:r w:rsidRPr="00073574">
                <w:rPr>
                  <w:rStyle w:val="Hyperlink"/>
                  <w:rFonts w:asciiTheme="majorBidi" w:hAnsiTheme="majorBidi" w:cstheme="majorBidi"/>
                </w:rPr>
                <w:t>workshop for Africa</w:t>
              </w:r>
            </w:hyperlink>
            <w:r w:rsidRPr="00073574">
              <w:rPr>
                <w:rFonts w:asciiTheme="majorBidi" w:hAnsiTheme="majorBidi" w:cstheme="majorBidi"/>
              </w:rPr>
              <w:t xml:space="preserve"> on "Counterfeit ICT Devices, Conformance and Interoperability Testing Challenges in Africa" took place in Tunis, Tunisia on 23 April 2018, followed by the second ITU-T SG11 Regional Group meeting for Africa (SG11RG-AFR) (23-25 April 2018). During SG11RG-AFR meeting, it was noted that duplication/cloning and tampering of unique identifiers of ICT devices, such as IMEI, are still a huge problem in the African Region. Also, it was stated that ITU should address this problem by proposing secure mechanisms to be used for identification of ICT devices, not limited to mobile phones (see </w:t>
            </w:r>
            <w:hyperlink r:id="rId864" w:history="1">
              <w:r w:rsidRPr="00073574">
                <w:rPr>
                  <w:rStyle w:val="Hyperlink"/>
                  <w:rFonts w:asciiTheme="majorBidi" w:hAnsiTheme="majorBidi" w:cstheme="majorBidi"/>
                </w:rPr>
                <w:t>R2</w:t>
              </w:r>
            </w:hyperlink>
            <w:r w:rsidRPr="00073574">
              <w:rPr>
                <w:rFonts w:asciiTheme="majorBidi" w:hAnsiTheme="majorBidi" w:cstheme="majorBidi"/>
              </w:rPr>
              <w:t>).</w:t>
            </w:r>
          </w:p>
          <w:p w14:paraId="0B6A0074" w14:textId="22E7B938" w:rsidR="00BB487F" w:rsidRPr="00073574" w:rsidRDefault="00BB487F" w:rsidP="00202A1B">
            <w:pPr>
              <w:pStyle w:val="Tabletext"/>
              <w:spacing w:before="120" w:after="120"/>
              <w:rPr>
                <w:rFonts w:asciiTheme="majorBidi" w:eastAsiaTheme="majorEastAsia" w:hAnsiTheme="majorBidi" w:cstheme="majorBidi"/>
                <w:i/>
                <w:iCs/>
              </w:rPr>
            </w:pPr>
            <w:r w:rsidRPr="00073574">
              <w:rPr>
                <w:rFonts w:asciiTheme="majorBidi" w:hAnsiTheme="majorBidi" w:cstheme="majorBidi"/>
              </w:rPr>
              <w:t xml:space="preserve">In July 2018, </w:t>
            </w:r>
            <w:r w:rsidRPr="00073574">
              <w:rPr>
                <w:rFonts w:asciiTheme="majorBidi" w:hAnsiTheme="majorBidi" w:cstheme="majorBidi"/>
                <w:szCs w:val="24"/>
              </w:rPr>
              <w:t xml:space="preserve">ITU organized a </w:t>
            </w:r>
            <w:hyperlink r:id="rId865" w:history="1">
              <w:r w:rsidRPr="00073574">
                <w:rPr>
                  <w:rStyle w:val="Hyperlink"/>
                  <w:rFonts w:asciiTheme="majorBidi" w:hAnsiTheme="majorBidi" w:cstheme="majorBidi"/>
                </w:rPr>
                <w:t>Workshop on "Global approaches on combating counterfeiting and stolen ICT devices"</w:t>
              </w:r>
            </w:hyperlink>
            <w:r w:rsidRPr="00073574">
              <w:rPr>
                <w:rFonts w:asciiTheme="majorBidi" w:hAnsiTheme="majorBidi" w:cstheme="majorBidi"/>
                <w:szCs w:val="24"/>
              </w:rPr>
              <w:t>.</w:t>
            </w:r>
            <w:r w:rsidRPr="00073574">
              <w:rPr>
                <w:rFonts w:asciiTheme="majorBidi" w:hAnsiTheme="majorBidi" w:cstheme="majorBidi"/>
              </w:rPr>
              <w:t xml:space="preserve"> One of the aims of the Workshop was to focus on concerns raised by ITU Member States during Council-18 on tampering with unique telecommunication device identifiers used in ICT devices such as IMEI. </w:t>
            </w:r>
            <w:r w:rsidRPr="00073574">
              <w:rPr>
                <w:rFonts w:asciiTheme="majorBidi" w:eastAsiaTheme="majorEastAsia" w:hAnsiTheme="majorBidi" w:cstheme="majorBidi"/>
              </w:rPr>
              <w:t xml:space="preserve">During Workshop, it was noted that the reliability of ICT identifiers are still a key important issue for most of countries. </w:t>
            </w:r>
            <w:r w:rsidRPr="00073574">
              <w:rPr>
                <w:rFonts w:asciiTheme="majorBidi" w:hAnsiTheme="majorBidi" w:cstheme="majorBidi"/>
              </w:rPr>
              <w:t xml:space="preserve">Following the outcomes of the Workshop, ITU-T SG11 was encouraged to take some actions, which aim to increase reliability of existing ICT identifiers. </w:t>
            </w:r>
            <w:r w:rsidRPr="00073574">
              <w:rPr>
                <w:rFonts w:asciiTheme="majorBidi" w:eastAsiaTheme="majorEastAsia" w:hAnsiTheme="majorBidi" w:cstheme="majorBidi"/>
                <w:iCs/>
              </w:rPr>
              <w:t>ITU-T SG11 decided to request TSB Director to inform Council about outcomes of this workshop.</w:t>
            </w:r>
            <w:r w:rsidRPr="00073574">
              <w:rPr>
                <w:rFonts w:asciiTheme="majorBidi" w:eastAsiaTheme="majorEastAsia" w:hAnsiTheme="majorBidi" w:cstheme="majorBidi"/>
              </w:rPr>
              <w:t xml:space="preserve"> The </w:t>
            </w:r>
            <w:r w:rsidRPr="00073574">
              <w:rPr>
                <w:rFonts w:asciiTheme="majorBidi" w:hAnsiTheme="majorBidi" w:cstheme="majorBidi"/>
              </w:rPr>
              <w:t>details are available in the SG11 Report (</w:t>
            </w:r>
            <w:hyperlink r:id="rId866" w:history="1">
              <w:r w:rsidRPr="00073574">
                <w:rPr>
                  <w:rStyle w:val="Hyperlink"/>
                  <w:rFonts w:asciiTheme="majorBidi" w:hAnsiTheme="majorBidi" w:cstheme="majorBidi"/>
                </w:rPr>
                <w:t>R11</w:t>
              </w:r>
            </w:hyperlink>
            <w:r w:rsidRPr="00073574">
              <w:rPr>
                <w:rFonts w:asciiTheme="majorBidi" w:hAnsiTheme="majorBidi" w:cstheme="majorBidi"/>
              </w:rPr>
              <w:t>)</w:t>
            </w:r>
            <w:r w:rsidRPr="00073574">
              <w:rPr>
                <w:rFonts w:asciiTheme="majorBidi" w:eastAsiaTheme="majorEastAsia" w:hAnsiTheme="majorBidi" w:cstheme="majorBidi"/>
                <w:i/>
                <w:iCs/>
              </w:rPr>
              <w:t>.</w:t>
            </w:r>
          </w:p>
          <w:p w14:paraId="74150355" w14:textId="76F1CA5A" w:rsidR="00183480" w:rsidRPr="00073574" w:rsidRDefault="00183480" w:rsidP="00FD5C5E">
            <w:pPr>
              <w:pStyle w:val="Tabletext"/>
              <w:spacing w:before="120"/>
              <w:rPr>
                <w:szCs w:val="22"/>
              </w:rPr>
            </w:pPr>
            <w:r w:rsidRPr="00073574">
              <w:rPr>
                <w:szCs w:val="22"/>
              </w:rPr>
              <w:t xml:space="preserve">Following the decision of Council-18 (C18/107, clause 2), ITU, in particular TSB, should be studying the questions raised by members on IMEI security in one of the ITU-T study groups. Council-18 report (C18/107) requested “ITU-T study groups, in particular Study Group 11, to continue to develop Recommendations, technical reports and guidelines to address the problems posed by counterfeits". </w:t>
            </w:r>
            <w:r w:rsidR="00BE53C0" w:rsidRPr="00073574">
              <w:rPr>
                <w:szCs w:val="22"/>
              </w:rPr>
              <w:t>Based on the report prepared by TSB, t</w:t>
            </w:r>
            <w:r w:rsidR="00BE53C0" w:rsidRPr="00073574">
              <w:rPr>
                <w:rFonts w:asciiTheme="majorBidi" w:hAnsiTheme="majorBidi" w:cstheme="majorBidi"/>
                <w:szCs w:val="22"/>
              </w:rPr>
              <w:t>he new Technical Report ITU-T QTR-RLB-IMEI “Reliability of IMEI” was agreed by SG11.</w:t>
            </w:r>
          </w:p>
        </w:tc>
      </w:tr>
      <w:tr w:rsidR="00F0236A" w:rsidRPr="00073574" w14:paraId="0FA9C6DD" w14:textId="77777777" w:rsidTr="539711DF">
        <w:tc>
          <w:tcPr>
            <w:tcW w:w="1130" w:type="dxa"/>
            <w:vMerge w:val="restart"/>
            <w:tcBorders>
              <w:top w:val="single" w:sz="12" w:space="0" w:color="auto"/>
            </w:tcBorders>
            <w:shd w:val="clear" w:color="auto" w:fill="auto"/>
          </w:tcPr>
          <w:p w14:paraId="262BC99F" w14:textId="77777777" w:rsidR="00F0236A" w:rsidRPr="00073574" w:rsidRDefault="00F0236A" w:rsidP="00DF36E1">
            <w:pPr>
              <w:pStyle w:val="Tabletext"/>
              <w:rPr>
                <w:b/>
                <w:bCs/>
                <w:sz w:val="24"/>
                <w:szCs w:val="24"/>
              </w:rPr>
            </w:pPr>
            <w:r w:rsidRPr="00073574">
              <w:rPr>
                <w:b/>
                <w:bCs/>
                <w:sz w:val="24"/>
                <w:szCs w:val="24"/>
              </w:rPr>
              <w:t>97-08</w:t>
            </w:r>
          </w:p>
        </w:tc>
        <w:tc>
          <w:tcPr>
            <w:tcW w:w="4988" w:type="dxa"/>
            <w:tcBorders>
              <w:top w:val="single" w:sz="12" w:space="0" w:color="auto"/>
              <w:bottom w:val="single" w:sz="4" w:space="0" w:color="auto"/>
            </w:tcBorders>
            <w:shd w:val="clear" w:color="auto" w:fill="auto"/>
          </w:tcPr>
          <w:p w14:paraId="78E2A722" w14:textId="77777777" w:rsidR="00F0236A" w:rsidRPr="00073574" w:rsidRDefault="00F0236A" w:rsidP="00DF36E1">
            <w:pPr>
              <w:pStyle w:val="Tabletext"/>
              <w:rPr>
                <w:b/>
                <w:bCs/>
                <w:sz w:val="24"/>
                <w:szCs w:val="24"/>
              </w:rPr>
            </w:pPr>
            <w:r w:rsidRPr="00073574">
              <w:rPr>
                <w:b/>
                <w:bCs/>
                <w:sz w:val="24"/>
                <w:szCs w:val="24"/>
              </w:rPr>
              <w:t>SGs 11 and 17 to develop Recommendations, technical reports and guidelines to address the problem of mobile telecommunication device theft and its negative effects (i. SGs11+17 1)</w:t>
            </w:r>
          </w:p>
        </w:tc>
        <w:tc>
          <w:tcPr>
            <w:tcW w:w="1335" w:type="dxa"/>
            <w:tcBorders>
              <w:top w:val="single" w:sz="12" w:space="0" w:color="auto"/>
              <w:bottom w:val="single" w:sz="4" w:space="0" w:color="auto"/>
            </w:tcBorders>
            <w:shd w:val="clear" w:color="auto" w:fill="auto"/>
            <w:vAlign w:val="center"/>
          </w:tcPr>
          <w:p w14:paraId="2A32C368"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43" w:type="dxa"/>
            <w:tcBorders>
              <w:top w:val="single" w:sz="12" w:space="0" w:color="auto"/>
              <w:bottom w:val="single" w:sz="4" w:space="0" w:color="auto"/>
            </w:tcBorders>
            <w:shd w:val="clear" w:color="auto" w:fill="auto"/>
            <w:vAlign w:val="center"/>
          </w:tcPr>
          <w:p w14:paraId="787F3097"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bottom w:val="single" w:sz="4" w:space="0" w:color="auto"/>
            </w:tcBorders>
            <w:shd w:val="clear" w:color="auto" w:fill="auto"/>
            <w:vAlign w:val="center"/>
          </w:tcPr>
          <w:p w14:paraId="4277F975" w14:textId="77777777" w:rsidR="00F0236A" w:rsidRPr="00073574" w:rsidRDefault="00F0236A" w:rsidP="00DF36E1">
            <w:pPr>
              <w:pStyle w:val="Tabletext"/>
              <w:jc w:val="center"/>
              <w:rPr>
                <w:b/>
                <w:bCs/>
                <w:sz w:val="24"/>
                <w:szCs w:val="24"/>
              </w:rPr>
            </w:pPr>
          </w:p>
        </w:tc>
      </w:tr>
      <w:tr w:rsidR="00F0236A" w:rsidRPr="00073574" w14:paraId="646B503B" w14:textId="77777777" w:rsidTr="539711DF">
        <w:trPr>
          <w:trHeight w:val="742"/>
        </w:trPr>
        <w:tc>
          <w:tcPr>
            <w:tcW w:w="1130" w:type="dxa"/>
            <w:vMerge/>
          </w:tcPr>
          <w:p w14:paraId="7F3EB917" w14:textId="77777777" w:rsidR="00F0236A" w:rsidRPr="00073574" w:rsidRDefault="00F0236A" w:rsidP="00DF36E1">
            <w:pPr>
              <w:pStyle w:val="Tabletext"/>
              <w:rPr>
                <w:sz w:val="24"/>
                <w:szCs w:val="24"/>
              </w:rPr>
            </w:pPr>
          </w:p>
        </w:tc>
        <w:tc>
          <w:tcPr>
            <w:tcW w:w="8802" w:type="dxa"/>
            <w:gridSpan w:val="4"/>
            <w:tcBorders>
              <w:top w:val="single" w:sz="4" w:space="0" w:color="auto"/>
              <w:bottom w:val="single" w:sz="12" w:space="0" w:color="auto"/>
            </w:tcBorders>
            <w:shd w:val="clear" w:color="auto" w:fill="auto"/>
          </w:tcPr>
          <w:p w14:paraId="244F9906" w14:textId="5C62BDB2" w:rsidR="00F0236A" w:rsidRPr="00073574" w:rsidRDefault="00F0236A" w:rsidP="002E241A">
            <w:pPr>
              <w:pStyle w:val="ListParagraph"/>
              <w:numPr>
                <w:ilvl w:val="0"/>
                <w:numId w:val="37"/>
              </w:numPr>
              <w:spacing w:before="40"/>
              <w:ind w:hanging="357"/>
              <w:contextualSpacing w:val="0"/>
            </w:pPr>
            <w:r w:rsidRPr="00073574">
              <w:t>SG11</w:t>
            </w:r>
            <w:r w:rsidR="00E25833" w:rsidRPr="00073574">
              <w:t xml:space="preserve"> </w:t>
            </w:r>
            <w:r w:rsidR="00826160" w:rsidRPr="00073574">
              <w:t xml:space="preserve">approved </w:t>
            </w:r>
            <w:r w:rsidRPr="00073574">
              <w:t xml:space="preserve">ITU-T </w:t>
            </w:r>
            <w:r w:rsidR="00E25833" w:rsidRPr="00073574">
              <w:t xml:space="preserve">Q.5051 </w:t>
            </w:r>
            <w:r w:rsidR="003C7E25" w:rsidRPr="00073574">
              <w:t>"</w:t>
            </w:r>
            <w:r w:rsidRPr="00073574">
              <w:t>Framework for combating the use of Stolen Mobile ICT Devices</w:t>
            </w:r>
            <w:r w:rsidR="003C7E25" w:rsidRPr="00073574">
              <w:t>"</w:t>
            </w:r>
            <w:r w:rsidRPr="00073574">
              <w:t>.</w:t>
            </w:r>
          </w:p>
          <w:p w14:paraId="531433C6" w14:textId="7021D772" w:rsidR="00FB3E93" w:rsidRPr="00073574" w:rsidRDefault="00FB3E93" w:rsidP="002E241A">
            <w:pPr>
              <w:pStyle w:val="ListParagraph"/>
              <w:numPr>
                <w:ilvl w:val="0"/>
                <w:numId w:val="37"/>
              </w:numPr>
              <w:spacing w:before="40"/>
              <w:ind w:hanging="357"/>
              <w:contextualSpacing w:val="0"/>
            </w:pPr>
            <w:r w:rsidRPr="00073574">
              <w:t>SG11 approved Recommendation ITU-T Q.</w:t>
            </w:r>
            <w:r w:rsidR="00BA0D4F" w:rsidRPr="00073574">
              <w:t>5052 “Addressing mobile devices with duplicate unique identifier” and ITU-T Q.5053 “</w:t>
            </w:r>
            <w:r w:rsidR="0079072D" w:rsidRPr="00073574">
              <w:t>Mobile device access list audit interface</w:t>
            </w:r>
            <w:r w:rsidR="00BA0D4F" w:rsidRPr="00073574">
              <w:t>”.</w:t>
            </w:r>
          </w:p>
          <w:p w14:paraId="1CAE43CA" w14:textId="41A633DB" w:rsidR="00F0236A" w:rsidRPr="00073574" w:rsidRDefault="00F0236A" w:rsidP="002E241A">
            <w:pPr>
              <w:pStyle w:val="ListParagraph"/>
              <w:numPr>
                <w:ilvl w:val="0"/>
                <w:numId w:val="37"/>
              </w:numPr>
              <w:spacing w:after="40"/>
              <w:ind w:hanging="357"/>
              <w:contextualSpacing w:val="0"/>
              <w:rPr>
                <w:sz w:val="24"/>
              </w:rPr>
            </w:pPr>
            <w:r w:rsidRPr="00073574">
              <w:rPr>
                <w:rFonts w:asciiTheme="majorBidi" w:hAnsiTheme="majorBidi" w:cstheme="majorBidi"/>
              </w:rPr>
              <w:lastRenderedPageBreak/>
              <w:t xml:space="preserve">SG17 </w:t>
            </w:r>
            <w:r w:rsidR="503D82F7" w:rsidRPr="00073574">
              <w:rPr>
                <w:rFonts w:asciiTheme="majorBidi" w:hAnsiTheme="majorBidi" w:cstheme="majorBidi"/>
              </w:rPr>
              <w:t>developed</w:t>
            </w:r>
            <w:r w:rsidRPr="00073574">
              <w:rPr>
                <w:rFonts w:asciiTheme="majorBidi" w:hAnsiTheme="majorBidi" w:cstheme="majorBidi"/>
              </w:rPr>
              <w:t xml:space="preserve"> Recommendation ITU-T X.1127</w:t>
            </w:r>
            <w:r w:rsidR="4D03D83D" w:rsidRPr="00073574">
              <w:rPr>
                <w:rFonts w:asciiTheme="majorBidi" w:hAnsiTheme="majorBidi" w:cstheme="majorBidi"/>
              </w:rPr>
              <w:t xml:space="preserve"> (2017)</w:t>
            </w:r>
            <w:r w:rsidRPr="00073574">
              <w:rPr>
                <w:rFonts w:asciiTheme="majorBidi" w:hAnsiTheme="majorBidi" w:cstheme="majorBidi"/>
              </w:rPr>
              <w:t xml:space="preserve"> </w:t>
            </w:r>
            <w:r w:rsidR="003C7E25" w:rsidRPr="00073574">
              <w:rPr>
                <w:rFonts w:asciiTheme="majorBidi" w:hAnsiTheme="majorBidi" w:cstheme="majorBidi"/>
              </w:rPr>
              <w:t>"</w:t>
            </w:r>
            <w:r w:rsidRPr="00073574">
              <w:rPr>
                <w:rFonts w:asciiTheme="majorBidi" w:hAnsiTheme="majorBidi" w:cstheme="majorBidi"/>
              </w:rPr>
              <w:t>Functional security requirements and architecture for mobile phone anti-theft measures</w:t>
            </w:r>
            <w:r w:rsidR="003C7E25" w:rsidRPr="00073574">
              <w:rPr>
                <w:rFonts w:asciiTheme="majorBidi" w:hAnsiTheme="majorBidi" w:cstheme="majorBidi"/>
              </w:rPr>
              <w:t>"</w:t>
            </w:r>
            <w:r w:rsidRPr="00073574">
              <w:rPr>
                <w:rFonts w:asciiTheme="majorBidi" w:hAnsiTheme="majorBidi" w:cstheme="majorBidi"/>
              </w:rPr>
              <w:t>.</w:t>
            </w:r>
          </w:p>
        </w:tc>
      </w:tr>
      <w:tr w:rsidR="00F0236A" w:rsidRPr="00073574" w14:paraId="4E2ABF64" w14:textId="77777777" w:rsidTr="539711DF">
        <w:tc>
          <w:tcPr>
            <w:tcW w:w="1130" w:type="dxa"/>
            <w:vMerge w:val="restart"/>
            <w:tcBorders>
              <w:top w:val="single" w:sz="12" w:space="0" w:color="auto"/>
            </w:tcBorders>
            <w:shd w:val="clear" w:color="auto" w:fill="auto"/>
          </w:tcPr>
          <w:p w14:paraId="03F1DBF3" w14:textId="77777777" w:rsidR="00F0236A" w:rsidRPr="00073574" w:rsidRDefault="00F0236A" w:rsidP="006A2B2B">
            <w:pPr>
              <w:pStyle w:val="Tabletext"/>
              <w:keepNext/>
              <w:keepLines/>
              <w:rPr>
                <w:b/>
                <w:bCs/>
                <w:sz w:val="24"/>
                <w:szCs w:val="24"/>
              </w:rPr>
            </w:pPr>
            <w:r w:rsidRPr="00073574">
              <w:rPr>
                <w:b/>
                <w:bCs/>
                <w:sz w:val="24"/>
                <w:szCs w:val="24"/>
              </w:rPr>
              <w:lastRenderedPageBreak/>
              <w:t>97-09</w:t>
            </w:r>
          </w:p>
        </w:tc>
        <w:tc>
          <w:tcPr>
            <w:tcW w:w="4988" w:type="dxa"/>
            <w:tcBorders>
              <w:top w:val="single" w:sz="12" w:space="0" w:color="auto"/>
              <w:bottom w:val="single" w:sz="4" w:space="0" w:color="auto"/>
            </w:tcBorders>
            <w:shd w:val="clear" w:color="auto" w:fill="auto"/>
          </w:tcPr>
          <w:p w14:paraId="708FBE0F" w14:textId="77777777" w:rsidR="00F0236A" w:rsidRPr="00073574" w:rsidRDefault="00F0236A" w:rsidP="006A2B2B">
            <w:pPr>
              <w:pStyle w:val="Tabletext"/>
              <w:keepNext/>
              <w:keepLines/>
              <w:rPr>
                <w:b/>
                <w:bCs/>
                <w:sz w:val="24"/>
                <w:szCs w:val="24"/>
              </w:rPr>
            </w:pPr>
            <w:r w:rsidRPr="00073574">
              <w:rPr>
                <w:b/>
                <w:bCs/>
                <w:sz w:val="24"/>
                <w:szCs w:val="24"/>
              </w:rPr>
              <w:t>SGs 11 and 17 to study any possible solutions to combat the use of stolen mobile telecommunication devices with tampered (changed without authorization) identities and to prevent them from accessing the mobile network (i. SGs11+17 2)</w:t>
            </w:r>
          </w:p>
        </w:tc>
        <w:tc>
          <w:tcPr>
            <w:tcW w:w="1335" w:type="dxa"/>
            <w:tcBorders>
              <w:top w:val="single" w:sz="12" w:space="0" w:color="auto"/>
              <w:bottom w:val="single" w:sz="4" w:space="0" w:color="auto"/>
            </w:tcBorders>
            <w:shd w:val="clear" w:color="auto" w:fill="auto"/>
            <w:vAlign w:val="center"/>
          </w:tcPr>
          <w:p w14:paraId="557B3BE9" w14:textId="77777777" w:rsidR="00F0236A" w:rsidRPr="00073574" w:rsidRDefault="00F0236A" w:rsidP="006A2B2B">
            <w:pPr>
              <w:pStyle w:val="Tabletext"/>
              <w:keepNext/>
              <w:keepLines/>
              <w:jc w:val="center"/>
              <w:rPr>
                <w:b/>
                <w:bCs/>
                <w:sz w:val="24"/>
                <w:szCs w:val="24"/>
              </w:rPr>
            </w:pPr>
            <w:r w:rsidRPr="00073574">
              <w:rPr>
                <w:b/>
                <w:bCs/>
                <w:sz w:val="24"/>
                <w:szCs w:val="24"/>
              </w:rPr>
              <w:t>Ongoing</w:t>
            </w:r>
          </w:p>
        </w:tc>
        <w:tc>
          <w:tcPr>
            <w:tcW w:w="1143" w:type="dxa"/>
            <w:tcBorders>
              <w:top w:val="single" w:sz="12" w:space="0" w:color="auto"/>
              <w:bottom w:val="single" w:sz="4" w:space="0" w:color="auto"/>
            </w:tcBorders>
            <w:shd w:val="clear" w:color="auto" w:fill="auto"/>
            <w:vAlign w:val="center"/>
          </w:tcPr>
          <w:p w14:paraId="73B63A39" w14:textId="77777777" w:rsidR="00F0236A" w:rsidRPr="00073574" w:rsidRDefault="00F0236A" w:rsidP="006A2B2B">
            <w:pPr>
              <w:pStyle w:val="Tabletext"/>
              <w:keepNext/>
              <w:keepLines/>
              <w:jc w:val="center"/>
              <w:rPr>
                <w:b/>
                <w:bCs/>
                <w:sz w:val="24"/>
                <w:szCs w:val="24"/>
              </w:rPr>
            </w:pPr>
            <w:r w:rsidRPr="00073574">
              <w:rPr>
                <w:b/>
                <w:bCs/>
                <w:sz w:val="24"/>
                <w:szCs w:val="24"/>
              </w:rPr>
              <w:t>√</w:t>
            </w:r>
          </w:p>
        </w:tc>
        <w:tc>
          <w:tcPr>
            <w:tcW w:w="1336" w:type="dxa"/>
            <w:tcBorders>
              <w:top w:val="single" w:sz="12" w:space="0" w:color="auto"/>
              <w:bottom w:val="single" w:sz="4" w:space="0" w:color="auto"/>
            </w:tcBorders>
            <w:shd w:val="clear" w:color="auto" w:fill="auto"/>
            <w:vAlign w:val="center"/>
          </w:tcPr>
          <w:p w14:paraId="30E4A215" w14:textId="77777777" w:rsidR="00F0236A" w:rsidRPr="00073574" w:rsidRDefault="00F0236A" w:rsidP="006A2B2B">
            <w:pPr>
              <w:pStyle w:val="Tabletext"/>
              <w:keepNext/>
              <w:keepLines/>
              <w:jc w:val="center"/>
              <w:rPr>
                <w:b/>
                <w:bCs/>
                <w:sz w:val="24"/>
                <w:szCs w:val="24"/>
              </w:rPr>
            </w:pPr>
          </w:p>
        </w:tc>
      </w:tr>
      <w:tr w:rsidR="00F0236A" w:rsidRPr="00073574" w14:paraId="39143462" w14:textId="77777777" w:rsidTr="539711DF">
        <w:tc>
          <w:tcPr>
            <w:tcW w:w="1130" w:type="dxa"/>
            <w:vMerge/>
          </w:tcPr>
          <w:p w14:paraId="58FD4F45" w14:textId="77777777" w:rsidR="00F0236A" w:rsidRPr="00073574" w:rsidRDefault="00F0236A" w:rsidP="006A2B2B">
            <w:pPr>
              <w:pStyle w:val="Tabletext"/>
              <w:keepNext/>
              <w:keepLines/>
              <w:rPr>
                <w:sz w:val="24"/>
                <w:szCs w:val="24"/>
              </w:rPr>
            </w:pPr>
          </w:p>
        </w:tc>
        <w:tc>
          <w:tcPr>
            <w:tcW w:w="8802" w:type="dxa"/>
            <w:gridSpan w:val="4"/>
            <w:tcBorders>
              <w:top w:val="single" w:sz="4" w:space="0" w:color="auto"/>
              <w:bottom w:val="single" w:sz="12" w:space="0" w:color="auto"/>
            </w:tcBorders>
            <w:shd w:val="clear" w:color="auto" w:fill="auto"/>
          </w:tcPr>
          <w:p w14:paraId="08D6F225" w14:textId="77777777" w:rsidR="00F0236A" w:rsidRPr="00073574" w:rsidRDefault="00F0236A" w:rsidP="006A2B2B">
            <w:pPr>
              <w:pStyle w:val="Tabletext"/>
              <w:keepNext/>
              <w:keepLines/>
              <w:rPr>
                <w:szCs w:val="22"/>
              </w:rPr>
            </w:pPr>
            <w:r w:rsidRPr="00073574">
              <w:rPr>
                <w:szCs w:val="22"/>
              </w:rPr>
              <w:t>SG11: see 97-08.</w:t>
            </w:r>
          </w:p>
        </w:tc>
      </w:tr>
      <w:tr w:rsidR="00F0236A" w:rsidRPr="00073574" w14:paraId="3587CED4" w14:textId="77777777" w:rsidTr="539711DF">
        <w:tc>
          <w:tcPr>
            <w:tcW w:w="1130" w:type="dxa"/>
            <w:vMerge w:val="restart"/>
            <w:tcBorders>
              <w:top w:val="single" w:sz="12" w:space="0" w:color="auto"/>
            </w:tcBorders>
            <w:shd w:val="clear" w:color="auto" w:fill="auto"/>
          </w:tcPr>
          <w:p w14:paraId="572A5D41" w14:textId="77777777" w:rsidR="00F0236A" w:rsidRPr="00073574" w:rsidRDefault="00F0236A" w:rsidP="00DF36E1">
            <w:pPr>
              <w:pStyle w:val="Tabletext"/>
              <w:rPr>
                <w:b/>
                <w:bCs/>
                <w:sz w:val="24"/>
                <w:szCs w:val="24"/>
              </w:rPr>
            </w:pPr>
            <w:r w:rsidRPr="00073574">
              <w:rPr>
                <w:b/>
                <w:bCs/>
                <w:sz w:val="24"/>
                <w:szCs w:val="24"/>
              </w:rPr>
              <w:t>97-10</w:t>
            </w:r>
          </w:p>
        </w:tc>
        <w:tc>
          <w:tcPr>
            <w:tcW w:w="4988" w:type="dxa"/>
            <w:tcBorders>
              <w:top w:val="single" w:sz="12" w:space="0" w:color="auto"/>
              <w:bottom w:val="single" w:sz="4" w:space="0" w:color="auto"/>
            </w:tcBorders>
            <w:shd w:val="clear" w:color="auto" w:fill="auto"/>
          </w:tcPr>
          <w:p w14:paraId="0F4875A9" w14:textId="77777777" w:rsidR="00F0236A" w:rsidRPr="00073574" w:rsidRDefault="00F0236A" w:rsidP="00DF36E1">
            <w:pPr>
              <w:pStyle w:val="Tabletext"/>
              <w:rPr>
                <w:b/>
                <w:bCs/>
                <w:sz w:val="24"/>
                <w:szCs w:val="24"/>
              </w:rPr>
            </w:pPr>
            <w:r w:rsidRPr="00073574">
              <w:rPr>
                <w:b/>
                <w:bCs/>
                <w:sz w:val="24"/>
                <w:szCs w:val="24"/>
              </w:rPr>
              <w:t>SGs 11 and 17 to study any technologies that can be used as a tool for combating mobile telecommunication device theft (i. SGs11+17 3)</w:t>
            </w:r>
          </w:p>
        </w:tc>
        <w:tc>
          <w:tcPr>
            <w:tcW w:w="1335" w:type="dxa"/>
            <w:tcBorders>
              <w:top w:val="single" w:sz="12" w:space="0" w:color="auto"/>
              <w:bottom w:val="single" w:sz="4" w:space="0" w:color="auto"/>
            </w:tcBorders>
            <w:shd w:val="clear" w:color="auto" w:fill="auto"/>
            <w:vAlign w:val="center"/>
          </w:tcPr>
          <w:p w14:paraId="69D68F36"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43" w:type="dxa"/>
            <w:tcBorders>
              <w:top w:val="single" w:sz="12" w:space="0" w:color="auto"/>
              <w:bottom w:val="single" w:sz="4" w:space="0" w:color="auto"/>
            </w:tcBorders>
            <w:shd w:val="clear" w:color="auto" w:fill="auto"/>
            <w:vAlign w:val="center"/>
          </w:tcPr>
          <w:p w14:paraId="6740FB02"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bottom w:val="single" w:sz="4" w:space="0" w:color="auto"/>
            </w:tcBorders>
            <w:shd w:val="clear" w:color="auto" w:fill="auto"/>
            <w:vAlign w:val="center"/>
          </w:tcPr>
          <w:p w14:paraId="42EA6740" w14:textId="77777777" w:rsidR="00F0236A" w:rsidRPr="00073574" w:rsidRDefault="00F0236A" w:rsidP="00DF36E1">
            <w:pPr>
              <w:pStyle w:val="Tabletext"/>
              <w:jc w:val="center"/>
              <w:rPr>
                <w:b/>
                <w:bCs/>
                <w:sz w:val="24"/>
                <w:szCs w:val="24"/>
              </w:rPr>
            </w:pPr>
          </w:p>
        </w:tc>
      </w:tr>
      <w:tr w:rsidR="00F0236A" w:rsidRPr="00073574" w14:paraId="38F80C29" w14:textId="77777777" w:rsidTr="539711DF">
        <w:tc>
          <w:tcPr>
            <w:tcW w:w="1130" w:type="dxa"/>
            <w:vMerge/>
          </w:tcPr>
          <w:p w14:paraId="361666EB" w14:textId="77777777" w:rsidR="00F0236A" w:rsidRPr="00073574" w:rsidRDefault="00F0236A" w:rsidP="00DF36E1">
            <w:pPr>
              <w:pStyle w:val="Tabletext"/>
              <w:rPr>
                <w:sz w:val="24"/>
                <w:szCs w:val="24"/>
              </w:rPr>
            </w:pPr>
          </w:p>
        </w:tc>
        <w:tc>
          <w:tcPr>
            <w:tcW w:w="8802" w:type="dxa"/>
            <w:gridSpan w:val="4"/>
            <w:tcBorders>
              <w:top w:val="single" w:sz="4" w:space="0" w:color="auto"/>
              <w:bottom w:val="single" w:sz="12" w:space="0" w:color="auto"/>
            </w:tcBorders>
            <w:shd w:val="clear" w:color="auto" w:fill="auto"/>
          </w:tcPr>
          <w:p w14:paraId="14771F4A" w14:textId="77777777" w:rsidR="00F0236A" w:rsidRPr="00073574" w:rsidRDefault="00F0236A" w:rsidP="00DF36E1">
            <w:pPr>
              <w:pStyle w:val="Tabletext"/>
              <w:rPr>
                <w:szCs w:val="22"/>
              </w:rPr>
            </w:pPr>
            <w:r w:rsidRPr="00073574">
              <w:rPr>
                <w:szCs w:val="22"/>
              </w:rPr>
              <w:t>SG11, SG17: see 97-08.</w:t>
            </w:r>
          </w:p>
        </w:tc>
      </w:tr>
      <w:tr w:rsidR="00F0236A" w:rsidRPr="00073574" w14:paraId="566713E8" w14:textId="77777777" w:rsidTr="539711DF">
        <w:tc>
          <w:tcPr>
            <w:tcW w:w="1130" w:type="dxa"/>
            <w:vMerge w:val="restart"/>
            <w:tcBorders>
              <w:top w:val="single" w:sz="12" w:space="0" w:color="auto"/>
            </w:tcBorders>
            <w:shd w:val="clear" w:color="auto" w:fill="auto"/>
          </w:tcPr>
          <w:p w14:paraId="1EF7562A" w14:textId="77777777" w:rsidR="00F0236A" w:rsidRPr="00073574" w:rsidRDefault="00F0236A" w:rsidP="00DF36E1">
            <w:pPr>
              <w:pStyle w:val="Tabletext"/>
              <w:keepNext/>
              <w:keepLines/>
              <w:rPr>
                <w:b/>
                <w:bCs/>
                <w:sz w:val="24"/>
                <w:szCs w:val="24"/>
              </w:rPr>
            </w:pPr>
            <w:r w:rsidRPr="00073574">
              <w:rPr>
                <w:b/>
                <w:bCs/>
                <w:sz w:val="24"/>
                <w:szCs w:val="24"/>
              </w:rPr>
              <w:t>97-11</w:t>
            </w:r>
          </w:p>
        </w:tc>
        <w:tc>
          <w:tcPr>
            <w:tcW w:w="4988" w:type="dxa"/>
            <w:tcBorders>
              <w:top w:val="single" w:sz="12" w:space="0" w:color="auto"/>
              <w:bottom w:val="single" w:sz="4" w:space="0" w:color="auto"/>
            </w:tcBorders>
            <w:shd w:val="clear" w:color="auto" w:fill="auto"/>
          </w:tcPr>
          <w:p w14:paraId="11B157DC" w14:textId="77777777" w:rsidR="00F0236A" w:rsidRPr="00073574" w:rsidRDefault="00F0236A" w:rsidP="00DF36E1">
            <w:pPr>
              <w:pStyle w:val="Tabletext"/>
              <w:keepNext/>
              <w:keepLines/>
              <w:rPr>
                <w:b/>
                <w:bCs/>
                <w:sz w:val="24"/>
                <w:szCs w:val="24"/>
              </w:rPr>
            </w:pPr>
            <w:r w:rsidRPr="00073574">
              <w:rPr>
                <w:b/>
                <w:bCs/>
                <w:sz w:val="24"/>
                <w:szCs w:val="24"/>
              </w:rPr>
              <w:t>SGs 11 and 17 to draw up a list of identifiers used in mobile telecommunication/ICT devices (i. SGs11+17 4)</w:t>
            </w:r>
          </w:p>
        </w:tc>
        <w:tc>
          <w:tcPr>
            <w:tcW w:w="1335" w:type="dxa"/>
            <w:tcBorders>
              <w:top w:val="single" w:sz="12" w:space="0" w:color="auto"/>
              <w:bottom w:val="single" w:sz="4" w:space="0" w:color="auto"/>
            </w:tcBorders>
            <w:shd w:val="clear" w:color="auto" w:fill="auto"/>
            <w:vAlign w:val="center"/>
          </w:tcPr>
          <w:p w14:paraId="5B845B27"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43" w:type="dxa"/>
            <w:tcBorders>
              <w:top w:val="single" w:sz="12" w:space="0" w:color="auto"/>
              <w:bottom w:val="single" w:sz="4" w:space="0" w:color="auto"/>
            </w:tcBorders>
            <w:shd w:val="clear" w:color="auto" w:fill="auto"/>
            <w:vAlign w:val="center"/>
          </w:tcPr>
          <w:p w14:paraId="7FA9C4E6" w14:textId="086AAAA3" w:rsidR="00F0236A" w:rsidRPr="00073574" w:rsidRDefault="006F0A31" w:rsidP="00DF36E1">
            <w:pPr>
              <w:pStyle w:val="Tabletext"/>
              <w:jc w:val="center"/>
              <w:rPr>
                <w:b/>
                <w:bCs/>
                <w:sz w:val="24"/>
                <w:szCs w:val="24"/>
              </w:rPr>
            </w:pPr>
            <w:r w:rsidRPr="00073574">
              <w:rPr>
                <w:b/>
                <w:bCs/>
                <w:sz w:val="24"/>
                <w:szCs w:val="24"/>
              </w:rPr>
              <w:t>√</w:t>
            </w:r>
          </w:p>
        </w:tc>
        <w:tc>
          <w:tcPr>
            <w:tcW w:w="1336" w:type="dxa"/>
            <w:tcBorders>
              <w:top w:val="single" w:sz="12" w:space="0" w:color="auto"/>
              <w:bottom w:val="single" w:sz="4" w:space="0" w:color="auto"/>
            </w:tcBorders>
            <w:shd w:val="clear" w:color="auto" w:fill="auto"/>
            <w:vAlign w:val="center"/>
          </w:tcPr>
          <w:p w14:paraId="2EF3B4AD" w14:textId="77777777" w:rsidR="00F0236A" w:rsidRPr="00073574" w:rsidRDefault="00F0236A" w:rsidP="00DF36E1">
            <w:pPr>
              <w:pStyle w:val="Tabletext"/>
              <w:jc w:val="center"/>
              <w:rPr>
                <w:b/>
                <w:bCs/>
                <w:sz w:val="24"/>
                <w:szCs w:val="24"/>
              </w:rPr>
            </w:pPr>
          </w:p>
        </w:tc>
      </w:tr>
      <w:tr w:rsidR="00F0236A" w:rsidRPr="00073574" w14:paraId="23FB5366" w14:textId="77777777" w:rsidTr="539711DF">
        <w:tc>
          <w:tcPr>
            <w:tcW w:w="1130" w:type="dxa"/>
            <w:vMerge/>
            <w:vAlign w:val="center"/>
          </w:tcPr>
          <w:p w14:paraId="4B739AED" w14:textId="77777777" w:rsidR="00F0236A" w:rsidRPr="00073574" w:rsidRDefault="00F0236A" w:rsidP="00DF36E1">
            <w:pPr>
              <w:pStyle w:val="Tabletext"/>
              <w:rPr>
                <w:sz w:val="24"/>
                <w:szCs w:val="24"/>
              </w:rPr>
            </w:pPr>
          </w:p>
        </w:tc>
        <w:tc>
          <w:tcPr>
            <w:tcW w:w="8802" w:type="dxa"/>
            <w:gridSpan w:val="4"/>
            <w:tcBorders>
              <w:top w:val="single" w:sz="4" w:space="0" w:color="auto"/>
              <w:bottom w:val="single" w:sz="12" w:space="0" w:color="auto"/>
            </w:tcBorders>
            <w:shd w:val="clear" w:color="auto" w:fill="auto"/>
          </w:tcPr>
          <w:p w14:paraId="2D0B424D" w14:textId="1A318A03" w:rsidR="00F0236A" w:rsidRPr="00073574" w:rsidRDefault="006416A8" w:rsidP="00DF36E1">
            <w:pPr>
              <w:pStyle w:val="Tabletext"/>
              <w:rPr>
                <w:szCs w:val="22"/>
              </w:rPr>
            </w:pPr>
            <w:r w:rsidRPr="00073574">
              <w:rPr>
                <w:szCs w:val="22"/>
              </w:rPr>
              <w:t xml:space="preserve">SG11 </w:t>
            </w:r>
            <w:r w:rsidR="009E5029" w:rsidRPr="00073574">
              <w:rPr>
                <w:szCs w:val="22"/>
              </w:rPr>
              <w:t>approved</w:t>
            </w:r>
            <w:r w:rsidRPr="00073574">
              <w:rPr>
                <w:szCs w:val="22"/>
              </w:rPr>
              <w:t xml:space="preserve"> ITU-T Q.5052 “</w:t>
            </w:r>
            <w:r w:rsidRPr="00073574">
              <w:t>Addressing mobile devices with duplicate unique identifier</w:t>
            </w:r>
            <w:r w:rsidRPr="00073574">
              <w:rPr>
                <w:szCs w:val="22"/>
              </w:rPr>
              <w:t xml:space="preserve">” which </w:t>
            </w:r>
            <w:r w:rsidRPr="00073574">
              <w:rPr>
                <w:rFonts w:ascii="Times" w:hAnsi="Times"/>
              </w:rPr>
              <w:t>identifies challenges and proposes mechanisms to enable the detection of mobile devices with duplicate identifiers present on operator networks as well as recommending mechanisms for validating the legitimacy of such devices.</w:t>
            </w:r>
          </w:p>
        </w:tc>
      </w:tr>
    </w:tbl>
    <w:bookmarkStart w:id="620" w:name="Item97_01"/>
    <w:bookmarkStart w:id="621" w:name="Item97_02"/>
    <w:bookmarkStart w:id="622" w:name="Item97_03"/>
    <w:bookmarkStart w:id="623" w:name="Item97_04"/>
    <w:bookmarkStart w:id="624" w:name="Item97_05"/>
    <w:bookmarkStart w:id="625" w:name="Item97_06"/>
    <w:bookmarkStart w:id="626" w:name="Item97_07"/>
    <w:bookmarkStart w:id="627" w:name="Item97_08"/>
    <w:bookmarkStart w:id="628" w:name="Item97_09"/>
    <w:bookmarkStart w:id="629" w:name="Item97_10"/>
    <w:bookmarkStart w:id="630" w:name="Item97_11"/>
    <w:bookmarkEnd w:id="620"/>
    <w:bookmarkEnd w:id="621"/>
    <w:bookmarkEnd w:id="622"/>
    <w:bookmarkEnd w:id="623"/>
    <w:bookmarkEnd w:id="624"/>
    <w:bookmarkEnd w:id="625"/>
    <w:bookmarkEnd w:id="626"/>
    <w:bookmarkEnd w:id="627"/>
    <w:bookmarkEnd w:id="628"/>
    <w:bookmarkEnd w:id="629"/>
    <w:bookmarkEnd w:id="630"/>
    <w:p w14:paraId="7BBB3835" w14:textId="77777777" w:rsidR="00F0236A" w:rsidRPr="00073574" w:rsidRDefault="00F0236A" w:rsidP="00F0236A">
      <w:pPr>
        <w:rPr>
          <w:sz w:val="24"/>
        </w:rPr>
      </w:pPr>
      <w:r w:rsidRPr="00073574">
        <w:rPr>
          <w:color w:val="2B579A"/>
          <w:shd w:val="clear" w:color="auto" w:fill="E6E6E6"/>
        </w:rPr>
        <w:fldChar w:fldCharType="begin"/>
      </w:r>
      <w:r w:rsidRPr="00073574">
        <w:rPr>
          <w:sz w:val="24"/>
        </w:rPr>
        <w:instrText xml:space="preserve"> HYPERLINK \l "Top" </w:instrText>
      </w:r>
      <w:r w:rsidRPr="00073574">
        <w:rPr>
          <w:color w:val="2B579A"/>
          <w:shd w:val="clear" w:color="auto" w:fill="E6E6E6"/>
        </w:rPr>
        <w:fldChar w:fldCharType="separate"/>
      </w:r>
      <w:r w:rsidRPr="00073574">
        <w:rPr>
          <w:rStyle w:val="Hyperlink"/>
          <w:rFonts w:eastAsia="Times New Roman"/>
          <w:sz w:val="24"/>
        </w:rPr>
        <w:t>» Top</w:t>
      </w:r>
      <w:r w:rsidRPr="00073574">
        <w:rPr>
          <w:rStyle w:val="Hyperlink"/>
          <w:rFonts w:eastAsia="Times New Roman"/>
          <w:sz w:val="24"/>
        </w:rPr>
        <w:fldChar w:fldCharType="end"/>
      </w:r>
    </w:p>
    <w:p w14:paraId="58684662" w14:textId="77777777" w:rsidR="00F0236A" w:rsidRPr="00073574" w:rsidRDefault="00F0236A" w:rsidP="00E75CE1">
      <w:pPr>
        <w:pStyle w:val="Heading1"/>
        <w:keepNext/>
        <w:keepLines/>
        <w:rPr>
          <w:sz w:val="24"/>
          <w:szCs w:val="24"/>
          <w:lang w:val="en-GB"/>
        </w:rPr>
      </w:pPr>
      <w:bookmarkStart w:id="631" w:name="_Resolution_98_-"/>
      <w:bookmarkStart w:id="632" w:name="_Toc471715412"/>
      <w:bookmarkStart w:id="633" w:name="_Toc93425299"/>
      <w:bookmarkEnd w:id="631"/>
      <w:r w:rsidRPr="00073574">
        <w:rPr>
          <w:sz w:val="24"/>
          <w:szCs w:val="24"/>
          <w:lang w:val="en-GB"/>
        </w:rPr>
        <w:t>Resolution 98 - Enhancing the standardization of Internet of things and smart cities and communities for global development</w:t>
      </w:r>
      <w:bookmarkEnd w:id="632"/>
      <w:bookmarkEnd w:id="633"/>
    </w:p>
    <w:p w14:paraId="336104A1" w14:textId="77777777" w:rsidR="00F0236A" w:rsidRPr="00073574" w:rsidRDefault="00F0236A" w:rsidP="00E75CE1">
      <w:pPr>
        <w:keepNext/>
        <w:keepLines/>
        <w:rPr>
          <w:b/>
          <w:bCs/>
          <w:sz w:val="24"/>
        </w:rPr>
      </w:pPr>
      <w:r w:rsidRPr="00073574">
        <w:rPr>
          <w:b/>
          <w:bCs/>
          <w:sz w:val="24"/>
        </w:rPr>
        <w:t>Resolution 98</w:t>
      </w:r>
    </w:p>
    <w:p w14:paraId="2BFB64F6" w14:textId="77777777" w:rsidR="00F0236A" w:rsidRPr="00073574" w:rsidRDefault="00F0236A" w:rsidP="00E75CE1">
      <w:pPr>
        <w:pStyle w:val="Call"/>
        <w:rPr>
          <w:sz w:val="24"/>
          <w:szCs w:val="24"/>
          <w:lang w:val="en-GB" w:eastAsia="en-AU"/>
        </w:rPr>
      </w:pPr>
      <w:r w:rsidRPr="00073574">
        <w:rPr>
          <w:sz w:val="24"/>
          <w:szCs w:val="24"/>
          <w:lang w:val="en-GB" w:eastAsia="en-AU"/>
        </w:rPr>
        <w:t>resolves to instruct Study Group 20 of the ITU Telecommunication Standardization Sector</w:t>
      </w:r>
    </w:p>
    <w:p w14:paraId="665D0E5A" w14:textId="77777777" w:rsidR="00F0236A" w:rsidRPr="00073574" w:rsidRDefault="00F0236A" w:rsidP="00E75CE1">
      <w:pPr>
        <w:keepNext/>
        <w:keepLines/>
        <w:spacing w:after="240"/>
        <w:rPr>
          <w:sz w:val="24"/>
        </w:rPr>
      </w:pPr>
      <w:r w:rsidRPr="00073574">
        <w:rPr>
          <w:sz w:val="24"/>
        </w:rPr>
        <w:t>1</w:t>
      </w:r>
      <w:r w:rsidRPr="00073574">
        <w:rPr>
          <w:sz w:val="24"/>
        </w:rPr>
        <w:tab/>
        <w:t>to develop ITU-T Recommendations aimed at implementing IoT and SC&amp;C, including, but not limited to, on issues related to emerging technologies and vertical industries;</w:t>
      </w:r>
    </w:p>
    <w:p w14:paraId="1AFC7C7F" w14:textId="77777777" w:rsidR="00F0236A" w:rsidRPr="00073574" w:rsidRDefault="00F0236A" w:rsidP="00F0236A">
      <w:pPr>
        <w:spacing w:after="240"/>
        <w:rPr>
          <w:sz w:val="24"/>
        </w:rPr>
      </w:pPr>
      <w:r w:rsidRPr="00073574">
        <w:rPr>
          <w:sz w:val="24"/>
        </w:rPr>
        <w:t>2</w:t>
      </w:r>
      <w:r w:rsidRPr="00073574">
        <w:rPr>
          <w:sz w:val="24"/>
        </w:rPr>
        <w:tab/>
        <w:t>to continue, within its mandate, to work with a special focus on the design of a roadmap and harmonized and coordinated international telecommunication standards for the development of IoT, taking into account the needs of each region and fostering a competitive environment;</w:t>
      </w:r>
    </w:p>
    <w:p w14:paraId="6340D9E5" w14:textId="77777777" w:rsidR="00F0236A" w:rsidRPr="00073574" w:rsidRDefault="00F0236A" w:rsidP="00F0236A">
      <w:pPr>
        <w:spacing w:after="240"/>
        <w:rPr>
          <w:sz w:val="24"/>
        </w:rPr>
      </w:pPr>
      <w:r w:rsidRPr="00073574">
        <w:rPr>
          <w:sz w:val="24"/>
        </w:rPr>
        <w:t>3</w:t>
      </w:r>
      <w:r w:rsidRPr="00073574">
        <w:rPr>
          <w:sz w:val="24"/>
        </w:rPr>
        <w:tab/>
        <w:t>to collaborate with IoT-related standards organizations and other stakeholders such as industry forums and associations, consortia and SDOs, as well as other relevant ITU-T study groups, and to take into account relevant work;</w:t>
      </w:r>
    </w:p>
    <w:p w14:paraId="49F40427" w14:textId="77777777" w:rsidR="00F0236A" w:rsidRPr="00073574" w:rsidRDefault="00F0236A" w:rsidP="00F0236A">
      <w:pPr>
        <w:spacing w:after="240"/>
        <w:rPr>
          <w:sz w:val="24"/>
        </w:rPr>
      </w:pPr>
      <w:r w:rsidRPr="00073574">
        <w:rPr>
          <w:sz w:val="24"/>
        </w:rPr>
        <w:t>4</w:t>
      </w:r>
      <w:r w:rsidRPr="00073574">
        <w:rPr>
          <w:sz w:val="24"/>
        </w:rPr>
        <w:tab/>
        <w:t>to collate, evaluate, assess and share IoT use cases from the interoperability and standardization standpoints for data and information exchange,</w:t>
      </w:r>
    </w:p>
    <w:p w14:paraId="31501D77" w14:textId="77777777" w:rsidR="00F0236A" w:rsidRPr="00073574" w:rsidRDefault="00F0236A" w:rsidP="00F0236A">
      <w:pPr>
        <w:pStyle w:val="Call"/>
        <w:rPr>
          <w:sz w:val="24"/>
          <w:szCs w:val="24"/>
          <w:lang w:val="en-GB" w:eastAsia="en-AU"/>
        </w:rPr>
      </w:pPr>
      <w:r w:rsidRPr="00073574">
        <w:rPr>
          <w:sz w:val="24"/>
          <w:szCs w:val="24"/>
          <w:lang w:val="en-GB" w:eastAsia="en-AU"/>
        </w:rPr>
        <w:lastRenderedPageBreak/>
        <w:t>instructs the Director of the Telecommunication Standardization Bureau</w:t>
      </w:r>
    </w:p>
    <w:p w14:paraId="69873B24" w14:textId="11759E82" w:rsidR="00F0236A" w:rsidRPr="00073574" w:rsidRDefault="00F0236A" w:rsidP="00F0236A">
      <w:pPr>
        <w:spacing w:after="240"/>
        <w:rPr>
          <w:sz w:val="24"/>
        </w:rPr>
      </w:pPr>
      <w:r w:rsidRPr="00073574">
        <w:rPr>
          <w:sz w:val="24"/>
        </w:rPr>
        <w:t>1</w:t>
      </w:r>
      <w:r w:rsidRPr="00073574">
        <w:rPr>
          <w:sz w:val="24"/>
        </w:rPr>
        <w:tab/>
        <w:t>to provide necessary assistance in order to take advantage of every opportunity, within the assigned budget, to promote quality standardization work in a timely manner, and to communicate with telecommunication and ICT industries in order to promote their participation in ITU-T</w:t>
      </w:r>
      <w:r w:rsidR="003C7E25" w:rsidRPr="00073574">
        <w:rPr>
          <w:sz w:val="24"/>
        </w:rPr>
        <w:t>'</w:t>
      </w:r>
      <w:r w:rsidRPr="00073574">
        <w:rPr>
          <w:sz w:val="24"/>
        </w:rPr>
        <w:t>s standardization activities on IoT and SC&amp;C;</w:t>
      </w:r>
    </w:p>
    <w:p w14:paraId="03F4B6EA" w14:textId="77777777" w:rsidR="00F0236A" w:rsidRPr="00073574" w:rsidRDefault="00F0236A" w:rsidP="00F0236A">
      <w:pPr>
        <w:spacing w:after="240"/>
        <w:rPr>
          <w:sz w:val="24"/>
        </w:rPr>
      </w:pPr>
      <w:r w:rsidRPr="00073574">
        <w:rPr>
          <w:sz w:val="24"/>
        </w:rPr>
        <w:t>2</w:t>
      </w:r>
      <w:r w:rsidRPr="00073574">
        <w:rPr>
          <w:sz w:val="24"/>
        </w:rPr>
        <w:tab/>
        <w:t>to carry out, in collaboration with Member States and cities, pilot projects in cities related to SC&amp;C key performance indicator (KPI) assessment activities, aimed at facilitating the deployment and implementation of IoT and SC&amp;C standards worldwide;</w:t>
      </w:r>
    </w:p>
    <w:p w14:paraId="5E19D286" w14:textId="77777777" w:rsidR="00F0236A" w:rsidRPr="00073574" w:rsidRDefault="00F0236A" w:rsidP="00F0236A">
      <w:pPr>
        <w:spacing w:after="240"/>
        <w:rPr>
          <w:sz w:val="24"/>
        </w:rPr>
      </w:pPr>
      <w:r w:rsidRPr="00073574">
        <w:rPr>
          <w:sz w:val="24"/>
        </w:rPr>
        <w:t>3</w:t>
      </w:r>
      <w:r w:rsidRPr="00073574">
        <w:rPr>
          <w:sz w:val="24"/>
        </w:rPr>
        <w:tab/>
        <w:t>to continue to support the United for Smart Sustainable Cities Initiative (U4SSC), launched by ITU together with the United Nations Economic Commission for Europe (UNECE) in May 2016, and share its deliverables with ITU-T Study Group 20 and other study groups concerned;</w:t>
      </w:r>
    </w:p>
    <w:p w14:paraId="1FAE3C44" w14:textId="77777777" w:rsidR="00F0236A" w:rsidRPr="00073574" w:rsidRDefault="00F0236A" w:rsidP="00F0236A">
      <w:pPr>
        <w:spacing w:after="240"/>
        <w:rPr>
          <w:sz w:val="24"/>
        </w:rPr>
      </w:pPr>
      <w:r w:rsidRPr="00073574">
        <w:rPr>
          <w:sz w:val="24"/>
        </w:rPr>
        <w:t>4</w:t>
      </w:r>
      <w:r w:rsidRPr="00073574">
        <w:rPr>
          <w:sz w:val="24"/>
        </w:rPr>
        <w:tab/>
        <w:t>to continue encouraging cooperation with other international standardization organizations and other related organizations, in order to increase the development of international telecommunication standards and reports that facilitate the interoperability of IoT services,</w:t>
      </w:r>
    </w:p>
    <w:p w14:paraId="7A4AD185" w14:textId="77777777" w:rsidR="00F0236A" w:rsidRPr="00073574" w:rsidRDefault="00F0236A" w:rsidP="00F0236A">
      <w:pPr>
        <w:pStyle w:val="Call"/>
        <w:rPr>
          <w:sz w:val="24"/>
          <w:szCs w:val="24"/>
          <w:lang w:val="en-GB" w:eastAsia="en-AU"/>
        </w:rPr>
      </w:pPr>
      <w:r w:rsidRPr="00073574">
        <w:rPr>
          <w:sz w:val="24"/>
          <w:szCs w:val="24"/>
          <w:lang w:val="en-GB" w:eastAsia="en-AU"/>
        </w:rPr>
        <w:t>instructs the Director of the Telecommunication Standardization Bureau, in collaboration with the Directors of the Telecommunication Development Bureau and the Radiocommunication Bureau</w:t>
      </w:r>
    </w:p>
    <w:p w14:paraId="2354CCD6" w14:textId="77777777" w:rsidR="00F0236A" w:rsidRPr="00073574" w:rsidRDefault="00F0236A" w:rsidP="00F0236A">
      <w:pPr>
        <w:spacing w:after="240"/>
        <w:rPr>
          <w:sz w:val="24"/>
        </w:rPr>
      </w:pPr>
      <w:r w:rsidRPr="00073574">
        <w:rPr>
          <w:sz w:val="24"/>
        </w:rPr>
        <w:t>1</w:t>
      </w:r>
      <w:r w:rsidRPr="00073574">
        <w:rPr>
          <w:sz w:val="24"/>
        </w:rPr>
        <w:tab/>
        <w:t>to prepare reports considering, in particular, the needs of developing countries in terms of the study of IoT and its applications, sensor networks, services and infrastructure;</w:t>
      </w:r>
    </w:p>
    <w:p w14:paraId="0742E86A" w14:textId="77777777" w:rsidR="00F0236A" w:rsidRPr="00073574" w:rsidRDefault="00F0236A" w:rsidP="00F0236A">
      <w:pPr>
        <w:spacing w:after="240"/>
        <w:rPr>
          <w:sz w:val="24"/>
        </w:rPr>
      </w:pPr>
      <w:r w:rsidRPr="00073574">
        <w:rPr>
          <w:sz w:val="24"/>
        </w:rPr>
        <w:t>2</w:t>
      </w:r>
      <w:r w:rsidRPr="00073574">
        <w:rPr>
          <w:sz w:val="24"/>
        </w:rPr>
        <w:tab/>
        <w:t>to continue disseminating ITU publications on IoT and SC&amp;C, as well as organizing forums, seminars and workshops on the subject, taking into account the needs of developing countries, in particular,</w:t>
      </w:r>
    </w:p>
    <w:tbl>
      <w:tblPr>
        <w:tblW w:w="993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96"/>
        <w:gridCol w:w="4721"/>
        <w:gridCol w:w="1550"/>
        <w:gridCol w:w="1344"/>
        <w:gridCol w:w="1577"/>
      </w:tblGrid>
      <w:tr w:rsidR="007C4EA6" w:rsidRPr="00073574" w14:paraId="05DB020C" w14:textId="77777777" w:rsidTr="7277BFE4">
        <w:trPr>
          <w:tblHeader/>
        </w:trPr>
        <w:tc>
          <w:tcPr>
            <w:tcW w:w="1130" w:type="dxa"/>
            <w:tcBorders>
              <w:top w:val="single" w:sz="12" w:space="0" w:color="auto"/>
              <w:bottom w:val="single" w:sz="12" w:space="0" w:color="auto"/>
            </w:tcBorders>
            <w:shd w:val="clear" w:color="auto" w:fill="auto"/>
            <w:vAlign w:val="center"/>
          </w:tcPr>
          <w:p w14:paraId="7E6A56EB" w14:textId="77777777" w:rsidR="007C4EA6" w:rsidRPr="00073574" w:rsidRDefault="007C4EA6" w:rsidP="007C4EA6">
            <w:pPr>
              <w:pStyle w:val="Tablehead"/>
              <w:keepNext w:val="0"/>
              <w:rPr>
                <w:sz w:val="24"/>
                <w:szCs w:val="24"/>
              </w:rPr>
            </w:pPr>
            <w:r w:rsidRPr="00073574">
              <w:rPr>
                <w:sz w:val="24"/>
                <w:szCs w:val="24"/>
              </w:rPr>
              <w:t>Action Item</w:t>
            </w:r>
          </w:p>
        </w:tc>
        <w:tc>
          <w:tcPr>
            <w:tcW w:w="4988" w:type="dxa"/>
            <w:tcBorders>
              <w:top w:val="single" w:sz="12" w:space="0" w:color="auto"/>
              <w:bottom w:val="single" w:sz="12" w:space="0" w:color="auto"/>
            </w:tcBorders>
            <w:shd w:val="clear" w:color="auto" w:fill="auto"/>
            <w:vAlign w:val="center"/>
            <w:hideMark/>
          </w:tcPr>
          <w:p w14:paraId="5095635D" w14:textId="77777777" w:rsidR="007C4EA6" w:rsidRPr="00073574" w:rsidRDefault="007C4EA6" w:rsidP="005E0B71">
            <w:pPr>
              <w:pStyle w:val="Tablehead"/>
              <w:rPr>
                <w:sz w:val="24"/>
                <w:szCs w:val="24"/>
              </w:rPr>
            </w:pPr>
            <w:r w:rsidRPr="00073574">
              <w:rPr>
                <w:sz w:val="24"/>
                <w:szCs w:val="24"/>
              </w:rPr>
              <w:t>Action</w:t>
            </w:r>
          </w:p>
        </w:tc>
        <w:tc>
          <w:tcPr>
            <w:tcW w:w="1335" w:type="dxa"/>
            <w:tcBorders>
              <w:top w:val="single" w:sz="12" w:space="0" w:color="auto"/>
              <w:bottom w:val="single" w:sz="12" w:space="0" w:color="auto"/>
            </w:tcBorders>
            <w:shd w:val="clear" w:color="auto" w:fill="auto"/>
            <w:vAlign w:val="center"/>
            <w:hideMark/>
          </w:tcPr>
          <w:p w14:paraId="0E11D981" w14:textId="77777777" w:rsidR="007C4EA6" w:rsidRPr="00073574" w:rsidRDefault="007C4EA6" w:rsidP="005E0B71">
            <w:pPr>
              <w:pStyle w:val="Tablehead"/>
              <w:rPr>
                <w:sz w:val="24"/>
                <w:szCs w:val="24"/>
              </w:rPr>
            </w:pPr>
            <w:r w:rsidRPr="00073574">
              <w:rPr>
                <w:sz w:val="24"/>
                <w:szCs w:val="24"/>
              </w:rPr>
              <w:t>Milestone</w:t>
            </w:r>
          </w:p>
        </w:tc>
        <w:tc>
          <w:tcPr>
            <w:tcW w:w="1143" w:type="dxa"/>
            <w:tcBorders>
              <w:top w:val="single" w:sz="12" w:space="0" w:color="auto"/>
              <w:bottom w:val="single" w:sz="12" w:space="0" w:color="auto"/>
            </w:tcBorders>
            <w:shd w:val="clear" w:color="auto" w:fill="auto"/>
          </w:tcPr>
          <w:p w14:paraId="5DD1E0DC" w14:textId="77777777" w:rsidR="007C4EA6" w:rsidRPr="00073574" w:rsidRDefault="007C4EA6" w:rsidP="005E0B71">
            <w:pPr>
              <w:pStyle w:val="Tablehead"/>
              <w:rPr>
                <w:sz w:val="24"/>
                <w:szCs w:val="24"/>
              </w:rPr>
            </w:pPr>
            <w:r w:rsidRPr="00073574">
              <w:rPr>
                <w:sz w:val="24"/>
                <w:szCs w:val="24"/>
              </w:rPr>
              <w:t>Periodic goals met</w:t>
            </w:r>
          </w:p>
        </w:tc>
        <w:tc>
          <w:tcPr>
            <w:tcW w:w="1336" w:type="dxa"/>
            <w:tcBorders>
              <w:top w:val="single" w:sz="12" w:space="0" w:color="auto"/>
              <w:bottom w:val="single" w:sz="12" w:space="0" w:color="auto"/>
            </w:tcBorders>
            <w:shd w:val="clear" w:color="auto" w:fill="auto"/>
            <w:vAlign w:val="center"/>
          </w:tcPr>
          <w:p w14:paraId="57AC3E33" w14:textId="77777777" w:rsidR="007C4EA6" w:rsidRPr="00073574" w:rsidRDefault="007C4EA6" w:rsidP="005E0B71">
            <w:pPr>
              <w:pStyle w:val="Tablehead"/>
              <w:rPr>
                <w:sz w:val="24"/>
                <w:szCs w:val="24"/>
              </w:rPr>
            </w:pPr>
            <w:r w:rsidRPr="00073574">
              <w:rPr>
                <w:sz w:val="24"/>
                <w:szCs w:val="24"/>
              </w:rPr>
              <w:t>Completed</w:t>
            </w:r>
          </w:p>
        </w:tc>
      </w:tr>
      <w:tr w:rsidR="005E0B71" w:rsidRPr="00073574" w14:paraId="771590A2" w14:textId="77777777" w:rsidTr="7277BFE4">
        <w:tc>
          <w:tcPr>
            <w:tcW w:w="1130" w:type="dxa"/>
            <w:vMerge w:val="restart"/>
            <w:tcBorders>
              <w:top w:val="single" w:sz="12" w:space="0" w:color="auto"/>
            </w:tcBorders>
            <w:shd w:val="clear" w:color="auto" w:fill="auto"/>
          </w:tcPr>
          <w:p w14:paraId="3DEA3FD4" w14:textId="2EAE4B08" w:rsidR="005E0B71" w:rsidRPr="00073574" w:rsidRDefault="005E0B71" w:rsidP="005E0B71">
            <w:pPr>
              <w:pStyle w:val="Tabletext"/>
              <w:rPr>
                <w:b/>
                <w:bCs/>
                <w:sz w:val="24"/>
                <w:szCs w:val="24"/>
              </w:rPr>
            </w:pPr>
            <w:r w:rsidRPr="00073574">
              <w:rPr>
                <w:b/>
                <w:bCs/>
                <w:sz w:val="24"/>
                <w:szCs w:val="24"/>
              </w:rPr>
              <w:t>98-01</w:t>
            </w:r>
          </w:p>
        </w:tc>
        <w:tc>
          <w:tcPr>
            <w:tcW w:w="4988" w:type="dxa"/>
            <w:tcBorders>
              <w:top w:val="single" w:sz="12" w:space="0" w:color="auto"/>
              <w:bottom w:val="single" w:sz="2" w:space="0" w:color="auto"/>
            </w:tcBorders>
            <w:shd w:val="clear" w:color="auto" w:fill="auto"/>
          </w:tcPr>
          <w:p w14:paraId="5E9F8E11" w14:textId="7D9E62EC" w:rsidR="005E0B71" w:rsidRPr="00073574" w:rsidRDefault="005E0B71" w:rsidP="005E0B71">
            <w:pPr>
              <w:pStyle w:val="Tabletext"/>
              <w:rPr>
                <w:b/>
                <w:bCs/>
                <w:sz w:val="24"/>
                <w:szCs w:val="24"/>
              </w:rPr>
            </w:pPr>
            <w:r w:rsidRPr="00073574">
              <w:rPr>
                <w:b/>
                <w:bCs/>
                <w:sz w:val="24"/>
                <w:szCs w:val="24"/>
              </w:rPr>
              <w:t>SG20 to develop ITU-T Recommendations aimed at implementing IoT and SC&amp;C, including, but not limited to, on issues related to emerging technologies and vertical industries (resolves i. SG20 1)</w:t>
            </w:r>
          </w:p>
        </w:tc>
        <w:tc>
          <w:tcPr>
            <w:tcW w:w="1335" w:type="dxa"/>
            <w:tcBorders>
              <w:top w:val="single" w:sz="12" w:space="0" w:color="auto"/>
              <w:bottom w:val="single" w:sz="2" w:space="0" w:color="auto"/>
            </w:tcBorders>
            <w:shd w:val="clear" w:color="auto" w:fill="auto"/>
            <w:vAlign w:val="center"/>
          </w:tcPr>
          <w:p w14:paraId="2A1A0B27" w14:textId="4045E49B" w:rsidR="005E0B71" w:rsidRPr="00073574" w:rsidRDefault="005E0B71" w:rsidP="005E0B71">
            <w:pPr>
              <w:pStyle w:val="Tabletext"/>
              <w:jc w:val="center"/>
              <w:rPr>
                <w:b/>
                <w:bCs/>
                <w:sz w:val="24"/>
                <w:szCs w:val="24"/>
              </w:rPr>
            </w:pPr>
            <w:r w:rsidRPr="00073574">
              <w:rPr>
                <w:b/>
                <w:bCs/>
                <w:sz w:val="24"/>
                <w:szCs w:val="24"/>
              </w:rPr>
              <w:t>Ongoing</w:t>
            </w:r>
          </w:p>
        </w:tc>
        <w:tc>
          <w:tcPr>
            <w:tcW w:w="1143" w:type="dxa"/>
            <w:tcBorders>
              <w:top w:val="single" w:sz="12" w:space="0" w:color="auto"/>
              <w:bottom w:val="single" w:sz="2" w:space="0" w:color="auto"/>
            </w:tcBorders>
            <w:shd w:val="clear" w:color="auto" w:fill="auto"/>
            <w:vAlign w:val="center"/>
          </w:tcPr>
          <w:p w14:paraId="442A9D00" w14:textId="545FE54D" w:rsidR="005E0B71" w:rsidRPr="00073574" w:rsidRDefault="005E0B71" w:rsidP="005E0B71">
            <w:pPr>
              <w:pStyle w:val="Tabletext"/>
              <w:jc w:val="center"/>
              <w:rPr>
                <w:b/>
                <w:bCs/>
                <w:sz w:val="24"/>
                <w:szCs w:val="24"/>
              </w:rPr>
            </w:pPr>
            <w:r w:rsidRPr="00073574">
              <w:rPr>
                <w:b/>
                <w:bCs/>
                <w:sz w:val="24"/>
                <w:szCs w:val="24"/>
              </w:rPr>
              <w:t>√</w:t>
            </w:r>
          </w:p>
        </w:tc>
        <w:tc>
          <w:tcPr>
            <w:tcW w:w="1336" w:type="dxa"/>
            <w:tcBorders>
              <w:top w:val="single" w:sz="12" w:space="0" w:color="auto"/>
              <w:bottom w:val="single" w:sz="2" w:space="0" w:color="auto"/>
            </w:tcBorders>
            <w:shd w:val="clear" w:color="auto" w:fill="auto"/>
            <w:vAlign w:val="center"/>
          </w:tcPr>
          <w:p w14:paraId="31D5EDEE" w14:textId="77777777" w:rsidR="005E0B71" w:rsidRPr="00073574" w:rsidRDefault="005E0B71" w:rsidP="005E0B71">
            <w:pPr>
              <w:pStyle w:val="Tabletext"/>
              <w:jc w:val="center"/>
              <w:rPr>
                <w:b/>
                <w:bCs/>
                <w:sz w:val="24"/>
                <w:szCs w:val="24"/>
              </w:rPr>
            </w:pPr>
          </w:p>
        </w:tc>
      </w:tr>
      <w:tr w:rsidR="007C4EA6" w:rsidRPr="00073574" w14:paraId="217BF218" w14:textId="77777777" w:rsidTr="7277BFE4">
        <w:tc>
          <w:tcPr>
            <w:tcW w:w="1130" w:type="dxa"/>
            <w:vMerge/>
          </w:tcPr>
          <w:p w14:paraId="115A9A81" w14:textId="77777777" w:rsidR="007C4EA6" w:rsidRPr="00073574" w:rsidRDefault="007C4EA6" w:rsidP="005E0B71">
            <w:pPr>
              <w:pStyle w:val="Tabletext"/>
              <w:rPr>
                <w:sz w:val="24"/>
                <w:szCs w:val="24"/>
              </w:rPr>
            </w:pPr>
          </w:p>
        </w:tc>
        <w:tc>
          <w:tcPr>
            <w:tcW w:w="8802" w:type="dxa"/>
            <w:gridSpan w:val="4"/>
            <w:tcBorders>
              <w:top w:val="single" w:sz="2" w:space="0" w:color="auto"/>
              <w:bottom w:val="single" w:sz="12" w:space="0" w:color="auto"/>
            </w:tcBorders>
            <w:shd w:val="clear" w:color="auto" w:fill="auto"/>
          </w:tcPr>
          <w:p w14:paraId="660BC82E" w14:textId="5CB406FF" w:rsidR="005E0B71" w:rsidRPr="00073574" w:rsidRDefault="0053741E" w:rsidP="00571A72">
            <w:pPr>
              <w:pStyle w:val="ListParagraph"/>
              <w:numPr>
                <w:ilvl w:val="0"/>
                <w:numId w:val="37"/>
              </w:numPr>
              <w:tabs>
                <w:tab w:val="left" w:pos="720"/>
              </w:tabs>
              <w:snapToGrid w:val="0"/>
              <w:spacing w:before="40" w:after="120"/>
              <w:contextualSpacing w:val="0"/>
            </w:pPr>
            <w:hyperlink r:id="rId867">
              <w:r w:rsidR="00D009A9" w:rsidRPr="00073574">
                <w:rPr>
                  <w:rStyle w:val="Hyperlink"/>
                </w:rPr>
                <w:t>SG</w:t>
              </w:r>
              <w:r w:rsidR="005E0B71" w:rsidRPr="00073574">
                <w:rPr>
                  <w:rStyle w:val="Hyperlink"/>
                </w:rPr>
                <w:t>20</w:t>
              </w:r>
            </w:hyperlink>
            <w:r w:rsidR="005E0B71" w:rsidRPr="00073574">
              <w:rPr>
                <w:color w:val="4F81BD" w:themeColor="accent1"/>
              </w:rPr>
              <w:t xml:space="preserve"> </w:t>
            </w:r>
            <w:r w:rsidR="005E0B71" w:rsidRPr="00073574">
              <w:t>continues to develop standards that leverage IoT technologies to address urban-development challenges. A key part of this study is the standardization of end-to-end architectures for IoT and mechanisms for the interoperability of IoT applications and datasets employed by various vertically oriented industry sectors.</w:t>
            </w:r>
          </w:p>
          <w:p w14:paraId="1AE07C3C" w14:textId="127BB28F" w:rsidR="00EE2401" w:rsidRPr="00073574" w:rsidRDefault="005E0B71" w:rsidP="00D44AD4">
            <w:pPr>
              <w:pStyle w:val="ListParagraph"/>
              <w:ind w:left="363"/>
              <w:rPr>
                <w:rFonts w:cstheme="minorHAnsi"/>
                <w:szCs w:val="22"/>
              </w:rPr>
            </w:pPr>
            <w:r w:rsidRPr="00073574">
              <w:rPr>
                <w:rFonts w:cstheme="minorHAnsi"/>
                <w:szCs w:val="22"/>
              </w:rPr>
              <w:t xml:space="preserve">SG20 has approved </w:t>
            </w:r>
            <w:r w:rsidR="000722CD" w:rsidRPr="00073574">
              <w:rPr>
                <w:rFonts w:cstheme="minorHAnsi"/>
                <w:szCs w:val="22"/>
              </w:rPr>
              <w:t>the following Recommendations</w:t>
            </w:r>
            <w:r w:rsidRPr="00073574">
              <w:rPr>
                <w:rFonts w:cstheme="minorHAnsi"/>
                <w:szCs w:val="22"/>
              </w:rPr>
              <w:t xml:space="preserve"> on IoT and SC&amp;C</w:t>
            </w:r>
            <w:r w:rsidR="00EA4BB0" w:rsidRPr="00073574">
              <w:rPr>
                <w:rFonts w:cstheme="minorHAnsi"/>
                <w:szCs w:val="22"/>
              </w:rPr>
              <w:t xml:space="preserve"> such as</w:t>
            </w:r>
            <w:r w:rsidR="00E31596" w:rsidRPr="00073574">
              <w:rPr>
                <w:rFonts w:cstheme="minorHAnsi"/>
                <w:szCs w:val="22"/>
              </w:rPr>
              <w:t>:</w:t>
            </w:r>
          </w:p>
          <w:p w14:paraId="167A7C53" w14:textId="77777777" w:rsidR="00F229CA" w:rsidRPr="00073574" w:rsidRDefault="00F229CA" w:rsidP="004319C7">
            <w:pPr>
              <w:pStyle w:val="ListParagraph"/>
              <w:numPr>
                <w:ilvl w:val="1"/>
                <w:numId w:val="37"/>
              </w:numPr>
              <w:contextualSpacing w:val="0"/>
              <w:rPr>
                <w:rFonts w:cstheme="minorBidi"/>
              </w:rPr>
            </w:pPr>
            <w:r w:rsidRPr="00073574">
              <w:rPr>
                <w:rFonts w:cstheme="minorBidi"/>
              </w:rPr>
              <w:t>ITU-T Y.4003 “Overview of smart manufacturing in the context of Industrial Internet of Things”;</w:t>
            </w:r>
          </w:p>
          <w:p w14:paraId="4E601D43" w14:textId="568B6F53" w:rsidR="00510D4A" w:rsidRPr="00073574" w:rsidRDefault="00510D4A" w:rsidP="004319C7">
            <w:pPr>
              <w:pStyle w:val="ListParagraph"/>
              <w:numPr>
                <w:ilvl w:val="1"/>
                <w:numId w:val="37"/>
              </w:numPr>
              <w:contextualSpacing w:val="0"/>
              <w:rPr>
                <w:rFonts w:cstheme="minorBidi"/>
              </w:rPr>
            </w:pPr>
            <w:r w:rsidRPr="00073574">
              <w:rPr>
                <w:rFonts w:cstheme="minorBidi"/>
              </w:rPr>
              <w:t>ITU-T Y.4004 “</w:t>
            </w:r>
            <w:r w:rsidR="003D3CAE" w:rsidRPr="00073574">
              <w:rPr>
                <w:rFonts w:cstheme="minorBidi"/>
              </w:rPr>
              <w:t>Overview of smart oceans and seas, and requirements for their ICT implementations</w:t>
            </w:r>
            <w:r w:rsidRPr="00073574">
              <w:rPr>
                <w:rFonts w:cstheme="minorBidi"/>
              </w:rPr>
              <w:t>”</w:t>
            </w:r>
            <w:r w:rsidR="003D3CAE" w:rsidRPr="00073574">
              <w:rPr>
                <w:rFonts w:cstheme="minorBidi"/>
              </w:rPr>
              <w:t>;</w:t>
            </w:r>
          </w:p>
          <w:p w14:paraId="5DD38513" w14:textId="77777777" w:rsidR="007F4B3B" w:rsidRPr="00073574" w:rsidRDefault="16181F34" w:rsidP="004319C7">
            <w:pPr>
              <w:pStyle w:val="ListParagraph"/>
              <w:numPr>
                <w:ilvl w:val="1"/>
                <w:numId w:val="37"/>
              </w:numPr>
              <w:contextualSpacing w:val="0"/>
              <w:rPr>
                <w:rFonts w:cstheme="minorBidi"/>
              </w:rPr>
            </w:pPr>
            <w:r w:rsidRPr="00073574">
              <w:rPr>
                <w:rFonts w:cstheme="minorBidi"/>
              </w:rPr>
              <w:t xml:space="preserve">ITU-T Y.4051 “Vocabulary for smart cities and communities”, </w:t>
            </w:r>
          </w:p>
          <w:p w14:paraId="74003877" w14:textId="1B3F1349" w:rsidR="00F229CA" w:rsidRPr="00073574" w:rsidRDefault="16181F34" w:rsidP="004319C7">
            <w:pPr>
              <w:pStyle w:val="ListParagraph"/>
              <w:numPr>
                <w:ilvl w:val="1"/>
                <w:numId w:val="37"/>
              </w:numPr>
              <w:contextualSpacing w:val="0"/>
              <w:rPr>
                <w:rFonts w:cstheme="minorBidi"/>
              </w:rPr>
            </w:pPr>
            <w:r w:rsidRPr="00073574">
              <w:rPr>
                <w:rFonts w:cstheme="minorBidi"/>
              </w:rPr>
              <w:t>ITU-T Y.4101 “Common requirements and capabilities of a gateway for Internet of Things applications“;</w:t>
            </w:r>
          </w:p>
          <w:p w14:paraId="49E2C226" w14:textId="77777777" w:rsidR="007F4B3B" w:rsidRPr="00073574" w:rsidRDefault="01D573E5" w:rsidP="004319C7">
            <w:pPr>
              <w:pStyle w:val="ListParagraph"/>
              <w:numPr>
                <w:ilvl w:val="1"/>
                <w:numId w:val="37"/>
              </w:numPr>
              <w:contextualSpacing w:val="0"/>
              <w:rPr>
                <w:rFonts w:cstheme="minorBidi"/>
              </w:rPr>
            </w:pPr>
            <w:r w:rsidRPr="00073574">
              <w:lastRenderedPageBreak/>
              <w:t>ITU-T Y.4101/Y.2067 “Common requirements and capabilities of a gateway for Internet of Things applications”;</w:t>
            </w:r>
          </w:p>
          <w:p w14:paraId="478335E6" w14:textId="3F5F6642" w:rsidR="00F229CA" w:rsidRPr="00073574" w:rsidRDefault="00F229CA" w:rsidP="004319C7">
            <w:pPr>
              <w:pStyle w:val="ListParagraph"/>
              <w:numPr>
                <w:ilvl w:val="1"/>
                <w:numId w:val="37"/>
              </w:numPr>
              <w:contextualSpacing w:val="0"/>
              <w:rPr>
                <w:rFonts w:cstheme="minorBidi"/>
              </w:rPr>
            </w:pPr>
            <w:r w:rsidRPr="00073574">
              <w:rPr>
                <w:rFonts w:cstheme="minorBidi"/>
              </w:rPr>
              <w:t>ITU-T Y.4113 “Requirements of the network for the Internet of Things”;</w:t>
            </w:r>
          </w:p>
          <w:p w14:paraId="0FB79E63" w14:textId="77777777" w:rsidR="00F229CA" w:rsidRPr="00073574" w:rsidRDefault="00F229CA" w:rsidP="004319C7">
            <w:pPr>
              <w:pStyle w:val="ListParagraph"/>
              <w:numPr>
                <w:ilvl w:val="1"/>
                <w:numId w:val="37"/>
              </w:numPr>
              <w:contextualSpacing w:val="0"/>
              <w:rPr>
                <w:rFonts w:cstheme="minorBidi"/>
              </w:rPr>
            </w:pPr>
            <w:r w:rsidRPr="00073574">
              <w:rPr>
                <w:rFonts w:cstheme="minorBidi"/>
              </w:rPr>
              <w:t>ITU-T Y.4114 “Specific requirements and capabilities of the IoT for Big Data”;</w:t>
            </w:r>
          </w:p>
          <w:p w14:paraId="1243E9AD" w14:textId="77777777" w:rsidR="00F229CA" w:rsidRPr="00073574" w:rsidRDefault="00F229CA" w:rsidP="004319C7">
            <w:pPr>
              <w:pStyle w:val="ListParagraph"/>
              <w:numPr>
                <w:ilvl w:val="1"/>
                <w:numId w:val="37"/>
              </w:numPr>
              <w:contextualSpacing w:val="0"/>
              <w:rPr>
                <w:rFonts w:cstheme="minorBidi"/>
              </w:rPr>
            </w:pPr>
            <w:r w:rsidRPr="00073574">
              <w:rPr>
                <w:rFonts w:cstheme="minorBidi"/>
              </w:rPr>
              <w:t>ITU-T Y.4115 “Reference architecture for IoT device capability exposure“;</w:t>
            </w:r>
          </w:p>
          <w:p w14:paraId="52683DAE" w14:textId="7ECA3806" w:rsidR="00F229CA" w:rsidRPr="00073574" w:rsidRDefault="00F229CA" w:rsidP="004319C7">
            <w:pPr>
              <w:pStyle w:val="ListParagraph"/>
              <w:numPr>
                <w:ilvl w:val="1"/>
                <w:numId w:val="37"/>
              </w:numPr>
              <w:contextualSpacing w:val="0"/>
              <w:rPr>
                <w:rFonts w:cstheme="minorBidi"/>
              </w:rPr>
            </w:pPr>
            <w:r w:rsidRPr="00073574">
              <w:rPr>
                <w:rFonts w:cstheme="minorBidi"/>
              </w:rPr>
              <w:t xml:space="preserve">ITU-T Y.4116 </w:t>
            </w:r>
            <w:r w:rsidR="007F4B3B" w:rsidRPr="00073574">
              <w:rPr>
                <w:rFonts w:cstheme="minorBidi"/>
              </w:rPr>
              <w:t>“</w:t>
            </w:r>
            <w:r w:rsidRPr="00073574">
              <w:rPr>
                <w:rFonts w:cstheme="minorBidi"/>
              </w:rPr>
              <w:t>Requirements of transportation safety service including use cases and service scenarios</w:t>
            </w:r>
            <w:r w:rsidR="007F4B3B" w:rsidRPr="00073574">
              <w:rPr>
                <w:rFonts w:cstheme="minorBidi"/>
              </w:rPr>
              <w:t>”</w:t>
            </w:r>
            <w:r w:rsidRPr="00073574">
              <w:rPr>
                <w:rFonts w:cstheme="minorBidi"/>
              </w:rPr>
              <w:t>;</w:t>
            </w:r>
          </w:p>
          <w:p w14:paraId="04132005" w14:textId="2ED429DA" w:rsidR="00F229CA" w:rsidRPr="00073574" w:rsidRDefault="00F229CA" w:rsidP="004319C7">
            <w:pPr>
              <w:pStyle w:val="ListParagraph"/>
              <w:numPr>
                <w:ilvl w:val="1"/>
                <w:numId w:val="37"/>
              </w:numPr>
              <w:contextualSpacing w:val="0"/>
              <w:rPr>
                <w:rFonts w:cstheme="minorBidi"/>
              </w:rPr>
            </w:pPr>
            <w:r w:rsidRPr="00073574">
              <w:rPr>
                <w:rFonts w:cstheme="minorBidi"/>
              </w:rPr>
              <w:t xml:space="preserve">ITU-T Y.4117 </w:t>
            </w:r>
            <w:r w:rsidR="007F4B3B" w:rsidRPr="00073574">
              <w:rPr>
                <w:rFonts w:cstheme="minorBidi"/>
              </w:rPr>
              <w:t>“</w:t>
            </w:r>
            <w:r w:rsidRPr="00073574">
              <w:rPr>
                <w:rFonts w:cstheme="minorBidi"/>
              </w:rPr>
              <w:t>Requirements and capabilities of Internet of Things for support of wearable devices and related services”;</w:t>
            </w:r>
          </w:p>
          <w:p w14:paraId="6CC01131" w14:textId="77777777" w:rsidR="00F229CA" w:rsidRPr="00073574" w:rsidRDefault="00F229CA" w:rsidP="004319C7">
            <w:pPr>
              <w:pStyle w:val="ListParagraph"/>
              <w:numPr>
                <w:ilvl w:val="1"/>
                <w:numId w:val="37"/>
              </w:numPr>
              <w:contextualSpacing w:val="0"/>
              <w:rPr>
                <w:rFonts w:cstheme="minorBidi"/>
              </w:rPr>
            </w:pPr>
            <w:r w:rsidRPr="00073574">
              <w:rPr>
                <w:rFonts w:cstheme="minorBidi"/>
              </w:rPr>
              <w:t>ITU-T Y.4118 “Internet of Things requirements and technical capabilities for support of accounting and charging”;</w:t>
            </w:r>
          </w:p>
          <w:p w14:paraId="1F60798B" w14:textId="77777777" w:rsidR="00F229CA" w:rsidRPr="00073574" w:rsidRDefault="00F229CA" w:rsidP="004319C7">
            <w:pPr>
              <w:pStyle w:val="ListParagraph"/>
              <w:numPr>
                <w:ilvl w:val="1"/>
                <w:numId w:val="37"/>
              </w:numPr>
              <w:contextualSpacing w:val="0"/>
              <w:rPr>
                <w:rFonts w:cstheme="minorBidi"/>
              </w:rPr>
            </w:pPr>
            <w:r w:rsidRPr="00073574">
              <w:rPr>
                <w:rFonts w:cstheme="minorBidi"/>
              </w:rPr>
              <w:t>ITU-T Y.4119 “Requirements and capability framework for IoT-based automotive emergency response system”;</w:t>
            </w:r>
          </w:p>
          <w:p w14:paraId="53237CF9" w14:textId="3A4B6BA6" w:rsidR="00F229CA" w:rsidRPr="00073574" w:rsidRDefault="00F229CA" w:rsidP="004319C7">
            <w:pPr>
              <w:pStyle w:val="ListParagraph"/>
              <w:numPr>
                <w:ilvl w:val="1"/>
                <w:numId w:val="37"/>
              </w:numPr>
              <w:contextualSpacing w:val="0"/>
              <w:rPr>
                <w:rFonts w:cstheme="minorBidi"/>
              </w:rPr>
            </w:pPr>
            <w:r w:rsidRPr="00073574">
              <w:rPr>
                <w:rFonts w:cstheme="minorBidi"/>
              </w:rPr>
              <w:t xml:space="preserve">ITU-T Y.4120 </w:t>
            </w:r>
            <w:r w:rsidR="007F4B3B" w:rsidRPr="00073574">
              <w:rPr>
                <w:rFonts w:cstheme="minorBidi"/>
              </w:rPr>
              <w:t>“</w:t>
            </w:r>
            <w:r w:rsidRPr="00073574">
              <w:rPr>
                <w:rFonts w:cstheme="minorBidi"/>
              </w:rPr>
              <w:t>Requirements of Internet of Things applications for smart retail stores</w:t>
            </w:r>
            <w:r w:rsidR="007F4B3B" w:rsidRPr="00073574">
              <w:rPr>
                <w:rFonts w:cstheme="minorBidi"/>
              </w:rPr>
              <w:t>”</w:t>
            </w:r>
            <w:r w:rsidRPr="00073574">
              <w:rPr>
                <w:rFonts w:cstheme="minorBidi"/>
              </w:rPr>
              <w:t>;</w:t>
            </w:r>
          </w:p>
          <w:p w14:paraId="137E2E22" w14:textId="591A77CD" w:rsidR="00F229CA" w:rsidRPr="00073574" w:rsidRDefault="00F229CA" w:rsidP="004319C7">
            <w:pPr>
              <w:pStyle w:val="ListParagraph"/>
              <w:numPr>
                <w:ilvl w:val="1"/>
                <w:numId w:val="37"/>
              </w:numPr>
              <w:contextualSpacing w:val="0"/>
              <w:rPr>
                <w:rFonts w:cstheme="minorBidi"/>
              </w:rPr>
            </w:pPr>
            <w:r w:rsidRPr="00073574">
              <w:rPr>
                <w:rFonts w:cstheme="minorBidi"/>
              </w:rPr>
              <w:t xml:space="preserve">ITU-T Y.4121 </w:t>
            </w:r>
            <w:r w:rsidR="007F4B3B" w:rsidRPr="00073574">
              <w:rPr>
                <w:rFonts w:cstheme="minorBidi"/>
              </w:rPr>
              <w:t>“</w:t>
            </w:r>
            <w:r w:rsidRPr="00073574">
              <w:rPr>
                <w:rFonts w:cstheme="minorBidi"/>
              </w:rPr>
              <w:t>Requirements of an Internet of Things enabled network for support of applications for global processes of the earth</w:t>
            </w:r>
            <w:r w:rsidR="007F4B3B" w:rsidRPr="00073574">
              <w:rPr>
                <w:rFonts w:cstheme="minorBidi"/>
              </w:rPr>
              <w:t>”</w:t>
            </w:r>
            <w:r w:rsidRPr="00073574">
              <w:rPr>
                <w:rFonts w:cstheme="minorBidi"/>
              </w:rPr>
              <w:t>;</w:t>
            </w:r>
          </w:p>
          <w:p w14:paraId="768B0A31" w14:textId="32D2EE88" w:rsidR="00F53556" w:rsidRPr="00073574" w:rsidRDefault="00F53556" w:rsidP="004319C7">
            <w:pPr>
              <w:pStyle w:val="ListParagraph"/>
              <w:numPr>
                <w:ilvl w:val="1"/>
                <w:numId w:val="37"/>
              </w:numPr>
              <w:contextualSpacing w:val="0"/>
              <w:rPr>
                <w:rFonts w:cstheme="minorBidi"/>
              </w:rPr>
            </w:pPr>
            <w:r w:rsidRPr="00073574">
              <w:rPr>
                <w:rFonts w:cstheme="minorBidi"/>
              </w:rPr>
              <w:t>ITU-T Y.4122 “Requirements and capability framework of edge computing-enabled gateway in the IoT”;</w:t>
            </w:r>
          </w:p>
          <w:p w14:paraId="6ABC8160" w14:textId="77777777" w:rsidR="00F229CA" w:rsidRPr="00073574" w:rsidRDefault="00F229CA" w:rsidP="004319C7">
            <w:pPr>
              <w:pStyle w:val="ListParagraph"/>
              <w:numPr>
                <w:ilvl w:val="1"/>
                <w:numId w:val="37"/>
              </w:numPr>
              <w:contextualSpacing w:val="0"/>
              <w:rPr>
                <w:rFonts w:cstheme="minorBidi"/>
              </w:rPr>
            </w:pPr>
            <w:r w:rsidRPr="00073574">
              <w:rPr>
                <w:rFonts w:cstheme="minorBidi"/>
              </w:rPr>
              <w:t>ITU-T Y.4200 “Requirements for interoperability of smart city platforms”;</w:t>
            </w:r>
          </w:p>
          <w:p w14:paraId="5CBC3476" w14:textId="77777777" w:rsidR="00F229CA" w:rsidRPr="00073574" w:rsidRDefault="00F229CA" w:rsidP="004319C7">
            <w:pPr>
              <w:pStyle w:val="ListParagraph"/>
              <w:numPr>
                <w:ilvl w:val="1"/>
                <w:numId w:val="37"/>
              </w:numPr>
              <w:contextualSpacing w:val="0"/>
              <w:rPr>
                <w:rFonts w:cstheme="minorBidi"/>
              </w:rPr>
            </w:pPr>
            <w:r w:rsidRPr="00073574">
              <w:rPr>
                <w:rFonts w:cstheme="minorBidi"/>
              </w:rPr>
              <w:t>ITU-T Y.4201 “High-level requirements and reference framework of smart city platform”;</w:t>
            </w:r>
          </w:p>
          <w:p w14:paraId="3B3584FC" w14:textId="77777777" w:rsidR="00F229CA" w:rsidRPr="00073574" w:rsidRDefault="00F229CA" w:rsidP="004319C7">
            <w:pPr>
              <w:pStyle w:val="ListParagraph"/>
              <w:numPr>
                <w:ilvl w:val="1"/>
                <w:numId w:val="37"/>
              </w:numPr>
              <w:contextualSpacing w:val="0"/>
              <w:rPr>
                <w:rFonts w:cstheme="minorBidi"/>
              </w:rPr>
            </w:pPr>
            <w:r w:rsidRPr="00073574">
              <w:rPr>
                <w:rFonts w:cstheme="minorBidi"/>
              </w:rPr>
              <w:t>ITU-T Y.4202 “Framework of wireless power transmission application service”;</w:t>
            </w:r>
          </w:p>
          <w:p w14:paraId="0F3B8387" w14:textId="77777777" w:rsidR="00F229CA" w:rsidRPr="00073574" w:rsidRDefault="00F229CA" w:rsidP="004319C7">
            <w:pPr>
              <w:pStyle w:val="ListParagraph"/>
              <w:numPr>
                <w:ilvl w:val="1"/>
                <w:numId w:val="37"/>
              </w:numPr>
              <w:contextualSpacing w:val="0"/>
              <w:rPr>
                <w:rFonts w:cstheme="minorBidi"/>
              </w:rPr>
            </w:pPr>
            <w:r w:rsidRPr="00073574">
              <w:rPr>
                <w:rFonts w:cstheme="minorBidi"/>
              </w:rPr>
              <w:t>ITU-T Y.4203 “Requirements of things description in the Internet of Things”;</w:t>
            </w:r>
          </w:p>
          <w:p w14:paraId="79318C8F" w14:textId="77777777" w:rsidR="00F229CA" w:rsidRPr="00073574" w:rsidRDefault="00F229CA" w:rsidP="004319C7">
            <w:pPr>
              <w:pStyle w:val="ListParagraph"/>
              <w:numPr>
                <w:ilvl w:val="1"/>
                <w:numId w:val="37"/>
              </w:numPr>
              <w:contextualSpacing w:val="0"/>
              <w:rPr>
                <w:rFonts w:cstheme="minorBidi"/>
              </w:rPr>
            </w:pPr>
            <w:r w:rsidRPr="00073574">
              <w:rPr>
                <w:rFonts w:cstheme="minorBidi"/>
              </w:rPr>
              <w:t>ITU-T Y.4204 “Accessibility requirements for the Internet of things applications and services”;</w:t>
            </w:r>
          </w:p>
          <w:p w14:paraId="7CEA44D4" w14:textId="77777777" w:rsidR="00F229CA" w:rsidRPr="00073574" w:rsidRDefault="00F229CA" w:rsidP="004319C7">
            <w:pPr>
              <w:pStyle w:val="ListParagraph"/>
              <w:numPr>
                <w:ilvl w:val="1"/>
                <w:numId w:val="37"/>
              </w:numPr>
              <w:contextualSpacing w:val="0"/>
              <w:rPr>
                <w:rFonts w:cstheme="minorBidi"/>
              </w:rPr>
            </w:pPr>
            <w:r w:rsidRPr="00073574">
              <w:rPr>
                <w:rFonts w:cstheme="minorBidi"/>
              </w:rPr>
              <w:t>ITU-T Y.4205 “Requirements and reference model of IoT-related crowdsourced systems”;</w:t>
            </w:r>
          </w:p>
          <w:p w14:paraId="425F7506" w14:textId="77777777" w:rsidR="00F229CA" w:rsidRPr="00073574" w:rsidRDefault="00F229CA" w:rsidP="004319C7">
            <w:pPr>
              <w:pStyle w:val="ListParagraph"/>
              <w:numPr>
                <w:ilvl w:val="1"/>
                <w:numId w:val="37"/>
              </w:numPr>
              <w:contextualSpacing w:val="0"/>
              <w:rPr>
                <w:rFonts w:cstheme="minorBidi"/>
              </w:rPr>
            </w:pPr>
            <w:r w:rsidRPr="00073574">
              <w:rPr>
                <w:rFonts w:cstheme="minorBidi"/>
              </w:rPr>
              <w:t>ITU-T Y.4206 “Requirements and capabilities of user-centric work space service”;</w:t>
            </w:r>
          </w:p>
          <w:p w14:paraId="63193255" w14:textId="77777777" w:rsidR="00F229CA" w:rsidRPr="00073574" w:rsidRDefault="00F229CA" w:rsidP="004319C7">
            <w:pPr>
              <w:pStyle w:val="ListParagraph"/>
              <w:numPr>
                <w:ilvl w:val="1"/>
                <w:numId w:val="37"/>
              </w:numPr>
              <w:contextualSpacing w:val="0"/>
              <w:rPr>
                <w:rFonts w:cstheme="minorBidi"/>
              </w:rPr>
            </w:pPr>
            <w:r w:rsidRPr="00073574">
              <w:rPr>
                <w:rFonts w:cstheme="minorBidi"/>
              </w:rPr>
              <w:t>ITU-T Y.4207 “Requirements and capability framework of Smart Environmental Monitoring”;</w:t>
            </w:r>
          </w:p>
          <w:p w14:paraId="58ACC7D6" w14:textId="77777777" w:rsidR="00F229CA" w:rsidRPr="00073574" w:rsidRDefault="16181F34" w:rsidP="004319C7">
            <w:pPr>
              <w:pStyle w:val="ListParagraph"/>
              <w:numPr>
                <w:ilvl w:val="1"/>
                <w:numId w:val="37"/>
              </w:numPr>
              <w:contextualSpacing w:val="0"/>
              <w:rPr>
                <w:rFonts w:cstheme="minorBidi"/>
              </w:rPr>
            </w:pPr>
            <w:r w:rsidRPr="00073574">
              <w:rPr>
                <w:rFonts w:cstheme="minorBidi"/>
              </w:rPr>
              <w:t>ITU-T Y.4208 “IoT requirements for support of edge computing”;</w:t>
            </w:r>
          </w:p>
          <w:p w14:paraId="6481119D" w14:textId="15D7F28A" w:rsidR="2E3FE59A" w:rsidRPr="00073574" w:rsidRDefault="2E3FE59A" w:rsidP="004319C7">
            <w:pPr>
              <w:pStyle w:val="ListParagraph"/>
              <w:numPr>
                <w:ilvl w:val="1"/>
                <w:numId w:val="37"/>
              </w:numPr>
              <w:contextualSpacing w:val="0"/>
              <w:rPr>
                <w:rFonts w:eastAsia="Times New Roman"/>
              </w:rPr>
            </w:pPr>
            <w:r w:rsidRPr="00073574">
              <w:t>ITU-T Y.4209 “Requirements for interoperation of the smart port with the smart city”;</w:t>
            </w:r>
          </w:p>
          <w:p w14:paraId="799D8705" w14:textId="26940A73" w:rsidR="2E3FE59A" w:rsidRPr="00073574" w:rsidRDefault="2E3FE59A" w:rsidP="004319C7">
            <w:pPr>
              <w:pStyle w:val="ListParagraph"/>
              <w:numPr>
                <w:ilvl w:val="1"/>
                <w:numId w:val="37"/>
              </w:numPr>
              <w:contextualSpacing w:val="0"/>
              <w:rPr>
                <w:rFonts w:asciiTheme="minorHAnsi" w:hAnsiTheme="minorHAnsi" w:cstheme="minorBidi"/>
              </w:rPr>
            </w:pPr>
            <w:r w:rsidRPr="00073574">
              <w:t>ITU-T Y.4210 “Requirements and use cases for universal communication module of mobile IoT devices”;</w:t>
            </w:r>
          </w:p>
          <w:p w14:paraId="2ED915C6" w14:textId="0E224572" w:rsidR="0051430A" w:rsidRPr="00073574" w:rsidRDefault="0051430A" w:rsidP="004319C7">
            <w:pPr>
              <w:pStyle w:val="ListParagraph"/>
              <w:numPr>
                <w:ilvl w:val="1"/>
                <w:numId w:val="37"/>
              </w:numPr>
              <w:contextualSpacing w:val="0"/>
            </w:pPr>
            <w:r w:rsidRPr="00073574">
              <w:t>ITU-T Y.4211 “Accessibility requirements for smart public transportation services”;</w:t>
            </w:r>
          </w:p>
          <w:p w14:paraId="7B7C5DA6" w14:textId="15225FE9" w:rsidR="00B438D4" w:rsidRPr="00073574" w:rsidRDefault="00B438D4" w:rsidP="004319C7">
            <w:pPr>
              <w:pStyle w:val="ListParagraph"/>
              <w:numPr>
                <w:ilvl w:val="1"/>
                <w:numId w:val="37"/>
              </w:numPr>
              <w:contextualSpacing w:val="0"/>
            </w:pPr>
            <w:r w:rsidRPr="00073574">
              <w:t>ITU-T Y.4212 “</w:t>
            </w:r>
            <w:r w:rsidR="00BF5E65" w:rsidRPr="00073574">
              <w:t>Requirements and capabilities of network connectivity management in the Internet of things</w:t>
            </w:r>
            <w:r w:rsidRPr="00073574">
              <w:t>”;</w:t>
            </w:r>
          </w:p>
          <w:p w14:paraId="75E9B9B1" w14:textId="59FFA877" w:rsidR="000229AD" w:rsidRPr="00073574" w:rsidRDefault="000229AD" w:rsidP="004319C7">
            <w:pPr>
              <w:pStyle w:val="ListParagraph"/>
              <w:numPr>
                <w:ilvl w:val="1"/>
                <w:numId w:val="37"/>
              </w:numPr>
              <w:contextualSpacing w:val="0"/>
            </w:pPr>
            <w:r w:rsidRPr="00073574">
              <w:t>ITU-T Y.4213</w:t>
            </w:r>
            <w:r w:rsidR="0017765D" w:rsidRPr="00073574">
              <w:t xml:space="preserve"> “IoT requirements and capability framework for monitoring physical city assets”;</w:t>
            </w:r>
          </w:p>
          <w:p w14:paraId="777B383A" w14:textId="3E5D1825" w:rsidR="00F229CA" w:rsidRPr="00073574" w:rsidRDefault="00F229CA" w:rsidP="004319C7">
            <w:pPr>
              <w:pStyle w:val="ListParagraph"/>
              <w:numPr>
                <w:ilvl w:val="1"/>
                <w:numId w:val="37"/>
              </w:numPr>
              <w:contextualSpacing w:val="0"/>
              <w:rPr>
                <w:rFonts w:cstheme="minorBidi"/>
              </w:rPr>
            </w:pPr>
            <w:r w:rsidRPr="00073574">
              <w:rPr>
                <w:rFonts w:cstheme="minorBidi"/>
              </w:rPr>
              <w:t xml:space="preserve">ITU-T Y.4415 </w:t>
            </w:r>
            <w:r w:rsidR="007F4B3B" w:rsidRPr="00073574">
              <w:rPr>
                <w:rFonts w:cstheme="minorBidi"/>
              </w:rPr>
              <w:t>“</w:t>
            </w:r>
            <w:r w:rsidRPr="00073574">
              <w:rPr>
                <w:rFonts w:cstheme="minorBidi"/>
              </w:rPr>
              <w:t>Architecture of web of objects based virtual home network</w:t>
            </w:r>
            <w:r w:rsidR="007F4B3B" w:rsidRPr="00073574">
              <w:rPr>
                <w:rFonts w:cstheme="minorBidi"/>
              </w:rPr>
              <w:t>”</w:t>
            </w:r>
            <w:r w:rsidRPr="00073574">
              <w:rPr>
                <w:rFonts w:cstheme="minorBidi"/>
              </w:rPr>
              <w:t>;</w:t>
            </w:r>
          </w:p>
          <w:p w14:paraId="4D2900F5" w14:textId="427508C8" w:rsidR="00F229CA" w:rsidRPr="00073574" w:rsidRDefault="00F229CA" w:rsidP="004319C7">
            <w:pPr>
              <w:pStyle w:val="ListParagraph"/>
              <w:numPr>
                <w:ilvl w:val="1"/>
                <w:numId w:val="37"/>
              </w:numPr>
              <w:contextualSpacing w:val="0"/>
              <w:rPr>
                <w:rFonts w:cstheme="minorBidi"/>
              </w:rPr>
            </w:pPr>
            <w:r w:rsidRPr="00073574">
              <w:rPr>
                <w:rFonts w:cstheme="minorBidi"/>
              </w:rPr>
              <w:lastRenderedPageBreak/>
              <w:t xml:space="preserve">ITU-T Y.4416 </w:t>
            </w:r>
            <w:r w:rsidR="007F4B3B" w:rsidRPr="00073574">
              <w:rPr>
                <w:rFonts w:cstheme="minorBidi"/>
              </w:rPr>
              <w:t>“</w:t>
            </w:r>
            <w:r w:rsidRPr="00073574">
              <w:rPr>
                <w:rFonts w:cstheme="minorBidi"/>
              </w:rPr>
              <w:t>Architecture of the Internet of Things based on NGNe</w:t>
            </w:r>
            <w:r w:rsidR="007F4B3B" w:rsidRPr="00073574">
              <w:rPr>
                <w:rFonts w:cstheme="minorBidi"/>
              </w:rPr>
              <w:t>”</w:t>
            </w:r>
            <w:r w:rsidRPr="00073574">
              <w:rPr>
                <w:rFonts w:cstheme="minorBidi"/>
              </w:rPr>
              <w:t>;</w:t>
            </w:r>
          </w:p>
          <w:p w14:paraId="39168275" w14:textId="60CAF5A3" w:rsidR="00F229CA" w:rsidRPr="00073574" w:rsidRDefault="00F229CA" w:rsidP="004319C7">
            <w:pPr>
              <w:pStyle w:val="ListParagraph"/>
              <w:numPr>
                <w:ilvl w:val="1"/>
                <w:numId w:val="37"/>
              </w:numPr>
              <w:contextualSpacing w:val="0"/>
              <w:rPr>
                <w:rFonts w:cstheme="minorBidi"/>
              </w:rPr>
            </w:pPr>
            <w:r w:rsidRPr="00073574">
              <w:rPr>
                <w:rFonts w:cstheme="minorBidi"/>
              </w:rPr>
              <w:t xml:space="preserve">ITU-T Y.4417 </w:t>
            </w:r>
            <w:r w:rsidR="007F4B3B" w:rsidRPr="00073574">
              <w:rPr>
                <w:rFonts w:cstheme="minorBidi"/>
              </w:rPr>
              <w:t>“</w:t>
            </w:r>
            <w:r w:rsidRPr="00073574">
              <w:rPr>
                <w:rFonts w:cstheme="minorBidi"/>
              </w:rPr>
              <w:t>Framework of self-organization network in the IoT environments</w:t>
            </w:r>
            <w:r w:rsidR="007F4B3B" w:rsidRPr="00073574">
              <w:rPr>
                <w:rFonts w:cstheme="minorBidi"/>
              </w:rPr>
              <w:t>”</w:t>
            </w:r>
            <w:r w:rsidRPr="00073574">
              <w:rPr>
                <w:rFonts w:cstheme="minorBidi"/>
              </w:rPr>
              <w:t>;</w:t>
            </w:r>
          </w:p>
          <w:p w14:paraId="2F9798F9" w14:textId="223F48AC" w:rsidR="00F229CA" w:rsidRPr="00073574" w:rsidRDefault="00F229CA" w:rsidP="004319C7">
            <w:pPr>
              <w:pStyle w:val="ListParagraph"/>
              <w:numPr>
                <w:ilvl w:val="1"/>
                <w:numId w:val="37"/>
              </w:numPr>
              <w:contextualSpacing w:val="0"/>
              <w:rPr>
                <w:rFonts w:cstheme="minorBidi"/>
              </w:rPr>
            </w:pPr>
            <w:r w:rsidRPr="00073574">
              <w:rPr>
                <w:rFonts w:cstheme="minorBidi"/>
              </w:rPr>
              <w:t xml:space="preserve">ITU-T Y.4418 </w:t>
            </w:r>
            <w:r w:rsidR="007F4B3B" w:rsidRPr="00073574">
              <w:rPr>
                <w:rFonts w:cstheme="minorBidi"/>
              </w:rPr>
              <w:t>“</w:t>
            </w:r>
            <w:r w:rsidRPr="00073574">
              <w:rPr>
                <w:rFonts w:cstheme="minorBidi"/>
              </w:rPr>
              <w:t>Functional architecture of gateway for IoT applications</w:t>
            </w:r>
            <w:r w:rsidR="007F4B3B" w:rsidRPr="00073574">
              <w:rPr>
                <w:rFonts w:cstheme="minorBidi"/>
              </w:rPr>
              <w:t>”</w:t>
            </w:r>
            <w:r w:rsidRPr="00073574">
              <w:rPr>
                <w:rFonts w:cstheme="minorBidi"/>
              </w:rPr>
              <w:t>;</w:t>
            </w:r>
          </w:p>
          <w:p w14:paraId="551F95AA" w14:textId="0DF1BE68" w:rsidR="00F80993" w:rsidRPr="00073574" w:rsidRDefault="00F80993" w:rsidP="004319C7">
            <w:pPr>
              <w:pStyle w:val="ListParagraph"/>
              <w:numPr>
                <w:ilvl w:val="1"/>
                <w:numId w:val="37"/>
              </w:numPr>
              <w:contextualSpacing w:val="0"/>
            </w:pPr>
            <w:r w:rsidRPr="00073574">
              <w:t>ITU-T Y.4419 “Requirements and Capability Framework of Smart Utility Metering (SUM)”;</w:t>
            </w:r>
          </w:p>
          <w:p w14:paraId="37BD909F" w14:textId="53CED997" w:rsidR="00F80993" w:rsidRPr="00073574" w:rsidRDefault="00F80993" w:rsidP="004319C7">
            <w:pPr>
              <w:pStyle w:val="ListParagraph"/>
              <w:numPr>
                <w:ilvl w:val="1"/>
                <w:numId w:val="37"/>
              </w:numPr>
              <w:contextualSpacing w:val="0"/>
            </w:pPr>
            <w:r w:rsidRPr="00073574">
              <w:t>ITU-T Y.4420 “Framework of IoT based monitoring and management for Lift”;</w:t>
            </w:r>
          </w:p>
          <w:p w14:paraId="0BD1926E" w14:textId="11845DA0" w:rsidR="001911CD" w:rsidRPr="00073574" w:rsidRDefault="001911CD" w:rsidP="004319C7">
            <w:pPr>
              <w:pStyle w:val="ListParagraph"/>
              <w:numPr>
                <w:ilvl w:val="1"/>
                <w:numId w:val="37"/>
              </w:numPr>
              <w:contextualSpacing w:val="0"/>
            </w:pPr>
            <w:r w:rsidRPr="00073574">
              <w:t>ITU-T Y.4421 “</w:t>
            </w:r>
            <w:r w:rsidR="000D3849" w:rsidRPr="00073574">
              <w:t>Functional architecture for unmanned aerial vehicles and unmanned aerial vehicle controllers using IMT-2020 networks</w:t>
            </w:r>
            <w:r w:rsidRPr="00073574">
              <w:t>”;</w:t>
            </w:r>
          </w:p>
          <w:p w14:paraId="65D45375" w14:textId="77777777" w:rsidR="00F229CA" w:rsidRPr="00073574" w:rsidRDefault="00F229CA" w:rsidP="004319C7">
            <w:pPr>
              <w:pStyle w:val="ListParagraph"/>
              <w:numPr>
                <w:ilvl w:val="1"/>
                <w:numId w:val="37"/>
              </w:numPr>
              <w:contextualSpacing w:val="0"/>
              <w:rPr>
                <w:rFonts w:cstheme="minorBidi"/>
              </w:rPr>
            </w:pPr>
            <w:r w:rsidRPr="00073574">
              <w:rPr>
                <w:rFonts w:cstheme="minorBidi"/>
              </w:rPr>
              <w:t>ITU-T Y.4451 “Framework of constrained device networking in the IoT environments”;</w:t>
            </w:r>
          </w:p>
          <w:p w14:paraId="1D92A8E4" w14:textId="77777777" w:rsidR="00F229CA" w:rsidRPr="00073574" w:rsidRDefault="00F229CA" w:rsidP="004319C7">
            <w:pPr>
              <w:pStyle w:val="ListParagraph"/>
              <w:numPr>
                <w:ilvl w:val="1"/>
                <w:numId w:val="37"/>
              </w:numPr>
              <w:contextualSpacing w:val="0"/>
              <w:rPr>
                <w:rFonts w:cstheme="minorBidi"/>
              </w:rPr>
            </w:pPr>
            <w:r w:rsidRPr="00073574">
              <w:rPr>
                <w:rFonts w:cstheme="minorBidi"/>
              </w:rPr>
              <w:t>ITU-T Y.4452 “Functional framework of Web of Objects”;</w:t>
            </w:r>
          </w:p>
          <w:p w14:paraId="1E65F032" w14:textId="77777777" w:rsidR="00F229CA" w:rsidRPr="00073574" w:rsidRDefault="00F229CA" w:rsidP="004319C7">
            <w:pPr>
              <w:pStyle w:val="ListParagraph"/>
              <w:numPr>
                <w:ilvl w:val="1"/>
                <w:numId w:val="37"/>
              </w:numPr>
              <w:contextualSpacing w:val="0"/>
              <w:rPr>
                <w:rFonts w:cstheme="minorBidi"/>
              </w:rPr>
            </w:pPr>
            <w:r w:rsidRPr="00073574">
              <w:rPr>
                <w:rFonts w:cstheme="minorBidi"/>
              </w:rPr>
              <w:t>ITU-T Y.4453 “Adaptive software framework for IoT devices”;</w:t>
            </w:r>
          </w:p>
          <w:p w14:paraId="47BC7EF0" w14:textId="77777777" w:rsidR="00F229CA" w:rsidRPr="00073574" w:rsidRDefault="00F229CA" w:rsidP="004319C7">
            <w:pPr>
              <w:pStyle w:val="ListParagraph"/>
              <w:numPr>
                <w:ilvl w:val="1"/>
                <w:numId w:val="37"/>
              </w:numPr>
              <w:contextualSpacing w:val="0"/>
              <w:rPr>
                <w:rFonts w:cstheme="minorBidi"/>
              </w:rPr>
            </w:pPr>
            <w:r w:rsidRPr="00073574">
              <w:rPr>
                <w:rFonts w:cstheme="minorBidi"/>
              </w:rPr>
              <w:t>ITU-T Y.4455 "Reference architecture for IoT network service capability exposure“;</w:t>
            </w:r>
          </w:p>
          <w:p w14:paraId="255E8FAF" w14:textId="77777777" w:rsidR="00F229CA" w:rsidRPr="00073574" w:rsidRDefault="00F229CA" w:rsidP="004319C7">
            <w:pPr>
              <w:pStyle w:val="ListParagraph"/>
              <w:numPr>
                <w:ilvl w:val="1"/>
                <w:numId w:val="37"/>
              </w:numPr>
              <w:contextualSpacing w:val="0"/>
              <w:rPr>
                <w:rFonts w:cstheme="minorBidi"/>
              </w:rPr>
            </w:pPr>
            <w:r w:rsidRPr="00073574">
              <w:rPr>
                <w:rFonts w:cstheme="minorBidi"/>
              </w:rPr>
              <w:t>ITU-T Y.4456 “Requirements and Functional Architecture for Smart Parking Lot in Smart City”;</w:t>
            </w:r>
          </w:p>
          <w:p w14:paraId="37BB05E4" w14:textId="057A03B1" w:rsidR="00F229CA" w:rsidRPr="00073574" w:rsidRDefault="00F229CA" w:rsidP="004319C7">
            <w:pPr>
              <w:pStyle w:val="ListParagraph"/>
              <w:numPr>
                <w:ilvl w:val="1"/>
                <w:numId w:val="37"/>
              </w:numPr>
              <w:contextualSpacing w:val="0"/>
              <w:rPr>
                <w:rFonts w:cstheme="minorBidi"/>
              </w:rPr>
            </w:pPr>
            <w:r w:rsidRPr="00073574">
              <w:rPr>
                <w:rFonts w:cstheme="minorBidi"/>
              </w:rPr>
              <w:t xml:space="preserve">ITU-T Y.4457 </w:t>
            </w:r>
            <w:r w:rsidR="007F4B3B" w:rsidRPr="00073574">
              <w:rPr>
                <w:rFonts w:cstheme="minorBidi"/>
              </w:rPr>
              <w:t>“</w:t>
            </w:r>
            <w:r w:rsidRPr="00073574">
              <w:rPr>
                <w:rFonts w:cstheme="minorBidi"/>
              </w:rPr>
              <w:t>Architectural framework for transportation safety services</w:t>
            </w:r>
            <w:r w:rsidR="007F4B3B" w:rsidRPr="00073574">
              <w:rPr>
                <w:rFonts w:cstheme="minorBidi"/>
              </w:rPr>
              <w:t>”</w:t>
            </w:r>
            <w:r w:rsidRPr="00073574">
              <w:rPr>
                <w:rFonts w:cstheme="minorBidi"/>
              </w:rPr>
              <w:t>;</w:t>
            </w:r>
          </w:p>
          <w:p w14:paraId="0291F2DF" w14:textId="7025AD32" w:rsidR="00F229CA" w:rsidRPr="00073574" w:rsidRDefault="00F229CA" w:rsidP="004319C7">
            <w:pPr>
              <w:pStyle w:val="ListParagraph"/>
              <w:numPr>
                <w:ilvl w:val="1"/>
                <w:numId w:val="37"/>
              </w:numPr>
              <w:contextualSpacing w:val="0"/>
              <w:rPr>
                <w:rFonts w:cstheme="minorBidi"/>
              </w:rPr>
            </w:pPr>
            <w:r w:rsidRPr="00073574">
              <w:rPr>
                <w:rFonts w:cstheme="minorBidi"/>
              </w:rPr>
              <w:t>ITU-T Y.4458 “Requirements and functional architecture of smart street light service”;</w:t>
            </w:r>
          </w:p>
          <w:p w14:paraId="341EFA41" w14:textId="77777777" w:rsidR="00F229CA" w:rsidRPr="00073574" w:rsidRDefault="00F229CA" w:rsidP="004319C7">
            <w:pPr>
              <w:pStyle w:val="ListParagraph"/>
              <w:numPr>
                <w:ilvl w:val="1"/>
                <w:numId w:val="37"/>
              </w:numPr>
              <w:contextualSpacing w:val="0"/>
              <w:rPr>
                <w:rFonts w:cstheme="minorBidi"/>
              </w:rPr>
            </w:pPr>
            <w:r w:rsidRPr="00073574">
              <w:rPr>
                <w:rFonts w:cstheme="minorBidi"/>
              </w:rPr>
              <w:t>ITU-T Y.4459 “Digital entity architecture framework for IoT interoperability”;</w:t>
            </w:r>
          </w:p>
          <w:p w14:paraId="23734DA9" w14:textId="77777777" w:rsidR="00F229CA" w:rsidRPr="00073574" w:rsidRDefault="00F229CA" w:rsidP="004319C7">
            <w:pPr>
              <w:pStyle w:val="ListParagraph"/>
              <w:numPr>
                <w:ilvl w:val="1"/>
                <w:numId w:val="37"/>
              </w:numPr>
              <w:contextualSpacing w:val="0"/>
              <w:rPr>
                <w:rFonts w:cstheme="minorBidi"/>
              </w:rPr>
            </w:pPr>
            <w:r w:rsidRPr="00073574">
              <w:rPr>
                <w:rFonts w:cstheme="minorBidi"/>
              </w:rPr>
              <w:t>ITU-T Y.4460 “Architectural reference model of devices for IoT applications”;</w:t>
            </w:r>
          </w:p>
          <w:p w14:paraId="1976FFCC" w14:textId="77777777" w:rsidR="00F229CA" w:rsidRPr="00073574" w:rsidRDefault="00F229CA" w:rsidP="004319C7">
            <w:pPr>
              <w:pStyle w:val="ListParagraph"/>
              <w:numPr>
                <w:ilvl w:val="1"/>
                <w:numId w:val="37"/>
              </w:numPr>
              <w:contextualSpacing w:val="0"/>
              <w:rPr>
                <w:rFonts w:cstheme="minorBidi"/>
              </w:rPr>
            </w:pPr>
            <w:r w:rsidRPr="00073574">
              <w:rPr>
                <w:rFonts w:cstheme="minorBidi"/>
              </w:rPr>
              <w:t>ITU-T Y.4461 “Framework of open data in smart cities”;</w:t>
            </w:r>
          </w:p>
          <w:p w14:paraId="053FFFD1" w14:textId="77777777" w:rsidR="00F229CA" w:rsidRPr="00073574" w:rsidRDefault="00F229CA" w:rsidP="004319C7">
            <w:pPr>
              <w:pStyle w:val="ListParagraph"/>
              <w:numPr>
                <w:ilvl w:val="1"/>
                <w:numId w:val="37"/>
              </w:numPr>
              <w:contextualSpacing w:val="0"/>
              <w:rPr>
                <w:rFonts w:cstheme="minorBidi"/>
              </w:rPr>
            </w:pPr>
            <w:r w:rsidRPr="00073574">
              <w:rPr>
                <w:rFonts w:cstheme="minorBidi"/>
              </w:rPr>
              <w:t>ITU-T Y.4462 “Requirements and functional architecture of open IoT identity correlation service”;</w:t>
            </w:r>
          </w:p>
          <w:p w14:paraId="0345AC14" w14:textId="42A79049" w:rsidR="00F229CA" w:rsidRPr="00073574" w:rsidRDefault="00F229CA" w:rsidP="004319C7">
            <w:pPr>
              <w:pStyle w:val="ListParagraph"/>
              <w:numPr>
                <w:ilvl w:val="1"/>
                <w:numId w:val="37"/>
              </w:numPr>
              <w:contextualSpacing w:val="0"/>
              <w:rPr>
                <w:rFonts w:cstheme="minorBidi"/>
              </w:rPr>
            </w:pPr>
            <w:r w:rsidRPr="00073574">
              <w:rPr>
                <w:rFonts w:cstheme="minorBidi"/>
              </w:rPr>
              <w:t>ITU-T Y.4463 “Framework of delegation service</w:t>
            </w:r>
            <w:r w:rsidR="00C15B60" w:rsidRPr="00073574">
              <w:rPr>
                <w:rFonts w:cstheme="minorBidi"/>
              </w:rPr>
              <w:t xml:space="preserve"> </w:t>
            </w:r>
            <w:r w:rsidRPr="00073574">
              <w:rPr>
                <w:rFonts w:cstheme="minorBidi"/>
              </w:rPr>
              <w:t>for IoT devices”;</w:t>
            </w:r>
          </w:p>
          <w:p w14:paraId="22E722C1" w14:textId="77777777" w:rsidR="00F229CA" w:rsidRPr="00073574" w:rsidRDefault="00F229CA" w:rsidP="004319C7">
            <w:pPr>
              <w:pStyle w:val="ListParagraph"/>
              <w:numPr>
                <w:ilvl w:val="1"/>
                <w:numId w:val="37"/>
              </w:numPr>
              <w:contextualSpacing w:val="0"/>
              <w:rPr>
                <w:rFonts w:cstheme="minorBidi"/>
              </w:rPr>
            </w:pPr>
            <w:r w:rsidRPr="00073574">
              <w:rPr>
                <w:rFonts w:cstheme="minorBidi"/>
              </w:rPr>
              <w:t>ITU-T Y.4464 “Framework of blockchain of things as decentralized service platform”;</w:t>
            </w:r>
          </w:p>
          <w:p w14:paraId="182D1564" w14:textId="77777777" w:rsidR="00F229CA" w:rsidRPr="00073574" w:rsidRDefault="00F229CA" w:rsidP="004319C7">
            <w:pPr>
              <w:pStyle w:val="ListParagraph"/>
              <w:numPr>
                <w:ilvl w:val="1"/>
                <w:numId w:val="37"/>
              </w:numPr>
              <w:contextualSpacing w:val="0"/>
              <w:rPr>
                <w:rFonts w:cstheme="minorBidi"/>
              </w:rPr>
            </w:pPr>
            <w:r w:rsidRPr="00073574">
              <w:rPr>
                <w:rFonts w:cstheme="minorBidi"/>
              </w:rPr>
              <w:t>ITU-T Y.4465 “Framework of IoT Services based on Visible Light Communications”;</w:t>
            </w:r>
          </w:p>
          <w:p w14:paraId="149A6E8E" w14:textId="77777777" w:rsidR="00F229CA" w:rsidRPr="00073574" w:rsidRDefault="00F229CA" w:rsidP="004319C7">
            <w:pPr>
              <w:pStyle w:val="ListParagraph"/>
              <w:numPr>
                <w:ilvl w:val="1"/>
                <w:numId w:val="37"/>
              </w:numPr>
              <w:contextualSpacing w:val="0"/>
              <w:rPr>
                <w:rFonts w:cstheme="minorBidi"/>
              </w:rPr>
            </w:pPr>
            <w:r w:rsidRPr="00073574">
              <w:rPr>
                <w:rFonts w:cstheme="minorBidi"/>
              </w:rPr>
              <w:t>ITU-T Y.4466 “Framework of smart greenhouse service”;</w:t>
            </w:r>
          </w:p>
          <w:p w14:paraId="038FED2B" w14:textId="77777777" w:rsidR="00F229CA" w:rsidRPr="00073574" w:rsidRDefault="00F229CA" w:rsidP="004319C7">
            <w:pPr>
              <w:pStyle w:val="ListParagraph"/>
              <w:numPr>
                <w:ilvl w:val="1"/>
                <w:numId w:val="37"/>
              </w:numPr>
              <w:contextualSpacing w:val="0"/>
              <w:rPr>
                <w:rFonts w:cstheme="minorBidi"/>
              </w:rPr>
            </w:pPr>
            <w:r w:rsidRPr="00073574">
              <w:rPr>
                <w:rFonts w:cstheme="minorBidi"/>
              </w:rPr>
              <w:t>ITU-T Y.4467 “Minimum set of data structure for automotive emergency response system”;</w:t>
            </w:r>
          </w:p>
          <w:p w14:paraId="438A4B36" w14:textId="77777777" w:rsidR="00F229CA" w:rsidRPr="00073574" w:rsidRDefault="16181F34" w:rsidP="004319C7">
            <w:pPr>
              <w:pStyle w:val="ListParagraph"/>
              <w:numPr>
                <w:ilvl w:val="1"/>
                <w:numId w:val="37"/>
              </w:numPr>
              <w:contextualSpacing w:val="0"/>
              <w:rPr>
                <w:rFonts w:cstheme="minorBidi"/>
              </w:rPr>
            </w:pPr>
            <w:r w:rsidRPr="00073574">
              <w:rPr>
                <w:rFonts w:cstheme="minorBidi"/>
              </w:rPr>
              <w:t>ITU-T Y.4468 “Minimum set of data transfer protocol for automotive emergency response system”;</w:t>
            </w:r>
          </w:p>
          <w:p w14:paraId="2D0CC93E" w14:textId="36ECAF90" w:rsidR="44F11D9E" w:rsidRPr="00073574" w:rsidRDefault="44F11D9E" w:rsidP="004319C7">
            <w:pPr>
              <w:pStyle w:val="ListParagraph"/>
              <w:numPr>
                <w:ilvl w:val="1"/>
                <w:numId w:val="37"/>
              </w:numPr>
              <w:contextualSpacing w:val="0"/>
              <w:rPr>
                <w:rFonts w:eastAsia="Times New Roman"/>
              </w:rPr>
            </w:pPr>
            <w:r w:rsidRPr="00073574">
              <w:t>ITU-T Y.4469 “Reference architecture of spare computational capability exposure of IoT devices for smart home”;</w:t>
            </w:r>
          </w:p>
          <w:p w14:paraId="507339DB" w14:textId="648C303D" w:rsidR="44F11D9E" w:rsidRPr="00073574" w:rsidRDefault="44F11D9E" w:rsidP="004319C7">
            <w:pPr>
              <w:pStyle w:val="ListParagraph"/>
              <w:numPr>
                <w:ilvl w:val="1"/>
                <w:numId w:val="37"/>
              </w:numPr>
              <w:contextualSpacing w:val="0"/>
              <w:rPr>
                <w:rFonts w:eastAsia="Times New Roman"/>
              </w:rPr>
            </w:pPr>
            <w:r w:rsidRPr="00073574">
              <w:t>ITU-T Y.4470 “Reference architecture of artificial intelligence service exposure for smart sustainable cities”;</w:t>
            </w:r>
          </w:p>
          <w:p w14:paraId="7522B54C" w14:textId="04E4B842" w:rsidR="00383B59" w:rsidRPr="00073574" w:rsidRDefault="00383B59" w:rsidP="004319C7">
            <w:pPr>
              <w:pStyle w:val="ListParagraph"/>
              <w:numPr>
                <w:ilvl w:val="1"/>
                <w:numId w:val="37"/>
              </w:numPr>
              <w:contextualSpacing w:val="0"/>
              <w:rPr>
                <w:rFonts w:eastAsia="Times New Roman"/>
              </w:rPr>
            </w:pPr>
            <w:r w:rsidRPr="00073574">
              <w:rPr>
                <w:rFonts w:eastAsia="Times New Roman"/>
              </w:rPr>
              <w:t>ITU-T Y.4471 “Functional architecture of network-based driving assistance for autonomous vehicles”;</w:t>
            </w:r>
          </w:p>
          <w:p w14:paraId="4C441E10" w14:textId="12E69BAD" w:rsidR="44F11D9E" w:rsidRPr="00073574" w:rsidRDefault="44F11D9E" w:rsidP="004319C7">
            <w:pPr>
              <w:pStyle w:val="ListParagraph"/>
              <w:numPr>
                <w:ilvl w:val="1"/>
                <w:numId w:val="37"/>
              </w:numPr>
              <w:contextualSpacing w:val="0"/>
              <w:rPr>
                <w:rFonts w:eastAsia="Times New Roman"/>
              </w:rPr>
            </w:pPr>
            <w:r w:rsidRPr="00073574">
              <w:t>ITU-T Y.4473 “SensorThings API - Sensing”;</w:t>
            </w:r>
          </w:p>
          <w:p w14:paraId="4CA91A1E" w14:textId="6CBFABA3" w:rsidR="44F11D9E" w:rsidRPr="00073574" w:rsidRDefault="44F11D9E" w:rsidP="004319C7">
            <w:pPr>
              <w:pStyle w:val="ListParagraph"/>
              <w:numPr>
                <w:ilvl w:val="1"/>
                <w:numId w:val="37"/>
              </w:numPr>
              <w:contextualSpacing w:val="0"/>
              <w:rPr>
                <w:rFonts w:eastAsia="Times New Roman"/>
              </w:rPr>
            </w:pPr>
            <w:r w:rsidRPr="00073574">
              <w:t>ITU-T Y.4474 “Functional architecture for IoT services based on Visible Light Communications”;</w:t>
            </w:r>
          </w:p>
          <w:p w14:paraId="378011BF" w14:textId="4C0E3A9F" w:rsidR="44F11D9E" w:rsidRPr="00073574" w:rsidRDefault="44F11D9E" w:rsidP="004319C7">
            <w:pPr>
              <w:pStyle w:val="ListParagraph"/>
              <w:numPr>
                <w:ilvl w:val="1"/>
                <w:numId w:val="37"/>
              </w:numPr>
              <w:contextualSpacing w:val="0"/>
              <w:rPr>
                <w:rFonts w:asciiTheme="minorHAnsi" w:hAnsiTheme="minorHAnsi" w:cstheme="minorBidi"/>
              </w:rPr>
            </w:pPr>
            <w:r w:rsidRPr="00073574">
              <w:t>ITU-T Y.4475 “Lightweight intelligent software framework for IoT devices”;</w:t>
            </w:r>
          </w:p>
          <w:p w14:paraId="65285F60" w14:textId="0949FA3E" w:rsidR="00AA4AAB" w:rsidRPr="00073574" w:rsidRDefault="00AA4AAB" w:rsidP="004319C7">
            <w:pPr>
              <w:pStyle w:val="ListParagraph"/>
              <w:numPr>
                <w:ilvl w:val="1"/>
                <w:numId w:val="37"/>
              </w:numPr>
              <w:contextualSpacing w:val="0"/>
              <w:rPr>
                <w:rFonts w:eastAsia="Times New Roman"/>
              </w:rPr>
            </w:pPr>
            <w:r w:rsidRPr="00073574">
              <w:rPr>
                <w:rFonts w:eastAsia="Times New Roman"/>
              </w:rPr>
              <w:lastRenderedPageBreak/>
              <w:t>ITU-T Y.4476 “OID-based resolution framework for transaction of distributed ledger assigned to IoT resources”;</w:t>
            </w:r>
          </w:p>
          <w:p w14:paraId="08737146" w14:textId="747D841F" w:rsidR="003529A5" w:rsidRPr="00073574" w:rsidRDefault="003529A5" w:rsidP="004319C7">
            <w:pPr>
              <w:pStyle w:val="ListParagraph"/>
              <w:numPr>
                <w:ilvl w:val="1"/>
                <w:numId w:val="37"/>
              </w:numPr>
              <w:contextualSpacing w:val="0"/>
              <w:rPr>
                <w:rFonts w:eastAsia="Times New Roman"/>
              </w:rPr>
            </w:pPr>
            <w:r w:rsidRPr="00073574">
              <w:rPr>
                <w:rFonts w:eastAsia="Times New Roman"/>
              </w:rPr>
              <w:t>ITU-T Y.4477 “</w:t>
            </w:r>
            <w:r w:rsidR="00754431" w:rsidRPr="00073574">
              <w:rPr>
                <w:rFonts w:eastAsia="Times New Roman"/>
              </w:rPr>
              <w:t>Framework of service interworking with device discovery and management in heterogeneous Internet of things environments</w:t>
            </w:r>
            <w:r w:rsidRPr="00073574">
              <w:rPr>
                <w:rFonts w:eastAsia="Times New Roman"/>
              </w:rPr>
              <w:t>”</w:t>
            </w:r>
            <w:r w:rsidR="008460B6" w:rsidRPr="00073574">
              <w:rPr>
                <w:rFonts w:eastAsia="Times New Roman"/>
              </w:rPr>
              <w:t>;</w:t>
            </w:r>
          </w:p>
          <w:p w14:paraId="52B2D6C9" w14:textId="6782A902" w:rsidR="008460B6" w:rsidRPr="00073574" w:rsidRDefault="008460B6" w:rsidP="004319C7">
            <w:pPr>
              <w:pStyle w:val="ListParagraph"/>
              <w:numPr>
                <w:ilvl w:val="1"/>
                <w:numId w:val="37"/>
              </w:numPr>
              <w:contextualSpacing w:val="0"/>
              <w:rPr>
                <w:rFonts w:eastAsia="Times New Roman"/>
              </w:rPr>
            </w:pPr>
            <w:r w:rsidRPr="00073574">
              <w:rPr>
                <w:rFonts w:eastAsia="Times New Roman"/>
              </w:rPr>
              <w:t>ITU-T Y.4478</w:t>
            </w:r>
            <w:r w:rsidR="00671974" w:rsidRPr="00073574">
              <w:rPr>
                <w:rFonts w:eastAsia="Times New Roman"/>
              </w:rPr>
              <w:t xml:space="preserve"> “Requirements and functional architecture for smart construction site services”;</w:t>
            </w:r>
          </w:p>
          <w:p w14:paraId="4A21E390" w14:textId="56BBE1C7" w:rsidR="006D782C" w:rsidRPr="00073574" w:rsidRDefault="006D782C" w:rsidP="004319C7">
            <w:pPr>
              <w:pStyle w:val="ListParagraph"/>
              <w:numPr>
                <w:ilvl w:val="1"/>
                <w:numId w:val="37"/>
              </w:numPr>
              <w:contextualSpacing w:val="0"/>
              <w:rPr>
                <w:rFonts w:eastAsia="Times New Roman"/>
              </w:rPr>
            </w:pPr>
            <w:r w:rsidRPr="00073574">
              <w:rPr>
                <w:rFonts w:eastAsia="Times New Roman"/>
              </w:rPr>
              <w:t>ITU-T Y.4480 “</w:t>
            </w:r>
            <w:r w:rsidR="00E8756D" w:rsidRPr="00073574">
              <w:rPr>
                <w:rFonts w:eastAsia="Times New Roman"/>
              </w:rPr>
              <w:t>Low power protocol for wide area wireless networks</w:t>
            </w:r>
            <w:r w:rsidRPr="00073574">
              <w:rPr>
                <w:rFonts w:eastAsia="Times New Roman"/>
              </w:rPr>
              <w:t>”;</w:t>
            </w:r>
          </w:p>
          <w:p w14:paraId="2B742020" w14:textId="77777777" w:rsidR="00F229CA" w:rsidRPr="00073574" w:rsidRDefault="00F229CA" w:rsidP="004319C7">
            <w:pPr>
              <w:pStyle w:val="ListParagraph"/>
              <w:numPr>
                <w:ilvl w:val="1"/>
                <w:numId w:val="37"/>
              </w:numPr>
              <w:contextualSpacing w:val="0"/>
              <w:rPr>
                <w:rFonts w:cstheme="minorBidi"/>
              </w:rPr>
            </w:pPr>
            <w:r w:rsidRPr="00073574">
              <w:rPr>
                <w:rFonts w:cstheme="minorBidi"/>
              </w:rPr>
              <w:t>ITU-T Y.4553 “Requirements of smartphone as sink node for IoT applications and services”;</w:t>
            </w:r>
          </w:p>
          <w:p w14:paraId="2101265F" w14:textId="77777777" w:rsidR="00F229CA" w:rsidRPr="00073574" w:rsidRDefault="00F229CA" w:rsidP="004319C7">
            <w:pPr>
              <w:pStyle w:val="ListParagraph"/>
              <w:numPr>
                <w:ilvl w:val="1"/>
                <w:numId w:val="37"/>
              </w:numPr>
              <w:contextualSpacing w:val="0"/>
              <w:rPr>
                <w:rFonts w:cstheme="minorBidi"/>
              </w:rPr>
            </w:pPr>
            <w:r w:rsidRPr="00073574">
              <w:rPr>
                <w:rFonts w:cstheme="minorBidi"/>
              </w:rPr>
              <w:t>ITU-T Y.4555 “Service functionalities of self-quantification over Internet of things”,</w:t>
            </w:r>
          </w:p>
          <w:p w14:paraId="4429CD93" w14:textId="77777777" w:rsidR="00F229CA" w:rsidRPr="00073574" w:rsidRDefault="16181F34" w:rsidP="004319C7">
            <w:pPr>
              <w:pStyle w:val="ListParagraph"/>
              <w:numPr>
                <w:ilvl w:val="1"/>
                <w:numId w:val="37"/>
              </w:numPr>
              <w:contextualSpacing w:val="0"/>
              <w:rPr>
                <w:rFonts w:cstheme="minorBidi"/>
              </w:rPr>
            </w:pPr>
            <w:r w:rsidRPr="00073574">
              <w:rPr>
                <w:rFonts w:cstheme="minorBidi"/>
              </w:rPr>
              <w:t>ITU-T Y.4556 “Requirements and functional architecture of smart residential community”;</w:t>
            </w:r>
          </w:p>
          <w:p w14:paraId="136012DA" w14:textId="27C69785" w:rsidR="7EB43062" w:rsidRPr="00073574" w:rsidRDefault="7EB43062" w:rsidP="004319C7">
            <w:pPr>
              <w:pStyle w:val="ListParagraph"/>
              <w:numPr>
                <w:ilvl w:val="1"/>
                <w:numId w:val="37"/>
              </w:numPr>
              <w:contextualSpacing w:val="0"/>
              <w:rPr>
                <w:rFonts w:eastAsia="Times New Roman"/>
              </w:rPr>
            </w:pPr>
            <w:r w:rsidRPr="00073574">
              <w:t>ITU-T Y.4558 “Requirements and functional architecture of smart fire smoke detection service”;</w:t>
            </w:r>
          </w:p>
          <w:p w14:paraId="508F7B31" w14:textId="65D9D696" w:rsidR="00EB676E" w:rsidRPr="00073574" w:rsidRDefault="00EB676E" w:rsidP="004319C7">
            <w:pPr>
              <w:pStyle w:val="ListParagraph"/>
              <w:numPr>
                <w:ilvl w:val="1"/>
                <w:numId w:val="37"/>
              </w:numPr>
              <w:contextualSpacing w:val="0"/>
              <w:rPr>
                <w:rFonts w:eastAsia="Times New Roman"/>
              </w:rPr>
            </w:pPr>
            <w:r w:rsidRPr="00073574">
              <w:t>ITU-T Y.4559 “Requirements and functional architecture of base station inspection services using unmanned aerial vehicles”;</w:t>
            </w:r>
          </w:p>
          <w:p w14:paraId="1725C03E" w14:textId="22BEE836" w:rsidR="7EB43062" w:rsidRPr="00073574" w:rsidRDefault="7EB43062" w:rsidP="004319C7">
            <w:pPr>
              <w:pStyle w:val="ListParagraph"/>
              <w:numPr>
                <w:ilvl w:val="1"/>
                <w:numId w:val="37"/>
              </w:numPr>
              <w:contextualSpacing w:val="0"/>
              <w:rPr>
                <w:rFonts w:eastAsia="Times New Roman"/>
              </w:rPr>
            </w:pPr>
            <w:r w:rsidRPr="00073574">
              <w:t>ITU-T Y.4560 “Blockchain-based data exchange and sharing for supporting Internet of things and smart cities and communities”;</w:t>
            </w:r>
          </w:p>
          <w:p w14:paraId="04184C03" w14:textId="5D56F2AB" w:rsidR="7EB43062" w:rsidRPr="00073574" w:rsidRDefault="7EB43062" w:rsidP="004319C7">
            <w:pPr>
              <w:pStyle w:val="ListParagraph"/>
              <w:numPr>
                <w:ilvl w:val="1"/>
                <w:numId w:val="37"/>
              </w:numPr>
              <w:contextualSpacing w:val="0"/>
              <w:rPr>
                <w:rFonts w:asciiTheme="minorHAnsi" w:hAnsiTheme="minorHAnsi" w:cstheme="minorBidi"/>
              </w:rPr>
            </w:pPr>
            <w:r w:rsidRPr="00073574">
              <w:t>ITU-T Y.4561 “Blockchain-based Data Management for supporting Internet of things and smart cities and communities”;</w:t>
            </w:r>
          </w:p>
          <w:p w14:paraId="1D1EACAF" w14:textId="09EBDECF" w:rsidR="00E8756D" w:rsidRPr="00073574" w:rsidRDefault="00E8756D" w:rsidP="004319C7">
            <w:pPr>
              <w:pStyle w:val="ListParagraph"/>
              <w:numPr>
                <w:ilvl w:val="1"/>
                <w:numId w:val="37"/>
              </w:numPr>
              <w:contextualSpacing w:val="0"/>
              <w:rPr>
                <w:rFonts w:asciiTheme="minorHAnsi" w:hAnsiTheme="minorHAnsi" w:cstheme="minorBidi"/>
              </w:rPr>
            </w:pPr>
            <w:r w:rsidRPr="00073574">
              <w:t>ITU-T Y.4563</w:t>
            </w:r>
            <w:r w:rsidR="00102BE5" w:rsidRPr="00073574">
              <w:t xml:space="preserve"> “Requirements and functional model to support data interoperability in IoT environments”;</w:t>
            </w:r>
          </w:p>
          <w:p w14:paraId="12C049AF" w14:textId="77777777" w:rsidR="00F229CA" w:rsidRPr="00073574" w:rsidRDefault="00F229CA" w:rsidP="004319C7">
            <w:pPr>
              <w:pStyle w:val="ListParagraph"/>
              <w:numPr>
                <w:ilvl w:val="1"/>
                <w:numId w:val="37"/>
              </w:numPr>
              <w:contextualSpacing w:val="0"/>
              <w:rPr>
                <w:rFonts w:cstheme="minorBidi"/>
              </w:rPr>
            </w:pPr>
            <w:r w:rsidRPr="00073574">
              <w:rPr>
                <w:rFonts w:cstheme="minorBidi"/>
              </w:rPr>
              <w:t>ITU-T Y.4702 “Common requirements and capabilities”;</w:t>
            </w:r>
          </w:p>
          <w:p w14:paraId="75D78AC6" w14:textId="6BA11468" w:rsidR="00F229CA" w:rsidRPr="00073574" w:rsidRDefault="00F229CA" w:rsidP="004319C7">
            <w:pPr>
              <w:pStyle w:val="ListParagraph"/>
              <w:numPr>
                <w:ilvl w:val="1"/>
                <w:numId w:val="37"/>
              </w:numPr>
              <w:contextualSpacing w:val="0"/>
              <w:rPr>
                <w:rFonts w:cstheme="minorBidi"/>
              </w:rPr>
            </w:pPr>
            <w:r w:rsidRPr="00073574">
              <w:rPr>
                <w:rFonts w:cstheme="minorBidi"/>
              </w:rPr>
              <w:t xml:space="preserve">ITU-T Y.4805 </w:t>
            </w:r>
            <w:r w:rsidR="007F4B3B" w:rsidRPr="00073574">
              <w:rPr>
                <w:rFonts w:cstheme="minorBidi"/>
              </w:rPr>
              <w:t>“</w:t>
            </w:r>
            <w:r w:rsidRPr="00073574">
              <w:rPr>
                <w:rFonts w:cstheme="minorBidi"/>
              </w:rPr>
              <w:t>Identifier service requirements for the interoperability of Smart City applications</w:t>
            </w:r>
            <w:r w:rsidR="007F4B3B" w:rsidRPr="00073574">
              <w:rPr>
                <w:rFonts w:cstheme="minorBidi"/>
              </w:rPr>
              <w:t>”</w:t>
            </w:r>
            <w:r w:rsidRPr="00073574">
              <w:rPr>
                <w:rFonts w:cstheme="minorBidi"/>
              </w:rPr>
              <w:t>;</w:t>
            </w:r>
          </w:p>
          <w:p w14:paraId="68F3C3B7" w14:textId="0AA7B90A" w:rsidR="00F229CA" w:rsidRPr="00073574" w:rsidRDefault="00F229CA" w:rsidP="004319C7">
            <w:pPr>
              <w:pStyle w:val="ListParagraph"/>
              <w:numPr>
                <w:ilvl w:val="1"/>
                <w:numId w:val="37"/>
              </w:numPr>
              <w:contextualSpacing w:val="0"/>
              <w:rPr>
                <w:rFonts w:cstheme="minorBidi"/>
              </w:rPr>
            </w:pPr>
            <w:r w:rsidRPr="00073574">
              <w:rPr>
                <w:rFonts w:cstheme="minorBidi"/>
              </w:rPr>
              <w:t xml:space="preserve">ITU-T Y.4806 </w:t>
            </w:r>
            <w:r w:rsidR="007F4B3B" w:rsidRPr="00073574">
              <w:rPr>
                <w:rFonts w:cstheme="minorBidi"/>
              </w:rPr>
              <w:t>“</w:t>
            </w:r>
            <w:r w:rsidRPr="00073574">
              <w:rPr>
                <w:rFonts w:cstheme="minorBidi"/>
              </w:rPr>
              <w:t>Security capabilities supporting safety of the Internet of Things</w:t>
            </w:r>
            <w:r w:rsidR="007F4B3B" w:rsidRPr="00073574">
              <w:rPr>
                <w:rFonts w:cstheme="minorBidi"/>
              </w:rPr>
              <w:t>”</w:t>
            </w:r>
            <w:r w:rsidRPr="00073574">
              <w:rPr>
                <w:rFonts w:cstheme="minorBidi"/>
              </w:rPr>
              <w:t>;</w:t>
            </w:r>
          </w:p>
          <w:p w14:paraId="6AA831FF" w14:textId="4575104C" w:rsidR="00F229CA" w:rsidRPr="00073574" w:rsidRDefault="16181F34" w:rsidP="004319C7">
            <w:pPr>
              <w:pStyle w:val="ListParagraph"/>
              <w:numPr>
                <w:ilvl w:val="1"/>
                <w:numId w:val="37"/>
              </w:numPr>
              <w:contextualSpacing w:val="0"/>
              <w:rPr>
                <w:rFonts w:cstheme="minorBidi"/>
              </w:rPr>
            </w:pPr>
            <w:r w:rsidRPr="00073574">
              <w:rPr>
                <w:rFonts w:cstheme="minorBidi"/>
              </w:rPr>
              <w:t xml:space="preserve">ITU-T Y.4807 </w:t>
            </w:r>
            <w:r w:rsidR="007F4B3B" w:rsidRPr="00073574">
              <w:rPr>
                <w:rFonts w:cstheme="minorBidi"/>
              </w:rPr>
              <w:t>“</w:t>
            </w:r>
            <w:r w:rsidRPr="00073574">
              <w:rPr>
                <w:rFonts w:cstheme="minorBidi"/>
              </w:rPr>
              <w:t>Agility by design for Telecommunications/ICT Systems Security used in the Internet of Things</w:t>
            </w:r>
            <w:r w:rsidR="007F4B3B" w:rsidRPr="00073574">
              <w:rPr>
                <w:rFonts w:cstheme="minorBidi"/>
              </w:rPr>
              <w:t>”</w:t>
            </w:r>
            <w:r w:rsidRPr="00073574">
              <w:rPr>
                <w:rFonts w:cstheme="minorBidi"/>
              </w:rPr>
              <w:t>;</w:t>
            </w:r>
          </w:p>
          <w:p w14:paraId="052C2013" w14:textId="29D316FD" w:rsidR="6B4C910B" w:rsidRPr="00073574" w:rsidRDefault="6B4C910B" w:rsidP="004319C7">
            <w:pPr>
              <w:pStyle w:val="ListParagraph"/>
              <w:numPr>
                <w:ilvl w:val="1"/>
                <w:numId w:val="37"/>
              </w:numPr>
              <w:contextualSpacing w:val="0"/>
              <w:rPr>
                <w:rFonts w:asciiTheme="minorHAnsi" w:hAnsiTheme="minorHAnsi" w:cstheme="minorBidi"/>
              </w:rPr>
            </w:pPr>
            <w:r w:rsidRPr="00073574">
              <w:t>ITU-T Y.4808 “Digital entity architecture framework to combat counterfeiting in IoT”;</w:t>
            </w:r>
          </w:p>
          <w:p w14:paraId="56B77429" w14:textId="46C75028" w:rsidR="00CD0C35" w:rsidRPr="00073574" w:rsidRDefault="00CD0C35" w:rsidP="004319C7">
            <w:pPr>
              <w:pStyle w:val="ListParagraph"/>
              <w:numPr>
                <w:ilvl w:val="1"/>
                <w:numId w:val="37"/>
              </w:numPr>
              <w:contextualSpacing w:val="0"/>
              <w:rPr>
                <w:rFonts w:asciiTheme="minorHAnsi" w:hAnsiTheme="minorHAnsi" w:cstheme="minorBidi"/>
              </w:rPr>
            </w:pPr>
            <w:r w:rsidRPr="00073574">
              <w:t>ITU-T Y.4809 “</w:t>
            </w:r>
            <w:r w:rsidR="00966DA4" w:rsidRPr="00073574">
              <w:t>Unified IoT Identifiers for intelligent transport systems</w:t>
            </w:r>
            <w:r w:rsidRPr="00073574">
              <w:t>”;</w:t>
            </w:r>
          </w:p>
          <w:p w14:paraId="1B79A79A" w14:textId="512F38C7" w:rsidR="00966DA4" w:rsidRPr="00073574" w:rsidRDefault="00966DA4" w:rsidP="004319C7">
            <w:pPr>
              <w:pStyle w:val="ListParagraph"/>
              <w:numPr>
                <w:ilvl w:val="1"/>
                <w:numId w:val="37"/>
              </w:numPr>
              <w:contextualSpacing w:val="0"/>
              <w:rPr>
                <w:rFonts w:asciiTheme="minorHAnsi" w:hAnsiTheme="minorHAnsi" w:cstheme="minorBidi"/>
              </w:rPr>
            </w:pPr>
            <w:r w:rsidRPr="00073574">
              <w:t>ITU-T Y.</w:t>
            </w:r>
            <w:r w:rsidR="00EB2AA9" w:rsidRPr="00073574">
              <w:t>4811 “</w:t>
            </w:r>
            <w:r w:rsidR="00EA6681" w:rsidRPr="00073574">
              <w:t>Reference framework of converged service for identification and authentication for IoT devices in decentralized environment</w:t>
            </w:r>
            <w:r w:rsidR="00EB2AA9" w:rsidRPr="00073574">
              <w:t>”</w:t>
            </w:r>
            <w:r w:rsidR="00EA6681" w:rsidRPr="00073574">
              <w:t>;</w:t>
            </w:r>
          </w:p>
          <w:p w14:paraId="519300C4" w14:textId="7251DF55" w:rsidR="00F229CA" w:rsidRPr="00073574" w:rsidRDefault="00F229CA" w:rsidP="004319C7">
            <w:pPr>
              <w:pStyle w:val="ListParagraph"/>
              <w:numPr>
                <w:ilvl w:val="1"/>
                <w:numId w:val="37"/>
              </w:numPr>
              <w:contextualSpacing w:val="0"/>
              <w:rPr>
                <w:rFonts w:cstheme="minorBidi"/>
              </w:rPr>
            </w:pPr>
            <w:r w:rsidRPr="00073574">
              <w:rPr>
                <w:rFonts w:cstheme="minorBidi"/>
              </w:rPr>
              <w:t xml:space="preserve">ITU-T Y.4904 </w:t>
            </w:r>
            <w:r w:rsidR="007F4B3B" w:rsidRPr="00073574">
              <w:rPr>
                <w:rFonts w:cstheme="minorBidi"/>
              </w:rPr>
              <w:t>“</w:t>
            </w:r>
            <w:r w:rsidRPr="00073574">
              <w:rPr>
                <w:rFonts w:cstheme="minorBidi"/>
              </w:rPr>
              <w:t>Smart sustainable cities maturity model</w:t>
            </w:r>
            <w:r w:rsidR="007F4B3B" w:rsidRPr="00073574">
              <w:rPr>
                <w:rFonts w:cstheme="minorBidi"/>
              </w:rPr>
              <w:t>”</w:t>
            </w:r>
            <w:r w:rsidRPr="00073574">
              <w:rPr>
                <w:rFonts w:cstheme="minorBidi"/>
              </w:rPr>
              <w:t>;</w:t>
            </w:r>
          </w:p>
          <w:p w14:paraId="0F914615" w14:textId="77777777" w:rsidR="00F229CA" w:rsidRPr="00073574" w:rsidRDefault="00F229CA" w:rsidP="004319C7">
            <w:pPr>
              <w:pStyle w:val="ListParagraph"/>
              <w:numPr>
                <w:ilvl w:val="1"/>
                <w:numId w:val="37"/>
              </w:numPr>
              <w:contextualSpacing w:val="0"/>
              <w:rPr>
                <w:rFonts w:cstheme="minorBidi"/>
              </w:rPr>
            </w:pPr>
            <w:r w:rsidRPr="00073574">
              <w:rPr>
                <w:rFonts w:cstheme="minorBidi"/>
              </w:rPr>
              <w:t>ITU-T Y.4905 “Smart sustainable city impact assessment”;</w:t>
            </w:r>
          </w:p>
          <w:p w14:paraId="533A562A" w14:textId="3C9B7399" w:rsidR="00F229CA" w:rsidRPr="00073574" w:rsidRDefault="16181F34" w:rsidP="004319C7">
            <w:pPr>
              <w:pStyle w:val="ListParagraph"/>
              <w:numPr>
                <w:ilvl w:val="1"/>
                <w:numId w:val="37"/>
              </w:numPr>
              <w:contextualSpacing w:val="0"/>
              <w:rPr>
                <w:rFonts w:cstheme="minorBidi"/>
              </w:rPr>
            </w:pPr>
            <w:r w:rsidRPr="00073574">
              <w:rPr>
                <w:rFonts w:cstheme="minorBidi"/>
              </w:rPr>
              <w:t>ITU-T Y.4906 “Assessment Framework for digital transformation of sectors in smart cities”</w:t>
            </w:r>
            <w:r w:rsidR="570BB7CB" w:rsidRPr="00073574">
              <w:rPr>
                <w:rFonts w:cstheme="minorBidi"/>
              </w:rPr>
              <w:t>;</w:t>
            </w:r>
          </w:p>
          <w:p w14:paraId="24B5AD90" w14:textId="49F1C327" w:rsidR="38C3D8EB" w:rsidRPr="00073574" w:rsidRDefault="38C3D8EB" w:rsidP="004319C7">
            <w:pPr>
              <w:pStyle w:val="ListParagraph"/>
              <w:numPr>
                <w:ilvl w:val="1"/>
                <w:numId w:val="37"/>
              </w:numPr>
              <w:contextualSpacing w:val="0"/>
              <w:rPr>
                <w:rFonts w:eastAsia="Times New Roman"/>
              </w:rPr>
            </w:pPr>
            <w:r w:rsidRPr="00073574">
              <w:t>ITU-T Y.4907 “Reference architecture of blockchain-based unified KPI data management for smart sustainable cities”</w:t>
            </w:r>
            <w:r w:rsidR="00EB676E" w:rsidRPr="00073574">
              <w:t>;</w:t>
            </w:r>
          </w:p>
          <w:p w14:paraId="67AB2417" w14:textId="6857E2F0" w:rsidR="00EB676E" w:rsidRPr="00073574" w:rsidRDefault="00F77185" w:rsidP="004319C7">
            <w:pPr>
              <w:pStyle w:val="ListParagraph"/>
              <w:numPr>
                <w:ilvl w:val="1"/>
                <w:numId w:val="37"/>
              </w:numPr>
              <w:contextualSpacing w:val="0"/>
              <w:rPr>
                <w:rFonts w:eastAsia="Times New Roman"/>
              </w:rPr>
            </w:pPr>
            <w:r w:rsidRPr="00073574">
              <w:rPr>
                <w:rFonts w:eastAsia="Times New Roman"/>
              </w:rPr>
              <w:t>ITU-T Y.4908 “Performance evaluation frameworks of e-health systems in the IoT”.</w:t>
            </w:r>
          </w:p>
          <w:p w14:paraId="66BB6259" w14:textId="4165D3E1" w:rsidR="00982317" w:rsidRPr="00073574" w:rsidRDefault="00982317" w:rsidP="00D44AD4">
            <w:pPr>
              <w:pStyle w:val="ListParagraph"/>
              <w:ind w:left="363"/>
              <w:contextualSpacing w:val="0"/>
              <w:rPr>
                <w:rFonts w:cstheme="minorHAnsi"/>
                <w:szCs w:val="22"/>
              </w:rPr>
            </w:pPr>
            <w:r w:rsidRPr="00073574">
              <w:rPr>
                <w:rFonts w:cstheme="minorHAnsi"/>
                <w:szCs w:val="22"/>
              </w:rPr>
              <w:t xml:space="preserve">As part of the collaboration with oneM2M, SG20 has approved 17 Recommendations and 6 </w:t>
            </w:r>
            <w:r w:rsidR="00266319" w:rsidRPr="00073574">
              <w:rPr>
                <w:rFonts w:cstheme="minorHAnsi"/>
                <w:szCs w:val="22"/>
              </w:rPr>
              <w:t>Technical</w:t>
            </w:r>
            <w:r w:rsidRPr="00073574">
              <w:rPr>
                <w:rFonts w:cstheme="minorHAnsi"/>
                <w:szCs w:val="22"/>
              </w:rPr>
              <w:t xml:space="preserve"> Reports. Some of the Recommendations approved are: ITU-T Y.4500.1 “oneM2M- </w:t>
            </w:r>
            <w:r w:rsidRPr="00073574">
              <w:rPr>
                <w:rFonts w:cstheme="minorHAnsi"/>
                <w:szCs w:val="22"/>
              </w:rPr>
              <w:lastRenderedPageBreak/>
              <w:t>Functional Architecture”, ITU-T Y.4500.2 “oneM2M- Requirements”, ITU-T Y.4500.10 "oneM2M- MQTT Protocol Binding“, ITU-T Y.4500.11 "oneM2M- Common Terminology“, ITU-T Y.4500.12 "oneM2M Base Ontology“, ITU-T Y.4500.13 "oneM2M- Interoperability Testing“, and ITU-T Y.4500.14 "oneM2M- LwM2M Interworking“, among others.</w:t>
            </w:r>
            <w:r w:rsidR="00366C93" w:rsidRPr="00073574">
              <w:rPr>
                <w:rFonts w:cstheme="minorHAnsi"/>
                <w:szCs w:val="22"/>
              </w:rPr>
              <w:t xml:space="preserve"> </w:t>
            </w:r>
          </w:p>
          <w:p w14:paraId="3DE180CA" w14:textId="32AE8EA6" w:rsidR="0019778A" w:rsidRPr="00073574" w:rsidRDefault="15DF749D" w:rsidP="539711DF">
            <w:pPr>
              <w:pStyle w:val="ListParagraph"/>
              <w:tabs>
                <w:tab w:val="left" w:pos="720"/>
              </w:tabs>
              <w:snapToGrid w:val="0"/>
              <w:spacing w:after="120"/>
              <w:ind w:left="363"/>
              <w:contextualSpacing w:val="0"/>
              <w:rPr>
                <w:rFonts w:cstheme="minorBidi"/>
              </w:rPr>
            </w:pPr>
            <w:r w:rsidRPr="00073574">
              <w:rPr>
                <w:rFonts w:cstheme="minorBidi"/>
              </w:rPr>
              <w:t xml:space="preserve">SG20 has agreed </w:t>
            </w:r>
            <w:r w:rsidR="28199289" w:rsidRPr="00073574">
              <w:rPr>
                <w:rFonts w:cstheme="minorBidi"/>
              </w:rPr>
              <w:t>nine</w:t>
            </w:r>
            <w:r w:rsidR="091B4A30" w:rsidRPr="00073574">
              <w:rPr>
                <w:rFonts w:cstheme="minorBidi"/>
              </w:rPr>
              <w:t xml:space="preserve">teen </w:t>
            </w:r>
            <w:r w:rsidR="69DE9776" w:rsidRPr="00073574">
              <w:rPr>
                <w:rFonts w:cstheme="minorBidi"/>
              </w:rPr>
              <w:t>Supplements:</w:t>
            </w:r>
          </w:p>
          <w:p w14:paraId="62F76BC0" w14:textId="5D90896E" w:rsidR="001811D4" w:rsidRPr="00073574" w:rsidRDefault="001811D4" w:rsidP="004319C7">
            <w:pPr>
              <w:pStyle w:val="ListParagraph"/>
              <w:numPr>
                <w:ilvl w:val="1"/>
                <w:numId w:val="37"/>
              </w:numPr>
              <w:ind w:hanging="357"/>
              <w:contextualSpacing w:val="0"/>
              <w:rPr>
                <w:rFonts w:cstheme="minorBidi"/>
              </w:rPr>
            </w:pPr>
            <w:r w:rsidRPr="00073574">
              <w:rPr>
                <w:rFonts w:cstheme="minorBidi"/>
              </w:rPr>
              <w:t>ITU-T Y.Suppl.56 “Use cases of smart cities and communities”;</w:t>
            </w:r>
          </w:p>
          <w:p w14:paraId="48ED9AB0" w14:textId="0CF52897" w:rsidR="001811D4" w:rsidRPr="00073574" w:rsidRDefault="001811D4" w:rsidP="004319C7">
            <w:pPr>
              <w:pStyle w:val="ListParagraph"/>
              <w:numPr>
                <w:ilvl w:val="1"/>
                <w:numId w:val="37"/>
              </w:numPr>
              <w:ind w:hanging="357"/>
              <w:contextualSpacing w:val="0"/>
              <w:rPr>
                <w:rFonts w:cstheme="minorBidi"/>
              </w:rPr>
            </w:pPr>
            <w:r w:rsidRPr="00073574">
              <w:rPr>
                <w:rFonts w:cstheme="minorBidi"/>
              </w:rPr>
              <w:t>ITU-T Y.Suppl.57 to ITU-T Y.4409 “Implementation Guidelines to Recommendation ITU-T Y.4409”;</w:t>
            </w:r>
          </w:p>
          <w:p w14:paraId="5E542807" w14:textId="3422E459" w:rsidR="001811D4" w:rsidRPr="00073574" w:rsidRDefault="001811D4" w:rsidP="004319C7">
            <w:pPr>
              <w:pStyle w:val="ListParagraph"/>
              <w:numPr>
                <w:ilvl w:val="1"/>
                <w:numId w:val="37"/>
              </w:numPr>
              <w:ind w:hanging="357"/>
              <w:contextualSpacing w:val="0"/>
              <w:rPr>
                <w:rFonts w:cstheme="minorBidi"/>
              </w:rPr>
            </w:pPr>
            <w:r w:rsidRPr="00073574">
              <w:rPr>
                <w:rFonts w:cstheme="minorBidi"/>
              </w:rPr>
              <w:t>ITU-T Y.Suppl.58 “Internet of Things and smart cities and communities standards roadmap”;</w:t>
            </w:r>
          </w:p>
          <w:p w14:paraId="3B5BC9C3" w14:textId="77777777" w:rsidR="0019778A" w:rsidRPr="00073574" w:rsidRDefault="007C52F7" w:rsidP="004319C7">
            <w:pPr>
              <w:pStyle w:val="ListParagraph"/>
              <w:numPr>
                <w:ilvl w:val="1"/>
                <w:numId w:val="37"/>
              </w:numPr>
              <w:ind w:hanging="357"/>
              <w:contextualSpacing w:val="0"/>
              <w:rPr>
                <w:rFonts w:cstheme="minorBidi"/>
              </w:rPr>
            </w:pPr>
            <w:r w:rsidRPr="00073574">
              <w:rPr>
                <w:rFonts w:cstheme="minorBidi"/>
              </w:rPr>
              <w:t>ITU-T Y.Supp.52 to ITU-T 4000 series “Methodology for building digital capabilities during enterprises' digital transform</w:t>
            </w:r>
            <w:r w:rsidR="0019778A" w:rsidRPr="00073574">
              <w:rPr>
                <w:rFonts w:cstheme="minorBidi"/>
              </w:rPr>
              <w:t>ation”;</w:t>
            </w:r>
          </w:p>
          <w:p w14:paraId="27D0C9DD" w14:textId="77777777" w:rsidR="0019778A" w:rsidRPr="00073574" w:rsidRDefault="007C52F7" w:rsidP="004319C7">
            <w:pPr>
              <w:pStyle w:val="ListParagraph"/>
              <w:numPr>
                <w:ilvl w:val="1"/>
                <w:numId w:val="37"/>
              </w:numPr>
              <w:ind w:hanging="357"/>
              <w:contextualSpacing w:val="0"/>
              <w:rPr>
                <w:rFonts w:cstheme="minorBidi"/>
              </w:rPr>
            </w:pPr>
            <w:r w:rsidRPr="00073574">
              <w:rPr>
                <w:rFonts w:cstheme="minorBidi"/>
              </w:rPr>
              <w:t>ITU-T Y.Supp.53 to ITU-T Y.</w:t>
            </w:r>
            <w:r w:rsidR="0019778A" w:rsidRPr="00073574">
              <w:rPr>
                <w:rFonts w:cstheme="minorBidi"/>
              </w:rPr>
              <w:t>4000 series “IoT Use cases”;</w:t>
            </w:r>
          </w:p>
          <w:p w14:paraId="4310C499" w14:textId="77777777" w:rsidR="0019778A" w:rsidRPr="00073574" w:rsidRDefault="007C52F7" w:rsidP="004319C7">
            <w:pPr>
              <w:pStyle w:val="ListParagraph"/>
              <w:numPr>
                <w:ilvl w:val="1"/>
                <w:numId w:val="37"/>
              </w:numPr>
              <w:ind w:hanging="357"/>
              <w:contextualSpacing w:val="0"/>
              <w:rPr>
                <w:rFonts w:cstheme="minorBidi"/>
              </w:rPr>
            </w:pPr>
            <w:r w:rsidRPr="00073574">
              <w:rPr>
                <w:rFonts w:cstheme="minorBidi"/>
              </w:rPr>
              <w:t>ITU-T Y.Suppl.54 to ITU-T Y.4000 series “Framework for Home Environment Profiles and Levels of IoT Systems”</w:t>
            </w:r>
            <w:r w:rsidR="0019778A" w:rsidRPr="00073574">
              <w:rPr>
                <w:rFonts w:cstheme="minorBidi"/>
              </w:rPr>
              <w:t>;</w:t>
            </w:r>
          </w:p>
          <w:p w14:paraId="7A9B34D1" w14:textId="3283C333" w:rsidR="0019778A" w:rsidRPr="00073574" w:rsidRDefault="005E0B71" w:rsidP="004319C7">
            <w:pPr>
              <w:pStyle w:val="ListParagraph"/>
              <w:numPr>
                <w:ilvl w:val="1"/>
                <w:numId w:val="37"/>
              </w:numPr>
              <w:ind w:hanging="357"/>
              <w:contextualSpacing w:val="0"/>
              <w:rPr>
                <w:rFonts w:cstheme="minorBidi"/>
              </w:rPr>
            </w:pPr>
            <w:r w:rsidRPr="00073574">
              <w:rPr>
                <w:rFonts w:cstheme="minorBidi"/>
              </w:rPr>
              <w:t>ITU-T Y.Supp.45 to ITU-T Y.4000 series "An overview of smart cities and communities and the role of information a</w:t>
            </w:r>
            <w:r w:rsidR="0019778A" w:rsidRPr="00073574">
              <w:rPr>
                <w:rFonts w:cstheme="minorBidi"/>
              </w:rPr>
              <w:t>nd communication technologies";</w:t>
            </w:r>
          </w:p>
          <w:p w14:paraId="2A74643A" w14:textId="77777777" w:rsidR="0019778A" w:rsidRPr="00073574" w:rsidRDefault="005E0B71" w:rsidP="004319C7">
            <w:pPr>
              <w:pStyle w:val="ListParagraph"/>
              <w:numPr>
                <w:ilvl w:val="1"/>
                <w:numId w:val="37"/>
              </w:numPr>
              <w:ind w:hanging="357"/>
              <w:contextualSpacing w:val="0"/>
              <w:rPr>
                <w:rFonts w:cstheme="minorBidi"/>
              </w:rPr>
            </w:pPr>
            <w:r w:rsidRPr="00073574">
              <w:rPr>
                <w:rFonts w:cstheme="minorBidi"/>
              </w:rPr>
              <w:t>ITU-T Y.Supp.34 to ITU-T Y.4000 series "Smart Sustainable Cities - Setting the stage for stakeholders'</w:t>
            </w:r>
            <w:r w:rsidR="0019778A" w:rsidRPr="00073574">
              <w:rPr>
                <w:rFonts w:cstheme="minorBidi"/>
              </w:rPr>
              <w:t xml:space="preserve"> engagement";</w:t>
            </w:r>
          </w:p>
          <w:p w14:paraId="551E1BF5" w14:textId="77777777" w:rsidR="0019778A" w:rsidRPr="00073574" w:rsidRDefault="005E0B71" w:rsidP="004319C7">
            <w:pPr>
              <w:pStyle w:val="ListParagraph"/>
              <w:numPr>
                <w:ilvl w:val="1"/>
                <w:numId w:val="37"/>
              </w:numPr>
              <w:ind w:hanging="357"/>
              <w:contextualSpacing w:val="0"/>
              <w:rPr>
                <w:rFonts w:cstheme="minorBidi"/>
              </w:rPr>
            </w:pPr>
            <w:r w:rsidRPr="00073574">
              <w:rPr>
                <w:rFonts w:cstheme="minorBidi"/>
              </w:rPr>
              <w:t>ITU-T Y.Supp.33 to ITU-T Y.4000 series "Smart Sustainable Cities - Master plan";</w:t>
            </w:r>
          </w:p>
          <w:p w14:paraId="19FA2672" w14:textId="77777777" w:rsidR="0019778A" w:rsidRPr="00073574" w:rsidRDefault="005E0B71" w:rsidP="004319C7">
            <w:pPr>
              <w:pStyle w:val="ListParagraph"/>
              <w:numPr>
                <w:ilvl w:val="1"/>
                <w:numId w:val="37"/>
              </w:numPr>
              <w:ind w:hanging="357"/>
              <w:contextualSpacing w:val="0"/>
              <w:rPr>
                <w:rFonts w:cstheme="minorBidi"/>
              </w:rPr>
            </w:pPr>
            <w:r w:rsidRPr="00073574">
              <w:rPr>
                <w:rFonts w:cstheme="minorBidi"/>
              </w:rPr>
              <w:t>ITU-T Y.Supp.32 to ITU-T Y.4000 series "Smart sustainable citi</w:t>
            </w:r>
            <w:r w:rsidR="0019778A" w:rsidRPr="00073574">
              <w:rPr>
                <w:rFonts w:cstheme="minorBidi"/>
              </w:rPr>
              <w:t>es - a guide for city leaders";</w:t>
            </w:r>
          </w:p>
          <w:p w14:paraId="57DBE70F" w14:textId="45CC2CCB" w:rsidR="1AE26FFA" w:rsidRPr="00073574" w:rsidRDefault="1AE26FFA" w:rsidP="004319C7">
            <w:pPr>
              <w:pStyle w:val="ListParagraph"/>
              <w:numPr>
                <w:ilvl w:val="1"/>
                <w:numId w:val="37"/>
              </w:numPr>
              <w:ind w:hanging="357"/>
              <w:contextualSpacing w:val="0"/>
              <w:rPr>
                <w:rFonts w:eastAsia="Times New Roman"/>
              </w:rPr>
            </w:pPr>
            <w:r w:rsidRPr="00073574">
              <w:t>ITU-T Y.Suppl.61 “Features of application programming interface (APIs) for IoT data in smart cities and communities”;</w:t>
            </w:r>
          </w:p>
          <w:p w14:paraId="7BFE030B" w14:textId="361E3093" w:rsidR="1AE26FFA" w:rsidRPr="00073574" w:rsidRDefault="1AE26FFA" w:rsidP="004319C7">
            <w:pPr>
              <w:pStyle w:val="ListParagraph"/>
              <w:numPr>
                <w:ilvl w:val="1"/>
                <w:numId w:val="37"/>
              </w:numPr>
              <w:ind w:hanging="357"/>
              <w:contextualSpacing w:val="0"/>
              <w:rPr>
                <w:rFonts w:eastAsia="Times New Roman"/>
              </w:rPr>
            </w:pPr>
            <w:r w:rsidRPr="00073574">
              <w:t>ITU-T Y.Suppl.62 “Overview of blockchain for supporting Internet of things and smart cities and communities in data processing and management aspects”;</w:t>
            </w:r>
          </w:p>
          <w:p w14:paraId="7444D6DC" w14:textId="7A7E3C52" w:rsidR="1AE26FFA" w:rsidRPr="00073574" w:rsidRDefault="1AE26FFA" w:rsidP="004319C7">
            <w:pPr>
              <w:pStyle w:val="ListParagraph"/>
              <w:numPr>
                <w:ilvl w:val="1"/>
                <w:numId w:val="37"/>
              </w:numPr>
              <w:ind w:hanging="357"/>
              <w:contextualSpacing w:val="0"/>
              <w:rPr>
                <w:rFonts w:asciiTheme="minorHAnsi" w:hAnsiTheme="minorHAnsi" w:cstheme="minorBidi"/>
              </w:rPr>
            </w:pPr>
            <w:r w:rsidRPr="00073574">
              <w:t>ITU-T Y.Suppl.63 “Unlocking Internet of things with artificial intelligence”</w:t>
            </w:r>
            <w:r w:rsidR="00571A72" w:rsidRPr="00073574">
              <w:t>;</w:t>
            </w:r>
          </w:p>
          <w:p w14:paraId="5AFC2D82" w14:textId="77777777" w:rsidR="00571A72" w:rsidRPr="00073574" w:rsidRDefault="00571A72" w:rsidP="004319C7">
            <w:pPr>
              <w:pStyle w:val="ListParagraph"/>
              <w:numPr>
                <w:ilvl w:val="1"/>
                <w:numId w:val="37"/>
              </w:numPr>
              <w:ind w:hanging="357"/>
              <w:contextualSpacing w:val="0"/>
              <w:rPr>
                <w:rFonts w:eastAsia="Times New Roman"/>
              </w:rPr>
            </w:pPr>
            <w:r w:rsidRPr="00073574">
              <w:rPr>
                <w:rFonts w:eastAsia="Times New Roman"/>
              </w:rPr>
              <w:t>ITU-T Y.Suppl.68 “Framework for Internet of Things ecosystem Master Plan”;</w:t>
            </w:r>
          </w:p>
          <w:p w14:paraId="6CCBA169" w14:textId="47D1D279" w:rsidR="00571A72" w:rsidRPr="00073574" w:rsidRDefault="00571A72" w:rsidP="004319C7">
            <w:pPr>
              <w:pStyle w:val="ListParagraph"/>
              <w:numPr>
                <w:ilvl w:val="1"/>
                <w:numId w:val="37"/>
              </w:numPr>
              <w:ind w:hanging="357"/>
              <w:contextualSpacing w:val="0"/>
              <w:rPr>
                <w:rFonts w:eastAsia="Times New Roman"/>
              </w:rPr>
            </w:pPr>
            <w:r w:rsidRPr="00073574">
              <w:rPr>
                <w:rFonts w:eastAsia="Times New Roman"/>
              </w:rPr>
              <w:t>ITU-T Y.Suppl.69 “Web based data model for IoT and smart city systems and services”.</w:t>
            </w:r>
          </w:p>
          <w:p w14:paraId="57845382" w14:textId="7D78588C" w:rsidR="00AE0B5E" w:rsidRPr="00073574" w:rsidRDefault="00AE0B5E" w:rsidP="00AE0B5E">
            <w:pPr>
              <w:spacing w:after="40"/>
              <w:ind w:left="403"/>
              <w:rPr>
                <w:rFonts w:eastAsia="Times New Roman"/>
                <w:szCs w:val="22"/>
              </w:rPr>
            </w:pPr>
            <w:r w:rsidRPr="00073574">
              <w:rPr>
                <w:rFonts w:eastAsia="Times New Roman"/>
                <w:szCs w:val="22"/>
              </w:rPr>
              <w:t xml:space="preserve">SG20 approved Recommendations are found at: </w:t>
            </w:r>
            <w:hyperlink r:id="rId868" w:history="1">
              <w:r w:rsidR="00904B04" w:rsidRPr="00073574">
                <w:rPr>
                  <w:rStyle w:val="Hyperlink"/>
                  <w:rFonts w:eastAsia="Times New Roman"/>
                  <w:szCs w:val="22"/>
                </w:rPr>
                <w:t>https://www.itu.int/ITU-T/recommendations/index_sg.aspx?sg=20</w:t>
              </w:r>
            </w:hyperlink>
            <w:r w:rsidR="00904B04" w:rsidRPr="00073574">
              <w:rPr>
                <w:rFonts w:eastAsia="Times New Roman"/>
                <w:szCs w:val="22"/>
              </w:rPr>
              <w:t xml:space="preserve"> </w:t>
            </w:r>
          </w:p>
          <w:p w14:paraId="2A1FF97E" w14:textId="2929C6DB" w:rsidR="00AE0B5E" w:rsidRPr="00073574" w:rsidRDefault="00AE0B5E" w:rsidP="00E952BD">
            <w:pPr>
              <w:spacing w:after="40"/>
              <w:ind w:left="403"/>
              <w:rPr>
                <w:rFonts w:eastAsia="Times New Roman"/>
                <w:szCs w:val="22"/>
              </w:rPr>
            </w:pPr>
            <w:r w:rsidRPr="00073574">
              <w:rPr>
                <w:rFonts w:eastAsia="Times New Roman"/>
                <w:szCs w:val="22"/>
              </w:rPr>
              <w:t xml:space="preserve">SG20 </w:t>
            </w:r>
            <w:r w:rsidRPr="00073574">
              <w:rPr>
                <w:rStyle w:val="Hyperlink"/>
                <w:color w:val="auto"/>
                <w:u w:val="none"/>
              </w:rPr>
              <w:t>ongoing work items are found at:</w:t>
            </w:r>
            <w:r w:rsidR="00904B04" w:rsidRPr="00073574">
              <w:t xml:space="preserve"> </w:t>
            </w:r>
            <w:hyperlink r:id="rId869" w:history="1">
              <w:r w:rsidR="00904B04" w:rsidRPr="00073574">
                <w:rPr>
                  <w:rStyle w:val="Hyperlink"/>
                </w:rPr>
                <w:t>https://www.itu.int/ITU-T/workprog/wp_search.aspx?sg=20</w:t>
              </w:r>
            </w:hyperlink>
            <w:r w:rsidR="00904B04" w:rsidRPr="00073574">
              <w:rPr>
                <w:rStyle w:val="Hyperlink"/>
                <w:color w:val="auto"/>
                <w:u w:val="none"/>
              </w:rPr>
              <w:t xml:space="preserve"> </w:t>
            </w:r>
          </w:p>
          <w:p w14:paraId="75B230A2" w14:textId="5C5B0A6C" w:rsidR="00A40146" w:rsidRPr="00073574" w:rsidRDefault="42F3B7BA" w:rsidP="00571A72">
            <w:pPr>
              <w:pStyle w:val="ListParagraph"/>
              <w:numPr>
                <w:ilvl w:val="0"/>
                <w:numId w:val="37"/>
              </w:numPr>
              <w:tabs>
                <w:tab w:val="left" w:pos="720"/>
              </w:tabs>
              <w:snapToGrid w:val="0"/>
              <w:spacing w:after="120"/>
              <w:contextualSpacing w:val="0"/>
              <w:rPr>
                <w:rStyle w:val="Hyperlink"/>
                <w:color w:val="auto"/>
                <w:u w:val="none"/>
              </w:rPr>
            </w:pPr>
            <w:r w:rsidRPr="00073574">
              <w:rPr>
                <w:rStyle w:val="Hyperlink"/>
                <w:color w:val="auto"/>
                <w:u w:val="none"/>
              </w:rPr>
              <w:t>Q6/17 title was updated to highlight its mandate on IoT security</w:t>
            </w:r>
            <w:r w:rsidR="257549C7" w:rsidRPr="00073574">
              <w:rPr>
                <w:rStyle w:val="Hyperlink"/>
                <w:color w:val="auto"/>
                <w:u w:val="none"/>
              </w:rPr>
              <w:t xml:space="preserve"> and approved:</w:t>
            </w:r>
          </w:p>
          <w:p w14:paraId="6F5DF55A" w14:textId="693FB1D9" w:rsidR="00A40146" w:rsidRPr="00073574" w:rsidRDefault="7D88560F" w:rsidP="00571A72">
            <w:pPr>
              <w:pStyle w:val="ListParagraph"/>
              <w:numPr>
                <w:ilvl w:val="1"/>
                <w:numId w:val="37"/>
              </w:numPr>
              <w:tabs>
                <w:tab w:val="left" w:pos="720"/>
              </w:tabs>
              <w:snapToGrid w:val="0"/>
              <w:spacing w:after="120"/>
              <w:contextualSpacing w:val="0"/>
              <w:rPr>
                <w:rFonts w:eastAsia="Times New Roman"/>
              </w:rPr>
            </w:pPr>
            <w:r w:rsidRPr="00073574">
              <w:rPr>
                <w:rFonts w:eastAsia="Times New Roman"/>
              </w:rPr>
              <w:t xml:space="preserve">ITU-T X.1361, </w:t>
            </w:r>
            <w:r w:rsidRPr="00073574">
              <w:rPr>
                <w:rFonts w:eastAsia="Times New Roman"/>
                <w:i/>
                <w:iCs/>
              </w:rPr>
              <w:t>Security framework for the Internet of things based on the gateway model</w:t>
            </w:r>
            <w:r w:rsidRPr="00073574">
              <w:rPr>
                <w:rFonts w:eastAsia="Times New Roman"/>
              </w:rPr>
              <w:t>,</w:t>
            </w:r>
          </w:p>
          <w:p w14:paraId="2681B895" w14:textId="26B91EB5" w:rsidR="00A40146" w:rsidRPr="00073574" w:rsidRDefault="7D88560F" w:rsidP="00571A72">
            <w:pPr>
              <w:pStyle w:val="ListParagraph"/>
              <w:numPr>
                <w:ilvl w:val="1"/>
                <w:numId w:val="37"/>
              </w:numPr>
              <w:tabs>
                <w:tab w:val="left" w:pos="720"/>
              </w:tabs>
              <w:snapToGrid w:val="0"/>
              <w:spacing w:after="120"/>
              <w:contextualSpacing w:val="0"/>
            </w:pPr>
            <w:r w:rsidRPr="00073574">
              <w:rPr>
                <w:rFonts w:eastAsia="Times New Roman"/>
              </w:rPr>
              <w:t xml:space="preserve">ITU-T X.1362, </w:t>
            </w:r>
            <w:r w:rsidRPr="00073574">
              <w:rPr>
                <w:rFonts w:eastAsia="Times New Roman"/>
                <w:i/>
                <w:iCs/>
              </w:rPr>
              <w:t>Simple encryption procedure for Internet of things (IoT) environments</w:t>
            </w:r>
            <w:r w:rsidRPr="00073574">
              <w:rPr>
                <w:rFonts w:eastAsia="Times New Roman"/>
              </w:rPr>
              <w:t>,</w:t>
            </w:r>
          </w:p>
          <w:p w14:paraId="4D196C6A" w14:textId="0CFE9B05" w:rsidR="00A40146" w:rsidRPr="00073574" w:rsidRDefault="7D88560F" w:rsidP="00571A72">
            <w:pPr>
              <w:pStyle w:val="ListParagraph"/>
              <w:numPr>
                <w:ilvl w:val="1"/>
                <w:numId w:val="37"/>
              </w:numPr>
              <w:tabs>
                <w:tab w:val="left" w:pos="720"/>
              </w:tabs>
              <w:snapToGrid w:val="0"/>
              <w:spacing w:after="120"/>
              <w:contextualSpacing w:val="0"/>
            </w:pPr>
            <w:r w:rsidRPr="00073574">
              <w:rPr>
                <w:rFonts w:eastAsia="Times New Roman"/>
              </w:rPr>
              <w:t xml:space="preserve">ITU-T X.1363, </w:t>
            </w:r>
            <w:r w:rsidRPr="00073574">
              <w:rPr>
                <w:rFonts w:eastAsia="Times New Roman"/>
                <w:i/>
                <w:iCs/>
              </w:rPr>
              <w:t>Technical framework of personally identifiable information (PII) handling system in Internet of things (IoT) environment</w:t>
            </w:r>
            <w:r w:rsidRPr="00073574">
              <w:rPr>
                <w:rFonts w:eastAsia="Times New Roman"/>
              </w:rPr>
              <w:t>,</w:t>
            </w:r>
          </w:p>
          <w:p w14:paraId="33DE79C8" w14:textId="3E3B88DF" w:rsidR="00A40146" w:rsidRPr="00073574" w:rsidRDefault="7D88560F" w:rsidP="00571A72">
            <w:pPr>
              <w:pStyle w:val="ListParagraph"/>
              <w:numPr>
                <w:ilvl w:val="1"/>
                <w:numId w:val="37"/>
              </w:numPr>
              <w:tabs>
                <w:tab w:val="left" w:pos="720"/>
              </w:tabs>
              <w:snapToGrid w:val="0"/>
              <w:spacing w:after="120"/>
              <w:contextualSpacing w:val="0"/>
            </w:pPr>
            <w:r w:rsidRPr="00073574">
              <w:rPr>
                <w:rFonts w:eastAsia="Times New Roman"/>
              </w:rPr>
              <w:t xml:space="preserve">ITU-T X.1364, </w:t>
            </w:r>
            <w:r w:rsidRPr="00073574">
              <w:rPr>
                <w:rFonts w:eastAsia="Times New Roman"/>
                <w:i/>
                <w:iCs/>
              </w:rPr>
              <w:t>Security requirements and framework for narrow band Internet of things</w:t>
            </w:r>
            <w:r w:rsidRPr="00073574">
              <w:rPr>
                <w:rFonts w:eastAsia="Times New Roman"/>
              </w:rPr>
              <w:t>,</w:t>
            </w:r>
          </w:p>
          <w:p w14:paraId="34667943" w14:textId="54CD4559" w:rsidR="00A40146" w:rsidRPr="00073574" w:rsidRDefault="7D88560F" w:rsidP="00571A72">
            <w:pPr>
              <w:pStyle w:val="ListParagraph"/>
              <w:numPr>
                <w:ilvl w:val="1"/>
                <w:numId w:val="37"/>
              </w:numPr>
              <w:tabs>
                <w:tab w:val="left" w:pos="720"/>
              </w:tabs>
              <w:snapToGrid w:val="0"/>
              <w:spacing w:after="120"/>
              <w:contextualSpacing w:val="0"/>
            </w:pPr>
            <w:r w:rsidRPr="00073574">
              <w:rPr>
                <w:rFonts w:eastAsia="Times New Roman"/>
              </w:rPr>
              <w:lastRenderedPageBreak/>
              <w:t xml:space="preserve">ITU-T X.1365, </w:t>
            </w:r>
            <w:r w:rsidRPr="00073574">
              <w:rPr>
                <w:rFonts w:eastAsia="Times New Roman"/>
                <w:i/>
                <w:iCs/>
              </w:rPr>
              <w:t>Security methodology for the use of identity-based cryptography in support of Internet of things services over telecommunication networks</w:t>
            </w:r>
            <w:r w:rsidRPr="00073574">
              <w:rPr>
                <w:rFonts w:eastAsia="Times New Roman"/>
              </w:rPr>
              <w:t>,</w:t>
            </w:r>
          </w:p>
          <w:p w14:paraId="10A2843D" w14:textId="0282E8DC" w:rsidR="00A40146" w:rsidRPr="00073574" w:rsidRDefault="7D88560F" w:rsidP="00571A72">
            <w:pPr>
              <w:pStyle w:val="ListParagraph"/>
              <w:numPr>
                <w:ilvl w:val="1"/>
                <w:numId w:val="37"/>
              </w:numPr>
              <w:tabs>
                <w:tab w:val="left" w:pos="720"/>
              </w:tabs>
              <w:snapToGrid w:val="0"/>
              <w:spacing w:after="120"/>
              <w:contextualSpacing w:val="0"/>
              <w:rPr>
                <w:rFonts w:eastAsia="Times New Roman"/>
              </w:rPr>
            </w:pPr>
            <w:r w:rsidRPr="00073574">
              <w:rPr>
                <w:rFonts w:eastAsia="Times New Roman"/>
              </w:rPr>
              <w:t xml:space="preserve">ITU-T X.1366, </w:t>
            </w:r>
            <w:r w:rsidRPr="00073574">
              <w:rPr>
                <w:rFonts w:eastAsia="Times New Roman"/>
                <w:i/>
                <w:iCs/>
              </w:rPr>
              <w:t>Aggregate message authentication scheme for IoT environment</w:t>
            </w:r>
            <w:r w:rsidR="00D617DE" w:rsidRPr="00073574">
              <w:rPr>
                <w:rFonts w:eastAsia="Times New Roman"/>
              </w:rPr>
              <w:t>,</w:t>
            </w:r>
          </w:p>
          <w:p w14:paraId="6EA4B930" w14:textId="732BDF17" w:rsidR="00A40146" w:rsidRPr="00073574" w:rsidRDefault="7D88560F" w:rsidP="00571A72">
            <w:pPr>
              <w:pStyle w:val="ListParagraph"/>
              <w:numPr>
                <w:ilvl w:val="1"/>
                <w:numId w:val="37"/>
              </w:numPr>
              <w:tabs>
                <w:tab w:val="left" w:pos="720"/>
              </w:tabs>
              <w:snapToGrid w:val="0"/>
              <w:spacing w:after="120"/>
              <w:contextualSpacing w:val="0"/>
              <w:rPr>
                <w:rFonts w:eastAsia="Times New Roman"/>
                <w:i/>
              </w:rPr>
            </w:pPr>
            <w:r w:rsidRPr="00073574">
              <w:rPr>
                <w:rFonts w:eastAsia="Times New Roman"/>
              </w:rPr>
              <w:t>ITU-T X.1367,</w:t>
            </w:r>
            <w:r w:rsidRPr="00073574">
              <w:rPr>
                <w:rFonts w:eastAsia="Times New Roman"/>
                <w:i/>
                <w:iCs/>
              </w:rPr>
              <w:t xml:space="preserve"> Standard format for Internet of things error logs for security incident operations</w:t>
            </w:r>
            <w:r w:rsidR="00D617DE" w:rsidRPr="00073574">
              <w:rPr>
                <w:rFonts w:eastAsia="Times New Roman"/>
              </w:rPr>
              <w:t>,</w:t>
            </w:r>
          </w:p>
          <w:p w14:paraId="1CFF4B75" w14:textId="1A621263" w:rsidR="00B0312D" w:rsidRPr="00073574" w:rsidRDefault="00B0312D" w:rsidP="00B0312D">
            <w:pPr>
              <w:pStyle w:val="ListParagraph"/>
              <w:numPr>
                <w:ilvl w:val="1"/>
                <w:numId w:val="37"/>
              </w:numPr>
              <w:rPr>
                <w:rFonts w:eastAsia="Times New Roman"/>
                <w:i/>
                <w:iCs/>
              </w:rPr>
            </w:pPr>
            <w:r w:rsidRPr="00073574">
              <w:rPr>
                <w:rFonts w:eastAsia="Times New Roman"/>
              </w:rPr>
              <w:t>ITU-T X.136</w:t>
            </w:r>
            <w:r w:rsidR="0035098B" w:rsidRPr="00073574">
              <w:rPr>
                <w:rFonts w:eastAsia="Times New Roman"/>
              </w:rPr>
              <w:t>8</w:t>
            </w:r>
            <w:r w:rsidRPr="00073574">
              <w:rPr>
                <w:rFonts w:eastAsia="Times New Roman"/>
              </w:rPr>
              <w:t>,</w:t>
            </w:r>
            <w:r w:rsidRPr="00073574">
              <w:rPr>
                <w:rFonts w:eastAsia="Times New Roman"/>
                <w:i/>
                <w:iCs/>
              </w:rPr>
              <w:t xml:space="preserve"> </w:t>
            </w:r>
            <w:r w:rsidR="0035098B" w:rsidRPr="00073574">
              <w:rPr>
                <w:rFonts w:eastAsia="Times New Roman"/>
                <w:i/>
                <w:iCs/>
              </w:rPr>
              <w:t>Secure firmware/software update for Internet of things (IoT) devices</w:t>
            </w:r>
            <w:r w:rsidRPr="00073574">
              <w:rPr>
                <w:rFonts w:eastAsia="Times New Roman"/>
                <w:i/>
                <w:iCs/>
              </w:rPr>
              <w:t>,</w:t>
            </w:r>
          </w:p>
          <w:p w14:paraId="5B245117" w14:textId="16A5B0FD" w:rsidR="00B0312D" w:rsidRPr="00073574" w:rsidRDefault="0035098B" w:rsidP="00D15CA7">
            <w:pPr>
              <w:pStyle w:val="ListParagraph"/>
              <w:numPr>
                <w:ilvl w:val="1"/>
                <w:numId w:val="37"/>
              </w:numPr>
              <w:tabs>
                <w:tab w:val="left" w:pos="720"/>
              </w:tabs>
              <w:snapToGrid w:val="0"/>
              <w:spacing w:after="120"/>
              <w:contextualSpacing w:val="0"/>
              <w:rPr>
                <w:rFonts w:eastAsia="Times New Roman"/>
                <w:i/>
                <w:iCs/>
              </w:rPr>
            </w:pPr>
            <w:r w:rsidRPr="00073574">
              <w:rPr>
                <w:rFonts w:eastAsia="Times New Roman"/>
              </w:rPr>
              <w:t>ITU-T X.1369,</w:t>
            </w:r>
            <w:r w:rsidRPr="00073574">
              <w:rPr>
                <w:rFonts w:eastAsia="Times New Roman"/>
                <w:i/>
                <w:iCs/>
              </w:rPr>
              <w:t xml:space="preserve"> Security Requirements for IoT Service Platform,</w:t>
            </w:r>
          </w:p>
          <w:p w14:paraId="1C2172FE" w14:textId="751A64C6" w:rsidR="00A40146" w:rsidRPr="00073574" w:rsidRDefault="7D88560F" w:rsidP="00571A72">
            <w:pPr>
              <w:pStyle w:val="ListParagraph"/>
              <w:numPr>
                <w:ilvl w:val="1"/>
                <w:numId w:val="37"/>
              </w:numPr>
              <w:tabs>
                <w:tab w:val="left" w:pos="720"/>
              </w:tabs>
              <w:snapToGrid w:val="0"/>
              <w:spacing w:after="120"/>
              <w:contextualSpacing w:val="0"/>
            </w:pPr>
            <w:r w:rsidRPr="00073574">
              <w:rPr>
                <w:rFonts w:eastAsia="Times New Roman"/>
              </w:rPr>
              <w:t xml:space="preserve">X.Suppl.31, </w:t>
            </w:r>
            <w:r w:rsidRPr="00073574">
              <w:rPr>
                <w:rFonts w:eastAsia="Times New Roman"/>
                <w:i/>
                <w:iCs/>
              </w:rPr>
              <w:t>Supplement 31 to ITU-T X-series Recommendations - ITU-T X.660 Guidelines for using object identifiers for the Internet of things</w:t>
            </w:r>
            <w:r w:rsidR="00D617DE" w:rsidRPr="00073574">
              <w:rPr>
                <w:rFonts w:eastAsia="Times New Roman"/>
                <w:i/>
                <w:iCs/>
              </w:rPr>
              <w:t>.</w:t>
            </w:r>
          </w:p>
          <w:p w14:paraId="219663B6" w14:textId="5039EE25" w:rsidR="007C4EA6" w:rsidRPr="00073574" w:rsidRDefault="005E0B71" w:rsidP="00A40146">
            <w:pPr>
              <w:pStyle w:val="ListParagraph"/>
              <w:tabs>
                <w:tab w:val="left" w:pos="720"/>
              </w:tabs>
              <w:snapToGrid w:val="0"/>
              <w:spacing w:after="120"/>
              <w:ind w:left="363"/>
              <w:contextualSpacing w:val="0"/>
            </w:pPr>
            <w:r w:rsidRPr="00073574">
              <w:rPr>
                <w:rFonts w:cstheme="minorHAnsi"/>
                <w:szCs w:val="22"/>
              </w:rPr>
              <w:t>SG17</w:t>
            </w:r>
            <w:r w:rsidRPr="00073574">
              <w:rPr>
                <w:rStyle w:val="Hyperlink"/>
                <w:color w:val="auto"/>
                <w:u w:val="none"/>
              </w:rPr>
              <w:t xml:space="preserve"> approved Recommendation</w:t>
            </w:r>
            <w:r w:rsidR="00AE3D84" w:rsidRPr="00073574">
              <w:rPr>
                <w:rStyle w:val="Hyperlink"/>
                <w:color w:val="auto"/>
                <w:u w:val="none"/>
              </w:rPr>
              <w:t>s</w:t>
            </w:r>
            <w:r w:rsidRPr="00073574">
              <w:rPr>
                <w:rStyle w:val="Hyperlink"/>
                <w:color w:val="auto"/>
                <w:u w:val="none"/>
              </w:rPr>
              <w:t xml:space="preserve"> </w:t>
            </w:r>
            <w:r w:rsidR="00AE3D84" w:rsidRPr="00073574">
              <w:rPr>
                <w:rStyle w:val="Hyperlink"/>
                <w:color w:val="auto"/>
                <w:u w:val="none"/>
              </w:rPr>
              <w:t xml:space="preserve">on IoT Security are found at </w:t>
            </w:r>
            <w:hyperlink r:id="rId870" w:history="1">
              <w:r w:rsidR="00AE3D84" w:rsidRPr="00073574">
                <w:rPr>
                  <w:rStyle w:val="Hyperlink"/>
                </w:rPr>
                <w:t>https://www.itu.int/itu-t/workprog/wp_search.aspx?isn_sp=3925&amp;isn_sg=3935&amp;isn_status=-1,2&amp;sum=IoT&amp;details=0&amp;field=acdefghijo</w:t>
              </w:r>
            </w:hyperlink>
            <w:r w:rsidR="00A40146" w:rsidRPr="00073574">
              <w:rPr>
                <w:rStyle w:val="Hyperlink"/>
                <w:color w:val="auto"/>
                <w:szCs w:val="22"/>
                <w:u w:val="none"/>
              </w:rPr>
              <w:br/>
            </w:r>
            <w:r w:rsidR="00AE3D84" w:rsidRPr="00073574">
              <w:rPr>
                <w:rStyle w:val="Hyperlink"/>
                <w:color w:val="auto"/>
                <w:u w:val="none"/>
              </w:rPr>
              <w:t xml:space="preserve">SG17 ongoing work items on IoT </w:t>
            </w:r>
            <w:r w:rsidR="00AE3D84" w:rsidRPr="00073574">
              <w:rPr>
                <w:rStyle w:val="Hyperlink"/>
                <w:color w:val="auto"/>
                <w:u w:val="none"/>
                <w:lang w:eastAsia="zh-CN"/>
              </w:rPr>
              <w:t>security</w:t>
            </w:r>
            <w:r w:rsidR="00AE3D84" w:rsidRPr="00073574">
              <w:rPr>
                <w:rStyle w:val="Hyperlink"/>
                <w:color w:val="auto"/>
                <w:u w:val="none"/>
              </w:rPr>
              <w:t xml:space="preserve"> are found at: </w:t>
            </w:r>
            <w:hyperlink r:id="rId871" w:history="1">
              <w:r w:rsidR="00AE3D84" w:rsidRPr="00073574">
                <w:rPr>
                  <w:rStyle w:val="Hyperlink"/>
                </w:rPr>
                <w:t>https://www.itu.int/itu-t/workprog/wp_search.aspx?isn_sp=3925&amp;isn_sg=3935&amp;isn_status=-1,1,3&amp;sum=IoT&amp;details=0&amp;field=acdefghijo</w:t>
              </w:r>
            </w:hyperlink>
            <w:r w:rsidR="00AE3D84" w:rsidRPr="00073574">
              <w:t>.</w:t>
            </w:r>
          </w:p>
        </w:tc>
      </w:tr>
      <w:tr w:rsidR="005E0B71" w:rsidRPr="00073574" w14:paraId="610015B7" w14:textId="77777777" w:rsidTr="7277BFE4">
        <w:tc>
          <w:tcPr>
            <w:tcW w:w="1130" w:type="dxa"/>
            <w:vMerge w:val="restart"/>
            <w:tcBorders>
              <w:top w:val="single" w:sz="12" w:space="0" w:color="auto"/>
            </w:tcBorders>
            <w:shd w:val="clear" w:color="auto" w:fill="auto"/>
          </w:tcPr>
          <w:p w14:paraId="2B03464E" w14:textId="7271F9CD" w:rsidR="005E0B71" w:rsidRPr="00073574" w:rsidRDefault="005E0B71" w:rsidP="005E0B71">
            <w:pPr>
              <w:pStyle w:val="Tabletext"/>
              <w:rPr>
                <w:b/>
                <w:bCs/>
                <w:sz w:val="24"/>
                <w:szCs w:val="24"/>
              </w:rPr>
            </w:pPr>
            <w:r w:rsidRPr="00073574">
              <w:rPr>
                <w:b/>
                <w:bCs/>
                <w:sz w:val="24"/>
                <w:szCs w:val="24"/>
              </w:rPr>
              <w:lastRenderedPageBreak/>
              <w:t>98-02</w:t>
            </w:r>
          </w:p>
        </w:tc>
        <w:tc>
          <w:tcPr>
            <w:tcW w:w="4988" w:type="dxa"/>
            <w:tcBorders>
              <w:top w:val="single" w:sz="12" w:space="0" w:color="auto"/>
              <w:bottom w:val="single" w:sz="4" w:space="0" w:color="auto"/>
            </w:tcBorders>
            <w:shd w:val="clear" w:color="auto" w:fill="auto"/>
          </w:tcPr>
          <w:p w14:paraId="37ACF208" w14:textId="17E7F01C" w:rsidR="005E0B71" w:rsidRPr="00073574" w:rsidRDefault="005E0B71" w:rsidP="005E0B71">
            <w:pPr>
              <w:pStyle w:val="Tabletext"/>
              <w:keepNext/>
              <w:keepLines/>
              <w:rPr>
                <w:b/>
                <w:bCs/>
                <w:sz w:val="24"/>
                <w:szCs w:val="24"/>
              </w:rPr>
            </w:pPr>
            <w:r w:rsidRPr="00073574">
              <w:rPr>
                <w:b/>
                <w:bCs/>
                <w:sz w:val="24"/>
                <w:szCs w:val="24"/>
              </w:rPr>
              <w:t>SG20 to continue, within its mandate, to work with a special focus on the design of a roadmap and harmonized and coordinated international telecommunication standards for the development of IoT, taking into account the needs of each region and fostering a competitive environment (resolves i. SG20 2)</w:t>
            </w:r>
          </w:p>
        </w:tc>
        <w:tc>
          <w:tcPr>
            <w:tcW w:w="1335" w:type="dxa"/>
            <w:tcBorders>
              <w:top w:val="single" w:sz="12" w:space="0" w:color="auto"/>
              <w:bottom w:val="single" w:sz="4" w:space="0" w:color="auto"/>
            </w:tcBorders>
            <w:shd w:val="clear" w:color="auto" w:fill="auto"/>
            <w:vAlign w:val="center"/>
          </w:tcPr>
          <w:p w14:paraId="00CDF2A1" w14:textId="37F32276" w:rsidR="005E0B71" w:rsidRPr="00073574" w:rsidRDefault="005E0B71" w:rsidP="005E0B71">
            <w:pPr>
              <w:pStyle w:val="Tabletext"/>
              <w:jc w:val="center"/>
              <w:rPr>
                <w:b/>
                <w:bCs/>
                <w:sz w:val="24"/>
                <w:szCs w:val="24"/>
              </w:rPr>
            </w:pPr>
            <w:r w:rsidRPr="00073574">
              <w:rPr>
                <w:b/>
                <w:bCs/>
                <w:sz w:val="24"/>
                <w:szCs w:val="24"/>
              </w:rPr>
              <w:t>Ongoing</w:t>
            </w:r>
          </w:p>
        </w:tc>
        <w:tc>
          <w:tcPr>
            <w:tcW w:w="1143" w:type="dxa"/>
            <w:tcBorders>
              <w:top w:val="single" w:sz="12" w:space="0" w:color="auto"/>
              <w:bottom w:val="single" w:sz="4" w:space="0" w:color="auto"/>
            </w:tcBorders>
            <w:shd w:val="clear" w:color="auto" w:fill="auto"/>
            <w:vAlign w:val="center"/>
          </w:tcPr>
          <w:p w14:paraId="77E1B62B" w14:textId="057DDCDE" w:rsidR="005E0B71" w:rsidRPr="00073574" w:rsidRDefault="005E0B71" w:rsidP="005E0B71">
            <w:pPr>
              <w:pStyle w:val="Tabletext"/>
              <w:jc w:val="center"/>
              <w:rPr>
                <w:b/>
                <w:bCs/>
                <w:sz w:val="24"/>
                <w:szCs w:val="24"/>
              </w:rPr>
            </w:pPr>
            <w:r w:rsidRPr="00073574">
              <w:rPr>
                <w:b/>
                <w:bCs/>
                <w:sz w:val="24"/>
                <w:szCs w:val="24"/>
              </w:rPr>
              <w:t>√</w:t>
            </w:r>
          </w:p>
        </w:tc>
        <w:tc>
          <w:tcPr>
            <w:tcW w:w="1336" w:type="dxa"/>
            <w:tcBorders>
              <w:top w:val="single" w:sz="12" w:space="0" w:color="auto"/>
              <w:bottom w:val="single" w:sz="4" w:space="0" w:color="auto"/>
            </w:tcBorders>
            <w:shd w:val="clear" w:color="auto" w:fill="auto"/>
            <w:vAlign w:val="center"/>
          </w:tcPr>
          <w:p w14:paraId="29168BDB" w14:textId="77777777" w:rsidR="005E0B71" w:rsidRPr="00073574" w:rsidRDefault="005E0B71" w:rsidP="005E0B71">
            <w:pPr>
              <w:pStyle w:val="Tabletext"/>
              <w:jc w:val="center"/>
              <w:rPr>
                <w:b/>
                <w:bCs/>
                <w:sz w:val="24"/>
                <w:szCs w:val="24"/>
              </w:rPr>
            </w:pPr>
          </w:p>
        </w:tc>
      </w:tr>
      <w:tr w:rsidR="005E0B71" w:rsidRPr="00073574" w14:paraId="4CDDC421" w14:textId="77777777" w:rsidTr="7277BFE4">
        <w:tc>
          <w:tcPr>
            <w:tcW w:w="1130" w:type="dxa"/>
            <w:vMerge/>
          </w:tcPr>
          <w:p w14:paraId="5B4E006B" w14:textId="77777777" w:rsidR="005E0B71" w:rsidRPr="00073574" w:rsidRDefault="005E0B71" w:rsidP="005E0B71">
            <w:pPr>
              <w:pStyle w:val="Tabletext"/>
              <w:rPr>
                <w:sz w:val="24"/>
                <w:szCs w:val="24"/>
              </w:rPr>
            </w:pPr>
          </w:p>
        </w:tc>
        <w:tc>
          <w:tcPr>
            <w:tcW w:w="8802" w:type="dxa"/>
            <w:gridSpan w:val="4"/>
            <w:tcBorders>
              <w:top w:val="single" w:sz="4" w:space="0" w:color="auto"/>
              <w:bottom w:val="single" w:sz="12" w:space="0" w:color="auto"/>
            </w:tcBorders>
            <w:shd w:val="clear" w:color="auto" w:fill="auto"/>
          </w:tcPr>
          <w:p w14:paraId="7DF91051" w14:textId="543CCA14" w:rsidR="005E0B71" w:rsidRPr="00073574" w:rsidRDefault="15DF749D" w:rsidP="00366B4E">
            <w:pPr>
              <w:spacing w:line="257" w:lineRule="auto"/>
              <w:rPr>
                <w:szCs w:val="22"/>
              </w:rPr>
            </w:pPr>
            <w:r w:rsidRPr="00073574">
              <w:rPr>
                <w:rFonts w:asciiTheme="majorBidi" w:hAnsiTheme="majorBidi" w:cstheme="majorBidi"/>
              </w:rPr>
              <w:t xml:space="preserve">The </w:t>
            </w:r>
            <w:hyperlink r:id="rId872" w:anchor="?topic=0&amp;workgroup=1&amp;searchValue=&amp;page=1&amp;sort=Revelance">
              <w:r w:rsidRPr="00073574">
                <w:t>IoT and Smart Cities and Communities Standards Roadmap</w:t>
              </w:r>
            </w:hyperlink>
            <w:r w:rsidRPr="00073574">
              <w:rPr>
                <w:rFonts w:asciiTheme="majorBidi" w:hAnsiTheme="majorBidi" w:cstheme="majorBidi"/>
              </w:rPr>
              <w:t xml:space="preserve"> documents complete as well as ongoing work on IoT and Smart Cities and Communities by ITU-T as well as a range of standards other standards bodies.</w:t>
            </w:r>
            <w:r w:rsidRPr="00073574">
              <w:rPr>
                <w:rFonts w:asciiTheme="majorBidi" w:hAnsiTheme="majorBidi" w:cstheme="majorBidi"/>
                <w:i/>
                <w:iCs/>
              </w:rPr>
              <w:t xml:space="preserve"> </w:t>
            </w:r>
            <w:r w:rsidRPr="00073574">
              <w:rPr>
                <w:rFonts w:asciiTheme="majorBidi" w:hAnsiTheme="majorBidi" w:cstheme="majorBidi"/>
              </w:rPr>
              <w:t xml:space="preserve">This roadmap is maintained by the </w:t>
            </w:r>
            <w:hyperlink r:id="rId873">
              <w:r w:rsidRPr="00073574">
                <w:rPr>
                  <w:rStyle w:val="Hyperlink"/>
                  <w:rFonts w:asciiTheme="majorBidi" w:hAnsiTheme="majorBidi" w:cstheme="majorBidi"/>
                </w:rPr>
                <w:t>Joint Coordination Activity on Internet of Things and Smart Cities and Communities (JCA-IoT and SC&amp;C)</w:t>
              </w:r>
            </w:hyperlink>
            <w:r w:rsidR="61DB3045" w:rsidRPr="00073574">
              <w:rPr>
                <w:rStyle w:val="Hyperlink"/>
                <w:rFonts w:asciiTheme="majorBidi" w:hAnsiTheme="majorBidi" w:cstheme="majorBidi"/>
              </w:rPr>
              <w:t xml:space="preserve"> </w:t>
            </w:r>
            <w:r w:rsidR="61DB3045" w:rsidRPr="00073574">
              <w:rPr>
                <w:rStyle w:val="Hyperlink"/>
                <w:rFonts w:asciiTheme="majorBidi" w:hAnsiTheme="majorBidi" w:cstheme="majorBidi"/>
                <w:color w:val="auto"/>
                <w:u w:val="none"/>
              </w:rPr>
              <w:t>and is available</w:t>
            </w:r>
            <w:r w:rsidR="61DB3045" w:rsidRPr="00073574">
              <w:rPr>
                <w:rStyle w:val="Hyperlink"/>
                <w:rFonts w:asciiTheme="majorBidi" w:hAnsiTheme="majorBidi" w:cstheme="majorBidi"/>
                <w:color w:val="auto"/>
              </w:rPr>
              <w:t xml:space="preserve"> </w:t>
            </w:r>
            <w:hyperlink r:id="rId874" w:anchor="?topic=0.78&amp;workgroup=1&amp;searchValue=&amp;page=1&amp;sort=Revelance">
              <w:r w:rsidR="61DB3045" w:rsidRPr="00073574">
                <w:rPr>
                  <w:rStyle w:val="Hyperlink"/>
                  <w:rFonts w:asciiTheme="majorBidi" w:hAnsiTheme="majorBidi" w:cstheme="majorBidi"/>
                </w:rPr>
                <w:t>online</w:t>
              </w:r>
            </w:hyperlink>
            <w:r w:rsidR="61DB3045" w:rsidRPr="00073574">
              <w:rPr>
                <w:rStyle w:val="Hyperlink"/>
                <w:rFonts w:asciiTheme="majorBidi" w:hAnsiTheme="majorBidi" w:cstheme="majorBidi"/>
              </w:rPr>
              <w:t>.</w:t>
            </w:r>
            <w:r w:rsidR="0B18C2A1" w:rsidRPr="00073574">
              <w:rPr>
                <w:rStyle w:val="Hyperlink"/>
                <w:rFonts w:asciiTheme="majorBidi" w:hAnsiTheme="majorBidi" w:cstheme="majorBidi"/>
              </w:rPr>
              <w:t xml:space="preserve"> </w:t>
            </w:r>
            <w:r w:rsidR="0B18C2A1" w:rsidRPr="00073574">
              <w:rPr>
                <w:rFonts w:eastAsia="Times New Roman"/>
                <w:szCs w:val="22"/>
              </w:rPr>
              <w:t xml:space="preserve">The JCA IoT and SC&amp;C Roadmap is also available as </w:t>
            </w:r>
            <w:hyperlink r:id="rId875" w:history="1">
              <w:r w:rsidR="0B18C2A1" w:rsidRPr="00073574">
                <w:rPr>
                  <w:rStyle w:val="Hyperlink"/>
                  <w:rFonts w:eastAsia="Times New Roman"/>
                  <w:szCs w:val="22"/>
                </w:rPr>
                <w:t>Supplement ITU-T Y.Suppl.58</w:t>
              </w:r>
            </w:hyperlink>
            <w:r w:rsidR="0B18C2A1" w:rsidRPr="00073574">
              <w:rPr>
                <w:rFonts w:eastAsia="Times New Roman"/>
                <w:szCs w:val="22"/>
              </w:rPr>
              <w:t>: Internet of Things and smart cities and communities standards roadmap.</w:t>
            </w:r>
          </w:p>
          <w:p w14:paraId="6AF0B796" w14:textId="1DB9E709" w:rsidR="005E0B71" w:rsidRPr="00073574" w:rsidRDefault="0B18C2A1" w:rsidP="00366B4E">
            <w:pPr>
              <w:spacing w:line="257" w:lineRule="auto"/>
              <w:rPr>
                <w:rFonts w:eastAsia="Times New Roman"/>
                <w:szCs w:val="22"/>
              </w:rPr>
            </w:pPr>
            <w:r w:rsidRPr="00073574">
              <w:rPr>
                <w:rFonts w:eastAsia="Times New Roman"/>
              </w:rPr>
              <w:t>Joint Coordination Activity on Internet of Things and Smart Cities and Communities (JCA-IoT and SC&amp;C) meetings took place as follows:</w:t>
            </w:r>
          </w:p>
          <w:p w14:paraId="3EA7D754" w14:textId="36DCA23D" w:rsidR="00C621F3" w:rsidRPr="00073574" w:rsidRDefault="00C621F3" w:rsidP="00742FCB">
            <w:pPr>
              <w:pStyle w:val="ListParagraph"/>
              <w:numPr>
                <w:ilvl w:val="0"/>
                <w:numId w:val="10"/>
              </w:numPr>
              <w:ind w:left="714" w:hanging="357"/>
              <w:contextualSpacing w:val="0"/>
              <w:rPr>
                <w:rFonts w:eastAsia="Times New Roman"/>
              </w:rPr>
            </w:pPr>
            <w:r w:rsidRPr="00073574">
              <w:rPr>
                <w:rFonts w:eastAsia="Times New Roman"/>
              </w:rPr>
              <w:t>Virtual, 7 October 2021</w:t>
            </w:r>
          </w:p>
          <w:p w14:paraId="3DA0BA2B" w14:textId="29B5CDE0" w:rsidR="00897815" w:rsidRPr="00073574" w:rsidRDefault="00897815" w:rsidP="00742FCB">
            <w:pPr>
              <w:pStyle w:val="ListParagraph"/>
              <w:numPr>
                <w:ilvl w:val="0"/>
                <w:numId w:val="10"/>
              </w:numPr>
              <w:ind w:left="714" w:hanging="357"/>
              <w:contextualSpacing w:val="0"/>
              <w:rPr>
                <w:rFonts w:eastAsia="Times New Roman"/>
              </w:rPr>
            </w:pPr>
            <w:r w:rsidRPr="00073574">
              <w:rPr>
                <w:rFonts w:eastAsia="Times New Roman"/>
              </w:rPr>
              <w:t>Virtual, 23 April 2021</w:t>
            </w:r>
          </w:p>
          <w:p w14:paraId="6525305E" w14:textId="7BF9EA5C" w:rsidR="005E0B71" w:rsidRPr="00073574" w:rsidRDefault="0B18C2A1" w:rsidP="00742FCB">
            <w:pPr>
              <w:pStyle w:val="ListParagraph"/>
              <w:numPr>
                <w:ilvl w:val="0"/>
                <w:numId w:val="10"/>
              </w:numPr>
              <w:ind w:left="714" w:hanging="357"/>
              <w:contextualSpacing w:val="0"/>
              <w:rPr>
                <w:rFonts w:eastAsia="Times New Roman"/>
              </w:rPr>
            </w:pPr>
            <w:r w:rsidRPr="00073574">
              <w:rPr>
                <w:rFonts w:eastAsia="Times New Roman"/>
              </w:rPr>
              <w:t>Virtual, 26 June 2020</w:t>
            </w:r>
          </w:p>
          <w:p w14:paraId="04940CD4" w14:textId="4EA3AFFC" w:rsidR="005E0B71" w:rsidRPr="00073574" w:rsidRDefault="0B18C2A1" w:rsidP="00742FCB">
            <w:pPr>
              <w:pStyle w:val="ListParagraph"/>
              <w:numPr>
                <w:ilvl w:val="0"/>
                <w:numId w:val="10"/>
              </w:numPr>
              <w:ind w:left="714" w:hanging="357"/>
              <w:contextualSpacing w:val="0"/>
              <w:rPr>
                <w:rFonts w:eastAsia="Times New Roman"/>
              </w:rPr>
            </w:pPr>
            <w:r w:rsidRPr="00073574">
              <w:rPr>
                <w:rFonts w:eastAsia="Times New Roman"/>
              </w:rPr>
              <w:t>Geneva, 28 November 2019</w:t>
            </w:r>
          </w:p>
          <w:p w14:paraId="2113B735" w14:textId="3AFDC1E6" w:rsidR="005E0B71" w:rsidRPr="00073574" w:rsidRDefault="0B18C2A1" w:rsidP="00742FCB">
            <w:pPr>
              <w:pStyle w:val="ListParagraph"/>
              <w:numPr>
                <w:ilvl w:val="0"/>
                <w:numId w:val="10"/>
              </w:numPr>
              <w:ind w:left="714" w:hanging="357"/>
              <w:contextualSpacing w:val="0"/>
              <w:rPr>
                <w:rFonts w:eastAsia="Times New Roman"/>
              </w:rPr>
            </w:pPr>
            <w:r w:rsidRPr="00073574">
              <w:rPr>
                <w:rFonts w:eastAsia="Times New Roman"/>
              </w:rPr>
              <w:t>Geneva, 10 April 2019</w:t>
            </w:r>
          </w:p>
          <w:p w14:paraId="7E003556" w14:textId="51AA39CE" w:rsidR="005E0B71" w:rsidRPr="00073574" w:rsidRDefault="0B18C2A1" w:rsidP="00742FCB">
            <w:pPr>
              <w:pStyle w:val="ListParagraph"/>
              <w:numPr>
                <w:ilvl w:val="0"/>
                <w:numId w:val="10"/>
              </w:numPr>
              <w:ind w:left="714" w:hanging="357"/>
              <w:contextualSpacing w:val="0"/>
              <w:rPr>
                <w:rFonts w:eastAsia="Times New Roman"/>
              </w:rPr>
            </w:pPr>
            <w:r w:rsidRPr="00073574">
              <w:rPr>
                <w:rFonts w:eastAsia="Times New Roman"/>
              </w:rPr>
              <w:t>Wuxi, China, 6 December 2018</w:t>
            </w:r>
          </w:p>
          <w:p w14:paraId="7364316D" w14:textId="2E3F3433" w:rsidR="005E0B71" w:rsidRPr="00073574" w:rsidRDefault="0B18C2A1" w:rsidP="00742FCB">
            <w:pPr>
              <w:pStyle w:val="ListParagraph"/>
              <w:numPr>
                <w:ilvl w:val="0"/>
                <w:numId w:val="10"/>
              </w:numPr>
              <w:ind w:left="714" w:hanging="357"/>
              <w:contextualSpacing w:val="0"/>
              <w:rPr>
                <w:rFonts w:eastAsia="Times New Roman"/>
              </w:rPr>
            </w:pPr>
            <w:r w:rsidRPr="00073574">
              <w:rPr>
                <w:rFonts w:eastAsia="Times New Roman"/>
              </w:rPr>
              <w:t>Cairo, Egypt, 10 May 2018</w:t>
            </w:r>
          </w:p>
          <w:p w14:paraId="1B354276" w14:textId="196DD916" w:rsidR="005E0B71" w:rsidRPr="00073574" w:rsidRDefault="0B18C2A1" w:rsidP="00742FCB">
            <w:pPr>
              <w:pStyle w:val="ListParagraph"/>
              <w:numPr>
                <w:ilvl w:val="0"/>
                <w:numId w:val="10"/>
              </w:numPr>
              <w:ind w:left="714" w:hanging="357"/>
              <w:contextualSpacing w:val="0"/>
              <w:rPr>
                <w:rFonts w:eastAsia="Times New Roman"/>
              </w:rPr>
            </w:pPr>
            <w:r w:rsidRPr="00073574">
              <w:rPr>
                <w:rFonts w:eastAsia="Times New Roman"/>
              </w:rPr>
              <w:t>Geneva, 7 September 2017</w:t>
            </w:r>
          </w:p>
          <w:p w14:paraId="081947A2" w14:textId="3FC4D3C6" w:rsidR="001357A8" w:rsidRPr="00073574" w:rsidRDefault="0B18C2A1" w:rsidP="00742FCB">
            <w:pPr>
              <w:pStyle w:val="ListParagraph"/>
              <w:numPr>
                <w:ilvl w:val="0"/>
                <w:numId w:val="10"/>
              </w:numPr>
              <w:ind w:left="714" w:hanging="357"/>
              <w:contextualSpacing w:val="0"/>
              <w:rPr>
                <w:rStyle w:val="Hyperlink"/>
                <w:rFonts w:asciiTheme="majorBidi" w:hAnsiTheme="majorBidi" w:cstheme="majorBidi"/>
                <w:color w:val="auto"/>
              </w:rPr>
            </w:pPr>
            <w:r w:rsidRPr="00073574">
              <w:rPr>
                <w:rFonts w:eastAsia="Times New Roman"/>
              </w:rPr>
              <w:t>Dubai, 16 March 2017</w:t>
            </w:r>
            <w:r w:rsidR="00742FCB" w:rsidRPr="00073574">
              <w:rPr>
                <w:rFonts w:eastAsia="Times New Roman"/>
              </w:rPr>
              <w:t>.</w:t>
            </w:r>
          </w:p>
        </w:tc>
      </w:tr>
      <w:tr w:rsidR="005E0B71" w:rsidRPr="00073574" w14:paraId="2473DB2F" w14:textId="77777777" w:rsidTr="7277BFE4">
        <w:tc>
          <w:tcPr>
            <w:tcW w:w="1130" w:type="dxa"/>
            <w:vMerge w:val="restart"/>
            <w:tcBorders>
              <w:top w:val="single" w:sz="12" w:space="0" w:color="auto"/>
            </w:tcBorders>
            <w:shd w:val="clear" w:color="auto" w:fill="auto"/>
          </w:tcPr>
          <w:p w14:paraId="72B9FB41" w14:textId="38A8F1AB" w:rsidR="005E0B71" w:rsidRPr="00073574" w:rsidRDefault="005E0B71" w:rsidP="00B65CA8">
            <w:pPr>
              <w:pStyle w:val="Tabletext"/>
              <w:keepNext/>
              <w:keepLines/>
              <w:rPr>
                <w:b/>
                <w:bCs/>
                <w:sz w:val="24"/>
                <w:szCs w:val="24"/>
              </w:rPr>
            </w:pPr>
            <w:r w:rsidRPr="00073574">
              <w:rPr>
                <w:b/>
                <w:bCs/>
                <w:sz w:val="24"/>
                <w:szCs w:val="24"/>
              </w:rPr>
              <w:lastRenderedPageBreak/>
              <w:t>98-03</w:t>
            </w:r>
          </w:p>
        </w:tc>
        <w:tc>
          <w:tcPr>
            <w:tcW w:w="4988" w:type="dxa"/>
            <w:tcBorders>
              <w:top w:val="single" w:sz="12" w:space="0" w:color="auto"/>
              <w:bottom w:val="single" w:sz="4" w:space="0" w:color="auto"/>
            </w:tcBorders>
            <w:shd w:val="clear" w:color="auto" w:fill="auto"/>
          </w:tcPr>
          <w:p w14:paraId="63E8E193" w14:textId="7778EA96" w:rsidR="005E0B71" w:rsidRPr="00073574" w:rsidRDefault="005E0B71" w:rsidP="005E0B71">
            <w:pPr>
              <w:pStyle w:val="Tabletext"/>
              <w:rPr>
                <w:b/>
                <w:bCs/>
                <w:sz w:val="24"/>
                <w:szCs w:val="24"/>
              </w:rPr>
            </w:pPr>
            <w:r w:rsidRPr="00073574">
              <w:rPr>
                <w:b/>
                <w:bCs/>
                <w:sz w:val="24"/>
                <w:szCs w:val="24"/>
              </w:rPr>
              <w:t>SG20 to collaborate with IoT-related standards organizations and other stakeholders such as industry forums and associations, consortia and SDOs, as well as other relevant ITU-T study groups, and to take into account relevant work (resolves i. SG20 3)</w:t>
            </w:r>
          </w:p>
        </w:tc>
        <w:tc>
          <w:tcPr>
            <w:tcW w:w="1335" w:type="dxa"/>
            <w:tcBorders>
              <w:top w:val="single" w:sz="12" w:space="0" w:color="auto"/>
              <w:bottom w:val="single" w:sz="4" w:space="0" w:color="auto"/>
            </w:tcBorders>
            <w:shd w:val="clear" w:color="auto" w:fill="auto"/>
            <w:vAlign w:val="center"/>
          </w:tcPr>
          <w:p w14:paraId="7822B311" w14:textId="74CC6936" w:rsidR="005E0B71" w:rsidRPr="00073574" w:rsidRDefault="005E0B71" w:rsidP="005E0B71">
            <w:pPr>
              <w:pStyle w:val="Tabletext"/>
              <w:jc w:val="center"/>
              <w:rPr>
                <w:b/>
                <w:bCs/>
                <w:sz w:val="24"/>
                <w:szCs w:val="24"/>
              </w:rPr>
            </w:pPr>
            <w:r w:rsidRPr="00073574">
              <w:rPr>
                <w:b/>
                <w:bCs/>
                <w:sz w:val="24"/>
                <w:szCs w:val="24"/>
              </w:rPr>
              <w:t>Ongoing</w:t>
            </w:r>
          </w:p>
        </w:tc>
        <w:tc>
          <w:tcPr>
            <w:tcW w:w="1143" w:type="dxa"/>
            <w:tcBorders>
              <w:top w:val="single" w:sz="12" w:space="0" w:color="auto"/>
              <w:bottom w:val="single" w:sz="4" w:space="0" w:color="auto"/>
            </w:tcBorders>
            <w:shd w:val="clear" w:color="auto" w:fill="auto"/>
            <w:vAlign w:val="center"/>
          </w:tcPr>
          <w:p w14:paraId="663C9E3E" w14:textId="60ED2C09" w:rsidR="005E0B71" w:rsidRPr="00073574" w:rsidRDefault="005E0B71" w:rsidP="005E0B71">
            <w:pPr>
              <w:pStyle w:val="Tabletext"/>
              <w:jc w:val="center"/>
              <w:rPr>
                <w:b/>
                <w:bCs/>
                <w:sz w:val="24"/>
                <w:szCs w:val="24"/>
              </w:rPr>
            </w:pPr>
            <w:r w:rsidRPr="00073574">
              <w:rPr>
                <w:b/>
                <w:bCs/>
                <w:sz w:val="24"/>
                <w:szCs w:val="24"/>
              </w:rPr>
              <w:t>√</w:t>
            </w:r>
          </w:p>
        </w:tc>
        <w:tc>
          <w:tcPr>
            <w:tcW w:w="1336" w:type="dxa"/>
            <w:tcBorders>
              <w:top w:val="single" w:sz="12" w:space="0" w:color="auto"/>
              <w:bottom w:val="single" w:sz="4" w:space="0" w:color="auto"/>
            </w:tcBorders>
            <w:shd w:val="clear" w:color="auto" w:fill="auto"/>
            <w:vAlign w:val="center"/>
          </w:tcPr>
          <w:p w14:paraId="3E8F8F29" w14:textId="77777777" w:rsidR="005E0B71" w:rsidRPr="00073574" w:rsidRDefault="005E0B71" w:rsidP="005E0B71">
            <w:pPr>
              <w:pStyle w:val="Tabletext"/>
              <w:jc w:val="center"/>
              <w:rPr>
                <w:b/>
                <w:bCs/>
                <w:sz w:val="24"/>
                <w:szCs w:val="24"/>
              </w:rPr>
            </w:pPr>
          </w:p>
        </w:tc>
      </w:tr>
      <w:tr w:rsidR="007C4EA6" w:rsidRPr="00073574" w14:paraId="73A21330" w14:textId="77777777" w:rsidTr="7277BFE4">
        <w:tc>
          <w:tcPr>
            <w:tcW w:w="1130" w:type="dxa"/>
            <w:vMerge/>
          </w:tcPr>
          <w:p w14:paraId="0BAC51E6" w14:textId="77777777" w:rsidR="007C4EA6" w:rsidRPr="00073574" w:rsidRDefault="007C4EA6" w:rsidP="005E0B71">
            <w:pPr>
              <w:pStyle w:val="Tabletext"/>
              <w:rPr>
                <w:sz w:val="24"/>
                <w:szCs w:val="24"/>
              </w:rPr>
            </w:pPr>
          </w:p>
        </w:tc>
        <w:tc>
          <w:tcPr>
            <w:tcW w:w="8802" w:type="dxa"/>
            <w:gridSpan w:val="4"/>
            <w:tcBorders>
              <w:top w:val="single" w:sz="4" w:space="0" w:color="auto"/>
              <w:bottom w:val="single" w:sz="12" w:space="0" w:color="auto"/>
            </w:tcBorders>
            <w:shd w:val="clear" w:color="auto" w:fill="auto"/>
          </w:tcPr>
          <w:p w14:paraId="096784ED" w14:textId="75ED2C82" w:rsidR="00982317" w:rsidRPr="00073574" w:rsidRDefault="005E0B71" w:rsidP="002E241A">
            <w:pPr>
              <w:numPr>
                <w:ilvl w:val="0"/>
                <w:numId w:val="37"/>
              </w:numPr>
              <w:shd w:val="clear" w:color="auto" w:fill="FFFFFF"/>
              <w:spacing w:before="40" w:after="100" w:afterAutospacing="1"/>
              <w:ind w:hanging="357"/>
              <w:rPr>
                <w:rFonts w:asciiTheme="majorBidi" w:hAnsiTheme="majorBidi" w:cstheme="majorBidi"/>
              </w:rPr>
            </w:pPr>
            <w:r w:rsidRPr="00073574">
              <w:rPr>
                <w:rFonts w:eastAsia="Times New Roman"/>
                <w:lang w:eastAsia="zh-CN"/>
              </w:rPr>
              <w:t>ITU at its March 2017 meeting of ITU-T SG20 in Dubai (UAE) established a new Focus Group on "Data Processing and Management to support IoT and Smart Cities &amp; Communities" to research data processing and management in the context of smart cities. The Focus Group will review existing technical platforms and related guidelines for data processing and management, with a view to identifying standardization demands to be addressed by ITU-T SG20. A key priority of the Focus Group is to propose mechanisms supporting the interoperability of datasets and data-management systems. The group is investigating established data-management technologies as well as emerging trends such as blockchain, promoting efficient, scalable approaches to the management of systems data.</w:t>
            </w:r>
            <w:r w:rsidRPr="00073574">
              <w:br/>
            </w:r>
            <w:r w:rsidRPr="00073574">
              <w:rPr>
                <w:rFonts w:asciiTheme="majorBidi" w:hAnsiTheme="majorBidi" w:cstheme="majorBidi"/>
              </w:rPr>
              <w:t xml:space="preserve">The new ITU-T Focus Group on "Data Processing and Management (DPM) to support IoT and Smart Cities &amp; Communities" (FG DPM) had its first meeting from 17 to 19 July 2017 in Geneva, Switzerland. The work of the FG-DPM </w:t>
            </w:r>
            <w:r w:rsidR="00982317" w:rsidRPr="00073574">
              <w:rPr>
                <w:rFonts w:asciiTheme="majorBidi" w:hAnsiTheme="majorBidi" w:cstheme="majorBidi"/>
              </w:rPr>
              <w:t>is being</w:t>
            </w:r>
            <w:r w:rsidRPr="00073574">
              <w:rPr>
                <w:rFonts w:asciiTheme="majorBidi" w:hAnsiTheme="majorBidi" w:cstheme="majorBidi"/>
              </w:rPr>
              <w:t xml:space="preserve"> carried out through five Working Groups: WG1 - Use Cases, Requirements and Applications/Services; WG2 - DPM Framework, Architectures and Core Components; WG3 - Data sharing, Interoperability and Blockchain; WG4 - Security, Privacy and Trust including Governance and WG5 - Data Economy, commercialization, and monetisation. A number of Internet-related topics are being addressed by this FG such as DPM in the context of IoT, </w:t>
            </w:r>
            <w:r w:rsidR="00F16722" w:rsidRPr="00073574">
              <w:rPr>
                <w:rFonts w:asciiTheme="majorBidi" w:hAnsiTheme="majorBidi" w:cstheme="majorBidi"/>
                <w:lang w:eastAsia="ko-KR"/>
              </w:rPr>
              <w:t>web-based</w:t>
            </w:r>
            <w:r w:rsidRPr="00073574">
              <w:rPr>
                <w:rFonts w:asciiTheme="majorBidi" w:hAnsiTheme="majorBidi" w:cstheme="majorBidi"/>
                <w:lang w:eastAsia="ko-KR"/>
              </w:rPr>
              <w:t xml:space="preserve"> microdata and metadata formats for IoT, </w:t>
            </w:r>
            <w:r w:rsidRPr="00073574">
              <w:rPr>
                <w:rFonts w:asciiTheme="majorBidi" w:hAnsiTheme="majorBidi" w:cstheme="majorBidi"/>
              </w:rPr>
              <w:t>blockchain usage in IoT for data management, security, privacy, and trust including data governance in DPM.</w:t>
            </w:r>
            <w:r w:rsidRPr="00073574">
              <w:br/>
            </w:r>
            <w:r w:rsidR="00982317" w:rsidRPr="00073574">
              <w:rPr>
                <w:rFonts w:asciiTheme="majorBidi" w:hAnsiTheme="majorBidi" w:cstheme="majorBidi"/>
              </w:rPr>
              <w:t>Since its creation</w:t>
            </w:r>
            <w:r w:rsidRPr="00073574">
              <w:rPr>
                <w:rFonts w:asciiTheme="majorBidi" w:hAnsiTheme="majorBidi" w:cstheme="majorBidi"/>
              </w:rPr>
              <w:t xml:space="preserve">, FG-DPM </w:t>
            </w:r>
            <w:r w:rsidR="00982317" w:rsidRPr="00073574">
              <w:rPr>
                <w:rFonts w:asciiTheme="majorBidi" w:hAnsiTheme="majorBidi" w:cstheme="majorBidi"/>
              </w:rPr>
              <w:t xml:space="preserve">has </w:t>
            </w:r>
            <w:r w:rsidRPr="00073574">
              <w:rPr>
                <w:rFonts w:asciiTheme="majorBidi" w:hAnsiTheme="majorBidi" w:cstheme="majorBidi"/>
              </w:rPr>
              <w:t xml:space="preserve">had </w:t>
            </w:r>
            <w:r w:rsidR="00982317" w:rsidRPr="00073574">
              <w:rPr>
                <w:rFonts w:asciiTheme="majorBidi" w:hAnsiTheme="majorBidi" w:cstheme="majorBidi"/>
              </w:rPr>
              <w:t xml:space="preserve">the following </w:t>
            </w:r>
            <w:r w:rsidRPr="00073574">
              <w:rPr>
                <w:rFonts w:asciiTheme="majorBidi" w:hAnsiTheme="majorBidi" w:cstheme="majorBidi"/>
              </w:rPr>
              <w:t>meetings</w:t>
            </w:r>
            <w:r w:rsidR="00982317" w:rsidRPr="00073574">
              <w:rPr>
                <w:rFonts w:asciiTheme="majorBidi" w:hAnsiTheme="majorBidi" w:cstheme="majorBidi"/>
              </w:rPr>
              <w:t>:</w:t>
            </w:r>
          </w:p>
          <w:p w14:paraId="7ACDB833" w14:textId="54A75F38" w:rsidR="00982317" w:rsidRPr="00073574" w:rsidRDefault="00982317" w:rsidP="00742FCB">
            <w:pPr>
              <w:numPr>
                <w:ilvl w:val="1"/>
                <w:numId w:val="37"/>
              </w:numPr>
              <w:shd w:val="clear" w:color="auto" w:fill="FFFFFF"/>
              <w:spacing w:after="120"/>
              <w:rPr>
                <w:rFonts w:asciiTheme="majorBidi" w:hAnsiTheme="majorBidi" w:cstheme="majorBidi"/>
              </w:rPr>
            </w:pPr>
            <w:r w:rsidRPr="00073574">
              <w:rPr>
                <w:rFonts w:eastAsia="Times New Roman"/>
                <w:lang w:eastAsia="zh-CN"/>
              </w:rPr>
              <w:t>First FG-DPM meeting, 17-19 July 2017, Geneva, Switzerland</w:t>
            </w:r>
            <w:r w:rsidR="009B3C62" w:rsidRPr="00073574">
              <w:rPr>
                <w:rFonts w:eastAsia="Times New Roman"/>
                <w:lang w:eastAsia="zh-CN"/>
              </w:rPr>
              <w:t>.</w:t>
            </w:r>
          </w:p>
          <w:p w14:paraId="2E88CFDD" w14:textId="1240EAFE" w:rsidR="00982317" w:rsidRPr="00073574" w:rsidRDefault="00982317" w:rsidP="00742FCB">
            <w:pPr>
              <w:numPr>
                <w:ilvl w:val="1"/>
                <w:numId w:val="37"/>
              </w:numPr>
              <w:shd w:val="clear" w:color="auto" w:fill="FFFFFF"/>
              <w:spacing w:after="120"/>
              <w:rPr>
                <w:rFonts w:asciiTheme="majorBidi" w:hAnsiTheme="majorBidi" w:cstheme="majorBidi"/>
              </w:rPr>
            </w:pPr>
            <w:r w:rsidRPr="00073574">
              <w:rPr>
                <w:rFonts w:eastAsia="Times New Roman"/>
                <w:lang w:eastAsia="zh-CN"/>
              </w:rPr>
              <w:t>Second FG-DPM meeting, 20-25 October 2017, Geneva, Switzerland</w:t>
            </w:r>
            <w:r w:rsidR="009B3C62" w:rsidRPr="00073574">
              <w:rPr>
                <w:rFonts w:eastAsia="Times New Roman"/>
                <w:lang w:eastAsia="zh-CN"/>
              </w:rPr>
              <w:t>.</w:t>
            </w:r>
          </w:p>
          <w:p w14:paraId="6CF7EED1" w14:textId="18B2E783" w:rsidR="008002D4" w:rsidRPr="00073574" w:rsidRDefault="008002D4" w:rsidP="00742FCB">
            <w:pPr>
              <w:numPr>
                <w:ilvl w:val="1"/>
                <w:numId w:val="37"/>
              </w:numPr>
              <w:shd w:val="clear" w:color="auto" w:fill="FFFFFF"/>
              <w:spacing w:after="120"/>
              <w:rPr>
                <w:rFonts w:asciiTheme="majorBidi" w:hAnsiTheme="majorBidi" w:cstheme="majorBidi"/>
              </w:rPr>
            </w:pPr>
            <w:r w:rsidRPr="00073574">
              <w:rPr>
                <w:rFonts w:eastAsia="Times New Roman"/>
                <w:lang w:eastAsia="zh-CN"/>
              </w:rPr>
              <w:t>Third FG-DPM meeting, 20-23 February 2018, Brussels, Belgium</w:t>
            </w:r>
            <w:r w:rsidR="009B3C62" w:rsidRPr="00073574">
              <w:rPr>
                <w:rFonts w:eastAsia="Times New Roman"/>
                <w:lang w:eastAsia="zh-CN"/>
              </w:rPr>
              <w:t>.</w:t>
            </w:r>
          </w:p>
          <w:p w14:paraId="585F1054" w14:textId="36211C14" w:rsidR="008002D4" w:rsidRPr="00073574" w:rsidRDefault="008002D4" w:rsidP="00742FCB">
            <w:pPr>
              <w:numPr>
                <w:ilvl w:val="1"/>
                <w:numId w:val="37"/>
              </w:numPr>
              <w:shd w:val="clear" w:color="auto" w:fill="FFFFFF"/>
              <w:spacing w:after="120"/>
              <w:rPr>
                <w:rFonts w:asciiTheme="majorBidi" w:hAnsiTheme="majorBidi" w:cstheme="majorBidi"/>
              </w:rPr>
            </w:pPr>
            <w:r w:rsidRPr="00073574">
              <w:rPr>
                <w:rFonts w:eastAsia="Times New Roman"/>
                <w:lang w:eastAsia="zh-CN"/>
              </w:rPr>
              <w:t>Fourth FG-DPM meeting, 1-3 May 2018, Cairo, Egypt</w:t>
            </w:r>
            <w:r w:rsidR="009B3C62" w:rsidRPr="00073574">
              <w:rPr>
                <w:rFonts w:eastAsia="Times New Roman"/>
                <w:lang w:eastAsia="zh-CN"/>
              </w:rPr>
              <w:t>.</w:t>
            </w:r>
          </w:p>
          <w:p w14:paraId="4F037BF6" w14:textId="49550BE6" w:rsidR="008002D4" w:rsidRPr="00073574" w:rsidRDefault="008002D4" w:rsidP="00742FCB">
            <w:pPr>
              <w:numPr>
                <w:ilvl w:val="1"/>
                <w:numId w:val="37"/>
              </w:numPr>
              <w:shd w:val="clear" w:color="auto" w:fill="FFFFFF"/>
              <w:spacing w:after="120"/>
              <w:rPr>
                <w:rFonts w:asciiTheme="majorBidi" w:hAnsiTheme="majorBidi" w:cstheme="majorBidi"/>
              </w:rPr>
            </w:pPr>
            <w:r w:rsidRPr="00073574">
              <w:rPr>
                <w:rFonts w:eastAsia="Times New Roman"/>
                <w:lang w:eastAsia="zh-CN"/>
              </w:rPr>
              <w:t>Fifth FG-DPM meeting, 17-20 September 2018, Tunis, Tunisia</w:t>
            </w:r>
            <w:r w:rsidR="00AA32EA" w:rsidRPr="00073574">
              <w:rPr>
                <w:rFonts w:eastAsia="Times New Roman"/>
                <w:lang w:eastAsia="zh-CN"/>
              </w:rPr>
              <w:t>.</w:t>
            </w:r>
          </w:p>
          <w:p w14:paraId="5EB6544A" w14:textId="3155E92B" w:rsidR="00366C93" w:rsidRPr="00073574" w:rsidRDefault="00366C93" w:rsidP="00742FCB">
            <w:pPr>
              <w:numPr>
                <w:ilvl w:val="1"/>
                <w:numId w:val="37"/>
              </w:numPr>
              <w:shd w:val="clear" w:color="auto" w:fill="FFFFFF"/>
              <w:spacing w:after="120"/>
              <w:rPr>
                <w:rFonts w:asciiTheme="majorBidi" w:hAnsiTheme="majorBidi" w:cstheme="majorBidi"/>
              </w:rPr>
            </w:pPr>
            <w:r w:rsidRPr="00073574">
              <w:rPr>
                <w:rFonts w:asciiTheme="majorBidi" w:hAnsiTheme="majorBidi" w:cstheme="majorBidi"/>
              </w:rPr>
              <w:t>Sixth FG-DPM meeting, 14-18 February 2019, Bundang, Seoul, Korea (Rep. of)</w:t>
            </w:r>
            <w:r w:rsidR="009B3C62" w:rsidRPr="00073574">
              <w:rPr>
                <w:rFonts w:asciiTheme="majorBidi" w:hAnsiTheme="majorBidi" w:cstheme="majorBidi"/>
              </w:rPr>
              <w:t>.</w:t>
            </w:r>
          </w:p>
          <w:p w14:paraId="4A45FC39" w14:textId="25F3A477" w:rsidR="00366C93" w:rsidRPr="00073574" w:rsidRDefault="00366C93" w:rsidP="00742FCB">
            <w:pPr>
              <w:numPr>
                <w:ilvl w:val="1"/>
                <w:numId w:val="37"/>
              </w:numPr>
              <w:shd w:val="clear" w:color="auto" w:fill="FFFFFF"/>
              <w:spacing w:after="120"/>
              <w:ind w:hanging="357"/>
              <w:rPr>
                <w:rFonts w:asciiTheme="majorBidi" w:hAnsiTheme="majorBidi" w:cstheme="majorBidi"/>
              </w:rPr>
            </w:pPr>
            <w:r w:rsidRPr="00073574">
              <w:rPr>
                <w:rFonts w:asciiTheme="majorBidi" w:hAnsiTheme="majorBidi" w:cstheme="majorBidi"/>
              </w:rPr>
              <w:t>Seventh FG-DPM meeting, 3-7 April 2019, Geneva</w:t>
            </w:r>
            <w:r w:rsidR="009B3C62" w:rsidRPr="00073574">
              <w:rPr>
                <w:rFonts w:asciiTheme="majorBidi" w:hAnsiTheme="majorBidi" w:cstheme="majorBidi"/>
              </w:rPr>
              <w:t>.</w:t>
            </w:r>
          </w:p>
          <w:p w14:paraId="69114CB4" w14:textId="3D86A13D" w:rsidR="00366C93" w:rsidRPr="00073574" w:rsidRDefault="00366C93" w:rsidP="001357A8">
            <w:pPr>
              <w:shd w:val="clear" w:color="auto" w:fill="FFFFFF"/>
              <w:spacing w:before="240" w:after="120"/>
              <w:rPr>
                <w:rFonts w:asciiTheme="majorBidi" w:hAnsiTheme="majorBidi" w:cstheme="majorBidi"/>
              </w:rPr>
            </w:pPr>
            <w:r w:rsidRPr="00073574">
              <w:rPr>
                <w:rFonts w:asciiTheme="majorBidi" w:hAnsiTheme="majorBidi" w:cstheme="majorBidi"/>
              </w:rPr>
              <w:t xml:space="preserve">The last meeting of the FG-DPM took place from 15 to 19 July 2019 in Geneva, Switzerland. </w:t>
            </w:r>
            <w:r w:rsidR="00E508A7" w:rsidRPr="00073574">
              <w:rPr>
                <w:rFonts w:asciiTheme="majorBidi" w:hAnsiTheme="majorBidi" w:cstheme="majorBidi"/>
              </w:rPr>
              <w:t>The FG-DPM concluded with 15 deliverables as follows:</w:t>
            </w:r>
          </w:p>
          <w:p w14:paraId="70E46B90" w14:textId="4A1D78B2" w:rsidR="00E508A7" w:rsidRPr="00073574" w:rsidRDefault="00E508A7" w:rsidP="00742FCB">
            <w:pPr>
              <w:pStyle w:val="ListParagraph"/>
              <w:numPr>
                <w:ilvl w:val="0"/>
                <w:numId w:val="18"/>
              </w:numPr>
              <w:shd w:val="clear" w:color="auto" w:fill="FFFFFF"/>
              <w:spacing w:after="120"/>
              <w:ind w:left="924" w:hanging="357"/>
              <w:contextualSpacing w:val="0"/>
            </w:pPr>
            <w:r w:rsidRPr="00073574">
              <w:t>Technical Specification “Data Processing and Management for IoT and Smart Cities and Communities: Vocabulary”;</w:t>
            </w:r>
          </w:p>
          <w:p w14:paraId="1DA4EABD" w14:textId="5188625B" w:rsidR="00E508A7" w:rsidRPr="00073574" w:rsidRDefault="00E508A7" w:rsidP="00742FCB">
            <w:pPr>
              <w:pStyle w:val="ListParagraph"/>
              <w:numPr>
                <w:ilvl w:val="0"/>
                <w:numId w:val="18"/>
              </w:numPr>
              <w:shd w:val="clear" w:color="auto" w:fill="FFFFFF"/>
              <w:spacing w:after="120"/>
              <w:ind w:left="924" w:hanging="357"/>
              <w:contextualSpacing w:val="0"/>
            </w:pPr>
            <w:r w:rsidRPr="00073574">
              <w:t>Technical Report “Data Processing and management for IoT and smart cities and communities: methodology for data processing and management concept building”;</w:t>
            </w:r>
          </w:p>
          <w:p w14:paraId="281ACB20" w14:textId="5E547671" w:rsidR="00E508A7" w:rsidRPr="00073574" w:rsidRDefault="00E508A7" w:rsidP="00742FCB">
            <w:pPr>
              <w:pStyle w:val="ListParagraph"/>
              <w:numPr>
                <w:ilvl w:val="0"/>
                <w:numId w:val="18"/>
              </w:numPr>
              <w:shd w:val="clear" w:color="auto" w:fill="FFFFFF"/>
              <w:spacing w:after="120"/>
              <w:ind w:left="924" w:hanging="357"/>
              <w:contextualSpacing w:val="0"/>
            </w:pPr>
            <w:r w:rsidRPr="00073574">
              <w:t>Technical Specification “Use case analysis and requirements for data processing and management to support IoT and smart cities and communities”</w:t>
            </w:r>
          </w:p>
          <w:p w14:paraId="53FA78FC" w14:textId="1F271F5B" w:rsidR="00E508A7" w:rsidRPr="00073574" w:rsidRDefault="00E508A7" w:rsidP="00742FCB">
            <w:pPr>
              <w:pStyle w:val="ListParagraph"/>
              <w:numPr>
                <w:ilvl w:val="0"/>
                <w:numId w:val="18"/>
              </w:numPr>
              <w:shd w:val="clear" w:color="auto" w:fill="FFFFFF"/>
              <w:spacing w:after="120"/>
              <w:ind w:left="924" w:hanging="357"/>
              <w:contextualSpacing w:val="0"/>
            </w:pPr>
            <w:r w:rsidRPr="00073574">
              <w:t>Technical Specification “Data processing and management framework for IoT and smart Cities and communities"</w:t>
            </w:r>
          </w:p>
          <w:p w14:paraId="5BBC8B55" w14:textId="79AB887B" w:rsidR="00E508A7" w:rsidRPr="00073574" w:rsidRDefault="00E508A7" w:rsidP="00742FCB">
            <w:pPr>
              <w:pStyle w:val="ListParagraph"/>
              <w:numPr>
                <w:ilvl w:val="0"/>
                <w:numId w:val="18"/>
              </w:numPr>
              <w:shd w:val="clear" w:color="auto" w:fill="FFFFFF"/>
              <w:spacing w:after="120"/>
              <w:ind w:left="924" w:hanging="357"/>
              <w:contextualSpacing w:val="0"/>
            </w:pPr>
            <w:r w:rsidRPr="00073574">
              <w:t>Technical Report on “Web based data model for IoT and smart city”;</w:t>
            </w:r>
          </w:p>
          <w:p w14:paraId="52B64CED" w14:textId="38058E68" w:rsidR="00E508A7" w:rsidRPr="00073574" w:rsidRDefault="00E508A7" w:rsidP="00742FCB">
            <w:pPr>
              <w:pStyle w:val="ListParagraph"/>
              <w:numPr>
                <w:ilvl w:val="0"/>
                <w:numId w:val="18"/>
              </w:numPr>
              <w:shd w:val="clear" w:color="auto" w:fill="FFFFFF"/>
              <w:spacing w:after="120"/>
              <w:ind w:left="924" w:hanging="357"/>
              <w:contextualSpacing w:val="0"/>
            </w:pPr>
            <w:r w:rsidRPr="00073574">
              <w:lastRenderedPageBreak/>
              <w:t>Technical Specification D3.2: SensorThings API – Sensing;</w:t>
            </w:r>
          </w:p>
          <w:p w14:paraId="6C698449" w14:textId="3337BB9F" w:rsidR="00E508A7" w:rsidRPr="00073574" w:rsidRDefault="00E508A7" w:rsidP="00742FCB">
            <w:pPr>
              <w:pStyle w:val="ListParagraph"/>
              <w:numPr>
                <w:ilvl w:val="0"/>
                <w:numId w:val="18"/>
              </w:numPr>
              <w:shd w:val="clear" w:color="auto" w:fill="FFFFFF"/>
              <w:spacing w:after="120"/>
              <w:ind w:left="924" w:hanging="357"/>
              <w:contextualSpacing w:val="0"/>
            </w:pPr>
            <w:r w:rsidRPr="00073574">
              <w:t>Technical Specification D3.3: Framework to support data interoperability in IoT environments;</w:t>
            </w:r>
          </w:p>
          <w:p w14:paraId="568E6F02" w14:textId="1A78A115" w:rsidR="00E508A7" w:rsidRPr="00073574" w:rsidRDefault="00E508A7" w:rsidP="00742FCB">
            <w:pPr>
              <w:pStyle w:val="ListParagraph"/>
              <w:numPr>
                <w:ilvl w:val="0"/>
                <w:numId w:val="18"/>
              </w:numPr>
              <w:shd w:val="clear" w:color="auto" w:fill="FFFFFF"/>
              <w:spacing w:after="120"/>
              <w:ind w:left="924" w:hanging="357"/>
              <w:contextualSpacing w:val="0"/>
            </w:pPr>
            <w:r w:rsidRPr="00073574">
              <w:t>Technical Report D3.5: Overview of blockchain for supporting IoT and SC&amp;C in DPM aspects</w:t>
            </w:r>
          </w:p>
          <w:p w14:paraId="18A57B1B" w14:textId="0CDFE251" w:rsidR="00E508A7" w:rsidRPr="00073574" w:rsidRDefault="00E508A7" w:rsidP="00742FCB">
            <w:pPr>
              <w:pStyle w:val="ListParagraph"/>
              <w:numPr>
                <w:ilvl w:val="0"/>
                <w:numId w:val="18"/>
              </w:numPr>
              <w:shd w:val="clear" w:color="auto" w:fill="FFFFFF"/>
              <w:spacing w:after="120"/>
              <w:ind w:left="924" w:hanging="357"/>
              <w:contextualSpacing w:val="0"/>
            </w:pPr>
            <w:r w:rsidRPr="00073574">
              <w:t>Technical Specification “Blockchain-based data exchange and sharing for supporting IoT and SC&amp;C”;</w:t>
            </w:r>
          </w:p>
          <w:p w14:paraId="496ECF8F" w14:textId="1D88C7E7" w:rsidR="00E508A7" w:rsidRPr="00073574" w:rsidRDefault="00E508A7" w:rsidP="00742FCB">
            <w:pPr>
              <w:pStyle w:val="ListParagraph"/>
              <w:numPr>
                <w:ilvl w:val="0"/>
                <w:numId w:val="18"/>
              </w:numPr>
              <w:shd w:val="clear" w:color="auto" w:fill="FFFFFF"/>
              <w:spacing w:after="120"/>
              <w:ind w:left="924" w:hanging="357"/>
              <w:contextualSpacing w:val="0"/>
            </w:pPr>
            <w:r w:rsidRPr="00073574">
              <w:t>Technical Specification D3.7: Blockchain-based data management for supporting IoT and SC&amp;C;</w:t>
            </w:r>
          </w:p>
          <w:p w14:paraId="599B48AC" w14:textId="3CEA5E60" w:rsidR="00E508A7" w:rsidRPr="00073574" w:rsidRDefault="00E508A7" w:rsidP="00742FCB">
            <w:pPr>
              <w:pStyle w:val="ListParagraph"/>
              <w:numPr>
                <w:ilvl w:val="0"/>
                <w:numId w:val="18"/>
              </w:numPr>
              <w:shd w:val="clear" w:color="auto" w:fill="FFFFFF"/>
              <w:spacing w:after="120"/>
              <w:ind w:left="924" w:hanging="357"/>
              <w:contextualSpacing w:val="0"/>
            </w:pPr>
            <w:r w:rsidRPr="00073574">
              <w:t>Technical Specification “Identity framework in blockchain to support DPM for IoT and SC&amp;C”;</w:t>
            </w:r>
          </w:p>
          <w:p w14:paraId="46FC8480" w14:textId="2CD7D994" w:rsidR="00E508A7" w:rsidRPr="00073574" w:rsidRDefault="00E508A7" w:rsidP="00742FCB">
            <w:pPr>
              <w:pStyle w:val="ListParagraph"/>
              <w:numPr>
                <w:ilvl w:val="0"/>
                <w:numId w:val="18"/>
              </w:numPr>
              <w:shd w:val="clear" w:color="auto" w:fill="FFFFFF"/>
              <w:spacing w:after="120"/>
              <w:ind w:left="924" w:hanging="357"/>
              <w:contextualSpacing w:val="0"/>
            </w:pPr>
            <w:r w:rsidRPr="00073574">
              <w:t>Technical Report “Framework for security, privacy, risk and governance in data processing and management”;</w:t>
            </w:r>
          </w:p>
          <w:p w14:paraId="3967B579" w14:textId="02CC6ECF" w:rsidR="00E508A7" w:rsidRPr="00073574" w:rsidRDefault="00E508A7" w:rsidP="00742FCB">
            <w:pPr>
              <w:pStyle w:val="ListParagraph"/>
              <w:numPr>
                <w:ilvl w:val="0"/>
                <w:numId w:val="18"/>
              </w:numPr>
              <w:shd w:val="clear" w:color="auto" w:fill="FFFFFF"/>
              <w:spacing w:after="120"/>
              <w:ind w:left="924" w:hanging="357"/>
              <w:contextualSpacing w:val="0"/>
            </w:pPr>
            <w:r w:rsidRPr="00073574">
              <w:t>Technical Report “Overview of technical enablers for trusted data”;</w:t>
            </w:r>
          </w:p>
          <w:p w14:paraId="06D20147" w14:textId="6F816A83" w:rsidR="00E508A7" w:rsidRPr="00073574" w:rsidRDefault="00E508A7" w:rsidP="00742FCB">
            <w:pPr>
              <w:pStyle w:val="ListParagraph"/>
              <w:numPr>
                <w:ilvl w:val="0"/>
                <w:numId w:val="18"/>
              </w:numPr>
              <w:shd w:val="clear" w:color="auto" w:fill="FFFFFF"/>
              <w:spacing w:after="120"/>
              <w:ind w:left="924" w:hanging="357"/>
              <w:contextualSpacing w:val="0"/>
            </w:pPr>
            <w:r w:rsidRPr="00073574">
              <w:t>Technical Report “Framework to support data quality management in IoT”;</w:t>
            </w:r>
          </w:p>
          <w:p w14:paraId="1BF78D40" w14:textId="3CE41CD8" w:rsidR="00E508A7" w:rsidRPr="00073574" w:rsidRDefault="00E508A7" w:rsidP="00742FCB">
            <w:pPr>
              <w:pStyle w:val="ListParagraph"/>
              <w:numPr>
                <w:ilvl w:val="0"/>
                <w:numId w:val="18"/>
              </w:numPr>
              <w:shd w:val="clear" w:color="auto" w:fill="FFFFFF"/>
              <w:spacing w:after="120"/>
              <w:ind w:left="924" w:hanging="357"/>
              <w:contextualSpacing w:val="0"/>
            </w:pPr>
            <w:r w:rsidRPr="00073574">
              <w:t>Technical Specification “Data economy: commercialization, ecosystem and impact assessment”.</w:t>
            </w:r>
          </w:p>
          <w:p w14:paraId="02251D29" w14:textId="315713C4" w:rsidR="000832AC" w:rsidRPr="00073574" w:rsidRDefault="000832AC" w:rsidP="000832AC">
            <w:pPr>
              <w:shd w:val="clear" w:color="auto" w:fill="FFFFFF"/>
              <w:spacing w:after="120"/>
            </w:pPr>
            <w:r w:rsidRPr="00073574">
              <w:t>At the SG20 meeting held from 25 November to 6 December 2019, the FG-DPM deliverables were discussed during the Questions’</w:t>
            </w:r>
            <w:r w:rsidR="00C15B60" w:rsidRPr="00073574">
              <w:t xml:space="preserve"> </w:t>
            </w:r>
            <w:r w:rsidRPr="00073574">
              <w:t>sessions and it was decided to adopt some of the deliverables as shown in the table below:</w:t>
            </w:r>
          </w:p>
          <w:tbl>
            <w:tblPr>
              <w:tblStyle w:val="TableGrid"/>
              <w:tblW w:w="8966" w:type="dxa"/>
              <w:jc w:val="center"/>
              <w:tblBorders>
                <w:top w:val="single" w:sz="4" w:space="0" w:color="D3D3D3"/>
                <w:left w:val="single" w:sz="4" w:space="0" w:color="D3D3D3"/>
                <w:bottom w:val="single" w:sz="4" w:space="0" w:color="D3D3D3"/>
                <w:right w:val="single" w:sz="4" w:space="0" w:color="D3D3D3"/>
                <w:insideH w:val="single" w:sz="4" w:space="0" w:color="D3D3D3"/>
                <w:insideV w:val="single" w:sz="4" w:space="0" w:color="D3D3D3"/>
              </w:tblBorders>
              <w:tblLook w:val="04A0" w:firstRow="1" w:lastRow="0" w:firstColumn="1" w:lastColumn="0" w:noHBand="0" w:noVBand="1"/>
            </w:tblPr>
            <w:tblGrid>
              <w:gridCol w:w="2125"/>
              <w:gridCol w:w="630"/>
              <w:gridCol w:w="2070"/>
              <w:gridCol w:w="1440"/>
              <w:gridCol w:w="2701"/>
            </w:tblGrid>
            <w:tr w:rsidR="000832AC" w:rsidRPr="00073574" w14:paraId="23A3A195" w14:textId="77777777" w:rsidTr="7277BFE4">
              <w:trPr>
                <w:tblHeader/>
                <w:jc w:val="center"/>
              </w:trPr>
              <w:tc>
                <w:tcPr>
                  <w:tcW w:w="21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DC6B2F" w14:textId="77777777" w:rsidR="000832AC" w:rsidRPr="00073574" w:rsidRDefault="000832AC" w:rsidP="000832AC">
                  <w:pPr>
                    <w:jc w:val="center"/>
                    <w:textAlignment w:val="baseline"/>
                    <w:rPr>
                      <w:b/>
                      <w:lang w:eastAsia="zh-CN"/>
                    </w:rPr>
                  </w:pPr>
                  <w:r w:rsidRPr="00073574">
                    <w:rPr>
                      <w:b/>
                      <w:lang w:eastAsia="zh-CN"/>
                    </w:rPr>
                    <w:t>FG-DPM</w:t>
                  </w:r>
                  <w:r w:rsidRPr="00073574">
                    <w:rPr>
                      <w:b/>
                      <w:lang w:eastAsia="zh-CN"/>
                    </w:rPr>
                    <w:br/>
                    <w:t>Deliverable</w:t>
                  </w: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08E5BD" w14:textId="77777777" w:rsidR="000832AC" w:rsidRPr="00073574" w:rsidRDefault="000832AC" w:rsidP="000832AC">
                  <w:pPr>
                    <w:jc w:val="center"/>
                    <w:textAlignment w:val="baseline"/>
                    <w:rPr>
                      <w:b/>
                      <w:lang w:eastAsia="zh-CN"/>
                    </w:rPr>
                  </w:pPr>
                  <w:r w:rsidRPr="00073574">
                    <w:rPr>
                      <w:b/>
                      <w:lang w:eastAsia="zh-CN"/>
                    </w:rPr>
                    <w:t>Q</w:t>
                  </w:r>
                </w:p>
              </w:tc>
              <w:tc>
                <w:tcPr>
                  <w:tcW w:w="20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627853" w14:textId="77777777" w:rsidR="000832AC" w:rsidRPr="00073574" w:rsidRDefault="000832AC" w:rsidP="000832AC">
                  <w:pPr>
                    <w:jc w:val="center"/>
                    <w:textAlignment w:val="baseline"/>
                    <w:rPr>
                      <w:b/>
                      <w:lang w:eastAsia="zh-CN"/>
                    </w:rPr>
                  </w:pPr>
                  <w:r w:rsidRPr="00073574">
                    <w:rPr>
                      <w:b/>
                      <w:lang w:eastAsia="zh-CN"/>
                    </w:rPr>
                    <w:t>Decision Taken</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AEDAF2" w14:textId="77777777" w:rsidR="000832AC" w:rsidRPr="00073574" w:rsidRDefault="000832AC" w:rsidP="000832AC">
                  <w:pPr>
                    <w:jc w:val="center"/>
                    <w:textAlignment w:val="baseline"/>
                    <w:rPr>
                      <w:b/>
                      <w:lang w:eastAsia="zh-CN"/>
                    </w:rPr>
                  </w:pPr>
                  <w:r w:rsidRPr="00073574">
                    <w:rPr>
                      <w:b/>
                      <w:lang w:eastAsia="zh-CN"/>
                    </w:rPr>
                    <w:t>Work Item</w:t>
                  </w:r>
                </w:p>
              </w:tc>
              <w:tc>
                <w:tcPr>
                  <w:tcW w:w="2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126B19" w14:textId="77777777" w:rsidR="000832AC" w:rsidRPr="00073574" w:rsidRDefault="000832AC" w:rsidP="000832AC">
                  <w:pPr>
                    <w:jc w:val="center"/>
                    <w:textAlignment w:val="baseline"/>
                    <w:rPr>
                      <w:b/>
                      <w:lang w:eastAsia="zh-CN"/>
                    </w:rPr>
                  </w:pPr>
                  <w:r w:rsidRPr="00073574">
                    <w:rPr>
                      <w:b/>
                      <w:lang w:eastAsia="zh-CN"/>
                    </w:rPr>
                    <w:t>Title</w:t>
                  </w:r>
                </w:p>
              </w:tc>
            </w:tr>
            <w:tr w:rsidR="000832AC" w:rsidRPr="00073574" w14:paraId="6F4D1726" w14:textId="77777777" w:rsidTr="7277BFE4">
              <w:trPr>
                <w:jc w:val="center"/>
              </w:trPr>
              <w:tc>
                <w:tcPr>
                  <w:tcW w:w="2125" w:type="dxa"/>
                  <w:tcBorders>
                    <w:top w:val="single" w:sz="4" w:space="0" w:color="auto"/>
                    <w:left w:val="single" w:sz="4" w:space="0" w:color="auto"/>
                    <w:bottom w:val="single" w:sz="4" w:space="0" w:color="auto"/>
                    <w:right w:val="single" w:sz="4" w:space="0" w:color="auto"/>
                  </w:tcBorders>
                </w:tcPr>
                <w:p w14:paraId="577AA293" w14:textId="77777777" w:rsidR="000832AC" w:rsidRPr="00073574" w:rsidRDefault="000832AC" w:rsidP="000832AC">
                  <w:pPr>
                    <w:jc w:val="center"/>
                    <w:textAlignment w:val="baseline"/>
                    <w:rPr>
                      <w:lang w:eastAsia="zh-CN"/>
                    </w:rPr>
                  </w:pPr>
                  <w:r w:rsidRPr="00073574">
                    <w:rPr>
                      <w:lang w:eastAsia="zh-CN"/>
                    </w:rPr>
                    <w:t>D2.1 - Data processing and management framework for IoT and smart cities and communities</w:t>
                  </w:r>
                </w:p>
              </w:tc>
              <w:tc>
                <w:tcPr>
                  <w:tcW w:w="630" w:type="dxa"/>
                  <w:tcBorders>
                    <w:top w:val="single" w:sz="4" w:space="0" w:color="auto"/>
                    <w:left w:val="single" w:sz="4" w:space="0" w:color="auto"/>
                    <w:bottom w:val="single" w:sz="4" w:space="0" w:color="auto"/>
                    <w:right w:val="single" w:sz="4" w:space="0" w:color="auto"/>
                  </w:tcBorders>
                </w:tcPr>
                <w:p w14:paraId="16BBCC41" w14:textId="77777777" w:rsidR="000832AC" w:rsidRPr="00073574" w:rsidRDefault="000832AC" w:rsidP="000832AC">
                  <w:pPr>
                    <w:jc w:val="center"/>
                    <w:textAlignment w:val="baseline"/>
                    <w:rPr>
                      <w:lang w:eastAsia="zh-CN"/>
                    </w:rPr>
                  </w:pPr>
                  <w:r w:rsidRPr="00073574">
                    <w:rPr>
                      <w:lang w:eastAsia="zh-CN"/>
                    </w:rPr>
                    <w:t>1/20</w:t>
                  </w:r>
                </w:p>
              </w:tc>
              <w:tc>
                <w:tcPr>
                  <w:tcW w:w="2070" w:type="dxa"/>
                  <w:tcBorders>
                    <w:top w:val="single" w:sz="4" w:space="0" w:color="auto"/>
                    <w:left w:val="single" w:sz="4" w:space="0" w:color="auto"/>
                    <w:bottom w:val="single" w:sz="4" w:space="0" w:color="auto"/>
                    <w:right w:val="single" w:sz="4" w:space="0" w:color="auto"/>
                  </w:tcBorders>
                </w:tcPr>
                <w:p w14:paraId="3D978DD7" w14:textId="035A9ECF" w:rsidR="000832AC" w:rsidRPr="00073574" w:rsidRDefault="000832AC" w:rsidP="000832AC">
                  <w:pPr>
                    <w:jc w:val="center"/>
                    <w:textAlignment w:val="baseline"/>
                    <w:rPr>
                      <w:lang w:eastAsia="zh-CN"/>
                    </w:rPr>
                  </w:pPr>
                  <w:r w:rsidRPr="00073574">
                    <w:rPr>
                      <w:lang w:eastAsia="zh-CN"/>
                    </w:rPr>
                    <w:t>A new work item was created to develop a Recommendation</w:t>
                  </w:r>
                  <w:r w:rsidR="00F16722">
                    <w:rPr>
                      <w:lang w:eastAsia="zh-CN"/>
                    </w:rPr>
                    <w:t>.</w:t>
                  </w:r>
                </w:p>
              </w:tc>
              <w:tc>
                <w:tcPr>
                  <w:tcW w:w="1440" w:type="dxa"/>
                  <w:tcBorders>
                    <w:top w:val="single" w:sz="4" w:space="0" w:color="auto"/>
                    <w:left w:val="single" w:sz="4" w:space="0" w:color="auto"/>
                    <w:bottom w:val="single" w:sz="4" w:space="0" w:color="auto"/>
                    <w:right w:val="single" w:sz="4" w:space="0" w:color="auto"/>
                  </w:tcBorders>
                </w:tcPr>
                <w:p w14:paraId="7A293BBB" w14:textId="77777777" w:rsidR="000832AC" w:rsidRPr="00073574" w:rsidRDefault="000832AC" w:rsidP="000832AC">
                  <w:pPr>
                    <w:jc w:val="center"/>
                    <w:textAlignment w:val="baseline"/>
                    <w:rPr>
                      <w:lang w:eastAsia="zh-CN"/>
                    </w:rPr>
                  </w:pPr>
                  <w:r w:rsidRPr="00073574">
                    <w:rPr>
                      <w:lang w:eastAsia="zh-CN"/>
                    </w:rPr>
                    <w:t>Y.DPM-framework</w:t>
                  </w:r>
                </w:p>
              </w:tc>
              <w:tc>
                <w:tcPr>
                  <w:tcW w:w="2701" w:type="dxa"/>
                  <w:tcBorders>
                    <w:top w:val="single" w:sz="4" w:space="0" w:color="auto"/>
                    <w:left w:val="single" w:sz="4" w:space="0" w:color="auto"/>
                    <w:bottom w:val="single" w:sz="4" w:space="0" w:color="auto"/>
                    <w:right w:val="single" w:sz="4" w:space="0" w:color="auto"/>
                  </w:tcBorders>
                </w:tcPr>
                <w:p w14:paraId="1AE571D7" w14:textId="77777777" w:rsidR="000832AC" w:rsidRPr="00073574" w:rsidRDefault="000832AC" w:rsidP="000832AC">
                  <w:pPr>
                    <w:jc w:val="center"/>
                    <w:textAlignment w:val="baseline"/>
                    <w:rPr>
                      <w:lang w:eastAsia="zh-CN"/>
                    </w:rPr>
                  </w:pPr>
                  <w:r w:rsidRPr="00073574">
                    <w:rPr>
                      <w:lang w:eastAsia="zh-CN"/>
                    </w:rPr>
                    <w:t>Data processing and management framework for IoT and smart cities and communities</w:t>
                  </w:r>
                </w:p>
              </w:tc>
            </w:tr>
            <w:tr w:rsidR="000832AC" w:rsidRPr="00073574" w14:paraId="2F599CC2" w14:textId="77777777" w:rsidTr="7277BFE4">
              <w:trPr>
                <w:jc w:val="center"/>
              </w:trPr>
              <w:tc>
                <w:tcPr>
                  <w:tcW w:w="2125" w:type="dxa"/>
                  <w:tcBorders>
                    <w:top w:val="single" w:sz="4" w:space="0" w:color="auto"/>
                    <w:left w:val="single" w:sz="4" w:space="0" w:color="auto"/>
                    <w:bottom w:val="single" w:sz="4" w:space="0" w:color="auto"/>
                    <w:right w:val="single" w:sz="4" w:space="0" w:color="auto"/>
                  </w:tcBorders>
                </w:tcPr>
                <w:p w14:paraId="7B7E0908" w14:textId="77777777" w:rsidR="000832AC" w:rsidRPr="00073574" w:rsidRDefault="000832AC" w:rsidP="000832AC">
                  <w:pPr>
                    <w:jc w:val="center"/>
                    <w:textAlignment w:val="baseline"/>
                    <w:rPr>
                      <w:lang w:eastAsia="zh-CN"/>
                    </w:rPr>
                  </w:pPr>
                  <w:r w:rsidRPr="00073574">
                    <w:rPr>
                      <w:lang w:eastAsia="zh-CN"/>
                    </w:rPr>
                    <w:t>D2.3 - Web based data model for IoT and smart city</w:t>
                  </w:r>
                </w:p>
              </w:tc>
              <w:tc>
                <w:tcPr>
                  <w:tcW w:w="630" w:type="dxa"/>
                  <w:tcBorders>
                    <w:top w:val="single" w:sz="4" w:space="0" w:color="auto"/>
                    <w:left w:val="single" w:sz="4" w:space="0" w:color="auto"/>
                    <w:bottom w:val="single" w:sz="4" w:space="0" w:color="auto"/>
                    <w:right w:val="single" w:sz="4" w:space="0" w:color="auto"/>
                  </w:tcBorders>
                </w:tcPr>
                <w:p w14:paraId="2D2D7E67" w14:textId="77777777" w:rsidR="000832AC" w:rsidRPr="00073574" w:rsidRDefault="000832AC" w:rsidP="000832AC">
                  <w:pPr>
                    <w:jc w:val="center"/>
                    <w:textAlignment w:val="baseline"/>
                    <w:rPr>
                      <w:lang w:eastAsia="zh-CN"/>
                    </w:rPr>
                  </w:pPr>
                  <w:r w:rsidRPr="00073574">
                    <w:rPr>
                      <w:lang w:eastAsia="zh-CN"/>
                    </w:rPr>
                    <w:t>1/20</w:t>
                  </w:r>
                </w:p>
              </w:tc>
              <w:tc>
                <w:tcPr>
                  <w:tcW w:w="2070" w:type="dxa"/>
                  <w:tcBorders>
                    <w:top w:val="single" w:sz="4" w:space="0" w:color="auto"/>
                    <w:left w:val="single" w:sz="4" w:space="0" w:color="auto"/>
                    <w:bottom w:val="single" w:sz="4" w:space="0" w:color="auto"/>
                    <w:right w:val="single" w:sz="4" w:space="0" w:color="auto"/>
                  </w:tcBorders>
                </w:tcPr>
                <w:p w14:paraId="4557110E" w14:textId="6D9B8C19" w:rsidR="000832AC" w:rsidRPr="00073574" w:rsidRDefault="000832AC" w:rsidP="000832AC">
                  <w:pPr>
                    <w:jc w:val="center"/>
                    <w:textAlignment w:val="baseline"/>
                    <w:rPr>
                      <w:lang w:eastAsia="zh-CN"/>
                    </w:rPr>
                  </w:pPr>
                  <w:r w:rsidRPr="00073574">
                    <w:rPr>
                      <w:lang w:eastAsia="zh-CN"/>
                    </w:rPr>
                    <w:t>A new work item was created to develop a Supplement</w:t>
                  </w:r>
                  <w:r w:rsidR="00F16722">
                    <w:rPr>
                      <w:lang w:eastAsia="zh-CN"/>
                    </w:rPr>
                    <w:t>.</w:t>
                  </w:r>
                </w:p>
              </w:tc>
              <w:tc>
                <w:tcPr>
                  <w:tcW w:w="1440" w:type="dxa"/>
                  <w:tcBorders>
                    <w:top w:val="single" w:sz="4" w:space="0" w:color="auto"/>
                    <w:left w:val="single" w:sz="4" w:space="0" w:color="auto"/>
                    <w:bottom w:val="single" w:sz="4" w:space="0" w:color="auto"/>
                    <w:right w:val="single" w:sz="4" w:space="0" w:color="auto"/>
                  </w:tcBorders>
                </w:tcPr>
                <w:p w14:paraId="2B306D63" w14:textId="77777777" w:rsidR="00C534A9" w:rsidRPr="00073574" w:rsidRDefault="00C534A9" w:rsidP="00C534A9">
                  <w:pPr>
                    <w:jc w:val="center"/>
                    <w:rPr>
                      <w:rFonts w:eastAsiaTheme="minorHAnsi"/>
                      <w:color w:val="000000"/>
                      <w:szCs w:val="22"/>
                      <w:lang w:eastAsia="en-US"/>
                    </w:rPr>
                  </w:pPr>
                  <w:r w:rsidRPr="00073574">
                    <w:rPr>
                      <w:color w:val="000000"/>
                      <w:lang w:eastAsia="en-US"/>
                    </w:rPr>
                    <w:t>Approved</w:t>
                  </w:r>
                </w:p>
                <w:p w14:paraId="3836258C" w14:textId="62683005" w:rsidR="000832AC" w:rsidRPr="00073574" w:rsidRDefault="00C534A9" w:rsidP="000832AC">
                  <w:pPr>
                    <w:jc w:val="center"/>
                    <w:textAlignment w:val="baseline"/>
                    <w:rPr>
                      <w:lang w:eastAsia="zh-CN"/>
                    </w:rPr>
                  </w:pPr>
                  <w:r w:rsidRPr="00073574">
                    <w:rPr>
                      <w:color w:val="000000"/>
                      <w:lang w:eastAsia="en-US"/>
                    </w:rPr>
                    <w:t>ITU</w:t>
                  </w:r>
                  <w:r w:rsidR="00716BC7" w:rsidRPr="00073574">
                    <w:rPr>
                      <w:color w:val="000000"/>
                      <w:lang w:eastAsia="en-US"/>
                    </w:rPr>
                    <w:t xml:space="preserve">-T </w:t>
                  </w:r>
                  <w:r w:rsidRPr="00073574">
                    <w:rPr>
                      <w:color w:val="000000"/>
                      <w:lang w:eastAsia="en-US"/>
                    </w:rPr>
                    <w:t>Y.Suppl.69</w:t>
                  </w:r>
                </w:p>
              </w:tc>
              <w:tc>
                <w:tcPr>
                  <w:tcW w:w="2701" w:type="dxa"/>
                  <w:tcBorders>
                    <w:top w:val="single" w:sz="4" w:space="0" w:color="auto"/>
                    <w:left w:val="single" w:sz="4" w:space="0" w:color="auto"/>
                    <w:bottom w:val="single" w:sz="4" w:space="0" w:color="auto"/>
                    <w:right w:val="single" w:sz="4" w:space="0" w:color="auto"/>
                  </w:tcBorders>
                </w:tcPr>
                <w:p w14:paraId="104B2F13" w14:textId="77777777" w:rsidR="000832AC" w:rsidRPr="00073574" w:rsidRDefault="000832AC" w:rsidP="000832AC">
                  <w:pPr>
                    <w:jc w:val="center"/>
                    <w:textAlignment w:val="baseline"/>
                    <w:rPr>
                      <w:lang w:eastAsia="zh-CN"/>
                    </w:rPr>
                  </w:pPr>
                  <w:r w:rsidRPr="00073574">
                    <w:rPr>
                      <w:lang w:eastAsia="zh-CN"/>
                    </w:rPr>
                    <w:t>Web based data model for IoT and smart city</w:t>
                  </w:r>
                </w:p>
              </w:tc>
            </w:tr>
            <w:tr w:rsidR="000832AC" w:rsidRPr="00073574" w14:paraId="62A1234F" w14:textId="77777777" w:rsidTr="7277BFE4">
              <w:trPr>
                <w:jc w:val="center"/>
              </w:trPr>
              <w:tc>
                <w:tcPr>
                  <w:tcW w:w="2125" w:type="dxa"/>
                  <w:tcBorders>
                    <w:top w:val="single" w:sz="4" w:space="0" w:color="auto"/>
                    <w:left w:val="single" w:sz="4" w:space="0" w:color="auto"/>
                    <w:bottom w:val="single" w:sz="4" w:space="0" w:color="auto"/>
                    <w:right w:val="single" w:sz="4" w:space="0" w:color="auto"/>
                  </w:tcBorders>
                </w:tcPr>
                <w:p w14:paraId="1BDF8270" w14:textId="77777777" w:rsidR="000832AC" w:rsidRPr="00073574" w:rsidRDefault="000832AC" w:rsidP="000832AC">
                  <w:pPr>
                    <w:jc w:val="center"/>
                    <w:textAlignment w:val="baseline"/>
                    <w:rPr>
                      <w:lang w:eastAsia="zh-CN"/>
                    </w:rPr>
                  </w:pPr>
                  <w:r w:rsidRPr="00073574">
                    <w:rPr>
                      <w:lang w:eastAsia="zh-CN"/>
                    </w:rPr>
                    <w:t>D3.3 - Framework to support data interoperability in IoT environments</w:t>
                  </w:r>
                </w:p>
              </w:tc>
              <w:tc>
                <w:tcPr>
                  <w:tcW w:w="630" w:type="dxa"/>
                  <w:tcBorders>
                    <w:top w:val="single" w:sz="4" w:space="0" w:color="auto"/>
                    <w:left w:val="single" w:sz="4" w:space="0" w:color="auto"/>
                    <w:bottom w:val="single" w:sz="4" w:space="0" w:color="auto"/>
                    <w:right w:val="single" w:sz="4" w:space="0" w:color="auto"/>
                  </w:tcBorders>
                </w:tcPr>
                <w:p w14:paraId="689BD2DC" w14:textId="77777777" w:rsidR="000832AC" w:rsidRPr="00073574" w:rsidRDefault="000832AC" w:rsidP="000832AC">
                  <w:pPr>
                    <w:jc w:val="center"/>
                    <w:textAlignment w:val="baseline"/>
                    <w:rPr>
                      <w:lang w:eastAsia="zh-CN"/>
                    </w:rPr>
                  </w:pPr>
                  <w:r w:rsidRPr="00073574">
                    <w:rPr>
                      <w:lang w:eastAsia="zh-CN"/>
                    </w:rPr>
                    <w:t>1/20</w:t>
                  </w:r>
                </w:p>
              </w:tc>
              <w:tc>
                <w:tcPr>
                  <w:tcW w:w="2070" w:type="dxa"/>
                  <w:tcBorders>
                    <w:top w:val="single" w:sz="4" w:space="0" w:color="auto"/>
                    <w:left w:val="single" w:sz="4" w:space="0" w:color="auto"/>
                    <w:bottom w:val="single" w:sz="4" w:space="0" w:color="auto"/>
                    <w:right w:val="single" w:sz="4" w:space="0" w:color="auto"/>
                  </w:tcBorders>
                </w:tcPr>
                <w:p w14:paraId="3CF52966" w14:textId="70C9B9B5" w:rsidR="000832AC" w:rsidRPr="00073574" w:rsidRDefault="000832AC" w:rsidP="000832AC">
                  <w:pPr>
                    <w:jc w:val="center"/>
                    <w:textAlignment w:val="baseline"/>
                    <w:rPr>
                      <w:lang w:eastAsia="zh-CN"/>
                    </w:rPr>
                  </w:pPr>
                  <w:r w:rsidRPr="00073574">
                    <w:rPr>
                      <w:lang w:eastAsia="zh-CN"/>
                    </w:rPr>
                    <w:t>A new work item was created to develop a Recommendation</w:t>
                  </w:r>
                  <w:r w:rsidR="00F16722">
                    <w:rPr>
                      <w:lang w:eastAsia="zh-CN"/>
                    </w:rPr>
                    <w:t>.</w:t>
                  </w:r>
                </w:p>
              </w:tc>
              <w:tc>
                <w:tcPr>
                  <w:tcW w:w="1440" w:type="dxa"/>
                  <w:tcBorders>
                    <w:top w:val="single" w:sz="4" w:space="0" w:color="auto"/>
                    <w:left w:val="single" w:sz="4" w:space="0" w:color="auto"/>
                    <w:bottom w:val="single" w:sz="4" w:space="0" w:color="auto"/>
                    <w:right w:val="single" w:sz="4" w:space="0" w:color="auto"/>
                  </w:tcBorders>
                </w:tcPr>
                <w:p w14:paraId="244201FA" w14:textId="77777777" w:rsidR="000832AC" w:rsidRPr="00073574" w:rsidRDefault="000832AC" w:rsidP="000832AC">
                  <w:pPr>
                    <w:jc w:val="center"/>
                    <w:textAlignment w:val="baseline"/>
                    <w:rPr>
                      <w:lang w:eastAsia="zh-CN"/>
                    </w:rPr>
                  </w:pPr>
                  <w:r w:rsidRPr="00073574">
                    <w:rPr>
                      <w:lang w:eastAsia="zh-CN"/>
                    </w:rPr>
                    <w:t>Y.DPM-interop</w:t>
                  </w:r>
                </w:p>
              </w:tc>
              <w:tc>
                <w:tcPr>
                  <w:tcW w:w="2701" w:type="dxa"/>
                  <w:tcBorders>
                    <w:top w:val="single" w:sz="4" w:space="0" w:color="auto"/>
                    <w:left w:val="single" w:sz="4" w:space="0" w:color="auto"/>
                    <w:bottom w:val="single" w:sz="4" w:space="0" w:color="auto"/>
                    <w:right w:val="single" w:sz="4" w:space="0" w:color="auto"/>
                  </w:tcBorders>
                </w:tcPr>
                <w:p w14:paraId="13529815" w14:textId="77777777" w:rsidR="000832AC" w:rsidRPr="00073574" w:rsidRDefault="000832AC" w:rsidP="000832AC">
                  <w:pPr>
                    <w:jc w:val="center"/>
                    <w:textAlignment w:val="baseline"/>
                    <w:rPr>
                      <w:lang w:eastAsia="zh-CN"/>
                    </w:rPr>
                  </w:pPr>
                  <w:r w:rsidRPr="00073574">
                    <w:rPr>
                      <w:lang w:eastAsia="zh-CN"/>
                    </w:rPr>
                    <w:t>Requirements and functional model to support data interoperability in IoT environments</w:t>
                  </w:r>
                </w:p>
              </w:tc>
            </w:tr>
            <w:tr w:rsidR="000832AC" w:rsidRPr="00073574" w14:paraId="672D097D" w14:textId="77777777" w:rsidTr="7277BFE4">
              <w:trPr>
                <w:jc w:val="center"/>
              </w:trPr>
              <w:tc>
                <w:tcPr>
                  <w:tcW w:w="2125" w:type="dxa"/>
                  <w:tcBorders>
                    <w:top w:val="single" w:sz="4" w:space="0" w:color="auto"/>
                    <w:left w:val="single" w:sz="4" w:space="0" w:color="auto"/>
                    <w:bottom w:val="single" w:sz="4" w:space="0" w:color="auto"/>
                    <w:right w:val="single" w:sz="4" w:space="0" w:color="auto"/>
                  </w:tcBorders>
                </w:tcPr>
                <w:p w14:paraId="5AD48B0E" w14:textId="77777777" w:rsidR="000832AC" w:rsidRPr="00073574" w:rsidRDefault="000832AC" w:rsidP="000832AC">
                  <w:pPr>
                    <w:jc w:val="center"/>
                    <w:textAlignment w:val="baseline"/>
                    <w:rPr>
                      <w:lang w:eastAsia="zh-CN"/>
                    </w:rPr>
                  </w:pPr>
                  <w:r w:rsidRPr="00073574">
                    <w:rPr>
                      <w:lang w:eastAsia="zh-CN"/>
                    </w:rPr>
                    <w:t>D4.4 - Framework to support data quality management in IoT</w:t>
                  </w:r>
                </w:p>
              </w:tc>
              <w:tc>
                <w:tcPr>
                  <w:tcW w:w="630" w:type="dxa"/>
                  <w:tcBorders>
                    <w:top w:val="single" w:sz="4" w:space="0" w:color="auto"/>
                    <w:left w:val="single" w:sz="4" w:space="0" w:color="auto"/>
                    <w:bottom w:val="single" w:sz="4" w:space="0" w:color="auto"/>
                    <w:right w:val="single" w:sz="4" w:space="0" w:color="auto"/>
                  </w:tcBorders>
                </w:tcPr>
                <w:p w14:paraId="26E76D82" w14:textId="77777777" w:rsidR="000832AC" w:rsidRPr="00073574" w:rsidRDefault="000832AC" w:rsidP="000832AC">
                  <w:pPr>
                    <w:jc w:val="center"/>
                    <w:textAlignment w:val="baseline"/>
                    <w:rPr>
                      <w:lang w:eastAsia="zh-CN"/>
                    </w:rPr>
                  </w:pPr>
                  <w:r w:rsidRPr="00073574">
                    <w:rPr>
                      <w:lang w:eastAsia="zh-CN"/>
                    </w:rPr>
                    <w:t>1/20</w:t>
                  </w:r>
                </w:p>
              </w:tc>
              <w:tc>
                <w:tcPr>
                  <w:tcW w:w="2070" w:type="dxa"/>
                  <w:tcBorders>
                    <w:top w:val="single" w:sz="4" w:space="0" w:color="auto"/>
                    <w:left w:val="single" w:sz="4" w:space="0" w:color="auto"/>
                    <w:bottom w:val="single" w:sz="4" w:space="0" w:color="auto"/>
                    <w:right w:val="single" w:sz="4" w:space="0" w:color="auto"/>
                  </w:tcBorders>
                </w:tcPr>
                <w:p w14:paraId="1760CA67" w14:textId="05E642C1" w:rsidR="000832AC" w:rsidRPr="00073574" w:rsidRDefault="000832AC" w:rsidP="000832AC">
                  <w:pPr>
                    <w:jc w:val="center"/>
                    <w:textAlignment w:val="baseline"/>
                    <w:rPr>
                      <w:lang w:eastAsia="zh-CN"/>
                    </w:rPr>
                  </w:pPr>
                  <w:r w:rsidRPr="00073574">
                    <w:rPr>
                      <w:lang w:eastAsia="zh-CN"/>
                    </w:rPr>
                    <w:t>A new work item was created to develop a Recommendation</w:t>
                  </w:r>
                  <w:r w:rsidR="00F16722">
                    <w:rPr>
                      <w:lang w:eastAsia="zh-CN"/>
                    </w:rPr>
                    <w:t>.</w:t>
                  </w:r>
                </w:p>
              </w:tc>
              <w:tc>
                <w:tcPr>
                  <w:tcW w:w="1440" w:type="dxa"/>
                  <w:tcBorders>
                    <w:top w:val="single" w:sz="4" w:space="0" w:color="auto"/>
                    <w:left w:val="single" w:sz="4" w:space="0" w:color="auto"/>
                    <w:bottom w:val="single" w:sz="4" w:space="0" w:color="auto"/>
                    <w:right w:val="single" w:sz="4" w:space="0" w:color="auto"/>
                  </w:tcBorders>
                </w:tcPr>
                <w:p w14:paraId="77419167" w14:textId="77777777" w:rsidR="000832AC" w:rsidRPr="00073574" w:rsidRDefault="000832AC" w:rsidP="000832AC">
                  <w:pPr>
                    <w:jc w:val="center"/>
                    <w:textAlignment w:val="baseline"/>
                    <w:rPr>
                      <w:lang w:eastAsia="zh-CN"/>
                    </w:rPr>
                  </w:pPr>
                  <w:r w:rsidRPr="00073574">
                    <w:rPr>
                      <w:lang w:eastAsia="zh-CN"/>
                    </w:rPr>
                    <w:t>Y.DPM-qm</w:t>
                  </w:r>
                </w:p>
              </w:tc>
              <w:tc>
                <w:tcPr>
                  <w:tcW w:w="2701" w:type="dxa"/>
                  <w:tcBorders>
                    <w:top w:val="single" w:sz="4" w:space="0" w:color="auto"/>
                    <w:left w:val="single" w:sz="4" w:space="0" w:color="auto"/>
                    <w:bottom w:val="single" w:sz="4" w:space="0" w:color="auto"/>
                    <w:right w:val="single" w:sz="4" w:space="0" w:color="auto"/>
                  </w:tcBorders>
                </w:tcPr>
                <w:p w14:paraId="29742144" w14:textId="77777777" w:rsidR="000832AC" w:rsidRPr="00073574" w:rsidRDefault="000832AC" w:rsidP="000832AC">
                  <w:pPr>
                    <w:jc w:val="center"/>
                    <w:textAlignment w:val="baseline"/>
                    <w:rPr>
                      <w:lang w:eastAsia="zh-CN"/>
                    </w:rPr>
                  </w:pPr>
                  <w:r w:rsidRPr="00073574">
                    <w:rPr>
                      <w:lang w:eastAsia="zh-CN"/>
                    </w:rPr>
                    <w:t>Requirements and functional model to support data quality management in IoT</w:t>
                  </w:r>
                </w:p>
              </w:tc>
            </w:tr>
            <w:tr w:rsidR="000832AC" w:rsidRPr="00073574" w14:paraId="04AC38D7" w14:textId="77777777" w:rsidTr="7277BFE4">
              <w:trPr>
                <w:jc w:val="center"/>
              </w:trPr>
              <w:tc>
                <w:tcPr>
                  <w:tcW w:w="2125" w:type="dxa"/>
                  <w:tcBorders>
                    <w:top w:val="single" w:sz="4" w:space="0" w:color="auto"/>
                    <w:left w:val="single" w:sz="4" w:space="0" w:color="auto"/>
                    <w:bottom w:val="single" w:sz="4" w:space="0" w:color="auto"/>
                    <w:right w:val="single" w:sz="4" w:space="0" w:color="auto"/>
                  </w:tcBorders>
                </w:tcPr>
                <w:p w14:paraId="45D1EDCE" w14:textId="77777777" w:rsidR="000832AC" w:rsidRPr="00073574" w:rsidRDefault="000832AC" w:rsidP="000832AC">
                  <w:pPr>
                    <w:jc w:val="center"/>
                    <w:textAlignment w:val="baseline"/>
                    <w:rPr>
                      <w:lang w:eastAsia="zh-CN"/>
                    </w:rPr>
                  </w:pPr>
                  <w:r w:rsidRPr="00073574">
                    <w:rPr>
                      <w:lang w:eastAsia="zh-CN"/>
                    </w:rPr>
                    <w:t>Part of D3.3 - Framework to support data interoperability in IoT environments</w:t>
                  </w:r>
                </w:p>
              </w:tc>
              <w:tc>
                <w:tcPr>
                  <w:tcW w:w="630" w:type="dxa"/>
                  <w:tcBorders>
                    <w:top w:val="single" w:sz="4" w:space="0" w:color="auto"/>
                    <w:left w:val="single" w:sz="4" w:space="0" w:color="auto"/>
                    <w:bottom w:val="single" w:sz="4" w:space="0" w:color="auto"/>
                    <w:right w:val="single" w:sz="4" w:space="0" w:color="auto"/>
                  </w:tcBorders>
                </w:tcPr>
                <w:p w14:paraId="219CD92C" w14:textId="77777777" w:rsidR="000832AC" w:rsidRPr="00073574" w:rsidRDefault="000832AC" w:rsidP="000832AC">
                  <w:pPr>
                    <w:jc w:val="center"/>
                    <w:textAlignment w:val="baseline"/>
                    <w:rPr>
                      <w:lang w:eastAsia="zh-CN"/>
                    </w:rPr>
                  </w:pPr>
                  <w:r w:rsidRPr="00073574">
                    <w:rPr>
                      <w:lang w:eastAsia="zh-CN"/>
                    </w:rPr>
                    <w:t>4/20</w:t>
                  </w:r>
                </w:p>
              </w:tc>
              <w:tc>
                <w:tcPr>
                  <w:tcW w:w="2070" w:type="dxa"/>
                  <w:tcBorders>
                    <w:top w:val="single" w:sz="4" w:space="0" w:color="auto"/>
                    <w:left w:val="single" w:sz="4" w:space="0" w:color="auto"/>
                    <w:bottom w:val="single" w:sz="4" w:space="0" w:color="auto"/>
                    <w:right w:val="single" w:sz="4" w:space="0" w:color="auto"/>
                  </w:tcBorders>
                </w:tcPr>
                <w:p w14:paraId="19441E97" w14:textId="4310A654" w:rsidR="000832AC" w:rsidRPr="00073574" w:rsidRDefault="000832AC" w:rsidP="000832AC">
                  <w:pPr>
                    <w:jc w:val="center"/>
                    <w:textAlignment w:val="baseline"/>
                    <w:rPr>
                      <w:lang w:eastAsia="zh-CN"/>
                    </w:rPr>
                  </w:pPr>
                  <w:r w:rsidRPr="00073574">
                    <w:rPr>
                      <w:lang w:eastAsia="zh-CN"/>
                    </w:rPr>
                    <w:t xml:space="preserve">A new work item was created to develop a Recommendation taking into </w:t>
                  </w:r>
                  <w:r w:rsidRPr="00073574">
                    <w:rPr>
                      <w:lang w:eastAsia="zh-CN"/>
                    </w:rPr>
                    <w:lastRenderedPageBreak/>
                    <w:t>consideration part of D.3.3 from the FG-DPM and Recommendation ITU-T Y.4452</w:t>
                  </w:r>
                  <w:r w:rsidR="00F16722">
                    <w:rPr>
                      <w:lang w:eastAsia="zh-CN"/>
                    </w:rPr>
                    <w:t>.</w:t>
                  </w:r>
                </w:p>
              </w:tc>
              <w:tc>
                <w:tcPr>
                  <w:tcW w:w="1440" w:type="dxa"/>
                  <w:tcBorders>
                    <w:top w:val="single" w:sz="4" w:space="0" w:color="auto"/>
                    <w:left w:val="single" w:sz="4" w:space="0" w:color="auto"/>
                    <w:bottom w:val="single" w:sz="4" w:space="0" w:color="auto"/>
                    <w:right w:val="single" w:sz="4" w:space="0" w:color="auto"/>
                  </w:tcBorders>
                </w:tcPr>
                <w:p w14:paraId="655643C5" w14:textId="77777777" w:rsidR="000832AC" w:rsidRPr="00073574" w:rsidRDefault="000832AC" w:rsidP="000832AC">
                  <w:pPr>
                    <w:jc w:val="center"/>
                    <w:textAlignment w:val="baseline"/>
                    <w:rPr>
                      <w:lang w:eastAsia="zh-CN"/>
                    </w:rPr>
                  </w:pPr>
                  <w:r w:rsidRPr="00073574">
                    <w:rPr>
                      <w:lang w:eastAsia="zh-CN"/>
                    </w:rPr>
                    <w:lastRenderedPageBreak/>
                    <w:t>Y.eHealth-Semantic</w:t>
                  </w:r>
                </w:p>
              </w:tc>
              <w:tc>
                <w:tcPr>
                  <w:tcW w:w="2701" w:type="dxa"/>
                  <w:tcBorders>
                    <w:top w:val="single" w:sz="4" w:space="0" w:color="auto"/>
                    <w:left w:val="single" w:sz="4" w:space="0" w:color="auto"/>
                    <w:bottom w:val="single" w:sz="4" w:space="0" w:color="auto"/>
                    <w:right w:val="single" w:sz="4" w:space="0" w:color="auto"/>
                  </w:tcBorders>
                </w:tcPr>
                <w:p w14:paraId="3972D042" w14:textId="77777777" w:rsidR="000832AC" w:rsidRPr="00073574" w:rsidRDefault="000832AC" w:rsidP="000832AC">
                  <w:pPr>
                    <w:jc w:val="center"/>
                    <w:textAlignment w:val="baseline"/>
                    <w:rPr>
                      <w:lang w:eastAsia="zh-CN"/>
                    </w:rPr>
                  </w:pPr>
                  <w:r w:rsidRPr="00073574">
                    <w:rPr>
                      <w:lang w:eastAsia="zh-CN"/>
                    </w:rPr>
                    <w:t>Architecture of web of objects based semantic mediation model in eHealth service</w:t>
                  </w:r>
                </w:p>
              </w:tc>
            </w:tr>
            <w:tr w:rsidR="000832AC" w:rsidRPr="00073574" w14:paraId="7AC34668" w14:textId="77777777" w:rsidTr="7277BFE4">
              <w:trPr>
                <w:jc w:val="center"/>
              </w:trPr>
              <w:tc>
                <w:tcPr>
                  <w:tcW w:w="2125" w:type="dxa"/>
                  <w:tcBorders>
                    <w:top w:val="single" w:sz="4" w:space="0" w:color="auto"/>
                    <w:left w:val="single" w:sz="4" w:space="0" w:color="auto"/>
                    <w:bottom w:val="single" w:sz="4" w:space="0" w:color="auto"/>
                    <w:right w:val="single" w:sz="4" w:space="0" w:color="auto"/>
                  </w:tcBorders>
                </w:tcPr>
                <w:p w14:paraId="5E0D40CF" w14:textId="03251BF2" w:rsidR="000832AC" w:rsidRPr="00073574" w:rsidRDefault="000832AC" w:rsidP="000832AC">
                  <w:pPr>
                    <w:jc w:val="center"/>
                    <w:textAlignment w:val="baseline"/>
                    <w:rPr>
                      <w:lang w:eastAsia="zh-CN"/>
                    </w:rPr>
                  </w:pPr>
                  <w:r w:rsidRPr="00073574">
                    <w:rPr>
                      <w:lang w:eastAsia="zh-CN"/>
                    </w:rPr>
                    <w:t>D3.7 - Blockchain-based data management for supporting IoT and SC&amp;C</w:t>
                  </w:r>
                </w:p>
              </w:tc>
              <w:tc>
                <w:tcPr>
                  <w:tcW w:w="630" w:type="dxa"/>
                  <w:tcBorders>
                    <w:top w:val="single" w:sz="4" w:space="0" w:color="auto"/>
                    <w:left w:val="single" w:sz="4" w:space="0" w:color="auto"/>
                    <w:bottom w:val="single" w:sz="4" w:space="0" w:color="auto"/>
                    <w:right w:val="single" w:sz="4" w:space="0" w:color="auto"/>
                  </w:tcBorders>
                </w:tcPr>
                <w:p w14:paraId="3D7C2196" w14:textId="77777777" w:rsidR="000832AC" w:rsidRPr="00073574" w:rsidRDefault="000832AC" w:rsidP="000832AC">
                  <w:pPr>
                    <w:jc w:val="center"/>
                    <w:textAlignment w:val="baseline"/>
                    <w:rPr>
                      <w:lang w:eastAsia="zh-CN"/>
                    </w:rPr>
                  </w:pPr>
                  <w:r w:rsidRPr="00073574">
                    <w:rPr>
                      <w:lang w:eastAsia="zh-CN"/>
                    </w:rPr>
                    <w:t>4/20</w:t>
                  </w:r>
                </w:p>
              </w:tc>
              <w:tc>
                <w:tcPr>
                  <w:tcW w:w="2070" w:type="dxa"/>
                  <w:tcBorders>
                    <w:top w:val="single" w:sz="4" w:space="0" w:color="auto"/>
                    <w:left w:val="single" w:sz="4" w:space="0" w:color="auto"/>
                    <w:bottom w:val="single" w:sz="4" w:space="0" w:color="auto"/>
                    <w:right w:val="single" w:sz="4" w:space="0" w:color="auto"/>
                  </w:tcBorders>
                </w:tcPr>
                <w:p w14:paraId="5E214FE8" w14:textId="26D15BC8" w:rsidR="000832AC" w:rsidRPr="00073574" w:rsidRDefault="0C6D06B2" w:rsidP="7277BFE4">
                  <w:pPr>
                    <w:jc w:val="center"/>
                    <w:textAlignment w:val="baseline"/>
                    <w:rPr>
                      <w:lang w:eastAsia="zh-CN"/>
                    </w:rPr>
                  </w:pPr>
                  <w:r w:rsidRPr="00073574">
                    <w:rPr>
                      <w:lang w:eastAsia="zh-CN"/>
                    </w:rPr>
                    <w:t>A new work item was created</w:t>
                  </w:r>
                  <w:r w:rsidR="7D77A7FB" w:rsidRPr="00073574">
                    <w:rPr>
                      <w:lang w:eastAsia="zh-CN"/>
                    </w:rPr>
                    <w:t xml:space="preserve"> and </w:t>
                  </w:r>
                  <w:r w:rsidRPr="00073574">
                    <w:rPr>
                      <w:lang w:eastAsia="zh-CN"/>
                    </w:rPr>
                    <w:t>Recommendation</w:t>
                  </w:r>
                  <w:r w:rsidR="21D8796A" w:rsidRPr="00073574">
                    <w:rPr>
                      <w:lang w:eastAsia="zh-CN"/>
                    </w:rPr>
                    <w:t xml:space="preserve"> ITU-T 4561 was approved in August 2020.</w:t>
                  </w:r>
                </w:p>
              </w:tc>
              <w:tc>
                <w:tcPr>
                  <w:tcW w:w="1440" w:type="dxa"/>
                  <w:tcBorders>
                    <w:top w:val="single" w:sz="4" w:space="0" w:color="auto"/>
                    <w:left w:val="single" w:sz="4" w:space="0" w:color="auto"/>
                    <w:bottom w:val="single" w:sz="4" w:space="0" w:color="auto"/>
                    <w:right w:val="single" w:sz="4" w:space="0" w:color="auto"/>
                  </w:tcBorders>
                </w:tcPr>
                <w:p w14:paraId="01B598B1" w14:textId="77777777" w:rsidR="004377E6" w:rsidRPr="00073574" w:rsidRDefault="004377E6" w:rsidP="004377E6">
                  <w:pPr>
                    <w:jc w:val="center"/>
                    <w:rPr>
                      <w:color w:val="000000"/>
                      <w:lang w:eastAsia="en-US"/>
                    </w:rPr>
                  </w:pPr>
                  <w:r w:rsidRPr="00073574">
                    <w:rPr>
                      <w:color w:val="000000"/>
                      <w:lang w:eastAsia="en-US"/>
                    </w:rPr>
                    <w:t>Approved</w:t>
                  </w:r>
                </w:p>
                <w:p w14:paraId="3F035E02" w14:textId="52072275" w:rsidR="000832AC" w:rsidRPr="00073574" w:rsidRDefault="004377E6" w:rsidP="00C91D91">
                  <w:pPr>
                    <w:jc w:val="center"/>
                    <w:rPr>
                      <w:lang w:eastAsia="zh-CN"/>
                    </w:rPr>
                  </w:pPr>
                  <w:r w:rsidRPr="00073574">
                    <w:rPr>
                      <w:color w:val="000000"/>
                      <w:lang w:eastAsia="en-US"/>
                    </w:rPr>
                    <w:t>ITU-T Y.4561</w:t>
                  </w:r>
                </w:p>
              </w:tc>
              <w:tc>
                <w:tcPr>
                  <w:tcW w:w="2701" w:type="dxa"/>
                  <w:tcBorders>
                    <w:top w:val="single" w:sz="4" w:space="0" w:color="auto"/>
                    <w:left w:val="single" w:sz="4" w:space="0" w:color="auto"/>
                    <w:bottom w:val="single" w:sz="4" w:space="0" w:color="auto"/>
                    <w:right w:val="single" w:sz="4" w:space="0" w:color="auto"/>
                  </w:tcBorders>
                </w:tcPr>
                <w:p w14:paraId="7F3A4DB0" w14:textId="77777777" w:rsidR="000832AC" w:rsidRPr="00073574" w:rsidRDefault="000832AC" w:rsidP="000832AC">
                  <w:pPr>
                    <w:jc w:val="center"/>
                    <w:textAlignment w:val="baseline"/>
                    <w:rPr>
                      <w:lang w:eastAsia="zh-CN"/>
                    </w:rPr>
                  </w:pPr>
                  <w:r w:rsidRPr="00073574">
                    <w:rPr>
                      <w:lang w:eastAsia="zh-CN"/>
                    </w:rPr>
                    <w:t>Blockchain-based Data Management for supporting IoT and SC&amp;C</w:t>
                  </w:r>
                </w:p>
              </w:tc>
            </w:tr>
            <w:tr w:rsidR="000832AC" w:rsidRPr="00073574" w14:paraId="7DCB706C" w14:textId="77777777" w:rsidTr="7277BFE4">
              <w:trPr>
                <w:jc w:val="center"/>
              </w:trPr>
              <w:tc>
                <w:tcPr>
                  <w:tcW w:w="2125" w:type="dxa"/>
                  <w:tcBorders>
                    <w:top w:val="single" w:sz="4" w:space="0" w:color="auto"/>
                    <w:left w:val="single" w:sz="4" w:space="0" w:color="auto"/>
                    <w:bottom w:val="single" w:sz="4" w:space="0" w:color="auto"/>
                    <w:right w:val="single" w:sz="4" w:space="0" w:color="auto"/>
                  </w:tcBorders>
                </w:tcPr>
                <w:p w14:paraId="3070EC28" w14:textId="77777777" w:rsidR="000832AC" w:rsidRPr="00073574" w:rsidRDefault="000832AC" w:rsidP="000832AC">
                  <w:pPr>
                    <w:jc w:val="center"/>
                    <w:textAlignment w:val="baseline"/>
                    <w:rPr>
                      <w:lang w:eastAsia="zh-CN"/>
                    </w:rPr>
                  </w:pPr>
                  <w:r w:rsidRPr="00073574">
                    <w:rPr>
                      <w:lang w:eastAsia="zh-CN"/>
                    </w:rPr>
                    <w:t>D3.5 - Overview of blockchain for supporting IoT and SC&amp;C in DPM aspects</w:t>
                  </w:r>
                </w:p>
              </w:tc>
              <w:tc>
                <w:tcPr>
                  <w:tcW w:w="630" w:type="dxa"/>
                  <w:tcBorders>
                    <w:top w:val="single" w:sz="4" w:space="0" w:color="auto"/>
                    <w:left w:val="single" w:sz="4" w:space="0" w:color="auto"/>
                    <w:bottom w:val="single" w:sz="4" w:space="0" w:color="auto"/>
                    <w:right w:val="single" w:sz="4" w:space="0" w:color="auto"/>
                  </w:tcBorders>
                </w:tcPr>
                <w:p w14:paraId="7720956B" w14:textId="77777777" w:rsidR="000832AC" w:rsidRPr="00073574" w:rsidRDefault="000832AC" w:rsidP="000832AC">
                  <w:pPr>
                    <w:jc w:val="center"/>
                    <w:textAlignment w:val="baseline"/>
                    <w:rPr>
                      <w:lang w:eastAsia="zh-CN"/>
                    </w:rPr>
                  </w:pPr>
                  <w:r w:rsidRPr="00073574">
                    <w:rPr>
                      <w:lang w:eastAsia="zh-CN"/>
                    </w:rPr>
                    <w:t>4/20</w:t>
                  </w:r>
                </w:p>
              </w:tc>
              <w:tc>
                <w:tcPr>
                  <w:tcW w:w="2070" w:type="dxa"/>
                  <w:tcBorders>
                    <w:top w:val="single" w:sz="4" w:space="0" w:color="auto"/>
                    <w:left w:val="single" w:sz="4" w:space="0" w:color="auto"/>
                    <w:bottom w:val="single" w:sz="4" w:space="0" w:color="auto"/>
                    <w:right w:val="single" w:sz="4" w:space="0" w:color="auto"/>
                  </w:tcBorders>
                </w:tcPr>
                <w:p w14:paraId="38111060" w14:textId="743272DF" w:rsidR="000832AC" w:rsidRPr="00073574" w:rsidRDefault="0C6D06B2" w:rsidP="000832AC">
                  <w:pPr>
                    <w:jc w:val="center"/>
                    <w:textAlignment w:val="baseline"/>
                    <w:rPr>
                      <w:lang w:eastAsia="zh-CN"/>
                    </w:rPr>
                  </w:pPr>
                  <w:r w:rsidRPr="00073574">
                    <w:rPr>
                      <w:lang w:eastAsia="zh-CN"/>
                    </w:rPr>
                    <w:t>A new work item was created</w:t>
                  </w:r>
                  <w:r w:rsidR="7119D524" w:rsidRPr="00073574">
                    <w:rPr>
                      <w:lang w:eastAsia="zh-CN"/>
                    </w:rPr>
                    <w:t xml:space="preserve"> and </w:t>
                  </w:r>
                  <w:r w:rsidR="1F48ABF7" w:rsidRPr="00073574">
                    <w:rPr>
                      <w:lang w:eastAsia="zh-CN"/>
                    </w:rPr>
                    <w:t xml:space="preserve"> Y.Suppl.62 ITU-T 4000 series was agreed in July 2020.</w:t>
                  </w:r>
                </w:p>
              </w:tc>
              <w:tc>
                <w:tcPr>
                  <w:tcW w:w="1440" w:type="dxa"/>
                  <w:tcBorders>
                    <w:top w:val="single" w:sz="4" w:space="0" w:color="auto"/>
                    <w:left w:val="single" w:sz="4" w:space="0" w:color="auto"/>
                    <w:bottom w:val="single" w:sz="4" w:space="0" w:color="auto"/>
                    <w:right w:val="single" w:sz="4" w:space="0" w:color="auto"/>
                  </w:tcBorders>
                </w:tcPr>
                <w:p w14:paraId="2D2D19CE" w14:textId="77777777" w:rsidR="002A5ED6" w:rsidRPr="00073574" w:rsidRDefault="002A5ED6" w:rsidP="002A5ED6">
                  <w:pPr>
                    <w:jc w:val="center"/>
                    <w:rPr>
                      <w:color w:val="000000"/>
                      <w:lang w:eastAsia="en-US"/>
                    </w:rPr>
                  </w:pPr>
                  <w:r w:rsidRPr="00073574">
                    <w:rPr>
                      <w:color w:val="000000"/>
                      <w:lang w:eastAsia="en-US"/>
                    </w:rPr>
                    <w:t xml:space="preserve">Agreed </w:t>
                  </w:r>
                </w:p>
                <w:p w14:paraId="01ADF8F0" w14:textId="76C1B8E5" w:rsidR="000832AC" w:rsidRPr="00073574" w:rsidRDefault="002A5ED6" w:rsidP="00C91D91">
                  <w:pPr>
                    <w:jc w:val="center"/>
                    <w:rPr>
                      <w:lang w:eastAsia="zh-CN"/>
                    </w:rPr>
                  </w:pPr>
                  <w:r w:rsidRPr="00073574">
                    <w:rPr>
                      <w:color w:val="000000"/>
                      <w:lang w:eastAsia="en-US"/>
                    </w:rPr>
                    <w:t>ITU-T Y.Suppl.62</w:t>
                  </w:r>
                </w:p>
              </w:tc>
              <w:tc>
                <w:tcPr>
                  <w:tcW w:w="2701" w:type="dxa"/>
                  <w:tcBorders>
                    <w:top w:val="single" w:sz="4" w:space="0" w:color="auto"/>
                    <w:left w:val="single" w:sz="4" w:space="0" w:color="auto"/>
                    <w:bottom w:val="single" w:sz="4" w:space="0" w:color="auto"/>
                    <w:right w:val="single" w:sz="4" w:space="0" w:color="auto"/>
                  </w:tcBorders>
                </w:tcPr>
                <w:p w14:paraId="0A33BC4C" w14:textId="77777777" w:rsidR="000832AC" w:rsidRPr="00073574" w:rsidRDefault="000832AC" w:rsidP="000832AC">
                  <w:pPr>
                    <w:jc w:val="center"/>
                    <w:textAlignment w:val="baseline"/>
                    <w:rPr>
                      <w:lang w:eastAsia="zh-CN"/>
                    </w:rPr>
                  </w:pPr>
                  <w:r w:rsidRPr="00073574">
                    <w:rPr>
                      <w:lang w:eastAsia="zh-CN"/>
                    </w:rPr>
                    <w:t>Overview of blockchain for supporting IoT and SC&amp;C in DPM aspects</w:t>
                  </w:r>
                </w:p>
              </w:tc>
            </w:tr>
            <w:tr w:rsidR="000832AC" w:rsidRPr="00073574" w14:paraId="41DC74AE" w14:textId="77777777" w:rsidTr="7277BFE4">
              <w:trPr>
                <w:jc w:val="center"/>
              </w:trPr>
              <w:tc>
                <w:tcPr>
                  <w:tcW w:w="2125" w:type="dxa"/>
                  <w:tcBorders>
                    <w:top w:val="single" w:sz="4" w:space="0" w:color="auto"/>
                    <w:left w:val="single" w:sz="4" w:space="0" w:color="auto"/>
                    <w:bottom w:val="single" w:sz="4" w:space="0" w:color="auto"/>
                    <w:right w:val="single" w:sz="4" w:space="0" w:color="auto"/>
                  </w:tcBorders>
                </w:tcPr>
                <w:p w14:paraId="00A4D4A4" w14:textId="77777777" w:rsidR="000832AC" w:rsidRPr="00073574" w:rsidRDefault="000832AC" w:rsidP="000832AC">
                  <w:pPr>
                    <w:jc w:val="center"/>
                    <w:textAlignment w:val="baseline"/>
                    <w:rPr>
                      <w:lang w:eastAsia="zh-CN"/>
                    </w:rPr>
                  </w:pPr>
                  <w:r w:rsidRPr="00073574">
                    <w:rPr>
                      <w:lang w:eastAsia="zh-CN"/>
                    </w:rPr>
                    <w:t xml:space="preserve">D3.6 - Blockchain-based data exchange and sharing for supporting IoT and SC&amp;C </w:t>
                  </w:r>
                </w:p>
              </w:tc>
              <w:tc>
                <w:tcPr>
                  <w:tcW w:w="630" w:type="dxa"/>
                  <w:tcBorders>
                    <w:top w:val="single" w:sz="4" w:space="0" w:color="auto"/>
                    <w:left w:val="single" w:sz="4" w:space="0" w:color="auto"/>
                    <w:bottom w:val="single" w:sz="4" w:space="0" w:color="auto"/>
                    <w:right w:val="single" w:sz="4" w:space="0" w:color="auto"/>
                  </w:tcBorders>
                </w:tcPr>
                <w:p w14:paraId="4E7E540B" w14:textId="77777777" w:rsidR="000832AC" w:rsidRPr="00073574" w:rsidRDefault="000832AC" w:rsidP="000832AC">
                  <w:pPr>
                    <w:jc w:val="center"/>
                    <w:textAlignment w:val="baseline"/>
                    <w:rPr>
                      <w:lang w:eastAsia="zh-CN"/>
                    </w:rPr>
                  </w:pPr>
                  <w:r w:rsidRPr="00073574">
                    <w:rPr>
                      <w:lang w:eastAsia="zh-CN"/>
                    </w:rPr>
                    <w:t>4/20</w:t>
                  </w:r>
                </w:p>
              </w:tc>
              <w:tc>
                <w:tcPr>
                  <w:tcW w:w="2070" w:type="dxa"/>
                  <w:tcBorders>
                    <w:top w:val="single" w:sz="4" w:space="0" w:color="auto"/>
                    <w:left w:val="single" w:sz="4" w:space="0" w:color="auto"/>
                    <w:bottom w:val="single" w:sz="4" w:space="0" w:color="auto"/>
                    <w:right w:val="single" w:sz="4" w:space="0" w:color="auto"/>
                  </w:tcBorders>
                </w:tcPr>
                <w:p w14:paraId="5F6B1A3D" w14:textId="4E6DB931" w:rsidR="000832AC" w:rsidRPr="00073574" w:rsidRDefault="0C6D06B2" w:rsidP="000832AC">
                  <w:pPr>
                    <w:jc w:val="center"/>
                    <w:textAlignment w:val="baseline"/>
                    <w:rPr>
                      <w:lang w:eastAsia="zh-CN"/>
                    </w:rPr>
                  </w:pPr>
                  <w:r w:rsidRPr="00073574">
                    <w:rPr>
                      <w:lang w:eastAsia="zh-CN"/>
                    </w:rPr>
                    <w:t>A new work item was created</w:t>
                  </w:r>
                  <w:r w:rsidR="6739C9DB" w:rsidRPr="00073574">
                    <w:rPr>
                      <w:lang w:eastAsia="zh-CN"/>
                    </w:rPr>
                    <w:t xml:space="preserve"> and</w:t>
                  </w:r>
                  <w:r w:rsidR="2CFDD851" w:rsidRPr="00073574">
                    <w:rPr>
                      <w:lang w:eastAsia="zh-CN"/>
                    </w:rPr>
                    <w:t xml:space="preserve"> </w:t>
                  </w:r>
                  <w:r w:rsidRPr="00073574">
                    <w:rPr>
                      <w:lang w:eastAsia="zh-CN"/>
                    </w:rPr>
                    <w:t>Recommendation</w:t>
                  </w:r>
                  <w:r w:rsidR="6F7DC367" w:rsidRPr="00073574">
                    <w:rPr>
                      <w:lang w:eastAsia="zh-CN"/>
                    </w:rPr>
                    <w:t xml:space="preserve"> ITU-T Y.4560 was approved in August 2020.</w:t>
                  </w:r>
                </w:p>
              </w:tc>
              <w:tc>
                <w:tcPr>
                  <w:tcW w:w="1440" w:type="dxa"/>
                  <w:tcBorders>
                    <w:top w:val="single" w:sz="4" w:space="0" w:color="auto"/>
                    <w:left w:val="single" w:sz="4" w:space="0" w:color="auto"/>
                    <w:bottom w:val="single" w:sz="4" w:space="0" w:color="auto"/>
                    <w:right w:val="single" w:sz="4" w:space="0" w:color="auto"/>
                  </w:tcBorders>
                </w:tcPr>
                <w:p w14:paraId="5A05516E" w14:textId="77777777" w:rsidR="002A5ED6" w:rsidRPr="00073574" w:rsidRDefault="002A5ED6" w:rsidP="002A5ED6">
                  <w:pPr>
                    <w:jc w:val="center"/>
                    <w:rPr>
                      <w:color w:val="000000"/>
                      <w:lang w:eastAsia="en-US"/>
                    </w:rPr>
                  </w:pPr>
                  <w:r w:rsidRPr="00073574">
                    <w:rPr>
                      <w:color w:val="000000"/>
                      <w:lang w:eastAsia="en-US"/>
                    </w:rPr>
                    <w:t>Approved</w:t>
                  </w:r>
                </w:p>
                <w:p w14:paraId="2ADA7F36" w14:textId="00DF1398" w:rsidR="000832AC" w:rsidRPr="00073574" w:rsidRDefault="002A5ED6" w:rsidP="00C91D91">
                  <w:pPr>
                    <w:jc w:val="center"/>
                    <w:rPr>
                      <w:lang w:eastAsia="zh-CN"/>
                    </w:rPr>
                  </w:pPr>
                  <w:r w:rsidRPr="00073574">
                    <w:rPr>
                      <w:color w:val="000000"/>
                      <w:lang w:eastAsia="en-US"/>
                    </w:rPr>
                    <w:t>ITU-T Y.4560</w:t>
                  </w:r>
                </w:p>
              </w:tc>
              <w:tc>
                <w:tcPr>
                  <w:tcW w:w="2701" w:type="dxa"/>
                  <w:tcBorders>
                    <w:top w:val="single" w:sz="4" w:space="0" w:color="auto"/>
                    <w:left w:val="single" w:sz="4" w:space="0" w:color="auto"/>
                    <w:bottom w:val="single" w:sz="4" w:space="0" w:color="auto"/>
                    <w:right w:val="single" w:sz="4" w:space="0" w:color="auto"/>
                  </w:tcBorders>
                </w:tcPr>
                <w:p w14:paraId="1B4F076C" w14:textId="77777777" w:rsidR="000832AC" w:rsidRPr="00073574" w:rsidRDefault="000832AC" w:rsidP="000832AC">
                  <w:pPr>
                    <w:jc w:val="center"/>
                    <w:textAlignment w:val="baseline"/>
                    <w:rPr>
                      <w:lang w:eastAsia="zh-CN"/>
                    </w:rPr>
                  </w:pPr>
                  <w:r w:rsidRPr="00073574">
                    <w:rPr>
                      <w:lang w:eastAsia="zh-CN"/>
                    </w:rPr>
                    <w:t>Blockchain-based data exchange and sharing for supporting IoT and SC&amp;C</w:t>
                  </w:r>
                </w:p>
              </w:tc>
            </w:tr>
            <w:tr w:rsidR="000832AC" w:rsidRPr="00073574" w14:paraId="71956D61" w14:textId="77777777" w:rsidTr="7277BFE4">
              <w:trPr>
                <w:jc w:val="center"/>
              </w:trPr>
              <w:tc>
                <w:tcPr>
                  <w:tcW w:w="2125" w:type="dxa"/>
                  <w:tcBorders>
                    <w:top w:val="single" w:sz="4" w:space="0" w:color="auto"/>
                    <w:left w:val="single" w:sz="4" w:space="0" w:color="auto"/>
                    <w:bottom w:val="single" w:sz="4" w:space="0" w:color="auto"/>
                    <w:right w:val="single" w:sz="4" w:space="0" w:color="auto"/>
                  </w:tcBorders>
                </w:tcPr>
                <w:p w14:paraId="417504C3" w14:textId="77777777" w:rsidR="000832AC" w:rsidRPr="00073574" w:rsidRDefault="000832AC" w:rsidP="000832AC">
                  <w:pPr>
                    <w:jc w:val="center"/>
                    <w:textAlignment w:val="baseline"/>
                    <w:rPr>
                      <w:lang w:eastAsia="zh-CN"/>
                    </w:rPr>
                  </w:pPr>
                  <w:r w:rsidRPr="00073574">
                    <w:rPr>
                      <w:lang w:eastAsia="zh-CN"/>
                    </w:rPr>
                    <w:t>D3.2 - SensorThings API – Sensing</w:t>
                  </w:r>
                </w:p>
              </w:tc>
              <w:tc>
                <w:tcPr>
                  <w:tcW w:w="630" w:type="dxa"/>
                  <w:tcBorders>
                    <w:top w:val="single" w:sz="4" w:space="0" w:color="auto"/>
                    <w:left w:val="single" w:sz="4" w:space="0" w:color="auto"/>
                    <w:bottom w:val="single" w:sz="4" w:space="0" w:color="auto"/>
                    <w:right w:val="single" w:sz="4" w:space="0" w:color="auto"/>
                  </w:tcBorders>
                </w:tcPr>
                <w:p w14:paraId="4144869B" w14:textId="77777777" w:rsidR="000832AC" w:rsidRPr="00073574" w:rsidRDefault="000832AC" w:rsidP="000832AC">
                  <w:pPr>
                    <w:jc w:val="center"/>
                    <w:textAlignment w:val="baseline"/>
                    <w:rPr>
                      <w:lang w:eastAsia="zh-CN"/>
                    </w:rPr>
                  </w:pPr>
                  <w:r w:rsidRPr="00073574">
                    <w:rPr>
                      <w:lang w:eastAsia="zh-CN"/>
                    </w:rPr>
                    <w:t>4/20</w:t>
                  </w:r>
                </w:p>
              </w:tc>
              <w:tc>
                <w:tcPr>
                  <w:tcW w:w="2070" w:type="dxa"/>
                  <w:tcBorders>
                    <w:top w:val="single" w:sz="4" w:space="0" w:color="auto"/>
                    <w:left w:val="single" w:sz="4" w:space="0" w:color="auto"/>
                    <w:bottom w:val="single" w:sz="4" w:space="0" w:color="auto"/>
                    <w:right w:val="single" w:sz="4" w:space="0" w:color="auto"/>
                  </w:tcBorders>
                </w:tcPr>
                <w:p w14:paraId="7CECB302" w14:textId="48BAD881" w:rsidR="000832AC" w:rsidRPr="00073574" w:rsidRDefault="0C6D06B2" w:rsidP="000832AC">
                  <w:pPr>
                    <w:jc w:val="center"/>
                    <w:textAlignment w:val="baseline"/>
                    <w:rPr>
                      <w:lang w:eastAsia="zh-CN"/>
                    </w:rPr>
                  </w:pPr>
                  <w:r w:rsidRPr="00073574">
                    <w:rPr>
                      <w:lang w:eastAsia="zh-CN"/>
                    </w:rPr>
                    <w:t>A new work item was created</w:t>
                  </w:r>
                  <w:r w:rsidR="4E721C7D" w:rsidRPr="00073574">
                    <w:rPr>
                      <w:lang w:eastAsia="zh-CN"/>
                    </w:rPr>
                    <w:t xml:space="preserve"> and </w:t>
                  </w:r>
                  <w:r w:rsidRPr="00073574">
                    <w:rPr>
                      <w:lang w:eastAsia="zh-CN"/>
                    </w:rPr>
                    <w:t>Recommendation</w:t>
                  </w:r>
                  <w:r w:rsidR="1A0E44C7" w:rsidRPr="00073574">
                    <w:rPr>
                      <w:lang w:eastAsia="zh-CN"/>
                    </w:rPr>
                    <w:t xml:space="preserve"> ITU-T 4473 was approved in August 2020.</w:t>
                  </w:r>
                </w:p>
              </w:tc>
              <w:tc>
                <w:tcPr>
                  <w:tcW w:w="1440" w:type="dxa"/>
                  <w:tcBorders>
                    <w:top w:val="single" w:sz="4" w:space="0" w:color="auto"/>
                    <w:left w:val="single" w:sz="4" w:space="0" w:color="auto"/>
                    <w:bottom w:val="single" w:sz="4" w:space="0" w:color="auto"/>
                    <w:right w:val="single" w:sz="4" w:space="0" w:color="auto"/>
                  </w:tcBorders>
                </w:tcPr>
                <w:p w14:paraId="10225FE4" w14:textId="77777777" w:rsidR="00716BC7" w:rsidRPr="00073574" w:rsidRDefault="00716BC7" w:rsidP="00716BC7">
                  <w:pPr>
                    <w:jc w:val="center"/>
                    <w:rPr>
                      <w:color w:val="000000"/>
                      <w:lang w:eastAsia="en-US"/>
                    </w:rPr>
                  </w:pPr>
                  <w:r w:rsidRPr="00073574">
                    <w:rPr>
                      <w:color w:val="000000"/>
                      <w:lang w:eastAsia="en-US"/>
                    </w:rPr>
                    <w:t xml:space="preserve">Approved </w:t>
                  </w:r>
                </w:p>
                <w:p w14:paraId="1F9C579A" w14:textId="08FF5F00" w:rsidR="000832AC" w:rsidRPr="00073574" w:rsidRDefault="00716BC7" w:rsidP="00C91D91">
                  <w:pPr>
                    <w:jc w:val="center"/>
                    <w:rPr>
                      <w:lang w:eastAsia="zh-CN"/>
                    </w:rPr>
                  </w:pPr>
                  <w:r w:rsidRPr="00073574">
                    <w:rPr>
                      <w:color w:val="000000"/>
                      <w:lang w:eastAsia="en-US"/>
                    </w:rPr>
                    <w:t>ITU-T Y.4473</w:t>
                  </w:r>
                </w:p>
              </w:tc>
              <w:tc>
                <w:tcPr>
                  <w:tcW w:w="2701" w:type="dxa"/>
                  <w:tcBorders>
                    <w:top w:val="single" w:sz="4" w:space="0" w:color="auto"/>
                    <w:left w:val="single" w:sz="4" w:space="0" w:color="auto"/>
                    <w:bottom w:val="single" w:sz="4" w:space="0" w:color="auto"/>
                    <w:right w:val="single" w:sz="4" w:space="0" w:color="auto"/>
                  </w:tcBorders>
                </w:tcPr>
                <w:p w14:paraId="4BD97CCC" w14:textId="77777777" w:rsidR="000832AC" w:rsidRPr="00073574" w:rsidRDefault="000832AC" w:rsidP="000832AC">
                  <w:pPr>
                    <w:jc w:val="center"/>
                    <w:textAlignment w:val="baseline"/>
                    <w:rPr>
                      <w:lang w:eastAsia="zh-CN"/>
                    </w:rPr>
                  </w:pPr>
                  <w:r w:rsidRPr="00073574">
                    <w:rPr>
                      <w:lang w:eastAsia="zh-CN"/>
                    </w:rPr>
                    <w:t>SensorThings API - Sensing</w:t>
                  </w:r>
                </w:p>
              </w:tc>
            </w:tr>
          </w:tbl>
          <w:p w14:paraId="34BAD545" w14:textId="1E30D02E" w:rsidR="000832AC" w:rsidRPr="00073574" w:rsidRDefault="712B845D" w:rsidP="002E241A">
            <w:pPr>
              <w:pStyle w:val="ListParagraph"/>
              <w:numPr>
                <w:ilvl w:val="0"/>
                <w:numId w:val="37"/>
              </w:numPr>
              <w:contextualSpacing w:val="0"/>
              <w:rPr>
                <w:rFonts w:eastAsia="Times New Roman"/>
              </w:rPr>
            </w:pPr>
            <w:r w:rsidRPr="00073574">
              <w:t xml:space="preserve">The </w:t>
            </w:r>
            <w:hyperlink r:id="rId876">
              <w:r w:rsidRPr="00073574">
                <w:rPr>
                  <w:rStyle w:val="Hyperlink"/>
                </w:rPr>
                <w:t>Joint Coordination Activity on Internet of Things and Smart Cities and Communities (JCA-IoT and SC&amp;C)</w:t>
              </w:r>
            </w:hyperlink>
            <w:r w:rsidRPr="00073574">
              <w:t xml:space="preserve"> is assisting in initiating active collaboration with relevant SDOs and Forums. The JCA is maintaining the IoT and Smart Cities and Communities Standards Roadmap which documents complete as well as ongoing work on IoT and Smart Cities and Communities carried out by ITU-T as well as by other SDOs and Forums. The last JCA- IoT and SC&amp;C meeting took place on 28 November 2019 in Geneva, Switzerland. The IoT and SC&amp;C standards roadmap is available online </w:t>
            </w:r>
            <w:hyperlink r:id="rId877" w:anchor="?topic=0.78&amp;workgroup=1&amp;searchValue=&amp;page=1&amp;sort=Revelance">
              <w:r w:rsidRPr="00073574">
                <w:rPr>
                  <w:rStyle w:val="Hyperlink"/>
                </w:rPr>
                <w:t>here</w:t>
              </w:r>
            </w:hyperlink>
            <w:r w:rsidRPr="00073574">
              <w:t>.</w:t>
            </w:r>
            <w:r w:rsidR="4CDF3648" w:rsidRPr="00073574">
              <w:t xml:space="preserve"> </w:t>
            </w:r>
            <w:r w:rsidR="4CDF3648" w:rsidRPr="00073574">
              <w:rPr>
                <w:rFonts w:eastAsia="Times New Roman"/>
              </w:rPr>
              <w:t xml:space="preserve">The JCA IoT and SC&amp;C Roadmap is also available as </w:t>
            </w:r>
            <w:hyperlink r:id="rId878">
              <w:r w:rsidR="4CDF3648" w:rsidRPr="00073574">
                <w:rPr>
                  <w:rStyle w:val="Hyperlink"/>
                  <w:rFonts w:eastAsia="Times New Roman"/>
                </w:rPr>
                <w:t>Supplement ITU-T Y.Suppl.58</w:t>
              </w:r>
            </w:hyperlink>
            <w:r w:rsidR="4CDF3648" w:rsidRPr="00073574">
              <w:rPr>
                <w:rFonts w:eastAsia="Times New Roman"/>
              </w:rPr>
              <w:t>: Internet of Things and smart cities and communities standards roadmap.</w:t>
            </w:r>
          </w:p>
          <w:p w14:paraId="5B886A03" w14:textId="7BD2FCFC" w:rsidR="005E0B71" w:rsidRPr="00073574" w:rsidRDefault="005E0B71" w:rsidP="002E241A">
            <w:pPr>
              <w:pStyle w:val="ListParagraph"/>
              <w:numPr>
                <w:ilvl w:val="0"/>
                <w:numId w:val="37"/>
              </w:numPr>
              <w:ind w:hanging="357"/>
              <w:contextualSpacing w:val="0"/>
              <w:rPr>
                <w:sz w:val="24"/>
              </w:rPr>
            </w:pPr>
            <w:r w:rsidRPr="00073574">
              <w:t xml:space="preserve">SG17 </w:t>
            </w:r>
            <w:r w:rsidR="00323142" w:rsidRPr="00073574">
              <w:t xml:space="preserve">and </w:t>
            </w:r>
            <w:r w:rsidRPr="00073574">
              <w:t>SG20 decided to discontinue the Correspondence Group on Security and Privacy for IoT (CG-IoTsec). Future coordination on IoT security will b</w:t>
            </w:r>
            <w:r w:rsidR="00323142" w:rsidRPr="00073574">
              <w:t>e conducted by Q6/17 and Q6/20.</w:t>
            </w:r>
          </w:p>
          <w:p w14:paraId="3FA77E68" w14:textId="56E0EB9C" w:rsidR="0070276A" w:rsidRPr="00073574" w:rsidRDefault="005E0B71" w:rsidP="009B3C62">
            <w:pPr>
              <w:pStyle w:val="Tabletext"/>
              <w:spacing w:before="120"/>
              <w:rPr>
                <w:rFonts w:asciiTheme="majorBidi" w:hAnsiTheme="majorBidi" w:cstheme="majorBidi"/>
              </w:rPr>
            </w:pPr>
            <w:r w:rsidRPr="00073574">
              <w:rPr>
                <w:rFonts w:asciiTheme="majorBidi" w:hAnsiTheme="majorBidi" w:cstheme="majorBidi"/>
              </w:rPr>
              <w:t xml:space="preserve">SG20 is closely collaborating with oneM2M. </w:t>
            </w:r>
            <w:r w:rsidR="00266319" w:rsidRPr="00073574">
              <w:rPr>
                <w:rFonts w:asciiTheme="majorBidi" w:hAnsiTheme="majorBidi" w:cstheme="majorBidi"/>
              </w:rPr>
              <w:t>1 work item on ITU-T Y.oneM2M.SEC.SOL “oneM2M Security Solutions” is currently under study, 17 new Recommendations were approved and 6</w:t>
            </w:r>
            <w:r w:rsidR="00187B18" w:rsidRPr="00073574">
              <w:rPr>
                <w:rFonts w:asciiTheme="majorBidi" w:hAnsiTheme="majorBidi" w:cstheme="majorBidi"/>
              </w:rPr>
              <w:t xml:space="preserve"> Technical Reports were agreed.</w:t>
            </w:r>
          </w:p>
          <w:p w14:paraId="03D4F107" w14:textId="468B2B43" w:rsidR="00112295" w:rsidRPr="00073574" w:rsidRDefault="00112295" w:rsidP="009B3C62">
            <w:pPr>
              <w:pStyle w:val="Tabletext"/>
              <w:spacing w:before="120"/>
              <w:rPr>
                <w:rFonts w:asciiTheme="majorBidi" w:hAnsiTheme="majorBidi" w:cstheme="majorBidi"/>
              </w:rPr>
            </w:pPr>
            <w:r w:rsidRPr="00073574">
              <w:rPr>
                <w:rFonts w:asciiTheme="majorBidi" w:hAnsiTheme="majorBidi" w:cstheme="majorBidi"/>
              </w:rPr>
              <w:t>SG20 is closely collaborating with LoRa Alliance.</w:t>
            </w:r>
            <w:r w:rsidR="002715F4" w:rsidRPr="00073574">
              <w:rPr>
                <w:rFonts w:asciiTheme="majorBidi" w:hAnsiTheme="majorBidi" w:cstheme="majorBidi"/>
              </w:rPr>
              <w:t xml:space="preserve"> SG20 approved </w:t>
            </w:r>
            <w:hyperlink r:id="rId879" w:history="1">
              <w:r w:rsidR="002715F4" w:rsidRPr="00073574">
                <w:rPr>
                  <w:rStyle w:val="Hyperlink"/>
                  <w:rFonts w:asciiTheme="majorBidi" w:hAnsiTheme="majorBidi" w:cstheme="majorBidi"/>
                </w:rPr>
                <w:t xml:space="preserve">Recommendation ITU-T Y.4480 on </w:t>
              </w:r>
              <w:r w:rsidR="00D61F7E" w:rsidRPr="00073574">
                <w:rPr>
                  <w:rStyle w:val="Hyperlink"/>
                  <w:rFonts w:asciiTheme="majorBidi" w:hAnsiTheme="majorBidi" w:cstheme="majorBidi"/>
                </w:rPr>
                <w:t>“Low power protocol for wide area wireless networks”</w:t>
              </w:r>
            </w:hyperlink>
            <w:r w:rsidR="00D61F7E" w:rsidRPr="00073574">
              <w:rPr>
                <w:rFonts w:asciiTheme="majorBidi" w:hAnsiTheme="majorBidi" w:cstheme="majorBidi"/>
              </w:rPr>
              <w:t>.</w:t>
            </w:r>
          </w:p>
          <w:p w14:paraId="584050AF" w14:textId="6115B56D" w:rsidR="009C3237" w:rsidRPr="00073574" w:rsidRDefault="70A854F3" w:rsidP="009C3237">
            <w:pPr>
              <w:pStyle w:val="Tabletext"/>
            </w:pPr>
            <w:r w:rsidRPr="00073574">
              <w:rPr>
                <w:rFonts w:asciiTheme="majorBidi" w:hAnsiTheme="majorBidi" w:cstheme="majorBidi"/>
              </w:rPr>
              <w:t>ITU-T SG20 is also closely collaborating with ISO and IEC. An ISO-IEC-ITU Working team on Smart City Terminology was created in July 2017 and ITU hosted its first meeting. Since 2016, ITU together with ISO and IEC has been organizing an annual World Smart City Forum (</w:t>
            </w:r>
            <w:hyperlink r:id="rId880">
              <w:r w:rsidR="129F19A4" w:rsidRPr="00073574">
                <w:rPr>
                  <w:rStyle w:val="Hyperlink"/>
                  <w:rFonts w:asciiTheme="majorBidi" w:hAnsiTheme="majorBidi" w:cstheme="majorBidi"/>
                </w:rPr>
                <w:t>Singapore, 13 July 2016</w:t>
              </w:r>
            </w:hyperlink>
            <w:r w:rsidR="129F19A4" w:rsidRPr="00073574">
              <w:rPr>
                <w:rStyle w:val="Hyperlink"/>
                <w:rFonts w:asciiTheme="majorBidi" w:hAnsiTheme="majorBidi" w:cstheme="majorBidi"/>
              </w:rPr>
              <w:t>,</w:t>
            </w:r>
            <w:r w:rsidRPr="00073574">
              <w:rPr>
                <w:rFonts w:asciiTheme="majorBidi" w:hAnsiTheme="majorBidi" w:cstheme="majorBidi"/>
              </w:rPr>
              <w:t xml:space="preserve"> </w:t>
            </w:r>
            <w:hyperlink r:id="rId881">
              <w:r w:rsidR="129F19A4" w:rsidRPr="00073574">
                <w:rPr>
                  <w:rStyle w:val="Hyperlink"/>
                  <w:rFonts w:asciiTheme="majorBidi" w:hAnsiTheme="majorBidi" w:cstheme="majorBidi"/>
                </w:rPr>
                <w:t>Barcelona, 15 November 2017</w:t>
              </w:r>
            </w:hyperlink>
            <w:r w:rsidR="129F19A4" w:rsidRPr="00073574">
              <w:rPr>
                <w:rStyle w:val="Hyperlink"/>
                <w:rFonts w:asciiTheme="majorBidi" w:hAnsiTheme="majorBidi" w:cstheme="majorBidi"/>
              </w:rPr>
              <w:t xml:space="preserve"> and </w:t>
            </w:r>
            <w:hyperlink r:id="rId882">
              <w:r w:rsidR="129F19A4" w:rsidRPr="00073574">
                <w:rPr>
                  <w:rStyle w:val="Hyperlink"/>
                  <w:rFonts w:asciiTheme="majorBidi" w:hAnsiTheme="majorBidi" w:cstheme="majorBidi"/>
                </w:rPr>
                <w:t>Santa Fe, 29 November 2018</w:t>
              </w:r>
            </w:hyperlink>
            <w:r w:rsidRPr="00073574">
              <w:rPr>
                <w:rFonts w:asciiTheme="majorBidi" w:hAnsiTheme="majorBidi" w:cstheme="majorBidi"/>
              </w:rPr>
              <w:t>).</w:t>
            </w:r>
            <w:r w:rsidR="0070276A" w:rsidRPr="00073574">
              <w:rPr>
                <w:rFonts w:asciiTheme="majorBidi" w:hAnsiTheme="majorBidi" w:cstheme="majorBidi"/>
              </w:rPr>
              <w:t xml:space="preserve"> Additionally, SG20 revised the </w:t>
            </w:r>
            <w:r w:rsidR="0070276A" w:rsidRPr="00073574">
              <w:t xml:space="preserve">proposed ToR of the Joint IEC-ISO-ITU Smart Cities Task Force (J-SCTF) </w:t>
            </w:r>
            <w:r w:rsidR="175695E8" w:rsidRPr="00073574">
              <w:t>which were</w:t>
            </w:r>
            <w:r w:rsidR="0070276A" w:rsidRPr="00073574">
              <w:t xml:space="preserve"> </w:t>
            </w:r>
            <w:r w:rsidR="0070276A" w:rsidRPr="00073574">
              <w:lastRenderedPageBreak/>
              <w:t>agreed</w:t>
            </w:r>
            <w:r w:rsidR="1F7541CF" w:rsidRPr="00073574">
              <w:t xml:space="preserve"> (TD1301-R1) by the three SDOs</w:t>
            </w:r>
            <w:r w:rsidR="00DF4BE8" w:rsidRPr="00073574">
              <w:t>.</w:t>
            </w:r>
            <w:r w:rsidR="009C3237" w:rsidRPr="00073574">
              <w:t xml:space="preserve"> Since 2019, the Joint IEC-ISO-ITU Smart Cities Task Force (J-SCTF) has held the following meetings:</w:t>
            </w:r>
          </w:p>
          <w:p w14:paraId="3664327A" w14:textId="10FDD957" w:rsidR="009C3237" w:rsidRPr="00073574" w:rsidRDefault="009C3237" w:rsidP="002F1E31">
            <w:pPr>
              <w:pStyle w:val="Tabletext"/>
              <w:numPr>
                <w:ilvl w:val="0"/>
                <w:numId w:val="88"/>
              </w:numPr>
              <w:tabs>
                <w:tab w:val="clear" w:pos="284"/>
                <w:tab w:val="left" w:pos="403"/>
              </w:tabs>
              <w:ind w:hanging="720"/>
            </w:pPr>
            <w:r w:rsidRPr="00073574">
              <w:t>Virtual, 7 October 2020;</w:t>
            </w:r>
          </w:p>
          <w:p w14:paraId="3CF13130" w14:textId="065103BE" w:rsidR="009C3237" w:rsidRPr="00073574" w:rsidRDefault="009C3237" w:rsidP="002F1E31">
            <w:pPr>
              <w:pStyle w:val="Tabletext"/>
              <w:numPr>
                <w:ilvl w:val="0"/>
                <w:numId w:val="88"/>
              </w:numPr>
              <w:tabs>
                <w:tab w:val="clear" w:pos="284"/>
                <w:tab w:val="left" w:pos="403"/>
              </w:tabs>
              <w:ind w:hanging="720"/>
            </w:pPr>
            <w:r w:rsidRPr="00073574">
              <w:t>Virtual, 24 February 2021;</w:t>
            </w:r>
          </w:p>
          <w:p w14:paraId="5C7EA20E" w14:textId="77777777" w:rsidR="005C4470" w:rsidRPr="00073574" w:rsidRDefault="009C3237" w:rsidP="002F1E31">
            <w:pPr>
              <w:pStyle w:val="Tabletext"/>
              <w:numPr>
                <w:ilvl w:val="0"/>
                <w:numId w:val="88"/>
              </w:numPr>
              <w:tabs>
                <w:tab w:val="clear" w:pos="284"/>
                <w:tab w:val="left" w:pos="403"/>
              </w:tabs>
              <w:spacing w:before="0"/>
              <w:ind w:hanging="720"/>
            </w:pPr>
            <w:r w:rsidRPr="00073574">
              <w:t>Virtual, 29 June 2021</w:t>
            </w:r>
            <w:r w:rsidR="005C4470" w:rsidRPr="00073574">
              <w:t>;</w:t>
            </w:r>
          </w:p>
          <w:p w14:paraId="4E85873D" w14:textId="75879F0A" w:rsidR="009C3237" w:rsidRPr="00073574" w:rsidRDefault="005C4470" w:rsidP="002F1E31">
            <w:pPr>
              <w:pStyle w:val="Tabletext"/>
              <w:numPr>
                <w:ilvl w:val="0"/>
                <w:numId w:val="88"/>
              </w:numPr>
              <w:tabs>
                <w:tab w:val="clear" w:pos="284"/>
                <w:tab w:val="left" w:pos="403"/>
              </w:tabs>
              <w:spacing w:before="0"/>
              <w:ind w:hanging="720"/>
            </w:pPr>
            <w:r w:rsidRPr="00073574">
              <w:t>Virtual, 27 and 29 September 2021</w:t>
            </w:r>
            <w:r w:rsidR="00F16722">
              <w:t>.</w:t>
            </w:r>
          </w:p>
        </w:tc>
      </w:tr>
      <w:tr w:rsidR="005E0B71" w:rsidRPr="00073574" w14:paraId="3B3DACFE" w14:textId="77777777" w:rsidTr="7277BFE4">
        <w:tc>
          <w:tcPr>
            <w:tcW w:w="1130" w:type="dxa"/>
            <w:vMerge w:val="restart"/>
            <w:tcBorders>
              <w:top w:val="single" w:sz="12" w:space="0" w:color="auto"/>
            </w:tcBorders>
            <w:shd w:val="clear" w:color="auto" w:fill="auto"/>
          </w:tcPr>
          <w:p w14:paraId="2BC70516" w14:textId="2625712D" w:rsidR="005E0B71" w:rsidRPr="00073574" w:rsidRDefault="005E0B71" w:rsidP="005E0B71">
            <w:pPr>
              <w:pStyle w:val="Tabletext"/>
              <w:rPr>
                <w:b/>
                <w:bCs/>
                <w:sz w:val="24"/>
                <w:szCs w:val="24"/>
              </w:rPr>
            </w:pPr>
            <w:r w:rsidRPr="00073574">
              <w:rPr>
                <w:b/>
                <w:bCs/>
                <w:sz w:val="24"/>
                <w:szCs w:val="24"/>
              </w:rPr>
              <w:lastRenderedPageBreak/>
              <w:t>98-04</w:t>
            </w:r>
          </w:p>
        </w:tc>
        <w:tc>
          <w:tcPr>
            <w:tcW w:w="4988" w:type="dxa"/>
            <w:tcBorders>
              <w:top w:val="single" w:sz="12" w:space="0" w:color="auto"/>
              <w:bottom w:val="single" w:sz="4" w:space="0" w:color="auto"/>
            </w:tcBorders>
            <w:shd w:val="clear" w:color="auto" w:fill="auto"/>
          </w:tcPr>
          <w:p w14:paraId="0D1ADF28" w14:textId="5ED589C0" w:rsidR="005E0B71" w:rsidRPr="00073574" w:rsidRDefault="005E0B71" w:rsidP="005E0B71">
            <w:pPr>
              <w:pStyle w:val="Tabletext"/>
              <w:rPr>
                <w:b/>
                <w:bCs/>
                <w:sz w:val="24"/>
                <w:szCs w:val="24"/>
              </w:rPr>
            </w:pPr>
            <w:r w:rsidRPr="00073574">
              <w:rPr>
                <w:b/>
                <w:bCs/>
                <w:sz w:val="24"/>
                <w:szCs w:val="24"/>
              </w:rPr>
              <w:t>SG20 to collate, evaluate, assess and share IoT use cases from the interoperability and standardization standpoints for data and information exchange (resolves i. SG20 4)</w:t>
            </w:r>
          </w:p>
        </w:tc>
        <w:tc>
          <w:tcPr>
            <w:tcW w:w="1335" w:type="dxa"/>
            <w:tcBorders>
              <w:top w:val="single" w:sz="12" w:space="0" w:color="auto"/>
              <w:bottom w:val="single" w:sz="4" w:space="0" w:color="auto"/>
            </w:tcBorders>
            <w:shd w:val="clear" w:color="auto" w:fill="auto"/>
            <w:vAlign w:val="center"/>
          </w:tcPr>
          <w:p w14:paraId="5AEFC3EB" w14:textId="411275F9" w:rsidR="005E0B71" w:rsidRPr="00073574" w:rsidRDefault="005E0B71" w:rsidP="005E0B71">
            <w:pPr>
              <w:pStyle w:val="Tabletext"/>
              <w:jc w:val="center"/>
              <w:rPr>
                <w:b/>
                <w:bCs/>
                <w:sz w:val="24"/>
                <w:szCs w:val="24"/>
              </w:rPr>
            </w:pPr>
            <w:r w:rsidRPr="00073574">
              <w:rPr>
                <w:b/>
                <w:bCs/>
                <w:sz w:val="24"/>
                <w:szCs w:val="24"/>
              </w:rPr>
              <w:t>Ongoing</w:t>
            </w:r>
          </w:p>
        </w:tc>
        <w:tc>
          <w:tcPr>
            <w:tcW w:w="1143" w:type="dxa"/>
            <w:tcBorders>
              <w:top w:val="single" w:sz="12" w:space="0" w:color="auto"/>
              <w:bottom w:val="single" w:sz="4" w:space="0" w:color="auto"/>
            </w:tcBorders>
            <w:shd w:val="clear" w:color="auto" w:fill="auto"/>
            <w:vAlign w:val="center"/>
          </w:tcPr>
          <w:p w14:paraId="3B3BE5AA" w14:textId="7C44A885" w:rsidR="005E0B71" w:rsidRPr="00073574" w:rsidRDefault="005E0B71" w:rsidP="005E0B71">
            <w:pPr>
              <w:pStyle w:val="Tabletext"/>
              <w:jc w:val="center"/>
              <w:rPr>
                <w:b/>
                <w:bCs/>
                <w:sz w:val="24"/>
                <w:szCs w:val="24"/>
              </w:rPr>
            </w:pPr>
            <w:r w:rsidRPr="00073574">
              <w:rPr>
                <w:b/>
                <w:bCs/>
                <w:sz w:val="24"/>
                <w:szCs w:val="24"/>
              </w:rPr>
              <w:t>√</w:t>
            </w:r>
          </w:p>
        </w:tc>
        <w:tc>
          <w:tcPr>
            <w:tcW w:w="1336" w:type="dxa"/>
            <w:tcBorders>
              <w:top w:val="single" w:sz="12" w:space="0" w:color="auto"/>
              <w:bottom w:val="single" w:sz="4" w:space="0" w:color="auto"/>
            </w:tcBorders>
            <w:shd w:val="clear" w:color="auto" w:fill="auto"/>
            <w:vAlign w:val="center"/>
          </w:tcPr>
          <w:p w14:paraId="03E675B1" w14:textId="77777777" w:rsidR="005E0B71" w:rsidRPr="00073574" w:rsidRDefault="005E0B71" w:rsidP="005E0B71">
            <w:pPr>
              <w:pStyle w:val="Tabletext"/>
              <w:jc w:val="center"/>
              <w:rPr>
                <w:b/>
                <w:bCs/>
                <w:sz w:val="24"/>
                <w:szCs w:val="24"/>
              </w:rPr>
            </w:pPr>
          </w:p>
        </w:tc>
      </w:tr>
      <w:tr w:rsidR="005E0B71" w:rsidRPr="00073574" w14:paraId="1F78B42E" w14:textId="77777777" w:rsidTr="7277BFE4">
        <w:tc>
          <w:tcPr>
            <w:tcW w:w="1130" w:type="dxa"/>
            <w:vMerge/>
          </w:tcPr>
          <w:p w14:paraId="48224DC3" w14:textId="77777777" w:rsidR="005E0B71" w:rsidRPr="00073574" w:rsidRDefault="005E0B71" w:rsidP="005E0B71">
            <w:pPr>
              <w:pStyle w:val="Tabletext"/>
              <w:rPr>
                <w:sz w:val="24"/>
                <w:szCs w:val="24"/>
              </w:rPr>
            </w:pPr>
          </w:p>
        </w:tc>
        <w:tc>
          <w:tcPr>
            <w:tcW w:w="8802" w:type="dxa"/>
            <w:gridSpan w:val="4"/>
            <w:tcBorders>
              <w:top w:val="single" w:sz="4" w:space="0" w:color="auto"/>
              <w:bottom w:val="single" w:sz="12" w:space="0" w:color="auto"/>
            </w:tcBorders>
            <w:shd w:val="clear" w:color="auto" w:fill="auto"/>
          </w:tcPr>
          <w:p w14:paraId="7101F910" w14:textId="24AC7724" w:rsidR="005E0B71" w:rsidRPr="00073574" w:rsidRDefault="00266319" w:rsidP="002154FE">
            <w:pPr>
              <w:spacing w:before="40"/>
              <w:rPr>
                <w:rFonts w:asciiTheme="majorBidi" w:hAnsiTheme="majorBidi" w:cstheme="majorBidi"/>
                <w:szCs w:val="22"/>
              </w:rPr>
            </w:pPr>
            <w:r w:rsidRPr="00073574">
              <w:rPr>
                <w:rFonts w:asciiTheme="majorBidi" w:hAnsiTheme="majorBidi" w:cstheme="majorBidi"/>
                <w:szCs w:val="22"/>
              </w:rPr>
              <w:t>Three</w:t>
            </w:r>
            <w:r w:rsidR="005E0B71" w:rsidRPr="00073574">
              <w:rPr>
                <w:rFonts w:asciiTheme="majorBidi" w:hAnsiTheme="majorBidi" w:cstheme="majorBidi"/>
                <w:szCs w:val="22"/>
              </w:rPr>
              <w:t xml:space="preserve"> case studies were published on</w:t>
            </w:r>
            <w:r w:rsidRPr="00073574">
              <w:rPr>
                <w:rFonts w:asciiTheme="majorBidi" w:hAnsiTheme="majorBidi" w:cstheme="majorBidi"/>
                <w:szCs w:val="22"/>
              </w:rPr>
              <w:t xml:space="preserve"> </w:t>
            </w:r>
            <w:hyperlink r:id="rId883" w:anchor="p=1" w:history="1">
              <w:r w:rsidRPr="00073574">
                <w:rPr>
                  <w:rStyle w:val="Hyperlink"/>
                  <w:rFonts w:asciiTheme="majorBidi" w:hAnsiTheme="majorBidi" w:cstheme="majorBidi"/>
                  <w:szCs w:val="22"/>
                </w:rPr>
                <w:t>“Implementing ITU-T International Standards to Shape Smart Sustainable Cities: The Case of Moscow”</w:t>
              </w:r>
            </w:hyperlink>
            <w:r w:rsidRPr="00073574">
              <w:rPr>
                <w:rFonts w:asciiTheme="majorBidi" w:hAnsiTheme="majorBidi" w:cstheme="majorBidi"/>
                <w:szCs w:val="22"/>
              </w:rPr>
              <w:t>,</w:t>
            </w:r>
            <w:r w:rsidR="005E0B71" w:rsidRPr="00073574">
              <w:rPr>
                <w:rFonts w:asciiTheme="majorBidi" w:hAnsiTheme="majorBidi" w:cstheme="majorBidi"/>
                <w:szCs w:val="22"/>
              </w:rPr>
              <w:t xml:space="preserve"> </w:t>
            </w:r>
            <w:hyperlink r:id="rId884" w:anchor="p=1" w:history="1">
              <w:r w:rsidR="00FD5F3E" w:rsidRPr="00073574">
                <w:rPr>
                  <w:rStyle w:val="Hyperlink"/>
                  <w:rFonts w:asciiTheme="majorBidi" w:hAnsiTheme="majorBidi" w:cstheme="majorBidi"/>
                  <w:szCs w:val="22"/>
                </w:rPr>
                <w:t>“</w:t>
              </w:r>
              <w:r w:rsidR="005E0B71" w:rsidRPr="00073574">
                <w:rPr>
                  <w:rStyle w:val="Hyperlink"/>
                  <w:rFonts w:asciiTheme="majorBidi" w:hAnsiTheme="majorBidi" w:cstheme="majorBidi"/>
                  <w:szCs w:val="22"/>
                </w:rPr>
                <w:t>Implementing ITU-T International Standards to Shape Smart Sustainable Cities: The Case of Singapore</w:t>
              </w:r>
              <w:r w:rsidR="00FD5F3E" w:rsidRPr="00073574">
                <w:rPr>
                  <w:rStyle w:val="Hyperlink"/>
                  <w:rFonts w:asciiTheme="majorBidi" w:hAnsiTheme="majorBidi" w:cstheme="majorBidi"/>
                  <w:szCs w:val="22"/>
                </w:rPr>
                <w:t>”</w:t>
              </w:r>
            </w:hyperlink>
            <w:r w:rsidR="005E0B71" w:rsidRPr="00073574">
              <w:rPr>
                <w:rFonts w:asciiTheme="majorBidi" w:hAnsiTheme="majorBidi" w:cstheme="majorBidi"/>
                <w:szCs w:val="22"/>
              </w:rPr>
              <w:t xml:space="preserve"> and </w:t>
            </w:r>
            <w:hyperlink r:id="rId885" w:anchor="p=1" w:history="1">
              <w:r w:rsidR="00FD5F3E" w:rsidRPr="00073574">
                <w:rPr>
                  <w:rStyle w:val="Hyperlink"/>
                  <w:rFonts w:asciiTheme="majorBidi" w:hAnsiTheme="majorBidi" w:cstheme="majorBidi"/>
                  <w:szCs w:val="22"/>
                </w:rPr>
                <w:t>“</w:t>
              </w:r>
              <w:r w:rsidR="005E0B71" w:rsidRPr="00073574">
                <w:rPr>
                  <w:rStyle w:val="Hyperlink"/>
                  <w:rFonts w:asciiTheme="majorBidi" w:hAnsiTheme="majorBidi" w:cstheme="majorBidi"/>
                  <w:szCs w:val="22"/>
                </w:rPr>
                <w:t>Implementing ITU-T International Standards to Shape Smart Sustainable Cities: The Case of Dubai</w:t>
              </w:r>
            </w:hyperlink>
            <w:r w:rsidR="00FD5F3E" w:rsidRPr="00073574">
              <w:rPr>
                <w:rStyle w:val="Hyperlink"/>
                <w:rFonts w:asciiTheme="majorBidi" w:hAnsiTheme="majorBidi" w:cstheme="majorBidi"/>
                <w:szCs w:val="22"/>
              </w:rPr>
              <w:t>”</w:t>
            </w:r>
            <w:r w:rsidR="005E0B71" w:rsidRPr="00073574">
              <w:rPr>
                <w:rFonts w:asciiTheme="majorBidi" w:hAnsiTheme="majorBidi" w:cstheme="majorBidi"/>
                <w:szCs w:val="22"/>
              </w:rPr>
              <w:t>. These case studies detail Dubai's</w:t>
            </w:r>
            <w:r w:rsidR="00575E63" w:rsidRPr="00073574">
              <w:rPr>
                <w:rFonts w:asciiTheme="majorBidi" w:hAnsiTheme="majorBidi" w:cstheme="majorBidi"/>
                <w:szCs w:val="22"/>
              </w:rPr>
              <w:t>,</w:t>
            </w:r>
            <w:r w:rsidR="005E0B71" w:rsidRPr="00073574">
              <w:rPr>
                <w:rFonts w:asciiTheme="majorBidi" w:hAnsiTheme="majorBidi" w:cstheme="majorBidi"/>
                <w:szCs w:val="22"/>
              </w:rPr>
              <w:t xml:space="preserve"> Singapore’s</w:t>
            </w:r>
            <w:r w:rsidR="00575E63" w:rsidRPr="00073574">
              <w:rPr>
                <w:rFonts w:asciiTheme="majorBidi" w:hAnsiTheme="majorBidi" w:cstheme="majorBidi"/>
                <w:szCs w:val="22"/>
              </w:rPr>
              <w:t xml:space="preserve"> and Moscow’s</w:t>
            </w:r>
            <w:r w:rsidR="005E0B71" w:rsidRPr="00073574">
              <w:rPr>
                <w:rFonts w:asciiTheme="majorBidi" w:hAnsiTheme="majorBidi" w:cstheme="majorBidi"/>
                <w:szCs w:val="22"/>
              </w:rPr>
              <w:t xml:space="preserve"> ambitious and trailblazing journey towards becoming a smart city, a venture worthy of emulation by other aspiring smart cities around the world.</w:t>
            </w:r>
            <w:r w:rsidR="0070276A" w:rsidRPr="00073574">
              <w:rPr>
                <w:rFonts w:asciiTheme="majorBidi" w:hAnsiTheme="majorBidi" w:cstheme="majorBidi"/>
                <w:szCs w:val="22"/>
              </w:rPr>
              <w:t xml:space="preserve"> </w:t>
            </w:r>
            <w:r w:rsidR="00EA5520" w:rsidRPr="00073574">
              <w:rPr>
                <w:rFonts w:asciiTheme="majorBidi" w:hAnsiTheme="majorBidi" w:cstheme="majorBidi"/>
                <w:szCs w:val="22"/>
              </w:rPr>
              <w:t>S</w:t>
            </w:r>
            <w:r w:rsidR="0070276A" w:rsidRPr="00073574">
              <w:rPr>
                <w:rFonts w:asciiTheme="majorBidi" w:hAnsiTheme="majorBidi" w:cstheme="majorBidi"/>
                <w:szCs w:val="22"/>
              </w:rPr>
              <w:t xml:space="preserve">everal city </w:t>
            </w:r>
            <w:r w:rsidR="00EA5520" w:rsidRPr="00073574">
              <w:rPr>
                <w:rFonts w:asciiTheme="majorBidi" w:hAnsiTheme="majorBidi" w:cstheme="majorBidi"/>
                <w:szCs w:val="22"/>
              </w:rPr>
              <w:t>snapshots, city verification reports and city</w:t>
            </w:r>
            <w:r w:rsidR="0070276A" w:rsidRPr="00073574">
              <w:rPr>
                <w:rFonts w:asciiTheme="majorBidi" w:hAnsiTheme="majorBidi" w:cstheme="majorBidi"/>
                <w:szCs w:val="22"/>
              </w:rPr>
              <w:t xml:space="preserve"> factsheets </w:t>
            </w:r>
            <w:r w:rsidR="00EA5520" w:rsidRPr="00073574">
              <w:rPr>
                <w:rFonts w:asciiTheme="majorBidi" w:hAnsiTheme="majorBidi" w:cstheme="majorBidi"/>
                <w:szCs w:val="22"/>
              </w:rPr>
              <w:t>have been</w:t>
            </w:r>
            <w:r w:rsidR="0070276A" w:rsidRPr="00073574">
              <w:rPr>
                <w:rFonts w:asciiTheme="majorBidi" w:hAnsiTheme="majorBidi" w:cstheme="majorBidi"/>
                <w:szCs w:val="22"/>
              </w:rPr>
              <w:t xml:space="preserve"> developed to highlight the SSC initiative and experience of other cities in implementing the KPIs for SSC.</w:t>
            </w:r>
            <w:r w:rsidR="00EA5520" w:rsidRPr="00073574">
              <w:rPr>
                <w:rFonts w:asciiTheme="majorBidi" w:hAnsiTheme="majorBidi" w:cstheme="majorBidi"/>
                <w:szCs w:val="22"/>
              </w:rPr>
              <w:t xml:space="preserve"> </w:t>
            </w:r>
            <w:r w:rsidR="00B44833" w:rsidRPr="00073574">
              <w:rPr>
                <w:rFonts w:asciiTheme="majorBidi" w:hAnsiTheme="majorBidi" w:cstheme="majorBidi"/>
                <w:szCs w:val="22"/>
              </w:rPr>
              <w:t>Find out more on</w:t>
            </w:r>
            <w:r w:rsidR="00EA5520" w:rsidRPr="00073574">
              <w:rPr>
                <w:rFonts w:asciiTheme="majorBidi" w:hAnsiTheme="majorBidi" w:cstheme="majorBidi"/>
                <w:szCs w:val="22"/>
              </w:rPr>
              <w:t xml:space="preserve"> </w:t>
            </w:r>
            <w:r w:rsidR="00B44833" w:rsidRPr="00073574">
              <w:rPr>
                <w:rFonts w:asciiTheme="majorBidi" w:hAnsiTheme="majorBidi" w:cstheme="majorBidi"/>
                <w:szCs w:val="22"/>
              </w:rPr>
              <w:t xml:space="preserve">ITU’s implementation of the U4SSC KPIs at: </w:t>
            </w:r>
            <w:hyperlink r:id="rId886" w:history="1">
              <w:r w:rsidR="002358F7" w:rsidRPr="00073574">
                <w:rPr>
                  <w:rStyle w:val="Hyperlink"/>
                  <w:rFonts w:asciiTheme="majorBidi" w:hAnsiTheme="majorBidi" w:cstheme="majorBidi"/>
                  <w:szCs w:val="22"/>
                </w:rPr>
                <w:t>https://www.itu.int/en/ITU-T/ssc/united/Pages/publication-U4SSC-KPIs.aspx</w:t>
              </w:r>
            </w:hyperlink>
            <w:r w:rsidR="002358F7" w:rsidRPr="00073574">
              <w:rPr>
                <w:rFonts w:asciiTheme="majorBidi" w:hAnsiTheme="majorBidi" w:cstheme="majorBidi"/>
                <w:szCs w:val="22"/>
              </w:rPr>
              <w:t xml:space="preserve"> </w:t>
            </w:r>
          </w:p>
          <w:p w14:paraId="76F20E94" w14:textId="38663BCE" w:rsidR="005E0B71" w:rsidRPr="00073574" w:rsidRDefault="15DF749D" w:rsidP="005E0B71">
            <w:pPr>
              <w:pStyle w:val="Tabletext"/>
            </w:pPr>
            <w:r w:rsidRPr="00073574">
              <w:rPr>
                <w:rFonts w:asciiTheme="majorBidi" w:hAnsiTheme="majorBidi" w:cstheme="majorBidi"/>
              </w:rPr>
              <w:t xml:space="preserve">An </w:t>
            </w:r>
            <w:hyperlink r:id="rId887">
              <w:r w:rsidRPr="00073574">
                <w:rPr>
                  <w:rStyle w:val="Hyperlink"/>
                  <w:rFonts w:asciiTheme="majorBidi" w:hAnsiTheme="majorBidi" w:cstheme="majorBidi"/>
                </w:rPr>
                <w:t>ITU forum on data management for the Internet of Things and smart cities</w:t>
              </w:r>
            </w:hyperlink>
            <w:r w:rsidRPr="00073574">
              <w:rPr>
                <w:rFonts w:asciiTheme="majorBidi" w:hAnsiTheme="majorBidi" w:cstheme="majorBidi"/>
                <w:color w:val="444444"/>
              </w:rPr>
              <w:t xml:space="preserve"> </w:t>
            </w:r>
            <w:r w:rsidRPr="00073574">
              <w:rPr>
                <w:rFonts w:asciiTheme="majorBidi" w:hAnsiTheme="majorBidi" w:cstheme="majorBidi"/>
              </w:rPr>
              <w:t xml:space="preserve">sponsored by Etisalat and Du, took place 12 March 2017 in Dubai, United Arab Emirates, which helped identify the need for the new ITU Focus Group on DPM. The workshop's final report can be downloaded </w:t>
            </w:r>
            <w:hyperlink r:id="rId888">
              <w:r w:rsidRPr="00073574">
                <w:rPr>
                  <w:rStyle w:val="Hyperlink"/>
                  <w:rFonts w:asciiTheme="majorBidi" w:hAnsiTheme="majorBidi" w:cstheme="majorBidi"/>
                </w:rPr>
                <w:t>here</w:t>
              </w:r>
            </w:hyperlink>
            <w:r w:rsidRPr="00073574">
              <w:rPr>
                <w:rFonts w:asciiTheme="majorBidi" w:hAnsiTheme="majorBidi" w:cstheme="majorBidi"/>
                <w:color w:val="444444"/>
              </w:rPr>
              <w:t>.</w:t>
            </w:r>
          </w:p>
          <w:p w14:paraId="00D775E4" w14:textId="4D7013ED" w:rsidR="005E0B71" w:rsidRPr="00073574" w:rsidRDefault="7A9AB842" w:rsidP="00366B4E">
            <w:pPr>
              <w:spacing w:line="257" w:lineRule="auto"/>
              <w:rPr>
                <w:rFonts w:eastAsia="Times New Roman"/>
                <w:szCs w:val="22"/>
              </w:rPr>
            </w:pPr>
            <w:r w:rsidRPr="00073574">
              <w:rPr>
                <w:rFonts w:eastAsia="Times New Roman"/>
              </w:rPr>
              <w:t>SG20 developed Recommendations ITU-T Y.4200 “Requirements for interoperability of smart city platforms”, ITU-T Y.4209 “Requirements for interoperation of the smart port with the smart city” and ITU-T 4805 “Identifier service requirements for the interoperability of Smart City applications”.</w:t>
            </w:r>
          </w:p>
          <w:p w14:paraId="299DAAF2" w14:textId="0FF9991C" w:rsidR="005E0B71" w:rsidRPr="00073574" w:rsidRDefault="7A9AB842" w:rsidP="00366B4E">
            <w:pPr>
              <w:spacing w:line="257" w:lineRule="auto"/>
              <w:rPr>
                <w:rFonts w:eastAsia="Times New Roman"/>
                <w:color w:val="0000FF"/>
                <w:u w:val="single"/>
              </w:rPr>
            </w:pPr>
            <w:r w:rsidRPr="00073574">
              <w:rPr>
                <w:rFonts w:eastAsia="Times New Roman"/>
              </w:rPr>
              <w:t xml:space="preserve">Deliverables completed by the Focus Group on Data Processing and Management to support IoT and Smart Cities &amp; Communities (FG-DPM) are available at: </w:t>
            </w:r>
            <w:hyperlink r:id="rId889" w:history="1">
              <w:r w:rsidRPr="00073574">
                <w:rPr>
                  <w:rStyle w:val="Hyperlink"/>
                  <w:rFonts w:eastAsia="Times New Roman"/>
                </w:rPr>
                <w:t>https://www.itu.int/pub/T-FG-DPM</w:t>
              </w:r>
            </w:hyperlink>
          </w:p>
          <w:p w14:paraId="274C8394" w14:textId="5D4F0FEB" w:rsidR="00E6295E" w:rsidRPr="00073574" w:rsidRDefault="002A68E9" w:rsidP="00366B4E">
            <w:pPr>
              <w:spacing w:line="257" w:lineRule="auto"/>
              <w:rPr>
                <w:rFonts w:eastAsia="Times New Roman"/>
                <w:szCs w:val="22"/>
              </w:rPr>
            </w:pPr>
            <w:r w:rsidRPr="00073574">
              <w:rPr>
                <w:rFonts w:eastAsia="Times New Roman"/>
              </w:rPr>
              <w:t>IT</w:t>
            </w:r>
            <w:r w:rsidR="009242C8" w:rsidRPr="00073574">
              <w:rPr>
                <w:rFonts w:eastAsia="Times New Roman"/>
              </w:rPr>
              <w:t xml:space="preserve">U, with </w:t>
            </w:r>
            <w:r w:rsidR="00033D90" w:rsidRPr="00073574">
              <w:rPr>
                <w:rFonts w:eastAsia="Times New Roman"/>
              </w:rPr>
              <w:t xml:space="preserve">other </w:t>
            </w:r>
            <w:r w:rsidR="00846702" w:rsidRPr="00073574">
              <w:rPr>
                <w:rFonts w:eastAsia="Times New Roman"/>
              </w:rPr>
              <w:t xml:space="preserve">organizations and UN agencies, organized a </w:t>
            </w:r>
            <w:r w:rsidR="002358F7" w:rsidRPr="00073574">
              <w:rPr>
                <w:rFonts w:eastAsia="Times New Roman"/>
              </w:rPr>
              <w:t xml:space="preserve">series of </w:t>
            </w:r>
            <w:r w:rsidR="00846702" w:rsidRPr="00073574">
              <w:rPr>
                <w:rFonts w:eastAsia="Times New Roman"/>
              </w:rPr>
              <w:t>webinars on "</w:t>
            </w:r>
            <w:hyperlink r:id="rId890" w:history="1">
              <w:r w:rsidR="00846702" w:rsidRPr="00073574">
                <w:rPr>
                  <w:rStyle w:val="Hyperlink"/>
                </w:rPr>
                <w:t>Digital transformation for cities and communities</w:t>
              </w:r>
            </w:hyperlink>
            <w:r w:rsidR="00846702" w:rsidRPr="00073574">
              <w:rPr>
                <w:rFonts w:eastAsia="Times New Roman"/>
                <w:color w:val="0000FF"/>
                <w:u w:val="single"/>
              </w:rPr>
              <w:t>"</w:t>
            </w:r>
            <w:r w:rsidR="00846702" w:rsidRPr="00073574">
              <w:rPr>
                <w:rFonts w:eastAsia="Times New Roman"/>
              </w:rPr>
              <w:t>.</w:t>
            </w:r>
            <w:r w:rsidR="00846702" w:rsidRPr="00073574">
              <w:rPr>
                <w:rFonts w:eastAsia="Times New Roman"/>
                <w:szCs w:val="22"/>
              </w:rPr>
              <w:t xml:space="preserve"> </w:t>
            </w:r>
            <w:r w:rsidR="002358F7" w:rsidRPr="00073574">
              <w:rPr>
                <w:rFonts w:eastAsia="Times New Roman"/>
                <w:szCs w:val="22"/>
              </w:rPr>
              <w:t xml:space="preserve">Episode </w:t>
            </w:r>
            <w:r w:rsidR="00E84197" w:rsidRPr="00073574">
              <w:rPr>
                <w:rFonts w:eastAsia="Times New Roman"/>
                <w:szCs w:val="22"/>
              </w:rPr>
              <w:t>6 on “</w:t>
            </w:r>
            <w:hyperlink r:id="rId891" w:history="1">
              <w:r w:rsidR="00E84197" w:rsidRPr="00073574">
                <w:rPr>
                  <w:rStyle w:val="Hyperlink"/>
                  <w:rFonts w:eastAsia="Times New Roman"/>
                  <w:szCs w:val="22"/>
                </w:rPr>
                <w:t>Smart City Platforms</w:t>
              </w:r>
            </w:hyperlink>
            <w:r w:rsidR="00E84197" w:rsidRPr="00073574">
              <w:rPr>
                <w:rFonts w:eastAsia="Times New Roman"/>
                <w:szCs w:val="22"/>
              </w:rPr>
              <w:t>” took place on 01 November 2021 and Episode 11 on “</w:t>
            </w:r>
            <w:hyperlink r:id="rId892" w:history="1">
              <w:r w:rsidR="00943E2C" w:rsidRPr="00073574">
                <w:rPr>
                  <w:rStyle w:val="Hyperlink"/>
                  <w:rFonts w:eastAsia="Times New Roman"/>
                  <w:szCs w:val="22"/>
                </w:rPr>
                <w:t>Blockchain-based data management for supporting Internet of things and smart cities and communities</w:t>
              </w:r>
            </w:hyperlink>
            <w:r w:rsidR="00E84197" w:rsidRPr="00073574">
              <w:rPr>
                <w:rFonts w:eastAsia="Times New Roman"/>
                <w:szCs w:val="22"/>
              </w:rPr>
              <w:t xml:space="preserve">” </w:t>
            </w:r>
            <w:r w:rsidR="00943E2C" w:rsidRPr="00073574">
              <w:rPr>
                <w:rFonts w:eastAsia="Times New Roman"/>
                <w:szCs w:val="22"/>
              </w:rPr>
              <w:t>took place on 08 December 2021.</w:t>
            </w:r>
          </w:p>
          <w:p w14:paraId="4C2FDA2E" w14:textId="253F7401" w:rsidR="00943E2C" w:rsidRPr="00073574" w:rsidRDefault="00943E2C" w:rsidP="00366B4E">
            <w:pPr>
              <w:spacing w:line="257" w:lineRule="auto"/>
              <w:rPr>
                <w:rFonts w:eastAsia="Times New Roman"/>
                <w:szCs w:val="22"/>
              </w:rPr>
            </w:pPr>
            <w:r w:rsidRPr="00073574">
              <w:rPr>
                <w:rFonts w:eastAsia="Times New Roman"/>
                <w:szCs w:val="22"/>
              </w:rPr>
              <w:t>In December 2021, U4SSC published the deliverable</w:t>
            </w:r>
            <w:r w:rsidR="004148FE" w:rsidRPr="00073574">
              <w:rPr>
                <w:rFonts w:eastAsia="Times New Roman"/>
                <w:szCs w:val="22"/>
              </w:rPr>
              <w:t>s</w:t>
            </w:r>
            <w:r w:rsidRPr="00073574">
              <w:rPr>
                <w:rFonts w:eastAsia="Times New Roman"/>
                <w:szCs w:val="22"/>
              </w:rPr>
              <w:t xml:space="preserve"> on </w:t>
            </w:r>
            <w:r w:rsidR="004148FE" w:rsidRPr="00073574">
              <w:rPr>
                <w:rFonts w:eastAsia="Times New Roman"/>
                <w:szCs w:val="22"/>
              </w:rPr>
              <w:t>“</w:t>
            </w:r>
            <w:hyperlink r:id="rId893" w:anchor="p=1" w:tgtFrame="_blank" w:tooltip="https://www.itu.int/en/publications/documents/tsb/2021-u4ssc-digital-solutions-for-integrated-city-management-and-use-cases/index.html#p=1" w:history="1">
              <w:r w:rsidR="004148FE" w:rsidRPr="00073574">
                <w:rPr>
                  <w:rStyle w:val="Hyperlink"/>
                  <w:rFonts w:eastAsia="Times New Roman"/>
                  <w:szCs w:val="22"/>
                </w:rPr>
                <w:t>Digital solutions for integrated city management and use cases</w:t>
              </w:r>
            </w:hyperlink>
            <w:r w:rsidR="004148FE" w:rsidRPr="00073574">
              <w:rPr>
                <w:rFonts w:eastAsia="Times New Roman"/>
                <w:szCs w:val="22"/>
              </w:rPr>
              <w:t>” and “</w:t>
            </w:r>
            <w:hyperlink r:id="rId894" w:anchor="p=1" w:tgtFrame="_blank" w:tooltip="https://www.itu.int/en/publications/documents/tsb/2021-u4ssc-compendium-of-survey-results/index.html#p=1" w:history="1">
              <w:r w:rsidR="004148FE" w:rsidRPr="00073574">
                <w:rPr>
                  <w:rStyle w:val="Hyperlink"/>
                  <w:rFonts w:eastAsia="Times New Roman"/>
                  <w:szCs w:val="22"/>
                </w:rPr>
                <w:t>Compendium of survey results on integrated digital solutions for city platforms around the world</w:t>
              </w:r>
            </w:hyperlink>
            <w:r w:rsidR="004148FE" w:rsidRPr="00073574">
              <w:rPr>
                <w:rFonts w:eastAsia="Times New Roman"/>
                <w:szCs w:val="22"/>
              </w:rPr>
              <w:t>”.</w:t>
            </w:r>
          </w:p>
          <w:p w14:paraId="670E023C" w14:textId="6CE2F1EE" w:rsidR="005E0B71" w:rsidRPr="00073574" w:rsidRDefault="7A9AB842" w:rsidP="539711DF">
            <w:pPr>
              <w:spacing w:line="257" w:lineRule="auto"/>
              <w:rPr>
                <w:rFonts w:eastAsia="Times New Roman"/>
                <w:szCs w:val="22"/>
              </w:rPr>
            </w:pPr>
            <w:r w:rsidRPr="00073574">
              <w:rPr>
                <w:rFonts w:eastAsia="Times New Roman"/>
              </w:rPr>
              <w:t>See 98-03</w:t>
            </w:r>
          </w:p>
        </w:tc>
      </w:tr>
      <w:tr w:rsidR="005E0B71" w:rsidRPr="00073574" w14:paraId="5BD9C2AA" w14:textId="77777777" w:rsidTr="7277BFE4">
        <w:tc>
          <w:tcPr>
            <w:tcW w:w="1130" w:type="dxa"/>
            <w:vMerge w:val="restart"/>
            <w:tcBorders>
              <w:top w:val="single" w:sz="12" w:space="0" w:color="auto"/>
            </w:tcBorders>
            <w:shd w:val="clear" w:color="auto" w:fill="auto"/>
          </w:tcPr>
          <w:p w14:paraId="74A51044" w14:textId="4550664A" w:rsidR="005E0B71" w:rsidRPr="00073574" w:rsidRDefault="005E0B71" w:rsidP="00B27BA8">
            <w:pPr>
              <w:pStyle w:val="Tabletext"/>
              <w:widowControl w:val="0"/>
              <w:rPr>
                <w:b/>
                <w:bCs/>
                <w:sz w:val="24"/>
                <w:szCs w:val="24"/>
              </w:rPr>
            </w:pPr>
            <w:r w:rsidRPr="00073574">
              <w:rPr>
                <w:b/>
                <w:bCs/>
                <w:sz w:val="24"/>
                <w:szCs w:val="24"/>
              </w:rPr>
              <w:t>98-05</w:t>
            </w:r>
          </w:p>
        </w:tc>
        <w:tc>
          <w:tcPr>
            <w:tcW w:w="4988" w:type="dxa"/>
            <w:tcBorders>
              <w:top w:val="single" w:sz="12" w:space="0" w:color="auto"/>
              <w:bottom w:val="single" w:sz="4" w:space="0" w:color="auto"/>
            </w:tcBorders>
            <w:shd w:val="clear" w:color="auto" w:fill="auto"/>
          </w:tcPr>
          <w:p w14:paraId="7B6DEC72" w14:textId="2AE1FCCF" w:rsidR="005E0B71" w:rsidRPr="00073574" w:rsidRDefault="005E0B71" w:rsidP="00B27BA8">
            <w:pPr>
              <w:pStyle w:val="Tabletext"/>
              <w:keepNext/>
              <w:keepLines/>
              <w:widowControl w:val="0"/>
              <w:rPr>
                <w:b/>
                <w:bCs/>
                <w:sz w:val="24"/>
                <w:szCs w:val="24"/>
              </w:rPr>
            </w:pPr>
            <w:r w:rsidRPr="00073574">
              <w:rPr>
                <w:b/>
                <w:bCs/>
                <w:sz w:val="24"/>
                <w:szCs w:val="24"/>
              </w:rPr>
              <w:t>TSB Director to provide necessary assistance in order to take advantage of every opportunity, within the assigned budget, to promote quality standardization work in a timely manner, and to communicate with telecommunication and ICT industries in order to promote their participation in ITU-T's standardization activities on IoT and SC&amp;C (i. TSBDir 1)</w:t>
            </w:r>
          </w:p>
        </w:tc>
        <w:tc>
          <w:tcPr>
            <w:tcW w:w="1335" w:type="dxa"/>
            <w:tcBorders>
              <w:top w:val="single" w:sz="12" w:space="0" w:color="auto"/>
              <w:bottom w:val="single" w:sz="4" w:space="0" w:color="auto"/>
            </w:tcBorders>
            <w:shd w:val="clear" w:color="auto" w:fill="auto"/>
            <w:vAlign w:val="center"/>
          </w:tcPr>
          <w:p w14:paraId="4314D969" w14:textId="3AAC480C" w:rsidR="005E0B71" w:rsidRPr="00073574" w:rsidRDefault="005E0B71" w:rsidP="00B27BA8">
            <w:pPr>
              <w:pStyle w:val="Tabletext"/>
              <w:widowControl w:val="0"/>
              <w:jc w:val="center"/>
              <w:rPr>
                <w:b/>
                <w:bCs/>
                <w:sz w:val="24"/>
                <w:szCs w:val="24"/>
              </w:rPr>
            </w:pPr>
            <w:r w:rsidRPr="00073574">
              <w:rPr>
                <w:b/>
                <w:bCs/>
                <w:sz w:val="24"/>
                <w:szCs w:val="24"/>
              </w:rPr>
              <w:t>Ongoing</w:t>
            </w:r>
          </w:p>
        </w:tc>
        <w:tc>
          <w:tcPr>
            <w:tcW w:w="1143" w:type="dxa"/>
            <w:tcBorders>
              <w:top w:val="single" w:sz="12" w:space="0" w:color="auto"/>
              <w:bottom w:val="single" w:sz="4" w:space="0" w:color="auto"/>
            </w:tcBorders>
            <w:shd w:val="clear" w:color="auto" w:fill="auto"/>
            <w:vAlign w:val="center"/>
          </w:tcPr>
          <w:p w14:paraId="11E55EB3" w14:textId="7E54CCB2" w:rsidR="005E0B71" w:rsidRPr="00073574" w:rsidRDefault="005E0B71" w:rsidP="00B27BA8">
            <w:pPr>
              <w:pStyle w:val="Tabletext"/>
              <w:widowControl w:val="0"/>
              <w:jc w:val="center"/>
              <w:rPr>
                <w:b/>
                <w:bCs/>
                <w:sz w:val="24"/>
                <w:szCs w:val="24"/>
              </w:rPr>
            </w:pPr>
            <w:r w:rsidRPr="00073574">
              <w:rPr>
                <w:b/>
                <w:bCs/>
                <w:sz w:val="24"/>
                <w:szCs w:val="24"/>
              </w:rPr>
              <w:t>√</w:t>
            </w:r>
          </w:p>
        </w:tc>
        <w:tc>
          <w:tcPr>
            <w:tcW w:w="1336" w:type="dxa"/>
            <w:tcBorders>
              <w:top w:val="single" w:sz="12" w:space="0" w:color="auto"/>
              <w:bottom w:val="single" w:sz="4" w:space="0" w:color="auto"/>
            </w:tcBorders>
            <w:shd w:val="clear" w:color="auto" w:fill="auto"/>
            <w:vAlign w:val="center"/>
          </w:tcPr>
          <w:p w14:paraId="276EAC6E" w14:textId="77777777" w:rsidR="005E0B71" w:rsidRPr="00073574" w:rsidRDefault="005E0B71" w:rsidP="00B27BA8">
            <w:pPr>
              <w:pStyle w:val="Tabletext"/>
              <w:widowControl w:val="0"/>
              <w:jc w:val="center"/>
              <w:rPr>
                <w:b/>
                <w:bCs/>
                <w:sz w:val="24"/>
                <w:szCs w:val="24"/>
              </w:rPr>
            </w:pPr>
          </w:p>
        </w:tc>
      </w:tr>
      <w:tr w:rsidR="005E0B71" w:rsidRPr="00073574" w14:paraId="3B1633A5" w14:textId="77777777" w:rsidTr="7277BFE4">
        <w:tc>
          <w:tcPr>
            <w:tcW w:w="1130" w:type="dxa"/>
            <w:vMerge/>
          </w:tcPr>
          <w:p w14:paraId="4C0DD145" w14:textId="77777777" w:rsidR="005E0B71" w:rsidRPr="00073574" w:rsidRDefault="005E0B71" w:rsidP="00B27BA8">
            <w:pPr>
              <w:pStyle w:val="Tabletext"/>
              <w:widowControl w:val="0"/>
              <w:rPr>
                <w:sz w:val="24"/>
                <w:szCs w:val="24"/>
              </w:rPr>
            </w:pPr>
          </w:p>
        </w:tc>
        <w:tc>
          <w:tcPr>
            <w:tcW w:w="8802" w:type="dxa"/>
            <w:gridSpan w:val="4"/>
            <w:tcBorders>
              <w:top w:val="single" w:sz="4" w:space="0" w:color="auto"/>
              <w:bottom w:val="single" w:sz="12" w:space="0" w:color="auto"/>
            </w:tcBorders>
            <w:shd w:val="clear" w:color="auto" w:fill="auto"/>
          </w:tcPr>
          <w:p w14:paraId="05A0127F" w14:textId="63B7181F" w:rsidR="005E0B71" w:rsidRPr="00073574" w:rsidRDefault="15DF749D" w:rsidP="00B27BA8">
            <w:pPr>
              <w:pStyle w:val="Tabletext"/>
              <w:widowControl w:val="0"/>
            </w:pPr>
            <w:r w:rsidRPr="00073574">
              <w:t>A</w:t>
            </w:r>
            <w:r w:rsidR="269D750C" w:rsidRPr="00073574">
              <w:t xml:space="preserve"> </w:t>
            </w:r>
            <w:r w:rsidR="269D750C" w:rsidRPr="00073574">
              <w:rPr>
                <w:szCs w:val="22"/>
              </w:rPr>
              <w:t>Global Portal on Environment and Smart Sustainable Cities</w:t>
            </w:r>
            <w:r w:rsidRPr="00073574">
              <w:t xml:space="preserve"> has been created and provides references to external resources on these issues</w:t>
            </w:r>
            <w:r w:rsidR="00B42F60" w:rsidRPr="00073574">
              <w:t xml:space="preserve"> (see: </w:t>
            </w:r>
            <w:hyperlink r:id="rId895" w:history="1">
              <w:r w:rsidR="00B42F60" w:rsidRPr="00073574">
                <w:rPr>
                  <w:rStyle w:val="Hyperlink"/>
                </w:rPr>
                <w:t>https://www.itu.int/en/ITU-</w:t>
              </w:r>
              <w:r w:rsidR="00B42F60" w:rsidRPr="00073574">
                <w:rPr>
                  <w:rStyle w:val="Hyperlink"/>
                </w:rPr>
                <w:lastRenderedPageBreak/>
                <w:t>T/climatechange/resources/Pages/env-and-ssc.aspx</w:t>
              </w:r>
            </w:hyperlink>
            <w:r w:rsidR="00B42F60" w:rsidRPr="00073574">
              <w:t>)</w:t>
            </w:r>
            <w:r w:rsidRPr="00073574">
              <w:t>.</w:t>
            </w:r>
          </w:p>
          <w:p w14:paraId="216D6914" w14:textId="701DC4BA" w:rsidR="005E0B71" w:rsidRPr="00073574" w:rsidRDefault="2D305F1F" w:rsidP="00B27BA8">
            <w:pPr>
              <w:widowControl w:val="0"/>
              <w:spacing w:line="257" w:lineRule="auto"/>
              <w:rPr>
                <w:rFonts w:eastAsia="Times New Roman"/>
              </w:rPr>
            </w:pPr>
            <w:r w:rsidRPr="00073574">
              <w:rPr>
                <w:rFonts w:eastAsia="Times New Roman"/>
              </w:rPr>
              <w:t xml:space="preserve">The following events and </w:t>
            </w:r>
            <w:r w:rsidR="00C15B60" w:rsidRPr="00073574">
              <w:rPr>
                <w:rFonts w:eastAsia="Times New Roman"/>
              </w:rPr>
              <w:t>activities</w:t>
            </w:r>
            <w:r w:rsidRPr="00073574">
              <w:rPr>
                <w:rFonts w:eastAsia="Times New Roman"/>
              </w:rPr>
              <w:t xml:space="preserve"> have been organized:</w:t>
            </w:r>
          </w:p>
          <w:p w14:paraId="3F20B829" w14:textId="314EF5A7" w:rsidR="00FF1733" w:rsidRPr="00073574" w:rsidRDefault="00FF1733" w:rsidP="00B27BA8">
            <w:pPr>
              <w:widowControl w:val="0"/>
              <w:spacing w:line="257" w:lineRule="auto"/>
              <w:rPr>
                <w:rFonts w:eastAsia="Times New Roman"/>
              </w:rPr>
            </w:pPr>
            <w:r w:rsidRPr="00073574">
              <w:rPr>
                <w:rFonts w:eastAsia="Times New Roman"/>
              </w:rPr>
              <w:t>2021</w:t>
            </w:r>
          </w:p>
          <w:p w14:paraId="740A823E" w14:textId="3AB28001" w:rsidR="00235BE2" w:rsidRPr="00073574" w:rsidRDefault="00235BE2" w:rsidP="00B27BA8">
            <w:pPr>
              <w:widowControl w:val="0"/>
              <w:numPr>
                <w:ilvl w:val="0"/>
                <w:numId w:val="9"/>
              </w:numPr>
              <w:shd w:val="clear" w:color="auto" w:fill="FFFFFF"/>
              <w:textAlignment w:val="baseline"/>
              <w:rPr>
                <w:rFonts w:eastAsia="Times New Roman"/>
                <w:szCs w:val="22"/>
                <w:lang w:eastAsia="en-GB"/>
              </w:rPr>
            </w:pPr>
            <w:r w:rsidRPr="00073574">
              <w:rPr>
                <w:szCs w:val="22"/>
                <w:bdr w:val="none" w:sz="0" w:space="0" w:color="auto" w:frame="1"/>
              </w:rPr>
              <w:t>Webinar series on Digital transformation for cities and communities</w:t>
            </w:r>
            <w:r w:rsidR="005C02DB" w:rsidRPr="00073574">
              <w:rPr>
                <w:szCs w:val="22"/>
                <w:bdr w:val="none" w:sz="0" w:space="0" w:color="auto" w:frame="1"/>
              </w:rPr>
              <w:t xml:space="preserve">, </w:t>
            </w:r>
            <w:r w:rsidRPr="00073574">
              <w:rPr>
                <w:szCs w:val="22"/>
              </w:rPr>
              <w:t>2021-2022</w:t>
            </w:r>
          </w:p>
          <w:p w14:paraId="7C356A61" w14:textId="47A87E32" w:rsidR="00C72B7F" w:rsidRPr="00073574" w:rsidRDefault="00C72B7F" w:rsidP="00B27BA8">
            <w:pPr>
              <w:widowControl w:val="0"/>
              <w:numPr>
                <w:ilvl w:val="0"/>
                <w:numId w:val="9"/>
              </w:numPr>
              <w:shd w:val="clear" w:color="auto" w:fill="FFFFFF"/>
              <w:textAlignment w:val="baseline"/>
              <w:rPr>
                <w:rFonts w:eastAsia="Times New Roman"/>
                <w:szCs w:val="22"/>
                <w:lang w:eastAsia="en-GB"/>
              </w:rPr>
            </w:pPr>
            <w:r w:rsidRPr="00073574">
              <w:rPr>
                <w:szCs w:val="22"/>
              </w:rPr>
              <w:t>DT4CC Episode #12: IoT for Earth Observation and Sustainable Development – opportunities and challenges</w:t>
            </w:r>
            <w:r w:rsidR="004C579C" w:rsidRPr="00073574">
              <w:rPr>
                <w:szCs w:val="22"/>
              </w:rPr>
              <w:t xml:space="preserve">, </w:t>
            </w:r>
            <w:r w:rsidRPr="00073574">
              <w:rPr>
                <w:szCs w:val="22"/>
              </w:rPr>
              <w:t>Virtual, 14 December 2021</w:t>
            </w:r>
          </w:p>
          <w:p w14:paraId="283F15C8" w14:textId="3A97AE4A" w:rsidR="00C72B7F" w:rsidRPr="00073574" w:rsidRDefault="00C72B7F" w:rsidP="00B27BA8">
            <w:pPr>
              <w:widowControl w:val="0"/>
              <w:numPr>
                <w:ilvl w:val="0"/>
                <w:numId w:val="9"/>
              </w:numPr>
              <w:shd w:val="clear" w:color="auto" w:fill="FFFFFF"/>
              <w:textAlignment w:val="baseline"/>
              <w:rPr>
                <w:szCs w:val="22"/>
              </w:rPr>
            </w:pPr>
            <w:r w:rsidRPr="00073574">
              <w:rPr>
                <w:szCs w:val="22"/>
              </w:rPr>
              <w:t>DT4CC Episode #11: Blockchain-based data management for supporting Internet of things and smart cities and communities</w:t>
            </w:r>
            <w:r w:rsidR="004C579C" w:rsidRPr="00073574">
              <w:rPr>
                <w:szCs w:val="22"/>
              </w:rPr>
              <w:t xml:space="preserve">, </w:t>
            </w:r>
            <w:r w:rsidRPr="00073574">
              <w:rPr>
                <w:szCs w:val="22"/>
              </w:rPr>
              <w:t>Virtual, 8 December 2021</w:t>
            </w:r>
          </w:p>
          <w:p w14:paraId="17336DF4" w14:textId="6C9941E5" w:rsidR="00C72B7F" w:rsidRPr="00073574" w:rsidRDefault="00C72B7F" w:rsidP="00B27BA8">
            <w:pPr>
              <w:widowControl w:val="0"/>
              <w:numPr>
                <w:ilvl w:val="0"/>
                <w:numId w:val="9"/>
              </w:numPr>
              <w:shd w:val="clear" w:color="auto" w:fill="FFFFFF"/>
              <w:textAlignment w:val="baseline"/>
              <w:rPr>
                <w:szCs w:val="22"/>
              </w:rPr>
            </w:pPr>
            <w:r w:rsidRPr="00073574">
              <w:rPr>
                <w:szCs w:val="22"/>
              </w:rPr>
              <w:t>DT4CC Episode #10: The role of digital technologies on aging and health</w:t>
            </w:r>
            <w:r w:rsidR="004C579C" w:rsidRPr="00073574">
              <w:rPr>
                <w:szCs w:val="22"/>
              </w:rPr>
              <w:t xml:space="preserve">, </w:t>
            </w:r>
            <w:r w:rsidRPr="00073574">
              <w:rPr>
                <w:szCs w:val="22"/>
              </w:rPr>
              <w:t>Virtual, 7 December 2021</w:t>
            </w:r>
          </w:p>
          <w:p w14:paraId="2B0DEA61" w14:textId="75C3136B" w:rsidR="00C72B7F" w:rsidRPr="00073574" w:rsidRDefault="00C72B7F" w:rsidP="00B27BA8">
            <w:pPr>
              <w:widowControl w:val="0"/>
              <w:numPr>
                <w:ilvl w:val="0"/>
                <w:numId w:val="9"/>
              </w:numPr>
              <w:shd w:val="clear" w:color="auto" w:fill="FFFFFF"/>
              <w:textAlignment w:val="baseline"/>
              <w:rPr>
                <w:szCs w:val="22"/>
              </w:rPr>
            </w:pPr>
            <w:r w:rsidRPr="00073574">
              <w:rPr>
                <w:szCs w:val="22"/>
              </w:rPr>
              <w:t>6th Meeting of the United for Smart Sustainable Cities (U4SSC) Initiative</w:t>
            </w:r>
            <w:r w:rsidR="004C579C" w:rsidRPr="00073574">
              <w:rPr>
                <w:szCs w:val="22"/>
              </w:rPr>
              <w:t xml:space="preserve">, </w:t>
            </w:r>
            <w:r w:rsidRPr="00073574">
              <w:rPr>
                <w:szCs w:val="22"/>
              </w:rPr>
              <w:t>Virtual, 7 December 2021</w:t>
            </w:r>
          </w:p>
          <w:p w14:paraId="4FE562AE" w14:textId="3F7B1C9A" w:rsidR="00C72B7F" w:rsidRPr="00073574" w:rsidRDefault="00C72B7F" w:rsidP="00B27BA8">
            <w:pPr>
              <w:widowControl w:val="0"/>
              <w:numPr>
                <w:ilvl w:val="0"/>
                <w:numId w:val="9"/>
              </w:numPr>
              <w:shd w:val="clear" w:color="auto" w:fill="FFFFFF"/>
              <w:textAlignment w:val="baseline"/>
              <w:rPr>
                <w:szCs w:val="22"/>
              </w:rPr>
            </w:pPr>
            <w:r w:rsidRPr="00073574">
              <w:rPr>
                <w:szCs w:val="22"/>
              </w:rPr>
              <w:t>DT4CC Episode #9: Addressing the Security Risks of Digital Transformation on IoT</w:t>
            </w:r>
            <w:r w:rsidR="00E41870" w:rsidRPr="00073574">
              <w:rPr>
                <w:szCs w:val="22"/>
              </w:rPr>
              <w:t xml:space="preserve">, </w:t>
            </w:r>
            <w:r w:rsidRPr="00073574">
              <w:rPr>
                <w:szCs w:val="22"/>
              </w:rPr>
              <w:t>Virtual, 6 December 2021</w:t>
            </w:r>
          </w:p>
          <w:p w14:paraId="00A879A7" w14:textId="3D9F3B15" w:rsidR="008247D2" w:rsidRPr="00073574" w:rsidRDefault="008247D2" w:rsidP="00B27BA8">
            <w:pPr>
              <w:widowControl w:val="0"/>
              <w:numPr>
                <w:ilvl w:val="0"/>
                <w:numId w:val="9"/>
              </w:numPr>
              <w:shd w:val="clear" w:color="auto" w:fill="FFFFFF"/>
              <w:ind w:left="714" w:hanging="357"/>
              <w:textAlignment w:val="baseline"/>
              <w:rPr>
                <w:rFonts w:eastAsia="Times New Roman"/>
              </w:rPr>
            </w:pPr>
            <w:r w:rsidRPr="00073574">
              <w:rPr>
                <w:rFonts w:eastAsia="Times New Roman"/>
              </w:rPr>
              <w:t>DT4CC Episode #8: Network capabilities and emerging technologies to support IoT-enabled verticals</w:t>
            </w:r>
            <w:r w:rsidR="00E41870" w:rsidRPr="00073574">
              <w:rPr>
                <w:rFonts w:eastAsia="Times New Roman"/>
              </w:rPr>
              <w:t xml:space="preserve">, </w:t>
            </w:r>
            <w:r w:rsidRPr="00073574">
              <w:rPr>
                <w:rFonts w:eastAsia="Times New Roman"/>
              </w:rPr>
              <w:t>Virtual, 18 November 2021</w:t>
            </w:r>
          </w:p>
          <w:p w14:paraId="5B49071A" w14:textId="19E329DA" w:rsidR="00235BE2" w:rsidRPr="00073574" w:rsidRDefault="008247D2" w:rsidP="00B27BA8">
            <w:pPr>
              <w:pStyle w:val="ListParagraph"/>
              <w:widowControl w:val="0"/>
              <w:numPr>
                <w:ilvl w:val="0"/>
                <w:numId w:val="9"/>
              </w:numPr>
              <w:ind w:left="714" w:hanging="357"/>
              <w:contextualSpacing w:val="0"/>
              <w:rPr>
                <w:rFonts w:eastAsia="Times New Roman"/>
              </w:rPr>
            </w:pPr>
            <w:r w:rsidRPr="00073574">
              <w:rPr>
                <w:rFonts w:eastAsia="Times New Roman"/>
              </w:rPr>
              <w:t>DT4CC Episode #7: Crowdsourced Systems: A people-led paradigm</w:t>
            </w:r>
            <w:r w:rsidR="00E41870" w:rsidRPr="00073574">
              <w:rPr>
                <w:rFonts w:eastAsia="Times New Roman"/>
              </w:rPr>
              <w:t xml:space="preserve">, </w:t>
            </w:r>
            <w:r w:rsidRPr="00073574">
              <w:rPr>
                <w:rFonts w:eastAsia="Times New Roman"/>
              </w:rPr>
              <w:t>Virtual, 2 November 2021</w:t>
            </w:r>
          </w:p>
          <w:p w14:paraId="4B1E61F3" w14:textId="4FC0257C" w:rsidR="008247D2" w:rsidRPr="00073574" w:rsidRDefault="008247D2" w:rsidP="00B27BA8">
            <w:pPr>
              <w:pStyle w:val="ListParagraph"/>
              <w:widowControl w:val="0"/>
              <w:numPr>
                <w:ilvl w:val="0"/>
                <w:numId w:val="106"/>
              </w:numPr>
              <w:ind w:left="714" w:hanging="357"/>
              <w:contextualSpacing w:val="0"/>
              <w:rPr>
                <w:rFonts w:eastAsia="Times New Roman"/>
              </w:rPr>
            </w:pPr>
            <w:r w:rsidRPr="00073574">
              <w:rPr>
                <w:rFonts w:eastAsia="Times New Roman"/>
              </w:rPr>
              <w:t>DT4CC Episode #6: Smart City Platforms</w:t>
            </w:r>
            <w:r w:rsidR="00E41870" w:rsidRPr="00073574">
              <w:rPr>
                <w:rFonts w:eastAsia="Times New Roman"/>
              </w:rPr>
              <w:t xml:space="preserve">, </w:t>
            </w:r>
            <w:r w:rsidRPr="00073574">
              <w:rPr>
                <w:rFonts w:eastAsia="Times New Roman"/>
              </w:rPr>
              <w:t>Virtual, 1 November 2021</w:t>
            </w:r>
          </w:p>
          <w:p w14:paraId="150FFBDB" w14:textId="688319B8" w:rsidR="008247D2" w:rsidRPr="00073574" w:rsidRDefault="008247D2" w:rsidP="00B27BA8">
            <w:pPr>
              <w:pStyle w:val="ListParagraph"/>
              <w:widowControl w:val="0"/>
              <w:numPr>
                <w:ilvl w:val="0"/>
                <w:numId w:val="9"/>
              </w:numPr>
              <w:ind w:left="714" w:hanging="357"/>
              <w:contextualSpacing w:val="0"/>
              <w:rPr>
                <w:rFonts w:eastAsia="Times New Roman"/>
              </w:rPr>
            </w:pPr>
            <w:r w:rsidRPr="00073574">
              <w:rPr>
                <w:rFonts w:eastAsia="Times New Roman"/>
              </w:rPr>
              <w:t>Webinar to celebrate World Cities Day on Building climate resilient cities with digital transformation</w:t>
            </w:r>
            <w:r w:rsidR="00E41870" w:rsidRPr="00073574">
              <w:rPr>
                <w:rFonts w:eastAsia="Times New Roman"/>
              </w:rPr>
              <w:t xml:space="preserve">, </w:t>
            </w:r>
            <w:r w:rsidRPr="00073574">
              <w:rPr>
                <w:rFonts w:eastAsia="Times New Roman"/>
              </w:rPr>
              <w:t>Virtual, 28 October 2021</w:t>
            </w:r>
          </w:p>
          <w:p w14:paraId="58C01CF7" w14:textId="65925B50" w:rsidR="008247D2" w:rsidRPr="00073574" w:rsidRDefault="008247D2" w:rsidP="00B27BA8">
            <w:pPr>
              <w:pStyle w:val="ListParagraph"/>
              <w:widowControl w:val="0"/>
              <w:numPr>
                <w:ilvl w:val="0"/>
                <w:numId w:val="9"/>
              </w:numPr>
              <w:ind w:left="714" w:hanging="357"/>
              <w:contextualSpacing w:val="0"/>
              <w:rPr>
                <w:rFonts w:eastAsia="Times New Roman"/>
              </w:rPr>
            </w:pPr>
            <w:r w:rsidRPr="00073574">
              <w:rPr>
                <w:rFonts w:eastAsia="Times New Roman"/>
              </w:rPr>
              <w:t>DT4CC Episode #5: Smart sustainable cities maturity model and impact assessment</w:t>
            </w:r>
            <w:r w:rsidR="00F023B1" w:rsidRPr="00073574">
              <w:rPr>
                <w:rFonts w:eastAsia="Times New Roman"/>
              </w:rPr>
              <w:t xml:space="preserve">, </w:t>
            </w:r>
            <w:r w:rsidRPr="00073574">
              <w:rPr>
                <w:rFonts w:eastAsia="Times New Roman"/>
              </w:rPr>
              <w:t>Virtual, 24 September 2021</w:t>
            </w:r>
          </w:p>
          <w:p w14:paraId="4AE353F6" w14:textId="1BF06F8B" w:rsidR="008247D2" w:rsidRPr="00073574" w:rsidRDefault="008247D2" w:rsidP="00B27BA8">
            <w:pPr>
              <w:pStyle w:val="ListParagraph"/>
              <w:widowControl w:val="0"/>
              <w:numPr>
                <w:ilvl w:val="0"/>
                <w:numId w:val="9"/>
              </w:numPr>
              <w:ind w:left="714" w:hanging="357"/>
              <w:contextualSpacing w:val="0"/>
              <w:rPr>
                <w:rFonts w:eastAsia="Times New Roman"/>
              </w:rPr>
            </w:pPr>
            <w:r w:rsidRPr="00073574">
              <w:rPr>
                <w:rFonts w:eastAsia="Times New Roman"/>
              </w:rPr>
              <w:t>DT4CC Episode #4: Smart Cities: a step towards digital transformation in Latin America (Spanish only)</w:t>
            </w:r>
            <w:r w:rsidR="00F023B1" w:rsidRPr="00073574">
              <w:rPr>
                <w:rFonts w:eastAsia="Times New Roman"/>
              </w:rPr>
              <w:t xml:space="preserve">, </w:t>
            </w:r>
            <w:r w:rsidRPr="00073574">
              <w:rPr>
                <w:rFonts w:eastAsia="Times New Roman"/>
              </w:rPr>
              <w:t>Virtual, 20 September 2021</w:t>
            </w:r>
          </w:p>
          <w:p w14:paraId="6A569154" w14:textId="121CF192" w:rsidR="008247D2" w:rsidRPr="00073574" w:rsidRDefault="008247D2" w:rsidP="00B27BA8">
            <w:pPr>
              <w:pStyle w:val="ListParagraph"/>
              <w:widowControl w:val="0"/>
              <w:numPr>
                <w:ilvl w:val="0"/>
                <w:numId w:val="9"/>
              </w:numPr>
              <w:ind w:left="714" w:hanging="357"/>
              <w:contextualSpacing w:val="0"/>
              <w:rPr>
                <w:rFonts w:eastAsia="Times New Roman"/>
              </w:rPr>
            </w:pPr>
            <w:r w:rsidRPr="00073574">
              <w:rPr>
                <w:rFonts w:eastAsia="Times New Roman"/>
              </w:rPr>
              <w:t>DT4CC Episode #3: Smart sustainable city architectures: challenges and opportunities</w:t>
            </w:r>
            <w:r w:rsidR="00F023B1" w:rsidRPr="00073574">
              <w:rPr>
                <w:rFonts w:eastAsia="Times New Roman"/>
              </w:rPr>
              <w:t xml:space="preserve">, </w:t>
            </w:r>
            <w:r w:rsidRPr="00073574">
              <w:rPr>
                <w:rFonts w:eastAsia="Times New Roman"/>
              </w:rPr>
              <w:t>Virtual, 16 September 2021</w:t>
            </w:r>
          </w:p>
          <w:p w14:paraId="55919D74" w14:textId="21C18428" w:rsidR="008247D2" w:rsidRPr="00073574" w:rsidRDefault="008247D2" w:rsidP="00B27BA8">
            <w:pPr>
              <w:pStyle w:val="ListParagraph"/>
              <w:widowControl w:val="0"/>
              <w:numPr>
                <w:ilvl w:val="0"/>
                <w:numId w:val="9"/>
              </w:numPr>
              <w:ind w:left="714" w:hanging="357"/>
              <w:contextualSpacing w:val="0"/>
              <w:rPr>
                <w:rFonts w:eastAsia="Times New Roman"/>
              </w:rPr>
            </w:pPr>
            <w:r w:rsidRPr="00073574">
              <w:rPr>
                <w:rFonts w:eastAsia="Times New Roman"/>
              </w:rPr>
              <w:t>DT4CC Episode #2: IoT-based automotive emergency response system</w:t>
            </w:r>
            <w:r w:rsidR="00F023B1" w:rsidRPr="00073574">
              <w:rPr>
                <w:rFonts w:eastAsia="Times New Roman"/>
              </w:rPr>
              <w:t xml:space="preserve">, </w:t>
            </w:r>
            <w:r w:rsidRPr="00073574">
              <w:rPr>
                <w:rFonts w:eastAsia="Times New Roman"/>
              </w:rPr>
              <w:t>Virtual, 14 September 2021</w:t>
            </w:r>
          </w:p>
          <w:p w14:paraId="19781A29" w14:textId="39A08655" w:rsidR="009E7B77" w:rsidRPr="00073574" w:rsidRDefault="008247D2" w:rsidP="00B27BA8">
            <w:pPr>
              <w:pStyle w:val="ListParagraph"/>
              <w:widowControl w:val="0"/>
              <w:numPr>
                <w:ilvl w:val="0"/>
                <w:numId w:val="9"/>
              </w:numPr>
              <w:ind w:left="714" w:hanging="357"/>
              <w:contextualSpacing w:val="0"/>
              <w:rPr>
                <w:rFonts w:eastAsia="Times New Roman"/>
              </w:rPr>
            </w:pPr>
            <w:r w:rsidRPr="00073574">
              <w:rPr>
                <w:rFonts w:eastAsia="Times New Roman"/>
              </w:rPr>
              <w:t>DT4CC Episode #1: Digital twins in cities</w:t>
            </w:r>
            <w:r w:rsidR="000066BD" w:rsidRPr="00073574">
              <w:rPr>
                <w:rFonts w:eastAsia="Times New Roman"/>
              </w:rPr>
              <w:t xml:space="preserve">, </w:t>
            </w:r>
            <w:r w:rsidRPr="00073574">
              <w:rPr>
                <w:rFonts w:eastAsia="Times New Roman"/>
              </w:rPr>
              <w:t>Virtual, 8 September 2021</w:t>
            </w:r>
          </w:p>
          <w:p w14:paraId="2A02E3BC" w14:textId="1617F107" w:rsidR="008247D2" w:rsidRPr="00073574" w:rsidRDefault="008247D2" w:rsidP="00B27BA8">
            <w:pPr>
              <w:pStyle w:val="ListParagraph"/>
              <w:widowControl w:val="0"/>
              <w:numPr>
                <w:ilvl w:val="0"/>
                <w:numId w:val="9"/>
              </w:numPr>
              <w:ind w:left="714" w:hanging="357"/>
              <w:contextualSpacing w:val="0"/>
              <w:rPr>
                <w:rFonts w:eastAsia="Times New Roman"/>
              </w:rPr>
            </w:pPr>
            <w:r w:rsidRPr="00073574">
              <w:rPr>
                <w:rFonts w:eastAsia="Times New Roman"/>
              </w:rPr>
              <w:t>ITU/OiER Webinar on Accelerating the Path to Cities’ Digital Transformation</w:t>
            </w:r>
            <w:r w:rsidR="000066BD" w:rsidRPr="00073574">
              <w:rPr>
                <w:rFonts w:eastAsia="Times New Roman"/>
              </w:rPr>
              <w:t xml:space="preserve">, </w:t>
            </w:r>
            <w:r w:rsidRPr="00073574">
              <w:rPr>
                <w:rFonts w:eastAsia="Times New Roman"/>
              </w:rPr>
              <w:t>Virtual, 8 September 2021</w:t>
            </w:r>
          </w:p>
          <w:p w14:paraId="2FA97F0B" w14:textId="4F8713F5" w:rsidR="00FF1733" w:rsidRPr="00073574" w:rsidRDefault="00FF1733" w:rsidP="00B27BA8">
            <w:pPr>
              <w:pStyle w:val="ListParagraph"/>
              <w:widowControl w:val="0"/>
              <w:numPr>
                <w:ilvl w:val="0"/>
                <w:numId w:val="9"/>
              </w:numPr>
              <w:contextualSpacing w:val="0"/>
              <w:rPr>
                <w:rFonts w:eastAsia="Times New Roman"/>
              </w:rPr>
            </w:pPr>
            <w:r w:rsidRPr="00073574">
              <w:rPr>
                <w:rFonts w:eastAsia="Times New Roman"/>
              </w:rPr>
              <w:t>ITU-T SG20RG-AFR Virtual forum on “Accelerating Digital Transformation in Africa”, Virtual, 2 June 2021</w:t>
            </w:r>
          </w:p>
          <w:p w14:paraId="147B9786" w14:textId="7529559D" w:rsidR="00FF1733" w:rsidRPr="00073574" w:rsidRDefault="00FF1733" w:rsidP="00B27BA8">
            <w:pPr>
              <w:pStyle w:val="ListParagraph"/>
              <w:widowControl w:val="0"/>
              <w:numPr>
                <w:ilvl w:val="0"/>
                <w:numId w:val="9"/>
              </w:numPr>
              <w:contextualSpacing w:val="0"/>
              <w:rPr>
                <w:rFonts w:eastAsia="Times New Roman"/>
              </w:rPr>
            </w:pPr>
            <w:r w:rsidRPr="00073574">
              <w:rPr>
                <w:rFonts w:eastAsia="Times New Roman"/>
              </w:rPr>
              <w:t xml:space="preserve">Virtual Forum on </w:t>
            </w:r>
            <w:r w:rsidR="00033989" w:rsidRPr="00073574">
              <w:rPr>
                <w:rFonts w:eastAsia="Times New Roman"/>
              </w:rPr>
              <w:t>“</w:t>
            </w:r>
            <w:r w:rsidRPr="00073574">
              <w:rPr>
                <w:rFonts w:eastAsia="Times New Roman"/>
              </w:rPr>
              <w:t>The Role of Standards in Accelerating Digital Transformation for Cities and Communities</w:t>
            </w:r>
            <w:r w:rsidR="00033989" w:rsidRPr="00073574">
              <w:rPr>
                <w:rFonts w:eastAsia="Times New Roman"/>
              </w:rPr>
              <w:t>”</w:t>
            </w:r>
            <w:r w:rsidRPr="00073574">
              <w:rPr>
                <w:rFonts w:eastAsia="Times New Roman"/>
              </w:rPr>
              <w:t>, Virtual, 23 April 2021</w:t>
            </w:r>
          </w:p>
          <w:p w14:paraId="3D32C4F6" w14:textId="562CBC4E" w:rsidR="00FF1733" w:rsidRPr="00073574" w:rsidRDefault="00FF1733" w:rsidP="00B27BA8">
            <w:pPr>
              <w:pStyle w:val="ListParagraph"/>
              <w:widowControl w:val="0"/>
              <w:numPr>
                <w:ilvl w:val="0"/>
                <w:numId w:val="9"/>
              </w:numPr>
              <w:contextualSpacing w:val="0"/>
              <w:rPr>
                <w:rFonts w:eastAsia="Times New Roman"/>
              </w:rPr>
            </w:pPr>
            <w:r w:rsidRPr="00073574">
              <w:rPr>
                <w:rFonts w:eastAsia="Times New Roman"/>
              </w:rPr>
              <w:t xml:space="preserve">WSIS Thematic Workshop on </w:t>
            </w:r>
            <w:r w:rsidR="00033989" w:rsidRPr="00073574">
              <w:rPr>
                <w:rFonts w:eastAsia="Times New Roman"/>
              </w:rPr>
              <w:t>“</w:t>
            </w:r>
            <w:r w:rsidRPr="00073574">
              <w:rPr>
                <w:rFonts w:eastAsia="Times New Roman"/>
              </w:rPr>
              <w:t>Simple Ways to be Smart</w:t>
            </w:r>
            <w:r w:rsidR="00033989" w:rsidRPr="00073574">
              <w:rPr>
                <w:rFonts w:eastAsia="Times New Roman"/>
              </w:rPr>
              <w:t>”</w:t>
            </w:r>
            <w:r w:rsidRPr="00073574">
              <w:rPr>
                <w:rFonts w:eastAsia="Times New Roman"/>
              </w:rPr>
              <w:t>, Virtual, 29 March 2021</w:t>
            </w:r>
          </w:p>
          <w:p w14:paraId="1F18CE95" w14:textId="4D97BBAA" w:rsidR="005E0B71" w:rsidRPr="00073574" w:rsidRDefault="2D305F1F" w:rsidP="00B27BA8">
            <w:pPr>
              <w:widowControl w:val="0"/>
              <w:spacing w:line="257" w:lineRule="auto"/>
              <w:rPr>
                <w:rFonts w:eastAsia="Times New Roman"/>
                <w:szCs w:val="22"/>
              </w:rPr>
            </w:pPr>
            <w:r w:rsidRPr="00073574">
              <w:rPr>
                <w:rFonts w:eastAsia="Times New Roman"/>
              </w:rPr>
              <w:t>2020</w:t>
            </w:r>
          </w:p>
          <w:p w14:paraId="5B898C00" w14:textId="0820346F" w:rsidR="00033989" w:rsidRPr="00073574" w:rsidRDefault="00033989" w:rsidP="00B27BA8">
            <w:pPr>
              <w:pStyle w:val="ListParagraph"/>
              <w:widowControl w:val="0"/>
              <w:numPr>
                <w:ilvl w:val="0"/>
                <w:numId w:val="9"/>
              </w:numPr>
              <w:contextualSpacing w:val="0"/>
              <w:rPr>
                <w:rFonts w:eastAsia="Times New Roman"/>
              </w:rPr>
            </w:pPr>
            <w:r w:rsidRPr="00073574">
              <w:rPr>
                <w:rFonts w:eastAsia="Times New Roman"/>
              </w:rPr>
              <w:t>Webinar on “Smart sustainable cities and frontier technologies in Latin America”, Virtual session, 8 December 2020</w:t>
            </w:r>
          </w:p>
          <w:p w14:paraId="46CCBB89" w14:textId="4274D559" w:rsidR="00033989" w:rsidRPr="00073574" w:rsidRDefault="00033989" w:rsidP="00B27BA8">
            <w:pPr>
              <w:pStyle w:val="ListParagraph"/>
              <w:widowControl w:val="0"/>
              <w:numPr>
                <w:ilvl w:val="0"/>
                <w:numId w:val="9"/>
              </w:numPr>
              <w:contextualSpacing w:val="0"/>
              <w:rPr>
                <w:rFonts w:eastAsia="Times New Roman"/>
              </w:rPr>
            </w:pPr>
            <w:r w:rsidRPr="00073574">
              <w:rPr>
                <w:rFonts w:eastAsia="Times New Roman"/>
              </w:rPr>
              <w:lastRenderedPageBreak/>
              <w:t>Virtual forum on “Digital Transformation of Cities and Communities”, Virtual session, 7 December 2020</w:t>
            </w:r>
          </w:p>
          <w:p w14:paraId="374340F3" w14:textId="2E7150A7" w:rsidR="00033989" w:rsidRPr="00073574" w:rsidRDefault="00033989" w:rsidP="00B27BA8">
            <w:pPr>
              <w:pStyle w:val="ListParagraph"/>
              <w:widowControl w:val="0"/>
              <w:numPr>
                <w:ilvl w:val="0"/>
                <w:numId w:val="9"/>
              </w:numPr>
              <w:contextualSpacing w:val="0"/>
              <w:rPr>
                <w:rFonts w:eastAsia="Times New Roman"/>
              </w:rPr>
            </w:pPr>
            <w:r w:rsidRPr="00073574">
              <w:rPr>
                <w:rFonts w:eastAsia="Times New Roman"/>
              </w:rPr>
              <w:t xml:space="preserve">Webinar on “Accelerating cities' transformation through standards”, 25 June 2020 </w:t>
            </w:r>
          </w:p>
          <w:p w14:paraId="55C181EE" w14:textId="41A1C4B7" w:rsidR="005E0B71" w:rsidRPr="00073574" w:rsidRDefault="2D305F1F" w:rsidP="00B27BA8">
            <w:pPr>
              <w:pStyle w:val="ListParagraph"/>
              <w:widowControl w:val="0"/>
              <w:numPr>
                <w:ilvl w:val="0"/>
                <w:numId w:val="9"/>
              </w:numPr>
              <w:contextualSpacing w:val="0"/>
              <w:rPr>
                <w:rFonts w:eastAsia="Times New Roman"/>
              </w:rPr>
            </w:pPr>
            <w:r w:rsidRPr="00073574">
              <w:t xml:space="preserve">Webinar on </w:t>
            </w:r>
            <w:r w:rsidR="00033989" w:rsidRPr="00073574">
              <w:rPr>
                <w:rFonts w:eastAsia="Times New Roman"/>
              </w:rPr>
              <w:t>“</w:t>
            </w:r>
            <w:r w:rsidRPr="00073574">
              <w:t>Accelerating cities' transformation through standards</w:t>
            </w:r>
            <w:r w:rsidR="00033989" w:rsidRPr="00073574">
              <w:rPr>
                <w:rFonts w:eastAsia="Times New Roman"/>
              </w:rPr>
              <w:t>”</w:t>
            </w:r>
            <w:r w:rsidRPr="00073574">
              <w:t>, 25 June 2020</w:t>
            </w:r>
          </w:p>
          <w:p w14:paraId="3AE7CC02" w14:textId="2248EAD2" w:rsidR="005E0B71" w:rsidRPr="00073574" w:rsidRDefault="2D305F1F" w:rsidP="00B27BA8">
            <w:pPr>
              <w:pStyle w:val="ListParagraph"/>
              <w:widowControl w:val="0"/>
              <w:numPr>
                <w:ilvl w:val="0"/>
                <w:numId w:val="9"/>
              </w:numPr>
              <w:contextualSpacing w:val="0"/>
              <w:rPr>
                <w:rFonts w:eastAsia="Times New Roman"/>
              </w:rPr>
            </w:pPr>
            <w:r w:rsidRPr="00073574">
              <w:t xml:space="preserve">ITU Forum </w:t>
            </w:r>
            <w:r w:rsidR="00033989" w:rsidRPr="00073574">
              <w:rPr>
                <w:rFonts w:eastAsia="Times New Roman"/>
              </w:rPr>
              <w:t>“</w:t>
            </w:r>
            <w:r w:rsidRPr="00073574">
              <w:t>Smart sustainable cities: from concept to implementation</w:t>
            </w:r>
            <w:r w:rsidR="00033989" w:rsidRPr="00073574">
              <w:rPr>
                <w:rFonts w:eastAsia="Times New Roman"/>
              </w:rPr>
              <w:t>”</w:t>
            </w:r>
            <w:r w:rsidRPr="00073574">
              <w:t>, 3-5 March 2020, Minsk, Belarus</w:t>
            </w:r>
            <w:r w:rsidR="00033989" w:rsidRPr="00073574">
              <w:t xml:space="preserve"> </w:t>
            </w:r>
          </w:p>
          <w:p w14:paraId="49F03519" w14:textId="60C1710B" w:rsidR="005E0B71" w:rsidRPr="00073574" w:rsidRDefault="2D305F1F" w:rsidP="00B27BA8">
            <w:pPr>
              <w:pStyle w:val="ListParagraph"/>
              <w:widowControl w:val="0"/>
              <w:numPr>
                <w:ilvl w:val="0"/>
                <w:numId w:val="9"/>
              </w:numPr>
              <w:contextualSpacing w:val="0"/>
              <w:rPr>
                <w:rFonts w:eastAsia="Times New Roman"/>
              </w:rPr>
            </w:pPr>
            <w:r w:rsidRPr="00073574">
              <w:t xml:space="preserve">WUF10 Networking event on </w:t>
            </w:r>
            <w:r w:rsidR="00033989" w:rsidRPr="00073574">
              <w:t>“</w:t>
            </w:r>
            <w:r w:rsidRPr="00073574">
              <w:t>Governing and managing smart sustainable cities</w:t>
            </w:r>
            <w:r w:rsidR="00033989" w:rsidRPr="00073574">
              <w:rPr>
                <w:rFonts w:eastAsia="Times New Roman"/>
              </w:rPr>
              <w:t>”</w:t>
            </w:r>
            <w:r w:rsidRPr="00073574">
              <w:t>, 10 February 2020, Abu Dhabi, UAE</w:t>
            </w:r>
          </w:p>
          <w:p w14:paraId="0F2B28D9" w14:textId="6E881901" w:rsidR="005E0B71" w:rsidRPr="00073574" w:rsidRDefault="2D305F1F" w:rsidP="00B27BA8">
            <w:pPr>
              <w:widowControl w:val="0"/>
              <w:rPr>
                <w:rFonts w:eastAsia="Times New Roman"/>
                <w:szCs w:val="22"/>
              </w:rPr>
            </w:pPr>
            <w:r w:rsidRPr="00073574">
              <w:rPr>
                <w:rFonts w:eastAsia="Times New Roman"/>
              </w:rPr>
              <w:t>2019</w:t>
            </w:r>
          </w:p>
          <w:p w14:paraId="685287FA" w14:textId="47BB2803" w:rsidR="005E0B71" w:rsidRPr="00073574" w:rsidRDefault="2D305F1F" w:rsidP="00B27BA8">
            <w:pPr>
              <w:pStyle w:val="ListParagraph"/>
              <w:widowControl w:val="0"/>
              <w:numPr>
                <w:ilvl w:val="0"/>
                <w:numId w:val="9"/>
              </w:numPr>
              <w:contextualSpacing w:val="0"/>
              <w:rPr>
                <w:rFonts w:eastAsia="Times New Roman"/>
              </w:rPr>
            </w:pPr>
            <w:r w:rsidRPr="00073574">
              <w:t>5th ITU Workshop on Data Processing and Management for IoT and Smart Cities &amp; Communities, 25 November 2019, Geneva</w:t>
            </w:r>
          </w:p>
          <w:p w14:paraId="6B87350D" w14:textId="0CABCD24" w:rsidR="005E0B71" w:rsidRPr="00073574" w:rsidRDefault="2D305F1F" w:rsidP="00B27BA8">
            <w:pPr>
              <w:pStyle w:val="ListParagraph"/>
              <w:widowControl w:val="0"/>
              <w:numPr>
                <w:ilvl w:val="0"/>
                <w:numId w:val="9"/>
              </w:numPr>
              <w:contextualSpacing w:val="0"/>
              <w:rPr>
                <w:rFonts w:eastAsia="Times New Roman"/>
              </w:rPr>
            </w:pPr>
            <w:r w:rsidRPr="00073574">
              <w:t>World Cities Day - Session on "Smart and sustainable cities: Changing the world: innovations and better life for future generations", 31 October 2019 (15h00-16h30), New York, UNHQ</w:t>
            </w:r>
          </w:p>
          <w:p w14:paraId="458B3E9F" w14:textId="32B5B198" w:rsidR="005E0B71" w:rsidRPr="00073574" w:rsidRDefault="2D305F1F" w:rsidP="00B27BA8">
            <w:pPr>
              <w:pStyle w:val="ListParagraph"/>
              <w:widowControl w:val="0"/>
              <w:numPr>
                <w:ilvl w:val="0"/>
                <w:numId w:val="9"/>
              </w:numPr>
              <w:contextualSpacing w:val="0"/>
              <w:rPr>
                <w:rFonts w:eastAsia="Times New Roman"/>
              </w:rPr>
            </w:pPr>
            <w:r w:rsidRPr="00073574">
              <w:t>9th Green Standards Week: Training on Building Smarter and More Sustainable Cities, 4 October 2019, Valencia, Spain</w:t>
            </w:r>
          </w:p>
          <w:p w14:paraId="7E649603" w14:textId="30B5B3D4" w:rsidR="005E0B71" w:rsidRPr="00073574" w:rsidRDefault="2D305F1F" w:rsidP="00B27BA8">
            <w:pPr>
              <w:pStyle w:val="ListParagraph"/>
              <w:widowControl w:val="0"/>
              <w:numPr>
                <w:ilvl w:val="0"/>
                <w:numId w:val="9"/>
              </w:numPr>
              <w:contextualSpacing w:val="0"/>
              <w:rPr>
                <w:rFonts w:eastAsia="Times New Roman"/>
              </w:rPr>
            </w:pPr>
            <w:r w:rsidRPr="00073574">
              <w:t>9th Green Standards Week: Meeting of the Spanish Expert Committee on Smart Sustainable Cities (RECI), 3 October 2019, Valencia, Spain</w:t>
            </w:r>
          </w:p>
          <w:p w14:paraId="513984E7" w14:textId="7D947E53" w:rsidR="005E0B71" w:rsidRPr="00073574" w:rsidRDefault="2D305F1F" w:rsidP="00B27BA8">
            <w:pPr>
              <w:pStyle w:val="ListParagraph"/>
              <w:widowControl w:val="0"/>
              <w:numPr>
                <w:ilvl w:val="0"/>
                <w:numId w:val="9"/>
              </w:numPr>
              <w:contextualSpacing w:val="0"/>
              <w:rPr>
                <w:rFonts w:eastAsia="Times New Roman"/>
              </w:rPr>
            </w:pPr>
            <w:r w:rsidRPr="00073574">
              <w:t>9th Green Standards Week: València: Smart City, 2 October 2019, Valencia, Spain</w:t>
            </w:r>
          </w:p>
          <w:p w14:paraId="384D849B" w14:textId="02B4CA32" w:rsidR="005E0B71" w:rsidRPr="00073574" w:rsidRDefault="2D305F1F" w:rsidP="00B27BA8">
            <w:pPr>
              <w:pStyle w:val="ListParagraph"/>
              <w:widowControl w:val="0"/>
              <w:numPr>
                <w:ilvl w:val="0"/>
                <w:numId w:val="9"/>
              </w:numPr>
              <w:contextualSpacing w:val="0"/>
              <w:rPr>
                <w:rFonts w:eastAsia="Times New Roman"/>
              </w:rPr>
            </w:pPr>
            <w:r w:rsidRPr="00073574">
              <w:t>9th Green Standards Week: Forum on "Smart Governance in Cities", 2 October 2019, Valencia, Spain</w:t>
            </w:r>
          </w:p>
          <w:p w14:paraId="211D6425" w14:textId="35B1F19D" w:rsidR="005E0B71" w:rsidRPr="00073574" w:rsidRDefault="2D305F1F" w:rsidP="00B27BA8">
            <w:pPr>
              <w:pStyle w:val="ListParagraph"/>
              <w:widowControl w:val="0"/>
              <w:numPr>
                <w:ilvl w:val="0"/>
                <w:numId w:val="9"/>
              </w:numPr>
              <w:contextualSpacing w:val="0"/>
              <w:rPr>
                <w:rFonts w:eastAsia="Times New Roman"/>
              </w:rPr>
            </w:pPr>
            <w:r w:rsidRPr="00073574">
              <w:t>9th Green Standards Week: Leadership Panel on "Connecting Smart Sustainable Cities with the Sustainable Development Goals", 1 October 2019, Valencia, Spain</w:t>
            </w:r>
          </w:p>
          <w:p w14:paraId="162B52DB" w14:textId="3003DDF0" w:rsidR="005E0B71" w:rsidRPr="00073574" w:rsidRDefault="2D305F1F" w:rsidP="00B27BA8">
            <w:pPr>
              <w:pStyle w:val="ListParagraph"/>
              <w:widowControl w:val="0"/>
              <w:numPr>
                <w:ilvl w:val="0"/>
                <w:numId w:val="9"/>
              </w:numPr>
              <w:contextualSpacing w:val="0"/>
              <w:rPr>
                <w:rFonts w:eastAsia="Times New Roman"/>
              </w:rPr>
            </w:pPr>
            <w:r w:rsidRPr="00073574">
              <w:t>Session on "Smart Sustainable Cities &amp; Communities", 5 September 2019, Addis Ababa, Ethiopia</w:t>
            </w:r>
          </w:p>
          <w:p w14:paraId="26A3C342" w14:textId="04741D11" w:rsidR="005E0B71" w:rsidRPr="00073574" w:rsidRDefault="2D305F1F" w:rsidP="00B27BA8">
            <w:pPr>
              <w:pStyle w:val="ListParagraph"/>
              <w:widowControl w:val="0"/>
              <w:numPr>
                <w:ilvl w:val="0"/>
                <w:numId w:val="9"/>
              </w:numPr>
              <w:contextualSpacing w:val="0"/>
              <w:rPr>
                <w:rFonts w:eastAsia="Times New Roman"/>
              </w:rPr>
            </w:pPr>
            <w:r w:rsidRPr="00073574">
              <w:t>1st Digital African Week:</w:t>
            </w:r>
          </w:p>
          <w:p w14:paraId="4DBF478D" w14:textId="32271459" w:rsidR="005E0B71" w:rsidRPr="00073574" w:rsidRDefault="2D305F1F" w:rsidP="00B27BA8">
            <w:pPr>
              <w:pStyle w:val="ListParagraph"/>
              <w:widowControl w:val="0"/>
              <w:numPr>
                <w:ilvl w:val="0"/>
                <w:numId w:val="9"/>
              </w:numPr>
              <w:contextualSpacing w:val="0"/>
              <w:rPr>
                <w:rFonts w:eastAsia="Times New Roman"/>
              </w:rPr>
            </w:pPr>
            <w:r w:rsidRPr="00073574">
              <w:t>ITU Forum on "Smart Sustainable Africa", 28 August 2019, Abuja, Nigeria</w:t>
            </w:r>
          </w:p>
          <w:p w14:paraId="6D1791C3" w14:textId="64D0669E" w:rsidR="005E0B71" w:rsidRPr="00073574" w:rsidRDefault="2D305F1F" w:rsidP="00B27BA8">
            <w:pPr>
              <w:pStyle w:val="ListParagraph"/>
              <w:widowControl w:val="0"/>
              <w:numPr>
                <w:ilvl w:val="0"/>
                <w:numId w:val="9"/>
              </w:numPr>
              <w:contextualSpacing w:val="0"/>
              <w:rPr>
                <w:rFonts w:eastAsia="Times New Roman"/>
              </w:rPr>
            </w:pPr>
            <w:r w:rsidRPr="00073574">
              <w:t>1st Digital African Week: Training on "Smart Sustainable Cities, Products and Services", 27 August 2019, Abuja, Nigeria</w:t>
            </w:r>
          </w:p>
          <w:p w14:paraId="59C2C66D" w14:textId="697B388C" w:rsidR="005E0B71" w:rsidRPr="00073574" w:rsidRDefault="2D305F1F" w:rsidP="00B27BA8">
            <w:pPr>
              <w:pStyle w:val="ListParagraph"/>
              <w:widowControl w:val="0"/>
              <w:numPr>
                <w:ilvl w:val="0"/>
                <w:numId w:val="9"/>
              </w:numPr>
              <w:contextualSpacing w:val="0"/>
              <w:rPr>
                <w:rFonts w:eastAsia="Times New Roman"/>
              </w:rPr>
            </w:pPr>
            <w:r w:rsidRPr="00073574">
              <w:t>Fourth ITU Workshop on Data Processing and Management for IoT and Smart Cities &amp; Communities, Geneva, 19 July 2019</w:t>
            </w:r>
          </w:p>
          <w:p w14:paraId="71407431" w14:textId="32E90767" w:rsidR="005E0B71" w:rsidRPr="00073574" w:rsidRDefault="2D305F1F" w:rsidP="00B27BA8">
            <w:pPr>
              <w:pStyle w:val="ListParagraph"/>
              <w:widowControl w:val="0"/>
              <w:numPr>
                <w:ilvl w:val="0"/>
                <w:numId w:val="9"/>
              </w:numPr>
              <w:contextualSpacing w:val="0"/>
              <w:rPr>
                <w:rFonts w:eastAsia="Times New Roman"/>
              </w:rPr>
            </w:pPr>
            <w:r w:rsidRPr="00073574">
              <w:t>IoT Week, 11-21 June 2019, Aarhus, Denmark</w:t>
            </w:r>
          </w:p>
          <w:p w14:paraId="5D3C2477" w14:textId="6589E448" w:rsidR="005E0B71" w:rsidRPr="00073574" w:rsidRDefault="2D305F1F" w:rsidP="00B27BA8">
            <w:pPr>
              <w:pStyle w:val="ListParagraph"/>
              <w:widowControl w:val="0"/>
              <w:numPr>
                <w:ilvl w:val="0"/>
                <w:numId w:val="9"/>
              </w:numPr>
              <w:contextualSpacing w:val="0"/>
              <w:rPr>
                <w:rFonts w:eastAsia="Times New Roman"/>
              </w:rPr>
            </w:pPr>
            <w:r w:rsidRPr="00073574">
              <w:t>Thematic Workshop on En-gendering the smart city, 11 April 2019 (13h15 - 14h00), Room C2, ITU headquarters, Geneva, Switzerland</w:t>
            </w:r>
          </w:p>
          <w:p w14:paraId="4DD7CABC" w14:textId="350B979A" w:rsidR="005E0B71" w:rsidRPr="00073574" w:rsidRDefault="2D305F1F" w:rsidP="00B27BA8">
            <w:pPr>
              <w:pStyle w:val="ListParagraph"/>
              <w:widowControl w:val="0"/>
              <w:numPr>
                <w:ilvl w:val="0"/>
                <w:numId w:val="9"/>
              </w:numPr>
              <w:contextualSpacing w:val="0"/>
              <w:rPr>
                <w:rFonts w:eastAsia="Times New Roman"/>
              </w:rPr>
            </w:pPr>
            <w:r w:rsidRPr="00073574">
              <w:t>Thematic Workshop on United for Smart Sustainable Cities: Blockchain for Cities, 11 April 2019 (09h00 - 10h45), Room K1, ITU headquarters, Geneva, Switzerland</w:t>
            </w:r>
          </w:p>
          <w:p w14:paraId="77647530" w14:textId="2166C3F1" w:rsidR="005E0B71" w:rsidRPr="00073574" w:rsidRDefault="2D305F1F" w:rsidP="00B27BA8">
            <w:pPr>
              <w:pStyle w:val="ListParagraph"/>
              <w:widowControl w:val="0"/>
              <w:numPr>
                <w:ilvl w:val="0"/>
                <w:numId w:val="9"/>
              </w:numPr>
              <w:contextualSpacing w:val="0"/>
              <w:rPr>
                <w:rFonts w:eastAsia="Times New Roman"/>
              </w:rPr>
            </w:pPr>
            <w:r w:rsidRPr="00073574">
              <w:t>Vienna Cybersecurity Week - Session on Connecting Smart Sustainable Cities with the Sustainable Development Goals, 12 March 2019 (16h30 - 18h00), Vienna, Austria</w:t>
            </w:r>
          </w:p>
          <w:p w14:paraId="0C545284" w14:textId="5923914C" w:rsidR="005E0B71" w:rsidRPr="00073574" w:rsidRDefault="2D305F1F" w:rsidP="00B27BA8">
            <w:pPr>
              <w:pStyle w:val="ListParagraph"/>
              <w:widowControl w:val="0"/>
              <w:numPr>
                <w:ilvl w:val="0"/>
                <w:numId w:val="9"/>
              </w:numPr>
              <w:contextualSpacing w:val="0"/>
              <w:rPr>
                <w:rFonts w:eastAsia="Times New Roman"/>
              </w:rPr>
            </w:pPr>
            <w:r w:rsidRPr="00073574">
              <w:t>ITU Training on Key performance indicators for smart sustainable cities to achieve the SDGs, 27 February 2019 (11h30- 16h00), Minsk, Belarus</w:t>
            </w:r>
          </w:p>
          <w:p w14:paraId="37ED37D4" w14:textId="2B358E2F" w:rsidR="005E0B71" w:rsidRPr="00073574" w:rsidRDefault="2D305F1F" w:rsidP="00B27BA8">
            <w:pPr>
              <w:pStyle w:val="ListParagraph"/>
              <w:widowControl w:val="0"/>
              <w:numPr>
                <w:ilvl w:val="0"/>
                <w:numId w:val="9"/>
              </w:numPr>
              <w:contextualSpacing w:val="0"/>
              <w:rPr>
                <w:rFonts w:eastAsia="Times New Roman"/>
              </w:rPr>
            </w:pPr>
            <w:r w:rsidRPr="00073574">
              <w:lastRenderedPageBreak/>
              <w:t>ITU-UN-Habitat-UNDP Forum on Smart sustainable cities: technological trends, success stories and future prospects, 26-27 February 2019, Minsk, Belarus</w:t>
            </w:r>
          </w:p>
          <w:p w14:paraId="4494A50D" w14:textId="2F98B397" w:rsidR="005E0B71" w:rsidRPr="00073574" w:rsidRDefault="2D305F1F" w:rsidP="00B27BA8">
            <w:pPr>
              <w:pStyle w:val="ListParagraph"/>
              <w:widowControl w:val="0"/>
              <w:numPr>
                <w:ilvl w:val="0"/>
                <w:numId w:val="9"/>
              </w:numPr>
              <w:contextualSpacing w:val="0"/>
              <w:rPr>
                <w:rFonts w:eastAsia="Times New Roman"/>
              </w:rPr>
            </w:pPr>
            <w:r w:rsidRPr="00073574">
              <w:t>Third ITU Workshop on Data Processing and Management for IoT and Smart Cities &amp; Communities, Bundang, Seoul Korea (Rep. of), 14 January 2019</w:t>
            </w:r>
            <w:r w:rsidR="001357A8" w:rsidRPr="00073574">
              <w:t>.</w:t>
            </w:r>
          </w:p>
          <w:p w14:paraId="7FD8B004" w14:textId="49B22913" w:rsidR="005E0B71" w:rsidRPr="00073574" w:rsidRDefault="2D305F1F" w:rsidP="00B27BA8">
            <w:pPr>
              <w:widowControl w:val="0"/>
              <w:rPr>
                <w:rFonts w:eastAsia="Times New Roman"/>
                <w:szCs w:val="22"/>
              </w:rPr>
            </w:pPr>
            <w:r w:rsidRPr="00073574">
              <w:rPr>
                <w:rFonts w:eastAsia="Times New Roman"/>
              </w:rPr>
              <w:t>2018</w:t>
            </w:r>
          </w:p>
          <w:p w14:paraId="16D7A6A4" w14:textId="674F2E3E" w:rsidR="005E0B71" w:rsidRPr="00073574" w:rsidRDefault="2D305F1F" w:rsidP="00B27BA8">
            <w:pPr>
              <w:pStyle w:val="ListParagraph"/>
              <w:widowControl w:val="0"/>
              <w:numPr>
                <w:ilvl w:val="0"/>
                <w:numId w:val="9"/>
              </w:numPr>
              <w:contextualSpacing w:val="0"/>
              <w:rPr>
                <w:rFonts w:eastAsia="Times New Roman"/>
              </w:rPr>
            </w:pPr>
            <w:r w:rsidRPr="00073574">
              <w:t>ITU Forum on Artificial Intelligence, Internet of Things and Smart Cities, 3 December 2018, Wuxi, China</w:t>
            </w:r>
          </w:p>
          <w:p w14:paraId="0CB0E9BE" w14:textId="0F2F26E6" w:rsidR="005E0B71" w:rsidRPr="00073574" w:rsidRDefault="2D305F1F" w:rsidP="00B27BA8">
            <w:pPr>
              <w:pStyle w:val="ListParagraph"/>
              <w:widowControl w:val="0"/>
              <w:numPr>
                <w:ilvl w:val="0"/>
                <w:numId w:val="9"/>
              </w:numPr>
              <w:contextualSpacing w:val="0"/>
              <w:rPr>
                <w:rFonts w:eastAsia="Times New Roman"/>
              </w:rPr>
            </w:pPr>
            <w:r w:rsidRPr="00073574">
              <w:t>World Smart City Forum, 29 November 2018, Santa Fe, Argentina</w:t>
            </w:r>
          </w:p>
          <w:p w14:paraId="664A0EF8" w14:textId="357B6E7E" w:rsidR="005E0B71" w:rsidRPr="00073574" w:rsidRDefault="2D305F1F" w:rsidP="00B27BA8">
            <w:pPr>
              <w:pStyle w:val="ListParagraph"/>
              <w:widowControl w:val="0"/>
              <w:numPr>
                <w:ilvl w:val="0"/>
                <w:numId w:val="9"/>
              </w:numPr>
              <w:contextualSpacing w:val="0"/>
              <w:rPr>
                <w:rFonts w:eastAsia="Times New Roman"/>
              </w:rPr>
            </w:pPr>
            <w:r w:rsidRPr="00073574">
              <w:t>Second ITU Workshop on Data Processing and Management for IoT and Smart Cities &amp; Communities, 17 September 2018, Tunis, Tunisia</w:t>
            </w:r>
          </w:p>
          <w:p w14:paraId="2D3C526B" w14:textId="60EF549F" w:rsidR="005E0B71" w:rsidRPr="00073574" w:rsidRDefault="2D305F1F" w:rsidP="00B27BA8">
            <w:pPr>
              <w:pStyle w:val="ListParagraph"/>
              <w:widowControl w:val="0"/>
              <w:numPr>
                <w:ilvl w:val="0"/>
                <w:numId w:val="9"/>
              </w:numPr>
              <w:contextualSpacing w:val="0"/>
              <w:rPr>
                <w:rFonts w:eastAsia="Times New Roman"/>
              </w:rPr>
            </w:pPr>
            <w:r w:rsidRPr="00073574">
              <w:t>Shaping smarter and more sustainable cities: Striving for Sustainable Development Goals, 12 July 2018, New York, United States</w:t>
            </w:r>
          </w:p>
          <w:p w14:paraId="0CCC3479" w14:textId="498CB2F5" w:rsidR="005E0B71" w:rsidRPr="00073574" w:rsidRDefault="2D305F1F" w:rsidP="00B27BA8">
            <w:pPr>
              <w:pStyle w:val="ListParagraph"/>
              <w:widowControl w:val="0"/>
              <w:numPr>
                <w:ilvl w:val="0"/>
                <w:numId w:val="9"/>
              </w:numPr>
              <w:contextualSpacing w:val="0"/>
              <w:rPr>
                <w:rFonts w:eastAsia="Times New Roman"/>
              </w:rPr>
            </w:pPr>
            <w:r w:rsidRPr="00073574">
              <w:t>The 4th Asia-Pacific Regional Forum on Smart Sustainable Cities and e-Government 2018, 4-6 July 2018, Thanh Hoa city, Viet Nam</w:t>
            </w:r>
          </w:p>
          <w:p w14:paraId="5953F266" w14:textId="4A266011" w:rsidR="005E0B71" w:rsidRPr="00073574" w:rsidRDefault="2D305F1F" w:rsidP="00B27BA8">
            <w:pPr>
              <w:pStyle w:val="ListParagraph"/>
              <w:widowControl w:val="0"/>
              <w:numPr>
                <w:ilvl w:val="0"/>
                <w:numId w:val="9"/>
              </w:numPr>
              <w:contextualSpacing w:val="0"/>
              <w:rPr>
                <w:rFonts w:eastAsia="Times New Roman"/>
              </w:rPr>
            </w:pPr>
            <w:r w:rsidRPr="00073574">
              <w:t>IoT Week 2018, 4-7 June 2018, Bilbao, Spain</w:t>
            </w:r>
          </w:p>
          <w:p w14:paraId="53EF40F7" w14:textId="4EAD230D" w:rsidR="005E0B71" w:rsidRPr="00073574" w:rsidRDefault="2D305F1F" w:rsidP="00B27BA8">
            <w:pPr>
              <w:pStyle w:val="ListParagraph"/>
              <w:widowControl w:val="0"/>
              <w:numPr>
                <w:ilvl w:val="0"/>
                <w:numId w:val="9"/>
              </w:numPr>
              <w:contextualSpacing w:val="0"/>
              <w:rPr>
                <w:rFonts w:eastAsia="Times New Roman"/>
              </w:rPr>
            </w:pPr>
            <w:r w:rsidRPr="00073574">
              <w:t>ITU Regional Forum on “Internet of Things, Telecommunication Networks and Big Data as Basic Infrastructure for Digital Economy”, 4-6 June 2018 (AM only), St. Petersburg, Russian Federation</w:t>
            </w:r>
          </w:p>
          <w:p w14:paraId="5FA3C6D3" w14:textId="5806F6DB" w:rsidR="005E0B71" w:rsidRPr="00073574" w:rsidRDefault="2D305F1F" w:rsidP="00B27BA8">
            <w:pPr>
              <w:pStyle w:val="ListParagraph"/>
              <w:widowControl w:val="0"/>
              <w:numPr>
                <w:ilvl w:val="0"/>
                <w:numId w:val="9"/>
              </w:numPr>
              <w:contextualSpacing w:val="0"/>
              <w:rPr>
                <w:rFonts w:eastAsia="Times New Roman"/>
              </w:rPr>
            </w:pPr>
            <w:r w:rsidRPr="00073574">
              <w:t>Information Session on "Exploring the Role of Small Medium Enterprises (SMEs) in Linking AI and IoT in Smart Cities", 30 May 2018 (9:30 to 11:30 a.m.), Buenos Aires, Argentina</w:t>
            </w:r>
          </w:p>
          <w:p w14:paraId="12940F0F" w14:textId="75A6D73C" w:rsidR="005E0B71" w:rsidRPr="00073574" w:rsidRDefault="2D305F1F" w:rsidP="00B27BA8">
            <w:pPr>
              <w:pStyle w:val="ListParagraph"/>
              <w:widowControl w:val="0"/>
              <w:numPr>
                <w:ilvl w:val="0"/>
                <w:numId w:val="9"/>
              </w:numPr>
              <w:contextualSpacing w:val="0"/>
              <w:rPr>
                <w:rFonts w:eastAsia="Times New Roman"/>
              </w:rPr>
            </w:pPr>
            <w:r w:rsidRPr="00073574">
              <w:t>1st Forum on Artificial Intelligence and the Internet of Things in Smart Sustainable Cities in Latin America, 29-30 May 2018, Buenos Aires, Argentina</w:t>
            </w:r>
          </w:p>
          <w:p w14:paraId="37C019E3" w14:textId="7A28A54F" w:rsidR="005E0B71" w:rsidRPr="00073574" w:rsidRDefault="2D305F1F" w:rsidP="00B27BA8">
            <w:pPr>
              <w:pStyle w:val="ListParagraph"/>
              <w:widowControl w:val="0"/>
              <w:numPr>
                <w:ilvl w:val="0"/>
                <w:numId w:val="9"/>
              </w:numPr>
              <w:contextualSpacing w:val="0"/>
              <w:rPr>
                <w:rFonts w:eastAsia="Times New Roman"/>
              </w:rPr>
            </w:pPr>
            <w:r w:rsidRPr="00073574">
              <w:t>Forum on Artificial Intelligence and Internet of Things in the development of Smart Sustainable Cities, 11 April 2018, Zanzibar, Tanzania</w:t>
            </w:r>
          </w:p>
          <w:p w14:paraId="573EFE95" w14:textId="49BB9E68" w:rsidR="005E0B71" w:rsidRPr="00073574" w:rsidRDefault="2D305F1F" w:rsidP="00B27BA8">
            <w:pPr>
              <w:pStyle w:val="ListParagraph"/>
              <w:widowControl w:val="0"/>
              <w:numPr>
                <w:ilvl w:val="0"/>
                <w:numId w:val="9"/>
              </w:numPr>
              <w:contextualSpacing w:val="0"/>
              <w:rPr>
                <w:rFonts w:eastAsia="Times New Roman"/>
              </w:rPr>
            </w:pPr>
            <w:r w:rsidRPr="00073574">
              <w:t>Forum on Exploring the Potential of Artificial Intelligence and Internet of Things, 6 May 2018, Cairo, Egypt</w:t>
            </w:r>
          </w:p>
          <w:p w14:paraId="295F2718" w14:textId="31E1512A" w:rsidR="005E0B71" w:rsidRPr="00073574" w:rsidRDefault="2D305F1F" w:rsidP="00B27BA8">
            <w:pPr>
              <w:pStyle w:val="ListParagraph"/>
              <w:widowControl w:val="0"/>
              <w:numPr>
                <w:ilvl w:val="0"/>
                <w:numId w:val="9"/>
              </w:numPr>
              <w:contextualSpacing w:val="0"/>
              <w:rPr>
                <w:rFonts w:eastAsia="Times New Roman"/>
              </w:rPr>
            </w:pPr>
            <w:r w:rsidRPr="00073574">
              <w:t>Bridging the Standardization Gap Session on Internet of Things (IoT), 6 May 2018, Cairo, Egypt</w:t>
            </w:r>
          </w:p>
          <w:p w14:paraId="4E73B9A0" w14:textId="5C228771" w:rsidR="005E0B71" w:rsidRPr="00073574" w:rsidRDefault="2D305F1F" w:rsidP="00B27BA8">
            <w:pPr>
              <w:pStyle w:val="ListParagraph"/>
              <w:widowControl w:val="0"/>
              <w:numPr>
                <w:ilvl w:val="0"/>
                <w:numId w:val="9"/>
              </w:numPr>
              <w:contextualSpacing w:val="0"/>
              <w:rPr>
                <w:rFonts w:eastAsia="Times New Roman"/>
              </w:rPr>
            </w:pPr>
            <w:r w:rsidRPr="00073574">
              <w:t>1st ITU Workshop on Data Processing and Management for IoT and Smart Cities &amp; Communities, 19 February 2018, Brussels, Belgium</w:t>
            </w:r>
            <w:r w:rsidR="00917A19" w:rsidRPr="00073574">
              <w:t>.</w:t>
            </w:r>
          </w:p>
          <w:p w14:paraId="4F3B1B17" w14:textId="29D39CF9" w:rsidR="005E0B71" w:rsidRPr="00073574" w:rsidRDefault="2D305F1F" w:rsidP="00B27BA8">
            <w:pPr>
              <w:widowControl w:val="0"/>
              <w:rPr>
                <w:rFonts w:eastAsia="Times New Roman"/>
                <w:szCs w:val="22"/>
              </w:rPr>
            </w:pPr>
            <w:r w:rsidRPr="00073574">
              <w:rPr>
                <w:rFonts w:eastAsia="Times New Roman"/>
              </w:rPr>
              <w:t>2017</w:t>
            </w:r>
          </w:p>
          <w:p w14:paraId="37CA71FD" w14:textId="55CE648F" w:rsidR="005E0B71" w:rsidRPr="00073574" w:rsidRDefault="2D305F1F" w:rsidP="00B27BA8">
            <w:pPr>
              <w:pStyle w:val="ListParagraph"/>
              <w:widowControl w:val="0"/>
              <w:numPr>
                <w:ilvl w:val="0"/>
                <w:numId w:val="9"/>
              </w:numPr>
              <w:contextualSpacing w:val="0"/>
              <w:rPr>
                <w:rFonts w:eastAsia="Times New Roman"/>
              </w:rPr>
            </w:pPr>
            <w:r w:rsidRPr="00073574">
              <w:t>World Smart City Forum, 15 November 2017, Barcelona, Spain</w:t>
            </w:r>
          </w:p>
          <w:p w14:paraId="45C8227D" w14:textId="0356F0CD" w:rsidR="005E0B71" w:rsidRPr="00073574" w:rsidRDefault="2D305F1F" w:rsidP="00B27BA8">
            <w:pPr>
              <w:pStyle w:val="ListParagraph"/>
              <w:widowControl w:val="0"/>
              <w:numPr>
                <w:ilvl w:val="0"/>
                <w:numId w:val="9"/>
              </w:numPr>
              <w:contextualSpacing w:val="0"/>
              <w:rPr>
                <w:rFonts w:eastAsia="Times New Roman"/>
              </w:rPr>
            </w:pPr>
            <w:r w:rsidRPr="00073574">
              <w:t xml:space="preserve"> IoT Week 2017, 6-9 June 2017, Geneva, Switzerland</w:t>
            </w:r>
          </w:p>
          <w:p w14:paraId="7F90B15A" w14:textId="0D4F78B4" w:rsidR="005E0B71" w:rsidRPr="00073574" w:rsidRDefault="2D305F1F" w:rsidP="00B27BA8">
            <w:pPr>
              <w:pStyle w:val="ListParagraph"/>
              <w:widowControl w:val="0"/>
              <w:numPr>
                <w:ilvl w:val="0"/>
                <w:numId w:val="9"/>
              </w:numPr>
              <w:contextualSpacing w:val="0"/>
              <w:rPr>
                <w:rFonts w:eastAsia="Times New Roman"/>
              </w:rPr>
            </w:pPr>
            <w:r w:rsidRPr="00073574">
              <w:t xml:space="preserve"> Workshop on Smart Sustainable Cities, 1-2 June 2017, Samarkand, Uzbekistan</w:t>
            </w:r>
          </w:p>
          <w:p w14:paraId="3357334B" w14:textId="12E8016A" w:rsidR="005E0B71" w:rsidRPr="00073574" w:rsidRDefault="2D305F1F" w:rsidP="00B27BA8">
            <w:pPr>
              <w:pStyle w:val="ListParagraph"/>
              <w:widowControl w:val="0"/>
              <w:numPr>
                <w:ilvl w:val="0"/>
                <w:numId w:val="9"/>
              </w:numPr>
              <w:contextualSpacing w:val="0"/>
              <w:rPr>
                <w:rFonts w:eastAsia="Times New Roman"/>
              </w:rPr>
            </w:pPr>
            <w:r w:rsidRPr="00073574">
              <w:t xml:space="preserve"> XVIII Ibero-American Meeting of Digital Cities, 3 April 2017, Manizales, Colombia</w:t>
            </w:r>
          </w:p>
          <w:p w14:paraId="235E953E" w14:textId="44482442" w:rsidR="005E0B71" w:rsidRPr="00073574" w:rsidRDefault="2D305F1F" w:rsidP="00B27BA8">
            <w:pPr>
              <w:pStyle w:val="ListParagraph"/>
              <w:widowControl w:val="0"/>
              <w:numPr>
                <w:ilvl w:val="0"/>
                <w:numId w:val="9"/>
              </w:numPr>
              <w:contextualSpacing w:val="0"/>
              <w:rPr>
                <w:rFonts w:eastAsia="Times New Roman"/>
              </w:rPr>
            </w:pPr>
            <w:r w:rsidRPr="00073574">
              <w:t>Special session on Smart Sustainable Manizales, 4 April 2017 (14:00 - 15:00), Manizales, Colombia</w:t>
            </w:r>
          </w:p>
          <w:p w14:paraId="169D6FA5" w14:textId="102E6A65" w:rsidR="005E0B71" w:rsidRPr="00073574" w:rsidRDefault="2D305F1F" w:rsidP="00B27BA8">
            <w:pPr>
              <w:pStyle w:val="ListParagraph"/>
              <w:widowControl w:val="0"/>
              <w:numPr>
                <w:ilvl w:val="0"/>
                <w:numId w:val="9"/>
              </w:numPr>
              <w:contextualSpacing w:val="0"/>
              <w:rPr>
                <w:rStyle w:val="Hyperlink"/>
                <w:rFonts w:eastAsia="Times New Roman"/>
                <w:color w:val="auto"/>
              </w:rPr>
            </w:pPr>
            <w:r w:rsidRPr="00073574">
              <w:t>First Forum on "Data Management: Transforming Data Into Value", 12 March 2017, Dubai, UAE</w:t>
            </w:r>
            <w:r w:rsidR="001357A8" w:rsidRPr="00073574">
              <w:t>.</w:t>
            </w:r>
          </w:p>
          <w:p w14:paraId="492211EB" w14:textId="691C1AA8" w:rsidR="005E0B71" w:rsidRPr="00073574" w:rsidRDefault="2D305F1F" w:rsidP="00B27BA8">
            <w:pPr>
              <w:widowControl w:val="0"/>
              <w:rPr>
                <w:rStyle w:val="Hyperlink"/>
                <w:rFonts w:eastAsia="Times New Roman"/>
                <w:szCs w:val="22"/>
              </w:rPr>
            </w:pPr>
            <w:r w:rsidRPr="00073574">
              <w:rPr>
                <w:rFonts w:eastAsia="Times New Roman"/>
              </w:rPr>
              <w:t xml:space="preserve">Other events can be found at: </w:t>
            </w:r>
            <w:hyperlink r:id="rId896" w:history="1">
              <w:r w:rsidRPr="00073574">
                <w:rPr>
                  <w:rStyle w:val="Hyperlink"/>
                  <w:rFonts w:eastAsia="Times New Roman"/>
                </w:rPr>
                <w:t>https://www.itu.int/en/ITU-T/climatechange/Pages/events.aspx</w:t>
              </w:r>
            </w:hyperlink>
          </w:p>
        </w:tc>
      </w:tr>
      <w:tr w:rsidR="005E0B71" w:rsidRPr="00073574" w14:paraId="132B25BE" w14:textId="77777777" w:rsidTr="7277BFE4">
        <w:tc>
          <w:tcPr>
            <w:tcW w:w="1130" w:type="dxa"/>
            <w:vMerge w:val="restart"/>
            <w:tcBorders>
              <w:top w:val="single" w:sz="12" w:space="0" w:color="auto"/>
            </w:tcBorders>
            <w:shd w:val="clear" w:color="auto" w:fill="auto"/>
          </w:tcPr>
          <w:p w14:paraId="5DC82186" w14:textId="083D25C3" w:rsidR="005E0B71" w:rsidRPr="00073574" w:rsidRDefault="005E0B71" w:rsidP="005E0B71">
            <w:pPr>
              <w:pStyle w:val="Tabletext"/>
              <w:rPr>
                <w:b/>
                <w:bCs/>
                <w:sz w:val="24"/>
                <w:szCs w:val="24"/>
              </w:rPr>
            </w:pPr>
            <w:r w:rsidRPr="00073574">
              <w:rPr>
                <w:b/>
                <w:bCs/>
                <w:sz w:val="24"/>
                <w:szCs w:val="24"/>
              </w:rPr>
              <w:lastRenderedPageBreak/>
              <w:t>98-06</w:t>
            </w:r>
          </w:p>
        </w:tc>
        <w:tc>
          <w:tcPr>
            <w:tcW w:w="4988" w:type="dxa"/>
            <w:tcBorders>
              <w:top w:val="single" w:sz="12" w:space="0" w:color="auto"/>
              <w:bottom w:val="single" w:sz="4" w:space="0" w:color="auto"/>
            </w:tcBorders>
            <w:shd w:val="clear" w:color="auto" w:fill="auto"/>
          </w:tcPr>
          <w:p w14:paraId="61BAF0B0" w14:textId="354CEF58" w:rsidR="005E0B71" w:rsidRPr="00073574" w:rsidRDefault="005E0B71" w:rsidP="005E0B71">
            <w:pPr>
              <w:pStyle w:val="Tabletext"/>
              <w:rPr>
                <w:b/>
                <w:bCs/>
                <w:sz w:val="24"/>
                <w:szCs w:val="24"/>
              </w:rPr>
            </w:pPr>
            <w:r w:rsidRPr="00073574">
              <w:rPr>
                <w:b/>
                <w:bCs/>
                <w:sz w:val="24"/>
                <w:szCs w:val="24"/>
              </w:rPr>
              <w:t>TSB Director to carry out, in collaboration with Member States and cities, pilot projects in cities related to SC&amp;C key performance indicator (KPI) assessment activities, aimed at facilitating the deployment and implementation of IoT and SC&amp;C standards worldwide (i. TSBDir 2)</w:t>
            </w:r>
          </w:p>
        </w:tc>
        <w:tc>
          <w:tcPr>
            <w:tcW w:w="1335" w:type="dxa"/>
            <w:tcBorders>
              <w:top w:val="single" w:sz="12" w:space="0" w:color="auto"/>
              <w:bottom w:val="single" w:sz="4" w:space="0" w:color="auto"/>
            </w:tcBorders>
            <w:shd w:val="clear" w:color="auto" w:fill="auto"/>
            <w:vAlign w:val="center"/>
          </w:tcPr>
          <w:p w14:paraId="5BB07610" w14:textId="6386C8A6" w:rsidR="005E0B71" w:rsidRPr="00073574" w:rsidRDefault="005E0B71" w:rsidP="005E0B71">
            <w:pPr>
              <w:pStyle w:val="Tabletext"/>
              <w:jc w:val="center"/>
              <w:rPr>
                <w:b/>
                <w:bCs/>
                <w:sz w:val="24"/>
                <w:szCs w:val="24"/>
              </w:rPr>
            </w:pPr>
            <w:r w:rsidRPr="00073574">
              <w:rPr>
                <w:b/>
                <w:bCs/>
                <w:sz w:val="24"/>
                <w:szCs w:val="24"/>
              </w:rPr>
              <w:t>Ongoing</w:t>
            </w:r>
          </w:p>
        </w:tc>
        <w:tc>
          <w:tcPr>
            <w:tcW w:w="1143" w:type="dxa"/>
            <w:tcBorders>
              <w:top w:val="single" w:sz="12" w:space="0" w:color="auto"/>
              <w:bottom w:val="single" w:sz="4" w:space="0" w:color="auto"/>
            </w:tcBorders>
            <w:shd w:val="clear" w:color="auto" w:fill="auto"/>
            <w:vAlign w:val="center"/>
          </w:tcPr>
          <w:p w14:paraId="1BAE33C2" w14:textId="44CC85A9" w:rsidR="005E0B71" w:rsidRPr="00073574" w:rsidRDefault="005E0B71" w:rsidP="005E0B71">
            <w:pPr>
              <w:pStyle w:val="Tabletext"/>
              <w:jc w:val="center"/>
              <w:rPr>
                <w:b/>
                <w:bCs/>
                <w:sz w:val="24"/>
                <w:szCs w:val="24"/>
              </w:rPr>
            </w:pPr>
            <w:r w:rsidRPr="00073574">
              <w:rPr>
                <w:b/>
                <w:bCs/>
                <w:sz w:val="24"/>
                <w:szCs w:val="24"/>
              </w:rPr>
              <w:t>√</w:t>
            </w:r>
          </w:p>
        </w:tc>
        <w:tc>
          <w:tcPr>
            <w:tcW w:w="1336" w:type="dxa"/>
            <w:tcBorders>
              <w:top w:val="single" w:sz="12" w:space="0" w:color="auto"/>
              <w:bottom w:val="single" w:sz="4" w:space="0" w:color="auto"/>
            </w:tcBorders>
            <w:shd w:val="clear" w:color="auto" w:fill="auto"/>
            <w:vAlign w:val="center"/>
          </w:tcPr>
          <w:p w14:paraId="05045B31" w14:textId="77777777" w:rsidR="005E0B71" w:rsidRPr="00073574" w:rsidRDefault="005E0B71" w:rsidP="005E0B71">
            <w:pPr>
              <w:pStyle w:val="Tabletext"/>
              <w:jc w:val="center"/>
              <w:rPr>
                <w:b/>
                <w:bCs/>
                <w:sz w:val="24"/>
                <w:szCs w:val="24"/>
              </w:rPr>
            </w:pPr>
          </w:p>
        </w:tc>
      </w:tr>
      <w:tr w:rsidR="005E0B71" w:rsidRPr="00073574" w14:paraId="57AD2629" w14:textId="77777777" w:rsidTr="7277BFE4">
        <w:tc>
          <w:tcPr>
            <w:tcW w:w="1130" w:type="dxa"/>
            <w:vMerge/>
          </w:tcPr>
          <w:p w14:paraId="7953B3AD" w14:textId="77777777" w:rsidR="005E0B71" w:rsidRPr="00073574" w:rsidRDefault="005E0B71" w:rsidP="005E0B71">
            <w:pPr>
              <w:pStyle w:val="Tabletext"/>
              <w:rPr>
                <w:sz w:val="24"/>
                <w:szCs w:val="24"/>
              </w:rPr>
            </w:pPr>
          </w:p>
        </w:tc>
        <w:tc>
          <w:tcPr>
            <w:tcW w:w="8802" w:type="dxa"/>
            <w:gridSpan w:val="4"/>
            <w:tcBorders>
              <w:top w:val="single" w:sz="4" w:space="0" w:color="auto"/>
              <w:bottom w:val="single" w:sz="12" w:space="0" w:color="auto"/>
            </w:tcBorders>
            <w:shd w:val="clear" w:color="auto" w:fill="auto"/>
          </w:tcPr>
          <w:p w14:paraId="2030A0AE" w14:textId="781A9AC5" w:rsidR="005E0B71" w:rsidRPr="00073574" w:rsidRDefault="15DF749D" w:rsidP="007C52F7">
            <w:pPr>
              <w:pStyle w:val="Tabletext"/>
            </w:pPr>
            <w:r w:rsidRPr="00073574">
              <w:t>A new standard (ITU-T L.1603/Y.4903) gives general guidance to cities and provides key performance indicators for smart sustainable cities to help cities achieve the Sustainable Development Goals (SDGs). This Recommendation was revised under the U4SSC initiative with the input of several cities and UN Agencies and programmes.</w:t>
            </w:r>
            <w:r w:rsidR="62A403A5" w:rsidRPr="00073574">
              <w:t xml:space="preserve"> </w:t>
            </w:r>
            <w:r w:rsidR="549AA76D" w:rsidRPr="00073574">
              <w:t>These KPIs were developed</w:t>
            </w:r>
            <w:r w:rsidR="1ACD026F" w:rsidRPr="00073574">
              <w:t xml:space="preserve"> to establish the criteria to evaluate ICT’s contributions in making cities smarter and more sustainable, and to provide cities with the means for self-assessments in order to achieve the sustainable development goals (SDGs). </w:t>
            </w:r>
            <w:r w:rsidR="62A403A5" w:rsidRPr="00073574">
              <w:t xml:space="preserve">Over </w:t>
            </w:r>
            <w:r w:rsidR="00BE32C8" w:rsidRPr="00073574">
              <w:t xml:space="preserve">150 </w:t>
            </w:r>
            <w:r w:rsidR="62A403A5" w:rsidRPr="00073574">
              <w:t xml:space="preserve">cities worldwide are already implementing these KPIs. The list of all the KPIs for SSC along with its collection methodology are contained in </w:t>
            </w:r>
            <w:hyperlink r:id="rId897">
              <w:r w:rsidR="62A403A5" w:rsidRPr="00073574">
                <w:rPr>
                  <w:rStyle w:val="Hyperlink"/>
                </w:rPr>
                <w:t>“Flipbook on Collection Methodology for Key Performance Indicators for Smart Sustainable Cities”</w:t>
              </w:r>
            </w:hyperlink>
            <w:r w:rsidR="0E45005A" w:rsidRPr="00073574">
              <w:t>.</w:t>
            </w:r>
          </w:p>
          <w:p w14:paraId="3D89E4C0" w14:textId="2FB0675C" w:rsidR="005E0B71" w:rsidRPr="00073574" w:rsidRDefault="22A80D2E" w:rsidP="7277BFE4">
            <w:pPr>
              <w:spacing w:line="257" w:lineRule="auto"/>
              <w:rPr>
                <w:rFonts w:eastAsia="Times New Roman"/>
              </w:rPr>
            </w:pPr>
            <w:r w:rsidRPr="00073574">
              <w:rPr>
                <w:rFonts w:eastAsia="Times New Roman"/>
              </w:rPr>
              <w:t xml:space="preserve">United for Smart Sustainable Cities Key Performance Indicators based on Recommendation ITU-T Y.4903/L.1603 “Key performance indicators for smart sustainable cities to assess the achievement of sustainable development goals" are being implemented </w:t>
            </w:r>
            <w:r w:rsidR="52C2D587" w:rsidRPr="00073574">
              <w:rPr>
                <w:rFonts w:eastAsia="Times New Roman"/>
              </w:rPr>
              <w:t>in over 1</w:t>
            </w:r>
            <w:r w:rsidR="008C3598" w:rsidRPr="00073574">
              <w:rPr>
                <w:rFonts w:eastAsia="Times New Roman"/>
              </w:rPr>
              <w:t>5</w:t>
            </w:r>
            <w:r w:rsidR="52C2D587" w:rsidRPr="00073574">
              <w:rPr>
                <w:rFonts w:eastAsia="Times New Roman"/>
              </w:rPr>
              <w:t xml:space="preserve">0 cities </w:t>
            </w:r>
            <w:r w:rsidRPr="00073574">
              <w:rPr>
                <w:rFonts w:eastAsia="Times New Roman"/>
              </w:rPr>
              <w:t>worldwide.</w:t>
            </w:r>
          </w:p>
          <w:p w14:paraId="02D7206F" w14:textId="5FB4638E" w:rsidR="005E0B71" w:rsidRPr="00073574" w:rsidRDefault="6CE194DB" w:rsidP="00366B4E">
            <w:pPr>
              <w:spacing w:line="257" w:lineRule="auto"/>
              <w:rPr>
                <w:rFonts w:eastAsia="Times New Roman"/>
                <w:szCs w:val="22"/>
              </w:rPr>
            </w:pPr>
            <w:r w:rsidRPr="00073574">
              <w:rPr>
                <w:rFonts w:eastAsia="Times New Roman"/>
              </w:rPr>
              <w:t>Case studies developed on U4SSC KPIs include:</w:t>
            </w:r>
          </w:p>
          <w:p w14:paraId="675D110F" w14:textId="40877159" w:rsidR="005E0B71" w:rsidRPr="00073574" w:rsidRDefault="6CE194DB" w:rsidP="00AC0A87">
            <w:pPr>
              <w:pStyle w:val="ListParagraph"/>
              <w:numPr>
                <w:ilvl w:val="0"/>
                <w:numId w:val="5"/>
              </w:numPr>
              <w:contextualSpacing w:val="0"/>
              <w:rPr>
                <w:rFonts w:eastAsia="Times New Roman"/>
              </w:rPr>
            </w:pPr>
            <w:r w:rsidRPr="00073574">
              <w:rPr>
                <w:rFonts w:eastAsia="Times New Roman"/>
              </w:rPr>
              <w:t xml:space="preserve">Implementing ITU-T International Standards to Shape Smart Sustainable Cities: The Case of Moscow </w:t>
            </w:r>
          </w:p>
          <w:p w14:paraId="7D4970B7" w14:textId="40877159" w:rsidR="005E0B71" w:rsidRPr="00073574" w:rsidRDefault="6CE194DB" w:rsidP="00AC0A87">
            <w:pPr>
              <w:pStyle w:val="ListParagraph"/>
              <w:numPr>
                <w:ilvl w:val="0"/>
                <w:numId w:val="5"/>
              </w:numPr>
              <w:contextualSpacing w:val="0"/>
              <w:rPr>
                <w:rFonts w:eastAsia="Times New Roman"/>
              </w:rPr>
            </w:pPr>
            <w:r w:rsidRPr="00073574">
              <w:rPr>
                <w:rFonts w:eastAsia="Times New Roman"/>
              </w:rPr>
              <w:t>Implementing ITU-T International Standards to Shape Smart Sustainable Cities: The Case of Singapore</w:t>
            </w:r>
          </w:p>
          <w:p w14:paraId="6B3C1DDA" w14:textId="33B2EB6B" w:rsidR="005E0B71" w:rsidRPr="00073574" w:rsidRDefault="6CE194DB" w:rsidP="00AC0A87">
            <w:pPr>
              <w:pStyle w:val="ListParagraph"/>
              <w:numPr>
                <w:ilvl w:val="0"/>
                <w:numId w:val="5"/>
              </w:numPr>
              <w:contextualSpacing w:val="0"/>
              <w:rPr>
                <w:rFonts w:eastAsia="Times New Roman"/>
              </w:rPr>
            </w:pPr>
            <w:r w:rsidRPr="00073574">
              <w:rPr>
                <w:rFonts w:eastAsia="Times New Roman"/>
              </w:rPr>
              <w:t>Implementing ITU-T International Standards to Shape Smart Sustainable Cities: The Case of Dubai</w:t>
            </w:r>
            <w:r w:rsidR="00917A19" w:rsidRPr="00073574">
              <w:rPr>
                <w:rFonts w:eastAsia="Times New Roman"/>
              </w:rPr>
              <w:t>.</w:t>
            </w:r>
          </w:p>
          <w:p w14:paraId="17547D0A" w14:textId="265C27A3" w:rsidR="005E0B71" w:rsidRPr="00073574" w:rsidRDefault="22A80D2E" w:rsidP="7277BFE4">
            <w:pPr>
              <w:rPr>
                <w:rFonts w:eastAsia="Times New Roman"/>
              </w:rPr>
            </w:pPr>
            <w:r w:rsidRPr="00073574">
              <w:rPr>
                <w:rFonts w:eastAsia="Times New Roman"/>
              </w:rPr>
              <w:t>City Snapshots developed on U4SSC KPIs include:</w:t>
            </w:r>
          </w:p>
          <w:p w14:paraId="0D1955BB" w14:textId="3D73FF18" w:rsidR="009F3857" w:rsidRPr="00073574" w:rsidRDefault="009F3857" w:rsidP="00AC0A87">
            <w:pPr>
              <w:pStyle w:val="ListParagraph"/>
              <w:numPr>
                <w:ilvl w:val="0"/>
                <w:numId w:val="5"/>
              </w:numPr>
              <w:contextualSpacing w:val="0"/>
              <w:rPr>
                <w:rFonts w:eastAsia="Times New Roman"/>
              </w:rPr>
            </w:pPr>
            <w:r w:rsidRPr="00073574">
              <w:rPr>
                <w:rFonts w:eastAsia="Times New Roman"/>
              </w:rPr>
              <w:t xml:space="preserve">Ålesund, </w:t>
            </w:r>
            <w:r w:rsidR="009A0ACB" w:rsidRPr="00073574">
              <w:rPr>
                <w:rFonts w:eastAsia="Times New Roman"/>
              </w:rPr>
              <w:t xml:space="preserve">Asker, </w:t>
            </w:r>
            <w:r w:rsidR="00794F20" w:rsidRPr="00073574">
              <w:rPr>
                <w:rFonts w:eastAsia="Times New Roman"/>
              </w:rPr>
              <w:t xml:space="preserve">Aukra, Aure, Averøy, </w:t>
            </w:r>
            <w:r w:rsidR="009A0ACB" w:rsidRPr="00073574">
              <w:rPr>
                <w:rFonts w:eastAsia="Times New Roman"/>
              </w:rPr>
              <w:t xml:space="preserve">Baerum, Bodo, </w:t>
            </w:r>
            <w:r w:rsidR="00794F20" w:rsidRPr="00073574">
              <w:rPr>
                <w:rFonts w:eastAsia="Times New Roman"/>
              </w:rPr>
              <w:t xml:space="preserve">Fjord, Gjemnes, </w:t>
            </w:r>
            <w:r w:rsidR="009A0ACB" w:rsidRPr="00073574">
              <w:rPr>
                <w:rFonts w:eastAsia="Times New Roman"/>
              </w:rPr>
              <w:t xml:space="preserve">Gjøvik, </w:t>
            </w:r>
            <w:r w:rsidR="00794F20" w:rsidRPr="00073574">
              <w:rPr>
                <w:rFonts w:eastAsia="Times New Roman"/>
              </w:rPr>
              <w:t xml:space="preserve">Hareid, </w:t>
            </w:r>
            <w:r w:rsidR="009A0ACB" w:rsidRPr="00073574">
              <w:rPr>
                <w:rFonts w:eastAsia="Times New Roman"/>
              </w:rPr>
              <w:t xml:space="preserve">Haugesund, </w:t>
            </w:r>
            <w:r w:rsidR="00794F20" w:rsidRPr="00073574">
              <w:rPr>
                <w:rFonts w:eastAsia="Times New Roman"/>
              </w:rPr>
              <w:t xml:space="preserve">Herøy, Hustadvika, </w:t>
            </w:r>
            <w:r w:rsidR="009A0ACB" w:rsidRPr="00073574">
              <w:rPr>
                <w:rFonts w:eastAsia="Times New Roman"/>
              </w:rPr>
              <w:t xml:space="preserve">Karmoy, </w:t>
            </w:r>
            <w:r w:rsidR="00F04875" w:rsidRPr="00073574">
              <w:rPr>
                <w:rFonts w:eastAsia="Times New Roman"/>
              </w:rPr>
              <w:t xml:space="preserve">Kristiansand, </w:t>
            </w:r>
            <w:r w:rsidR="009A0ACB" w:rsidRPr="00073574">
              <w:rPr>
                <w:rFonts w:eastAsia="Times New Roman"/>
              </w:rPr>
              <w:t xml:space="preserve">Kristiansund, Molde, </w:t>
            </w:r>
            <w:r w:rsidR="00794F20" w:rsidRPr="00073574">
              <w:rPr>
                <w:rFonts w:eastAsia="Times New Roman"/>
              </w:rPr>
              <w:t xml:space="preserve">Ørsta, </w:t>
            </w:r>
            <w:r w:rsidR="009A0ACB" w:rsidRPr="00073574">
              <w:rPr>
                <w:rFonts w:eastAsia="Times New Roman"/>
              </w:rPr>
              <w:t xml:space="preserve">Rana, </w:t>
            </w:r>
            <w:r w:rsidR="00794F20" w:rsidRPr="00073574">
              <w:rPr>
                <w:rFonts w:eastAsia="Times New Roman"/>
              </w:rPr>
              <w:t xml:space="preserve">Rauma, Sande, </w:t>
            </w:r>
            <w:r w:rsidR="0039686E" w:rsidRPr="00073574">
              <w:rPr>
                <w:rFonts w:eastAsia="Times New Roman"/>
              </w:rPr>
              <w:t xml:space="preserve">Smøla, </w:t>
            </w:r>
            <w:r w:rsidR="00794F20" w:rsidRPr="00073574">
              <w:rPr>
                <w:rFonts w:eastAsia="Times New Roman"/>
              </w:rPr>
              <w:t xml:space="preserve">Stavanger, Stranda, </w:t>
            </w:r>
            <w:r w:rsidR="0039686E" w:rsidRPr="00073574">
              <w:rPr>
                <w:rFonts w:eastAsia="Times New Roman"/>
              </w:rPr>
              <w:t xml:space="preserve">Sunndal, Surnadal, </w:t>
            </w:r>
            <w:r w:rsidR="00794F20" w:rsidRPr="00073574">
              <w:rPr>
                <w:rFonts w:eastAsia="Times New Roman"/>
              </w:rPr>
              <w:t xml:space="preserve">Sykkylven, </w:t>
            </w:r>
            <w:r w:rsidR="0039686E" w:rsidRPr="00073574">
              <w:rPr>
                <w:rFonts w:eastAsia="Times New Roman"/>
              </w:rPr>
              <w:t xml:space="preserve">Tingvoll, </w:t>
            </w:r>
            <w:r w:rsidR="009A0ACB" w:rsidRPr="00073574">
              <w:rPr>
                <w:rFonts w:eastAsia="Times New Roman"/>
              </w:rPr>
              <w:t>Trondheim</w:t>
            </w:r>
            <w:r w:rsidR="00794F20" w:rsidRPr="00073574">
              <w:rPr>
                <w:rFonts w:eastAsia="Times New Roman"/>
              </w:rPr>
              <w:t xml:space="preserve">, </w:t>
            </w:r>
            <w:r w:rsidR="0039686E" w:rsidRPr="00073574">
              <w:rPr>
                <w:rFonts w:eastAsia="Times New Roman"/>
              </w:rPr>
              <w:t xml:space="preserve">Ulstein, </w:t>
            </w:r>
            <w:r w:rsidR="00794F20" w:rsidRPr="00073574">
              <w:rPr>
                <w:rFonts w:eastAsia="Times New Roman"/>
              </w:rPr>
              <w:t>Vanylven, Vestnes</w:t>
            </w:r>
            <w:r w:rsidR="0039686E" w:rsidRPr="00073574">
              <w:rPr>
                <w:rFonts w:eastAsia="Times New Roman"/>
              </w:rPr>
              <w:t>, Volda</w:t>
            </w:r>
            <w:r w:rsidR="00653DE3" w:rsidRPr="00073574">
              <w:rPr>
                <w:rFonts w:eastAsia="Times New Roman"/>
              </w:rPr>
              <w:t>, Larvik</w:t>
            </w:r>
            <w:r w:rsidR="009A0ACB" w:rsidRPr="00073574">
              <w:rPr>
                <w:rFonts w:eastAsia="Times New Roman"/>
              </w:rPr>
              <w:t xml:space="preserve"> (in </w:t>
            </w:r>
            <w:r w:rsidRPr="00073574">
              <w:rPr>
                <w:rFonts w:eastAsia="Times New Roman"/>
              </w:rPr>
              <w:t>Norway</w:t>
            </w:r>
            <w:r w:rsidR="009A0ACB" w:rsidRPr="00073574">
              <w:rPr>
                <w:rFonts w:eastAsia="Times New Roman"/>
              </w:rPr>
              <w:t>)</w:t>
            </w:r>
          </w:p>
          <w:p w14:paraId="1FFAA37B" w14:textId="4347DE0B" w:rsidR="009F3857" w:rsidRPr="00073574" w:rsidRDefault="009F3857" w:rsidP="00AC0A87">
            <w:pPr>
              <w:pStyle w:val="ListParagraph"/>
              <w:numPr>
                <w:ilvl w:val="0"/>
                <w:numId w:val="5"/>
              </w:numPr>
              <w:contextualSpacing w:val="0"/>
              <w:rPr>
                <w:rFonts w:eastAsia="Times New Roman"/>
              </w:rPr>
            </w:pPr>
            <w:r w:rsidRPr="00073574">
              <w:rPr>
                <w:rFonts w:eastAsia="Times New Roman"/>
              </w:rPr>
              <w:t>Bizerte</w:t>
            </w:r>
            <w:r w:rsidR="00252D87" w:rsidRPr="00073574">
              <w:rPr>
                <w:rFonts w:eastAsia="Times New Roman"/>
              </w:rPr>
              <w:t xml:space="preserve"> (in</w:t>
            </w:r>
            <w:r w:rsidRPr="00073574">
              <w:rPr>
                <w:rFonts w:eastAsia="Times New Roman"/>
              </w:rPr>
              <w:t xml:space="preserve"> Tunisia</w:t>
            </w:r>
            <w:r w:rsidR="00252D87" w:rsidRPr="00073574">
              <w:rPr>
                <w:rFonts w:eastAsia="Times New Roman"/>
              </w:rPr>
              <w:t>)</w:t>
            </w:r>
          </w:p>
          <w:p w14:paraId="6D5E5DD2" w14:textId="0E3DD28D" w:rsidR="009F3857" w:rsidRPr="00073574" w:rsidRDefault="009F3857" w:rsidP="00AC0A87">
            <w:pPr>
              <w:pStyle w:val="ListParagraph"/>
              <w:numPr>
                <w:ilvl w:val="0"/>
                <w:numId w:val="5"/>
              </w:numPr>
              <w:contextualSpacing w:val="0"/>
              <w:rPr>
                <w:rFonts w:eastAsia="Times New Roman"/>
              </w:rPr>
            </w:pPr>
            <w:r w:rsidRPr="00073574">
              <w:rPr>
                <w:rFonts w:eastAsia="Times New Roman"/>
              </w:rPr>
              <w:t>Moscow</w:t>
            </w:r>
            <w:r w:rsidR="00252D87" w:rsidRPr="00073574">
              <w:rPr>
                <w:rFonts w:eastAsia="Times New Roman"/>
              </w:rPr>
              <w:t xml:space="preserve"> (in</w:t>
            </w:r>
            <w:r w:rsidRPr="00073574">
              <w:rPr>
                <w:rFonts w:eastAsia="Times New Roman"/>
              </w:rPr>
              <w:t xml:space="preserve"> Russia</w:t>
            </w:r>
            <w:r w:rsidR="00007FD3" w:rsidRPr="00073574">
              <w:rPr>
                <w:rFonts w:eastAsia="Times New Roman"/>
              </w:rPr>
              <w:t>n Federation)</w:t>
            </w:r>
          </w:p>
          <w:p w14:paraId="58423B7F" w14:textId="7EB990F6" w:rsidR="009F3857" w:rsidRPr="00073574" w:rsidRDefault="009F3857" w:rsidP="00AC0A87">
            <w:pPr>
              <w:pStyle w:val="ListParagraph"/>
              <w:numPr>
                <w:ilvl w:val="0"/>
                <w:numId w:val="5"/>
              </w:numPr>
              <w:contextualSpacing w:val="0"/>
              <w:rPr>
                <w:rFonts w:eastAsia="Times New Roman"/>
              </w:rPr>
            </w:pPr>
            <w:r w:rsidRPr="00073574">
              <w:rPr>
                <w:rFonts w:eastAsia="Times New Roman"/>
              </w:rPr>
              <w:t>Riyadh</w:t>
            </w:r>
            <w:r w:rsidR="00007FD3" w:rsidRPr="00073574">
              <w:rPr>
                <w:rFonts w:eastAsia="Times New Roman"/>
              </w:rPr>
              <w:t xml:space="preserve"> (in</w:t>
            </w:r>
            <w:r w:rsidRPr="00073574">
              <w:rPr>
                <w:rFonts w:eastAsia="Times New Roman"/>
              </w:rPr>
              <w:t xml:space="preserve"> Saudi Arabia</w:t>
            </w:r>
            <w:r w:rsidR="00007FD3" w:rsidRPr="00073574">
              <w:rPr>
                <w:rFonts w:eastAsia="Times New Roman"/>
              </w:rPr>
              <w:t>)</w:t>
            </w:r>
          </w:p>
          <w:p w14:paraId="7FF15ADD" w14:textId="2FFB1EBC" w:rsidR="009F3857" w:rsidRPr="00073574" w:rsidRDefault="009F3857" w:rsidP="00AC0A87">
            <w:pPr>
              <w:pStyle w:val="ListParagraph"/>
              <w:numPr>
                <w:ilvl w:val="0"/>
                <w:numId w:val="5"/>
              </w:numPr>
              <w:contextualSpacing w:val="0"/>
              <w:rPr>
                <w:rFonts w:eastAsia="Times New Roman"/>
              </w:rPr>
            </w:pPr>
            <w:r w:rsidRPr="00073574">
              <w:rPr>
                <w:rFonts w:eastAsia="Times New Roman"/>
              </w:rPr>
              <w:t>Pully, Switzerland</w:t>
            </w:r>
          </w:p>
          <w:p w14:paraId="6937C76B" w14:textId="022B1808" w:rsidR="009F3857" w:rsidRPr="00073574" w:rsidRDefault="009F3857" w:rsidP="00AC0A87">
            <w:pPr>
              <w:pStyle w:val="ListParagraph"/>
              <w:numPr>
                <w:ilvl w:val="0"/>
                <w:numId w:val="5"/>
              </w:numPr>
              <w:contextualSpacing w:val="0"/>
              <w:rPr>
                <w:rFonts w:eastAsia="Times New Roman"/>
              </w:rPr>
            </w:pPr>
            <w:r w:rsidRPr="00073574">
              <w:rPr>
                <w:rFonts w:eastAsia="Times New Roman"/>
              </w:rPr>
              <w:t>Valencia</w:t>
            </w:r>
            <w:r w:rsidR="00007FD3" w:rsidRPr="00073574">
              <w:rPr>
                <w:rFonts w:eastAsia="Times New Roman"/>
              </w:rPr>
              <w:t xml:space="preserve"> (in</w:t>
            </w:r>
            <w:r w:rsidRPr="00073574">
              <w:rPr>
                <w:rFonts w:eastAsia="Times New Roman"/>
              </w:rPr>
              <w:t xml:space="preserve"> Spain</w:t>
            </w:r>
            <w:r w:rsidR="00007FD3" w:rsidRPr="00073574">
              <w:rPr>
                <w:rFonts w:eastAsia="Times New Roman"/>
              </w:rPr>
              <w:t>)</w:t>
            </w:r>
          </w:p>
          <w:p w14:paraId="6518FC50" w14:textId="247A606D" w:rsidR="009F3857" w:rsidRPr="00073574" w:rsidRDefault="009F3857" w:rsidP="00AC0A87">
            <w:pPr>
              <w:pStyle w:val="ListParagraph"/>
              <w:numPr>
                <w:ilvl w:val="0"/>
                <w:numId w:val="5"/>
              </w:numPr>
              <w:contextualSpacing w:val="0"/>
              <w:rPr>
                <w:rFonts w:eastAsia="Times New Roman"/>
              </w:rPr>
            </w:pPr>
            <w:r w:rsidRPr="00073574">
              <w:rPr>
                <w:rFonts w:eastAsia="Times New Roman"/>
              </w:rPr>
              <w:t xml:space="preserve">Esperanza, </w:t>
            </w:r>
            <w:r w:rsidR="009A0ACB" w:rsidRPr="00073574">
              <w:rPr>
                <w:rFonts w:eastAsia="Times New Roman"/>
              </w:rPr>
              <w:t xml:space="preserve">Santa Fe (in </w:t>
            </w:r>
            <w:r w:rsidRPr="00073574">
              <w:rPr>
                <w:rFonts w:eastAsia="Times New Roman"/>
              </w:rPr>
              <w:t>Argentina</w:t>
            </w:r>
            <w:r w:rsidR="009A0ACB" w:rsidRPr="00073574">
              <w:rPr>
                <w:rFonts w:eastAsia="Times New Roman"/>
              </w:rPr>
              <w:t>)</w:t>
            </w:r>
          </w:p>
          <w:p w14:paraId="4742C188" w14:textId="60CC2BA0" w:rsidR="009F3857" w:rsidRPr="00073574" w:rsidRDefault="009F3857" w:rsidP="00AC0A87">
            <w:pPr>
              <w:pStyle w:val="ListParagraph"/>
              <w:numPr>
                <w:ilvl w:val="0"/>
                <w:numId w:val="5"/>
              </w:numPr>
              <w:contextualSpacing w:val="0"/>
              <w:rPr>
                <w:rFonts w:eastAsia="Times New Roman"/>
              </w:rPr>
            </w:pPr>
            <w:r w:rsidRPr="00073574">
              <w:rPr>
                <w:rFonts w:eastAsia="Times New Roman"/>
              </w:rPr>
              <w:t>Wels</w:t>
            </w:r>
            <w:r w:rsidR="009A0ACB" w:rsidRPr="00073574">
              <w:rPr>
                <w:rFonts w:eastAsia="Times New Roman"/>
              </w:rPr>
              <w:t xml:space="preserve"> (in</w:t>
            </w:r>
            <w:r w:rsidRPr="00073574">
              <w:rPr>
                <w:rFonts w:eastAsia="Times New Roman"/>
              </w:rPr>
              <w:t xml:space="preserve"> Austria</w:t>
            </w:r>
            <w:r w:rsidR="009A0ACB" w:rsidRPr="00073574">
              <w:rPr>
                <w:rFonts w:eastAsia="Times New Roman"/>
              </w:rPr>
              <w:t>)</w:t>
            </w:r>
          </w:p>
          <w:p w14:paraId="00E23C4E" w14:textId="16DE2E7E" w:rsidR="009F3857" w:rsidRPr="00073574" w:rsidRDefault="009F3857" w:rsidP="00AC0A87">
            <w:pPr>
              <w:pStyle w:val="ListParagraph"/>
              <w:numPr>
                <w:ilvl w:val="0"/>
                <w:numId w:val="5"/>
              </w:numPr>
              <w:contextualSpacing w:val="0"/>
              <w:rPr>
                <w:rFonts w:eastAsia="Times New Roman"/>
              </w:rPr>
            </w:pPr>
            <w:r w:rsidRPr="00073574">
              <w:rPr>
                <w:rFonts w:eastAsia="Times New Roman"/>
              </w:rPr>
              <w:t>Mashhad</w:t>
            </w:r>
            <w:r w:rsidR="0039686E" w:rsidRPr="00073574">
              <w:rPr>
                <w:rFonts w:eastAsia="Times New Roman"/>
              </w:rPr>
              <w:t xml:space="preserve"> (in</w:t>
            </w:r>
            <w:r w:rsidRPr="00073574">
              <w:rPr>
                <w:rFonts w:eastAsia="Times New Roman"/>
              </w:rPr>
              <w:t xml:space="preserve"> </w:t>
            </w:r>
            <w:r w:rsidR="00266C93" w:rsidRPr="00073574">
              <w:rPr>
                <w:rFonts w:eastAsia="Times New Roman"/>
              </w:rPr>
              <w:t xml:space="preserve">Islamic </w:t>
            </w:r>
            <w:r w:rsidR="00962E3A" w:rsidRPr="00073574">
              <w:rPr>
                <w:rFonts w:eastAsia="Times New Roman"/>
              </w:rPr>
              <w:t xml:space="preserve">Republic </w:t>
            </w:r>
            <w:r w:rsidR="00266C93" w:rsidRPr="00073574">
              <w:rPr>
                <w:rFonts w:eastAsia="Times New Roman"/>
              </w:rPr>
              <w:t xml:space="preserve">of </w:t>
            </w:r>
            <w:r w:rsidRPr="00073574">
              <w:rPr>
                <w:rFonts w:eastAsia="Times New Roman"/>
              </w:rPr>
              <w:t>Iran</w:t>
            </w:r>
            <w:r w:rsidR="0039686E" w:rsidRPr="00073574">
              <w:rPr>
                <w:rFonts w:eastAsia="Times New Roman"/>
              </w:rPr>
              <w:t>)</w:t>
            </w:r>
          </w:p>
          <w:p w14:paraId="797496AB" w14:textId="49C426B7" w:rsidR="00653DE3" w:rsidRPr="00073574" w:rsidRDefault="00653DE3" w:rsidP="00AC0A87">
            <w:pPr>
              <w:pStyle w:val="ListParagraph"/>
              <w:numPr>
                <w:ilvl w:val="0"/>
                <w:numId w:val="5"/>
              </w:numPr>
              <w:contextualSpacing w:val="0"/>
              <w:rPr>
                <w:rFonts w:eastAsia="Times New Roman"/>
              </w:rPr>
            </w:pPr>
            <w:r w:rsidRPr="00073574">
              <w:rPr>
                <w:rFonts w:eastAsia="Times New Roman"/>
              </w:rPr>
              <w:t>Daegu (in Republic of Korea)</w:t>
            </w:r>
          </w:p>
          <w:p w14:paraId="7BD02F01" w14:textId="3E297D4B" w:rsidR="00653DE3" w:rsidRPr="00073574" w:rsidRDefault="00653DE3" w:rsidP="7277BFE4">
            <w:pPr>
              <w:rPr>
                <w:rFonts w:eastAsia="Times New Roman"/>
              </w:rPr>
            </w:pPr>
            <w:r w:rsidRPr="00073574">
              <w:rPr>
                <w:rFonts w:eastAsia="Times New Roman"/>
              </w:rPr>
              <w:t>County Snapshot developed on U4SSC KPIs include:</w:t>
            </w:r>
          </w:p>
          <w:p w14:paraId="440BDA69" w14:textId="71ACD5B7" w:rsidR="00653DE3" w:rsidRPr="00073574" w:rsidRDefault="00653DE3" w:rsidP="00A80265">
            <w:pPr>
              <w:pStyle w:val="ListParagraph"/>
              <w:numPr>
                <w:ilvl w:val="0"/>
                <w:numId w:val="5"/>
              </w:numPr>
              <w:rPr>
                <w:rFonts w:eastAsia="Times New Roman"/>
              </w:rPr>
            </w:pPr>
            <w:r w:rsidRPr="00073574">
              <w:rPr>
                <w:rFonts w:eastAsia="Times New Roman"/>
              </w:rPr>
              <w:t>More og Romsdal (in Norway)</w:t>
            </w:r>
          </w:p>
          <w:p w14:paraId="023F0DC4" w14:textId="0FC10B03" w:rsidR="005E0B71" w:rsidRPr="00073574" w:rsidRDefault="22A80D2E" w:rsidP="7277BFE4">
            <w:pPr>
              <w:rPr>
                <w:rFonts w:eastAsia="Times New Roman"/>
              </w:rPr>
            </w:pPr>
            <w:r w:rsidRPr="00073574">
              <w:rPr>
                <w:rFonts w:eastAsia="Times New Roman"/>
              </w:rPr>
              <w:lastRenderedPageBreak/>
              <w:t>City Verification Reports developed on U4SSC KPIs include:</w:t>
            </w:r>
          </w:p>
          <w:p w14:paraId="51401BE4" w14:textId="6AD52F6E" w:rsidR="006E0769" w:rsidRPr="00073574" w:rsidRDefault="006E0769" w:rsidP="00AC0A87">
            <w:pPr>
              <w:pStyle w:val="ListParagraph"/>
              <w:numPr>
                <w:ilvl w:val="0"/>
                <w:numId w:val="5"/>
              </w:numPr>
              <w:contextualSpacing w:val="0"/>
              <w:rPr>
                <w:rFonts w:eastAsia="Times New Roman"/>
              </w:rPr>
            </w:pPr>
            <w:r w:rsidRPr="00073574">
              <w:rPr>
                <w:rFonts w:eastAsia="Times New Roman"/>
              </w:rPr>
              <w:t>Ålesund</w:t>
            </w:r>
            <w:r w:rsidR="00535C8C" w:rsidRPr="00073574">
              <w:rPr>
                <w:rFonts w:eastAsia="Times New Roman"/>
              </w:rPr>
              <w:t xml:space="preserve">, </w:t>
            </w:r>
            <w:r w:rsidR="00DF1451" w:rsidRPr="00073574">
              <w:rPr>
                <w:rFonts w:eastAsia="Times New Roman"/>
              </w:rPr>
              <w:t xml:space="preserve">Asker, Baerum, </w:t>
            </w:r>
            <w:r w:rsidR="00535C8C" w:rsidRPr="00073574">
              <w:rPr>
                <w:rFonts w:eastAsia="Times New Roman"/>
              </w:rPr>
              <w:t xml:space="preserve">Bodo, </w:t>
            </w:r>
            <w:r w:rsidR="00DF1451" w:rsidRPr="00073574">
              <w:rPr>
                <w:rFonts w:eastAsia="Times New Roman"/>
              </w:rPr>
              <w:t xml:space="preserve">Gjøvik, </w:t>
            </w:r>
            <w:r w:rsidR="00535C8C" w:rsidRPr="00073574">
              <w:rPr>
                <w:rFonts w:eastAsia="Times New Roman"/>
              </w:rPr>
              <w:t xml:space="preserve">Haugesund, Karmoy, </w:t>
            </w:r>
            <w:r w:rsidR="00F04875" w:rsidRPr="00073574">
              <w:rPr>
                <w:rFonts w:eastAsia="Times New Roman"/>
              </w:rPr>
              <w:t xml:space="preserve">Kristiansand, </w:t>
            </w:r>
            <w:r w:rsidR="00535C8C" w:rsidRPr="00073574">
              <w:rPr>
                <w:rFonts w:eastAsia="Times New Roman"/>
              </w:rPr>
              <w:t xml:space="preserve">Kristiansund, Molde, Rana, </w:t>
            </w:r>
            <w:r w:rsidR="00F04875" w:rsidRPr="00073574">
              <w:rPr>
                <w:rFonts w:eastAsia="Times New Roman"/>
              </w:rPr>
              <w:t xml:space="preserve">Stavanger, </w:t>
            </w:r>
            <w:r w:rsidR="00535C8C" w:rsidRPr="00073574">
              <w:rPr>
                <w:rFonts w:eastAsia="Times New Roman"/>
              </w:rPr>
              <w:t>Trondheim</w:t>
            </w:r>
            <w:r w:rsidR="001C4FA6" w:rsidRPr="00073574">
              <w:rPr>
                <w:rFonts w:eastAsia="Times New Roman"/>
              </w:rPr>
              <w:t>, Larvik</w:t>
            </w:r>
            <w:r w:rsidR="00535C8C" w:rsidRPr="00073574">
              <w:rPr>
                <w:rFonts w:eastAsia="Times New Roman"/>
              </w:rPr>
              <w:t xml:space="preserve"> (in</w:t>
            </w:r>
            <w:r w:rsidRPr="00073574">
              <w:rPr>
                <w:rFonts w:eastAsia="Times New Roman"/>
              </w:rPr>
              <w:t xml:space="preserve"> Norway</w:t>
            </w:r>
            <w:r w:rsidR="00535C8C" w:rsidRPr="00073574">
              <w:rPr>
                <w:rFonts w:eastAsia="Times New Roman"/>
              </w:rPr>
              <w:t>)</w:t>
            </w:r>
          </w:p>
          <w:p w14:paraId="237ADB29" w14:textId="432D556F" w:rsidR="006E0769" w:rsidRPr="00073574" w:rsidRDefault="006E0769" w:rsidP="00AC0A87">
            <w:pPr>
              <w:pStyle w:val="ListParagraph"/>
              <w:numPr>
                <w:ilvl w:val="0"/>
                <w:numId w:val="5"/>
              </w:numPr>
              <w:contextualSpacing w:val="0"/>
              <w:rPr>
                <w:rFonts w:eastAsia="Times New Roman"/>
              </w:rPr>
            </w:pPr>
            <w:r w:rsidRPr="00073574">
              <w:rPr>
                <w:rFonts w:eastAsia="Times New Roman"/>
              </w:rPr>
              <w:t>Bizerte</w:t>
            </w:r>
            <w:r w:rsidR="00535C8C" w:rsidRPr="00073574">
              <w:rPr>
                <w:rFonts w:eastAsia="Times New Roman"/>
              </w:rPr>
              <w:t xml:space="preserve"> (in</w:t>
            </w:r>
            <w:r w:rsidRPr="00073574">
              <w:rPr>
                <w:rFonts w:eastAsia="Times New Roman"/>
              </w:rPr>
              <w:t xml:space="preserve"> Tunisia</w:t>
            </w:r>
            <w:r w:rsidR="00535C8C" w:rsidRPr="00073574">
              <w:rPr>
                <w:rFonts w:eastAsia="Times New Roman"/>
              </w:rPr>
              <w:t>)</w:t>
            </w:r>
          </w:p>
          <w:p w14:paraId="3B368BDC" w14:textId="3D336029" w:rsidR="006E0769" w:rsidRPr="00073574" w:rsidRDefault="006E0769" w:rsidP="00AC0A87">
            <w:pPr>
              <w:pStyle w:val="ListParagraph"/>
              <w:numPr>
                <w:ilvl w:val="0"/>
                <w:numId w:val="5"/>
              </w:numPr>
              <w:contextualSpacing w:val="0"/>
              <w:rPr>
                <w:rFonts w:eastAsia="Times New Roman"/>
              </w:rPr>
            </w:pPr>
            <w:r w:rsidRPr="00073574">
              <w:rPr>
                <w:rFonts w:eastAsia="Times New Roman"/>
              </w:rPr>
              <w:t>Krimpen aan den Ijssel</w:t>
            </w:r>
            <w:r w:rsidR="00535C8C" w:rsidRPr="00073574">
              <w:rPr>
                <w:rFonts w:eastAsia="Times New Roman"/>
              </w:rPr>
              <w:t xml:space="preserve"> (in Netherlands)</w:t>
            </w:r>
          </w:p>
          <w:p w14:paraId="36A05A34" w14:textId="5E47407A" w:rsidR="006E0769" w:rsidRPr="00073574" w:rsidRDefault="006E0769" w:rsidP="00AC0A87">
            <w:pPr>
              <w:pStyle w:val="ListParagraph"/>
              <w:numPr>
                <w:ilvl w:val="0"/>
                <w:numId w:val="5"/>
              </w:numPr>
              <w:contextualSpacing w:val="0"/>
              <w:rPr>
                <w:rFonts w:eastAsia="Times New Roman"/>
              </w:rPr>
            </w:pPr>
            <w:r w:rsidRPr="00073574">
              <w:rPr>
                <w:rFonts w:eastAsia="Times New Roman"/>
              </w:rPr>
              <w:t>Riyadh</w:t>
            </w:r>
            <w:r w:rsidR="00535C8C" w:rsidRPr="00073574">
              <w:rPr>
                <w:rFonts w:eastAsia="Times New Roman"/>
              </w:rPr>
              <w:t xml:space="preserve"> (in</w:t>
            </w:r>
            <w:r w:rsidRPr="00073574">
              <w:rPr>
                <w:rFonts w:eastAsia="Times New Roman"/>
              </w:rPr>
              <w:t xml:space="preserve"> Saudi Arabia</w:t>
            </w:r>
            <w:r w:rsidR="00535C8C" w:rsidRPr="00073574">
              <w:rPr>
                <w:rFonts w:eastAsia="Times New Roman"/>
              </w:rPr>
              <w:t>)</w:t>
            </w:r>
          </w:p>
          <w:p w14:paraId="40B14A38" w14:textId="1A2EFA74" w:rsidR="006E0769" w:rsidRPr="00073574" w:rsidRDefault="006E0769" w:rsidP="00AC0A87">
            <w:pPr>
              <w:pStyle w:val="ListParagraph"/>
              <w:numPr>
                <w:ilvl w:val="0"/>
                <w:numId w:val="5"/>
              </w:numPr>
              <w:contextualSpacing w:val="0"/>
              <w:rPr>
                <w:rFonts w:eastAsia="Times New Roman"/>
              </w:rPr>
            </w:pPr>
            <w:r w:rsidRPr="00073574">
              <w:rPr>
                <w:rFonts w:eastAsia="Times New Roman"/>
              </w:rPr>
              <w:t>Pully</w:t>
            </w:r>
            <w:r w:rsidR="00535C8C" w:rsidRPr="00073574">
              <w:rPr>
                <w:rFonts w:eastAsia="Times New Roman"/>
              </w:rPr>
              <w:t xml:space="preserve"> (in</w:t>
            </w:r>
            <w:r w:rsidRPr="00073574">
              <w:rPr>
                <w:rFonts w:eastAsia="Times New Roman"/>
              </w:rPr>
              <w:t xml:space="preserve"> Switzerland</w:t>
            </w:r>
            <w:r w:rsidR="00535C8C" w:rsidRPr="00073574">
              <w:rPr>
                <w:rFonts w:eastAsia="Times New Roman"/>
              </w:rPr>
              <w:t>)</w:t>
            </w:r>
          </w:p>
          <w:p w14:paraId="6C790B33" w14:textId="7EE597CD" w:rsidR="006E0769" w:rsidRPr="00073574" w:rsidRDefault="006E0769" w:rsidP="00AC0A87">
            <w:pPr>
              <w:pStyle w:val="ListParagraph"/>
              <w:numPr>
                <w:ilvl w:val="0"/>
                <w:numId w:val="5"/>
              </w:numPr>
              <w:contextualSpacing w:val="0"/>
              <w:rPr>
                <w:rFonts w:eastAsia="Times New Roman"/>
              </w:rPr>
            </w:pPr>
            <w:r w:rsidRPr="00073574">
              <w:rPr>
                <w:rFonts w:eastAsia="Times New Roman"/>
              </w:rPr>
              <w:t>Valencia</w:t>
            </w:r>
            <w:r w:rsidR="00535C8C" w:rsidRPr="00073574">
              <w:rPr>
                <w:rFonts w:eastAsia="Times New Roman"/>
              </w:rPr>
              <w:t xml:space="preserve"> (in</w:t>
            </w:r>
            <w:r w:rsidRPr="00073574">
              <w:rPr>
                <w:rFonts w:eastAsia="Times New Roman"/>
              </w:rPr>
              <w:t xml:space="preserve"> Spain</w:t>
            </w:r>
            <w:r w:rsidR="00535C8C" w:rsidRPr="00073574">
              <w:rPr>
                <w:rFonts w:eastAsia="Times New Roman"/>
              </w:rPr>
              <w:t>)</w:t>
            </w:r>
          </w:p>
          <w:p w14:paraId="246639EA" w14:textId="23AD8EFE" w:rsidR="006E0769" w:rsidRPr="00073574" w:rsidRDefault="006E0769" w:rsidP="00AC0A87">
            <w:pPr>
              <w:pStyle w:val="ListParagraph"/>
              <w:numPr>
                <w:ilvl w:val="0"/>
                <w:numId w:val="5"/>
              </w:numPr>
              <w:contextualSpacing w:val="0"/>
              <w:rPr>
                <w:rFonts w:eastAsia="Times New Roman"/>
              </w:rPr>
            </w:pPr>
            <w:r w:rsidRPr="00073574">
              <w:rPr>
                <w:rFonts w:eastAsia="Times New Roman"/>
              </w:rPr>
              <w:t>Esperanza</w:t>
            </w:r>
            <w:r w:rsidR="00DF1451" w:rsidRPr="00073574">
              <w:rPr>
                <w:rFonts w:eastAsia="Times New Roman"/>
              </w:rPr>
              <w:t>, Santa Fe (in</w:t>
            </w:r>
            <w:r w:rsidRPr="00073574">
              <w:rPr>
                <w:rFonts w:eastAsia="Times New Roman"/>
              </w:rPr>
              <w:t xml:space="preserve"> Argentina</w:t>
            </w:r>
            <w:r w:rsidR="00DF1451" w:rsidRPr="00073574">
              <w:rPr>
                <w:rFonts w:eastAsia="Times New Roman"/>
              </w:rPr>
              <w:t>)</w:t>
            </w:r>
          </w:p>
          <w:p w14:paraId="034F34E0" w14:textId="75D02F94" w:rsidR="006E0769" w:rsidRPr="00073574" w:rsidRDefault="006E0769" w:rsidP="00AC0A87">
            <w:pPr>
              <w:pStyle w:val="ListParagraph"/>
              <w:numPr>
                <w:ilvl w:val="0"/>
                <w:numId w:val="5"/>
              </w:numPr>
              <w:contextualSpacing w:val="0"/>
              <w:rPr>
                <w:rFonts w:eastAsia="Times New Roman"/>
              </w:rPr>
            </w:pPr>
            <w:r w:rsidRPr="00073574">
              <w:rPr>
                <w:rFonts w:eastAsia="Times New Roman"/>
              </w:rPr>
              <w:t>Mashhad</w:t>
            </w:r>
            <w:r w:rsidR="00F04875" w:rsidRPr="00073574">
              <w:rPr>
                <w:rFonts w:eastAsia="Times New Roman"/>
              </w:rPr>
              <w:t xml:space="preserve"> (in</w:t>
            </w:r>
            <w:r w:rsidRPr="00073574">
              <w:rPr>
                <w:rFonts w:eastAsia="Times New Roman"/>
              </w:rPr>
              <w:t xml:space="preserve"> </w:t>
            </w:r>
            <w:r w:rsidR="00266C93" w:rsidRPr="00073574">
              <w:rPr>
                <w:rFonts w:eastAsia="Times New Roman"/>
              </w:rPr>
              <w:t xml:space="preserve">Islamic </w:t>
            </w:r>
            <w:r w:rsidR="00962E3A" w:rsidRPr="00073574">
              <w:rPr>
                <w:rFonts w:eastAsia="Times New Roman"/>
              </w:rPr>
              <w:t xml:space="preserve">Republic </w:t>
            </w:r>
            <w:r w:rsidR="00266C93" w:rsidRPr="00073574">
              <w:rPr>
                <w:rFonts w:eastAsia="Times New Roman"/>
              </w:rPr>
              <w:t>of</w:t>
            </w:r>
            <w:r w:rsidRPr="00073574">
              <w:rPr>
                <w:rFonts w:eastAsia="Times New Roman"/>
              </w:rPr>
              <w:t xml:space="preserve"> Iran</w:t>
            </w:r>
            <w:r w:rsidR="00F04875" w:rsidRPr="00073574">
              <w:rPr>
                <w:rFonts w:eastAsia="Times New Roman"/>
              </w:rPr>
              <w:t>)</w:t>
            </w:r>
          </w:p>
          <w:p w14:paraId="0BFE4B24" w14:textId="3661EBFC" w:rsidR="00653DE3" w:rsidRPr="00073574" w:rsidRDefault="00653DE3" w:rsidP="00AC0A87">
            <w:pPr>
              <w:pStyle w:val="ListParagraph"/>
              <w:numPr>
                <w:ilvl w:val="0"/>
                <w:numId w:val="5"/>
              </w:numPr>
              <w:contextualSpacing w:val="0"/>
              <w:rPr>
                <w:rFonts w:eastAsia="Times New Roman"/>
              </w:rPr>
            </w:pPr>
            <w:r w:rsidRPr="00073574">
              <w:rPr>
                <w:rFonts w:eastAsia="Times New Roman"/>
              </w:rPr>
              <w:t>Daegu (in Republic of Korea)</w:t>
            </w:r>
          </w:p>
          <w:p w14:paraId="491C1D14" w14:textId="3D02E298" w:rsidR="005E0B71" w:rsidRPr="00073574" w:rsidRDefault="22A80D2E" w:rsidP="7277BFE4">
            <w:pPr>
              <w:rPr>
                <w:rFonts w:eastAsia="Times New Roman"/>
              </w:rPr>
            </w:pPr>
            <w:r w:rsidRPr="00073574">
              <w:rPr>
                <w:rFonts w:eastAsia="Times New Roman"/>
              </w:rPr>
              <w:t>City Factsheets developed on U4SSC KPIs include:</w:t>
            </w:r>
          </w:p>
          <w:p w14:paraId="2303288C" w14:textId="64FADB17" w:rsidR="005E0B71" w:rsidRPr="00073574" w:rsidRDefault="22A80D2E" w:rsidP="00AC0A87">
            <w:pPr>
              <w:pStyle w:val="ListParagraph"/>
              <w:numPr>
                <w:ilvl w:val="0"/>
                <w:numId w:val="5"/>
              </w:numPr>
              <w:contextualSpacing w:val="0"/>
              <w:rPr>
                <w:rFonts w:eastAsia="Times New Roman"/>
              </w:rPr>
            </w:pPr>
            <w:r w:rsidRPr="00073574">
              <w:rPr>
                <w:rFonts w:eastAsia="Times New Roman"/>
              </w:rPr>
              <w:t>Ålesund</w:t>
            </w:r>
            <w:r w:rsidR="00F04875" w:rsidRPr="00073574">
              <w:rPr>
                <w:rFonts w:eastAsia="Times New Roman"/>
              </w:rPr>
              <w:t xml:space="preserve"> (in</w:t>
            </w:r>
            <w:r w:rsidRPr="00073574">
              <w:rPr>
                <w:rFonts w:eastAsia="Times New Roman"/>
              </w:rPr>
              <w:t xml:space="preserve"> Norway</w:t>
            </w:r>
            <w:r w:rsidR="00F04875" w:rsidRPr="00073574">
              <w:rPr>
                <w:rFonts w:eastAsia="Times New Roman"/>
              </w:rPr>
              <w:t>)</w:t>
            </w:r>
          </w:p>
          <w:p w14:paraId="03D067E1" w14:textId="34EDB40A" w:rsidR="005E0B71" w:rsidRPr="00073574" w:rsidRDefault="22A80D2E" w:rsidP="00AC0A87">
            <w:pPr>
              <w:pStyle w:val="ListParagraph"/>
              <w:numPr>
                <w:ilvl w:val="0"/>
                <w:numId w:val="5"/>
              </w:numPr>
              <w:contextualSpacing w:val="0"/>
              <w:rPr>
                <w:rFonts w:eastAsia="Times New Roman"/>
              </w:rPr>
            </w:pPr>
            <w:r w:rsidRPr="00073574">
              <w:rPr>
                <w:rFonts w:eastAsia="Times New Roman"/>
              </w:rPr>
              <w:t>Bizerte</w:t>
            </w:r>
            <w:r w:rsidR="00F04875" w:rsidRPr="00073574">
              <w:rPr>
                <w:rFonts w:eastAsia="Times New Roman"/>
              </w:rPr>
              <w:t xml:space="preserve"> (in</w:t>
            </w:r>
            <w:r w:rsidRPr="00073574">
              <w:rPr>
                <w:rFonts w:eastAsia="Times New Roman"/>
              </w:rPr>
              <w:t xml:space="preserve"> Tunisia</w:t>
            </w:r>
            <w:r w:rsidR="00F04875" w:rsidRPr="00073574">
              <w:rPr>
                <w:rFonts w:eastAsia="Times New Roman"/>
              </w:rPr>
              <w:t>)</w:t>
            </w:r>
          </w:p>
          <w:p w14:paraId="237D2D5D" w14:textId="67E3CA35" w:rsidR="005E0B71" w:rsidRPr="00073574" w:rsidRDefault="22A80D2E" w:rsidP="00AC0A87">
            <w:pPr>
              <w:pStyle w:val="ListParagraph"/>
              <w:numPr>
                <w:ilvl w:val="0"/>
                <w:numId w:val="5"/>
              </w:numPr>
              <w:contextualSpacing w:val="0"/>
              <w:rPr>
                <w:rFonts w:eastAsia="Times New Roman"/>
              </w:rPr>
            </w:pPr>
            <w:r w:rsidRPr="00073574">
              <w:rPr>
                <w:rFonts w:eastAsia="Times New Roman"/>
              </w:rPr>
              <w:t>Riyadh</w:t>
            </w:r>
            <w:r w:rsidR="00F04875" w:rsidRPr="00073574">
              <w:rPr>
                <w:rFonts w:eastAsia="Times New Roman"/>
              </w:rPr>
              <w:t xml:space="preserve"> (in</w:t>
            </w:r>
            <w:r w:rsidRPr="00073574">
              <w:rPr>
                <w:rFonts w:eastAsia="Times New Roman"/>
              </w:rPr>
              <w:t xml:space="preserve"> Saudi Arabia</w:t>
            </w:r>
            <w:r w:rsidR="00F04875" w:rsidRPr="00073574">
              <w:rPr>
                <w:rFonts w:eastAsia="Times New Roman"/>
              </w:rPr>
              <w:t>)</w:t>
            </w:r>
          </w:p>
          <w:p w14:paraId="481ACF33" w14:textId="7D4591AB" w:rsidR="005E0B71" w:rsidRPr="00073574" w:rsidRDefault="22A80D2E" w:rsidP="00AC0A87">
            <w:pPr>
              <w:pStyle w:val="ListParagraph"/>
              <w:numPr>
                <w:ilvl w:val="0"/>
                <w:numId w:val="5"/>
              </w:numPr>
              <w:contextualSpacing w:val="0"/>
              <w:rPr>
                <w:rFonts w:eastAsia="Times New Roman"/>
              </w:rPr>
            </w:pPr>
            <w:r w:rsidRPr="00073574">
              <w:rPr>
                <w:rFonts w:eastAsia="Times New Roman"/>
              </w:rPr>
              <w:t>Pully</w:t>
            </w:r>
            <w:r w:rsidR="00F04875" w:rsidRPr="00073574">
              <w:rPr>
                <w:rFonts w:eastAsia="Times New Roman"/>
              </w:rPr>
              <w:t xml:space="preserve"> (in</w:t>
            </w:r>
            <w:r w:rsidRPr="00073574">
              <w:rPr>
                <w:rFonts w:eastAsia="Times New Roman"/>
              </w:rPr>
              <w:t xml:space="preserve"> Switzerland</w:t>
            </w:r>
            <w:r w:rsidR="00F04875" w:rsidRPr="00073574">
              <w:rPr>
                <w:rFonts w:eastAsia="Times New Roman"/>
              </w:rPr>
              <w:t>)</w:t>
            </w:r>
          </w:p>
          <w:p w14:paraId="5C9320A8" w14:textId="1757C8AA" w:rsidR="005E0B71" w:rsidRPr="00073574" w:rsidRDefault="22A80D2E" w:rsidP="00AC0A87">
            <w:pPr>
              <w:pStyle w:val="ListParagraph"/>
              <w:numPr>
                <w:ilvl w:val="0"/>
                <w:numId w:val="5"/>
              </w:numPr>
              <w:contextualSpacing w:val="0"/>
              <w:rPr>
                <w:rFonts w:eastAsia="Times New Roman"/>
              </w:rPr>
            </w:pPr>
            <w:r w:rsidRPr="00073574">
              <w:rPr>
                <w:rFonts w:eastAsia="Times New Roman"/>
              </w:rPr>
              <w:t>Valencia</w:t>
            </w:r>
            <w:r w:rsidR="00F04875" w:rsidRPr="00073574">
              <w:rPr>
                <w:rFonts w:eastAsia="Times New Roman"/>
              </w:rPr>
              <w:t xml:space="preserve"> (in</w:t>
            </w:r>
            <w:r w:rsidRPr="00073574">
              <w:rPr>
                <w:rFonts w:eastAsia="Times New Roman"/>
              </w:rPr>
              <w:t xml:space="preserve"> Spain</w:t>
            </w:r>
            <w:r w:rsidR="00F04875" w:rsidRPr="00073574">
              <w:rPr>
                <w:rFonts w:eastAsia="Times New Roman"/>
              </w:rPr>
              <w:t>)</w:t>
            </w:r>
          </w:p>
          <w:p w14:paraId="371C0FC1" w14:textId="101482B8" w:rsidR="00AC0A87" w:rsidRPr="00073574" w:rsidRDefault="00AC0A87" w:rsidP="00AC0A87">
            <w:pPr>
              <w:pStyle w:val="ListParagraph"/>
              <w:numPr>
                <w:ilvl w:val="0"/>
                <w:numId w:val="5"/>
              </w:numPr>
              <w:contextualSpacing w:val="0"/>
              <w:rPr>
                <w:rFonts w:eastAsia="Times New Roman"/>
              </w:rPr>
            </w:pPr>
            <w:r w:rsidRPr="00073574">
              <w:rPr>
                <w:rFonts w:eastAsia="Times New Roman"/>
              </w:rPr>
              <w:t>Mashhad (in</w:t>
            </w:r>
            <w:r w:rsidR="00266C93" w:rsidRPr="00073574">
              <w:rPr>
                <w:rFonts w:eastAsia="Times New Roman"/>
              </w:rPr>
              <w:t xml:space="preserve"> Islamic </w:t>
            </w:r>
            <w:r w:rsidR="000F65BC" w:rsidRPr="00073574">
              <w:rPr>
                <w:rFonts w:eastAsia="Times New Roman"/>
              </w:rPr>
              <w:t xml:space="preserve">Republic </w:t>
            </w:r>
            <w:r w:rsidR="00266C93" w:rsidRPr="00073574">
              <w:rPr>
                <w:rFonts w:eastAsia="Times New Roman"/>
              </w:rPr>
              <w:t>of</w:t>
            </w:r>
            <w:r w:rsidRPr="00073574">
              <w:rPr>
                <w:rFonts w:eastAsia="Times New Roman"/>
              </w:rPr>
              <w:t xml:space="preserve"> Iran)</w:t>
            </w:r>
          </w:p>
          <w:p w14:paraId="1B20E2E5" w14:textId="3CF63B39" w:rsidR="005E0B71" w:rsidRPr="00073574" w:rsidRDefault="22A80D2E" w:rsidP="7277BFE4">
            <w:pPr>
              <w:rPr>
                <w:rFonts w:eastAsia="Times New Roman"/>
              </w:rPr>
            </w:pPr>
            <w:r w:rsidRPr="00073574">
              <w:rPr>
                <w:rFonts w:eastAsia="Times New Roman"/>
              </w:rPr>
              <w:t xml:space="preserve">Please find </w:t>
            </w:r>
            <w:r w:rsidR="4EC18F46" w:rsidRPr="00073574">
              <w:rPr>
                <w:rFonts w:eastAsia="Times New Roman"/>
              </w:rPr>
              <w:t xml:space="preserve">ITU’s implementation of the U4SSC KPIs </w:t>
            </w:r>
            <w:r w:rsidRPr="00073574">
              <w:rPr>
                <w:rFonts w:eastAsia="Times New Roman"/>
              </w:rPr>
              <w:t>available at:</w:t>
            </w:r>
            <w:r w:rsidR="7A6F33CE" w:rsidRPr="00073574">
              <w:rPr>
                <w:rFonts w:eastAsia="Times New Roman"/>
              </w:rPr>
              <w:t xml:space="preserve"> </w:t>
            </w:r>
            <w:hyperlink r:id="rId898" w:history="1">
              <w:r w:rsidR="001357A8" w:rsidRPr="00073574">
                <w:rPr>
                  <w:rStyle w:val="Hyperlink"/>
                  <w:rFonts w:eastAsia="Times New Roman"/>
                </w:rPr>
                <w:t>https://www.itu.int/en/ITU-T/ssc/united/Pages/publication-U4SSC-KPIs.aspx</w:t>
              </w:r>
            </w:hyperlink>
          </w:p>
        </w:tc>
      </w:tr>
      <w:tr w:rsidR="005E0B71" w:rsidRPr="00073574" w14:paraId="2B980664" w14:textId="77777777" w:rsidTr="7277BFE4">
        <w:tc>
          <w:tcPr>
            <w:tcW w:w="1130" w:type="dxa"/>
            <w:vMerge w:val="restart"/>
            <w:tcBorders>
              <w:top w:val="single" w:sz="12" w:space="0" w:color="auto"/>
            </w:tcBorders>
            <w:shd w:val="clear" w:color="auto" w:fill="auto"/>
          </w:tcPr>
          <w:p w14:paraId="289DCADD" w14:textId="1D50D08C" w:rsidR="005E0B71" w:rsidRPr="00073574" w:rsidRDefault="005E0B71" w:rsidP="00402B09">
            <w:pPr>
              <w:pStyle w:val="Tabletext"/>
              <w:keepNext/>
              <w:keepLines/>
              <w:rPr>
                <w:b/>
                <w:bCs/>
                <w:sz w:val="24"/>
                <w:szCs w:val="24"/>
              </w:rPr>
            </w:pPr>
            <w:r w:rsidRPr="00073574">
              <w:rPr>
                <w:b/>
                <w:bCs/>
                <w:sz w:val="24"/>
                <w:szCs w:val="24"/>
              </w:rPr>
              <w:lastRenderedPageBreak/>
              <w:t>98-07</w:t>
            </w:r>
          </w:p>
        </w:tc>
        <w:tc>
          <w:tcPr>
            <w:tcW w:w="4988" w:type="dxa"/>
            <w:tcBorders>
              <w:top w:val="single" w:sz="12" w:space="0" w:color="auto"/>
              <w:bottom w:val="single" w:sz="4" w:space="0" w:color="auto"/>
            </w:tcBorders>
            <w:shd w:val="clear" w:color="auto" w:fill="auto"/>
          </w:tcPr>
          <w:p w14:paraId="487C3D34" w14:textId="42F5C96A" w:rsidR="005E0B71" w:rsidRPr="00073574" w:rsidRDefault="005E0B71" w:rsidP="005E0B71">
            <w:pPr>
              <w:pStyle w:val="Tabletext"/>
              <w:rPr>
                <w:b/>
                <w:bCs/>
                <w:sz w:val="24"/>
                <w:szCs w:val="24"/>
              </w:rPr>
            </w:pPr>
            <w:r w:rsidRPr="00073574">
              <w:rPr>
                <w:b/>
                <w:bCs/>
                <w:sz w:val="24"/>
                <w:szCs w:val="24"/>
              </w:rPr>
              <w:t>TSB Director to continue to support the United for Smart Sustainable Cities Initiative (U4SSC), launched by ITU together with the United Nations Economic Commission for Europe (UNECE) in May 2016, and share its deliverables with ITU-T Study Group 20 and other study groups concerned (i. TSBDir 3)</w:t>
            </w:r>
          </w:p>
        </w:tc>
        <w:tc>
          <w:tcPr>
            <w:tcW w:w="1335" w:type="dxa"/>
            <w:tcBorders>
              <w:top w:val="single" w:sz="12" w:space="0" w:color="auto"/>
              <w:bottom w:val="single" w:sz="4" w:space="0" w:color="auto"/>
            </w:tcBorders>
            <w:shd w:val="clear" w:color="auto" w:fill="auto"/>
            <w:vAlign w:val="center"/>
          </w:tcPr>
          <w:p w14:paraId="6144C137" w14:textId="6A3CCDC8" w:rsidR="005E0B71" w:rsidRPr="00073574" w:rsidRDefault="005E0B71" w:rsidP="005E0B71">
            <w:pPr>
              <w:pStyle w:val="Tabletext"/>
              <w:jc w:val="center"/>
              <w:rPr>
                <w:b/>
                <w:bCs/>
                <w:sz w:val="24"/>
                <w:szCs w:val="24"/>
              </w:rPr>
            </w:pPr>
            <w:r w:rsidRPr="00073574">
              <w:rPr>
                <w:b/>
                <w:bCs/>
                <w:sz w:val="24"/>
                <w:szCs w:val="24"/>
              </w:rPr>
              <w:t>Ongoing</w:t>
            </w:r>
          </w:p>
        </w:tc>
        <w:tc>
          <w:tcPr>
            <w:tcW w:w="1143" w:type="dxa"/>
            <w:tcBorders>
              <w:top w:val="single" w:sz="12" w:space="0" w:color="auto"/>
              <w:bottom w:val="single" w:sz="4" w:space="0" w:color="auto"/>
            </w:tcBorders>
            <w:shd w:val="clear" w:color="auto" w:fill="auto"/>
            <w:vAlign w:val="center"/>
          </w:tcPr>
          <w:p w14:paraId="25B54634" w14:textId="39AF6F89" w:rsidR="005E0B71" w:rsidRPr="00073574" w:rsidRDefault="005E0B71" w:rsidP="005E0B71">
            <w:pPr>
              <w:pStyle w:val="Tabletext"/>
              <w:jc w:val="center"/>
              <w:rPr>
                <w:b/>
                <w:bCs/>
                <w:sz w:val="24"/>
                <w:szCs w:val="24"/>
              </w:rPr>
            </w:pPr>
            <w:r w:rsidRPr="00073574">
              <w:rPr>
                <w:b/>
                <w:bCs/>
                <w:sz w:val="24"/>
                <w:szCs w:val="24"/>
              </w:rPr>
              <w:t>√</w:t>
            </w:r>
          </w:p>
        </w:tc>
        <w:tc>
          <w:tcPr>
            <w:tcW w:w="1336" w:type="dxa"/>
            <w:tcBorders>
              <w:top w:val="single" w:sz="12" w:space="0" w:color="auto"/>
              <w:bottom w:val="single" w:sz="4" w:space="0" w:color="auto"/>
            </w:tcBorders>
            <w:shd w:val="clear" w:color="auto" w:fill="auto"/>
            <w:vAlign w:val="center"/>
          </w:tcPr>
          <w:p w14:paraId="36530FF5" w14:textId="77777777" w:rsidR="005E0B71" w:rsidRPr="00073574" w:rsidRDefault="005E0B71" w:rsidP="005E0B71">
            <w:pPr>
              <w:pStyle w:val="Tabletext"/>
              <w:jc w:val="center"/>
              <w:rPr>
                <w:b/>
                <w:bCs/>
                <w:sz w:val="24"/>
                <w:szCs w:val="24"/>
              </w:rPr>
            </w:pPr>
          </w:p>
        </w:tc>
      </w:tr>
      <w:tr w:rsidR="005E0B71" w:rsidRPr="00073574" w14:paraId="2E50B5B7" w14:textId="77777777" w:rsidTr="7277BFE4">
        <w:tc>
          <w:tcPr>
            <w:tcW w:w="1130" w:type="dxa"/>
            <w:vMerge/>
          </w:tcPr>
          <w:p w14:paraId="023A02BF" w14:textId="77777777" w:rsidR="005E0B71" w:rsidRPr="00073574" w:rsidRDefault="005E0B71" w:rsidP="005E0B71">
            <w:pPr>
              <w:pStyle w:val="Tabletext"/>
              <w:rPr>
                <w:sz w:val="24"/>
                <w:szCs w:val="24"/>
              </w:rPr>
            </w:pPr>
          </w:p>
        </w:tc>
        <w:tc>
          <w:tcPr>
            <w:tcW w:w="8802" w:type="dxa"/>
            <w:gridSpan w:val="4"/>
            <w:tcBorders>
              <w:top w:val="single" w:sz="4" w:space="0" w:color="auto"/>
              <w:bottom w:val="single" w:sz="12" w:space="0" w:color="auto"/>
            </w:tcBorders>
            <w:shd w:val="clear" w:color="auto" w:fill="auto"/>
          </w:tcPr>
          <w:p w14:paraId="1A56BA9B" w14:textId="1192B794" w:rsidR="005E0B71" w:rsidRPr="00073574" w:rsidRDefault="15DF749D" w:rsidP="539711DF">
            <w:pPr>
              <w:tabs>
                <w:tab w:val="left" w:pos="720"/>
              </w:tabs>
              <w:snapToGrid w:val="0"/>
              <w:spacing w:before="40" w:after="120"/>
              <w:rPr>
                <w:rFonts w:asciiTheme="majorBidi" w:hAnsiTheme="majorBidi" w:cstheme="majorBidi"/>
              </w:rPr>
            </w:pPr>
            <w:r w:rsidRPr="00073574">
              <w:rPr>
                <w:rFonts w:asciiTheme="majorBidi" w:hAnsiTheme="majorBidi" w:cstheme="majorBidi"/>
              </w:rPr>
              <w:t xml:space="preserve">The </w:t>
            </w:r>
            <w:hyperlink r:id="rId899">
              <w:r w:rsidRPr="00073574">
                <w:rPr>
                  <w:rStyle w:val="Hyperlink"/>
                  <w:rFonts w:asciiTheme="majorBidi" w:hAnsiTheme="majorBidi" w:cstheme="majorBidi"/>
                </w:rPr>
                <w:t>United for Smart Sustainable Cities (U4SSC)</w:t>
              </w:r>
            </w:hyperlink>
            <w:r w:rsidRPr="00073574">
              <w:rPr>
                <w:rFonts w:asciiTheme="majorBidi" w:hAnsiTheme="majorBidi" w:cstheme="majorBidi"/>
              </w:rPr>
              <w:t xml:space="preserve"> is a UN initiative </w:t>
            </w:r>
            <w:r w:rsidR="62A403A5" w:rsidRPr="00073574">
              <w:rPr>
                <w:rFonts w:asciiTheme="majorBidi" w:hAnsiTheme="majorBidi" w:cstheme="majorBidi"/>
              </w:rPr>
              <w:t xml:space="preserve">coordinated by ITU, UNECE and UN-Habitat and </w:t>
            </w:r>
            <w:r w:rsidRPr="00073574">
              <w:rPr>
                <w:rFonts w:asciiTheme="majorBidi" w:hAnsiTheme="majorBidi" w:cstheme="majorBidi"/>
              </w:rPr>
              <w:t>supported by 1</w:t>
            </w:r>
            <w:r w:rsidR="5F392137" w:rsidRPr="00073574">
              <w:rPr>
                <w:rFonts w:asciiTheme="majorBidi" w:hAnsiTheme="majorBidi" w:cstheme="majorBidi"/>
              </w:rPr>
              <w:t>4</w:t>
            </w:r>
            <w:r w:rsidRPr="00073574">
              <w:rPr>
                <w:rFonts w:asciiTheme="majorBidi" w:hAnsiTheme="majorBidi" w:cstheme="majorBidi"/>
              </w:rPr>
              <w:t xml:space="preserve"> </w:t>
            </w:r>
            <w:r w:rsidR="62A403A5" w:rsidRPr="00073574">
              <w:rPr>
                <w:rFonts w:asciiTheme="majorBidi" w:hAnsiTheme="majorBidi" w:cstheme="majorBidi"/>
              </w:rPr>
              <w:t xml:space="preserve">other </w:t>
            </w:r>
            <w:r w:rsidRPr="00073574">
              <w:rPr>
                <w:rFonts w:asciiTheme="majorBidi" w:hAnsiTheme="majorBidi" w:cstheme="majorBidi"/>
              </w:rPr>
              <w:t>UN Agencies and Programmes namely: CBD, ECLAC, FAO, UNDP, UNECA, UNESCO, UN</w:t>
            </w:r>
            <w:r w:rsidR="0777BFCD" w:rsidRPr="00073574">
              <w:rPr>
                <w:rFonts w:asciiTheme="majorBidi" w:hAnsiTheme="majorBidi" w:cstheme="majorBidi"/>
              </w:rPr>
              <w:t>EP</w:t>
            </w:r>
            <w:r w:rsidRPr="00073574">
              <w:rPr>
                <w:rFonts w:asciiTheme="majorBidi" w:hAnsiTheme="majorBidi" w:cstheme="majorBidi"/>
              </w:rPr>
              <w:t>, UNEP-FI, UNFCCC, UNIDO,</w:t>
            </w:r>
            <w:r w:rsidR="549AA76D" w:rsidRPr="00073574">
              <w:rPr>
                <w:rFonts w:asciiTheme="majorBidi" w:hAnsiTheme="majorBidi" w:cstheme="majorBidi"/>
              </w:rPr>
              <w:t xml:space="preserve"> </w:t>
            </w:r>
            <w:r w:rsidR="6661715F" w:rsidRPr="00073574">
              <w:rPr>
                <w:rFonts w:asciiTheme="majorBidi" w:hAnsiTheme="majorBidi" w:cstheme="majorBidi"/>
              </w:rPr>
              <w:t xml:space="preserve">UNOP, </w:t>
            </w:r>
            <w:r w:rsidR="549AA76D" w:rsidRPr="00073574">
              <w:rPr>
                <w:rFonts w:asciiTheme="majorBidi" w:hAnsiTheme="majorBidi" w:cstheme="majorBidi"/>
              </w:rPr>
              <w:t>UNU-EGOV,</w:t>
            </w:r>
            <w:r w:rsidRPr="00073574">
              <w:rPr>
                <w:rFonts w:asciiTheme="majorBidi" w:hAnsiTheme="majorBidi" w:cstheme="majorBidi"/>
              </w:rPr>
              <w:t xml:space="preserve"> UN-Women </w:t>
            </w:r>
            <w:r w:rsidR="549AA76D" w:rsidRPr="00073574">
              <w:rPr>
                <w:rFonts w:asciiTheme="majorBidi" w:hAnsiTheme="majorBidi" w:cstheme="majorBidi"/>
              </w:rPr>
              <w:t xml:space="preserve">and </w:t>
            </w:r>
            <w:r w:rsidRPr="00073574">
              <w:rPr>
                <w:rFonts w:asciiTheme="majorBidi" w:hAnsiTheme="majorBidi" w:cstheme="majorBidi"/>
              </w:rPr>
              <w:t>WMO. The U4SSC</w:t>
            </w:r>
            <w:r w:rsidR="549AA76D" w:rsidRPr="00073574">
              <w:rPr>
                <w:rFonts w:asciiTheme="majorBidi" w:hAnsiTheme="majorBidi" w:cstheme="majorBidi"/>
              </w:rPr>
              <w:t xml:space="preserve"> </w:t>
            </w:r>
            <w:r w:rsidRPr="00073574">
              <w:rPr>
                <w:rFonts w:asciiTheme="majorBidi" w:hAnsiTheme="majorBidi" w:cstheme="majorBidi"/>
              </w:rPr>
              <w:t>advocates for public policies aimed at ensuring a catalytic role for information and communication technologies (ICTs) in enabling the transition to smart sustainable cities</w:t>
            </w:r>
            <w:r w:rsidR="549AA76D" w:rsidRPr="00073574">
              <w:rPr>
                <w:rFonts w:asciiTheme="majorBidi" w:hAnsiTheme="majorBidi" w:cstheme="majorBidi"/>
              </w:rPr>
              <w:t xml:space="preserve"> and also to achieve SDG11 “Make cities and human settlements inclusive, safe, resilient and sustainable”</w:t>
            </w:r>
            <w:r w:rsidRPr="00073574">
              <w:rPr>
                <w:rFonts w:asciiTheme="majorBidi" w:hAnsiTheme="majorBidi" w:cstheme="majorBidi"/>
              </w:rPr>
              <w:t>.</w:t>
            </w:r>
          </w:p>
          <w:p w14:paraId="0C418C00" w14:textId="7CFF2C3F" w:rsidR="005E0B71" w:rsidRPr="00073574" w:rsidRDefault="3BFBA0FB" w:rsidP="7277BFE4">
            <w:pPr>
              <w:tabs>
                <w:tab w:val="left" w:pos="720"/>
              </w:tabs>
              <w:snapToGrid w:val="0"/>
              <w:spacing w:after="120"/>
              <w:rPr>
                <w:rFonts w:asciiTheme="majorBidi" w:hAnsiTheme="majorBidi" w:cstheme="majorBidi"/>
              </w:rPr>
            </w:pPr>
            <w:r w:rsidRPr="00073574">
              <w:rPr>
                <w:rFonts w:asciiTheme="majorBidi" w:hAnsiTheme="majorBidi" w:cstheme="majorBidi"/>
              </w:rPr>
              <w:t xml:space="preserve">The second meeting of the U4SSC was held on 5 April 2017 in Manizales, Colombia. During this meeting, the ToR of the U4SSC initiative were revised and the future plan of action was presented and approved. </w:t>
            </w:r>
            <w:r w:rsidR="70A854F3" w:rsidRPr="00073574">
              <w:rPr>
                <w:rFonts w:asciiTheme="majorBidi" w:hAnsiTheme="majorBidi" w:cstheme="majorBidi"/>
              </w:rPr>
              <w:t xml:space="preserve">The </w:t>
            </w:r>
            <w:r w:rsidR="66A88761" w:rsidRPr="00073574">
              <w:rPr>
                <w:rFonts w:asciiTheme="majorBidi" w:hAnsiTheme="majorBidi" w:cstheme="majorBidi"/>
              </w:rPr>
              <w:t xml:space="preserve">third </w:t>
            </w:r>
            <w:r w:rsidR="70A854F3" w:rsidRPr="00073574">
              <w:rPr>
                <w:rFonts w:asciiTheme="majorBidi" w:hAnsiTheme="majorBidi" w:cstheme="majorBidi"/>
              </w:rPr>
              <w:t>meeting of the U4SSC was</w:t>
            </w:r>
            <w:r w:rsidR="66344E03" w:rsidRPr="00073574">
              <w:rPr>
                <w:rFonts w:asciiTheme="majorBidi" w:hAnsiTheme="majorBidi" w:cstheme="majorBidi"/>
              </w:rPr>
              <w:t xml:space="preserve"> </w:t>
            </w:r>
            <w:r w:rsidR="70A854F3" w:rsidRPr="00073574">
              <w:rPr>
                <w:rFonts w:asciiTheme="majorBidi" w:hAnsiTheme="majorBidi" w:cstheme="majorBidi"/>
              </w:rPr>
              <w:t xml:space="preserve">held on </w:t>
            </w:r>
            <w:r w:rsidR="66A88761" w:rsidRPr="00073574">
              <w:rPr>
                <w:rFonts w:asciiTheme="majorBidi" w:hAnsiTheme="majorBidi" w:cstheme="majorBidi"/>
              </w:rPr>
              <w:t xml:space="preserve">26 </w:t>
            </w:r>
            <w:r w:rsidR="70A854F3" w:rsidRPr="00073574">
              <w:rPr>
                <w:rFonts w:asciiTheme="majorBidi" w:hAnsiTheme="majorBidi" w:cstheme="majorBidi"/>
              </w:rPr>
              <w:t>April 201</w:t>
            </w:r>
            <w:r w:rsidR="66A88761" w:rsidRPr="00073574">
              <w:rPr>
                <w:rFonts w:asciiTheme="majorBidi" w:hAnsiTheme="majorBidi" w:cstheme="majorBidi"/>
              </w:rPr>
              <w:t>8</w:t>
            </w:r>
            <w:r w:rsidR="70A854F3" w:rsidRPr="00073574">
              <w:rPr>
                <w:rFonts w:asciiTheme="majorBidi" w:hAnsiTheme="majorBidi" w:cstheme="majorBidi"/>
              </w:rPr>
              <w:t xml:space="preserve"> in </w:t>
            </w:r>
            <w:r w:rsidR="66A88761" w:rsidRPr="00073574">
              <w:rPr>
                <w:rFonts w:asciiTheme="majorBidi" w:hAnsiTheme="majorBidi" w:cstheme="majorBidi"/>
              </w:rPr>
              <w:t>Malaga</w:t>
            </w:r>
            <w:r w:rsidR="70A854F3" w:rsidRPr="00073574">
              <w:rPr>
                <w:rFonts w:asciiTheme="majorBidi" w:hAnsiTheme="majorBidi" w:cstheme="majorBidi"/>
              </w:rPr>
              <w:t xml:space="preserve">, </w:t>
            </w:r>
            <w:r w:rsidR="66A88761" w:rsidRPr="00073574">
              <w:rPr>
                <w:rFonts w:asciiTheme="majorBidi" w:hAnsiTheme="majorBidi" w:cstheme="majorBidi"/>
              </w:rPr>
              <w:t>Spain</w:t>
            </w:r>
            <w:r w:rsidR="70A854F3" w:rsidRPr="00073574">
              <w:rPr>
                <w:rFonts w:asciiTheme="majorBidi" w:hAnsiTheme="majorBidi" w:cstheme="majorBidi"/>
              </w:rPr>
              <w:t xml:space="preserve">. </w:t>
            </w:r>
            <w:r w:rsidR="71C12959" w:rsidRPr="00073574">
              <w:rPr>
                <w:rFonts w:asciiTheme="majorBidi" w:hAnsiTheme="majorBidi" w:cstheme="majorBidi"/>
              </w:rPr>
              <w:t>T</w:t>
            </w:r>
            <w:r w:rsidR="29149E31" w:rsidRPr="00073574">
              <w:rPr>
                <w:rFonts w:asciiTheme="majorBidi" w:hAnsiTheme="majorBidi" w:cstheme="majorBidi"/>
              </w:rPr>
              <w:t xml:space="preserve">he fourth meeting of the U4SSC took place in Valencia, Spain in October 2019. </w:t>
            </w:r>
            <w:r w:rsidR="00A451A5" w:rsidRPr="00073574">
              <w:rPr>
                <w:rFonts w:asciiTheme="majorBidi" w:hAnsiTheme="majorBidi" w:cstheme="majorBidi"/>
              </w:rPr>
              <w:t xml:space="preserve">The fifth U4SSC meeting took place virtually on 09 October 2021. </w:t>
            </w:r>
            <w:r w:rsidR="70A854F3" w:rsidRPr="00073574">
              <w:rPr>
                <w:rFonts w:asciiTheme="majorBidi" w:hAnsiTheme="majorBidi" w:cstheme="majorBidi"/>
              </w:rPr>
              <w:t>During this meeting, the ToR of the U4SSC initiative were revised</w:t>
            </w:r>
            <w:r w:rsidR="66A88761" w:rsidRPr="00073574">
              <w:rPr>
                <w:rFonts w:asciiTheme="majorBidi" w:hAnsiTheme="majorBidi" w:cstheme="majorBidi"/>
              </w:rPr>
              <w:t>, the set of deliverables developed within U4SSC were presented</w:t>
            </w:r>
            <w:r w:rsidR="70A854F3" w:rsidRPr="00073574">
              <w:rPr>
                <w:rFonts w:asciiTheme="majorBidi" w:hAnsiTheme="majorBidi" w:cstheme="majorBidi"/>
              </w:rPr>
              <w:t xml:space="preserve"> and the future plan of action was presented and approved. </w:t>
            </w:r>
            <w:r w:rsidR="00187CF6" w:rsidRPr="00073574">
              <w:rPr>
                <w:rFonts w:asciiTheme="majorBidi" w:hAnsiTheme="majorBidi" w:cstheme="majorBidi"/>
              </w:rPr>
              <w:t xml:space="preserve">The </w:t>
            </w:r>
            <w:r w:rsidR="005B2DF1" w:rsidRPr="00073574">
              <w:rPr>
                <w:rFonts w:asciiTheme="majorBidi" w:hAnsiTheme="majorBidi" w:cstheme="majorBidi"/>
              </w:rPr>
              <w:t>6</w:t>
            </w:r>
            <w:r w:rsidR="005B2DF1" w:rsidRPr="00073574">
              <w:rPr>
                <w:rFonts w:asciiTheme="majorBidi" w:hAnsiTheme="majorBidi" w:cstheme="majorBidi"/>
                <w:vertAlign w:val="superscript"/>
              </w:rPr>
              <w:t>th</w:t>
            </w:r>
            <w:r w:rsidR="005B2DF1" w:rsidRPr="00073574">
              <w:rPr>
                <w:rFonts w:asciiTheme="majorBidi" w:hAnsiTheme="majorBidi" w:cstheme="majorBidi"/>
              </w:rPr>
              <w:t xml:space="preserve"> </w:t>
            </w:r>
            <w:r w:rsidR="00187CF6" w:rsidRPr="00073574">
              <w:rPr>
                <w:rFonts w:asciiTheme="majorBidi" w:hAnsiTheme="majorBidi" w:cstheme="majorBidi"/>
              </w:rPr>
              <w:t xml:space="preserve">U4SSC meeting </w:t>
            </w:r>
            <w:r w:rsidR="0006495A" w:rsidRPr="00073574">
              <w:rPr>
                <w:rFonts w:asciiTheme="majorBidi" w:hAnsiTheme="majorBidi" w:cstheme="majorBidi"/>
              </w:rPr>
              <w:t>took</w:t>
            </w:r>
            <w:r w:rsidR="00187CF6" w:rsidRPr="00073574">
              <w:rPr>
                <w:rFonts w:asciiTheme="majorBidi" w:hAnsiTheme="majorBidi" w:cstheme="majorBidi"/>
              </w:rPr>
              <w:t xml:space="preserve"> place virtually on 7 </w:t>
            </w:r>
            <w:r w:rsidR="00187CF6" w:rsidRPr="00073574">
              <w:rPr>
                <w:rFonts w:asciiTheme="majorBidi" w:hAnsiTheme="majorBidi" w:cstheme="majorBidi"/>
              </w:rPr>
              <w:lastRenderedPageBreak/>
              <w:t xml:space="preserve">December 2021. </w:t>
            </w:r>
            <w:r w:rsidR="70A854F3" w:rsidRPr="00073574">
              <w:rPr>
                <w:rFonts w:asciiTheme="majorBidi" w:hAnsiTheme="majorBidi" w:cstheme="majorBidi"/>
              </w:rPr>
              <w:t xml:space="preserve">A website dedicated to the United for Smart Sustainable Cities (U4SSC) initiative is available at: </w:t>
            </w:r>
            <w:hyperlink r:id="rId900">
              <w:r w:rsidR="70A854F3" w:rsidRPr="00073574">
                <w:rPr>
                  <w:rStyle w:val="Hyperlink"/>
                  <w:rFonts w:asciiTheme="majorBidi" w:hAnsiTheme="majorBidi" w:cstheme="majorBidi"/>
                </w:rPr>
                <w:t>https://www.itu.int/en/ITU-T/ssc/united/</w:t>
              </w:r>
            </w:hyperlink>
            <w:r w:rsidR="70A854F3" w:rsidRPr="00073574">
              <w:rPr>
                <w:rFonts w:asciiTheme="majorBidi" w:hAnsiTheme="majorBidi" w:cstheme="majorBidi"/>
              </w:rPr>
              <w:t>.</w:t>
            </w:r>
          </w:p>
          <w:p w14:paraId="4AFC1873" w14:textId="77777777" w:rsidR="0019377A" w:rsidRPr="00073574" w:rsidRDefault="2614D112" w:rsidP="0019377A">
            <w:pPr>
              <w:pStyle w:val="normalWSIS"/>
              <w:numPr>
                <w:ilvl w:val="0"/>
                <w:numId w:val="0"/>
              </w:numPr>
              <w:spacing w:after="120"/>
              <w:rPr>
                <w:rFonts w:asciiTheme="majorBidi" w:hAnsiTheme="majorBidi" w:cstheme="majorBidi"/>
              </w:rPr>
            </w:pPr>
            <w:r w:rsidRPr="00073574">
              <w:rPr>
                <w:rFonts w:asciiTheme="majorBidi" w:hAnsiTheme="majorBidi" w:cstheme="majorBidi"/>
              </w:rPr>
              <w:t>The U4SSC has developed the following deliverables:</w:t>
            </w:r>
          </w:p>
          <w:p w14:paraId="24EF04DD" w14:textId="44CB58C5" w:rsidR="0D692AC6" w:rsidRPr="00073574" w:rsidRDefault="0053741E" w:rsidP="00653FE4">
            <w:pPr>
              <w:pStyle w:val="normalWSIS"/>
              <w:numPr>
                <w:ilvl w:val="0"/>
                <w:numId w:val="43"/>
              </w:numPr>
              <w:spacing w:after="120"/>
              <w:jc w:val="left"/>
              <w:rPr>
                <w:rFonts w:eastAsia="Times New Roman"/>
              </w:rPr>
            </w:pPr>
            <w:hyperlink r:id="rId901" w:history="1">
              <w:r w:rsidR="0D692AC6" w:rsidRPr="00073574">
                <w:rPr>
                  <w:rStyle w:val="Hyperlink"/>
                </w:rPr>
                <w:t>Collection Methodology for Key Performance Indicators for Smart Sustainable Cities</w:t>
              </w:r>
            </w:hyperlink>
          </w:p>
          <w:p w14:paraId="4442D7E2" w14:textId="77777777" w:rsidR="0019377A" w:rsidRPr="00073574" w:rsidRDefault="0053741E" w:rsidP="00653FE4">
            <w:pPr>
              <w:pStyle w:val="normalWSIS"/>
              <w:numPr>
                <w:ilvl w:val="0"/>
                <w:numId w:val="43"/>
              </w:numPr>
              <w:spacing w:after="120"/>
              <w:jc w:val="left"/>
              <w:rPr>
                <w:rFonts w:asciiTheme="majorBidi" w:hAnsiTheme="majorBidi" w:cstheme="majorBidi"/>
              </w:rPr>
            </w:pPr>
            <w:hyperlink r:id="rId902">
              <w:r w:rsidR="2614D112" w:rsidRPr="00073574">
                <w:rPr>
                  <w:rStyle w:val="Hyperlink"/>
                  <w:rFonts w:asciiTheme="majorBidi" w:hAnsiTheme="majorBidi" w:cstheme="majorBidi"/>
                </w:rPr>
                <w:t>Flipbook on "Connecting cities and communities with the SDGs"</w:t>
              </w:r>
            </w:hyperlink>
          </w:p>
          <w:p w14:paraId="5360C65A" w14:textId="77777777" w:rsidR="0019377A" w:rsidRPr="00073574" w:rsidRDefault="0053741E" w:rsidP="00653FE4">
            <w:pPr>
              <w:pStyle w:val="normalWSIS"/>
              <w:numPr>
                <w:ilvl w:val="0"/>
                <w:numId w:val="43"/>
              </w:numPr>
              <w:spacing w:after="120"/>
              <w:jc w:val="left"/>
              <w:rPr>
                <w:rFonts w:asciiTheme="majorBidi" w:hAnsiTheme="majorBidi" w:cstheme="majorBidi"/>
              </w:rPr>
            </w:pPr>
            <w:hyperlink r:id="rId903">
              <w:r w:rsidR="2614D112" w:rsidRPr="00073574">
                <w:rPr>
                  <w:rStyle w:val="Hyperlink"/>
                  <w:rFonts w:asciiTheme="majorBidi" w:hAnsiTheme="majorBidi" w:cstheme="majorBidi"/>
                </w:rPr>
                <w:t>Flipbook on "Enhancing innovation and participation in smart sustainable cities"</w:t>
              </w:r>
            </w:hyperlink>
          </w:p>
          <w:p w14:paraId="42A64EF3" w14:textId="77777777" w:rsidR="0019377A" w:rsidRPr="00073574" w:rsidRDefault="0053741E" w:rsidP="00653FE4">
            <w:pPr>
              <w:pStyle w:val="normalWSIS"/>
              <w:numPr>
                <w:ilvl w:val="0"/>
                <w:numId w:val="43"/>
              </w:numPr>
              <w:spacing w:after="120"/>
              <w:jc w:val="left"/>
              <w:rPr>
                <w:rFonts w:asciiTheme="majorBidi" w:hAnsiTheme="majorBidi" w:cstheme="majorBidi"/>
              </w:rPr>
            </w:pPr>
            <w:hyperlink r:id="rId904">
              <w:r w:rsidR="2614D112" w:rsidRPr="00073574">
                <w:rPr>
                  <w:rStyle w:val="Hyperlink"/>
                  <w:rFonts w:asciiTheme="majorBidi" w:hAnsiTheme="majorBidi" w:cstheme="majorBidi"/>
                </w:rPr>
                <w:t>Flipbook on "Implementing SDG11 by connecting sustainability policies and urban planning practices through ICTs"</w:t>
              </w:r>
            </w:hyperlink>
            <w:r w:rsidR="2614D112" w:rsidRPr="00073574">
              <w:rPr>
                <w:rFonts w:asciiTheme="majorBidi" w:hAnsiTheme="majorBidi" w:cstheme="majorBidi"/>
              </w:rPr>
              <w:t>.</w:t>
            </w:r>
          </w:p>
          <w:p w14:paraId="6C1DF7AE" w14:textId="3E4297DC" w:rsidR="0019377A" w:rsidRPr="00073574" w:rsidRDefault="2614D112" w:rsidP="00653FE4">
            <w:pPr>
              <w:pStyle w:val="normalWSIS"/>
              <w:numPr>
                <w:ilvl w:val="0"/>
                <w:numId w:val="43"/>
              </w:numPr>
              <w:spacing w:after="120"/>
              <w:jc w:val="left"/>
              <w:rPr>
                <w:rFonts w:asciiTheme="majorBidi" w:eastAsia="Times New Roman" w:hAnsiTheme="majorBidi" w:cstheme="majorBidi"/>
              </w:rPr>
            </w:pPr>
            <w:r w:rsidRPr="00073574">
              <w:rPr>
                <w:rFonts w:asciiTheme="majorBidi" w:hAnsiTheme="majorBidi" w:cstheme="majorBidi"/>
              </w:rPr>
              <w:t xml:space="preserve">Flipbook on </w:t>
            </w:r>
            <w:hyperlink r:id="rId905">
              <w:r w:rsidRPr="00073574">
                <w:rPr>
                  <w:rStyle w:val="Hyperlink"/>
                  <w:rFonts w:asciiTheme="majorBidi" w:hAnsiTheme="majorBidi" w:cstheme="majorBidi"/>
                </w:rPr>
                <w:t>City Science Application Framework</w:t>
              </w:r>
            </w:hyperlink>
            <w:r w:rsidRPr="00073574">
              <w:rPr>
                <w:rFonts w:asciiTheme="majorBidi" w:hAnsiTheme="majorBidi" w:cstheme="majorBidi"/>
              </w:rPr>
              <w:t>.</w:t>
            </w:r>
            <w:r w:rsidR="198C4CE2" w:rsidRPr="00073574">
              <w:rPr>
                <w:rFonts w:asciiTheme="majorBidi" w:hAnsiTheme="majorBidi" w:cstheme="majorBidi"/>
              </w:rPr>
              <w:t xml:space="preserve"> </w:t>
            </w:r>
            <w:r w:rsidR="198C4CE2" w:rsidRPr="00073574">
              <w:rPr>
                <w:rFonts w:eastAsia="Times New Roman"/>
              </w:rPr>
              <w:t xml:space="preserve">and its </w:t>
            </w:r>
            <w:hyperlink r:id="rId906">
              <w:r w:rsidR="198C4CE2" w:rsidRPr="00073574">
                <w:rPr>
                  <w:rStyle w:val="Hyperlink"/>
                  <w:rFonts w:eastAsia="Times New Roman"/>
                </w:rPr>
                <w:t>8 case studies</w:t>
              </w:r>
            </w:hyperlink>
            <w:r w:rsidR="198C4CE2" w:rsidRPr="00073574">
              <w:rPr>
                <w:rFonts w:eastAsia="Times New Roman"/>
              </w:rPr>
              <w:t>.</w:t>
            </w:r>
          </w:p>
          <w:p w14:paraId="3913F6F1" w14:textId="4644AF48" w:rsidR="0019377A" w:rsidRPr="00073574" w:rsidRDefault="0053741E" w:rsidP="00742FCB">
            <w:pPr>
              <w:pStyle w:val="ListParagraph"/>
              <w:numPr>
                <w:ilvl w:val="1"/>
                <w:numId w:val="43"/>
              </w:numPr>
              <w:spacing w:after="120"/>
              <w:ind w:left="1502" w:hanging="357"/>
              <w:contextualSpacing w:val="0"/>
              <w:rPr>
                <w:rStyle w:val="Hyperlink"/>
                <w:rFonts w:ascii="Symbol" w:eastAsia="Symbol" w:hAnsi="Symbol" w:cs="Symbol"/>
              </w:rPr>
            </w:pPr>
            <w:hyperlink r:id="rId907">
              <w:r w:rsidR="198C4CE2" w:rsidRPr="00073574">
                <w:rPr>
                  <w:rStyle w:val="Hyperlink"/>
                  <w:rFonts w:eastAsia="Times New Roman"/>
                </w:rPr>
                <w:t>Air quality management in Southern California, USA</w:t>
              </w:r>
            </w:hyperlink>
          </w:p>
          <w:p w14:paraId="22F56FB3" w14:textId="363A8F4E" w:rsidR="0019377A" w:rsidRPr="00073574" w:rsidRDefault="0053741E" w:rsidP="00742FCB">
            <w:pPr>
              <w:pStyle w:val="ListParagraph"/>
              <w:numPr>
                <w:ilvl w:val="1"/>
                <w:numId w:val="43"/>
              </w:numPr>
              <w:spacing w:after="120"/>
              <w:ind w:left="1502" w:hanging="357"/>
              <w:contextualSpacing w:val="0"/>
              <w:rPr>
                <w:rStyle w:val="Hyperlink"/>
                <w:rFonts w:ascii="Symbol" w:eastAsia="Symbol" w:hAnsi="Symbol" w:cs="Symbol"/>
              </w:rPr>
            </w:pPr>
            <w:hyperlink r:id="rId908">
              <w:r w:rsidR="198C4CE2" w:rsidRPr="00073574">
                <w:rPr>
                  <w:rStyle w:val="Hyperlink"/>
                  <w:rFonts w:eastAsia="Times New Roman"/>
                </w:rPr>
                <w:t>Smart Dubai Happiness Meter in Dubai, United Arab Emirates</w:t>
              </w:r>
            </w:hyperlink>
          </w:p>
          <w:p w14:paraId="2962408E" w14:textId="7FC214EB" w:rsidR="0019377A" w:rsidRPr="00073574" w:rsidRDefault="0053741E" w:rsidP="00742FCB">
            <w:pPr>
              <w:pStyle w:val="ListParagraph"/>
              <w:numPr>
                <w:ilvl w:val="1"/>
                <w:numId w:val="43"/>
              </w:numPr>
              <w:spacing w:after="120"/>
              <w:ind w:left="1502" w:hanging="357"/>
              <w:contextualSpacing w:val="0"/>
              <w:rPr>
                <w:rStyle w:val="Hyperlink"/>
                <w:rFonts w:ascii="Symbol" w:eastAsia="Symbol" w:hAnsi="Symbol" w:cs="Symbol"/>
              </w:rPr>
            </w:pPr>
            <w:hyperlink r:id="rId909">
              <w:r w:rsidR="198C4CE2" w:rsidRPr="00073574">
                <w:rPr>
                  <w:rStyle w:val="Hyperlink"/>
                  <w:rFonts w:eastAsia="Times New Roman"/>
                </w:rPr>
                <w:t>Crime prediction for more agile policing in cities - Rio de Janeiro, Brazil</w:t>
              </w:r>
            </w:hyperlink>
          </w:p>
          <w:p w14:paraId="28730AF0" w14:textId="174AF5B5" w:rsidR="0019377A" w:rsidRPr="00073574" w:rsidRDefault="0053741E" w:rsidP="00742FCB">
            <w:pPr>
              <w:pStyle w:val="ListParagraph"/>
              <w:numPr>
                <w:ilvl w:val="1"/>
                <w:numId w:val="43"/>
              </w:numPr>
              <w:spacing w:after="120"/>
              <w:ind w:left="1502" w:hanging="357"/>
              <w:contextualSpacing w:val="0"/>
              <w:rPr>
                <w:rStyle w:val="Hyperlink"/>
                <w:rFonts w:ascii="Symbol" w:eastAsia="Symbol" w:hAnsi="Symbol" w:cs="Symbol"/>
              </w:rPr>
            </w:pPr>
            <w:hyperlink r:id="rId910">
              <w:r w:rsidR="198C4CE2" w:rsidRPr="00073574">
                <w:rPr>
                  <w:rStyle w:val="Hyperlink"/>
                  <w:rFonts w:eastAsia="Times New Roman"/>
                </w:rPr>
                <w:t>Data driven energy savings in the Hyperdome shopping centre in Queensland, Australia</w:t>
              </w:r>
            </w:hyperlink>
          </w:p>
          <w:p w14:paraId="59173FA5" w14:textId="4B715930" w:rsidR="0019377A" w:rsidRPr="00073574" w:rsidRDefault="0053741E" w:rsidP="00742FCB">
            <w:pPr>
              <w:pStyle w:val="ListParagraph"/>
              <w:numPr>
                <w:ilvl w:val="1"/>
                <w:numId w:val="43"/>
              </w:numPr>
              <w:spacing w:after="120"/>
              <w:ind w:left="1502" w:hanging="357"/>
              <w:contextualSpacing w:val="0"/>
              <w:rPr>
                <w:rStyle w:val="Hyperlink"/>
                <w:rFonts w:ascii="Symbol" w:eastAsia="Symbol" w:hAnsi="Symbol" w:cs="Symbol"/>
              </w:rPr>
            </w:pPr>
            <w:hyperlink r:id="rId911">
              <w:r w:rsidR="198C4CE2" w:rsidRPr="00073574">
                <w:rPr>
                  <w:rStyle w:val="Hyperlink"/>
                  <w:rFonts w:eastAsia="Times New Roman"/>
                </w:rPr>
                <w:t>Fine dust filtration in Stuttgart, Germany</w:t>
              </w:r>
            </w:hyperlink>
          </w:p>
          <w:p w14:paraId="5E3A766C" w14:textId="2ACCBE48" w:rsidR="0019377A" w:rsidRPr="00073574" w:rsidRDefault="0053741E" w:rsidP="00742FCB">
            <w:pPr>
              <w:pStyle w:val="ListParagraph"/>
              <w:numPr>
                <w:ilvl w:val="1"/>
                <w:numId w:val="43"/>
              </w:numPr>
              <w:spacing w:after="120"/>
              <w:ind w:left="1502" w:hanging="357"/>
              <w:contextualSpacing w:val="0"/>
              <w:rPr>
                <w:rStyle w:val="Hyperlink"/>
                <w:rFonts w:ascii="Symbol" w:eastAsia="Symbol" w:hAnsi="Symbol" w:cs="Symbol"/>
              </w:rPr>
            </w:pPr>
            <w:hyperlink r:id="rId912">
              <w:r w:rsidR="198C4CE2" w:rsidRPr="00073574">
                <w:rPr>
                  <w:rStyle w:val="Hyperlink"/>
                  <w:rFonts w:eastAsia="Times New Roman"/>
                </w:rPr>
                <w:t>Smart Dubai - Rashid - City Concierge</w:t>
              </w:r>
            </w:hyperlink>
          </w:p>
          <w:p w14:paraId="7FED28F8" w14:textId="4B2290C3" w:rsidR="0019377A" w:rsidRPr="00073574" w:rsidRDefault="0053741E" w:rsidP="00742FCB">
            <w:pPr>
              <w:pStyle w:val="ListParagraph"/>
              <w:numPr>
                <w:ilvl w:val="1"/>
                <w:numId w:val="43"/>
              </w:numPr>
              <w:spacing w:after="120"/>
              <w:ind w:left="1502" w:hanging="357"/>
              <w:contextualSpacing w:val="0"/>
              <w:rPr>
                <w:rStyle w:val="Hyperlink"/>
                <w:rFonts w:ascii="Symbol" w:eastAsia="Symbol" w:hAnsi="Symbol" w:cs="Symbol"/>
              </w:rPr>
            </w:pPr>
            <w:hyperlink r:id="rId913">
              <w:r w:rsidR="198C4CE2" w:rsidRPr="00073574">
                <w:rPr>
                  <w:rStyle w:val="Hyperlink"/>
                  <w:rFonts w:eastAsia="Times New Roman"/>
                </w:rPr>
                <w:t>Identifying the cascading effects on vital objects during flooding</w:t>
              </w:r>
            </w:hyperlink>
          </w:p>
          <w:p w14:paraId="61A21087" w14:textId="66FC07BB" w:rsidR="0019377A" w:rsidRPr="00073574" w:rsidRDefault="0053741E" w:rsidP="00742FCB">
            <w:pPr>
              <w:pStyle w:val="ListParagraph"/>
              <w:numPr>
                <w:ilvl w:val="1"/>
                <w:numId w:val="43"/>
              </w:numPr>
              <w:spacing w:after="120"/>
              <w:ind w:left="1502" w:hanging="357"/>
              <w:contextualSpacing w:val="0"/>
              <w:rPr>
                <w:rStyle w:val="Hyperlink"/>
                <w:rFonts w:ascii="Symbol" w:eastAsia="Symbol" w:hAnsi="Symbol" w:cs="Symbol"/>
              </w:rPr>
            </w:pPr>
            <w:hyperlink r:id="rId914">
              <w:r w:rsidR="198C4CE2" w:rsidRPr="00073574">
                <w:rPr>
                  <w:rStyle w:val="Hyperlink"/>
                  <w:rFonts w:eastAsia="Times New Roman"/>
                </w:rPr>
                <w:t xml:space="preserve">Unlocking the potential of trust-based AI for city science and smart cities </w:t>
              </w:r>
            </w:hyperlink>
          </w:p>
          <w:p w14:paraId="24A39581" w14:textId="69506C17" w:rsidR="0019377A" w:rsidRPr="00073574" w:rsidRDefault="198C4CE2" w:rsidP="00653FE4">
            <w:pPr>
              <w:pStyle w:val="ListParagraph"/>
              <w:numPr>
                <w:ilvl w:val="0"/>
                <w:numId w:val="43"/>
              </w:numPr>
              <w:spacing w:after="120"/>
              <w:rPr>
                <w:rStyle w:val="Hyperlink"/>
                <w:rFonts w:eastAsia="Times New Roman"/>
              </w:rPr>
            </w:pPr>
            <w:r w:rsidRPr="00073574">
              <w:t xml:space="preserve"> </w:t>
            </w:r>
            <w:hyperlink r:id="rId915">
              <w:r w:rsidRPr="00073574">
                <w:rPr>
                  <w:rStyle w:val="Hyperlink"/>
                  <w:rFonts w:eastAsia="Times New Roman"/>
                </w:rPr>
                <w:t>A Guide to Circular Cities</w:t>
              </w:r>
            </w:hyperlink>
            <w:r w:rsidRPr="00073574">
              <w:t xml:space="preserve"> and its </w:t>
            </w:r>
            <w:hyperlink r:id="rId916">
              <w:r w:rsidRPr="00073574">
                <w:rPr>
                  <w:rStyle w:val="Hyperlink"/>
                  <w:rFonts w:eastAsia="Times New Roman"/>
                </w:rPr>
                <w:t>8 Case studies</w:t>
              </w:r>
            </w:hyperlink>
          </w:p>
          <w:p w14:paraId="0AF34B2E" w14:textId="611E98AF" w:rsidR="0019377A" w:rsidRPr="00073574" w:rsidRDefault="0053741E" w:rsidP="00742FCB">
            <w:pPr>
              <w:pStyle w:val="ListParagraph"/>
              <w:numPr>
                <w:ilvl w:val="1"/>
                <w:numId w:val="43"/>
              </w:numPr>
              <w:spacing w:after="120"/>
              <w:ind w:left="1502" w:hanging="357"/>
              <w:contextualSpacing w:val="0"/>
              <w:jc w:val="both"/>
              <w:rPr>
                <w:rStyle w:val="Hyperlink"/>
                <w:rFonts w:ascii="Symbol" w:eastAsia="Symbol" w:hAnsi="Symbol" w:cs="Symbol"/>
              </w:rPr>
            </w:pPr>
            <w:hyperlink r:id="rId917">
              <w:r w:rsidR="198C4CE2" w:rsidRPr="00073574">
                <w:rPr>
                  <w:rStyle w:val="Hyperlink"/>
                  <w:rFonts w:eastAsia="Times New Roman"/>
                </w:rPr>
                <w:t>Energy Efficiency in Buildings</w:t>
              </w:r>
            </w:hyperlink>
          </w:p>
          <w:p w14:paraId="11C50B4A" w14:textId="2234D3F5" w:rsidR="0019377A" w:rsidRPr="00073574" w:rsidRDefault="0053741E" w:rsidP="00742FCB">
            <w:pPr>
              <w:pStyle w:val="ListParagraph"/>
              <w:numPr>
                <w:ilvl w:val="1"/>
                <w:numId w:val="43"/>
              </w:numPr>
              <w:spacing w:after="120"/>
              <w:ind w:left="1502" w:hanging="357"/>
              <w:contextualSpacing w:val="0"/>
              <w:jc w:val="both"/>
              <w:rPr>
                <w:rStyle w:val="Hyperlink"/>
                <w:rFonts w:ascii="Symbol" w:eastAsia="Symbol" w:hAnsi="Symbol" w:cs="Symbol"/>
              </w:rPr>
            </w:pPr>
            <w:hyperlink r:id="rId918">
              <w:r w:rsidR="198C4CE2" w:rsidRPr="00073574">
                <w:rPr>
                  <w:rStyle w:val="Hyperlink"/>
                  <w:rFonts w:eastAsia="Times New Roman"/>
                </w:rPr>
                <w:t>City Solid Waste Management</w:t>
              </w:r>
            </w:hyperlink>
          </w:p>
          <w:p w14:paraId="31A49167" w14:textId="5CAE5063" w:rsidR="0019377A" w:rsidRPr="00073574" w:rsidRDefault="0053741E" w:rsidP="00742FCB">
            <w:pPr>
              <w:pStyle w:val="ListParagraph"/>
              <w:numPr>
                <w:ilvl w:val="1"/>
                <w:numId w:val="43"/>
              </w:numPr>
              <w:spacing w:after="120"/>
              <w:ind w:left="1502" w:hanging="357"/>
              <w:contextualSpacing w:val="0"/>
              <w:jc w:val="both"/>
              <w:rPr>
                <w:rStyle w:val="Hyperlink"/>
                <w:rFonts w:ascii="Symbol" w:eastAsia="Symbol" w:hAnsi="Symbol" w:cs="Symbol"/>
              </w:rPr>
            </w:pPr>
            <w:hyperlink r:id="rId919">
              <w:r w:rsidR="198C4CE2" w:rsidRPr="00073574">
                <w:rPr>
                  <w:rStyle w:val="Hyperlink"/>
                  <w:rFonts w:eastAsia="Times New Roman"/>
                </w:rPr>
                <w:t>Affordable Housing and Social Inclusion</w:t>
              </w:r>
            </w:hyperlink>
          </w:p>
          <w:p w14:paraId="0CFB7EE2" w14:textId="6F1EC57D" w:rsidR="0019377A" w:rsidRPr="00073574" w:rsidRDefault="0053741E" w:rsidP="00742FCB">
            <w:pPr>
              <w:pStyle w:val="ListParagraph"/>
              <w:numPr>
                <w:ilvl w:val="1"/>
                <w:numId w:val="43"/>
              </w:numPr>
              <w:spacing w:after="120"/>
              <w:ind w:left="1502" w:hanging="357"/>
              <w:contextualSpacing w:val="0"/>
              <w:jc w:val="both"/>
              <w:rPr>
                <w:rStyle w:val="Hyperlink"/>
                <w:rFonts w:ascii="Symbol" w:eastAsia="Symbol" w:hAnsi="Symbol" w:cs="Symbol"/>
              </w:rPr>
            </w:pPr>
            <w:hyperlink r:id="rId920">
              <w:r w:rsidR="198C4CE2" w:rsidRPr="00073574">
                <w:rPr>
                  <w:rStyle w:val="Hyperlink"/>
                  <w:rFonts w:eastAsia="Times New Roman"/>
                </w:rPr>
                <w:t>Urban Mobility</w:t>
              </w:r>
            </w:hyperlink>
          </w:p>
          <w:p w14:paraId="4CFAAF3C" w14:textId="3A405640" w:rsidR="0019377A" w:rsidRPr="00073574" w:rsidRDefault="0053741E" w:rsidP="00742FCB">
            <w:pPr>
              <w:pStyle w:val="ListParagraph"/>
              <w:numPr>
                <w:ilvl w:val="1"/>
                <w:numId w:val="43"/>
              </w:numPr>
              <w:spacing w:after="120"/>
              <w:ind w:left="1502" w:hanging="357"/>
              <w:contextualSpacing w:val="0"/>
              <w:jc w:val="both"/>
              <w:rPr>
                <w:rStyle w:val="Hyperlink"/>
                <w:rFonts w:ascii="Symbol" w:eastAsia="Symbol" w:hAnsi="Symbol" w:cs="Symbol"/>
              </w:rPr>
            </w:pPr>
            <w:hyperlink r:id="rId921">
              <w:r w:rsidR="198C4CE2" w:rsidRPr="00073574">
                <w:rPr>
                  <w:rStyle w:val="Hyperlink"/>
                  <w:rFonts w:eastAsia="Times New Roman"/>
                </w:rPr>
                <w:t xml:space="preserve">Re-use of Consumer Goods and Tools Loaning </w:t>
              </w:r>
            </w:hyperlink>
          </w:p>
          <w:p w14:paraId="4FFD98B8" w14:textId="2615E5E7" w:rsidR="0019377A" w:rsidRPr="00073574" w:rsidRDefault="0053741E" w:rsidP="00742FCB">
            <w:pPr>
              <w:pStyle w:val="ListParagraph"/>
              <w:numPr>
                <w:ilvl w:val="1"/>
                <w:numId w:val="43"/>
              </w:numPr>
              <w:spacing w:after="120"/>
              <w:ind w:left="1502" w:hanging="357"/>
              <w:contextualSpacing w:val="0"/>
              <w:jc w:val="both"/>
              <w:rPr>
                <w:rStyle w:val="Hyperlink"/>
                <w:rFonts w:ascii="Symbol" w:eastAsia="Symbol" w:hAnsi="Symbol" w:cs="Symbol"/>
              </w:rPr>
            </w:pPr>
            <w:hyperlink r:id="rId922">
              <w:r w:rsidR="198C4CE2" w:rsidRPr="00073574">
                <w:rPr>
                  <w:rStyle w:val="Hyperlink"/>
                  <w:rFonts w:eastAsia="Times New Roman"/>
                </w:rPr>
                <w:t>Reducing Food Waste</w:t>
              </w:r>
            </w:hyperlink>
          </w:p>
          <w:p w14:paraId="0629D137" w14:textId="5095582A" w:rsidR="0019377A" w:rsidRPr="00073574" w:rsidRDefault="0053741E" w:rsidP="00742FCB">
            <w:pPr>
              <w:pStyle w:val="ListParagraph"/>
              <w:numPr>
                <w:ilvl w:val="1"/>
                <w:numId w:val="43"/>
              </w:numPr>
              <w:spacing w:after="120"/>
              <w:ind w:left="1502" w:hanging="357"/>
              <w:contextualSpacing w:val="0"/>
              <w:jc w:val="both"/>
              <w:rPr>
                <w:rStyle w:val="Hyperlink"/>
                <w:rFonts w:ascii="Symbol" w:eastAsia="Symbol" w:hAnsi="Symbol" w:cs="Symbol"/>
              </w:rPr>
            </w:pPr>
            <w:hyperlink r:id="rId923">
              <w:r w:rsidR="198C4CE2" w:rsidRPr="00073574">
                <w:rPr>
                  <w:rStyle w:val="Hyperlink"/>
                  <w:rFonts w:eastAsia="Times New Roman"/>
                </w:rPr>
                <w:t>Participatory Urban Planning</w:t>
              </w:r>
            </w:hyperlink>
          </w:p>
          <w:p w14:paraId="0F7E43B6" w14:textId="39CE8354" w:rsidR="0019377A" w:rsidRPr="00073574" w:rsidRDefault="0053741E" w:rsidP="00742FCB">
            <w:pPr>
              <w:pStyle w:val="ListParagraph"/>
              <w:numPr>
                <w:ilvl w:val="1"/>
                <w:numId w:val="43"/>
              </w:numPr>
              <w:spacing w:after="120"/>
              <w:ind w:left="1502" w:hanging="357"/>
              <w:contextualSpacing w:val="0"/>
              <w:jc w:val="both"/>
              <w:rPr>
                <w:rStyle w:val="Hyperlink"/>
                <w:rFonts w:ascii="Symbol" w:eastAsia="Symbol" w:hAnsi="Symbol" w:cs="Symbol"/>
              </w:rPr>
            </w:pPr>
            <w:hyperlink r:id="rId924">
              <w:r w:rsidR="198C4CE2" w:rsidRPr="00073574">
                <w:rPr>
                  <w:rStyle w:val="Hyperlink"/>
                  <w:rFonts w:eastAsia="Times New Roman"/>
                </w:rPr>
                <w:t xml:space="preserve">Circularity to Promote Local Businesses and Digitization </w:t>
              </w:r>
            </w:hyperlink>
          </w:p>
          <w:p w14:paraId="5C61C7E4" w14:textId="77777777" w:rsidR="00653FE4" w:rsidRPr="00073574" w:rsidRDefault="0053741E" w:rsidP="00450243">
            <w:pPr>
              <w:numPr>
                <w:ilvl w:val="0"/>
                <w:numId w:val="43"/>
              </w:numPr>
              <w:shd w:val="clear" w:color="auto" w:fill="FFFFFF"/>
              <w:textAlignment w:val="baseline"/>
              <w:rPr>
                <w:rFonts w:eastAsia="Times New Roman"/>
                <w:color w:val="0000FF"/>
                <w:u w:val="single"/>
              </w:rPr>
            </w:pPr>
            <w:hyperlink r:id="rId925" w:history="1">
              <w:r w:rsidR="00653FE4" w:rsidRPr="00073574">
                <w:rPr>
                  <w:rStyle w:val="Hyperlink"/>
                  <w:rFonts w:eastAsia="Times New Roman"/>
                </w:rPr>
                <w:t>Accelerating city transformation using frontier technologies</w:t>
              </w:r>
            </w:hyperlink>
          </w:p>
          <w:p w14:paraId="2E3E5104" w14:textId="3CFE18DF" w:rsidR="00653FE4" w:rsidRPr="00073574" w:rsidRDefault="0053741E" w:rsidP="00450243">
            <w:pPr>
              <w:numPr>
                <w:ilvl w:val="0"/>
                <w:numId w:val="43"/>
              </w:numPr>
              <w:shd w:val="clear" w:color="auto" w:fill="FFFFFF"/>
              <w:textAlignment w:val="baseline"/>
              <w:rPr>
                <w:rFonts w:eastAsia="Times New Roman"/>
                <w:color w:val="0000FF"/>
                <w:u w:val="single"/>
              </w:rPr>
            </w:pPr>
            <w:hyperlink r:id="rId926" w:history="1">
              <w:r w:rsidR="00653FE4" w:rsidRPr="00073574">
                <w:rPr>
                  <w:rStyle w:val="Hyperlink"/>
                  <w:rFonts w:eastAsia="Times New Roman"/>
                </w:rPr>
                <w:t>Blockchain for smart sustainable cities</w:t>
              </w:r>
            </w:hyperlink>
          </w:p>
          <w:p w14:paraId="27B6E278" w14:textId="77777777" w:rsidR="00653FE4" w:rsidRPr="00073574" w:rsidRDefault="0053741E" w:rsidP="00450243">
            <w:pPr>
              <w:numPr>
                <w:ilvl w:val="0"/>
                <w:numId w:val="43"/>
              </w:numPr>
              <w:shd w:val="clear" w:color="auto" w:fill="FFFFFF"/>
              <w:textAlignment w:val="baseline"/>
              <w:rPr>
                <w:rStyle w:val="Hyperlink"/>
                <w:rFonts w:eastAsia="Times New Roman"/>
              </w:rPr>
            </w:pPr>
            <w:hyperlink r:id="rId927" w:history="1">
              <w:r w:rsidR="00653FE4" w:rsidRPr="00073574">
                <w:rPr>
                  <w:rStyle w:val="Hyperlink"/>
                  <w:rFonts w:eastAsia="Times New Roman"/>
                </w:rPr>
                <w:t>Simple ways to be smart</w:t>
              </w:r>
            </w:hyperlink>
          </w:p>
          <w:p w14:paraId="321B3C60" w14:textId="1B69D2A6" w:rsidR="00363340" w:rsidRPr="00073574" w:rsidRDefault="0053741E" w:rsidP="00450243">
            <w:pPr>
              <w:numPr>
                <w:ilvl w:val="0"/>
                <w:numId w:val="43"/>
              </w:numPr>
              <w:shd w:val="clear" w:color="auto" w:fill="FFFFFF"/>
              <w:textAlignment w:val="baseline"/>
              <w:rPr>
                <w:rFonts w:eastAsia="Times New Roman"/>
                <w:color w:val="0000FF"/>
                <w:u w:val="single"/>
              </w:rPr>
            </w:pPr>
            <w:hyperlink r:id="rId928" w:history="1">
              <w:r w:rsidR="00EF3493" w:rsidRPr="00073574">
                <w:rPr>
                  <w:rStyle w:val="Hyperlink"/>
                  <w:rFonts w:eastAsia="Times New Roman"/>
                </w:rPr>
                <w:t>Guidelines on tools and mechanisms to finance smart sustainable cities projects</w:t>
              </w:r>
            </w:hyperlink>
          </w:p>
          <w:p w14:paraId="01EB002C" w14:textId="54AA4568" w:rsidR="00EF3493" w:rsidRPr="00073574" w:rsidRDefault="0053741E" w:rsidP="00450243">
            <w:pPr>
              <w:numPr>
                <w:ilvl w:val="0"/>
                <w:numId w:val="43"/>
              </w:numPr>
              <w:shd w:val="clear" w:color="auto" w:fill="FFFFFF"/>
              <w:textAlignment w:val="baseline"/>
              <w:rPr>
                <w:rFonts w:eastAsia="Times New Roman"/>
                <w:color w:val="0000FF"/>
                <w:u w:val="single"/>
              </w:rPr>
            </w:pPr>
            <w:hyperlink r:id="rId929" w:anchor="p=1" w:history="1">
              <w:r w:rsidR="00E3760F" w:rsidRPr="00073574">
                <w:rPr>
                  <w:rStyle w:val="Hyperlink"/>
                  <w:rFonts w:eastAsia="Times New Roman"/>
                </w:rPr>
                <w:t>Digital solutions for integrated city management and use cases</w:t>
              </w:r>
            </w:hyperlink>
          </w:p>
          <w:p w14:paraId="06FBE34E" w14:textId="75122971" w:rsidR="00E3760F" w:rsidRPr="00073574" w:rsidRDefault="0053741E" w:rsidP="00450243">
            <w:pPr>
              <w:numPr>
                <w:ilvl w:val="0"/>
                <w:numId w:val="43"/>
              </w:numPr>
              <w:shd w:val="clear" w:color="auto" w:fill="FFFFFF"/>
              <w:textAlignment w:val="baseline"/>
              <w:rPr>
                <w:rFonts w:eastAsia="Times New Roman"/>
                <w:color w:val="0000FF"/>
                <w:u w:val="single"/>
              </w:rPr>
            </w:pPr>
            <w:hyperlink r:id="rId930" w:anchor="p=1" w:history="1">
              <w:r w:rsidR="004E68AE" w:rsidRPr="00073574">
                <w:rPr>
                  <w:rStyle w:val="Hyperlink"/>
                  <w:rFonts w:eastAsia="Times New Roman"/>
                </w:rPr>
                <w:t xml:space="preserve">Compendium of survey results </w:t>
              </w:r>
              <w:r w:rsidR="0018325B" w:rsidRPr="00073574">
                <w:rPr>
                  <w:rStyle w:val="Hyperlink"/>
                  <w:rFonts w:eastAsia="Times New Roman"/>
                </w:rPr>
                <w:t>on integrated digital</w:t>
              </w:r>
              <w:r w:rsidR="0039477F" w:rsidRPr="00073574">
                <w:rPr>
                  <w:rStyle w:val="Hyperlink"/>
                  <w:rFonts w:eastAsia="Times New Roman"/>
                </w:rPr>
                <w:t xml:space="preserve"> solutions for city platforms around the world</w:t>
              </w:r>
            </w:hyperlink>
          </w:p>
          <w:p w14:paraId="06C62181" w14:textId="44E34060" w:rsidR="0006495A" w:rsidRPr="00073574" w:rsidRDefault="0006495A" w:rsidP="00450243">
            <w:pPr>
              <w:numPr>
                <w:ilvl w:val="0"/>
                <w:numId w:val="43"/>
              </w:numPr>
              <w:shd w:val="clear" w:color="auto" w:fill="FFFFFF"/>
              <w:textAlignment w:val="baseline"/>
              <w:rPr>
                <w:rFonts w:eastAsia="Times New Roman"/>
                <w:color w:val="0000FF"/>
                <w:u w:val="single"/>
              </w:rPr>
            </w:pPr>
            <w:r w:rsidRPr="00073574">
              <w:rPr>
                <w:rFonts w:eastAsia="Times New Roman"/>
                <w:color w:val="0000FF"/>
                <w:u w:val="single"/>
              </w:rPr>
              <w:t>Smart public health emergency management and ICT implementations</w:t>
            </w:r>
          </w:p>
          <w:p w14:paraId="4B27875F" w14:textId="60D72DCA" w:rsidR="0019377A" w:rsidRPr="00073574" w:rsidRDefault="198C4CE2" w:rsidP="00366B4E">
            <w:pPr>
              <w:spacing w:after="120" w:line="257" w:lineRule="auto"/>
              <w:rPr>
                <w:rStyle w:val="Hyperlink"/>
                <w:rFonts w:eastAsia="Times New Roman"/>
                <w:szCs w:val="22"/>
              </w:rPr>
            </w:pPr>
            <w:r w:rsidRPr="00073574">
              <w:rPr>
                <w:rFonts w:eastAsia="Times New Roman"/>
              </w:rPr>
              <w:t>Please find all U4SSC deliverables available at:</w:t>
            </w:r>
            <w:r w:rsidR="3BBAA266" w:rsidRPr="00073574">
              <w:rPr>
                <w:rFonts w:eastAsia="Times New Roman"/>
              </w:rPr>
              <w:t xml:space="preserve"> </w:t>
            </w:r>
            <w:hyperlink r:id="rId931" w:history="1">
              <w:r w:rsidR="001357A8" w:rsidRPr="00073574">
                <w:rPr>
                  <w:rStyle w:val="Hyperlink"/>
                  <w:rFonts w:eastAsia="Times New Roman"/>
                </w:rPr>
                <w:t>https://www.itu.int/en/ITU-T/ssc/united/Pages/publications-U4SSC.aspx</w:t>
              </w:r>
            </w:hyperlink>
          </w:p>
          <w:p w14:paraId="1A6C003F" w14:textId="77777777" w:rsidR="0019377A" w:rsidRPr="00073574" w:rsidRDefault="2614D112" w:rsidP="0019377A">
            <w:pPr>
              <w:pStyle w:val="normalWSIS"/>
              <w:numPr>
                <w:ilvl w:val="0"/>
                <w:numId w:val="0"/>
              </w:numPr>
              <w:spacing w:after="120"/>
              <w:jc w:val="left"/>
              <w:rPr>
                <w:rFonts w:asciiTheme="majorBidi" w:hAnsiTheme="majorBidi" w:cstheme="majorBidi"/>
              </w:rPr>
            </w:pPr>
            <w:r w:rsidRPr="00073574">
              <w:rPr>
                <w:rFonts w:asciiTheme="majorBidi" w:hAnsiTheme="majorBidi" w:cstheme="majorBidi"/>
              </w:rPr>
              <w:lastRenderedPageBreak/>
              <w:t>U4SSC is currently working on the following Thematic Groups:</w:t>
            </w:r>
          </w:p>
          <w:p w14:paraId="691BDBB7" w14:textId="54708D5F" w:rsidR="7BA2C520" w:rsidRPr="00073574" w:rsidRDefault="7BA2C520" w:rsidP="00742FCB">
            <w:pPr>
              <w:pStyle w:val="normalWSIS"/>
              <w:numPr>
                <w:ilvl w:val="0"/>
                <w:numId w:val="43"/>
              </w:numPr>
              <w:spacing w:after="0"/>
              <w:ind w:left="782" w:hanging="357"/>
              <w:rPr>
                <w:rFonts w:eastAsia="Times New Roman"/>
              </w:rPr>
            </w:pPr>
            <w:r w:rsidRPr="00073574">
              <w:t>Economic recovery in cities and urban resilience building in the time of COVID-19</w:t>
            </w:r>
          </w:p>
          <w:p w14:paraId="0C62B307" w14:textId="135082FB" w:rsidR="00C15120" w:rsidRPr="00073574" w:rsidRDefault="00C15120" w:rsidP="00742FCB">
            <w:pPr>
              <w:pStyle w:val="normalWSIS"/>
              <w:numPr>
                <w:ilvl w:val="0"/>
                <w:numId w:val="43"/>
              </w:numPr>
              <w:spacing w:after="0"/>
              <w:ind w:left="782" w:hanging="357"/>
              <w:rPr>
                <w:rFonts w:eastAsia="Times New Roman"/>
              </w:rPr>
            </w:pPr>
            <w:r w:rsidRPr="00073574">
              <w:t xml:space="preserve">Innovative Financing Instruments for Smart Sustainable Cities  </w:t>
            </w:r>
          </w:p>
          <w:p w14:paraId="5AFB93F1" w14:textId="77777777" w:rsidR="0019377A" w:rsidRPr="00073574" w:rsidRDefault="0019377A" w:rsidP="00742FCB">
            <w:pPr>
              <w:pStyle w:val="normalWSIS"/>
              <w:numPr>
                <w:ilvl w:val="0"/>
                <w:numId w:val="43"/>
              </w:numPr>
              <w:spacing w:after="0"/>
              <w:ind w:left="782" w:hanging="357"/>
              <w:rPr>
                <w:rFonts w:asciiTheme="majorBidi" w:hAnsiTheme="majorBidi" w:cstheme="majorBidi"/>
              </w:rPr>
            </w:pPr>
            <w:r w:rsidRPr="00073574">
              <w:rPr>
                <w:rFonts w:asciiTheme="majorBidi" w:hAnsiTheme="majorBidi" w:cstheme="majorBidi"/>
              </w:rPr>
              <w:t>Guiding principles for artificial intelligence in cities</w:t>
            </w:r>
          </w:p>
          <w:p w14:paraId="28BE16CA" w14:textId="3044B0F0" w:rsidR="0019377A" w:rsidRPr="00073574" w:rsidRDefault="0019377A" w:rsidP="00742FCB">
            <w:pPr>
              <w:pStyle w:val="normalWSIS"/>
              <w:numPr>
                <w:ilvl w:val="0"/>
                <w:numId w:val="43"/>
              </w:numPr>
              <w:spacing w:after="0"/>
              <w:ind w:left="782" w:hanging="357"/>
              <w:rPr>
                <w:rFonts w:asciiTheme="majorBidi" w:hAnsiTheme="majorBidi" w:cstheme="majorBidi"/>
              </w:rPr>
            </w:pPr>
            <w:r w:rsidRPr="00073574">
              <w:rPr>
                <w:rFonts w:asciiTheme="majorBidi" w:hAnsiTheme="majorBidi" w:cstheme="majorBidi"/>
              </w:rPr>
              <w:t>Procurement Guidelines for Smart Sustainable Cities</w:t>
            </w:r>
          </w:p>
          <w:p w14:paraId="1F7D1222" w14:textId="77777777" w:rsidR="0019377A" w:rsidRPr="00073574" w:rsidRDefault="0019377A" w:rsidP="00742FCB">
            <w:pPr>
              <w:pStyle w:val="normalWSIS"/>
              <w:numPr>
                <w:ilvl w:val="0"/>
                <w:numId w:val="43"/>
              </w:numPr>
              <w:spacing w:after="0"/>
              <w:ind w:left="782" w:hanging="357"/>
              <w:jc w:val="left"/>
              <w:rPr>
                <w:rFonts w:asciiTheme="majorBidi" w:hAnsiTheme="majorBidi" w:cstheme="majorBidi"/>
              </w:rPr>
            </w:pPr>
            <w:r w:rsidRPr="00073574">
              <w:rPr>
                <w:rFonts w:asciiTheme="majorBidi" w:hAnsiTheme="majorBidi" w:cstheme="majorBidi"/>
              </w:rPr>
              <w:t>City Platforms</w:t>
            </w:r>
          </w:p>
          <w:p w14:paraId="0C4FF7B5" w14:textId="36424EAC" w:rsidR="0019377A" w:rsidRPr="00073574" w:rsidRDefault="0019377A" w:rsidP="00450243">
            <w:pPr>
              <w:pStyle w:val="normalWSIS"/>
              <w:numPr>
                <w:ilvl w:val="0"/>
                <w:numId w:val="0"/>
              </w:numPr>
              <w:spacing w:before="240" w:after="120"/>
              <w:jc w:val="left"/>
              <w:rPr>
                <w:rFonts w:asciiTheme="majorBidi" w:hAnsiTheme="majorBidi" w:cstheme="majorBidi"/>
              </w:rPr>
            </w:pPr>
            <w:r w:rsidRPr="00073574">
              <w:rPr>
                <w:rFonts w:asciiTheme="majorBidi" w:hAnsiTheme="majorBidi" w:cstheme="majorBidi"/>
              </w:rPr>
              <w:t>The fourth meeting of the U4SSC took place on 3 October 2019 in Valencia, Spain during the 9th Green Standards Week (1-4 October 2019, Valencia, Spain).</w:t>
            </w:r>
            <w:r w:rsidR="002E65FD" w:rsidRPr="00073574">
              <w:rPr>
                <w:rFonts w:asciiTheme="majorBidi" w:hAnsiTheme="majorBidi" w:cstheme="majorBidi"/>
              </w:rPr>
              <w:t xml:space="preserve"> </w:t>
            </w:r>
            <w:r w:rsidRPr="00073574">
              <w:rPr>
                <w:rFonts w:asciiTheme="majorBidi" w:hAnsiTheme="majorBidi" w:cstheme="majorBidi"/>
              </w:rPr>
              <w:t xml:space="preserve">During the meeting the </w:t>
            </w:r>
            <w:hyperlink r:id="rId932" w:history="1">
              <w:r w:rsidRPr="00073574">
                <w:rPr>
                  <w:rStyle w:val="Hyperlink"/>
                  <w:rFonts w:asciiTheme="majorBidi" w:hAnsiTheme="majorBidi"/>
                </w:rPr>
                <w:t>Report on City Science Application Framework</w:t>
              </w:r>
            </w:hyperlink>
            <w:r w:rsidRPr="00073574">
              <w:rPr>
                <w:rFonts w:asciiTheme="majorBidi" w:hAnsiTheme="majorBidi" w:cstheme="majorBidi"/>
              </w:rPr>
              <w:t xml:space="preserve"> was launched.</w:t>
            </w:r>
          </w:p>
          <w:p w14:paraId="72DE969E" w14:textId="77777777" w:rsidR="0019377A" w:rsidRPr="00073574" w:rsidRDefault="0019377A" w:rsidP="0019377A">
            <w:pPr>
              <w:pStyle w:val="NormalWeb"/>
              <w:spacing w:before="120" w:after="120"/>
              <w:rPr>
                <w:rFonts w:asciiTheme="majorBidi" w:hAnsiTheme="majorBidi" w:cstheme="majorBidi"/>
                <w:sz w:val="22"/>
                <w:szCs w:val="22"/>
                <w:lang w:val="en-GB"/>
              </w:rPr>
            </w:pPr>
            <w:r w:rsidRPr="00073574">
              <w:rPr>
                <w:rFonts w:asciiTheme="majorBidi" w:hAnsiTheme="majorBidi" w:cstheme="majorBidi"/>
                <w:sz w:val="22"/>
                <w:szCs w:val="22"/>
                <w:lang w:val="en-GB"/>
              </w:rPr>
              <w:t xml:space="preserve">The U4SSC developed a set of international key performance indicators (KPIs) for Smart Sustainable Cities (SSC) to establish the criteria to evaluate ICT´s contributions in making cities smarter and more sustainable, and to provide cities with the means for self-assessments in order to achieve the sustainable development goals (SDGs). The list of all the KPIs for SSC along with its collection methodology are contained in the Flipbook on </w:t>
            </w:r>
            <w:hyperlink r:id="rId933" w:history="1">
              <w:r w:rsidRPr="00073574">
                <w:rPr>
                  <w:rStyle w:val="Hyperlink"/>
                  <w:rFonts w:asciiTheme="majorBidi" w:hAnsiTheme="majorBidi"/>
                  <w:sz w:val="22"/>
                  <w:szCs w:val="22"/>
                  <w:lang w:val="en-GB"/>
                </w:rPr>
                <w:t>"Collection Methodology for Key Performance Indicators for Smart Sustainable Cities".</w:t>
              </w:r>
            </w:hyperlink>
            <w:r w:rsidRPr="00073574">
              <w:rPr>
                <w:rFonts w:asciiTheme="majorBidi" w:hAnsiTheme="majorBidi" w:cstheme="majorBidi"/>
                <w:sz w:val="22"/>
                <w:szCs w:val="22"/>
                <w:lang w:val="en-GB"/>
              </w:rPr>
              <w:t xml:space="preserve"> Currently several city factsheets are being developed which will highlight the main smart and sustainable initiatives of the participating cities. They will also describe the performance of the cities in the implementation of the KPIs.</w:t>
            </w:r>
          </w:p>
          <w:p w14:paraId="6045309F" w14:textId="6DC1714A" w:rsidR="0019377A" w:rsidRPr="00073574" w:rsidRDefault="0019377A" w:rsidP="0019377A">
            <w:pPr>
              <w:pStyle w:val="NormalWeb"/>
              <w:spacing w:before="120" w:after="120"/>
              <w:rPr>
                <w:rFonts w:asciiTheme="majorBidi" w:hAnsiTheme="majorBidi" w:cstheme="majorBidi"/>
                <w:sz w:val="22"/>
                <w:szCs w:val="22"/>
                <w:lang w:val="en-GB"/>
              </w:rPr>
            </w:pPr>
            <w:r w:rsidRPr="00073574">
              <w:rPr>
                <w:rFonts w:asciiTheme="majorBidi" w:hAnsiTheme="majorBidi" w:cstheme="majorBidi"/>
                <w:sz w:val="22"/>
                <w:szCs w:val="22"/>
                <w:lang w:val="en-GB"/>
              </w:rPr>
              <w:t xml:space="preserve">The following City Snapshots were launched during the 4th U4SSC meeting: </w:t>
            </w:r>
            <w:r w:rsidRPr="00073574">
              <w:rPr>
                <w:color w:val="444444"/>
                <w:sz w:val="22"/>
                <w:szCs w:val="22"/>
                <w:shd w:val="clear" w:color="auto" w:fill="FFFFFF"/>
                <w:lang w:val="en-GB"/>
              </w:rPr>
              <w:t>[</w:t>
            </w:r>
            <w:hyperlink r:id="rId934" w:history="1">
              <w:r w:rsidRPr="00073574">
                <w:rPr>
                  <w:rStyle w:val="Hyperlink"/>
                  <w:rFonts w:eastAsiaTheme="majorEastAsia"/>
                  <w:sz w:val="22"/>
                  <w:szCs w:val="22"/>
                  <w:lang w:val="en-GB"/>
                </w:rPr>
                <w:t>Ålesund, Norway</w:t>
              </w:r>
            </w:hyperlink>
            <w:r w:rsidRPr="00073574">
              <w:rPr>
                <w:color w:val="444444"/>
                <w:sz w:val="22"/>
                <w:szCs w:val="22"/>
                <w:shd w:val="clear" w:color="auto" w:fill="FFFFFF"/>
                <w:lang w:val="en-GB"/>
              </w:rPr>
              <w:t>] [</w:t>
            </w:r>
            <w:hyperlink r:id="rId935" w:history="1">
              <w:r w:rsidRPr="00073574">
                <w:rPr>
                  <w:rStyle w:val="Hyperlink"/>
                  <w:rFonts w:eastAsiaTheme="majorEastAsia"/>
                  <w:sz w:val="22"/>
                  <w:szCs w:val="22"/>
                  <w:lang w:val="en-GB"/>
                </w:rPr>
                <w:t>Bizerte, Tunisia</w:t>
              </w:r>
            </w:hyperlink>
            <w:r w:rsidRPr="00073574">
              <w:rPr>
                <w:color w:val="444444"/>
                <w:sz w:val="22"/>
                <w:szCs w:val="22"/>
                <w:shd w:val="clear" w:color="auto" w:fill="FFFFFF"/>
                <w:lang w:val="en-GB"/>
              </w:rPr>
              <w:t>] [</w:t>
            </w:r>
            <w:hyperlink r:id="rId936" w:history="1">
              <w:r w:rsidRPr="00073574">
                <w:rPr>
                  <w:rStyle w:val="Hyperlink"/>
                  <w:rFonts w:eastAsiaTheme="majorEastAsia"/>
                  <w:sz w:val="22"/>
                  <w:szCs w:val="22"/>
                  <w:lang w:val="en-GB"/>
                </w:rPr>
                <w:t>Moscow, Russia</w:t>
              </w:r>
            </w:hyperlink>
            <w:r w:rsidRPr="00073574">
              <w:rPr>
                <w:color w:val="444444"/>
                <w:sz w:val="22"/>
                <w:szCs w:val="22"/>
                <w:shd w:val="clear" w:color="auto" w:fill="FFFFFF"/>
                <w:lang w:val="en-GB"/>
              </w:rPr>
              <w:t>] [</w:t>
            </w:r>
            <w:hyperlink r:id="rId937" w:history="1">
              <w:r w:rsidRPr="00073574">
                <w:rPr>
                  <w:rStyle w:val="Hyperlink"/>
                  <w:rFonts w:eastAsiaTheme="majorEastAsia"/>
                  <w:sz w:val="22"/>
                  <w:szCs w:val="22"/>
                  <w:lang w:val="en-GB"/>
                </w:rPr>
                <w:t>Riyadh, Saudi Arabia</w:t>
              </w:r>
            </w:hyperlink>
            <w:r w:rsidRPr="00073574">
              <w:rPr>
                <w:color w:val="444444"/>
                <w:sz w:val="22"/>
                <w:szCs w:val="22"/>
                <w:shd w:val="clear" w:color="auto" w:fill="FFFFFF"/>
                <w:lang w:val="en-GB"/>
              </w:rPr>
              <w:t>] [</w:t>
            </w:r>
            <w:hyperlink r:id="rId938" w:history="1">
              <w:r w:rsidRPr="00073574">
                <w:rPr>
                  <w:rStyle w:val="Hyperlink"/>
                  <w:rFonts w:eastAsiaTheme="majorEastAsia"/>
                  <w:sz w:val="22"/>
                  <w:szCs w:val="22"/>
                  <w:lang w:val="en-GB"/>
                </w:rPr>
                <w:t>Pully, Switzerland</w:t>
              </w:r>
            </w:hyperlink>
            <w:r w:rsidRPr="00073574">
              <w:rPr>
                <w:color w:val="444444"/>
                <w:sz w:val="22"/>
                <w:szCs w:val="22"/>
                <w:shd w:val="clear" w:color="auto" w:fill="FFFFFF"/>
                <w:lang w:val="en-GB"/>
              </w:rPr>
              <w:t>]</w:t>
            </w:r>
          </w:p>
          <w:p w14:paraId="59671C1A" w14:textId="778ADF75" w:rsidR="0019377A" w:rsidRPr="00073574" w:rsidRDefault="0019377A" w:rsidP="0019377A">
            <w:pPr>
              <w:pStyle w:val="NormalWeb"/>
              <w:spacing w:before="120" w:after="120"/>
              <w:rPr>
                <w:rFonts w:asciiTheme="majorBidi" w:hAnsiTheme="majorBidi" w:cstheme="majorBidi"/>
                <w:sz w:val="22"/>
                <w:szCs w:val="22"/>
                <w:lang w:val="en-GB"/>
              </w:rPr>
            </w:pPr>
            <w:r w:rsidRPr="00073574">
              <w:rPr>
                <w:rFonts w:asciiTheme="majorBidi" w:hAnsiTheme="majorBidi" w:cstheme="majorBidi"/>
                <w:sz w:val="22"/>
                <w:szCs w:val="22"/>
                <w:lang w:val="en-GB"/>
              </w:rPr>
              <w:t xml:space="preserve">Additionally, the </w:t>
            </w:r>
            <w:r w:rsidRPr="00073574">
              <w:rPr>
                <w:rFonts w:asciiTheme="majorBidi" w:hAnsiTheme="majorBidi" w:cstheme="majorBidi"/>
                <w:i/>
                <w:iCs/>
                <w:sz w:val="22"/>
                <w:szCs w:val="22"/>
                <w:lang w:val="en-GB"/>
              </w:rPr>
              <w:t>Verification Report: Pully under the microscope</w:t>
            </w:r>
            <w:r w:rsidRPr="00073574">
              <w:rPr>
                <w:rFonts w:asciiTheme="majorBidi" w:hAnsiTheme="majorBidi" w:cstheme="majorBidi"/>
                <w:sz w:val="22"/>
                <w:szCs w:val="22"/>
                <w:lang w:val="en-GB"/>
              </w:rPr>
              <w:t xml:space="preserve"> was launched during the 4th USSSC meeting. The report is available in </w:t>
            </w:r>
            <w:hyperlink r:id="rId939" w:history="1">
              <w:r w:rsidRPr="00073574">
                <w:rPr>
                  <w:rStyle w:val="Hyperlink"/>
                  <w:rFonts w:asciiTheme="majorBidi" w:hAnsiTheme="majorBidi"/>
                  <w:sz w:val="22"/>
                  <w:szCs w:val="22"/>
                  <w:lang w:val="en-GB"/>
                </w:rPr>
                <w:t>English</w:t>
              </w:r>
            </w:hyperlink>
            <w:r w:rsidRPr="00073574">
              <w:rPr>
                <w:rFonts w:asciiTheme="majorBidi" w:hAnsiTheme="majorBidi" w:cstheme="majorBidi"/>
                <w:sz w:val="22"/>
                <w:szCs w:val="22"/>
                <w:lang w:val="en-GB"/>
              </w:rPr>
              <w:t xml:space="preserve"> and </w:t>
            </w:r>
            <w:hyperlink r:id="rId940" w:history="1">
              <w:r w:rsidRPr="00073574">
                <w:rPr>
                  <w:rStyle w:val="Hyperlink"/>
                  <w:rFonts w:asciiTheme="majorBidi" w:hAnsiTheme="majorBidi"/>
                  <w:sz w:val="22"/>
                  <w:szCs w:val="22"/>
                  <w:lang w:val="en-GB"/>
                </w:rPr>
                <w:t>French</w:t>
              </w:r>
            </w:hyperlink>
            <w:r w:rsidRPr="00073574">
              <w:rPr>
                <w:rFonts w:asciiTheme="majorBidi" w:hAnsiTheme="majorBidi" w:cstheme="majorBidi"/>
                <w:sz w:val="22"/>
                <w:szCs w:val="22"/>
                <w:lang w:val="en-GB"/>
              </w:rPr>
              <w:t>.</w:t>
            </w:r>
          </w:p>
          <w:p w14:paraId="7F5C48A3" w14:textId="77777777" w:rsidR="00A02C36" w:rsidRPr="00073574" w:rsidRDefault="00A02C36" w:rsidP="00450243">
            <w:pPr>
              <w:pStyle w:val="Tabletext"/>
              <w:spacing w:before="120"/>
            </w:pPr>
            <w:r w:rsidRPr="00073574">
              <w:t>The first United for Smart Sustainable Cities (U4SSC) Austrian U4SSC Country Hub will be hosted by the Austrian Economics Center in Vienna, Austria. The main objective of this country hub is to promote the work of U4SSC.</w:t>
            </w:r>
          </w:p>
          <w:p w14:paraId="7E139344" w14:textId="7D52D91E" w:rsidR="2614D112" w:rsidRPr="00073574" w:rsidRDefault="29B7FF21" w:rsidP="00450243">
            <w:pPr>
              <w:pStyle w:val="Tabletext"/>
              <w:spacing w:before="120"/>
              <w:rPr>
                <w:rFonts w:asciiTheme="majorBidi" w:hAnsiTheme="majorBidi" w:cstheme="majorBidi"/>
              </w:rPr>
            </w:pPr>
            <w:r w:rsidRPr="00073574">
              <w:rPr>
                <w:szCs w:val="22"/>
              </w:rPr>
              <w:t xml:space="preserve">A </w:t>
            </w:r>
            <w:hyperlink r:id="rId941" w:history="1">
              <w:r w:rsidRPr="00073574">
                <w:rPr>
                  <w:rStyle w:val="Hyperlink"/>
                  <w:szCs w:val="22"/>
                </w:rPr>
                <w:t>Global Portal on Environment and Smart Sustainable Cities</w:t>
              </w:r>
            </w:hyperlink>
            <w:r w:rsidRPr="00073574">
              <w:rPr>
                <w:szCs w:val="22"/>
              </w:rPr>
              <w:t xml:space="preserve"> has been created and provides references to external resources on these issues.</w:t>
            </w:r>
          </w:p>
          <w:p w14:paraId="068819C1" w14:textId="230B36FA" w:rsidR="00000D5A" w:rsidRPr="00073574" w:rsidRDefault="0019377A" w:rsidP="0019377A">
            <w:pPr>
              <w:pStyle w:val="Tabletext"/>
              <w:rPr>
                <w:szCs w:val="22"/>
              </w:rPr>
            </w:pPr>
            <w:r w:rsidRPr="00073574">
              <w:rPr>
                <w:szCs w:val="22"/>
              </w:rPr>
              <w:t>See also 98-06.</w:t>
            </w:r>
          </w:p>
        </w:tc>
      </w:tr>
      <w:tr w:rsidR="005E0B71" w:rsidRPr="00073574" w14:paraId="69DD040A" w14:textId="77777777" w:rsidTr="7277BFE4">
        <w:tc>
          <w:tcPr>
            <w:tcW w:w="1130" w:type="dxa"/>
            <w:vMerge w:val="restart"/>
            <w:tcBorders>
              <w:top w:val="single" w:sz="12" w:space="0" w:color="auto"/>
            </w:tcBorders>
            <w:shd w:val="clear" w:color="auto" w:fill="auto"/>
          </w:tcPr>
          <w:p w14:paraId="69580B94" w14:textId="1F1569C0" w:rsidR="005E0B71" w:rsidRPr="00073574" w:rsidRDefault="005E0B71" w:rsidP="00B65CA8">
            <w:pPr>
              <w:pStyle w:val="Tabletext"/>
              <w:keepNext/>
              <w:keepLines/>
              <w:rPr>
                <w:b/>
                <w:bCs/>
                <w:sz w:val="24"/>
                <w:szCs w:val="24"/>
              </w:rPr>
            </w:pPr>
            <w:r w:rsidRPr="00073574">
              <w:rPr>
                <w:b/>
                <w:bCs/>
                <w:sz w:val="24"/>
                <w:szCs w:val="24"/>
              </w:rPr>
              <w:lastRenderedPageBreak/>
              <w:t>98-08</w:t>
            </w:r>
          </w:p>
        </w:tc>
        <w:tc>
          <w:tcPr>
            <w:tcW w:w="4988" w:type="dxa"/>
            <w:tcBorders>
              <w:top w:val="single" w:sz="12" w:space="0" w:color="auto"/>
              <w:bottom w:val="single" w:sz="4" w:space="0" w:color="auto"/>
            </w:tcBorders>
            <w:shd w:val="clear" w:color="auto" w:fill="auto"/>
          </w:tcPr>
          <w:p w14:paraId="71C1231D" w14:textId="593C20D8" w:rsidR="005E0B71" w:rsidRPr="00073574" w:rsidRDefault="005E0B71" w:rsidP="005E0B71">
            <w:pPr>
              <w:pStyle w:val="Tabletext"/>
              <w:rPr>
                <w:b/>
                <w:bCs/>
                <w:sz w:val="24"/>
                <w:szCs w:val="24"/>
              </w:rPr>
            </w:pPr>
            <w:r w:rsidRPr="00073574">
              <w:rPr>
                <w:b/>
                <w:bCs/>
                <w:sz w:val="24"/>
                <w:szCs w:val="24"/>
              </w:rPr>
              <w:t>TSB Director to continue encouraging cooperation with other international standardization organizations and other related organizations, in order to increase the development of international telecommunication standards and reports that facilitate the interoperability of IoT services (i. TSBDir 4)</w:t>
            </w:r>
          </w:p>
        </w:tc>
        <w:tc>
          <w:tcPr>
            <w:tcW w:w="1335" w:type="dxa"/>
            <w:tcBorders>
              <w:top w:val="single" w:sz="12" w:space="0" w:color="auto"/>
              <w:bottom w:val="single" w:sz="4" w:space="0" w:color="auto"/>
            </w:tcBorders>
            <w:shd w:val="clear" w:color="auto" w:fill="auto"/>
            <w:vAlign w:val="center"/>
          </w:tcPr>
          <w:p w14:paraId="196CF8BD" w14:textId="72C4E80A" w:rsidR="005E0B71" w:rsidRPr="00073574" w:rsidRDefault="005E0B71" w:rsidP="005E0B71">
            <w:pPr>
              <w:pStyle w:val="Tabletext"/>
              <w:jc w:val="center"/>
              <w:rPr>
                <w:b/>
                <w:bCs/>
                <w:sz w:val="24"/>
                <w:szCs w:val="24"/>
              </w:rPr>
            </w:pPr>
            <w:r w:rsidRPr="00073574">
              <w:rPr>
                <w:b/>
                <w:bCs/>
                <w:sz w:val="24"/>
                <w:szCs w:val="24"/>
              </w:rPr>
              <w:t>Ongoing</w:t>
            </w:r>
          </w:p>
        </w:tc>
        <w:tc>
          <w:tcPr>
            <w:tcW w:w="1143" w:type="dxa"/>
            <w:tcBorders>
              <w:top w:val="single" w:sz="12" w:space="0" w:color="auto"/>
              <w:bottom w:val="single" w:sz="4" w:space="0" w:color="auto"/>
            </w:tcBorders>
            <w:shd w:val="clear" w:color="auto" w:fill="auto"/>
            <w:vAlign w:val="center"/>
          </w:tcPr>
          <w:p w14:paraId="048F1F0A" w14:textId="0706C537" w:rsidR="005E0B71" w:rsidRPr="00073574" w:rsidRDefault="005E0B71" w:rsidP="005E0B71">
            <w:pPr>
              <w:pStyle w:val="Tabletext"/>
              <w:jc w:val="center"/>
              <w:rPr>
                <w:b/>
                <w:bCs/>
                <w:sz w:val="24"/>
                <w:szCs w:val="24"/>
              </w:rPr>
            </w:pPr>
            <w:r w:rsidRPr="00073574">
              <w:rPr>
                <w:b/>
                <w:bCs/>
                <w:sz w:val="24"/>
                <w:szCs w:val="24"/>
              </w:rPr>
              <w:t>√</w:t>
            </w:r>
          </w:p>
        </w:tc>
        <w:tc>
          <w:tcPr>
            <w:tcW w:w="1336" w:type="dxa"/>
            <w:tcBorders>
              <w:top w:val="single" w:sz="12" w:space="0" w:color="auto"/>
              <w:bottom w:val="single" w:sz="4" w:space="0" w:color="auto"/>
            </w:tcBorders>
            <w:shd w:val="clear" w:color="auto" w:fill="auto"/>
            <w:vAlign w:val="center"/>
          </w:tcPr>
          <w:p w14:paraId="01A674D7" w14:textId="77777777" w:rsidR="005E0B71" w:rsidRPr="00073574" w:rsidRDefault="005E0B71" w:rsidP="005E0B71">
            <w:pPr>
              <w:pStyle w:val="Tabletext"/>
              <w:jc w:val="center"/>
              <w:rPr>
                <w:b/>
                <w:bCs/>
                <w:sz w:val="24"/>
                <w:szCs w:val="24"/>
              </w:rPr>
            </w:pPr>
          </w:p>
        </w:tc>
      </w:tr>
      <w:tr w:rsidR="005E0B71" w:rsidRPr="00073574" w14:paraId="1F86B4CA" w14:textId="77777777" w:rsidTr="7277BFE4">
        <w:trPr>
          <w:trHeight w:val="333"/>
        </w:trPr>
        <w:tc>
          <w:tcPr>
            <w:tcW w:w="1130" w:type="dxa"/>
            <w:vMerge/>
          </w:tcPr>
          <w:p w14:paraId="5EF0ECB7" w14:textId="77777777" w:rsidR="005E0B71" w:rsidRPr="00073574" w:rsidRDefault="005E0B71" w:rsidP="005E0B71">
            <w:pPr>
              <w:pStyle w:val="Tabletext"/>
              <w:rPr>
                <w:sz w:val="24"/>
                <w:szCs w:val="24"/>
              </w:rPr>
            </w:pPr>
          </w:p>
        </w:tc>
        <w:tc>
          <w:tcPr>
            <w:tcW w:w="8802" w:type="dxa"/>
            <w:gridSpan w:val="4"/>
            <w:tcBorders>
              <w:top w:val="single" w:sz="4" w:space="0" w:color="auto"/>
              <w:bottom w:val="single" w:sz="12" w:space="0" w:color="auto"/>
            </w:tcBorders>
            <w:shd w:val="clear" w:color="auto" w:fill="auto"/>
          </w:tcPr>
          <w:p w14:paraId="06500ADA" w14:textId="6233E710" w:rsidR="690604F6" w:rsidRPr="00073574" w:rsidRDefault="3C7A5E7F">
            <w:r w:rsidRPr="00073574">
              <w:rPr>
                <w:rFonts w:eastAsia="Times New Roman"/>
              </w:rPr>
              <w:t>Ongoing collaboration with ISO and IEC on the organization of World Smart City Forums and working team on Smart City Terminology</w:t>
            </w:r>
            <w:r w:rsidR="07A9EDD5" w:rsidRPr="00073574">
              <w:rPr>
                <w:rFonts w:eastAsia="Times New Roman"/>
              </w:rPr>
              <w:t xml:space="preserve"> and the recently created IEC-ISO-ITU Joint Smart City Task Force</w:t>
            </w:r>
            <w:r w:rsidRPr="00073574">
              <w:rPr>
                <w:rFonts w:eastAsia="Times New Roman"/>
              </w:rPr>
              <w:t>.</w:t>
            </w:r>
          </w:p>
          <w:p w14:paraId="09B9C165" w14:textId="6CA0C150" w:rsidR="690604F6" w:rsidRPr="00073574" w:rsidRDefault="690604F6">
            <w:r w:rsidRPr="00073574">
              <w:rPr>
                <w:rFonts w:eastAsia="Times New Roman"/>
              </w:rPr>
              <w:t>Ongoing collaboration with TM Forum.</w:t>
            </w:r>
          </w:p>
          <w:p w14:paraId="2A67A2C7" w14:textId="365B6570" w:rsidR="3C7A5E7F" w:rsidRPr="00073574" w:rsidRDefault="3C7A5E7F" w:rsidP="7277BFE4">
            <w:pPr>
              <w:pStyle w:val="Tabletext"/>
            </w:pPr>
            <w:r w:rsidRPr="00073574">
              <w:t>Ongoing collaboration with oneM2M.</w:t>
            </w:r>
          </w:p>
          <w:p w14:paraId="6B4F46A3" w14:textId="12C24D94" w:rsidR="006C0CED" w:rsidRPr="00073574" w:rsidRDefault="006C0CED" w:rsidP="7277BFE4">
            <w:pPr>
              <w:pStyle w:val="Tabletext"/>
            </w:pPr>
            <w:r w:rsidRPr="00073574">
              <w:t xml:space="preserve">Ongoing collaboration with </w:t>
            </w:r>
            <w:r w:rsidR="00F42D0F" w:rsidRPr="00073574">
              <w:t>IEEE.</w:t>
            </w:r>
          </w:p>
          <w:p w14:paraId="4326E7BB" w14:textId="1D308CFC" w:rsidR="00F42D0F" w:rsidRPr="00073574" w:rsidRDefault="00F42D0F" w:rsidP="7277BFE4">
            <w:pPr>
              <w:pStyle w:val="Tabletext"/>
            </w:pPr>
            <w:r w:rsidRPr="00073574">
              <w:t>Ongoing collaboration with LoRa Alliance.</w:t>
            </w:r>
          </w:p>
          <w:p w14:paraId="75497E7F" w14:textId="29C892F1" w:rsidR="005E0B71" w:rsidRPr="00073574" w:rsidRDefault="005E0B71" w:rsidP="00B65CA8">
            <w:pPr>
              <w:pStyle w:val="Tabletext"/>
              <w:rPr>
                <w:szCs w:val="22"/>
              </w:rPr>
            </w:pPr>
            <w:r w:rsidRPr="00073574">
              <w:rPr>
                <w:szCs w:val="22"/>
              </w:rPr>
              <w:t>See 98-03</w:t>
            </w:r>
          </w:p>
        </w:tc>
      </w:tr>
      <w:tr w:rsidR="005E0B71" w:rsidRPr="00073574" w14:paraId="6CFF6FF5" w14:textId="77777777" w:rsidTr="7277BFE4">
        <w:tc>
          <w:tcPr>
            <w:tcW w:w="1130" w:type="dxa"/>
            <w:vMerge w:val="restart"/>
            <w:tcBorders>
              <w:top w:val="single" w:sz="12" w:space="0" w:color="auto"/>
            </w:tcBorders>
            <w:shd w:val="clear" w:color="auto" w:fill="auto"/>
          </w:tcPr>
          <w:p w14:paraId="0DD27D88" w14:textId="0770D817" w:rsidR="005E0B71" w:rsidRPr="00073574" w:rsidRDefault="005E0B71" w:rsidP="00402B09">
            <w:pPr>
              <w:pStyle w:val="Tabletext"/>
              <w:keepNext/>
              <w:keepLines/>
              <w:rPr>
                <w:b/>
                <w:bCs/>
                <w:sz w:val="24"/>
                <w:szCs w:val="24"/>
              </w:rPr>
            </w:pPr>
            <w:r w:rsidRPr="00073574">
              <w:rPr>
                <w:b/>
                <w:bCs/>
                <w:sz w:val="24"/>
                <w:szCs w:val="24"/>
              </w:rPr>
              <w:lastRenderedPageBreak/>
              <w:t>98-09</w:t>
            </w:r>
          </w:p>
        </w:tc>
        <w:tc>
          <w:tcPr>
            <w:tcW w:w="4988" w:type="dxa"/>
            <w:tcBorders>
              <w:top w:val="single" w:sz="12" w:space="0" w:color="auto"/>
              <w:bottom w:val="single" w:sz="4" w:space="0" w:color="auto"/>
            </w:tcBorders>
            <w:shd w:val="clear" w:color="auto" w:fill="auto"/>
          </w:tcPr>
          <w:p w14:paraId="5F267D35" w14:textId="04BFEF24" w:rsidR="005E0B71" w:rsidRPr="00073574" w:rsidRDefault="005E0B71" w:rsidP="005E0B71">
            <w:pPr>
              <w:pStyle w:val="Tabletext"/>
              <w:rPr>
                <w:b/>
                <w:bCs/>
                <w:sz w:val="24"/>
                <w:szCs w:val="24"/>
              </w:rPr>
            </w:pPr>
            <w:r w:rsidRPr="00073574">
              <w:rPr>
                <w:b/>
                <w:bCs/>
                <w:sz w:val="24"/>
                <w:szCs w:val="24"/>
              </w:rPr>
              <w:t>TSB Director to prepare reports considering, in particular, the needs of developing countries in terms of the study of IoT and its applications, sensor networks, services and infrastructure (i. TSBDir 1)</w:t>
            </w:r>
          </w:p>
        </w:tc>
        <w:tc>
          <w:tcPr>
            <w:tcW w:w="1335" w:type="dxa"/>
            <w:tcBorders>
              <w:top w:val="single" w:sz="12" w:space="0" w:color="auto"/>
              <w:bottom w:val="single" w:sz="4" w:space="0" w:color="auto"/>
            </w:tcBorders>
            <w:shd w:val="clear" w:color="auto" w:fill="auto"/>
            <w:vAlign w:val="center"/>
          </w:tcPr>
          <w:p w14:paraId="629E39F0" w14:textId="5245D8BF" w:rsidR="005E0B71" w:rsidRPr="00073574" w:rsidRDefault="005E0B71" w:rsidP="005E0B71">
            <w:pPr>
              <w:pStyle w:val="Tabletext"/>
              <w:jc w:val="center"/>
              <w:rPr>
                <w:b/>
                <w:bCs/>
                <w:sz w:val="24"/>
                <w:szCs w:val="24"/>
              </w:rPr>
            </w:pPr>
            <w:r w:rsidRPr="00073574">
              <w:rPr>
                <w:b/>
                <w:bCs/>
                <w:sz w:val="24"/>
                <w:szCs w:val="24"/>
              </w:rPr>
              <w:t>Ongoing</w:t>
            </w:r>
          </w:p>
        </w:tc>
        <w:tc>
          <w:tcPr>
            <w:tcW w:w="1143" w:type="dxa"/>
            <w:tcBorders>
              <w:top w:val="single" w:sz="12" w:space="0" w:color="auto"/>
              <w:bottom w:val="single" w:sz="4" w:space="0" w:color="auto"/>
            </w:tcBorders>
            <w:shd w:val="clear" w:color="auto" w:fill="auto"/>
            <w:vAlign w:val="center"/>
          </w:tcPr>
          <w:p w14:paraId="6B21844D" w14:textId="77B10D82" w:rsidR="005E0B71" w:rsidRPr="00073574" w:rsidRDefault="00FD5FF3" w:rsidP="005E0B71">
            <w:pPr>
              <w:pStyle w:val="Tabletext"/>
              <w:jc w:val="center"/>
              <w:rPr>
                <w:b/>
                <w:bCs/>
                <w:sz w:val="24"/>
                <w:szCs w:val="24"/>
              </w:rPr>
            </w:pPr>
            <w:r w:rsidRPr="00073574">
              <w:rPr>
                <w:b/>
                <w:bCs/>
                <w:sz w:val="24"/>
                <w:szCs w:val="24"/>
              </w:rPr>
              <w:t>√</w:t>
            </w:r>
          </w:p>
        </w:tc>
        <w:tc>
          <w:tcPr>
            <w:tcW w:w="1336" w:type="dxa"/>
            <w:tcBorders>
              <w:top w:val="single" w:sz="12" w:space="0" w:color="auto"/>
              <w:bottom w:val="single" w:sz="4" w:space="0" w:color="auto"/>
            </w:tcBorders>
            <w:shd w:val="clear" w:color="auto" w:fill="auto"/>
            <w:vAlign w:val="center"/>
          </w:tcPr>
          <w:p w14:paraId="7FDD6F30" w14:textId="77777777" w:rsidR="005E0B71" w:rsidRPr="00073574" w:rsidRDefault="005E0B71" w:rsidP="005E0B71">
            <w:pPr>
              <w:pStyle w:val="Tabletext"/>
              <w:jc w:val="center"/>
              <w:rPr>
                <w:b/>
                <w:bCs/>
                <w:sz w:val="24"/>
                <w:szCs w:val="24"/>
              </w:rPr>
            </w:pPr>
          </w:p>
        </w:tc>
      </w:tr>
      <w:tr w:rsidR="007C4EA6" w:rsidRPr="00073574" w14:paraId="79F9C499" w14:textId="77777777" w:rsidTr="7277BFE4">
        <w:tc>
          <w:tcPr>
            <w:tcW w:w="1130" w:type="dxa"/>
            <w:vMerge/>
          </w:tcPr>
          <w:p w14:paraId="1E76FD05" w14:textId="77777777" w:rsidR="007C4EA6" w:rsidRPr="00073574" w:rsidRDefault="007C4EA6" w:rsidP="005E0B71">
            <w:pPr>
              <w:pStyle w:val="Tabletext"/>
              <w:rPr>
                <w:sz w:val="24"/>
                <w:szCs w:val="24"/>
              </w:rPr>
            </w:pPr>
          </w:p>
        </w:tc>
        <w:tc>
          <w:tcPr>
            <w:tcW w:w="8802" w:type="dxa"/>
            <w:gridSpan w:val="4"/>
            <w:tcBorders>
              <w:top w:val="single" w:sz="4" w:space="0" w:color="auto"/>
              <w:bottom w:val="single" w:sz="12" w:space="0" w:color="auto"/>
            </w:tcBorders>
            <w:shd w:val="clear" w:color="auto" w:fill="auto"/>
          </w:tcPr>
          <w:p w14:paraId="02CD4BF7" w14:textId="77777777" w:rsidR="007C4EA6" w:rsidRPr="00073574" w:rsidRDefault="004B19BA">
            <w:pPr>
              <w:pStyle w:val="Tabletext"/>
              <w:rPr>
                <w:szCs w:val="22"/>
              </w:rPr>
            </w:pPr>
            <w:r w:rsidRPr="00073574">
              <w:rPr>
                <w:szCs w:val="22"/>
              </w:rPr>
              <w:t>SG13 approved the new Supplement 46 to Y.3500-series on cloud computing scenarios for developing countries.</w:t>
            </w:r>
          </w:p>
          <w:p w14:paraId="55D57BC3" w14:textId="5C846379" w:rsidR="007C4EA6" w:rsidRPr="00073574" w:rsidRDefault="00D264FB">
            <w:pPr>
              <w:pStyle w:val="Tabletext"/>
              <w:rPr>
                <w:szCs w:val="22"/>
              </w:rPr>
            </w:pPr>
            <w:r w:rsidRPr="00073574">
              <w:rPr>
                <w:szCs w:val="22"/>
              </w:rPr>
              <w:t>SG20 is also working on draft Supplement ITU-T Y.Sup.DTAfrica “Digital transformation of cities and communities in Africa”.</w:t>
            </w:r>
          </w:p>
        </w:tc>
      </w:tr>
      <w:tr w:rsidR="005E0B71" w:rsidRPr="00073574" w14:paraId="1410BFE9" w14:textId="77777777" w:rsidTr="7277BFE4">
        <w:tc>
          <w:tcPr>
            <w:tcW w:w="1130" w:type="dxa"/>
            <w:vMerge w:val="restart"/>
            <w:tcBorders>
              <w:top w:val="single" w:sz="12" w:space="0" w:color="auto"/>
            </w:tcBorders>
            <w:shd w:val="clear" w:color="auto" w:fill="auto"/>
          </w:tcPr>
          <w:p w14:paraId="7DF81CD6" w14:textId="51E7DC5F" w:rsidR="005E0B71" w:rsidRPr="00073574" w:rsidRDefault="005E0B71" w:rsidP="005E0B71">
            <w:pPr>
              <w:pStyle w:val="Tabletext"/>
              <w:rPr>
                <w:b/>
                <w:bCs/>
                <w:sz w:val="24"/>
                <w:szCs w:val="24"/>
              </w:rPr>
            </w:pPr>
            <w:r w:rsidRPr="00073574">
              <w:rPr>
                <w:b/>
                <w:bCs/>
                <w:sz w:val="24"/>
                <w:szCs w:val="24"/>
              </w:rPr>
              <w:t>98-10</w:t>
            </w:r>
          </w:p>
        </w:tc>
        <w:tc>
          <w:tcPr>
            <w:tcW w:w="4988" w:type="dxa"/>
            <w:tcBorders>
              <w:top w:val="single" w:sz="12" w:space="0" w:color="auto"/>
              <w:bottom w:val="single" w:sz="4" w:space="0" w:color="auto"/>
            </w:tcBorders>
            <w:shd w:val="clear" w:color="auto" w:fill="auto"/>
          </w:tcPr>
          <w:p w14:paraId="3277364E" w14:textId="4FE6BB2A" w:rsidR="005E0B71" w:rsidRPr="00073574" w:rsidRDefault="005E0B71" w:rsidP="005E0B71">
            <w:pPr>
              <w:pStyle w:val="Tabletext"/>
              <w:rPr>
                <w:b/>
                <w:bCs/>
                <w:sz w:val="24"/>
                <w:szCs w:val="24"/>
              </w:rPr>
            </w:pPr>
            <w:r w:rsidRPr="00073574">
              <w:rPr>
                <w:b/>
                <w:bCs/>
                <w:sz w:val="24"/>
                <w:szCs w:val="24"/>
              </w:rPr>
              <w:t>TSB Director to continue disseminating ITU publications on IoT and SC&amp;C, as well as organizing forums, seminars and workshops on the subject, taking into account the needs of developing countries, in particular (i. TSBDir 2)</w:t>
            </w:r>
          </w:p>
        </w:tc>
        <w:tc>
          <w:tcPr>
            <w:tcW w:w="1335" w:type="dxa"/>
            <w:tcBorders>
              <w:top w:val="single" w:sz="12" w:space="0" w:color="auto"/>
              <w:bottom w:val="single" w:sz="4" w:space="0" w:color="auto"/>
            </w:tcBorders>
            <w:shd w:val="clear" w:color="auto" w:fill="auto"/>
            <w:vAlign w:val="center"/>
          </w:tcPr>
          <w:p w14:paraId="226B0BDB" w14:textId="61A70842" w:rsidR="005E0B71" w:rsidRPr="00073574" w:rsidRDefault="005E0B71" w:rsidP="005E0B71">
            <w:pPr>
              <w:pStyle w:val="Tabletext"/>
              <w:jc w:val="center"/>
              <w:rPr>
                <w:b/>
                <w:bCs/>
                <w:sz w:val="24"/>
                <w:szCs w:val="24"/>
              </w:rPr>
            </w:pPr>
            <w:r w:rsidRPr="00073574">
              <w:rPr>
                <w:b/>
                <w:bCs/>
                <w:sz w:val="24"/>
                <w:szCs w:val="24"/>
              </w:rPr>
              <w:t>Ongoing</w:t>
            </w:r>
          </w:p>
        </w:tc>
        <w:tc>
          <w:tcPr>
            <w:tcW w:w="1143" w:type="dxa"/>
            <w:tcBorders>
              <w:top w:val="single" w:sz="12" w:space="0" w:color="auto"/>
              <w:bottom w:val="single" w:sz="4" w:space="0" w:color="auto"/>
            </w:tcBorders>
            <w:shd w:val="clear" w:color="auto" w:fill="auto"/>
            <w:vAlign w:val="center"/>
          </w:tcPr>
          <w:p w14:paraId="7FB288E7" w14:textId="5FF4A930" w:rsidR="005E0B71" w:rsidRPr="00073574" w:rsidRDefault="005E0B71" w:rsidP="005E0B71">
            <w:pPr>
              <w:pStyle w:val="Tabletext"/>
              <w:jc w:val="center"/>
              <w:rPr>
                <w:b/>
                <w:bCs/>
                <w:sz w:val="24"/>
                <w:szCs w:val="24"/>
              </w:rPr>
            </w:pPr>
            <w:r w:rsidRPr="00073574">
              <w:rPr>
                <w:b/>
                <w:bCs/>
                <w:sz w:val="24"/>
                <w:szCs w:val="24"/>
              </w:rPr>
              <w:t>√</w:t>
            </w:r>
          </w:p>
        </w:tc>
        <w:tc>
          <w:tcPr>
            <w:tcW w:w="1336" w:type="dxa"/>
            <w:tcBorders>
              <w:top w:val="single" w:sz="12" w:space="0" w:color="auto"/>
              <w:bottom w:val="single" w:sz="4" w:space="0" w:color="auto"/>
            </w:tcBorders>
            <w:shd w:val="clear" w:color="auto" w:fill="auto"/>
            <w:vAlign w:val="center"/>
          </w:tcPr>
          <w:p w14:paraId="7F3AF688" w14:textId="77777777" w:rsidR="005E0B71" w:rsidRPr="00073574" w:rsidRDefault="005E0B71" w:rsidP="005E0B71">
            <w:pPr>
              <w:pStyle w:val="Tabletext"/>
              <w:jc w:val="center"/>
              <w:rPr>
                <w:b/>
                <w:bCs/>
                <w:sz w:val="24"/>
                <w:szCs w:val="24"/>
              </w:rPr>
            </w:pPr>
          </w:p>
        </w:tc>
      </w:tr>
      <w:tr w:rsidR="007C4EA6" w:rsidRPr="00073574" w14:paraId="093E845A" w14:textId="77777777" w:rsidTr="7277BFE4">
        <w:tc>
          <w:tcPr>
            <w:tcW w:w="1130" w:type="dxa"/>
            <w:vMerge/>
            <w:vAlign w:val="center"/>
          </w:tcPr>
          <w:p w14:paraId="619F14E6" w14:textId="77777777" w:rsidR="007C4EA6" w:rsidRPr="00073574" w:rsidRDefault="007C4EA6" w:rsidP="005E0B71">
            <w:pPr>
              <w:pStyle w:val="Tabletext"/>
              <w:rPr>
                <w:sz w:val="24"/>
                <w:szCs w:val="24"/>
              </w:rPr>
            </w:pPr>
          </w:p>
        </w:tc>
        <w:tc>
          <w:tcPr>
            <w:tcW w:w="8802" w:type="dxa"/>
            <w:gridSpan w:val="4"/>
            <w:tcBorders>
              <w:top w:val="single" w:sz="4" w:space="0" w:color="auto"/>
              <w:bottom w:val="single" w:sz="12" w:space="0" w:color="auto"/>
            </w:tcBorders>
            <w:shd w:val="clear" w:color="auto" w:fill="auto"/>
          </w:tcPr>
          <w:p w14:paraId="071BE440" w14:textId="77777777" w:rsidR="00D61603" w:rsidRPr="00073574" w:rsidRDefault="00D61603" w:rsidP="004E682B">
            <w:pPr>
              <w:pStyle w:val="ListParagraph"/>
              <w:numPr>
                <w:ilvl w:val="0"/>
                <w:numId w:val="73"/>
              </w:numPr>
              <w:spacing w:before="40"/>
              <w:contextualSpacing w:val="0"/>
            </w:pPr>
            <w:r w:rsidRPr="00073574">
              <w:t xml:space="preserve">An </w:t>
            </w:r>
            <w:hyperlink r:id="rId942">
              <w:r w:rsidRPr="00073574">
                <w:rPr>
                  <w:rStyle w:val="Hyperlink"/>
                </w:rPr>
                <w:t>ITU Forum on Data Management: Transforming Data Into Value - Expanding the IoT Potential with a special focus on smart cities</w:t>
              </w:r>
            </w:hyperlink>
            <w:r w:rsidRPr="00073574">
              <w:t xml:space="preserve"> took place on 12 March 2017 in Dubai, United Arab Emirates. The outcome of the Forum can be found </w:t>
            </w:r>
            <w:hyperlink r:id="rId943">
              <w:r w:rsidRPr="00073574">
                <w:rPr>
                  <w:rStyle w:val="Hyperlink"/>
                </w:rPr>
                <w:t>here</w:t>
              </w:r>
            </w:hyperlink>
            <w:r w:rsidRPr="00073574">
              <w:t>.</w:t>
            </w:r>
          </w:p>
          <w:p w14:paraId="54103102" w14:textId="4DEB7D68" w:rsidR="00D61603" w:rsidRPr="00073574" w:rsidRDefault="00D61603" w:rsidP="004E682B">
            <w:pPr>
              <w:pStyle w:val="ListParagraph"/>
              <w:numPr>
                <w:ilvl w:val="0"/>
                <w:numId w:val="73"/>
              </w:numPr>
              <w:contextualSpacing w:val="0"/>
            </w:pPr>
            <w:r w:rsidRPr="00073574">
              <w:t xml:space="preserve">The </w:t>
            </w:r>
            <w:hyperlink r:id="rId944">
              <w:r w:rsidRPr="00073574">
                <w:rPr>
                  <w:rStyle w:val="Hyperlink"/>
                </w:rPr>
                <w:t>Seventh Green Standards Week</w:t>
              </w:r>
            </w:hyperlink>
            <w:r w:rsidRPr="00073574">
              <w:t xml:space="preserve"> (GSW-17) was held from 3 to 5 April 2017 in Manizales, Colombia, and was kindly hosted by the Ministry of Information Technologies and Communications and the Municipality of Manizales, Colombia; organized by ITU together with Municipality of Manizales, the University of Manizales, the Economic Commission for Latin American and the Caribbean (ECLAC), the United Nations Industrial Development Organization (UNIDO), the United Nations Environment Programme (UNEP), the Basel Convention, the Basel Convention Regional Centre for the South American Region (CRBAS), the United Nations Economic Commission for Europe (UNECE), the United Nations Human Settlements Programme (UN-Habitat), the United Nations Educational, Scientific and Cultural Organization (UNESCO), the Telecommunications Regional Technical Commission (COMTELCA), the Inter-American Telecommunication Commission (CITEL), CAF - Development Bank of Latin America, and the Inter-American Association of Telecommunication Enterprises (ASIET). The 7th Green Standards Week was dedicated to the theme of "Circular Economy and Smart Sustainable Cities" and explored the policies, standards and best practices required to transition to resource-efficient Circular Economy and Smart Sustainable Cities.</w:t>
            </w:r>
          </w:p>
          <w:p w14:paraId="0C34F7B1" w14:textId="77777777" w:rsidR="00D61603" w:rsidRPr="00073574" w:rsidRDefault="00D61603" w:rsidP="00D61603">
            <w:pPr>
              <w:ind w:left="363"/>
              <w:rPr>
                <w:szCs w:val="22"/>
              </w:rPr>
            </w:pPr>
            <w:r w:rsidRPr="00073574">
              <w:rPr>
                <w:szCs w:val="22"/>
              </w:rPr>
              <w:t>The GSW concluded with the Manizales Manifesto. This laid down defined actions to be adopted by cities to build their own SSC in line with the New Urban Agenda, the Paris Agreement, the SDGs and the Connect 2020 Agenda, taking into account important concepts like circular economy, gender equality, knowledge societies, IoT, artificial intelligence.</w:t>
            </w:r>
          </w:p>
          <w:p w14:paraId="670EEC3C" w14:textId="77777777" w:rsidR="00D61603" w:rsidRPr="00073574" w:rsidRDefault="00D61603" w:rsidP="004E682B">
            <w:pPr>
              <w:pStyle w:val="normalWSIS"/>
              <w:numPr>
                <w:ilvl w:val="0"/>
                <w:numId w:val="73"/>
              </w:numPr>
              <w:spacing w:after="0"/>
              <w:jc w:val="left"/>
              <w:rPr>
                <w:rFonts w:asciiTheme="majorBidi" w:hAnsiTheme="majorBidi" w:cstheme="majorBidi"/>
              </w:rPr>
            </w:pPr>
            <w:r w:rsidRPr="00073574">
              <w:rPr>
                <w:rFonts w:asciiTheme="majorBidi" w:hAnsiTheme="majorBidi" w:cstheme="majorBidi"/>
              </w:rPr>
              <w:t>A workshop on Smart Sustainable Cities was held from 1 to 2 June 2017 in Samarkand, Uzbekistan.</w:t>
            </w:r>
          </w:p>
          <w:p w14:paraId="428996B5" w14:textId="77777777" w:rsidR="00D61603" w:rsidRPr="00073574" w:rsidRDefault="00D61603" w:rsidP="004E682B">
            <w:pPr>
              <w:pStyle w:val="NormalWeb"/>
              <w:numPr>
                <w:ilvl w:val="0"/>
                <w:numId w:val="73"/>
              </w:numPr>
              <w:spacing w:before="120" w:after="0"/>
              <w:rPr>
                <w:rFonts w:asciiTheme="majorBidi" w:hAnsiTheme="majorBidi" w:cstheme="majorBidi"/>
                <w:sz w:val="22"/>
                <w:szCs w:val="22"/>
                <w:lang w:val="en-GB"/>
              </w:rPr>
            </w:pPr>
            <w:r w:rsidRPr="00073574">
              <w:rPr>
                <w:rFonts w:asciiTheme="majorBidi" w:hAnsiTheme="majorBidi" w:cstheme="majorBidi"/>
                <w:sz w:val="22"/>
                <w:szCs w:val="22"/>
                <w:lang w:val="en-GB"/>
              </w:rPr>
              <w:t>The 7th IoT Week, organized on 6-9 June 2017, in Geneva, Switzerland, comprised over 200 sessions and activities, which provided an overview of the latest developments in the Internet of Things (IoT) domain, and concluded with the "Internet of Things Declaration to Achieve the Sustainable Development Goals".</w:t>
            </w:r>
          </w:p>
          <w:p w14:paraId="33678096" w14:textId="77777777" w:rsidR="00D61603" w:rsidRPr="00073574" w:rsidRDefault="00D61603" w:rsidP="004E682B">
            <w:pPr>
              <w:pStyle w:val="ListParagraph"/>
              <w:numPr>
                <w:ilvl w:val="0"/>
                <w:numId w:val="73"/>
              </w:numPr>
              <w:contextualSpacing w:val="0"/>
            </w:pPr>
            <w:r w:rsidRPr="00073574">
              <w:rPr>
                <w:rFonts w:asciiTheme="majorBidi" w:hAnsiTheme="majorBidi" w:cstheme="majorBidi"/>
                <w:lang w:eastAsia="en-US"/>
              </w:rPr>
              <w:t xml:space="preserve">ITU organized </w:t>
            </w:r>
            <w:r w:rsidRPr="00073574">
              <w:rPr>
                <w:rFonts w:asciiTheme="majorBidi" w:hAnsiTheme="majorBidi" w:cstheme="majorBidi"/>
              </w:rPr>
              <w:t>jointly with IEC and ISO</w:t>
            </w:r>
            <w:r w:rsidRPr="00073574">
              <w:rPr>
                <w:rFonts w:asciiTheme="majorBidi" w:hAnsiTheme="majorBidi" w:cstheme="majorBidi"/>
                <w:lang w:eastAsia="en-US"/>
              </w:rPr>
              <w:t xml:space="preserve"> the </w:t>
            </w:r>
            <w:r w:rsidRPr="00073574">
              <w:rPr>
                <w:rFonts w:asciiTheme="majorBidi" w:hAnsiTheme="majorBidi" w:cstheme="majorBidi"/>
              </w:rPr>
              <w:t>World Smart City Forum in Barcelona, November 2017.</w:t>
            </w:r>
          </w:p>
          <w:p w14:paraId="24BCC460" w14:textId="77777777" w:rsidR="00D61603" w:rsidRPr="00073574" w:rsidRDefault="00D61603" w:rsidP="004E682B">
            <w:pPr>
              <w:pStyle w:val="normalWSIS"/>
              <w:numPr>
                <w:ilvl w:val="0"/>
                <w:numId w:val="73"/>
              </w:numPr>
              <w:spacing w:after="0"/>
              <w:jc w:val="left"/>
            </w:pPr>
            <w:r w:rsidRPr="00073574">
              <w:rPr>
                <w:rFonts w:asciiTheme="majorBidi" w:hAnsiTheme="majorBidi" w:cstheme="majorBidi"/>
              </w:rPr>
              <w:lastRenderedPageBreak/>
              <w:t xml:space="preserve">An </w:t>
            </w:r>
            <w:hyperlink r:id="rId945">
              <w:r w:rsidRPr="00073574">
                <w:rPr>
                  <w:rStyle w:val="Hyperlink"/>
                  <w:rFonts w:asciiTheme="majorBidi" w:hAnsiTheme="majorBidi"/>
                </w:rPr>
                <w:t>ITU Regional Workshop for CIS countries on "Internet of Things (IoT) and future networks"</w:t>
              </w:r>
            </w:hyperlink>
            <w:r w:rsidRPr="00073574">
              <w:rPr>
                <w:rFonts w:asciiTheme="majorBidi" w:hAnsiTheme="majorBidi" w:cstheme="majorBidi"/>
              </w:rPr>
              <w:t>, organized in St. Petersburg, Russia, on 19-20 June 2017, shared experiences in the field of the Internet of Things development and considered international standardization of the Internet of Things (IoT), perspectives of implementing IoT technologies in telecom networks in the CIS region, future telecom networks development in the region, and international standardization of the technologies of the future networks and its applications.</w:t>
            </w:r>
          </w:p>
          <w:p w14:paraId="78C64E18" w14:textId="77777777" w:rsidR="00D61603" w:rsidRPr="00073574" w:rsidRDefault="00D61603" w:rsidP="004E682B">
            <w:pPr>
              <w:pStyle w:val="normalWSIS"/>
              <w:numPr>
                <w:ilvl w:val="0"/>
                <w:numId w:val="73"/>
              </w:numPr>
              <w:spacing w:after="0"/>
              <w:jc w:val="left"/>
            </w:pPr>
            <w:r w:rsidRPr="00073574">
              <w:rPr>
                <w:rFonts w:asciiTheme="majorBidi" w:hAnsiTheme="majorBidi" w:cstheme="majorBidi"/>
              </w:rPr>
              <w:t>ITU-T organized a showcase event on IoT from 16 to 18 January 2018. This event counted with the participation of the following exhibitors: nTels; Spirent Communications, KETI and OIZOM. The showcase aimed at accelerating the discussions on the development of international standards, addressing the importance of interoperability of IoT products produced by different manufacturers and demonstrating cutting edge IoT technologies to a range of attendees from ITU Member States, industry, operators, academia and others.</w:t>
            </w:r>
          </w:p>
          <w:p w14:paraId="6AAEE9E6" w14:textId="27777EA8" w:rsidR="00D61603" w:rsidRPr="00073574" w:rsidRDefault="00D61603" w:rsidP="004E682B">
            <w:pPr>
              <w:pStyle w:val="normalWSIS"/>
              <w:numPr>
                <w:ilvl w:val="0"/>
                <w:numId w:val="73"/>
              </w:numPr>
              <w:spacing w:after="0"/>
              <w:jc w:val="left"/>
            </w:pPr>
            <w:r w:rsidRPr="00073574">
              <w:rPr>
                <w:rFonts w:asciiTheme="majorBidi" w:hAnsiTheme="majorBidi" w:cstheme="majorBidi"/>
              </w:rPr>
              <w:t xml:space="preserve">The </w:t>
            </w:r>
            <w:hyperlink r:id="rId946">
              <w:r w:rsidRPr="00073574">
                <w:rPr>
                  <w:rStyle w:val="Hyperlink"/>
                  <w:rFonts w:asciiTheme="majorBidi" w:hAnsiTheme="majorBidi" w:cstheme="majorBidi"/>
                </w:rPr>
                <w:t>1st ITU Workshop on Data Processing and Management for IoT and Smart Cities &amp; Communities</w:t>
              </w:r>
            </w:hyperlink>
            <w:r w:rsidRPr="00073574">
              <w:rPr>
                <w:rFonts w:asciiTheme="majorBidi" w:hAnsiTheme="majorBidi" w:cstheme="majorBidi"/>
              </w:rPr>
              <w:t xml:space="preserve"> took place on 19 February 2018 in Brussels, Belgium.</w:t>
            </w:r>
          </w:p>
          <w:p w14:paraId="53500E12" w14:textId="6FB2ED19" w:rsidR="00D61603" w:rsidRPr="00073574" w:rsidRDefault="00D61603" w:rsidP="004E682B">
            <w:pPr>
              <w:pStyle w:val="normalWSIS"/>
              <w:numPr>
                <w:ilvl w:val="0"/>
                <w:numId w:val="73"/>
              </w:numPr>
              <w:spacing w:after="0"/>
              <w:jc w:val="left"/>
            </w:pPr>
            <w:r w:rsidRPr="00073574">
              <w:t xml:space="preserve">The </w:t>
            </w:r>
            <w:hyperlink r:id="rId947">
              <w:r w:rsidRPr="00073574">
                <w:rPr>
                  <w:rStyle w:val="Hyperlink"/>
                </w:rPr>
                <w:t>8th Green Standards Week</w:t>
              </w:r>
            </w:hyperlink>
            <w:r w:rsidRPr="00073574">
              <w:t xml:space="preserve"> took place from 9 to 12 April 2018 in Zanzibar, Tanzania. The GSW was dedicated to the theme “Linking circular economy and Industry 4.0” and was organized together with UN Habitat, United Nations University (UNU), United Nations Industrial Development Organization (UNIDO), Basel Convention and UN Environment at the kind invitation of the Universal Communications Service Access Fund (UCSAF) and Tanzania Communications Regulatory Authority (TCRA). A </w:t>
            </w:r>
            <w:hyperlink r:id="rId948">
              <w:r w:rsidRPr="00073574">
                <w:rPr>
                  <w:rStyle w:val="Hyperlink"/>
                </w:rPr>
                <w:t>Forum on Artificial Intelligence and Internet of Things in the development of Smart Sustainable Cities</w:t>
              </w:r>
            </w:hyperlink>
            <w:r w:rsidRPr="00073574">
              <w:t xml:space="preserve"> took place on 11 April 2018.</w:t>
            </w:r>
          </w:p>
          <w:p w14:paraId="4138A97F" w14:textId="77777777" w:rsidR="00D61603" w:rsidRPr="00073574" w:rsidRDefault="00D61603" w:rsidP="004E682B">
            <w:pPr>
              <w:pStyle w:val="normalWSIS"/>
              <w:numPr>
                <w:ilvl w:val="0"/>
                <w:numId w:val="73"/>
              </w:numPr>
              <w:spacing w:after="0"/>
              <w:jc w:val="left"/>
            </w:pPr>
            <w:r w:rsidRPr="00073574">
              <w:t xml:space="preserve">A </w:t>
            </w:r>
            <w:hyperlink r:id="rId949">
              <w:r w:rsidRPr="00073574">
                <w:rPr>
                  <w:rStyle w:val="Hyperlink"/>
                </w:rPr>
                <w:t>Forum on Exploring the Potential of Artificial Intelligence and Internet of Things</w:t>
              </w:r>
            </w:hyperlink>
            <w:r w:rsidRPr="00073574">
              <w:t xml:space="preserve"> and a </w:t>
            </w:r>
            <w:hyperlink r:id="rId950">
              <w:r w:rsidRPr="00073574">
                <w:rPr>
                  <w:rStyle w:val="Hyperlink"/>
                </w:rPr>
                <w:t>Bridging the Standardization Gap Session on Internet of Things (IoT)</w:t>
              </w:r>
            </w:hyperlink>
            <w:r w:rsidRPr="00073574">
              <w:t xml:space="preserve"> took place on 6 May 2018 in Cairo, Egypt.</w:t>
            </w:r>
          </w:p>
          <w:p w14:paraId="35CB48A0" w14:textId="1E673251" w:rsidR="00D61603" w:rsidRPr="00073574" w:rsidRDefault="00D61603" w:rsidP="004E682B">
            <w:pPr>
              <w:pStyle w:val="normalWSIS"/>
              <w:numPr>
                <w:ilvl w:val="0"/>
                <w:numId w:val="73"/>
              </w:numPr>
              <w:spacing w:after="0"/>
              <w:jc w:val="left"/>
            </w:pPr>
            <w:r w:rsidRPr="00073574">
              <w:t xml:space="preserve">The </w:t>
            </w:r>
            <w:hyperlink r:id="rId951">
              <w:r w:rsidRPr="00073574">
                <w:rPr>
                  <w:rStyle w:val="Hyperlink"/>
                </w:rPr>
                <w:t>1st Forum on Artificial Intelligence and the Internet of Things in Smart Sustainable Cities in Latin America</w:t>
              </w:r>
            </w:hyperlink>
            <w:r w:rsidRPr="00073574">
              <w:t xml:space="preserve"> was held on 29 and 30 May 2018 in Buenos Aires, Argentina. An </w:t>
            </w:r>
            <w:hyperlink r:id="rId952">
              <w:r w:rsidRPr="00073574">
                <w:rPr>
                  <w:rStyle w:val="Hyperlink"/>
                </w:rPr>
                <w:t>Information Session on “Exploring the Role of Small Medium Enterprises (SMEs) in Linking AI and IoT in Smart Cities”</w:t>
              </w:r>
            </w:hyperlink>
            <w:r w:rsidRPr="00073574">
              <w:t>.</w:t>
            </w:r>
          </w:p>
          <w:p w14:paraId="52ADF3A5" w14:textId="77777777" w:rsidR="00D61603" w:rsidRPr="00073574" w:rsidRDefault="00D61603" w:rsidP="004E682B">
            <w:pPr>
              <w:pStyle w:val="normalWSIS"/>
              <w:numPr>
                <w:ilvl w:val="0"/>
                <w:numId w:val="73"/>
              </w:numPr>
              <w:spacing w:after="0"/>
              <w:jc w:val="left"/>
            </w:pPr>
            <w:r w:rsidRPr="00073574">
              <w:t xml:space="preserve">An </w:t>
            </w:r>
            <w:hyperlink r:id="rId953">
              <w:r w:rsidRPr="00073574">
                <w:rPr>
                  <w:rStyle w:val="Hyperlink"/>
                </w:rPr>
                <w:t>ITU Regional Forum on “Internet of Things, Telecommunication Networks and Big Data as Basic Infrastructure for Digital Economy”</w:t>
              </w:r>
            </w:hyperlink>
            <w:r w:rsidRPr="00073574">
              <w:t xml:space="preserve"> took place from 4 to 6 June 2018 in St. Petersburg, Russian Federation.</w:t>
            </w:r>
          </w:p>
          <w:p w14:paraId="7668F2C1" w14:textId="77777777" w:rsidR="00D61603" w:rsidRPr="00073574" w:rsidRDefault="00D61603" w:rsidP="004E682B">
            <w:pPr>
              <w:pStyle w:val="normalWSIS"/>
              <w:numPr>
                <w:ilvl w:val="0"/>
                <w:numId w:val="73"/>
              </w:numPr>
              <w:spacing w:after="0"/>
              <w:jc w:val="left"/>
            </w:pPr>
            <w:r w:rsidRPr="00073574">
              <w:t xml:space="preserve">The </w:t>
            </w:r>
            <w:hyperlink r:id="rId954">
              <w:r w:rsidRPr="00073574">
                <w:rPr>
                  <w:rStyle w:val="Hyperlink"/>
                </w:rPr>
                <w:t>IoT Week 2018</w:t>
              </w:r>
            </w:hyperlink>
            <w:r w:rsidRPr="00073574">
              <w:t>, took place from 4 to 7 June 2018 in Bilbao, Spain.</w:t>
            </w:r>
          </w:p>
          <w:p w14:paraId="3335D2F2" w14:textId="01F9AE13" w:rsidR="00D61603" w:rsidRPr="00073574" w:rsidRDefault="00D61603" w:rsidP="004E682B">
            <w:pPr>
              <w:pStyle w:val="normalWSIS"/>
              <w:numPr>
                <w:ilvl w:val="0"/>
                <w:numId w:val="73"/>
              </w:numPr>
              <w:spacing w:after="0"/>
            </w:pPr>
            <w:r w:rsidRPr="00073574">
              <w:t xml:space="preserve">The </w:t>
            </w:r>
            <w:hyperlink r:id="rId955">
              <w:r w:rsidRPr="00073574">
                <w:rPr>
                  <w:rStyle w:val="Hyperlink"/>
                </w:rPr>
                <w:t>4th Asia-Pacific Regional Forum on Smart Sustainable Cities and e-Government 2018</w:t>
              </w:r>
            </w:hyperlink>
            <w:r w:rsidRPr="00073574">
              <w:t xml:space="preserve"> was held from 4 to 6 July 2018 in Thanh Hoa city, Viet Nam.</w:t>
            </w:r>
          </w:p>
          <w:p w14:paraId="32EA5911" w14:textId="77777777" w:rsidR="00D61603" w:rsidRPr="00073574" w:rsidRDefault="00D61603" w:rsidP="004E682B">
            <w:pPr>
              <w:pStyle w:val="normalWSIS"/>
              <w:numPr>
                <w:ilvl w:val="0"/>
                <w:numId w:val="73"/>
              </w:numPr>
              <w:spacing w:after="0"/>
              <w:jc w:val="left"/>
            </w:pPr>
            <w:r w:rsidRPr="00073574">
              <w:t xml:space="preserve">A side event on </w:t>
            </w:r>
            <w:hyperlink r:id="rId956">
              <w:r w:rsidRPr="00073574">
                <w:rPr>
                  <w:rStyle w:val="Hyperlink"/>
                </w:rPr>
                <w:t>Shaping smarter and more sustainable cities: Striving for Sustainable Development Goals</w:t>
              </w:r>
            </w:hyperlink>
            <w:r w:rsidRPr="00073574">
              <w:t xml:space="preserve"> took place on 12 July 2018 in New York, United States. The side event was jointly organized by the Ministry of Digital Policy, Telecommunications and Media, Greece, International Telecommunication Union (ITU), United Nations Economic Commission for Europe (UNECE), United Nations Educational, Scientific and Cultural Organization (UNESCO) and the Permanent Mission of the United Arab Emirates to the United Nations New York. It provided a platform to: debate the impact of frontier technologies such as artificial intelligence (AI), blockchain, and internet of things (IoT) on cities; present the international key performance indicators (KPIs) for Smart Sustainable Cities (SSC), developed by U4SSC, that establishes a criteria to evaluate ICT's contributions in making cities smarter and more sustainable and that provides cities with the means for self-assessments in order to achieve the sustainable development goals (SDGs); and discuss </w:t>
            </w:r>
            <w:r w:rsidRPr="00073574">
              <w:lastRenderedPageBreak/>
              <w:t>the opportunities and challenges faced in shaping smart and sustainable cities at the local level.</w:t>
            </w:r>
          </w:p>
          <w:p w14:paraId="6367C222" w14:textId="77777777" w:rsidR="00D61603" w:rsidRPr="00073574" w:rsidRDefault="00D61603" w:rsidP="004E682B">
            <w:pPr>
              <w:pStyle w:val="normalWSIS"/>
              <w:numPr>
                <w:ilvl w:val="0"/>
                <w:numId w:val="73"/>
              </w:numPr>
              <w:spacing w:after="0"/>
              <w:jc w:val="left"/>
            </w:pPr>
            <w:r w:rsidRPr="00073574">
              <w:t xml:space="preserve">A </w:t>
            </w:r>
            <w:hyperlink r:id="rId957">
              <w:r w:rsidRPr="00073574">
                <w:rPr>
                  <w:rStyle w:val="Hyperlink"/>
                </w:rPr>
                <w:t>Second ITU Workshop on Data Processing and Management for IoT and Smart Cities &amp; Communities</w:t>
              </w:r>
            </w:hyperlink>
            <w:r w:rsidRPr="00073574">
              <w:t xml:space="preserve"> was held on 17 September 2018, Tunis, Tunisia.</w:t>
            </w:r>
          </w:p>
          <w:p w14:paraId="1E8F6DD7" w14:textId="77777777" w:rsidR="00D61603" w:rsidRPr="00073574" w:rsidRDefault="00D61603" w:rsidP="004E682B">
            <w:pPr>
              <w:pStyle w:val="normalWSIS"/>
              <w:numPr>
                <w:ilvl w:val="0"/>
                <w:numId w:val="73"/>
              </w:numPr>
              <w:spacing w:after="0"/>
              <w:jc w:val="left"/>
            </w:pPr>
            <w:r w:rsidRPr="00073574">
              <w:t xml:space="preserve">A </w:t>
            </w:r>
            <w:hyperlink r:id="rId958">
              <w:r w:rsidRPr="00073574">
                <w:rPr>
                  <w:rStyle w:val="Hyperlink"/>
                </w:rPr>
                <w:t>Forum on Artificial Intelligence, Internet of Things and Smart Cities</w:t>
              </w:r>
            </w:hyperlink>
            <w:r w:rsidRPr="00073574">
              <w:t xml:space="preserve"> took place on 3 December 2018 in Wuxi, China.</w:t>
            </w:r>
          </w:p>
          <w:p w14:paraId="7F75A2A0" w14:textId="3124DAAB" w:rsidR="00D61603" w:rsidRPr="00073574" w:rsidRDefault="00D61603" w:rsidP="004E682B">
            <w:pPr>
              <w:pStyle w:val="normalWSIS"/>
              <w:numPr>
                <w:ilvl w:val="0"/>
                <w:numId w:val="73"/>
              </w:numPr>
              <w:spacing w:after="0"/>
              <w:jc w:val="left"/>
            </w:pPr>
            <w:r w:rsidRPr="00073574">
              <w:t xml:space="preserve">The </w:t>
            </w:r>
            <w:hyperlink r:id="rId959">
              <w:r w:rsidRPr="00073574">
                <w:rPr>
                  <w:rStyle w:val="Strong"/>
                  <w:b w:val="0"/>
                  <w:bCs w:val="0"/>
                </w:rPr>
                <w:t>Third ITU Workshop on Data Processing and Management for IoT and Smart Cities &amp; Communities</w:t>
              </w:r>
            </w:hyperlink>
            <w:r w:rsidRPr="00073574">
              <w:t>, Seoul, Korea (Rep.</w:t>
            </w:r>
            <w:r w:rsidR="00C15B60" w:rsidRPr="00073574">
              <w:t xml:space="preserve"> </w:t>
            </w:r>
            <w:r w:rsidRPr="00073574">
              <w:t>of), 14 January 2019.</w:t>
            </w:r>
          </w:p>
          <w:p w14:paraId="5EECC5F1" w14:textId="77777777" w:rsidR="00D61603" w:rsidRPr="00073574" w:rsidRDefault="00D61603" w:rsidP="004E682B">
            <w:pPr>
              <w:pStyle w:val="normalWSIS"/>
              <w:numPr>
                <w:ilvl w:val="0"/>
                <w:numId w:val="73"/>
              </w:numPr>
              <w:spacing w:after="0"/>
              <w:jc w:val="left"/>
            </w:pPr>
            <w:r w:rsidRPr="00073574">
              <w:t>An</w:t>
            </w:r>
            <w:r w:rsidRPr="00073574">
              <w:rPr>
                <w:b/>
                <w:bCs/>
              </w:rPr>
              <w:t xml:space="preserve"> </w:t>
            </w:r>
            <w:hyperlink r:id="rId960">
              <w:r w:rsidRPr="00073574">
                <w:rPr>
                  <w:rStyle w:val="Strong"/>
                  <w:b w:val="0"/>
                  <w:bCs w:val="0"/>
                </w:rPr>
                <w:t>ITU-UN-Habitat-UNDP Forum "Smart sustainable cities: technological trends, success stories and future prospects"</w:t>
              </w:r>
            </w:hyperlink>
            <w:r w:rsidRPr="00073574">
              <w:t>, took place on 26-27 February 2019 in Minsk, Belarus.</w:t>
            </w:r>
          </w:p>
          <w:p w14:paraId="3C728518" w14:textId="77777777" w:rsidR="00D61603" w:rsidRPr="00073574" w:rsidRDefault="00D61603" w:rsidP="004E682B">
            <w:pPr>
              <w:pStyle w:val="normalWSIS"/>
              <w:numPr>
                <w:ilvl w:val="0"/>
                <w:numId w:val="73"/>
              </w:numPr>
              <w:spacing w:after="0"/>
              <w:jc w:val="left"/>
            </w:pPr>
            <w:r w:rsidRPr="00073574">
              <w:t>An ITU Training on Key performance indicators for smart sustainable cities to achieve the SDGs, took place on 27 February 2019 in Minsk, Belarus.</w:t>
            </w:r>
          </w:p>
          <w:p w14:paraId="1068BBB2" w14:textId="77777777" w:rsidR="00D61603" w:rsidRPr="00073574" w:rsidRDefault="00D61603" w:rsidP="004E682B">
            <w:pPr>
              <w:pStyle w:val="normalWSIS"/>
              <w:numPr>
                <w:ilvl w:val="0"/>
                <w:numId w:val="73"/>
              </w:numPr>
              <w:spacing w:after="0"/>
              <w:jc w:val="left"/>
            </w:pPr>
            <w:r w:rsidRPr="00073574">
              <w:t>A session on “Connecting Smart Sustainable Cities with the Sustainable Development Goals” took place on 12 March 2019 in Vienna, Austria during the Vienna Cybersecurity Week.</w:t>
            </w:r>
          </w:p>
          <w:p w14:paraId="1CF54434" w14:textId="77777777" w:rsidR="00D61603" w:rsidRPr="00073574" w:rsidRDefault="00D61603" w:rsidP="004E682B">
            <w:pPr>
              <w:pStyle w:val="normalWSIS"/>
              <w:numPr>
                <w:ilvl w:val="0"/>
                <w:numId w:val="73"/>
              </w:numPr>
              <w:spacing w:after="0"/>
              <w:jc w:val="left"/>
            </w:pPr>
            <w:r w:rsidRPr="00073574">
              <w:t>A Thematic Workshop on United for Smart Sustainable Cities: Blockchain for Cities took place on 11 April 2019 in Geneva.</w:t>
            </w:r>
          </w:p>
          <w:p w14:paraId="08463CA3" w14:textId="77777777" w:rsidR="00D61603" w:rsidRPr="00073574" w:rsidRDefault="00D61603" w:rsidP="004E682B">
            <w:pPr>
              <w:pStyle w:val="normalWSIS"/>
              <w:numPr>
                <w:ilvl w:val="0"/>
                <w:numId w:val="73"/>
              </w:numPr>
              <w:spacing w:after="0"/>
              <w:jc w:val="left"/>
            </w:pPr>
            <w:r w:rsidRPr="00073574">
              <w:t>A Thematic Workshop on En-gendering the smart city took place on 11 April 2019 in Geneva, Switzerland.</w:t>
            </w:r>
          </w:p>
          <w:p w14:paraId="0990E01B" w14:textId="77777777" w:rsidR="00D61603" w:rsidRPr="00073574" w:rsidRDefault="0053741E" w:rsidP="004E682B">
            <w:pPr>
              <w:pStyle w:val="normalWSIS"/>
              <w:numPr>
                <w:ilvl w:val="0"/>
                <w:numId w:val="73"/>
              </w:numPr>
              <w:spacing w:after="0"/>
              <w:jc w:val="left"/>
            </w:pPr>
            <w:hyperlink r:id="rId961">
              <w:r w:rsidR="00D61603" w:rsidRPr="00073574">
                <w:rPr>
                  <w:rStyle w:val="Strong"/>
                  <w:b w:val="0"/>
                  <w:bCs w:val="0"/>
                </w:rPr>
                <w:t>4th ITU Workshop on Network 2030 jointly with ITU Forum on Internet of Things: Future Applications and Services. Perspective 2030</w:t>
              </w:r>
            </w:hyperlink>
            <w:r w:rsidR="00D61603" w:rsidRPr="00073574">
              <w:t>, Saint-Petersburg, Russian Federation, 21-23 May 2019.</w:t>
            </w:r>
          </w:p>
          <w:p w14:paraId="15F229B4" w14:textId="77777777" w:rsidR="00D61603" w:rsidRPr="00073574" w:rsidRDefault="00D61603" w:rsidP="004E682B">
            <w:pPr>
              <w:pStyle w:val="normalWSIS"/>
              <w:numPr>
                <w:ilvl w:val="0"/>
                <w:numId w:val="73"/>
              </w:numPr>
              <w:spacing w:after="0"/>
              <w:jc w:val="left"/>
            </w:pPr>
            <w:r w:rsidRPr="00073574">
              <w:t xml:space="preserve">The </w:t>
            </w:r>
            <w:hyperlink r:id="rId962">
              <w:r w:rsidRPr="00073574">
                <w:rPr>
                  <w:rStyle w:val="Hyperlink"/>
                </w:rPr>
                <w:t>IoT Week 2019</w:t>
              </w:r>
            </w:hyperlink>
            <w:r w:rsidRPr="00073574">
              <w:t xml:space="preserve"> took place from 17 to 21 June 2019 in Aarhus, Denmark.</w:t>
            </w:r>
          </w:p>
          <w:p w14:paraId="06369338" w14:textId="66D2E842" w:rsidR="00D61603" w:rsidRPr="00073574" w:rsidRDefault="00D61603" w:rsidP="004E682B">
            <w:pPr>
              <w:pStyle w:val="normalWSIS"/>
              <w:numPr>
                <w:ilvl w:val="0"/>
                <w:numId w:val="73"/>
              </w:numPr>
              <w:spacing w:after="0"/>
              <w:jc w:val="left"/>
            </w:pPr>
            <w:r w:rsidRPr="00073574">
              <w:t>An ITU Training on “Smart Sustainable Cities , Products and Services” (27 August 2019) and an ITU Forum on Smart Sustainable Africa (28 August 2019) took place in Abuja, Nigeria during the 1st Digital African Week.</w:t>
            </w:r>
          </w:p>
          <w:p w14:paraId="76BA80FD" w14:textId="77777777" w:rsidR="00D61603" w:rsidRPr="00073574" w:rsidRDefault="00D61603" w:rsidP="004E682B">
            <w:pPr>
              <w:pStyle w:val="normalWSIS"/>
              <w:numPr>
                <w:ilvl w:val="0"/>
                <w:numId w:val="73"/>
              </w:numPr>
              <w:spacing w:after="0"/>
              <w:jc w:val="left"/>
            </w:pPr>
            <w:r w:rsidRPr="00073574">
              <w:t>A Session on “Smart Sustainable Cities &amp; Communities” took place on 5 September 2019 in Addis Ababa, Ethiopia.</w:t>
            </w:r>
          </w:p>
          <w:p w14:paraId="6BF36C35" w14:textId="0C8FD758" w:rsidR="00D61603" w:rsidRPr="00073574" w:rsidRDefault="00D61603" w:rsidP="004E682B">
            <w:pPr>
              <w:pStyle w:val="normalWSIS"/>
              <w:numPr>
                <w:ilvl w:val="0"/>
                <w:numId w:val="73"/>
              </w:numPr>
              <w:spacing w:after="0"/>
              <w:jc w:val="left"/>
            </w:pPr>
            <w:r w:rsidRPr="00073574">
              <w:t>The 9th Green Standards Week took place from 1 to 4 October 2019 in Valencia, Spain. The 9th GSW is co-ordinated with more than 20 partners and is dedicated to the theme “Connecting Smart Sustainable Cities with the Sustainable Development Goals”. The structure of the GSW was as follows:</w:t>
            </w:r>
          </w:p>
          <w:p w14:paraId="748B28A8" w14:textId="77777777" w:rsidR="00D61603" w:rsidRPr="00073574" w:rsidRDefault="00D61603" w:rsidP="004E682B">
            <w:pPr>
              <w:numPr>
                <w:ilvl w:val="1"/>
                <w:numId w:val="73"/>
              </w:numPr>
              <w:shd w:val="clear" w:color="auto" w:fill="FFFFFF"/>
              <w:spacing w:before="0"/>
              <w:textAlignment w:val="baseline"/>
              <w:rPr>
                <w:rFonts w:eastAsia="Times New Roman"/>
                <w:lang w:eastAsia="en-GB"/>
              </w:rPr>
            </w:pPr>
            <w:r w:rsidRPr="00073574">
              <w:rPr>
                <w:rStyle w:val="Strong"/>
                <w:bdr w:val="none" w:sz="0" w:space="0" w:color="auto" w:frame="1"/>
              </w:rPr>
              <w:t>Day 1 - Tuesday, 1 October 2019</w:t>
            </w:r>
          </w:p>
          <w:p w14:paraId="19A3BB88" w14:textId="77777777" w:rsidR="00D61603" w:rsidRPr="00073574" w:rsidRDefault="0053741E" w:rsidP="004E682B">
            <w:pPr>
              <w:numPr>
                <w:ilvl w:val="2"/>
                <w:numId w:val="73"/>
              </w:numPr>
              <w:shd w:val="clear" w:color="auto" w:fill="FFFFFF"/>
              <w:spacing w:before="0"/>
              <w:textAlignment w:val="baseline"/>
              <w:rPr>
                <w:color w:val="444444"/>
              </w:rPr>
            </w:pPr>
            <w:hyperlink r:id="rId963" w:history="1">
              <w:r w:rsidR="00D61603" w:rsidRPr="00073574">
                <w:rPr>
                  <w:rStyle w:val="Hyperlink"/>
                  <w:color w:val="3789BD"/>
                  <w:bdr w:val="none" w:sz="0" w:space="0" w:color="auto" w:frame="1"/>
                </w:rPr>
                <w:t>Leadership Panel on "Connecting Smart Sustainable Cities with the Sustainable Development Goals"</w:t>
              </w:r>
            </w:hyperlink>
          </w:p>
          <w:p w14:paraId="395E05AE" w14:textId="77777777" w:rsidR="00D61603" w:rsidRPr="00073574" w:rsidRDefault="0053741E" w:rsidP="004E682B">
            <w:pPr>
              <w:numPr>
                <w:ilvl w:val="2"/>
                <w:numId w:val="73"/>
              </w:numPr>
              <w:shd w:val="clear" w:color="auto" w:fill="FFFFFF"/>
              <w:spacing w:before="0"/>
              <w:textAlignment w:val="baseline"/>
              <w:rPr>
                <w:color w:val="444444"/>
              </w:rPr>
            </w:pPr>
            <w:hyperlink r:id="rId964" w:history="1">
              <w:r w:rsidR="00D61603" w:rsidRPr="00073574">
                <w:rPr>
                  <w:rStyle w:val="Hyperlink"/>
                  <w:color w:val="3789BD"/>
                  <w:bdr w:val="none" w:sz="0" w:space="0" w:color="auto" w:frame="1"/>
                </w:rPr>
                <w:t>U4SSC Award Ceremony &amp; Photo Session</w:t>
              </w:r>
            </w:hyperlink>
          </w:p>
          <w:p w14:paraId="670CC3AB" w14:textId="77777777" w:rsidR="00D61603" w:rsidRPr="00073574" w:rsidRDefault="0053741E" w:rsidP="004E682B">
            <w:pPr>
              <w:numPr>
                <w:ilvl w:val="2"/>
                <w:numId w:val="73"/>
              </w:numPr>
              <w:shd w:val="clear" w:color="auto" w:fill="FFFFFF"/>
              <w:spacing w:before="0"/>
              <w:textAlignment w:val="baseline"/>
              <w:rPr>
                <w:color w:val="444444"/>
              </w:rPr>
            </w:pPr>
            <w:hyperlink r:id="rId965" w:history="1">
              <w:r w:rsidR="00D61603" w:rsidRPr="00073574">
                <w:rPr>
                  <w:rStyle w:val="Hyperlink"/>
                  <w:color w:val="3789BD"/>
                  <w:bdr w:val="none" w:sz="0" w:space="0" w:color="auto" w:frame="1"/>
                </w:rPr>
                <w:t>Forum on "Frontier Technologies to Tackle Climate Change and Achieve a Circular Economy"</w:t>
              </w:r>
            </w:hyperlink>
          </w:p>
          <w:p w14:paraId="6FBB60B1" w14:textId="77777777" w:rsidR="00D61603" w:rsidRPr="00073574" w:rsidRDefault="00D61603" w:rsidP="004E682B">
            <w:pPr>
              <w:numPr>
                <w:ilvl w:val="1"/>
                <w:numId w:val="73"/>
              </w:numPr>
              <w:shd w:val="clear" w:color="auto" w:fill="FFFFFF"/>
              <w:spacing w:before="0"/>
              <w:textAlignment w:val="baseline"/>
            </w:pPr>
            <w:r w:rsidRPr="00073574">
              <w:rPr>
                <w:rStyle w:val="Strong"/>
                <w:bdr w:val="none" w:sz="0" w:space="0" w:color="auto" w:frame="1"/>
              </w:rPr>
              <w:t>Day 2 - Wednesday, 2 October 2019</w:t>
            </w:r>
          </w:p>
          <w:p w14:paraId="027963E2" w14:textId="77777777" w:rsidR="00D61603" w:rsidRPr="00073574" w:rsidRDefault="0053741E" w:rsidP="004E682B">
            <w:pPr>
              <w:numPr>
                <w:ilvl w:val="2"/>
                <w:numId w:val="73"/>
              </w:numPr>
              <w:shd w:val="clear" w:color="auto" w:fill="FFFFFF"/>
              <w:spacing w:before="0"/>
              <w:textAlignment w:val="baseline"/>
              <w:rPr>
                <w:color w:val="444444"/>
              </w:rPr>
            </w:pPr>
            <w:hyperlink r:id="rId966" w:history="1">
              <w:r w:rsidR="00D61603" w:rsidRPr="00073574">
                <w:rPr>
                  <w:rStyle w:val="Hyperlink"/>
                  <w:color w:val="3789BD"/>
                  <w:bdr w:val="none" w:sz="0" w:space="0" w:color="auto" w:frame="1"/>
                </w:rPr>
                <w:t>Forum on "Smart Governance in Cities"</w:t>
              </w:r>
            </w:hyperlink>
          </w:p>
          <w:p w14:paraId="05F99911" w14:textId="77777777" w:rsidR="00D61603" w:rsidRPr="00073574" w:rsidRDefault="0053741E" w:rsidP="004E682B">
            <w:pPr>
              <w:numPr>
                <w:ilvl w:val="2"/>
                <w:numId w:val="73"/>
              </w:numPr>
              <w:shd w:val="clear" w:color="auto" w:fill="FFFFFF"/>
              <w:spacing w:before="0"/>
              <w:textAlignment w:val="baseline"/>
              <w:rPr>
                <w:color w:val="444444"/>
              </w:rPr>
            </w:pPr>
            <w:hyperlink r:id="rId967" w:history="1">
              <w:r w:rsidR="00D61603" w:rsidRPr="00073574">
                <w:rPr>
                  <w:rStyle w:val="Hyperlink"/>
                  <w:color w:val="3789BD"/>
                  <w:bdr w:val="none" w:sz="0" w:space="0" w:color="auto" w:frame="1"/>
                </w:rPr>
                <w:t>Valencia: Smart City</w:t>
              </w:r>
            </w:hyperlink>
          </w:p>
          <w:p w14:paraId="5371CAFD" w14:textId="77777777" w:rsidR="00D61603" w:rsidRPr="00073574" w:rsidRDefault="00D61603" w:rsidP="004E682B">
            <w:pPr>
              <w:numPr>
                <w:ilvl w:val="1"/>
                <w:numId w:val="73"/>
              </w:numPr>
              <w:shd w:val="clear" w:color="auto" w:fill="FFFFFF"/>
              <w:spacing w:before="0"/>
              <w:textAlignment w:val="baseline"/>
            </w:pPr>
            <w:r w:rsidRPr="00073574">
              <w:rPr>
                <w:rStyle w:val="Strong"/>
                <w:bdr w:val="none" w:sz="0" w:space="0" w:color="auto" w:frame="1"/>
              </w:rPr>
              <w:t>Day 3 - Thursday, 3 October 2019</w:t>
            </w:r>
          </w:p>
          <w:p w14:paraId="4F852404" w14:textId="109D4525" w:rsidR="00D61603" w:rsidRPr="00073574" w:rsidRDefault="0053741E" w:rsidP="004E682B">
            <w:pPr>
              <w:numPr>
                <w:ilvl w:val="2"/>
                <w:numId w:val="73"/>
              </w:numPr>
              <w:shd w:val="clear" w:color="auto" w:fill="FFFFFF"/>
              <w:spacing w:before="0"/>
              <w:textAlignment w:val="baseline"/>
              <w:rPr>
                <w:color w:val="444444"/>
              </w:rPr>
            </w:pPr>
            <w:hyperlink r:id="rId968" w:history="1">
              <w:r w:rsidR="00D61603" w:rsidRPr="00073574">
                <w:rPr>
                  <w:rStyle w:val="Hyperlink"/>
                  <w:color w:val="3789BD"/>
                  <w:bdr w:val="none" w:sz="0" w:space="0" w:color="auto" w:frame="1"/>
                </w:rPr>
                <w:t>4th</w:t>
              </w:r>
              <w:r w:rsidR="009E351C" w:rsidRPr="00073574">
                <w:rPr>
                  <w:rStyle w:val="Hyperlink"/>
                  <w:color w:val="3789BD"/>
                  <w:bdr w:val="none" w:sz="0" w:space="0" w:color="auto" w:frame="1"/>
                </w:rPr>
                <w:t xml:space="preserve"> </w:t>
              </w:r>
              <w:r w:rsidR="00D61603" w:rsidRPr="00073574">
                <w:rPr>
                  <w:rStyle w:val="Hyperlink"/>
                  <w:color w:val="3789BD"/>
                  <w:bdr w:val="none" w:sz="0" w:space="0" w:color="auto" w:frame="1"/>
                </w:rPr>
                <w:t>meeting of the United for Smart Sustainable Cities Initiative (U4SSC)</w:t>
              </w:r>
            </w:hyperlink>
          </w:p>
          <w:p w14:paraId="41C38F62" w14:textId="77777777" w:rsidR="00D61603" w:rsidRPr="00073574" w:rsidRDefault="00D61603" w:rsidP="004E682B">
            <w:pPr>
              <w:numPr>
                <w:ilvl w:val="2"/>
                <w:numId w:val="73"/>
              </w:numPr>
              <w:shd w:val="clear" w:color="auto" w:fill="FFFFFF"/>
              <w:spacing w:before="0"/>
              <w:textAlignment w:val="baseline"/>
            </w:pPr>
            <w:r w:rsidRPr="00073574">
              <w:t xml:space="preserve">Meeting of the Spanish Expert Committee on Smart Sustainable Cities - </w:t>
            </w:r>
            <w:r w:rsidRPr="00073574">
              <w:rPr>
                <w:rStyle w:val="Emphasis"/>
                <w:bdr w:val="none" w:sz="0" w:space="0" w:color="auto" w:frame="1"/>
              </w:rPr>
              <w:t>by invitation only</w:t>
            </w:r>
          </w:p>
          <w:p w14:paraId="06608BF4" w14:textId="77777777" w:rsidR="00D61603" w:rsidRPr="00073574" w:rsidRDefault="00D61603" w:rsidP="004E682B">
            <w:pPr>
              <w:numPr>
                <w:ilvl w:val="1"/>
                <w:numId w:val="73"/>
              </w:numPr>
              <w:shd w:val="clear" w:color="auto" w:fill="FFFFFF"/>
              <w:spacing w:before="0"/>
              <w:textAlignment w:val="baseline"/>
            </w:pPr>
            <w:r w:rsidRPr="00073574">
              <w:rPr>
                <w:rStyle w:val="Strong"/>
                <w:bdr w:val="none" w:sz="0" w:space="0" w:color="auto" w:frame="1"/>
              </w:rPr>
              <w:t>Day 4 - Friday, 4 October 2019</w:t>
            </w:r>
          </w:p>
          <w:p w14:paraId="40E5D1F4" w14:textId="77777777" w:rsidR="00D61603" w:rsidRPr="00073574" w:rsidRDefault="0053741E" w:rsidP="004E682B">
            <w:pPr>
              <w:numPr>
                <w:ilvl w:val="2"/>
                <w:numId w:val="73"/>
              </w:numPr>
              <w:shd w:val="clear" w:color="auto" w:fill="FFFFFF"/>
              <w:spacing w:before="0"/>
              <w:textAlignment w:val="baseline"/>
              <w:rPr>
                <w:rStyle w:val="Hyperlink"/>
                <w:color w:val="444444"/>
                <w:u w:val="none"/>
              </w:rPr>
            </w:pPr>
            <w:hyperlink r:id="rId969" w:history="1">
              <w:r w:rsidR="00D61603" w:rsidRPr="00073574">
                <w:rPr>
                  <w:rStyle w:val="Hyperlink"/>
                  <w:color w:val="3789BD"/>
                  <w:bdr w:val="none" w:sz="0" w:space="0" w:color="auto" w:frame="1"/>
                </w:rPr>
                <w:t>Training on Building Smarter and More Sustainable Cities</w:t>
              </w:r>
            </w:hyperlink>
          </w:p>
          <w:p w14:paraId="5F1FCBC7" w14:textId="6121A2AA" w:rsidR="00D61603" w:rsidRPr="00073574" w:rsidRDefault="02AD2D50" w:rsidP="00366B4E">
            <w:pPr>
              <w:shd w:val="clear" w:color="auto" w:fill="FFFFFF" w:themeFill="background1"/>
              <w:ind w:left="567"/>
              <w:textAlignment w:val="baseline"/>
              <w:rPr>
                <w:color w:val="444444"/>
              </w:rPr>
            </w:pPr>
            <w:r w:rsidRPr="00073574">
              <w:rPr>
                <w:rStyle w:val="Hyperlink"/>
                <w:color w:val="3789BD"/>
                <w:szCs w:val="22"/>
                <w:bdr w:val="none" w:sz="0" w:space="0" w:color="auto" w:frame="1"/>
              </w:rPr>
              <w:lastRenderedPageBreak/>
              <w:t xml:space="preserve">The 9th Green Standards Week concluded with a call to action </w:t>
            </w:r>
            <w:r w:rsidRPr="00073574">
              <w:rPr>
                <w:szCs w:val="22"/>
              </w:rPr>
              <w:t>urging city stakeholders to accelerate the transition to Smart Sustainable Cities using ICTs and new frontier technologies.</w:t>
            </w:r>
            <w:r w:rsidRPr="00073574">
              <w:t xml:space="preserve"> The Call to Action is available in </w:t>
            </w:r>
            <w:hyperlink r:id="rId970" w:history="1">
              <w:r w:rsidRPr="00073574">
                <w:rPr>
                  <w:rStyle w:val="Hyperlink"/>
                </w:rPr>
                <w:t>English</w:t>
              </w:r>
            </w:hyperlink>
            <w:r w:rsidRPr="00073574">
              <w:rPr>
                <w:color w:val="444444"/>
              </w:rPr>
              <w:t xml:space="preserve">, </w:t>
            </w:r>
            <w:hyperlink r:id="rId971" w:history="1">
              <w:r w:rsidRPr="00073574">
                <w:rPr>
                  <w:rStyle w:val="Hyperlink"/>
                </w:rPr>
                <w:t>Spanish</w:t>
              </w:r>
            </w:hyperlink>
            <w:r w:rsidRPr="00073574">
              <w:rPr>
                <w:color w:val="444444"/>
              </w:rPr>
              <w:t xml:space="preserve">, </w:t>
            </w:r>
            <w:hyperlink r:id="rId972" w:history="1">
              <w:r w:rsidRPr="00073574">
                <w:rPr>
                  <w:rStyle w:val="Hyperlink"/>
                </w:rPr>
                <w:t>Russian</w:t>
              </w:r>
            </w:hyperlink>
            <w:r w:rsidRPr="00073574">
              <w:rPr>
                <w:color w:val="444444"/>
              </w:rPr>
              <w:t xml:space="preserve">, </w:t>
            </w:r>
            <w:hyperlink r:id="rId973" w:history="1">
              <w:r w:rsidRPr="00073574">
                <w:rPr>
                  <w:rStyle w:val="Hyperlink"/>
                </w:rPr>
                <w:t>Arabic</w:t>
              </w:r>
            </w:hyperlink>
            <w:r w:rsidRPr="00073574">
              <w:rPr>
                <w:color w:val="444444"/>
              </w:rPr>
              <w:t xml:space="preserve">, </w:t>
            </w:r>
            <w:hyperlink r:id="rId974" w:history="1">
              <w:r w:rsidRPr="00073574">
                <w:rPr>
                  <w:rStyle w:val="Hyperlink"/>
                </w:rPr>
                <w:t>French</w:t>
              </w:r>
            </w:hyperlink>
            <w:r w:rsidRPr="00073574">
              <w:rPr>
                <w:color w:val="444444"/>
              </w:rPr>
              <w:t xml:space="preserve"> </w:t>
            </w:r>
            <w:r w:rsidRPr="00073574">
              <w:t xml:space="preserve">and </w:t>
            </w:r>
            <w:hyperlink r:id="rId975" w:history="1">
              <w:r w:rsidRPr="00073574">
                <w:rPr>
                  <w:rStyle w:val="Hyperlink"/>
                </w:rPr>
                <w:t>Chinese</w:t>
              </w:r>
            </w:hyperlink>
            <w:r w:rsidRPr="00073574">
              <w:rPr>
                <w:color w:val="444444"/>
              </w:rPr>
              <w:t>.</w:t>
            </w:r>
          </w:p>
          <w:p w14:paraId="61D98355" w14:textId="4469C054" w:rsidR="00D61603" w:rsidRPr="00073574" w:rsidRDefault="00D61603">
            <w:pPr>
              <w:pStyle w:val="ListParagraph"/>
              <w:numPr>
                <w:ilvl w:val="0"/>
                <w:numId w:val="73"/>
              </w:numPr>
              <w:shd w:val="clear" w:color="auto" w:fill="FFFFFF"/>
              <w:spacing w:before="0"/>
              <w:textAlignment w:val="baseline"/>
            </w:pPr>
            <w:r w:rsidRPr="00073574">
              <w:t xml:space="preserve">The </w:t>
            </w:r>
            <w:hyperlink r:id="rId976">
              <w:r w:rsidRPr="00073574">
                <w:rPr>
                  <w:rStyle w:val="Hyperlink"/>
                </w:rPr>
                <w:t>5th ITU Workshop on Data Processing and Management for IoT and Smart Cities &amp; Communities</w:t>
              </w:r>
            </w:hyperlink>
            <w:r w:rsidRPr="00073574">
              <w:rPr>
                <w:color w:val="444444"/>
              </w:rPr>
              <w:t xml:space="preserve"> </w:t>
            </w:r>
            <w:r w:rsidRPr="00073574">
              <w:t>took place on 25 November 2019 in Geneva, Switzerland.</w:t>
            </w:r>
          </w:p>
          <w:p w14:paraId="70903F40" w14:textId="77777777" w:rsidR="00D61603" w:rsidRPr="00073574" w:rsidRDefault="02AD2D50" w:rsidP="008810B8">
            <w:pPr>
              <w:pStyle w:val="ListParagraph"/>
              <w:numPr>
                <w:ilvl w:val="0"/>
                <w:numId w:val="73"/>
              </w:numPr>
              <w:shd w:val="clear" w:color="auto" w:fill="FFFFFF"/>
              <w:textAlignment w:val="baseline"/>
            </w:pPr>
            <w:r w:rsidRPr="00073574">
              <w:t>The first meeting of the</w:t>
            </w:r>
            <w:r w:rsidRPr="00073574">
              <w:rPr>
                <w:color w:val="444444"/>
              </w:rPr>
              <w:t xml:space="preserve"> </w:t>
            </w:r>
            <w:hyperlink r:id="rId977">
              <w:r w:rsidRPr="00073574">
                <w:rPr>
                  <w:rStyle w:val="Hyperlink"/>
                </w:rPr>
                <w:t>Thematic Group on the United for Smart Sustainable City Index</w:t>
              </w:r>
            </w:hyperlink>
            <w:r w:rsidRPr="00073574">
              <w:rPr>
                <w:color w:val="444444"/>
              </w:rPr>
              <w:t xml:space="preserve"> </w:t>
            </w:r>
            <w:r w:rsidRPr="00073574">
              <w:t>took place on 13 December 2019 in Vienna, Austria.</w:t>
            </w:r>
          </w:p>
          <w:p w14:paraId="4F475ED3" w14:textId="50742115" w:rsidR="0677CD4F" w:rsidRPr="00073574" w:rsidRDefault="0677CD4F">
            <w:pPr>
              <w:pStyle w:val="normalWSIS"/>
              <w:numPr>
                <w:ilvl w:val="0"/>
                <w:numId w:val="73"/>
              </w:numPr>
              <w:spacing w:after="40"/>
              <w:jc w:val="left"/>
              <w:rPr>
                <w:rFonts w:eastAsia="Times New Roman"/>
              </w:rPr>
            </w:pPr>
            <w:r w:rsidRPr="00073574">
              <w:t>The WUF10 Networking event on "Governing and managing smart sustainable cities" took place on 10 February 2020 in Abu Dhabi, UAE.</w:t>
            </w:r>
          </w:p>
          <w:p w14:paraId="7C7CA5AD" w14:textId="33367D05" w:rsidR="0677CD4F" w:rsidRPr="00073574" w:rsidRDefault="0677CD4F">
            <w:pPr>
              <w:pStyle w:val="normalWSIS"/>
              <w:numPr>
                <w:ilvl w:val="0"/>
                <w:numId w:val="73"/>
              </w:numPr>
              <w:spacing w:after="40"/>
              <w:jc w:val="left"/>
              <w:rPr>
                <w:rFonts w:eastAsia="Times New Roman"/>
              </w:rPr>
            </w:pPr>
            <w:r w:rsidRPr="00073574">
              <w:t>The ITU Forum "Smart sustainable cities: from concept to implementation" took place on 3-5 March 2020 in Minsk, Belarus.</w:t>
            </w:r>
          </w:p>
          <w:p w14:paraId="49FCFC20" w14:textId="65054AC2" w:rsidR="0677CD4F" w:rsidRPr="00073574" w:rsidRDefault="288FCD34" w:rsidP="004E682B">
            <w:pPr>
              <w:pStyle w:val="normalWSIS"/>
              <w:numPr>
                <w:ilvl w:val="0"/>
                <w:numId w:val="73"/>
              </w:numPr>
              <w:spacing w:after="40"/>
              <w:rPr>
                <w:rFonts w:eastAsia="Times New Roman"/>
              </w:rPr>
            </w:pPr>
            <w:r w:rsidRPr="00073574">
              <w:t xml:space="preserve">The </w:t>
            </w:r>
            <w:hyperlink r:id="rId978" w:history="1">
              <w:r w:rsidRPr="00073574">
                <w:rPr>
                  <w:rStyle w:val="Hyperlink"/>
                </w:rPr>
                <w:t>Webinar on "Accelerating cities' transformation through standards"</w:t>
              </w:r>
            </w:hyperlink>
            <w:r w:rsidRPr="00073574">
              <w:t xml:space="preserve"> took place virtually on 25 June 2020.</w:t>
            </w:r>
          </w:p>
          <w:p w14:paraId="24C26175" w14:textId="77777777" w:rsidR="004E682B" w:rsidRPr="00073574" w:rsidRDefault="004E682B" w:rsidP="004E682B">
            <w:pPr>
              <w:pStyle w:val="ListParagraph"/>
              <w:numPr>
                <w:ilvl w:val="0"/>
                <w:numId w:val="73"/>
              </w:numPr>
              <w:tabs>
                <w:tab w:val="left" w:pos="720"/>
                <w:tab w:val="left" w:pos="794"/>
                <w:tab w:val="left" w:pos="1191"/>
                <w:tab w:val="left" w:pos="1588"/>
                <w:tab w:val="left" w:pos="1985"/>
              </w:tabs>
              <w:overflowPunct w:val="0"/>
              <w:autoSpaceDE w:val="0"/>
              <w:autoSpaceDN w:val="0"/>
              <w:adjustRightInd w:val="0"/>
              <w:spacing w:after="40"/>
              <w:ind w:right="91"/>
              <w:contextualSpacing w:val="0"/>
              <w:textAlignment w:val="baseline"/>
              <w:rPr>
                <w:rFonts w:eastAsia="Times New Roman"/>
              </w:rPr>
            </w:pPr>
            <w:r w:rsidRPr="00073574">
              <w:rPr>
                <w:rFonts w:eastAsia="Times New Roman"/>
              </w:rPr>
              <w:t xml:space="preserve">The </w:t>
            </w:r>
            <w:hyperlink r:id="rId979" w:tgtFrame="_blank" w:history="1">
              <w:r w:rsidRPr="00073574">
                <w:rPr>
                  <w:rStyle w:val="Hyperlink"/>
                  <w:rFonts w:eastAsia="Times New Roman"/>
                </w:rPr>
                <w:t>Virtual forum on "Digital Transformation of Cities and Communities"</w:t>
              </w:r>
            </w:hyperlink>
            <w:r w:rsidRPr="00073574">
              <w:rPr>
                <w:rFonts w:eastAsia="Times New Roman"/>
              </w:rPr>
              <w:t xml:space="preserve"> took take place virtually on 7 December 2020.</w:t>
            </w:r>
          </w:p>
          <w:p w14:paraId="488DDB56" w14:textId="70D1DEFD" w:rsidR="38D55E7E" w:rsidRPr="00073574" w:rsidRDefault="38D55E7E" w:rsidP="004E682B">
            <w:pPr>
              <w:pStyle w:val="normalWSIS"/>
              <w:numPr>
                <w:ilvl w:val="0"/>
                <w:numId w:val="73"/>
              </w:numPr>
              <w:spacing w:after="40"/>
              <w:jc w:val="left"/>
              <w:rPr>
                <w:rFonts w:eastAsia="Times New Roman"/>
              </w:rPr>
            </w:pPr>
            <w:r w:rsidRPr="00073574">
              <w:t xml:space="preserve">The </w:t>
            </w:r>
            <w:hyperlink r:id="rId980" w:history="1">
              <w:r w:rsidRPr="00073574">
                <w:rPr>
                  <w:rStyle w:val="Hyperlink"/>
                </w:rPr>
                <w:t>Webinar Smart sustainable cities and frontier technologies in Latin America”</w:t>
              </w:r>
            </w:hyperlink>
            <w:r w:rsidRPr="00073574">
              <w:t xml:space="preserve"> </w:t>
            </w:r>
            <w:r w:rsidR="00A41D42" w:rsidRPr="00073574">
              <w:t>took</w:t>
            </w:r>
            <w:r w:rsidRPr="00073574">
              <w:t xml:space="preserve"> place virtually on 8 December 2020. </w:t>
            </w:r>
          </w:p>
          <w:p w14:paraId="1CB19072" w14:textId="77777777" w:rsidR="00504B52" w:rsidRPr="00073574" w:rsidRDefault="00504B52" w:rsidP="004E682B">
            <w:pPr>
              <w:pStyle w:val="ListParagraph"/>
              <w:keepNext/>
              <w:keepLines/>
              <w:numPr>
                <w:ilvl w:val="0"/>
                <w:numId w:val="73"/>
              </w:numPr>
              <w:spacing w:after="40"/>
              <w:contextualSpacing w:val="0"/>
            </w:pPr>
            <w:r w:rsidRPr="00073574">
              <w:t xml:space="preserve">The </w:t>
            </w:r>
            <w:hyperlink r:id="rId981" w:tgtFrame="_blank" w:history="1">
              <w:r w:rsidRPr="00073574">
                <w:rPr>
                  <w:rStyle w:val="Hyperlink"/>
                </w:rPr>
                <w:t>WSIS Thematic Workshop on "Simple Ways to be Smart"</w:t>
              </w:r>
            </w:hyperlink>
            <w:r w:rsidRPr="00073574">
              <w:t xml:space="preserve"> took place virtually on 29 March 2021.</w:t>
            </w:r>
          </w:p>
          <w:p w14:paraId="62FF3031" w14:textId="77777777" w:rsidR="00504B52" w:rsidRPr="00073574" w:rsidRDefault="00504B52" w:rsidP="004E682B">
            <w:pPr>
              <w:pStyle w:val="ListParagraph"/>
              <w:keepNext/>
              <w:keepLines/>
              <w:numPr>
                <w:ilvl w:val="0"/>
                <w:numId w:val="73"/>
              </w:numPr>
              <w:spacing w:after="40"/>
              <w:contextualSpacing w:val="0"/>
            </w:pPr>
            <w:r w:rsidRPr="00073574">
              <w:t xml:space="preserve">The </w:t>
            </w:r>
            <w:hyperlink r:id="rId982" w:tgtFrame="_blank" w:history="1">
              <w:r w:rsidRPr="00073574">
                <w:rPr>
                  <w:rStyle w:val="Hyperlink"/>
                </w:rPr>
                <w:t>Virtual Forum on "The Role of Standards in Accelerating Digital Transformation for Cities and Communities"</w:t>
              </w:r>
            </w:hyperlink>
            <w:r w:rsidRPr="00073574">
              <w:t xml:space="preserve"> took place virtually on 23 April 2021.</w:t>
            </w:r>
          </w:p>
          <w:p w14:paraId="72E8AC47" w14:textId="1C2F1B5B" w:rsidR="00504B52" w:rsidRPr="00073574" w:rsidRDefault="00504B52" w:rsidP="004E682B">
            <w:pPr>
              <w:pStyle w:val="ListParagraph"/>
              <w:keepNext/>
              <w:keepLines/>
              <w:numPr>
                <w:ilvl w:val="0"/>
                <w:numId w:val="73"/>
              </w:numPr>
              <w:spacing w:after="40"/>
              <w:contextualSpacing w:val="0"/>
            </w:pPr>
            <w:r w:rsidRPr="00073574">
              <w:t xml:space="preserve">The </w:t>
            </w:r>
            <w:hyperlink r:id="rId983" w:history="1">
              <w:r w:rsidRPr="00073574">
                <w:rPr>
                  <w:rStyle w:val="Hyperlink"/>
                </w:rPr>
                <w:t>ITU-T SG20RG-AFR Virtual forum on “Accelerating Digital Transformation in Africa”</w:t>
              </w:r>
            </w:hyperlink>
            <w:r w:rsidRPr="00073574">
              <w:t xml:space="preserve"> took place virtually on 2 June 2021.</w:t>
            </w:r>
          </w:p>
          <w:p w14:paraId="63260FE2" w14:textId="6C230838" w:rsidR="00504B52" w:rsidRPr="00073574" w:rsidRDefault="00504B52" w:rsidP="004E682B">
            <w:pPr>
              <w:pStyle w:val="ListParagraph"/>
              <w:keepNext/>
              <w:keepLines/>
              <w:numPr>
                <w:ilvl w:val="0"/>
                <w:numId w:val="73"/>
              </w:numPr>
              <w:spacing w:after="40"/>
              <w:contextualSpacing w:val="0"/>
            </w:pPr>
            <w:r w:rsidRPr="00073574">
              <w:t>The ITU together with </w:t>
            </w:r>
            <w:hyperlink r:id="rId984" w:history="1">
              <w:r w:rsidRPr="00073574">
                <w:rPr>
                  <w:rStyle w:val="Hyperlink"/>
                </w:rPr>
                <w:t>International Electrotechnical Commission (IEC)</w:t>
              </w:r>
            </w:hyperlink>
            <w:r w:rsidRPr="00073574">
              <w:t> ​and </w:t>
            </w:r>
            <w:hyperlink r:id="rId985" w:history="1">
              <w:r w:rsidRPr="00073574">
                <w:rPr>
                  <w:rStyle w:val="Hyperlink"/>
                </w:rPr>
                <w:t>International Organization for Standardization (ISO)</w:t>
              </w:r>
            </w:hyperlink>
            <w:r w:rsidR="008810B8" w:rsidRPr="00073574">
              <w:t xml:space="preserve"> </w:t>
            </w:r>
            <w:r w:rsidRPr="00073574">
              <w:t>organized</w:t>
            </w:r>
            <w:r w:rsidR="008810B8" w:rsidRPr="00073574">
              <w:t xml:space="preserve"> </w:t>
            </w:r>
            <w:r w:rsidRPr="00073574">
              <w:t>the</w:t>
            </w:r>
            <w:r w:rsidR="008810B8" w:rsidRPr="00073574">
              <w:t xml:space="preserve"> </w:t>
            </w:r>
            <w:r w:rsidRPr="00073574">
              <w:t xml:space="preserve">IEC-ISO-ITU Joint Smart Cities Task Force (J-SCTF) </w:t>
            </w:r>
            <w:hyperlink r:id="rId986" w:history="1">
              <w:r w:rsidRPr="00073574">
                <w:rPr>
                  <w:rStyle w:val="Hyperlink"/>
                </w:rPr>
                <w:t>Forum on “Strengthening IEC, ISO and ITU collaboration for Smart Cities”</w:t>
              </w:r>
            </w:hyperlink>
            <w:r w:rsidRPr="00073574">
              <w:t>.</w:t>
            </w:r>
            <w:r w:rsidR="008810B8" w:rsidRPr="00073574">
              <w:t xml:space="preserve"> </w:t>
            </w:r>
            <w:r w:rsidRPr="00073574">
              <w:t>This forum took place virtually on 21 June 2021 from 12h00-15h00 CEST/Geneva time.</w:t>
            </w:r>
          </w:p>
          <w:p w14:paraId="1E9ADA4F" w14:textId="6B5090E0" w:rsidR="00F92A8E" w:rsidRPr="00073574" w:rsidRDefault="00F92A8E" w:rsidP="00383EBE">
            <w:pPr>
              <w:pStyle w:val="ListParagraph"/>
              <w:numPr>
                <w:ilvl w:val="0"/>
                <w:numId w:val="73"/>
              </w:numPr>
              <w:tabs>
                <w:tab w:val="left" w:pos="686"/>
                <w:tab w:val="left" w:pos="1588"/>
                <w:tab w:val="left" w:pos="1985"/>
              </w:tabs>
              <w:overflowPunct w:val="0"/>
              <w:autoSpaceDE w:val="0"/>
              <w:autoSpaceDN w:val="0"/>
              <w:adjustRightInd w:val="0"/>
              <w:spacing w:after="40"/>
              <w:ind w:right="91"/>
              <w:rPr>
                <w:rFonts w:eastAsia="Times New Roman"/>
              </w:rPr>
            </w:pPr>
            <w:r w:rsidRPr="00073574">
              <w:rPr>
                <w:rFonts w:eastAsia="Times New Roman"/>
              </w:rPr>
              <w:t xml:space="preserve">The </w:t>
            </w:r>
            <w:hyperlink r:id="rId987" w:tgtFrame="_blank" w:history="1">
              <w:r w:rsidRPr="00073574">
                <w:rPr>
                  <w:rStyle w:val="Hyperlink"/>
                  <w:rFonts w:eastAsia="Times New Roman"/>
                </w:rPr>
                <w:t>ITU/OiER Webinar on Accelerating the Path to Cities’ Digital Transformation</w:t>
              </w:r>
            </w:hyperlink>
            <w:r w:rsidRPr="00073574">
              <w:rPr>
                <w:rFonts w:eastAsia="Times New Roman"/>
              </w:rPr>
              <w:t xml:space="preserve"> took place virtually on 8 September 2021.</w:t>
            </w:r>
          </w:p>
          <w:p w14:paraId="4302ED68" w14:textId="56021779" w:rsidR="00F92A8E" w:rsidRPr="00073574" w:rsidRDefault="0053741E" w:rsidP="00383EBE">
            <w:pPr>
              <w:pStyle w:val="ListParagraph"/>
              <w:keepNext/>
              <w:keepLines/>
              <w:numPr>
                <w:ilvl w:val="0"/>
                <w:numId w:val="73"/>
              </w:numPr>
              <w:spacing w:after="40"/>
              <w:contextualSpacing w:val="0"/>
              <w:rPr>
                <w:rStyle w:val="Hyperlink"/>
                <w:color w:val="auto"/>
                <w:u w:val="none"/>
              </w:rPr>
            </w:pPr>
            <w:hyperlink r:id="rId988" w:tgtFrame="_blank" w:history="1">
              <w:r w:rsidR="00E35E29" w:rsidRPr="00073574">
                <w:rPr>
                  <w:rStyle w:val="Hyperlink"/>
                  <w:rFonts w:eastAsia="Times New Roman"/>
                </w:rPr>
                <w:t>Webinar series on Digital transformation for cities and communities</w:t>
              </w:r>
            </w:hyperlink>
            <w:r w:rsidR="00397D05" w:rsidRPr="00073574">
              <w:rPr>
                <w:rStyle w:val="Hyperlink"/>
                <w:rFonts w:eastAsia="Times New Roman"/>
              </w:rPr>
              <w:t xml:space="preserve"> </w:t>
            </w:r>
            <w:r w:rsidR="00397D05" w:rsidRPr="00073574">
              <w:rPr>
                <w:rStyle w:val="Hyperlink"/>
                <w:rFonts w:eastAsia="Times New Roman"/>
                <w:color w:val="auto"/>
                <w:u w:val="none"/>
              </w:rPr>
              <w:t>– the following episodes took place from September – December 2021.</w:t>
            </w:r>
          </w:p>
          <w:p w14:paraId="5A3092F9" w14:textId="73E4D9D3" w:rsidR="00383EBE" w:rsidRPr="00073574" w:rsidRDefault="00383EBE" w:rsidP="00123ECA">
            <w:pPr>
              <w:numPr>
                <w:ilvl w:val="1"/>
                <w:numId w:val="73"/>
              </w:numPr>
              <w:shd w:val="clear" w:color="auto" w:fill="FFFFFF"/>
              <w:ind w:left="1434" w:hanging="357"/>
              <w:textAlignment w:val="baseline"/>
              <w:rPr>
                <w:rStyle w:val="Hyperlink"/>
                <w:color w:val="auto"/>
                <w:u w:val="none"/>
              </w:rPr>
            </w:pPr>
            <w:r w:rsidRPr="00073574">
              <w:rPr>
                <w:rStyle w:val="Hyperlink"/>
                <w:rFonts w:eastAsia="Times New Roman"/>
                <w:color w:val="auto"/>
                <w:u w:val="none"/>
              </w:rPr>
              <w:t>8 September 2021 Episode #1:</w:t>
            </w:r>
            <w:r w:rsidR="00C15B60" w:rsidRPr="00073574">
              <w:rPr>
                <w:rStyle w:val="Hyperlink"/>
                <w:rFonts w:eastAsia="Times New Roman"/>
                <w:color w:val="auto"/>
                <w:u w:val="none"/>
              </w:rPr>
              <w:t xml:space="preserve"> </w:t>
            </w:r>
            <w:hyperlink r:id="rId989" w:history="1">
              <w:r w:rsidRPr="00073574">
                <w:rPr>
                  <w:rStyle w:val="Hyperlink"/>
                  <w:rFonts w:eastAsia="Times New Roman"/>
                </w:rPr>
                <w:t>Digital twins in cities</w:t>
              </w:r>
            </w:hyperlink>
            <w:r w:rsidR="00C15B60" w:rsidRPr="00073574">
              <w:rPr>
                <w:color w:val="444444"/>
                <w:szCs w:val="22"/>
                <w:bdr w:val="none" w:sz="0" w:space="0" w:color="auto" w:frame="1"/>
              </w:rPr>
              <w:t xml:space="preserve"> </w:t>
            </w:r>
            <w:r w:rsidRPr="00073574">
              <w:rPr>
                <w:rStyle w:val="Hyperlink"/>
                <w:rFonts w:eastAsia="Times New Roman"/>
                <w:color w:val="auto"/>
                <w:u w:val="none"/>
              </w:rPr>
              <w:t>co-organized with</w:t>
            </w:r>
            <w:r w:rsidR="00C15B60" w:rsidRPr="00073574">
              <w:rPr>
                <w:rStyle w:val="Hyperlink"/>
                <w:rFonts w:eastAsia="Times New Roman"/>
                <w:color w:val="auto"/>
                <w:u w:val="none"/>
              </w:rPr>
              <w:t xml:space="preserve"> </w:t>
            </w:r>
            <w:r w:rsidRPr="00073574">
              <w:rPr>
                <w:rStyle w:val="Hyperlink"/>
                <w:rFonts w:eastAsia="Times New Roman"/>
                <w:color w:val="auto"/>
                <w:u w:val="none"/>
              </w:rPr>
              <w:t>the</w:t>
            </w:r>
            <w:r w:rsidR="00C15B60" w:rsidRPr="00073574">
              <w:rPr>
                <w:rStyle w:val="Hyperlink"/>
                <w:rFonts w:eastAsia="Times New Roman"/>
                <w:color w:val="auto"/>
                <w:u w:val="none"/>
              </w:rPr>
              <w:t xml:space="preserve"> </w:t>
            </w:r>
            <w:r w:rsidRPr="00073574">
              <w:rPr>
                <w:rStyle w:val="Hyperlink"/>
                <w:rFonts w:eastAsia="Times New Roman"/>
                <w:color w:val="auto"/>
                <w:u w:val="none"/>
              </w:rPr>
              <w:t>International</w:t>
            </w:r>
            <w:r w:rsidR="00C15B60" w:rsidRPr="00073574">
              <w:rPr>
                <w:rStyle w:val="Hyperlink"/>
                <w:rFonts w:eastAsia="Times New Roman"/>
                <w:color w:val="auto"/>
                <w:u w:val="none"/>
              </w:rPr>
              <w:t xml:space="preserve"> </w:t>
            </w:r>
            <w:r w:rsidRPr="00073574">
              <w:rPr>
                <w:rStyle w:val="Hyperlink"/>
                <w:rFonts w:eastAsia="Times New Roman"/>
                <w:color w:val="auto"/>
                <w:u w:val="none"/>
              </w:rPr>
              <w:t>Electrotechnical Commission (IEC)</w:t>
            </w:r>
            <w:r w:rsidR="00C15B60" w:rsidRPr="00073574">
              <w:rPr>
                <w:rStyle w:val="Hyperlink"/>
                <w:rFonts w:eastAsia="Times New Roman"/>
                <w:color w:val="auto"/>
                <w:u w:val="none"/>
              </w:rPr>
              <w:t xml:space="preserve"> </w:t>
            </w:r>
            <w:r w:rsidRPr="00073574">
              <w:rPr>
                <w:rStyle w:val="Hyperlink"/>
                <w:rFonts w:eastAsia="Times New Roman"/>
                <w:color w:val="auto"/>
                <w:u w:val="none"/>
              </w:rPr>
              <w:t>and the</w:t>
            </w:r>
            <w:r w:rsidR="00C15B60" w:rsidRPr="00073574">
              <w:rPr>
                <w:rStyle w:val="Hyperlink"/>
                <w:rFonts w:eastAsia="Times New Roman"/>
                <w:color w:val="auto"/>
                <w:u w:val="none"/>
              </w:rPr>
              <w:t xml:space="preserve"> </w:t>
            </w:r>
            <w:r w:rsidRPr="00073574">
              <w:rPr>
                <w:rStyle w:val="Hyperlink"/>
                <w:rFonts w:eastAsia="Times New Roman"/>
                <w:color w:val="auto"/>
                <w:u w:val="none"/>
              </w:rPr>
              <w:t>International Organization for Standardization (ISO)</w:t>
            </w:r>
          </w:p>
          <w:p w14:paraId="14833FFD" w14:textId="2DFB40BE" w:rsidR="00383EBE" w:rsidRPr="00073574" w:rsidRDefault="00383EBE" w:rsidP="00123ECA">
            <w:pPr>
              <w:numPr>
                <w:ilvl w:val="1"/>
                <w:numId w:val="73"/>
              </w:numPr>
              <w:shd w:val="clear" w:color="auto" w:fill="FFFFFF"/>
              <w:ind w:left="1434" w:hanging="357"/>
              <w:textAlignment w:val="baseline"/>
              <w:rPr>
                <w:color w:val="444444"/>
                <w:szCs w:val="22"/>
              </w:rPr>
            </w:pPr>
            <w:r w:rsidRPr="00073574">
              <w:rPr>
                <w:rStyle w:val="Hyperlink"/>
                <w:rFonts w:eastAsia="Times New Roman"/>
                <w:color w:val="auto"/>
                <w:u w:val="none"/>
              </w:rPr>
              <w:t>14 September 2021 Episode #2:</w:t>
            </w:r>
            <w:r w:rsidR="00C15B60" w:rsidRPr="00073574">
              <w:rPr>
                <w:rStyle w:val="Hyperlink"/>
                <w:rFonts w:eastAsia="Times New Roman"/>
                <w:color w:val="auto"/>
                <w:u w:val="none"/>
              </w:rPr>
              <w:t xml:space="preserve"> </w:t>
            </w:r>
            <w:hyperlink r:id="rId990" w:history="1">
              <w:r w:rsidRPr="00073574">
                <w:rPr>
                  <w:rStyle w:val="Hyperlink"/>
                  <w:rFonts w:eastAsia="Times New Roman"/>
                </w:rPr>
                <w:t>IoT-based automotive emergency response system</w:t>
              </w:r>
            </w:hyperlink>
          </w:p>
          <w:p w14:paraId="0A3A851C" w14:textId="10EE3DBB" w:rsidR="00383EBE" w:rsidRPr="00073574" w:rsidRDefault="00383EBE" w:rsidP="00123ECA">
            <w:pPr>
              <w:numPr>
                <w:ilvl w:val="1"/>
                <w:numId w:val="73"/>
              </w:numPr>
              <w:shd w:val="clear" w:color="auto" w:fill="FFFFFF"/>
              <w:ind w:left="1434" w:hanging="357"/>
              <w:textAlignment w:val="baseline"/>
              <w:rPr>
                <w:rStyle w:val="Hyperlink"/>
                <w:rFonts w:eastAsia="Times New Roman"/>
                <w:color w:val="auto"/>
                <w:u w:val="none"/>
              </w:rPr>
            </w:pPr>
            <w:r w:rsidRPr="00073574">
              <w:rPr>
                <w:rStyle w:val="Hyperlink"/>
                <w:rFonts w:eastAsia="Times New Roman"/>
                <w:color w:val="auto"/>
                <w:u w:val="none"/>
              </w:rPr>
              <w:t>16 September 2021 Episode #3:</w:t>
            </w:r>
            <w:r w:rsidR="00C15B60" w:rsidRPr="00073574">
              <w:rPr>
                <w:color w:val="444444"/>
                <w:szCs w:val="22"/>
                <w:bdr w:val="none" w:sz="0" w:space="0" w:color="auto" w:frame="1"/>
              </w:rPr>
              <w:t xml:space="preserve"> </w:t>
            </w:r>
            <w:r w:rsidRPr="00073574">
              <w:rPr>
                <w:rFonts w:eastAsia="Times New Roman"/>
              </w:rPr>
              <w:t>Smart sustainable city architectures: challenges and opportunities</w:t>
            </w:r>
            <w:r w:rsidR="00C15B60" w:rsidRPr="00073574">
              <w:rPr>
                <w:rStyle w:val="ms-rteforecolor-2"/>
                <w:szCs w:val="22"/>
                <w:bdr w:val="none" w:sz="0" w:space="0" w:color="auto" w:frame="1"/>
              </w:rPr>
              <w:t xml:space="preserve"> </w:t>
            </w:r>
            <w:r w:rsidRPr="00073574">
              <w:rPr>
                <w:szCs w:val="22"/>
                <w:bdr w:val="none" w:sz="0" w:space="0" w:color="auto" w:frame="1"/>
              </w:rPr>
              <w:t>co</w:t>
            </w:r>
            <w:r w:rsidRPr="00073574">
              <w:rPr>
                <w:rStyle w:val="Hyperlink"/>
                <w:rFonts w:eastAsia="Times New Roman"/>
                <w:color w:val="auto"/>
                <w:u w:val="none"/>
              </w:rPr>
              <w:t>-organized with oneM2M</w:t>
            </w:r>
          </w:p>
          <w:p w14:paraId="02113F7E" w14:textId="730B1244" w:rsidR="00383EBE" w:rsidRPr="00073574" w:rsidRDefault="00383EBE" w:rsidP="00123ECA">
            <w:pPr>
              <w:numPr>
                <w:ilvl w:val="1"/>
                <w:numId w:val="73"/>
              </w:numPr>
              <w:shd w:val="clear" w:color="auto" w:fill="FFFFFF"/>
              <w:ind w:left="1434" w:hanging="357"/>
              <w:textAlignment w:val="baseline"/>
              <w:rPr>
                <w:rStyle w:val="Hyperlink"/>
                <w:rFonts w:eastAsia="Times New Roman"/>
                <w:color w:val="auto"/>
                <w:u w:val="none"/>
              </w:rPr>
            </w:pPr>
            <w:r w:rsidRPr="00073574">
              <w:rPr>
                <w:rStyle w:val="Hyperlink"/>
                <w:rFonts w:eastAsia="Times New Roman"/>
                <w:color w:val="auto"/>
                <w:u w:val="none"/>
              </w:rPr>
              <w:t>20 September 2021 Episode #4:</w:t>
            </w:r>
            <w:r w:rsidR="00C15B60" w:rsidRPr="00073574">
              <w:rPr>
                <w:color w:val="444444"/>
                <w:szCs w:val="22"/>
                <w:bdr w:val="none" w:sz="0" w:space="0" w:color="auto" w:frame="1"/>
              </w:rPr>
              <w:t xml:space="preserve"> </w:t>
            </w:r>
            <w:hyperlink r:id="rId991" w:history="1">
              <w:r w:rsidRPr="00073574">
                <w:rPr>
                  <w:rStyle w:val="Hyperlink"/>
                  <w:rFonts w:eastAsia="Times New Roman"/>
                </w:rPr>
                <w:t>Smart Cities: a step towards digital transformation in Latin America</w:t>
              </w:r>
            </w:hyperlink>
            <w:r w:rsidRPr="00073574">
              <w:rPr>
                <w:rStyle w:val="Hyperlink"/>
                <w:rFonts w:eastAsia="Times New Roman"/>
              </w:rPr>
              <w:t> </w:t>
            </w:r>
            <w:r w:rsidRPr="00073574">
              <w:rPr>
                <w:rStyle w:val="Hyperlink"/>
                <w:rFonts w:eastAsia="Times New Roman"/>
                <w:color w:val="auto"/>
                <w:u w:val="none"/>
              </w:rPr>
              <w:t>co-organized with Regional Telecommunications Technical Commission (COMTELCA)</w:t>
            </w:r>
          </w:p>
          <w:p w14:paraId="6ABD80B7" w14:textId="0878748D" w:rsidR="00383EBE" w:rsidRPr="00073574" w:rsidRDefault="00383EBE" w:rsidP="00123ECA">
            <w:pPr>
              <w:numPr>
                <w:ilvl w:val="1"/>
                <w:numId w:val="73"/>
              </w:numPr>
              <w:shd w:val="clear" w:color="auto" w:fill="FFFFFF"/>
              <w:ind w:left="1434" w:hanging="357"/>
              <w:textAlignment w:val="baseline"/>
              <w:rPr>
                <w:szCs w:val="22"/>
              </w:rPr>
            </w:pPr>
            <w:r w:rsidRPr="00073574">
              <w:rPr>
                <w:rStyle w:val="Hyperlink"/>
                <w:rFonts w:eastAsia="Times New Roman"/>
                <w:color w:val="auto"/>
                <w:u w:val="none"/>
              </w:rPr>
              <w:t>24 September 2021 Episode #5:</w:t>
            </w:r>
            <w:r w:rsidR="00C15B60" w:rsidRPr="00073574">
              <w:rPr>
                <w:rStyle w:val="Strong"/>
                <w:b w:val="0"/>
                <w:color w:val="FF0000"/>
                <w:szCs w:val="22"/>
                <w:bdr w:val="none" w:sz="0" w:space="0" w:color="auto" w:frame="1"/>
              </w:rPr>
              <w:t xml:space="preserve"> </w:t>
            </w:r>
            <w:hyperlink r:id="rId992" w:history="1">
              <w:r w:rsidRPr="00073574">
                <w:rPr>
                  <w:rStyle w:val="Hyperlink"/>
                  <w:rFonts w:eastAsia="Times New Roman"/>
                </w:rPr>
                <w:t>Smart sustainable cities maturity model and impact assessment</w:t>
              </w:r>
            </w:hyperlink>
            <w:r w:rsidR="00C15B60" w:rsidRPr="00073574">
              <w:rPr>
                <w:rStyle w:val="Hyperlink"/>
                <w:rFonts w:eastAsia="Times New Roman"/>
              </w:rPr>
              <w:t xml:space="preserve"> </w:t>
            </w:r>
            <w:r w:rsidRPr="00073574">
              <w:rPr>
                <w:rStyle w:val="Hyperlink"/>
                <w:rFonts w:eastAsia="Times New Roman"/>
                <w:color w:val="auto"/>
                <w:u w:val="none"/>
              </w:rPr>
              <w:t>co-organized with Austrian Economics Center</w:t>
            </w:r>
          </w:p>
          <w:p w14:paraId="02FFD250" w14:textId="66966214" w:rsidR="00383EBE" w:rsidRPr="00073574" w:rsidRDefault="00383EBE" w:rsidP="00123ECA">
            <w:pPr>
              <w:numPr>
                <w:ilvl w:val="1"/>
                <w:numId w:val="73"/>
              </w:numPr>
              <w:shd w:val="clear" w:color="auto" w:fill="FFFFFF"/>
              <w:ind w:left="1434" w:hanging="357"/>
              <w:textAlignment w:val="baseline"/>
              <w:rPr>
                <w:rStyle w:val="Hyperlink"/>
                <w:rFonts w:eastAsia="Times New Roman"/>
                <w:color w:val="auto"/>
                <w:u w:val="none"/>
              </w:rPr>
            </w:pPr>
            <w:r w:rsidRPr="00073574">
              <w:rPr>
                <w:rStyle w:val="Hyperlink"/>
                <w:rFonts w:eastAsia="Times New Roman"/>
                <w:color w:val="auto"/>
                <w:u w:val="none"/>
              </w:rPr>
              <w:t>1 November 2021 Episode #6:</w:t>
            </w:r>
            <w:r w:rsidR="00C15B60" w:rsidRPr="00073574">
              <w:rPr>
                <w:szCs w:val="22"/>
                <w:bdr w:val="none" w:sz="0" w:space="0" w:color="auto" w:frame="1"/>
              </w:rPr>
              <w:t xml:space="preserve"> </w:t>
            </w:r>
            <w:r w:rsidRPr="00073574">
              <w:rPr>
                <w:rFonts w:eastAsia="Times New Roman"/>
              </w:rPr>
              <w:t>Smart City Platforms</w:t>
            </w:r>
            <w:r w:rsidR="00C15B60" w:rsidRPr="00073574">
              <w:rPr>
                <w:szCs w:val="22"/>
                <w:bdr w:val="none" w:sz="0" w:space="0" w:color="auto" w:frame="1"/>
              </w:rPr>
              <w:t xml:space="preserve"> </w:t>
            </w:r>
            <w:r w:rsidRPr="00073574">
              <w:rPr>
                <w:rStyle w:val="Hyperlink"/>
                <w:rFonts w:eastAsia="Times New Roman"/>
                <w:color w:val="auto"/>
                <w:u w:val="none"/>
              </w:rPr>
              <w:t>co-organized with</w:t>
            </w:r>
            <w:r w:rsidR="00C15B60" w:rsidRPr="00073574">
              <w:rPr>
                <w:rStyle w:val="Hyperlink"/>
                <w:rFonts w:eastAsia="Times New Roman"/>
                <w:color w:val="auto"/>
                <w:u w:val="none"/>
              </w:rPr>
              <w:t xml:space="preserve"> </w:t>
            </w:r>
            <w:r w:rsidRPr="00073574">
              <w:rPr>
                <w:rStyle w:val="Hyperlink"/>
                <w:rFonts w:eastAsia="Times New Roman"/>
                <w:color w:val="auto"/>
                <w:u w:val="none"/>
              </w:rPr>
              <w:t xml:space="preserve">China Information Communication Technologies Group (CICT), Electronics and </w:t>
            </w:r>
            <w:r w:rsidRPr="00073574">
              <w:rPr>
                <w:rStyle w:val="Hyperlink"/>
                <w:rFonts w:eastAsia="Times New Roman"/>
                <w:color w:val="auto"/>
                <w:u w:val="none"/>
              </w:rPr>
              <w:lastRenderedPageBreak/>
              <w:t>Telecommunications Research Institute (ETRI) and Spanish Association for Standardization (UNE)</w:t>
            </w:r>
          </w:p>
          <w:p w14:paraId="2B340BC6" w14:textId="0D84AF32" w:rsidR="00383EBE" w:rsidRPr="00073574" w:rsidRDefault="00383EBE" w:rsidP="00123ECA">
            <w:pPr>
              <w:numPr>
                <w:ilvl w:val="1"/>
                <w:numId w:val="73"/>
              </w:numPr>
              <w:shd w:val="clear" w:color="auto" w:fill="FFFFFF"/>
              <w:ind w:left="1434" w:hanging="357"/>
              <w:textAlignment w:val="baseline"/>
              <w:rPr>
                <w:rStyle w:val="Hyperlink"/>
                <w:rFonts w:eastAsia="Times New Roman"/>
                <w:color w:val="auto"/>
                <w:u w:val="none"/>
              </w:rPr>
            </w:pPr>
            <w:r w:rsidRPr="00073574">
              <w:rPr>
                <w:rStyle w:val="Hyperlink"/>
                <w:rFonts w:eastAsia="Times New Roman"/>
                <w:color w:val="auto"/>
                <w:u w:val="none"/>
              </w:rPr>
              <w:t>2 November  2021 Episode #7:</w:t>
            </w:r>
            <w:r w:rsidR="00123ECA" w:rsidRPr="00073574">
              <w:rPr>
                <w:color w:val="444444"/>
                <w:szCs w:val="22"/>
                <w:bdr w:val="none" w:sz="0" w:space="0" w:color="auto" w:frame="1"/>
              </w:rPr>
              <w:t xml:space="preserve"> </w:t>
            </w:r>
            <w:hyperlink r:id="rId993" w:history="1">
              <w:r w:rsidRPr="00073574">
                <w:rPr>
                  <w:rStyle w:val="Hyperlink"/>
                  <w:rFonts w:eastAsia="Times New Roman"/>
                </w:rPr>
                <w:t>Crowdsourced Systems: A people-led paradigm</w:t>
              </w:r>
            </w:hyperlink>
            <w:r w:rsidR="00123ECA" w:rsidRPr="00073574">
              <w:rPr>
                <w:rStyle w:val="Hyperlink"/>
                <w:rFonts w:eastAsia="Times New Roman"/>
              </w:rPr>
              <w:t xml:space="preserve"> </w:t>
            </w:r>
            <w:r w:rsidRPr="00073574">
              <w:rPr>
                <w:rStyle w:val="Hyperlink"/>
                <w:rFonts w:eastAsia="Times New Roman"/>
                <w:color w:val="auto"/>
                <w:u w:val="none"/>
              </w:rPr>
              <w:t>co-organized with Bournemouth University</w:t>
            </w:r>
          </w:p>
          <w:p w14:paraId="05408D6E" w14:textId="29181FD6" w:rsidR="00D75B50" w:rsidRPr="00073574" w:rsidRDefault="00383EBE" w:rsidP="00123ECA">
            <w:pPr>
              <w:numPr>
                <w:ilvl w:val="1"/>
                <w:numId w:val="73"/>
              </w:numPr>
              <w:shd w:val="clear" w:color="auto" w:fill="FFFFFF"/>
              <w:ind w:left="1434" w:hanging="357"/>
              <w:textAlignment w:val="baseline"/>
              <w:rPr>
                <w:rStyle w:val="Hyperlink"/>
                <w:rFonts w:eastAsia="Times New Roman"/>
                <w:color w:val="auto"/>
                <w:u w:val="none"/>
              </w:rPr>
            </w:pPr>
            <w:r w:rsidRPr="00073574">
              <w:rPr>
                <w:rStyle w:val="Hyperlink"/>
                <w:rFonts w:eastAsia="Times New Roman"/>
                <w:color w:val="auto"/>
                <w:u w:val="none"/>
              </w:rPr>
              <w:t>18 November 2021 Episode #8:</w:t>
            </w:r>
            <w:r w:rsidR="00123ECA" w:rsidRPr="00073574">
              <w:rPr>
                <w:szCs w:val="22"/>
                <w:bdr w:val="none" w:sz="0" w:space="0" w:color="auto" w:frame="1"/>
              </w:rPr>
              <w:t xml:space="preserve"> </w:t>
            </w:r>
            <w:r w:rsidRPr="00073574">
              <w:rPr>
                <w:rFonts w:eastAsia="Times New Roman"/>
              </w:rPr>
              <w:t>Network capabilities and emerging technologies to support IoT-enabled verticals</w:t>
            </w:r>
            <w:r w:rsidR="00123ECA" w:rsidRPr="00073574">
              <w:rPr>
                <w:szCs w:val="22"/>
                <w:bdr w:val="none" w:sz="0" w:space="0" w:color="auto" w:frame="1"/>
              </w:rPr>
              <w:t xml:space="preserve"> </w:t>
            </w:r>
            <w:r w:rsidRPr="00073574">
              <w:rPr>
                <w:rStyle w:val="Hyperlink"/>
                <w:rFonts w:eastAsia="Times New Roman"/>
                <w:color w:val="auto"/>
                <w:u w:val="none"/>
              </w:rPr>
              <w:t>co-organized with CICT, China Mobile, China Unicom,</w:t>
            </w:r>
            <w:r w:rsidR="00123ECA" w:rsidRPr="00073574">
              <w:rPr>
                <w:rStyle w:val="Hyperlink"/>
                <w:rFonts w:eastAsia="Times New Roman"/>
                <w:color w:val="auto"/>
                <w:u w:val="none"/>
              </w:rPr>
              <w:t xml:space="preserve"> </w:t>
            </w:r>
            <w:r w:rsidRPr="00073574">
              <w:rPr>
                <w:rStyle w:val="Hyperlink"/>
                <w:rFonts w:eastAsia="Times New Roman"/>
                <w:color w:val="auto"/>
                <w:u w:val="none"/>
              </w:rPr>
              <w:t>EADN, Huawei,</w:t>
            </w:r>
            <w:r w:rsidR="00123ECA" w:rsidRPr="00073574">
              <w:rPr>
                <w:rStyle w:val="Hyperlink"/>
                <w:rFonts w:eastAsia="Times New Roman"/>
                <w:color w:val="auto"/>
                <w:u w:val="none"/>
              </w:rPr>
              <w:t xml:space="preserve"> </w:t>
            </w:r>
            <w:r w:rsidRPr="00073574">
              <w:rPr>
                <w:rStyle w:val="Hyperlink"/>
                <w:rFonts w:eastAsia="Times New Roman"/>
                <w:color w:val="auto"/>
                <w:u w:val="none"/>
              </w:rPr>
              <w:t>OKI and Tencent</w:t>
            </w:r>
          </w:p>
          <w:p w14:paraId="09D05818" w14:textId="16C23AFE" w:rsidR="005A2A24" w:rsidRPr="00073574" w:rsidRDefault="005A2A24" w:rsidP="00123ECA">
            <w:pPr>
              <w:numPr>
                <w:ilvl w:val="1"/>
                <w:numId w:val="73"/>
              </w:numPr>
              <w:shd w:val="clear" w:color="auto" w:fill="FFFFFF"/>
              <w:ind w:left="1434" w:hanging="357"/>
              <w:textAlignment w:val="baseline"/>
              <w:rPr>
                <w:rStyle w:val="Hyperlink"/>
                <w:color w:val="auto"/>
                <w:u w:val="none"/>
              </w:rPr>
            </w:pPr>
            <w:r w:rsidRPr="00073574">
              <w:rPr>
                <w:rStyle w:val="Hyperlink"/>
                <w:rFonts w:eastAsia="Times New Roman"/>
                <w:color w:val="auto"/>
                <w:u w:val="none"/>
              </w:rPr>
              <w:t>6 December 2021 Episode #9:</w:t>
            </w:r>
            <w:r w:rsidR="00123ECA" w:rsidRPr="00073574">
              <w:rPr>
                <w:rStyle w:val="Hyperlink"/>
                <w:rFonts w:eastAsia="Times New Roman"/>
                <w:color w:val="auto"/>
                <w:u w:val="none"/>
              </w:rPr>
              <w:t xml:space="preserve"> </w:t>
            </w:r>
            <w:hyperlink r:id="rId994" w:history="1">
              <w:r w:rsidRPr="00073574">
                <w:rPr>
                  <w:rStyle w:val="Hyperlink"/>
                  <w:rFonts w:eastAsia="Times New Roman"/>
                </w:rPr>
                <w:t>Addressing the Security Risks of Digital Transformation on IoT</w:t>
              </w:r>
            </w:hyperlink>
            <w:r w:rsidR="00123ECA" w:rsidRPr="00073574">
              <w:rPr>
                <w:color w:val="444444"/>
                <w:szCs w:val="22"/>
              </w:rPr>
              <w:t xml:space="preserve"> </w:t>
            </w:r>
            <w:r w:rsidRPr="00073574">
              <w:rPr>
                <w:rStyle w:val="Hyperlink"/>
                <w:rFonts w:eastAsia="Times New Roman"/>
                <w:color w:val="auto"/>
                <w:u w:val="none"/>
              </w:rPr>
              <w:t>co-organized with</w:t>
            </w:r>
            <w:r w:rsidR="00123ECA" w:rsidRPr="00073574">
              <w:rPr>
                <w:rStyle w:val="Hyperlink"/>
                <w:rFonts w:eastAsia="Times New Roman"/>
                <w:color w:val="auto"/>
                <w:u w:val="none"/>
              </w:rPr>
              <w:t xml:space="preserve"> </w:t>
            </w:r>
            <w:r w:rsidRPr="00073574">
              <w:rPr>
                <w:rStyle w:val="Hyperlink"/>
                <w:rFonts w:eastAsia="Times New Roman"/>
                <w:color w:val="auto"/>
                <w:u w:val="none"/>
              </w:rPr>
              <w:t>ITU-T Study Group 17</w:t>
            </w:r>
          </w:p>
          <w:p w14:paraId="18D04B3E" w14:textId="7700D0A9" w:rsidR="005A2A24" w:rsidRPr="00073574" w:rsidRDefault="005A2A24" w:rsidP="00123ECA">
            <w:pPr>
              <w:numPr>
                <w:ilvl w:val="1"/>
                <w:numId w:val="73"/>
              </w:numPr>
              <w:shd w:val="clear" w:color="auto" w:fill="FFFFFF"/>
              <w:ind w:left="1434" w:hanging="357"/>
              <w:textAlignment w:val="baseline"/>
              <w:rPr>
                <w:rStyle w:val="Hyperlink"/>
                <w:rFonts w:eastAsia="Times New Roman"/>
                <w:color w:val="auto"/>
                <w:u w:val="none"/>
              </w:rPr>
            </w:pPr>
            <w:r w:rsidRPr="00073574">
              <w:rPr>
                <w:rStyle w:val="Hyperlink"/>
                <w:rFonts w:eastAsia="Times New Roman"/>
                <w:color w:val="auto"/>
                <w:u w:val="none"/>
              </w:rPr>
              <w:t>7 December 2021 Episode #10:</w:t>
            </w:r>
            <w:r w:rsidR="00123ECA" w:rsidRPr="00073574">
              <w:rPr>
                <w:color w:val="444444"/>
                <w:szCs w:val="22"/>
                <w:bdr w:val="none" w:sz="0" w:space="0" w:color="auto" w:frame="1"/>
              </w:rPr>
              <w:t xml:space="preserve"> </w:t>
            </w:r>
            <w:hyperlink r:id="rId995" w:history="1">
              <w:r w:rsidRPr="00073574">
                <w:rPr>
                  <w:rStyle w:val="Hyperlink"/>
                  <w:rFonts w:eastAsia="Times New Roman"/>
                </w:rPr>
                <w:t>The role of digital technologies on aging and health</w:t>
              </w:r>
            </w:hyperlink>
            <w:r w:rsidR="00123ECA" w:rsidRPr="00073574">
              <w:rPr>
                <w:rStyle w:val="Hyperlink"/>
                <w:rFonts w:eastAsia="Times New Roman"/>
              </w:rPr>
              <w:t xml:space="preserve"> </w:t>
            </w:r>
            <w:r w:rsidRPr="00073574">
              <w:rPr>
                <w:rStyle w:val="Hyperlink"/>
                <w:rFonts w:eastAsia="Times New Roman"/>
                <w:color w:val="auto"/>
                <w:u w:val="none"/>
              </w:rPr>
              <w:t>co-organized with Pan American Health Organization (PAHO)</w:t>
            </w:r>
          </w:p>
          <w:p w14:paraId="09E337AF" w14:textId="5DCF61C8" w:rsidR="005A2A24" w:rsidRPr="00073574" w:rsidRDefault="005A2A24" w:rsidP="00123ECA">
            <w:pPr>
              <w:numPr>
                <w:ilvl w:val="1"/>
                <w:numId w:val="73"/>
              </w:numPr>
              <w:shd w:val="clear" w:color="auto" w:fill="FFFFFF"/>
              <w:ind w:left="1434" w:hanging="357"/>
              <w:textAlignment w:val="baseline"/>
              <w:rPr>
                <w:rStyle w:val="Hyperlink"/>
                <w:rFonts w:eastAsia="Times New Roman"/>
                <w:color w:val="auto"/>
                <w:u w:val="none"/>
              </w:rPr>
            </w:pPr>
            <w:r w:rsidRPr="00073574">
              <w:rPr>
                <w:rStyle w:val="Hyperlink"/>
                <w:rFonts w:eastAsia="Times New Roman"/>
                <w:color w:val="auto"/>
                <w:u w:val="none"/>
              </w:rPr>
              <w:t>8 December 2021 Episode #11:</w:t>
            </w:r>
            <w:r w:rsidR="00123ECA" w:rsidRPr="00073574">
              <w:rPr>
                <w:rStyle w:val="Hyperlink"/>
                <w:rFonts w:eastAsia="Times New Roman"/>
                <w:color w:val="auto"/>
                <w:u w:val="none"/>
              </w:rPr>
              <w:t xml:space="preserve"> </w:t>
            </w:r>
            <w:hyperlink r:id="rId996" w:history="1">
              <w:r w:rsidRPr="00073574">
                <w:rPr>
                  <w:rStyle w:val="Hyperlink"/>
                  <w:rFonts w:eastAsia="Times New Roman"/>
                </w:rPr>
                <w:t>Blockchain-based data management for supporting Internet of things and smart cities and communities</w:t>
              </w:r>
            </w:hyperlink>
            <w:r w:rsidR="00123ECA" w:rsidRPr="00073574">
              <w:rPr>
                <w:color w:val="444444"/>
                <w:szCs w:val="22"/>
                <w:bdr w:val="none" w:sz="0" w:space="0" w:color="auto" w:frame="1"/>
              </w:rPr>
              <w:t xml:space="preserve"> </w:t>
            </w:r>
            <w:r w:rsidRPr="00073574">
              <w:rPr>
                <w:rStyle w:val="Hyperlink"/>
                <w:rFonts w:eastAsia="Times New Roman"/>
                <w:color w:val="auto"/>
                <w:u w:val="none"/>
              </w:rPr>
              <w:t>co-organized with Open &amp; Agile Smart Cities (OASC) and</w:t>
            </w:r>
            <w:r w:rsidR="00123ECA" w:rsidRPr="00073574">
              <w:rPr>
                <w:rStyle w:val="Hyperlink"/>
                <w:rFonts w:eastAsia="Times New Roman"/>
                <w:color w:val="auto"/>
                <w:u w:val="none"/>
              </w:rPr>
              <w:t xml:space="preserve"> </w:t>
            </w:r>
            <w:r w:rsidRPr="00073574">
              <w:rPr>
                <w:rStyle w:val="Hyperlink"/>
                <w:rFonts w:eastAsia="Times New Roman"/>
                <w:color w:val="auto"/>
                <w:u w:val="none"/>
              </w:rPr>
              <w:t>United Nations University (UNU)</w:t>
            </w:r>
          </w:p>
          <w:p w14:paraId="060F97E0" w14:textId="77D13B38" w:rsidR="007570B5" w:rsidRPr="00073574" w:rsidRDefault="005A2A24" w:rsidP="00123ECA">
            <w:pPr>
              <w:numPr>
                <w:ilvl w:val="1"/>
                <w:numId w:val="73"/>
              </w:numPr>
              <w:shd w:val="clear" w:color="auto" w:fill="FFFFFF"/>
              <w:ind w:left="1434" w:hanging="357"/>
              <w:textAlignment w:val="baseline"/>
              <w:rPr>
                <w:rStyle w:val="Hyperlink"/>
                <w:rFonts w:eastAsia="Times New Roman"/>
                <w:color w:val="auto"/>
                <w:u w:val="none"/>
              </w:rPr>
            </w:pPr>
            <w:r w:rsidRPr="00073574">
              <w:rPr>
                <w:rStyle w:val="Hyperlink"/>
                <w:rFonts w:eastAsia="Times New Roman"/>
                <w:color w:val="auto"/>
                <w:u w:val="none"/>
              </w:rPr>
              <w:t>14 December 2021 Episode #12:</w:t>
            </w:r>
            <w:r w:rsidR="00123ECA" w:rsidRPr="00073574">
              <w:rPr>
                <w:rStyle w:val="Hyperlink"/>
                <w:rFonts w:eastAsia="Times New Roman"/>
                <w:color w:val="auto"/>
                <w:u w:val="none"/>
              </w:rPr>
              <w:t xml:space="preserve"> </w:t>
            </w:r>
            <w:hyperlink r:id="rId997" w:history="1">
              <w:r w:rsidRPr="00073574">
                <w:rPr>
                  <w:rStyle w:val="Hyperlink"/>
                  <w:rFonts w:eastAsia="Times New Roman"/>
                </w:rPr>
                <w:t>Interoperability of IoT and satellite data for Earth observation supporting sustainable development </w:t>
              </w:r>
            </w:hyperlink>
            <w:r w:rsidRPr="00073574">
              <w:rPr>
                <w:rStyle w:val="Hyperlink"/>
                <w:rFonts w:eastAsia="Times New Roman"/>
                <w:color w:val="auto"/>
                <w:u w:val="none"/>
              </w:rPr>
              <w:t>co-organized with Mandat International and World Meteorological Organization (WMO)</w:t>
            </w:r>
          </w:p>
          <w:p w14:paraId="73FDC6FF" w14:textId="24AC68E3" w:rsidR="00E35E29" w:rsidRPr="00073574" w:rsidRDefault="00A64DD3" w:rsidP="00C91D91">
            <w:pPr>
              <w:pStyle w:val="ListParagraph"/>
              <w:keepNext/>
              <w:keepLines/>
              <w:numPr>
                <w:ilvl w:val="0"/>
                <w:numId w:val="73"/>
              </w:numPr>
              <w:spacing w:after="40"/>
              <w:contextualSpacing w:val="0"/>
            </w:pPr>
            <w:r w:rsidRPr="00073574">
              <w:t xml:space="preserve">The </w:t>
            </w:r>
            <w:hyperlink r:id="rId998" w:history="1">
              <w:r w:rsidRPr="00073574">
                <w:rPr>
                  <w:rStyle w:val="Hyperlink"/>
                </w:rPr>
                <w:t>Webinar to celebrate World Cities Day on Building climate resilient cities with digital transformation</w:t>
              </w:r>
            </w:hyperlink>
            <w:r w:rsidRPr="00073574">
              <w:t xml:space="preserve"> took place virtually on 28 October 2021.</w:t>
            </w:r>
          </w:p>
          <w:p w14:paraId="27CAF0F5" w14:textId="77777777" w:rsidR="00BC1688" w:rsidRPr="00073574" w:rsidRDefault="00BC1688" w:rsidP="00BC1688">
            <w:pPr>
              <w:pStyle w:val="Tabletext"/>
              <w:keepNext/>
              <w:keepLines/>
              <w:spacing w:before="120"/>
            </w:pPr>
            <w:r w:rsidRPr="00073574">
              <w:t>ITU-T SG20 is organizing the following events:</w:t>
            </w:r>
          </w:p>
          <w:p w14:paraId="790970A8" w14:textId="1EF63123" w:rsidR="00BC1688" w:rsidRPr="00073574" w:rsidRDefault="00BC1688" w:rsidP="00123ECA">
            <w:pPr>
              <w:pStyle w:val="ListParagraph"/>
              <w:numPr>
                <w:ilvl w:val="0"/>
                <w:numId w:val="73"/>
              </w:numPr>
              <w:tabs>
                <w:tab w:val="left" w:pos="686"/>
                <w:tab w:val="left" w:pos="1588"/>
                <w:tab w:val="left" w:pos="1985"/>
              </w:tabs>
              <w:overflowPunct w:val="0"/>
              <w:autoSpaceDE w:val="0"/>
              <w:autoSpaceDN w:val="0"/>
              <w:adjustRightInd w:val="0"/>
              <w:ind w:left="714" w:right="91" w:hanging="357"/>
              <w:contextualSpacing w:val="0"/>
              <w:textAlignment w:val="baseline"/>
              <w:rPr>
                <w:rFonts w:eastAsia="Times New Roman"/>
              </w:rPr>
            </w:pPr>
            <w:r w:rsidRPr="00073574">
              <w:rPr>
                <w:rFonts w:eastAsia="Times New Roman"/>
              </w:rPr>
              <w:t xml:space="preserve">The </w:t>
            </w:r>
            <w:hyperlink r:id="rId999" w:tgtFrame="_blank" w:history="1">
              <w:r w:rsidRPr="00073574">
                <w:rPr>
                  <w:rStyle w:val="Hyperlink"/>
                  <w:rFonts w:eastAsia="Times New Roman"/>
                </w:rPr>
                <w:t>Webinar series on Digital transformation for cities and communities</w:t>
              </w:r>
            </w:hyperlink>
            <w:r w:rsidRPr="00073574">
              <w:rPr>
                <w:rFonts w:eastAsia="Times New Roman"/>
              </w:rPr>
              <w:t xml:space="preserve"> will take place virtually from </w:t>
            </w:r>
            <w:r w:rsidR="00E35E29" w:rsidRPr="00073574">
              <w:rPr>
                <w:rFonts w:eastAsia="Times New Roman"/>
              </w:rPr>
              <w:t>2021-2022</w:t>
            </w:r>
            <w:r w:rsidRPr="00073574">
              <w:rPr>
                <w:rFonts w:eastAsia="Times New Roman"/>
              </w:rPr>
              <w:t>.</w:t>
            </w:r>
          </w:p>
          <w:p w14:paraId="5DAC203C" w14:textId="010C93FF" w:rsidR="00EC57D6" w:rsidRPr="00073574" w:rsidRDefault="0053741E" w:rsidP="00123ECA">
            <w:pPr>
              <w:pStyle w:val="ListParagraph"/>
              <w:numPr>
                <w:ilvl w:val="0"/>
                <w:numId w:val="73"/>
              </w:numPr>
              <w:tabs>
                <w:tab w:val="left" w:pos="1159"/>
                <w:tab w:val="left" w:pos="1191"/>
                <w:tab w:val="left" w:pos="1588"/>
                <w:tab w:val="left" w:pos="1985"/>
              </w:tabs>
              <w:overflowPunct w:val="0"/>
              <w:autoSpaceDE w:val="0"/>
              <w:autoSpaceDN w:val="0"/>
              <w:adjustRightInd w:val="0"/>
              <w:ind w:left="714" w:right="91" w:hanging="357"/>
              <w:contextualSpacing w:val="0"/>
              <w:textAlignment w:val="baseline"/>
              <w:rPr>
                <w:rFonts w:eastAsia="Times New Roman"/>
              </w:rPr>
            </w:pPr>
            <w:hyperlink r:id="rId1000" w:history="1">
              <w:r w:rsidR="00EC57D6" w:rsidRPr="00073574">
                <w:rPr>
                  <w:rStyle w:val="Hyperlink"/>
                  <w:rFonts w:eastAsia="Times New Roman"/>
                </w:rPr>
                <w:t>DTC4CC Episode #13: Architecting the Web of Things</w:t>
              </w:r>
            </w:hyperlink>
            <w:r w:rsidR="00EC57D6" w:rsidRPr="00073574">
              <w:rPr>
                <w:rFonts w:eastAsia="Times New Roman"/>
              </w:rPr>
              <w:t xml:space="preserve"> will take place virtually on 3 February 2022.</w:t>
            </w:r>
          </w:p>
          <w:p w14:paraId="085B7D26" w14:textId="7F7CEBBF" w:rsidR="0677CD4F" w:rsidRPr="00073574" w:rsidRDefault="0677CD4F" w:rsidP="00366B4E">
            <w:pPr>
              <w:pStyle w:val="normalWSIS"/>
              <w:numPr>
                <w:ilvl w:val="0"/>
                <w:numId w:val="0"/>
              </w:numPr>
              <w:spacing w:after="40"/>
              <w:jc w:val="left"/>
              <w:rPr>
                <w:rStyle w:val="Hyperlink"/>
                <w:rFonts w:eastAsia="Times New Roman"/>
              </w:rPr>
            </w:pPr>
            <w:r w:rsidRPr="00073574">
              <w:rPr>
                <w:rFonts w:eastAsia="Times New Roman"/>
              </w:rPr>
              <w:t xml:space="preserve">Other events can be found at: </w:t>
            </w:r>
            <w:hyperlink r:id="rId1001" w:history="1">
              <w:r w:rsidRPr="00073574">
                <w:rPr>
                  <w:rStyle w:val="Hyperlink"/>
                  <w:rFonts w:eastAsia="Times New Roman"/>
                </w:rPr>
                <w:t>https://www.itu.int/en/ITU-T/climatechange/Pages/events.aspx</w:t>
              </w:r>
            </w:hyperlink>
          </w:p>
          <w:p w14:paraId="2EF1B1CB" w14:textId="68D75F40" w:rsidR="00FB6A45" w:rsidRPr="00073574" w:rsidRDefault="00D61603" w:rsidP="00D61603">
            <w:pPr>
              <w:pStyle w:val="normalWSIS"/>
              <w:numPr>
                <w:ilvl w:val="0"/>
                <w:numId w:val="0"/>
              </w:numPr>
              <w:spacing w:after="40"/>
              <w:ind w:left="6"/>
              <w:jc w:val="left"/>
            </w:pPr>
            <w:r w:rsidRPr="00073574">
              <w:t xml:space="preserve">All ITU-T publications on IoT and Smart Sustainable Cities are available </w:t>
            </w:r>
            <w:hyperlink r:id="rId1002" w:history="1">
              <w:r w:rsidRPr="00073574">
                <w:rPr>
                  <w:rStyle w:val="Hyperlink"/>
                </w:rPr>
                <w:t>here</w:t>
              </w:r>
            </w:hyperlink>
            <w:r w:rsidRPr="00073574">
              <w:t>.</w:t>
            </w:r>
          </w:p>
        </w:tc>
      </w:tr>
    </w:tbl>
    <w:p w14:paraId="0968AD20" w14:textId="24724F84" w:rsidR="7277BFE4" w:rsidRPr="00073574" w:rsidRDefault="7277BFE4">
      <w:bookmarkStart w:id="634" w:name="Item98_01"/>
      <w:bookmarkStart w:id="635" w:name="Item98_02"/>
      <w:bookmarkStart w:id="636" w:name="Item98_03"/>
      <w:bookmarkStart w:id="637" w:name="Item98_04"/>
      <w:bookmarkStart w:id="638" w:name="Item98_05"/>
      <w:bookmarkStart w:id="639" w:name="Item98_06"/>
      <w:bookmarkStart w:id="640" w:name="Item98_07"/>
      <w:bookmarkStart w:id="641" w:name="Item98_08"/>
      <w:bookmarkStart w:id="642" w:name="Item98_09"/>
      <w:bookmarkStart w:id="643" w:name="Item98_10"/>
      <w:bookmarkEnd w:id="634"/>
      <w:bookmarkEnd w:id="635"/>
      <w:bookmarkEnd w:id="636"/>
      <w:bookmarkEnd w:id="637"/>
      <w:bookmarkEnd w:id="638"/>
      <w:bookmarkEnd w:id="639"/>
      <w:bookmarkEnd w:id="640"/>
      <w:bookmarkEnd w:id="641"/>
      <w:bookmarkEnd w:id="642"/>
      <w:bookmarkEnd w:id="643"/>
    </w:p>
    <w:p w14:paraId="21D6298C" w14:textId="77777777" w:rsidR="00F0236A" w:rsidRPr="00073574" w:rsidRDefault="0053741E" w:rsidP="00F0236A">
      <w:pPr>
        <w:rPr>
          <w:sz w:val="24"/>
        </w:rPr>
      </w:pPr>
      <w:hyperlink w:anchor="Top" w:history="1">
        <w:r w:rsidR="00F0236A" w:rsidRPr="00073574">
          <w:rPr>
            <w:rStyle w:val="Hyperlink"/>
            <w:rFonts w:eastAsia="Times New Roman"/>
            <w:sz w:val="24"/>
          </w:rPr>
          <w:t>» Top</w:t>
        </w:r>
      </w:hyperlink>
    </w:p>
    <w:p w14:paraId="30049BA7" w14:textId="77777777" w:rsidR="00F0236A" w:rsidRPr="00073574" w:rsidRDefault="00F0236A" w:rsidP="00F7654D">
      <w:pPr>
        <w:pStyle w:val="Heading1"/>
        <w:keepNext/>
        <w:keepLines/>
        <w:rPr>
          <w:sz w:val="24"/>
          <w:szCs w:val="24"/>
          <w:lang w:val="en-GB"/>
        </w:rPr>
      </w:pPr>
      <w:bookmarkStart w:id="644" w:name="_Toc471715413"/>
      <w:bookmarkStart w:id="645" w:name="_Toc93425300"/>
      <w:r w:rsidRPr="00073574">
        <w:rPr>
          <w:sz w:val="24"/>
          <w:szCs w:val="24"/>
          <w:lang w:val="en-GB"/>
        </w:rPr>
        <w:t>Opinion 1 - Practical application of network externality premium</w:t>
      </w:r>
      <w:bookmarkEnd w:id="644"/>
      <w:bookmarkEnd w:id="645"/>
    </w:p>
    <w:p w14:paraId="3BD42D8F" w14:textId="77777777" w:rsidR="00F0236A" w:rsidRPr="00073574" w:rsidRDefault="00F0236A" w:rsidP="00F7654D">
      <w:pPr>
        <w:keepNext/>
        <w:keepLines/>
        <w:rPr>
          <w:b/>
          <w:bCs/>
          <w:sz w:val="24"/>
        </w:rPr>
      </w:pPr>
      <w:r w:rsidRPr="00073574">
        <w:rPr>
          <w:b/>
          <w:bCs/>
          <w:sz w:val="24"/>
        </w:rPr>
        <w:t>Opinion 1</w:t>
      </w:r>
    </w:p>
    <w:p w14:paraId="55E4A343" w14:textId="77777777" w:rsidR="00F0236A" w:rsidRPr="00073574" w:rsidRDefault="00F0236A" w:rsidP="00F7654D">
      <w:pPr>
        <w:keepNext/>
        <w:keepLines/>
        <w:rPr>
          <w:i/>
          <w:iCs/>
          <w:sz w:val="24"/>
        </w:rPr>
      </w:pPr>
      <w:r w:rsidRPr="00073574">
        <w:rPr>
          <w:i/>
          <w:iCs/>
          <w:sz w:val="24"/>
        </w:rPr>
        <w:t>is of the opinion that</w:t>
      </w:r>
    </w:p>
    <w:p w14:paraId="3F5812CA" w14:textId="77777777" w:rsidR="00F0236A" w:rsidRPr="00073574" w:rsidRDefault="00F0236A" w:rsidP="00F7654D">
      <w:pPr>
        <w:keepNext/>
        <w:keepLines/>
        <w:ind w:left="284"/>
        <w:rPr>
          <w:i/>
          <w:iCs/>
          <w:sz w:val="24"/>
        </w:rPr>
      </w:pPr>
      <w:r w:rsidRPr="00073574">
        <w:rPr>
          <w:i/>
          <w:iCs/>
          <w:sz w:val="24"/>
        </w:rPr>
        <w:t>considering the progress achieved so far within Study Group 3 those Member States concerned may wish to review the respective positions at the WTSA 2008 and possibly withdraw the reservations about Recommendation ITU-T D.156,</w:t>
      </w:r>
    </w:p>
    <w:p w14:paraId="30D593DE" w14:textId="77777777" w:rsidR="00F0236A" w:rsidRPr="00073574" w:rsidRDefault="00F0236A" w:rsidP="00F0236A">
      <w:pPr>
        <w:rPr>
          <w:i/>
          <w:iCs/>
          <w:sz w:val="24"/>
        </w:rPr>
      </w:pPr>
      <w:r w:rsidRPr="00073574">
        <w:rPr>
          <w:i/>
          <w:iCs/>
          <w:sz w:val="24"/>
        </w:rPr>
        <w:t>invites Member States</w:t>
      </w:r>
    </w:p>
    <w:p w14:paraId="0C96863D" w14:textId="77777777" w:rsidR="00F0236A" w:rsidRPr="00073574" w:rsidRDefault="00F0236A" w:rsidP="00F0236A">
      <w:pPr>
        <w:ind w:left="284"/>
        <w:rPr>
          <w:i/>
          <w:iCs/>
          <w:sz w:val="24"/>
        </w:rPr>
      </w:pPr>
      <w:r w:rsidRPr="00073574">
        <w:rPr>
          <w:i/>
          <w:iCs/>
          <w:sz w:val="24"/>
        </w:rPr>
        <w:t>to take all measures necessary for the effective implementation of Recommendation ITU-T D.156,</w:t>
      </w:r>
    </w:p>
    <w:p w14:paraId="05A89CCB" w14:textId="77777777" w:rsidR="00F0236A" w:rsidRPr="00073574" w:rsidRDefault="00F0236A" w:rsidP="00F0236A">
      <w:pPr>
        <w:rPr>
          <w:i/>
          <w:iCs/>
          <w:sz w:val="24"/>
        </w:rPr>
      </w:pPr>
      <w:r w:rsidRPr="00073574">
        <w:rPr>
          <w:i/>
          <w:iCs/>
          <w:sz w:val="24"/>
        </w:rPr>
        <w:t>invites the Council</w:t>
      </w:r>
    </w:p>
    <w:p w14:paraId="3093C7ED" w14:textId="77777777" w:rsidR="00F0236A" w:rsidRPr="00073574" w:rsidRDefault="00F0236A" w:rsidP="00F0236A">
      <w:pPr>
        <w:spacing w:after="240"/>
        <w:ind w:left="284"/>
        <w:rPr>
          <w:i/>
          <w:iCs/>
          <w:sz w:val="24"/>
        </w:rPr>
      </w:pPr>
      <w:r w:rsidRPr="00073574">
        <w:rPr>
          <w:i/>
          <w:iCs/>
          <w:sz w:val="24"/>
        </w:rPr>
        <w:t>in its session of 2013, to report on this subject to the Plenipotentiary Conference 2014, in accordance with Plenipotentiary Resolution 22 (Rev. Antalya, 2006).</w:t>
      </w:r>
    </w:p>
    <w:bookmarkStart w:id="646" w:name="ItemOp_02"/>
    <w:bookmarkEnd w:id="646"/>
    <w:p w14:paraId="489A7735" w14:textId="101F124F" w:rsidR="00F0236A" w:rsidRPr="00073574" w:rsidRDefault="00F0236A" w:rsidP="00F0236A">
      <w:pPr>
        <w:rPr>
          <w:rStyle w:val="Hyperlink"/>
          <w:rFonts w:eastAsia="Times New Roman"/>
          <w:sz w:val="24"/>
        </w:rPr>
      </w:pPr>
      <w:r w:rsidRPr="00073574">
        <w:rPr>
          <w:color w:val="2B579A"/>
          <w:shd w:val="clear" w:color="auto" w:fill="E6E6E6"/>
        </w:rPr>
        <w:lastRenderedPageBreak/>
        <w:fldChar w:fldCharType="begin"/>
      </w:r>
      <w:r w:rsidRPr="00073574">
        <w:rPr>
          <w:sz w:val="24"/>
        </w:rPr>
        <w:instrText xml:space="preserve"> HYPERLINK \l "Top" </w:instrText>
      </w:r>
      <w:r w:rsidRPr="00073574">
        <w:rPr>
          <w:color w:val="2B579A"/>
          <w:shd w:val="clear" w:color="auto" w:fill="E6E6E6"/>
        </w:rPr>
        <w:fldChar w:fldCharType="separate"/>
      </w:r>
      <w:r w:rsidRPr="00073574">
        <w:rPr>
          <w:rStyle w:val="Hyperlink"/>
          <w:rFonts w:eastAsia="Times New Roman"/>
          <w:sz w:val="24"/>
        </w:rPr>
        <w:t>» Top</w:t>
      </w:r>
      <w:r w:rsidRPr="00073574">
        <w:rPr>
          <w:rStyle w:val="Hyperlink"/>
          <w:rFonts w:eastAsia="Times New Roman"/>
          <w:sz w:val="24"/>
        </w:rPr>
        <w:fldChar w:fldCharType="end"/>
      </w:r>
    </w:p>
    <w:p w14:paraId="6FD13522" w14:textId="6B3566FA" w:rsidR="00C61170" w:rsidRPr="00073574" w:rsidRDefault="00D5610F" w:rsidP="004F31C1">
      <w:pPr>
        <w:pStyle w:val="Heading1"/>
        <w:keepNext/>
        <w:keepLines/>
        <w:pageBreakBefore/>
        <w:numPr>
          <w:ilvl w:val="0"/>
          <w:numId w:val="0"/>
        </w:numPr>
        <w:ind w:left="357" w:hanging="357"/>
        <w:jc w:val="center"/>
        <w:rPr>
          <w:szCs w:val="24"/>
          <w:lang w:val="en-GB"/>
        </w:rPr>
      </w:pPr>
      <w:bookmarkStart w:id="647" w:name="_Toc93425301"/>
      <w:r w:rsidRPr="00073574">
        <w:rPr>
          <w:szCs w:val="24"/>
          <w:lang w:val="en-GB"/>
        </w:rPr>
        <w:lastRenderedPageBreak/>
        <w:t>Appendix – Obsole</w:t>
      </w:r>
      <w:r w:rsidR="00C61170" w:rsidRPr="00073574">
        <w:rPr>
          <w:szCs w:val="24"/>
          <w:lang w:val="en-GB"/>
        </w:rPr>
        <w:t>te action items from WTSA-12 Action Plan</w:t>
      </w:r>
      <w:bookmarkEnd w:id="647"/>
    </w:p>
    <w:p w14:paraId="2F73B7EA" w14:textId="77777777" w:rsidR="00C61170" w:rsidRPr="00073574" w:rsidRDefault="00C61170" w:rsidP="00C61170">
      <w:pPr>
        <w:spacing w:before="100" w:beforeAutospacing="1" w:after="120"/>
        <w:rPr>
          <w:sz w:val="24"/>
        </w:rPr>
      </w:pPr>
      <w:r w:rsidRPr="00073574">
        <w:rPr>
          <w:sz w:val="24"/>
        </w:rPr>
        <w:t>Note – Action items from the WTSA-12 Action Plan, which are obsolete or were considered completed at WTSA-16, are no longer listed in this Action Plan:</w:t>
      </w:r>
    </w:p>
    <w:p w14:paraId="056345EE" w14:textId="77777777" w:rsidR="00C61170" w:rsidRPr="00073574" w:rsidRDefault="00C61170">
      <w:pPr>
        <w:pStyle w:val="ListParagraph"/>
        <w:numPr>
          <w:ilvl w:val="0"/>
          <w:numId w:val="25"/>
        </w:numPr>
        <w:spacing w:before="0" w:after="100" w:afterAutospacing="1"/>
        <w:ind w:left="714" w:hanging="357"/>
        <w:contextualSpacing w:val="0"/>
        <w:rPr>
          <w:rFonts w:asciiTheme="majorBidi" w:hAnsiTheme="majorBidi" w:cstheme="majorBidi"/>
          <w:sz w:val="24"/>
          <w:lang w:eastAsia="zh-CN"/>
        </w:rPr>
      </w:pPr>
      <w:r w:rsidRPr="00073574">
        <w:rPr>
          <w:rFonts w:asciiTheme="majorBidi" w:hAnsiTheme="majorBidi" w:cstheme="majorBidi"/>
          <w:sz w:val="24"/>
          <w:lang w:eastAsia="zh-CN"/>
        </w:rPr>
        <w:t>07-02;</w:t>
      </w:r>
    </w:p>
    <w:p w14:paraId="4C7E7E99" w14:textId="77777777" w:rsidR="00C61170" w:rsidRPr="00073574" w:rsidRDefault="00C61170" w:rsidP="002E241A">
      <w:pPr>
        <w:pStyle w:val="ListParagraph"/>
        <w:numPr>
          <w:ilvl w:val="0"/>
          <w:numId w:val="25"/>
        </w:numPr>
        <w:spacing w:before="0" w:after="100" w:afterAutospacing="1"/>
        <w:ind w:left="714" w:hanging="357"/>
        <w:contextualSpacing w:val="0"/>
        <w:rPr>
          <w:rFonts w:asciiTheme="majorBidi" w:hAnsiTheme="majorBidi" w:cstheme="majorBidi"/>
          <w:sz w:val="24"/>
          <w:lang w:eastAsia="zh-CN"/>
        </w:rPr>
      </w:pPr>
      <w:r w:rsidRPr="00073574">
        <w:rPr>
          <w:rFonts w:asciiTheme="majorBidi" w:hAnsiTheme="majorBidi" w:cstheme="majorBidi"/>
          <w:sz w:val="24"/>
          <w:lang w:eastAsia="zh-CN"/>
        </w:rPr>
        <w:t>22-01, 22-02, 22-03 (action item numbers reused);</w:t>
      </w:r>
    </w:p>
    <w:p w14:paraId="2BCB83D5" w14:textId="77777777" w:rsidR="00C61170" w:rsidRPr="00073574" w:rsidRDefault="00C61170" w:rsidP="002E241A">
      <w:pPr>
        <w:pStyle w:val="ListParagraph"/>
        <w:numPr>
          <w:ilvl w:val="0"/>
          <w:numId w:val="25"/>
        </w:numPr>
        <w:spacing w:before="0" w:after="100" w:afterAutospacing="1"/>
        <w:contextualSpacing w:val="0"/>
        <w:rPr>
          <w:rFonts w:asciiTheme="majorBidi" w:hAnsiTheme="majorBidi" w:cstheme="majorBidi"/>
          <w:sz w:val="24"/>
          <w:lang w:eastAsia="zh-CN"/>
        </w:rPr>
      </w:pPr>
      <w:r w:rsidRPr="00073574">
        <w:rPr>
          <w:rFonts w:asciiTheme="majorBidi" w:hAnsiTheme="majorBidi" w:cstheme="majorBidi"/>
          <w:sz w:val="24"/>
          <w:lang w:eastAsia="zh-CN"/>
        </w:rPr>
        <w:t>31-01;</w:t>
      </w:r>
    </w:p>
    <w:p w14:paraId="398D4A76" w14:textId="77777777" w:rsidR="00C61170" w:rsidRPr="00073574" w:rsidRDefault="00C61170" w:rsidP="002E241A">
      <w:pPr>
        <w:pStyle w:val="ListParagraph"/>
        <w:numPr>
          <w:ilvl w:val="0"/>
          <w:numId w:val="25"/>
        </w:numPr>
        <w:spacing w:before="0" w:after="100" w:afterAutospacing="1"/>
        <w:contextualSpacing w:val="0"/>
        <w:rPr>
          <w:rFonts w:asciiTheme="majorBidi" w:hAnsiTheme="majorBidi" w:cstheme="majorBidi"/>
          <w:sz w:val="24"/>
          <w:lang w:eastAsia="zh-CN"/>
        </w:rPr>
      </w:pPr>
      <w:r w:rsidRPr="00073574">
        <w:rPr>
          <w:rFonts w:asciiTheme="majorBidi" w:hAnsiTheme="majorBidi" w:cstheme="majorBidi"/>
          <w:sz w:val="24"/>
          <w:lang w:eastAsia="zh-CN"/>
        </w:rPr>
        <w:t>33-02, 33-03, 33-04; (Resolution 33 suppressed)</w:t>
      </w:r>
    </w:p>
    <w:p w14:paraId="7C6E60AA" w14:textId="77777777" w:rsidR="00C61170" w:rsidRPr="00073574" w:rsidRDefault="00C61170" w:rsidP="002E241A">
      <w:pPr>
        <w:pStyle w:val="ListParagraph"/>
        <w:numPr>
          <w:ilvl w:val="0"/>
          <w:numId w:val="25"/>
        </w:numPr>
        <w:spacing w:before="0" w:after="100" w:afterAutospacing="1"/>
        <w:contextualSpacing w:val="0"/>
        <w:rPr>
          <w:rFonts w:asciiTheme="majorBidi" w:hAnsiTheme="majorBidi" w:cstheme="majorBidi"/>
          <w:sz w:val="24"/>
          <w:lang w:eastAsia="zh-CN"/>
        </w:rPr>
      </w:pPr>
      <w:r w:rsidRPr="00073574">
        <w:rPr>
          <w:rFonts w:asciiTheme="majorBidi" w:hAnsiTheme="majorBidi" w:cstheme="majorBidi"/>
          <w:sz w:val="24"/>
          <w:lang w:eastAsia="zh-CN"/>
        </w:rPr>
        <w:t>35-01 (but provision still exists in Resolution);</w:t>
      </w:r>
    </w:p>
    <w:p w14:paraId="317F44C2" w14:textId="77777777" w:rsidR="00C61170" w:rsidRPr="00073574" w:rsidRDefault="00C61170" w:rsidP="002E241A">
      <w:pPr>
        <w:pStyle w:val="ListParagraph"/>
        <w:numPr>
          <w:ilvl w:val="0"/>
          <w:numId w:val="25"/>
        </w:numPr>
        <w:spacing w:before="0" w:after="100" w:afterAutospacing="1"/>
        <w:contextualSpacing w:val="0"/>
        <w:rPr>
          <w:rFonts w:asciiTheme="majorBidi" w:hAnsiTheme="majorBidi" w:cstheme="majorBidi"/>
          <w:sz w:val="24"/>
          <w:lang w:eastAsia="zh-CN"/>
        </w:rPr>
      </w:pPr>
      <w:r w:rsidRPr="00073574">
        <w:rPr>
          <w:rFonts w:asciiTheme="majorBidi" w:hAnsiTheme="majorBidi" w:cstheme="majorBidi"/>
          <w:sz w:val="24"/>
          <w:lang w:eastAsia="zh-CN"/>
        </w:rPr>
        <w:t>43-01, 43-02, 43-03 (but provision still exists in Resolution);</w:t>
      </w:r>
    </w:p>
    <w:p w14:paraId="7A7D88A3" w14:textId="77777777" w:rsidR="00C61170" w:rsidRPr="00073574" w:rsidRDefault="00C61170" w:rsidP="002E241A">
      <w:pPr>
        <w:pStyle w:val="ListParagraph"/>
        <w:numPr>
          <w:ilvl w:val="0"/>
          <w:numId w:val="25"/>
        </w:numPr>
        <w:spacing w:before="0" w:after="100" w:afterAutospacing="1"/>
        <w:contextualSpacing w:val="0"/>
        <w:rPr>
          <w:rFonts w:asciiTheme="majorBidi" w:hAnsiTheme="majorBidi" w:cstheme="majorBidi"/>
          <w:sz w:val="24"/>
          <w:lang w:eastAsia="zh-CN"/>
        </w:rPr>
      </w:pPr>
      <w:r w:rsidRPr="00073574">
        <w:rPr>
          <w:rFonts w:asciiTheme="majorBidi" w:hAnsiTheme="majorBidi" w:cstheme="majorBidi"/>
          <w:sz w:val="24"/>
          <w:lang w:eastAsia="zh-CN"/>
        </w:rPr>
        <w:t>44-04, 44-06, 44-08, 44-09, 44-10, 44-16, 44-17, 44-18, 44-22 (but provision still exists in Resolution);</w:t>
      </w:r>
    </w:p>
    <w:p w14:paraId="3CEFBDF7" w14:textId="77777777" w:rsidR="00C61170" w:rsidRPr="00073574" w:rsidRDefault="00C61170" w:rsidP="002E241A">
      <w:pPr>
        <w:pStyle w:val="ListParagraph"/>
        <w:numPr>
          <w:ilvl w:val="0"/>
          <w:numId w:val="25"/>
        </w:numPr>
        <w:spacing w:before="0" w:after="100" w:afterAutospacing="1"/>
        <w:contextualSpacing w:val="0"/>
        <w:rPr>
          <w:rFonts w:asciiTheme="majorBidi" w:hAnsiTheme="majorBidi" w:cstheme="majorBidi"/>
          <w:sz w:val="24"/>
          <w:lang w:eastAsia="zh-CN"/>
        </w:rPr>
      </w:pPr>
      <w:r w:rsidRPr="00073574">
        <w:rPr>
          <w:rFonts w:asciiTheme="majorBidi" w:hAnsiTheme="majorBidi" w:cstheme="majorBidi"/>
          <w:sz w:val="24"/>
          <w:lang w:eastAsia="zh-CN"/>
        </w:rPr>
        <w:t>54-02;</w:t>
      </w:r>
    </w:p>
    <w:p w14:paraId="5457842C" w14:textId="77777777" w:rsidR="00C61170" w:rsidRPr="00073574" w:rsidRDefault="00C61170" w:rsidP="002E241A">
      <w:pPr>
        <w:pStyle w:val="ListParagraph"/>
        <w:numPr>
          <w:ilvl w:val="0"/>
          <w:numId w:val="25"/>
        </w:numPr>
        <w:spacing w:before="0" w:after="100" w:afterAutospacing="1"/>
        <w:contextualSpacing w:val="0"/>
        <w:rPr>
          <w:rFonts w:asciiTheme="majorBidi" w:hAnsiTheme="majorBidi" w:cstheme="majorBidi"/>
          <w:sz w:val="24"/>
          <w:lang w:eastAsia="zh-CN"/>
        </w:rPr>
      </w:pPr>
      <w:r w:rsidRPr="00073574">
        <w:rPr>
          <w:rFonts w:asciiTheme="majorBidi" w:hAnsiTheme="majorBidi" w:cstheme="majorBidi"/>
          <w:sz w:val="24"/>
          <w:lang w:eastAsia="zh-CN"/>
        </w:rPr>
        <w:t>55-05 (new action item);</w:t>
      </w:r>
    </w:p>
    <w:p w14:paraId="3C7664DA" w14:textId="77777777" w:rsidR="00C61170" w:rsidRPr="00073574" w:rsidRDefault="00C61170" w:rsidP="002E241A">
      <w:pPr>
        <w:pStyle w:val="ListParagraph"/>
        <w:numPr>
          <w:ilvl w:val="0"/>
          <w:numId w:val="25"/>
        </w:numPr>
        <w:spacing w:before="0" w:after="100" w:afterAutospacing="1"/>
        <w:contextualSpacing w:val="0"/>
        <w:rPr>
          <w:rFonts w:asciiTheme="majorBidi" w:hAnsiTheme="majorBidi" w:cstheme="majorBidi"/>
          <w:sz w:val="24"/>
          <w:lang w:eastAsia="zh-CN"/>
        </w:rPr>
      </w:pPr>
      <w:r w:rsidRPr="00073574">
        <w:rPr>
          <w:rFonts w:asciiTheme="majorBidi" w:hAnsiTheme="majorBidi" w:cstheme="majorBidi"/>
          <w:sz w:val="24"/>
          <w:lang w:eastAsia="zh-CN"/>
        </w:rPr>
        <w:t>65-03 (but provision still exists in Resolution);</w:t>
      </w:r>
    </w:p>
    <w:p w14:paraId="2507C302" w14:textId="77777777" w:rsidR="00C61170" w:rsidRPr="00073574" w:rsidRDefault="00C61170" w:rsidP="002E241A">
      <w:pPr>
        <w:pStyle w:val="ListParagraph"/>
        <w:numPr>
          <w:ilvl w:val="0"/>
          <w:numId w:val="25"/>
        </w:numPr>
        <w:spacing w:before="0" w:after="100" w:afterAutospacing="1"/>
        <w:contextualSpacing w:val="0"/>
        <w:rPr>
          <w:rFonts w:asciiTheme="majorBidi" w:hAnsiTheme="majorBidi" w:cstheme="majorBidi"/>
          <w:sz w:val="24"/>
          <w:lang w:eastAsia="zh-CN"/>
        </w:rPr>
      </w:pPr>
      <w:r w:rsidRPr="00073574">
        <w:rPr>
          <w:rFonts w:asciiTheme="majorBidi" w:hAnsiTheme="majorBidi" w:cstheme="majorBidi"/>
          <w:sz w:val="24"/>
          <w:lang w:eastAsia="zh-CN"/>
        </w:rPr>
        <w:t>67-04;</w:t>
      </w:r>
    </w:p>
    <w:p w14:paraId="35D0E5F7" w14:textId="77777777" w:rsidR="00C61170" w:rsidRPr="00073574" w:rsidRDefault="00C61170" w:rsidP="002E241A">
      <w:pPr>
        <w:pStyle w:val="ListParagraph"/>
        <w:numPr>
          <w:ilvl w:val="0"/>
          <w:numId w:val="25"/>
        </w:numPr>
        <w:spacing w:before="0" w:after="100" w:afterAutospacing="1"/>
        <w:contextualSpacing w:val="0"/>
        <w:rPr>
          <w:rFonts w:asciiTheme="majorBidi" w:hAnsiTheme="majorBidi" w:cstheme="majorBidi"/>
          <w:sz w:val="24"/>
          <w:lang w:eastAsia="zh-CN"/>
        </w:rPr>
      </w:pPr>
      <w:r w:rsidRPr="00073574">
        <w:rPr>
          <w:rFonts w:asciiTheme="majorBidi" w:hAnsiTheme="majorBidi" w:cstheme="majorBidi"/>
          <w:sz w:val="24"/>
          <w:lang w:eastAsia="zh-CN"/>
        </w:rPr>
        <w:t>69-02, 69-04 (but provision still exists in Resolution);</w:t>
      </w:r>
    </w:p>
    <w:p w14:paraId="2A12FE16" w14:textId="77777777" w:rsidR="00C61170" w:rsidRPr="00073574" w:rsidRDefault="00C61170" w:rsidP="002E241A">
      <w:pPr>
        <w:pStyle w:val="ListParagraph"/>
        <w:numPr>
          <w:ilvl w:val="0"/>
          <w:numId w:val="25"/>
        </w:numPr>
        <w:spacing w:before="0" w:after="100" w:afterAutospacing="1"/>
        <w:contextualSpacing w:val="0"/>
        <w:rPr>
          <w:rFonts w:asciiTheme="majorBidi" w:hAnsiTheme="majorBidi" w:cstheme="majorBidi"/>
          <w:sz w:val="24"/>
          <w:lang w:eastAsia="zh-CN"/>
        </w:rPr>
      </w:pPr>
      <w:r w:rsidRPr="00073574">
        <w:rPr>
          <w:rFonts w:asciiTheme="majorBidi" w:hAnsiTheme="majorBidi" w:cstheme="majorBidi"/>
          <w:sz w:val="24"/>
          <w:lang w:eastAsia="zh-CN"/>
        </w:rPr>
        <w:t>70-02 and 70-09 (but provision still exists in Resolution);</w:t>
      </w:r>
    </w:p>
    <w:p w14:paraId="35AA652A" w14:textId="77777777" w:rsidR="00C61170" w:rsidRPr="00073574" w:rsidRDefault="00C61170" w:rsidP="002E241A">
      <w:pPr>
        <w:pStyle w:val="ListParagraph"/>
        <w:numPr>
          <w:ilvl w:val="0"/>
          <w:numId w:val="25"/>
        </w:numPr>
        <w:spacing w:before="0" w:after="100" w:afterAutospacing="1"/>
        <w:contextualSpacing w:val="0"/>
        <w:rPr>
          <w:rFonts w:asciiTheme="majorBidi" w:hAnsiTheme="majorBidi" w:cstheme="majorBidi"/>
          <w:sz w:val="24"/>
          <w:lang w:eastAsia="zh-CN"/>
        </w:rPr>
      </w:pPr>
      <w:r w:rsidRPr="00073574">
        <w:rPr>
          <w:rFonts w:asciiTheme="majorBidi" w:hAnsiTheme="majorBidi" w:cstheme="majorBidi"/>
          <w:sz w:val="24"/>
          <w:lang w:eastAsia="zh-CN"/>
        </w:rPr>
        <w:t>71-01;</w:t>
      </w:r>
    </w:p>
    <w:p w14:paraId="64F7C78F" w14:textId="77777777" w:rsidR="00C61170" w:rsidRPr="00073574" w:rsidRDefault="00C61170" w:rsidP="002E241A">
      <w:pPr>
        <w:pStyle w:val="ListParagraph"/>
        <w:numPr>
          <w:ilvl w:val="0"/>
          <w:numId w:val="25"/>
        </w:numPr>
        <w:spacing w:before="0" w:after="100" w:afterAutospacing="1"/>
        <w:contextualSpacing w:val="0"/>
        <w:rPr>
          <w:rFonts w:asciiTheme="majorBidi" w:hAnsiTheme="majorBidi" w:cstheme="majorBidi"/>
          <w:sz w:val="24"/>
          <w:lang w:eastAsia="zh-CN"/>
        </w:rPr>
      </w:pPr>
      <w:r w:rsidRPr="00073574">
        <w:rPr>
          <w:rFonts w:asciiTheme="majorBidi" w:hAnsiTheme="majorBidi" w:cstheme="majorBidi"/>
          <w:sz w:val="24"/>
          <w:lang w:eastAsia="zh-CN"/>
        </w:rPr>
        <w:t>74-01;</w:t>
      </w:r>
    </w:p>
    <w:p w14:paraId="10AFA7D9" w14:textId="77777777" w:rsidR="00C61170" w:rsidRPr="00073574" w:rsidRDefault="00C61170" w:rsidP="002E241A">
      <w:pPr>
        <w:pStyle w:val="ListParagraph"/>
        <w:numPr>
          <w:ilvl w:val="0"/>
          <w:numId w:val="25"/>
        </w:numPr>
        <w:spacing w:before="0" w:after="100" w:afterAutospacing="1"/>
        <w:contextualSpacing w:val="0"/>
        <w:rPr>
          <w:rFonts w:asciiTheme="majorBidi" w:hAnsiTheme="majorBidi" w:cstheme="majorBidi"/>
          <w:sz w:val="24"/>
          <w:lang w:eastAsia="zh-CN"/>
        </w:rPr>
      </w:pPr>
      <w:r w:rsidRPr="00073574">
        <w:rPr>
          <w:rFonts w:asciiTheme="majorBidi" w:hAnsiTheme="majorBidi" w:cstheme="majorBidi"/>
          <w:sz w:val="24"/>
          <w:lang w:eastAsia="zh-CN"/>
        </w:rPr>
        <w:t>76-11;</w:t>
      </w:r>
    </w:p>
    <w:p w14:paraId="3DC6DCB7" w14:textId="77777777" w:rsidR="00C61170" w:rsidRPr="00073574" w:rsidRDefault="00C61170" w:rsidP="002E241A">
      <w:pPr>
        <w:pStyle w:val="ListParagraph"/>
        <w:numPr>
          <w:ilvl w:val="0"/>
          <w:numId w:val="25"/>
        </w:numPr>
        <w:spacing w:before="0" w:after="100" w:afterAutospacing="1"/>
        <w:contextualSpacing w:val="0"/>
        <w:rPr>
          <w:rFonts w:asciiTheme="majorBidi" w:hAnsiTheme="majorBidi" w:cstheme="majorBidi"/>
          <w:sz w:val="24"/>
          <w:lang w:eastAsia="zh-CN"/>
        </w:rPr>
      </w:pPr>
      <w:r w:rsidRPr="00073574">
        <w:rPr>
          <w:rFonts w:asciiTheme="majorBidi" w:hAnsiTheme="majorBidi" w:cstheme="majorBidi"/>
          <w:sz w:val="24"/>
          <w:lang w:eastAsia="zh-CN"/>
        </w:rPr>
        <w:t>77-01, 77-02, 77-03 and 77-05 (but provision still exists in Resolution);</w:t>
      </w:r>
    </w:p>
    <w:p w14:paraId="110E2AC1" w14:textId="77777777" w:rsidR="00C61170" w:rsidRPr="00073574" w:rsidRDefault="00C61170" w:rsidP="002E241A">
      <w:pPr>
        <w:pStyle w:val="ListParagraph"/>
        <w:numPr>
          <w:ilvl w:val="0"/>
          <w:numId w:val="25"/>
        </w:numPr>
        <w:spacing w:before="0" w:after="100" w:afterAutospacing="1"/>
        <w:contextualSpacing w:val="0"/>
        <w:rPr>
          <w:rFonts w:asciiTheme="majorBidi" w:hAnsiTheme="majorBidi" w:cstheme="majorBidi"/>
          <w:sz w:val="24"/>
          <w:lang w:eastAsia="zh-CN"/>
        </w:rPr>
      </w:pPr>
      <w:r w:rsidRPr="00073574">
        <w:rPr>
          <w:rFonts w:asciiTheme="majorBidi" w:hAnsiTheme="majorBidi" w:cstheme="majorBidi"/>
          <w:sz w:val="24"/>
          <w:lang w:eastAsia="zh-CN"/>
        </w:rPr>
        <w:t>81-01, 81-02, 81-03 (Resolution 81 was suppressed);</w:t>
      </w:r>
    </w:p>
    <w:p w14:paraId="678AF285" w14:textId="77777777" w:rsidR="00C61170" w:rsidRPr="00073574" w:rsidRDefault="00C61170" w:rsidP="002E241A">
      <w:pPr>
        <w:pStyle w:val="ListParagraph"/>
        <w:numPr>
          <w:ilvl w:val="0"/>
          <w:numId w:val="25"/>
        </w:numPr>
        <w:spacing w:before="0" w:after="100" w:afterAutospacing="1"/>
        <w:contextualSpacing w:val="0"/>
        <w:rPr>
          <w:rFonts w:asciiTheme="majorBidi" w:hAnsiTheme="majorBidi" w:cstheme="majorBidi"/>
          <w:sz w:val="24"/>
          <w:lang w:eastAsia="zh-CN"/>
        </w:rPr>
      </w:pPr>
      <w:r w:rsidRPr="00073574">
        <w:rPr>
          <w:rFonts w:asciiTheme="majorBidi" w:hAnsiTheme="majorBidi" w:cstheme="majorBidi"/>
          <w:sz w:val="24"/>
          <w:lang w:eastAsia="zh-CN"/>
        </w:rPr>
        <w:t>82-01, 82-02, 82-03 (Resolution 82 was suppressed);</w:t>
      </w:r>
    </w:p>
    <w:p w14:paraId="5886D24C" w14:textId="77777777" w:rsidR="00C61170" w:rsidRPr="00073574" w:rsidRDefault="00C61170" w:rsidP="002E241A">
      <w:pPr>
        <w:pStyle w:val="ListParagraph"/>
        <w:numPr>
          <w:ilvl w:val="0"/>
          <w:numId w:val="25"/>
        </w:numPr>
        <w:spacing w:before="0" w:after="100" w:afterAutospacing="1"/>
        <w:contextualSpacing w:val="0"/>
        <w:rPr>
          <w:rFonts w:asciiTheme="majorBidi" w:hAnsiTheme="majorBidi" w:cstheme="majorBidi"/>
          <w:sz w:val="24"/>
          <w:lang w:eastAsia="zh-CN"/>
        </w:rPr>
      </w:pPr>
      <w:r w:rsidRPr="00073574">
        <w:rPr>
          <w:rFonts w:asciiTheme="majorBidi" w:hAnsiTheme="majorBidi" w:cstheme="majorBidi"/>
          <w:sz w:val="24"/>
          <w:lang w:eastAsia="zh-CN"/>
        </w:rPr>
        <w:t>OP-01-02.</w:t>
      </w:r>
    </w:p>
    <w:p w14:paraId="68DBFFF2" w14:textId="77777777" w:rsidR="00F0236A" w:rsidRPr="00073574" w:rsidRDefault="00F0236A" w:rsidP="00F0236A">
      <w:pPr>
        <w:spacing w:before="0"/>
        <w:jc w:val="center"/>
      </w:pPr>
      <w:r w:rsidRPr="00073574">
        <w:t>___________</w:t>
      </w:r>
    </w:p>
    <w:sectPr w:rsidR="00F0236A" w:rsidRPr="00073574" w:rsidSect="00056ABB">
      <w:headerReference w:type="default" r:id="rId1003"/>
      <w:footerReference w:type="default" r:id="rId1004"/>
      <w:headerReference w:type="first" r:id="rId1005"/>
      <w:footerReference w:type="first" r:id="rId1006"/>
      <w:pgSz w:w="11906" w:h="16838"/>
      <w:pgMar w:top="1134" w:right="1418"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6947C" w14:textId="77777777" w:rsidR="0053741E" w:rsidRDefault="0053741E" w:rsidP="00ED7621">
      <w:r>
        <w:separator/>
      </w:r>
    </w:p>
    <w:p w14:paraId="58AB4684" w14:textId="77777777" w:rsidR="0053741E" w:rsidRDefault="0053741E"/>
  </w:endnote>
  <w:endnote w:type="continuationSeparator" w:id="0">
    <w:p w14:paraId="1B3E7776" w14:textId="77777777" w:rsidR="0053741E" w:rsidRDefault="0053741E" w:rsidP="00ED7621">
      <w:r>
        <w:continuationSeparator/>
      </w:r>
    </w:p>
    <w:p w14:paraId="4679A729" w14:textId="77777777" w:rsidR="0053741E" w:rsidRDefault="0053741E"/>
  </w:endnote>
  <w:endnote w:type="continuationNotice" w:id="1">
    <w:p w14:paraId="7F2B3EA4" w14:textId="77777777" w:rsidR="0053741E" w:rsidRDefault="0053741E"/>
    <w:p w14:paraId="390F18E2" w14:textId="77777777" w:rsidR="0053741E" w:rsidRDefault="005374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
    <w:altName w:val="MS Mincho"/>
    <w:charset w:val="80"/>
    <w:family w:val="auto"/>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inherit">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57"/>
      <w:gridCol w:w="4857"/>
      <w:gridCol w:w="4857"/>
    </w:tblGrid>
    <w:tr w:rsidR="00827191" w14:paraId="228C98CA" w14:textId="77777777" w:rsidTr="00051864">
      <w:tc>
        <w:tcPr>
          <w:tcW w:w="4857" w:type="dxa"/>
        </w:tcPr>
        <w:p w14:paraId="0C0E19DB" w14:textId="72615FB9" w:rsidR="00827191" w:rsidRDefault="00827191" w:rsidP="00051864">
          <w:pPr>
            <w:ind w:left="-115"/>
          </w:pPr>
        </w:p>
      </w:tc>
      <w:tc>
        <w:tcPr>
          <w:tcW w:w="4857" w:type="dxa"/>
        </w:tcPr>
        <w:p w14:paraId="6848BFE7" w14:textId="40679F83" w:rsidR="00827191" w:rsidRDefault="00827191" w:rsidP="00051864">
          <w:pPr>
            <w:jc w:val="center"/>
          </w:pPr>
        </w:p>
      </w:tc>
      <w:tc>
        <w:tcPr>
          <w:tcW w:w="4857" w:type="dxa"/>
        </w:tcPr>
        <w:p w14:paraId="5CFD8037" w14:textId="155D239D" w:rsidR="00827191" w:rsidRDefault="00827191" w:rsidP="00051864">
          <w:pPr>
            <w:ind w:right="-115"/>
            <w:jc w:val="right"/>
          </w:pPr>
        </w:p>
      </w:tc>
    </w:tr>
  </w:tbl>
  <w:p w14:paraId="477E08A6" w14:textId="44CFA705" w:rsidR="00827191" w:rsidRDefault="00827191" w:rsidP="000518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24E7A" w14:textId="77777777" w:rsidR="00827191" w:rsidRPr="00C904F0" w:rsidRDefault="00827191" w:rsidP="00C904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5641822"/>
      <w:docPartObj>
        <w:docPartGallery w:val="Page Numbers (Bottom of Page)"/>
        <w:docPartUnique/>
      </w:docPartObj>
    </w:sdtPr>
    <w:sdtEndPr>
      <w:rPr>
        <w:noProof/>
      </w:rPr>
    </w:sdtEndPr>
    <w:sdtContent>
      <w:p w14:paraId="67BFE73A" w14:textId="77777777" w:rsidR="00827191" w:rsidRDefault="00827191">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1</w:t>
        </w:r>
        <w:r>
          <w:rPr>
            <w:noProof/>
            <w:color w:val="2B579A"/>
            <w:shd w:val="clear" w:color="auto" w:fill="E6E6E6"/>
          </w:rPr>
          <w:fldChar w:fldCharType="end"/>
        </w:r>
      </w:p>
    </w:sdtContent>
  </w:sdt>
  <w:p w14:paraId="67BFE73B" w14:textId="77777777" w:rsidR="00827191" w:rsidRPr="00294B7F" w:rsidRDefault="00827191" w:rsidP="00294B7F">
    <w:pPr>
      <w:spacing w:before="0"/>
      <w:rPr>
        <w:sz w:val="18"/>
      </w:rPr>
    </w:pPr>
  </w:p>
  <w:p w14:paraId="76A11AE6" w14:textId="77777777" w:rsidR="00827191" w:rsidRDefault="00827191"/>
  <w:p w14:paraId="3D42BFFD" w14:textId="77777777" w:rsidR="00827191" w:rsidRDefault="008271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1DD7C" w14:textId="77777777" w:rsidR="0053741E" w:rsidRDefault="0053741E" w:rsidP="00ED7621">
      <w:r>
        <w:separator/>
      </w:r>
    </w:p>
    <w:p w14:paraId="61AAC3DF" w14:textId="77777777" w:rsidR="0053741E" w:rsidRDefault="0053741E"/>
  </w:footnote>
  <w:footnote w:type="continuationSeparator" w:id="0">
    <w:p w14:paraId="1C00B39D" w14:textId="77777777" w:rsidR="0053741E" w:rsidRDefault="0053741E" w:rsidP="00ED7621">
      <w:r>
        <w:continuationSeparator/>
      </w:r>
    </w:p>
    <w:p w14:paraId="61F74B8D" w14:textId="77777777" w:rsidR="0053741E" w:rsidRDefault="0053741E"/>
  </w:footnote>
  <w:footnote w:type="continuationNotice" w:id="1">
    <w:p w14:paraId="74ED2113" w14:textId="77777777" w:rsidR="0053741E" w:rsidRDefault="0053741E"/>
    <w:p w14:paraId="481AD654" w14:textId="77777777" w:rsidR="0053741E" w:rsidRDefault="0053741E"/>
  </w:footnote>
  <w:footnote w:id="2">
    <w:p w14:paraId="1CF8BD2B" w14:textId="77777777" w:rsidR="00084A29" w:rsidRPr="00CC4B40" w:rsidRDefault="00084A29" w:rsidP="00084A29">
      <w:r>
        <w:rPr>
          <w:rStyle w:val="FootnoteReference"/>
        </w:rPr>
        <w:footnoteRef/>
      </w:r>
      <w:r>
        <w:t xml:space="preserve"> </w:t>
      </w:r>
      <w:r w:rsidRPr="00C02530">
        <w:rPr>
          <w:b/>
        </w:rPr>
        <w:t>[</w:t>
      </w:r>
      <w:r w:rsidRPr="00C02530">
        <w:rPr>
          <w:b/>
          <w:bCs/>
        </w:rPr>
        <w:t>1</w:t>
      </w:r>
      <w:r w:rsidRPr="00C02530">
        <w:rPr>
          <w:b/>
          <w:bCs/>
          <w:i/>
          <w:iCs/>
        </w:rPr>
        <w:t>bis</w:t>
      </w:r>
      <w:r w:rsidRPr="00C02530">
        <w:rPr>
          <w:b/>
          <w:bCs/>
        </w:rPr>
        <w:t>.</w:t>
      </w:r>
      <w:r w:rsidRPr="00C02530">
        <w:rPr>
          <w:b/>
        </w:rPr>
        <w:t>10</w:t>
      </w:r>
      <w:r w:rsidRPr="00C02530">
        <w:tab/>
        <w:t>If there is no specific approval/agreement procedure for a text and consensus at the study group meeting is not achieved, in exceptional circumstances, in accordance with the General Rules of conferences, assemblies and meetings of the Union, the same process used at a WTSA, as described in 1.13 above, shall be used.</w:t>
      </w:r>
      <w:r w:rsidRPr="00C02530">
        <w:rPr>
          <w:iCs/>
        </w:rPr>
        <w:t>]</w:t>
      </w:r>
    </w:p>
  </w:footnote>
  <w:footnote w:id="3">
    <w:p w14:paraId="5AF6E2FE" w14:textId="77777777" w:rsidR="00827191" w:rsidRPr="008122EA" w:rsidRDefault="00827191" w:rsidP="00F0236A">
      <w:pPr>
        <w:pStyle w:val="FootnoteText"/>
        <w:rPr>
          <w:lang w:val="en-US"/>
        </w:rPr>
      </w:pPr>
      <w:r w:rsidRPr="00DD4E79">
        <w:rPr>
          <w:rStyle w:val="FootnoteReference"/>
          <w:lang w:val="en-US"/>
        </w:rPr>
        <w:t>1</w:t>
      </w:r>
      <w:r w:rsidRPr="008122EA">
        <w:rPr>
          <w:lang w:val="en-US"/>
        </w:rPr>
        <w:t xml:space="preserve"> </w:t>
      </w:r>
      <w:r w:rsidRPr="008122EA">
        <w:rPr>
          <w:lang w:val="en-US"/>
        </w:rPr>
        <w:tab/>
      </w:r>
      <w:r w:rsidRPr="008122EA">
        <w:rPr>
          <w:rFonts w:eastAsia="SimSun"/>
          <w:lang w:val="en-US"/>
        </w:rPr>
        <w:t>These include the least developed countries, small island developing states</w:t>
      </w:r>
      <w:r>
        <w:rPr>
          <w:rFonts w:eastAsia="SimSun"/>
          <w:lang w:val="en-US"/>
        </w:rPr>
        <w:t>, landlocked developing countries</w:t>
      </w:r>
      <w:r w:rsidRPr="008122EA">
        <w:rPr>
          <w:rFonts w:eastAsia="SimSun"/>
          <w:lang w:val="en-US"/>
        </w:rPr>
        <w:t xml:space="preserve"> and countries with </w:t>
      </w:r>
      <w:r w:rsidRPr="007F007A">
        <w:rPr>
          <w:lang w:val="en-US"/>
        </w:rPr>
        <w:t>economies</w:t>
      </w:r>
      <w:r w:rsidRPr="008122EA">
        <w:rPr>
          <w:rFonts w:eastAsia="SimSun"/>
          <w:lang w:val="en-US"/>
        </w:rPr>
        <w:t xml:space="preserve"> in transition.</w:t>
      </w:r>
    </w:p>
  </w:footnote>
  <w:footnote w:id="4">
    <w:p w14:paraId="0C1593ED" w14:textId="77777777" w:rsidR="00827191" w:rsidRPr="008F53F2" w:rsidRDefault="00827191" w:rsidP="00F0236A">
      <w:pPr>
        <w:pStyle w:val="FootnoteText"/>
        <w:rPr>
          <w:lang w:val="en-US"/>
        </w:rPr>
      </w:pPr>
      <w:r>
        <w:rPr>
          <w:rStyle w:val="FootnoteReference"/>
        </w:rPr>
        <w:footnoteRef/>
      </w:r>
      <w:r>
        <w:t xml:space="preserve"> </w:t>
      </w:r>
      <w:hyperlink r:id="rId1" w:history="1">
        <w:r w:rsidRPr="006A1A82">
          <w:rPr>
            <w:rStyle w:val="Hyperlink"/>
          </w:rPr>
          <w:t>http://itu.int/ITU-T/inr/enum/</w:t>
        </w:r>
      </w:hyperlink>
      <w:r>
        <w:t>.</w:t>
      </w:r>
    </w:p>
  </w:footnote>
  <w:footnote w:id="5">
    <w:p w14:paraId="3E253E19" w14:textId="77777777" w:rsidR="00827191" w:rsidRPr="00065FE2" w:rsidRDefault="00827191" w:rsidP="00F0236A">
      <w:pPr>
        <w:pStyle w:val="FootnoteText"/>
        <w:rPr>
          <w:lang w:val="en-US"/>
        </w:rPr>
      </w:pPr>
      <w:r w:rsidRPr="00065FE2">
        <w:rPr>
          <w:rStyle w:val="FootnoteReference"/>
          <w:lang w:val="en-US"/>
        </w:rPr>
        <w:t>2</w:t>
      </w:r>
      <w:r w:rsidRPr="00065FE2">
        <w:rPr>
          <w:lang w:val="en-US"/>
        </w:rPr>
        <w:tab/>
      </w:r>
      <w:r w:rsidRPr="00065FE2">
        <w:rPr>
          <w:szCs w:val="24"/>
          <w:lang w:val="en-US"/>
        </w:rPr>
        <w:t>Kyoto, Japan, 15-16 April 2008</w:t>
      </w:r>
      <w:r w:rsidRPr="00065FE2">
        <w:rPr>
          <w:szCs w:val="24"/>
          <w:lang w:val="en-US" w:eastAsia="ko-KR"/>
        </w:rPr>
        <w:t>;</w:t>
      </w:r>
      <w:r w:rsidRPr="00065FE2">
        <w:rPr>
          <w:szCs w:val="24"/>
          <w:lang w:val="en-US"/>
        </w:rPr>
        <w:t xml:space="preserve"> London, United Kingdom, 17-18 June 2008; </w:t>
      </w:r>
      <w:hyperlink r:id="rId2" w:history="1">
        <w:r w:rsidRPr="00065FE2">
          <w:rPr>
            <w:szCs w:val="24"/>
            <w:lang w:val="en-US"/>
          </w:rPr>
          <w:t>Quito, Ecuador</w:t>
        </w:r>
      </w:hyperlink>
      <w:r w:rsidRPr="00065FE2">
        <w:rPr>
          <w:szCs w:val="24"/>
          <w:lang w:val="en-US"/>
        </w:rPr>
        <w:t>, 8</w:t>
      </w:r>
      <w:r w:rsidRPr="00065FE2">
        <w:rPr>
          <w:szCs w:val="24"/>
          <w:lang w:val="en-US"/>
        </w:rPr>
        <w:noBreakHyphen/>
        <w:t>10 July 2009</w:t>
      </w:r>
      <w:r w:rsidRPr="00065FE2">
        <w:rPr>
          <w:szCs w:val="24"/>
          <w:lang w:val="en-US" w:eastAsia="ko-KR"/>
        </w:rPr>
        <w:t>;</w:t>
      </w:r>
      <w:r w:rsidRPr="00065FE2">
        <w:rPr>
          <w:rFonts w:hint="eastAsia"/>
          <w:szCs w:val="24"/>
          <w:lang w:val="en-US" w:eastAsia="ko-KR"/>
        </w:rPr>
        <w:t xml:space="preserve"> </w:t>
      </w:r>
      <w:r w:rsidRPr="00065FE2">
        <w:rPr>
          <w:szCs w:val="24"/>
          <w:lang w:val="en-US" w:eastAsia="ko-KR"/>
        </w:rPr>
        <w:t>Seoul Virtual Symposium, 23 September 2009;</w:t>
      </w:r>
      <w:r w:rsidRPr="00065FE2">
        <w:rPr>
          <w:rFonts w:hint="eastAsia"/>
          <w:szCs w:val="24"/>
          <w:lang w:val="en-US" w:eastAsia="ko-KR"/>
        </w:rPr>
        <w:t xml:space="preserve"> </w:t>
      </w:r>
      <w:r w:rsidRPr="00065FE2">
        <w:rPr>
          <w:szCs w:val="24"/>
          <w:lang w:val="en-US" w:eastAsia="ko-KR"/>
        </w:rPr>
        <w:t>Cairo, Egypt, 2-3 November 2010;</w:t>
      </w:r>
      <w:r w:rsidRPr="00065FE2">
        <w:rPr>
          <w:rFonts w:hint="eastAsia"/>
          <w:szCs w:val="24"/>
          <w:lang w:val="en-US" w:eastAsia="ko-KR"/>
        </w:rPr>
        <w:t xml:space="preserve"> </w:t>
      </w:r>
      <w:r w:rsidRPr="00065FE2">
        <w:rPr>
          <w:szCs w:val="24"/>
          <w:lang w:val="en-US" w:eastAsia="ko-KR"/>
        </w:rPr>
        <w:t>Accra, Ghana, 7-8 July 2011;</w:t>
      </w:r>
      <w:r w:rsidRPr="00065FE2">
        <w:rPr>
          <w:rFonts w:hint="eastAsia"/>
          <w:szCs w:val="24"/>
          <w:lang w:val="en-US" w:eastAsia="ko-KR"/>
        </w:rPr>
        <w:t xml:space="preserve"> Seoul,</w:t>
      </w:r>
      <w:r w:rsidRPr="00065FE2">
        <w:rPr>
          <w:szCs w:val="24"/>
          <w:lang w:val="en-US" w:eastAsia="ko-KR"/>
        </w:rPr>
        <w:t xml:space="preserve"> Republic of</w:t>
      </w:r>
      <w:r w:rsidRPr="00065FE2">
        <w:rPr>
          <w:rFonts w:hint="eastAsia"/>
          <w:szCs w:val="24"/>
          <w:lang w:val="en-US" w:eastAsia="ko-KR"/>
        </w:rPr>
        <w:t xml:space="preserve"> Korea, 19 September 2011</w:t>
      </w:r>
      <w:r w:rsidRPr="00065FE2">
        <w:rPr>
          <w:szCs w:val="24"/>
          <w:lang w:val="en-US" w:eastAsia="ko-KR"/>
        </w:rPr>
        <w:t>;</w:t>
      </w:r>
      <w:r w:rsidRPr="00065FE2">
        <w:rPr>
          <w:rFonts w:hint="eastAsia"/>
          <w:szCs w:val="24"/>
          <w:lang w:val="en-US" w:eastAsia="ko-KR"/>
        </w:rPr>
        <w:t xml:space="preserve"> and Montreal, Canada, on 29-31 May 2012</w:t>
      </w:r>
      <w:r>
        <w:rPr>
          <w:szCs w:val="24"/>
          <w:lang w:val="en-US" w:eastAsia="ko-KR"/>
        </w:rPr>
        <w:t xml:space="preserve">, </w:t>
      </w:r>
      <w:r w:rsidRPr="009C221C">
        <w:rPr>
          <w:szCs w:val="24"/>
          <w:lang w:val="en-US" w:eastAsia="ko-KR"/>
        </w:rPr>
        <w:t>Turin, Italy, 6-7 May 2013; Kochi, India, 15 December 2014; Nassau, Bahamas, 14 December 2015; and Kuala Lumpur, Malaysia, 21 April 2016</w:t>
      </w:r>
      <w:r w:rsidRPr="00065FE2">
        <w:rPr>
          <w:szCs w:val="24"/>
          <w:lang w:val="en-US" w:eastAsia="ko-KR"/>
        </w:rPr>
        <w:t>.</w:t>
      </w:r>
    </w:p>
  </w:footnote>
  <w:footnote w:id="6">
    <w:p w14:paraId="35CC0F69" w14:textId="77777777" w:rsidR="00827191" w:rsidRPr="002A68F8" w:rsidRDefault="00827191" w:rsidP="00F0236A">
      <w:pPr>
        <w:pStyle w:val="FootnoteText"/>
        <w:rPr>
          <w:lang w:val="en-US"/>
        </w:rPr>
      </w:pPr>
      <w:r w:rsidRPr="00065FE2">
        <w:rPr>
          <w:rStyle w:val="FootnoteReference"/>
          <w:lang w:val="en-US"/>
        </w:rPr>
        <w:t>3</w:t>
      </w:r>
      <w:r w:rsidRPr="00065FE2">
        <w:rPr>
          <w:lang w:val="en-US"/>
        </w:rPr>
        <w:tab/>
        <w:t>With respect to efficiency, promotion of efficient use of materials used in ICT devices and network elements should also be a consideration.</w:t>
      </w:r>
    </w:p>
  </w:footnote>
  <w:footnote w:id="7">
    <w:p w14:paraId="7078102D" w14:textId="77777777" w:rsidR="00827191" w:rsidRPr="005A70DB" w:rsidRDefault="00827191" w:rsidP="00F0236A">
      <w:pPr>
        <w:pStyle w:val="FootnoteText"/>
      </w:pPr>
      <w:r>
        <w:rPr>
          <w:rStyle w:val="FootnoteReference"/>
          <w:rFonts w:eastAsia="Batang"/>
        </w:rPr>
        <w:footnoteRef/>
      </w:r>
      <w:r>
        <w:t xml:space="preserve"> </w:t>
      </w:r>
      <w:r w:rsidRPr="005A70DB">
        <w:t xml:space="preserve">Science Monitoring and </w:t>
      </w:r>
      <w:r>
        <w:t>Reliable</w:t>
      </w:r>
      <w:r w:rsidRPr="005A70DB">
        <w:t xml:space="preserve"> Telecommunications</w:t>
      </w:r>
    </w:p>
  </w:footnote>
  <w:footnote w:id="8">
    <w:p w14:paraId="471D1574" w14:textId="77777777" w:rsidR="00A240F4" w:rsidRPr="005A70DB" w:rsidRDefault="00A240F4" w:rsidP="00A240F4">
      <w:pPr>
        <w:pStyle w:val="FootnoteText"/>
      </w:pPr>
      <w:r>
        <w:rPr>
          <w:rStyle w:val="FootnoteReference"/>
          <w:rFonts w:eastAsia="Batang"/>
        </w:rPr>
        <w:footnoteRef/>
      </w:r>
      <w:r>
        <w:t xml:space="preserve"> </w:t>
      </w:r>
      <w:r w:rsidRPr="005A70DB">
        <w:t xml:space="preserve">Science Monitoring and </w:t>
      </w:r>
      <w:r>
        <w:t>Reliable</w:t>
      </w:r>
      <w:r w:rsidRPr="005A70DB">
        <w:t xml:space="preserve"> Telecommunications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70CC4" w14:textId="48BBBC27" w:rsidR="00963573" w:rsidRPr="00963573" w:rsidRDefault="00963573" w:rsidP="00963573">
    <w:pPr>
      <w:pStyle w:val="Header"/>
      <w:spacing w:before="0"/>
      <w:jc w:val="center"/>
      <w:rPr>
        <w:sz w:val="16"/>
        <w:szCs w:val="16"/>
      </w:rPr>
    </w:pPr>
    <w:r w:rsidRPr="00963573">
      <w:rPr>
        <w:sz w:val="16"/>
        <w:szCs w:val="16"/>
      </w:rPr>
      <w:t xml:space="preserve">- </w:t>
    </w:r>
    <w:r w:rsidRPr="00963573">
      <w:rPr>
        <w:sz w:val="16"/>
        <w:szCs w:val="16"/>
      </w:rPr>
      <w:fldChar w:fldCharType="begin"/>
    </w:r>
    <w:r w:rsidRPr="00963573">
      <w:rPr>
        <w:sz w:val="16"/>
        <w:szCs w:val="16"/>
      </w:rPr>
      <w:instrText xml:space="preserve"> PAGE  \* MERGEFORMAT </w:instrText>
    </w:r>
    <w:r w:rsidRPr="00963573">
      <w:rPr>
        <w:sz w:val="16"/>
        <w:szCs w:val="16"/>
      </w:rPr>
      <w:fldChar w:fldCharType="separate"/>
    </w:r>
    <w:r w:rsidRPr="00963573">
      <w:rPr>
        <w:sz w:val="16"/>
        <w:szCs w:val="16"/>
      </w:rPr>
      <w:t>4</w:t>
    </w:r>
    <w:r w:rsidRPr="00963573">
      <w:rPr>
        <w:sz w:val="16"/>
        <w:szCs w:val="16"/>
      </w:rPr>
      <w:fldChar w:fldCharType="end"/>
    </w:r>
    <w:r w:rsidRPr="00963573">
      <w:rPr>
        <w:sz w:val="16"/>
        <w:szCs w:val="16"/>
      </w:rPr>
      <w:t>-</w:t>
    </w:r>
  </w:p>
  <w:p w14:paraId="36316E3B" w14:textId="5BF45DB4" w:rsidR="00963573" w:rsidRPr="00963573" w:rsidRDefault="00963573" w:rsidP="00963573">
    <w:pPr>
      <w:pStyle w:val="Header"/>
      <w:spacing w:before="0"/>
      <w:jc w:val="center"/>
      <w:rPr>
        <w:sz w:val="16"/>
        <w:szCs w:val="16"/>
      </w:rPr>
    </w:pPr>
    <w:r w:rsidRPr="00963573">
      <w:rPr>
        <w:sz w:val="16"/>
        <w:szCs w:val="16"/>
      </w:rPr>
      <w:t>WTSA-20/34</w:t>
    </w:r>
    <w:r w:rsidRPr="00963573">
      <w:rPr>
        <w:sz w:val="16"/>
        <w:szCs w:val="16"/>
        <w:lang w:val="en-US"/>
      </w:rPr>
      <w:t>att1</w:t>
    </w:r>
    <w:r w:rsidRPr="00963573">
      <w:rPr>
        <w:sz w:val="16"/>
        <w:szCs w:val="16"/>
      </w:rPr>
      <w:t>-E</w:t>
    </w:r>
  </w:p>
  <w:p w14:paraId="491170CE" w14:textId="4BE46803" w:rsidR="00827191" w:rsidRPr="00963573" w:rsidRDefault="00827191" w:rsidP="009635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092A1" w14:textId="77777777" w:rsidR="004A357A" w:rsidRPr="00963573" w:rsidRDefault="004A357A" w:rsidP="004A357A">
    <w:pPr>
      <w:pStyle w:val="Header"/>
      <w:spacing w:before="0"/>
      <w:jc w:val="center"/>
      <w:rPr>
        <w:sz w:val="16"/>
        <w:szCs w:val="16"/>
      </w:rPr>
    </w:pPr>
    <w:r w:rsidRPr="00963573">
      <w:rPr>
        <w:sz w:val="16"/>
        <w:szCs w:val="16"/>
      </w:rPr>
      <w:t xml:space="preserve">- </w:t>
    </w:r>
    <w:r w:rsidRPr="00963573">
      <w:rPr>
        <w:sz w:val="16"/>
        <w:szCs w:val="16"/>
      </w:rPr>
      <w:fldChar w:fldCharType="begin"/>
    </w:r>
    <w:r w:rsidRPr="00963573">
      <w:rPr>
        <w:sz w:val="16"/>
        <w:szCs w:val="16"/>
      </w:rPr>
      <w:instrText xml:space="preserve"> PAGE  \* MERGEFORMAT </w:instrText>
    </w:r>
    <w:r w:rsidRPr="00963573">
      <w:rPr>
        <w:sz w:val="16"/>
        <w:szCs w:val="16"/>
      </w:rPr>
      <w:fldChar w:fldCharType="separate"/>
    </w:r>
    <w:r>
      <w:rPr>
        <w:sz w:val="16"/>
        <w:szCs w:val="16"/>
      </w:rPr>
      <w:t>17</w:t>
    </w:r>
    <w:r w:rsidRPr="00963573">
      <w:rPr>
        <w:sz w:val="16"/>
        <w:szCs w:val="16"/>
      </w:rPr>
      <w:fldChar w:fldCharType="end"/>
    </w:r>
    <w:r w:rsidRPr="00963573">
      <w:rPr>
        <w:sz w:val="16"/>
        <w:szCs w:val="16"/>
      </w:rPr>
      <w:t>-</w:t>
    </w:r>
  </w:p>
  <w:p w14:paraId="0CF6005C" w14:textId="77777777" w:rsidR="004A357A" w:rsidRPr="00963573" w:rsidRDefault="004A357A" w:rsidP="004A357A">
    <w:pPr>
      <w:pStyle w:val="Header"/>
      <w:spacing w:before="0"/>
      <w:jc w:val="center"/>
      <w:rPr>
        <w:sz w:val="16"/>
        <w:szCs w:val="16"/>
      </w:rPr>
    </w:pPr>
    <w:r w:rsidRPr="00963573">
      <w:rPr>
        <w:sz w:val="16"/>
        <w:szCs w:val="16"/>
      </w:rPr>
      <w:t>WTSA-20/34</w:t>
    </w:r>
    <w:r w:rsidRPr="00963573">
      <w:rPr>
        <w:sz w:val="16"/>
        <w:szCs w:val="16"/>
        <w:lang w:val="en-US"/>
      </w:rPr>
      <w:t>att1</w:t>
    </w:r>
    <w:r w:rsidRPr="00963573">
      <w:rPr>
        <w:sz w:val="16"/>
        <w:szCs w:val="16"/>
      </w:rPr>
      <w:t>-E</w:t>
    </w:r>
  </w:p>
  <w:p w14:paraId="59C84EE1" w14:textId="77777777" w:rsidR="00735F49" w:rsidRPr="0013634D" w:rsidRDefault="00735F49" w:rsidP="0013634D">
    <w:pPr>
      <w:tabs>
        <w:tab w:val="left" w:pos="1134"/>
        <w:tab w:val="left" w:pos="1871"/>
        <w:tab w:val="left" w:pos="2268"/>
      </w:tabs>
      <w:overflowPunct w:val="0"/>
      <w:autoSpaceDE w:val="0"/>
      <w:autoSpaceDN w:val="0"/>
      <w:adjustRightInd w:val="0"/>
      <w:spacing w:before="0"/>
      <w:jc w:val="center"/>
      <w:textAlignment w:val="baseline"/>
      <w:rPr>
        <w:rFonts w:eastAsia="Times New Roman"/>
        <w:sz w:val="18"/>
        <w:szCs w:val="20"/>
        <w:lang w:eastAsia="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D816B" w14:textId="77777777" w:rsidR="00827191" w:rsidRPr="0013634D" w:rsidRDefault="00827191" w:rsidP="0013634D">
    <w:pPr>
      <w:tabs>
        <w:tab w:val="left" w:pos="1134"/>
        <w:tab w:val="left" w:pos="1871"/>
        <w:tab w:val="left" w:pos="2268"/>
      </w:tabs>
      <w:overflowPunct w:val="0"/>
      <w:autoSpaceDE w:val="0"/>
      <w:autoSpaceDN w:val="0"/>
      <w:adjustRightInd w:val="0"/>
      <w:spacing w:before="0"/>
      <w:jc w:val="center"/>
      <w:textAlignment w:val="baseline"/>
      <w:rPr>
        <w:rFonts w:eastAsia="Times New Roman"/>
        <w:sz w:val="18"/>
        <w:szCs w:val="20"/>
        <w:lang w:eastAsia="en-US"/>
      </w:rPr>
    </w:pPr>
    <w:r w:rsidRPr="0013634D">
      <w:rPr>
        <w:rFonts w:eastAsia="Times New Roman"/>
        <w:color w:val="2B579A"/>
        <w:sz w:val="18"/>
        <w:szCs w:val="20"/>
        <w:shd w:val="clear" w:color="auto" w:fill="E6E6E6"/>
        <w:lang w:eastAsia="en-US"/>
      </w:rPr>
      <w:fldChar w:fldCharType="begin"/>
    </w:r>
    <w:r w:rsidRPr="0013634D">
      <w:rPr>
        <w:rFonts w:eastAsia="Times New Roman"/>
        <w:sz w:val="18"/>
        <w:szCs w:val="20"/>
        <w:lang w:eastAsia="en-US"/>
      </w:rPr>
      <w:instrText xml:space="preserve"> PAGE  \* MERGEFORMAT </w:instrText>
    </w:r>
    <w:r w:rsidRPr="0013634D">
      <w:rPr>
        <w:rFonts w:eastAsia="Times New Roman"/>
        <w:color w:val="2B579A"/>
        <w:sz w:val="18"/>
        <w:szCs w:val="20"/>
        <w:shd w:val="clear" w:color="auto" w:fill="E6E6E6"/>
        <w:lang w:eastAsia="en-US"/>
      </w:rPr>
      <w:fldChar w:fldCharType="separate"/>
    </w:r>
    <w:r>
      <w:rPr>
        <w:rFonts w:eastAsia="Times New Roman"/>
        <w:noProof/>
        <w:sz w:val="18"/>
        <w:szCs w:val="20"/>
        <w:lang w:eastAsia="en-US"/>
      </w:rPr>
      <w:t>1</w:t>
    </w:r>
    <w:r w:rsidRPr="0013634D">
      <w:rPr>
        <w:rFonts w:eastAsia="Times New Roman"/>
        <w:color w:val="2B579A"/>
        <w:sz w:val="18"/>
        <w:szCs w:val="20"/>
        <w:shd w:val="clear" w:color="auto" w:fill="E6E6E6"/>
        <w:lang w:eastAsia="en-US"/>
      </w:rPr>
      <w:fldChar w:fldCharType="end"/>
    </w:r>
  </w:p>
  <w:p w14:paraId="005AAAF6" w14:textId="315D3E9D" w:rsidR="00827191" w:rsidRPr="0013634D" w:rsidRDefault="00827191" w:rsidP="0013634D">
    <w:pPr>
      <w:tabs>
        <w:tab w:val="left" w:pos="1134"/>
        <w:tab w:val="left" w:pos="1871"/>
        <w:tab w:val="left" w:pos="2268"/>
      </w:tabs>
      <w:overflowPunct w:val="0"/>
      <w:autoSpaceDE w:val="0"/>
      <w:autoSpaceDN w:val="0"/>
      <w:adjustRightInd w:val="0"/>
      <w:spacing w:before="0"/>
      <w:jc w:val="center"/>
      <w:textAlignment w:val="baseline"/>
      <w:rPr>
        <w:rFonts w:eastAsia="Times New Roman"/>
        <w:sz w:val="18"/>
        <w:szCs w:val="20"/>
        <w:lang w:val="en-US" w:eastAsia="en-US"/>
      </w:rPr>
    </w:pPr>
    <w:r w:rsidRPr="0013634D">
      <w:rPr>
        <w:rFonts w:eastAsia="Times New Roman"/>
        <w:sz w:val="18"/>
        <w:szCs w:val="20"/>
        <w:lang w:eastAsia="en-US"/>
      </w:rPr>
      <w:t>WTSA16/35</w:t>
    </w:r>
    <w:r>
      <w:rPr>
        <w:rFonts w:eastAsia="Times New Roman"/>
        <w:sz w:val="18"/>
        <w:szCs w:val="20"/>
        <w:lang w:eastAsia="en-US"/>
      </w:rPr>
      <w:t>Att1</w:t>
    </w:r>
    <w:r w:rsidRPr="0013634D">
      <w:rPr>
        <w:rFonts w:eastAsia="Times New Roman"/>
        <w:sz w:val="18"/>
        <w:szCs w:val="20"/>
        <w:lang w:eastAsia="en-US"/>
      </w:rPr>
      <w:t>-E</w:t>
    </w:r>
  </w:p>
  <w:p w14:paraId="350AAEA0" w14:textId="77777777" w:rsidR="00827191" w:rsidRDefault="00827191">
    <w:pPr>
      <w:pStyle w:val="Header"/>
    </w:pPr>
  </w:p>
  <w:p w14:paraId="4BE0CCC3" w14:textId="77777777" w:rsidR="00827191" w:rsidRDefault="00827191"/>
  <w:p w14:paraId="2FD6B29A" w14:textId="77777777" w:rsidR="00827191" w:rsidRDefault="0082719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6D10"/>
    <w:multiLevelType w:val="multilevel"/>
    <w:tmpl w:val="BC580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7D2424"/>
    <w:multiLevelType w:val="multilevel"/>
    <w:tmpl w:val="F41A3DEA"/>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3771AEF"/>
    <w:multiLevelType w:val="hybridMultilevel"/>
    <w:tmpl w:val="FFFFFFFF"/>
    <w:lvl w:ilvl="0" w:tplc="FFFFFFFF">
      <w:start w:val="1"/>
      <w:numFmt w:val="lowerRoman"/>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4625D13"/>
    <w:multiLevelType w:val="hybridMultilevel"/>
    <w:tmpl w:val="6EF662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658" w:hanging="360"/>
      </w:pPr>
      <w:rPr>
        <w:rFonts w:ascii="Courier New" w:hAnsi="Courier New" w:cs="Courier New" w:hint="default"/>
      </w:rPr>
    </w:lvl>
    <w:lvl w:ilvl="2" w:tplc="08090005" w:tentative="1">
      <w:start w:val="1"/>
      <w:numFmt w:val="bullet"/>
      <w:lvlText w:val=""/>
      <w:lvlJc w:val="left"/>
      <w:pPr>
        <w:ind w:left="1378" w:hanging="360"/>
      </w:pPr>
      <w:rPr>
        <w:rFonts w:ascii="Wingdings" w:hAnsi="Wingdings" w:hint="default"/>
      </w:rPr>
    </w:lvl>
    <w:lvl w:ilvl="3" w:tplc="08090001" w:tentative="1">
      <w:start w:val="1"/>
      <w:numFmt w:val="bullet"/>
      <w:lvlText w:val=""/>
      <w:lvlJc w:val="left"/>
      <w:pPr>
        <w:ind w:left="2098" w:hanging="360"/>
      </w:pPr>
      <w:rPr>
        <w:rFonts w:ascii="Symbol" w:hAnsi="Symbol" w:hint="default"/>
      </w:rPr>
    </w:lvl>
    <w:lvl w:ilvl="4" w:tplc="08090003" w:tentative="1">
      <w:start w:val="1"/>
      <w:numFmt w:val="bullet"/>
      <w:lvlText w:val="o"/>
      <w:lvlJc w:val="left"/>
      <w:pPr>
        <w:ind w:left="2818" w:hanging="360"/>
      </w:pPr>
      <w:rPr>
        <w:rFonts w:ascii="Courier New" w:hAnsi="Courier New" w:cs="Courier New" w:hint="default"/>
      </w:rPr>
    </w:lvl>
    <w:lvl w:ilvl="5" w:tplc="08090005" w:tentative="1">
      <w:start w:val="1"/>
      <w:numFmt w:val="bullet"/>
      <w:lvlText w:val=""/>
      <w:lvlJc w:val="left"/>
      <w:pPr>
        <w:ind w:left="3538" w:hanging="360"/>
      </w:pPr>
      <w:rPr>
        <w:rFonts w:ascii="Wingdings" w:hAnsi="Wingdings" w:hint="default"/>
      </w:rPr>
    </w:lvl>
    <w:lvl w:ilvl="6" w:tplc="08090001" w:tentative="1">
      <w:start w:val="1"/>
      <w:numFmt w:val="bullet"/>
      <w:lvlText w:val=""/>
      <w:lvlJc w:val="left"/>
      <w:pPr>
        <w:ind w:left="4258" w:hanging="360"/>
      </w:pPr>
      <w:rPr>
        <w:rFonts w:ascii="Symbol" w:hAnsi="Symbol" w:hint="default"/>
      </w:rPr>
    </w:lvl>
    <w:lvl w:ilvl="7" w:tplc="08090003" w:tentative="1">
      <w:start w:val="1"/>
      <w:numFmt w:val="bullet"/>
      <w:lvlText w:val="o"/>
      <w:lvlJc w:val="left"/>
      <w:pPr>
        <w:ind w:left="4978" w:hanging="360"/>
      </w:pPr>
      <w:rPr>
        <w:rFonts w:ascii="Courier New" w:hAnsi="Courier New" w:cs="Courier New" w:hint="default"/>
      </w:rPr>
    </w:lvl>
    <w:lvl w:ilvl="8" w:tplc="08090005" w:tentative="1">
      <w:start w:val="1"/>
      <w:numFmt w:val="bullet"/>
      <w:lvlText w:val=""/>
      <w:lvlJc w:val="left"/>
      <w:pPr>
        <w:ind w:left="5698" w:hanging="360"/>
      </w:pPr>
      <w:rPr>
        <w:rFonts w:ascii="Wingdings" w:hAnsi="Wingdings" w:hint="default"/>
      </w:rPr>
    </w:lvl>
  </w:abstractNum>
  <w:abstractNum w:abstractNumId="4" w15:restartNumberingAfterBreak="0">
    <w:nsid w:val="046E2A77"/>
    <w:multiLevelType w:val="hybridMultilevel"/>
    <w:tmpl w:val="8674BA2A"/>
    <w:lvl w:ilvl="0" w:tplc="C9B23198">
      <w:start w:val="1"/>
      <w:numFmt w:val="bullet"/>
      <w:lvlText w:val=""/>
      <w:lvlJc w:val="left"/>
      <w:pPr>
        <w:tabs>
          <w:tab w:val="num" w:pos="720"/>
        </w:tabs>
        <w:ind w:left="720" w:hanging="360"/>
      </w:pPr>
      <w:rPr>
        <w:rFonts w:ascii="Symbol" w:hAnsi="Symbol" w:hint="default"/>
        <w:sz w:val="20"/>
      </w:rPr>
    </w:lvl>
    <w:lvl w:ilvl="1" w:tplc="F14ECFE2" w:tentative="1">
      <w:start w:val="1"/>
      <w:numFmt w:val="bullet"/>
      <w:lvlText w:val="o"/>
      <w:lvlJc w:val="left"/>
      <w:pPr>
        <w:tabs>
          <w:tab w:val="num" w:pos="1440"/>
        </w:tabs>
        <w:ind w:left="1440" w:hanging="360"/>
      </w:pPr>
      <w:rPr>
        <w:rFonts w:ascii="Courier New" w:hAnsi="Courier New" w:hint="default"/>
        <w:sz w:val="20"/>
      </w:rPr>
    </w:lvl>
    <w:lvl w:ilvl="2" w:tplc="9906F9BE" w:tentative="1">
      <w:start w:val="1"/>
      <w:numFmt w:val="bullet"/>
      <w:lvlText w:val=""/>
      <w:lvlJc w:val="left"/>
      <w:pPr>
        <w:tabs>
          <w:tab w:val="num" w:pos="2160"/>
        </w:tabs>
        <w:ind w:left="2160" w:hanging="360"/>
      </w:pPr>
      <w:rPr>
        <w:rFonts w:ascii="Wingdings" w:hAnsi="Wingdings" w:hint="default"/>
        <w:sz w:val="20"/>
      </w:rPr>
    </w:lvl>
    <w:lvl w:ilvl="3" w:tplc="A176A03E" w:tentative="1">
      <w:start w:val="1"/>
      <w:numFmt w:val="bullet"/>
      <w:lvlText w:val=""/>
      <w:lvlJc w:val="left"/>
      <w:pPr>
        <w:tabs>
          <w:tab w:val="num" w:pos="2880"/>
        </w:tabs>
        <w:ind w:left="2880" w:hanging="360"/>
      </w:pPr>
      <w:rPr>
        <w:rFonts w:ascii="Wingdings" w:hAnsi="Wingdings" w:hint="default"/>
        <w:sz w:val="20"/>
      </w:rPr>
    </w:lvl>
    <w:lvl w:ilvl="4" w:tplc="DF7AF794" w:tentative="1">
      <w:start w:val="1"/>
      <w:numFmt w:val="bullet"/>
      <w:lvlText w:val=""/>
      <w:lvlJc w:val="left"/>
      <w:pPr>
        <w:tabs>
          <w:tab w:val="num" w:pos="3600"/>
        </w:tabs>
        <w:ind w:left="3600" w:hanging="360"/>
      </w:pPr>
      <w:rPr>
        <w:rFonts w:ascii="Wingdings" w:hAnsi="Wingdings" w:hint="default"/>
        <w:sz w:val="20"/>
      </w:rPr>
    </w:lvl>
    <w:lvl w:ilvl="5" w:tplc="7ABCE1EA" w:tentative="1">
      <w:start w:val="1"/>
      <w:numFmt w:val="bullet"/>
      <w:lvlText w:val=""/>
      <w:lvlJc w:val="left"/>
      <w:pPr>
        <w:tabs>
          <w:tab w:val="num" w:pos="4320"/>
        </w:tabs>
        <w:ind w:left="4320" w:hanging="360"/>
      </w:pPr>
      <w:rPr>
        <w:rFonts w:ascii="Wingdings" w:hAnsi="Wingdings" w:hint="default"/>
        <w:sz w:val="20"/>
      </w:rPr>
    </w:lvl>
    <w:lvl w:ilvl="6" w:tplc="5948A5A8" w:tentative="1">
      <w:start w:val="1"/>
      <w:numFmt w:val="bullet"/>
      <w:lvlText w:val=""/>
      <w:lvlJc w:val="left"/>
      <w:pPr>
        <w:tabs>
          <w:tab w:val="num" w:pos="5040"/>
        </w:tabs>
        <w:ind w:left="5040" w:hanging="360"/>
      </w:pPr>
      <w:rPr>
        <w:rFonts w:ascii="Wingdings" w:hAnsi="Wingdings" w:hint="default"/>
        <w:sz w:val="20"/>
      </w:rPr>
    </w:lvl>
    <w:lvl w:ilvl="7" w:tplc="D116C242" w:tentative="1">
      <w:start w:val="1"/>
      <w:numFmt w:val="bullet"/>
      <w:lvlText w:val=""/>
      <w:lvlJc w:val="left"/>
      <w:pPr>
        <w:tabs>
          <w:tab w:val="num" w:pos="5760"/>
        </w:tabs>
        <w:ind w:left="5760" w:hanging="360"/>
      </w:pPr>
      <w:rPr>
        <w:rFonts w:ascii="Wingdings" w:hAnsi="Wingdings" w:hint="default"/>
        <w:sz w:val="20"/>
      </w:rPr>
    </w:lvl>
    <w:lvl w:ilvl="8" w:tplc="F7A4F04E"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722140"/>
    <w:multiLevelType w:val="hybridMultilevel"/>
    <w:tmpl w:val="ABA2021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1E327C"/>
    <w:multiLevelType w:val="hybridMultilevel"/>
    <w:tmpl w:val="D4EAB8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7243186"/>
    <w:multiLevelType w:val="hybridMultilevel"/>
    <w:tmpl w:val="329ACBD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771221B"/>
    <w:multiLevelType w:val="multilevel"/>
    <w:tmpl w:val="311A0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85007ED"/>
    <w:multiLevelType w:val="multilevel"/>
    <w:tmpl w:val="8F60B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86F3D00"/>
    <w:multiLevelType w:val="hybridMultilevel"/>
    <w:tmpl w:val="23CC93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C135EDA"/>
    <w:multiLevelType w:val="multilevel"/>
    <w:tmpl w:val="664A9DF4"/>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color w:val="44444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C413C30"/>
    <w:multiLevelType w:val="hybridMultilevel"/>
    <w:tmpl w:val="5AFE5A3C"/>
    <w:lvl w:ilvl="0" w:tplc="0896B516">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CD74260"/>
    <w:multiLevelType w:val="hybridMultilevel"/>
    <w:tmpl w:val="499071C4"/>
    <w:lvl w:ilvl="0" w:tplc="D12AB020">
      <w:start w:val="1"/>
      <w:numFmt w:val="bullet"/>
      <w:lvlText w:val=""/>
      <w:lvlJc w:val="left"/>
      <w:pPr>
        <w:ind w:left="720" w:hanging="360"/>
      </w:pPr>
      <w:rPr>
        <w:rFonts w:ascii="Symbol" w:hAnsi="Symbol" w:hint="default"/>
      </w:rPr>
    </w:lvl>
    <w:lvl w:ilvl="1" w:tplc="2A6033F6">
      <w:start w:val="1"/>
      <w:numFmt w:val="bullet"/>
      <w:lvlText w:val="o"/>
      <w:lvlJc w:val="left"/>
      <w:pPr>
        <w:ind w:left="1440" w:hanging="360"/>
      </w:pPr>
      <w:rPr>
        <w:rFonts w:ascii="Courier New" w:hAnsi="Courier New" w:hint="default"/>
      </w:rPr>
    </w:lvl>
    <w:lvl w:ilvl="2" w:tplc="B106B76E">
      <w:start w:val="1"/>
      <w:numFmt w:val="bullet"/>
      <w:lvlText w:val=""/>
      <w:lvlJc w:val="left"/>
      <w:pPr>
        <w:ind w:left="2160" w:hanging="360"/>
      </w:pPr>
      <w:rPr>
        <w:rFonts w:ascii="Wingdings" w:hAnsi="Wingdings" w:hint="default"/>
      </w:rPr>
    </w:lvl>
    <w:lvl w:ilvl="3" w:tplc="A288EB6A">
      <w:start w:val="1"/>
      <w:numFmt w:val="bullet"/>
      <w:lvlText w:val=""/>
      <w:lvlJc w:val="left"/>
      <w:pPr>
        <w:ind w:left="2880" w:hanging="360"/>
      </w:pPr>
      <w:rPr>
        <w:rFonts w:ascii="Symbol" w:hAnsi="Symbol" w:hint="default"/>
      </w:rPr>
    </w:lvl>
    <w:lvl w:ilvl="4" w:tplc="D21E7D42">
      <w:start w:val="1"/>
      <w:numFmt w:val="bullet"/>
      <w:lvlText w:val="o"/>
      <w:lvlJc w:val="left"/>
      <w:pPr>
        <w:ind w:left="3600" w:hanging="360"/>
      </w:pPr>
      <w:rPr>
        <w:rFonts w:ascii="Courier New" w:hAnsi="Courier New" w:hint="default"/>
      </w:rPr>
    </w:lvl>
    <w:lvl w:ilvl="5" w:tplc="E2627EF0">
      <w:start w:val="1"/>
      <w:numFmt w:val="bullet"/>
      <w:lvlText w:val=""/>
      <w:lvlJc w:val="left"/>
      <w:pPr>
        <w:ind w:left="4320" w:hanging="360"/>
      </w:pPr>
      <w:rPr>
        <w:rFonts w:ascii="Wingdings" w:hAnsi="Wingdings" w:hint="default"/>
      </w:rPr>
    </w:lvl>
    <w:lvl w:ilvl="6" w:tplc="3CD66BFA">
      <w:start w:val="1"/>
      <w:numFmt w:val="bullet"/>
      <w:lvlText w:val=""/>
      <w:lvlJc w:val="left"/>
      <w:pPr>
        <w:ind w:left="5040" w:hanging="360"/>
      </w:pPr>
      <w:rPr>
        <w:rFonts w:ascii="Symbol" w:hAnsi="Symbol" w:hint="default"/>
      </w:rPr>
    </w:lvl>
    <w:lvl w:ilvl="7" w:tplc="F446B29A">
      <w:start w:val="1"/>
      <w:numFmt w:val="bullet"/>
      <w:lvlText w:val="o"/>
      <w:lvlJc w:val="left"/>
      <w:pPr>
        <w:ind w:left="5760" w:hanging="360"/>
      </w:pPr>
      <w:rPr>
        <w:rFonts w:ascii="Courier New" w:hAnsi="Courier New" w:hint="default"/>
      </w:rPr>
    </w:lvl>
    <w:lvl w:ilvl="8" w:tplc="62E0A038">
      <w:start w:val="1"/>
      <w:numFmt w:val="bullet"/>
      <w:lvlText w:val=""/>
      <w:lvlJc w:val="left"/>
      <w:pPr>
        <w:ind w:left="6480" w:hanging="360"/>
      </w:pPr>
      <w:rPr>
        <w:rFonts w:ascii="Wingdings" w:hAnsi="Wingdings" w:hint="default"/>
      </w:rPr>
    </w:lvl>
  </w:abstractNum>
  <w:abstractNum w:abstractNumId="14" w15:restartNumberingAfterBreak="0">
    <w:nsid w:val="0DA47E6C"/>
    <w:multiLevelType w:val="hybridMultilevel"/>
    <w:tmpl w:val="B582E1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EFF7FF1"/>
    <w:multiLevelType w:val="hybridMultilevel"/>
    <w:tmpl w:val="2F08A910"/>
    <w:lvl w:ilvl="0" w:tplc="3D041AC2">
      <w:start w:val="1"/>
      <w:numFmt w:val="bullet"/>
      <w:lvlText w:val="·"/>
      <w:lvlJc w:val="left"/>
      <w:pPr>
        <w:ind w:left="720" w:hanging="360"/>
      </w:pPr>
      <w:rPr>
        <w:rFonts w:ascii="Symbol" w:hAnsi="Symbol" w:hint="default"/>
      </w:rPr>
    </w:lvl>
    <w:lvl w:ilvl="1" w:tplc="D838754A">
      <w:start w:val="1"/>
      <w:numFmt w:val="bullet"/>
      <w:lvlText w:val="o"/>
      <w:lvlJc w:val="left"/>
      <w:pPr>
        <w:ind w:left="1440" w:hanging="360"/>
      </w:pPr>
      <w:rPr>
        <w:rFonts w:ascii="Courier New" w:hAnsi="Courier New" w:hint="default"/>
      </w:rPr>
    </w:lvl>
    <w:lvl w:ilvl="2" w:tplc="34A2882C">
      <w:start w:val="1"/>
      <w:numFmt w:val="bullet"/>
      <w:lvlText w:val=""/>
      <w:lvlJc w:val="left"/>
      <w:pPr>
        <w:ind w:left="2160" w:hanging="360"/>
      </w:pPr>
      <w:rPr>
        <w:rFonts w:ascii="Wingdings" w:hAnsi="Wingdings" w:hint="default"/>
      </w:rPr>
    </w:lvl>
    <w:lvl w:ilvl="3" w:tplc="79729E92">
      <w:start w:val="1"/>
      <w:numFmt w:val="bullet"/>
      <w:lvlText w:val=""/>
      <w:lvlJc w:val="left"/>
      <w:pPr>
        <w:ind w:left="2880" w:hanging="360"/>
      </w:pPr>
      <w:rPr>
        <w:rFonts w:ascii="Symbol" w:hAnsi="Symbol" w:hint="default"/>
      </w:rPr>
    </w:lvl>
    <w:lvl w:ilvl="4" w:tplc="B404A64C">
      <w:start w:val="1"/>
      <w:numFmt w:val="bullet"/>
      <w:lvlText w:val="o"/>
      <w:lvlJc w:val="left"/>
      <w:pPr>
        <w:ind w:left="3600" w:hanging="360"/>
      </w:pPr>
      <w:rPr>
        <w:rFonts w:ascii="Courier New" w:hAnsi="Courier New" w:hint="default"/>
      </w:rPr>
    </w:lvl>
    <w:lvl w:ilvl="5" w:tplc="3F343692">
      <w:start w:val="1"/>
      <w:numFmt w:val="bullet"/>
      <w:lvlText w:val=""/>
      <w:lvlJc w:val="left"/>
      <w:pPr>
        <w:ind w:left="4320" w:hanging="360"/>
      </w:pPr>
      <w:rPr>
        <w:rFonts w:ascii="Wingdings" w:hAnsi="Wingdings" w:hint="default"/>
      </w:rPr>
    </w:lvl>
    <w:lvl w:ilvl="6" w:tplc="E1E83A96">
      <w:start w:val="1"/>
      <w:numFmt w:val="bullet"/>
      <w:lvlText w:val=""/>
      <w:lvlJc w:val="left"/>
      <w:pPr>
        <w:ind w:left="5040" w:hanging="360"/>
      </w:pPr>
      <w:rPr>
        <w:rFonts w:ascii="Symbol" w:hAnsi="Symbol" w:hint="default"/>
      </w:rPr>
    </w:lvl>
    <w:lvl w:ilvl="7" w:tplc="F8EADDC4">
      <w:start w:val="1"/>
      <w:numFmt w:val="bullet"/>
      <w:lvlText w:val="o"/>
      <w:lvlJc w:val="left"/>
      <w:pPr>
        <w:ind w:left="5760" w:hanging="360"/>
      </w:pPr>
      <w:rPr>
        <w:rFonts w:ascii="Courier New" w:hAnsi="Courier New" w:hint="default"/>
      </w:rPr>
    </w:lvl>
    <w:lvl w:ilvl="8" w:tplc="4B1A7D72">
      <w:start w:val="1"/>
      <w:numFmt w:val="bullet"/>
      <w:lvlText w:val=""/>
      <w:lvlJc w:val="left"/>
      <w:pPr>
        <w:ind w:left="6480" w:hanging="360"/>
      </w:pPr>
      <w:rPr>
        <w:rFonts w:ascii="Wingdings" w:hAnsi="Wingdings" w:hint="default"/>
      </w:rPr>
    </w:lvl>
  </w:abstractNum>
  <w:abstractNum w:abstractNumId="16" w15:restartNumberingAfterBreak="0">
    <w:nsid w:val="0F513EAA"/>
    <w:multiLevelType w:val="hybridMultilevel"/>
    <w:tmpl w:val="61C8A7E8"/>
    <w:lvl w:ilvl="0" w:tplc="11DEEE2C">
      <w:start w:val="1"/>
      <w:numFmt w:val="bullet"/>
      <w:lvlText w:val=""/>
      <w:lvlJc w:val="left"/>
      <w:pPr>
        <w:tabs>
          <w:tab w:val="num" w:pos="720"/>
        </w:tabs>
        <w:ind w:left="720" w:hanging="360"/>
      </w:pPr>
      <w:rPr>
        <w:rFonts w:ascii="Symbol" w:hAnsi="Symbol" w:hint="default"/>
        <w:sz w:val="20"/>
      </w:rPr>
    </w:lvl>
    <w:lvl w:ilvl="1" w:tplc="A094F00E">
      <w:start w:val="1"/>
      <w:numFmt w:val="bullet"/>
      <w:lvlText w:val="o"/>
      <w:lvlJc w:val="left"/>
      <w:pPr>
        <w:tabs>
          <w:tab w:val="num" w:pos="1440"/>
        </w:tabs>
        <w:ind w:left="1440" w:hanging="360"/>
      </w:pPr>
      <w:rPr>
        <w:rFonts w:ascii="Courier New" w:hAnsi="Courier New" w:hint="default"/>
        <w:sz w:val="20"/>
      </w:rPr>
    </w:lvl>
    <w:lvl w:ilvl="2" w:tplc="052493CA" w:tentative="1">
      <w:start w:val="1"/>
      <w:numFmt w:val="bullet"/>
      <w:lvlText w:val=""/>
      <w:lvlJc w:val="left"/>
      <w:pPr>
        <w:tabs>
          <w:tab w:val="num" w:pos="2160"/>
        </w:tabs>
        <w:ind w:left="2160" w:hanging="360"/>
      </w:pPr>
      <w:rPr>
        <w:rFonts w:ascii="Wingdings" w:hAnsi="Wingdings" w:hint="default"/>
        <w:sz w:val="20"/>
      </w:rPr>
    </w:lvl>
    <w:lvl w:ilvl="3" w:tplc="29F6087A" w:tentative="1">
      <w:start w:val="1"/>
      <w:numFmt w:val="bullet"/>
      <w:lvlText w:val=""/>
      <w:lvlJc w:val="left"/>
      <w:pPr>
        <w:tabs>
          <w:tab w:val="num" w:pos="2880"/>
        </w:tabs>
        <w:ind w:left="2880" w:hanging="360"/>
      </w:pPr>
      <w:rPr>
        <w:rFonts w:ascii="Wingdings" w:hAnsi="Wingdings" w:hint="default"/>
        <w:sz w:val="20"/>
      </w:rPr>
    </w:lvl>
    <w:lvl w:ilvl="4" w:tplc="A69649C6" w:tentative="1">
      <w:start w:val="1"/>
      <w:numFmt w:val="bullet"/>
      <w:lvlText w:val=""/>
      <w:lvlJc w:val="left"/>
      <w:pPr>
        <w:tabs>
          <w:tab w:val="num" w:pos="3600"/>
        </w:tabs>
        <w:ind w:left="3600" w:hanging="360"/>
      </w:pPr>
      <w:rPr>
        <w:rFonts w:ascii="Wingdings" w:hAnsi="Wingdings" w:hint="default"/>
        <w:sz w:val="20"/>
      </w:rPr>
    </w:lvl>
    <w:lvl w:ilvl="5" w:tplc="A6186E9E" w:tentative="1">
      <w:start w:val="1"/>
      <w:numFmt w:val="bullet"/>
      <w:lvlText w:val=""/>
      <w:lvlJc w:val="left"/>
      <w:pPr>
        <w:tabs>
          <w:tab w:val="num" w:pos="4320"/>
        </w:tabs>
        <w:ind w:left="4320" w:hanging="360"/>
      </w:pPr>
      <w:rPr>
        <w:rFonts w:ascii="Wingdings" w:hAnsi="Wingdings" w:hint="default"/>
        <w:sz w:val="20"/>
      </w:rPr>
    </w:lvl>
    <w:lvl w:ilvl="6" w:tplc="15FE30B8" w:tentative="1">
      <w:start w:val="1"/>
      <w:numFmt w:val="bullet"/>
      <w:lvlText w:val=""/>
      <w:lvlJc w:val="left"/>
      <w:pPr>
        <w:tabs>
          <w:tab w:val="num" w:pos="5040"/>
        </w:tabs>
        <w:ind w:left="5040" w:hanging="360"/>
      </w:pPr>
      <w:rPr>
        <w:rFonts w:ascii="Wingdings" w:hAnsi="Wingdings" w:hint="default"/>
        <w:sz w:val="20"/>
      </w:rPr>
    </w:lvl>
    <w:lvl w:ilvl="7" w:tplc="658875D4" w:tentative="1">
      <w:start w:val="1"/>
      <w:numFmt w:val="bullet"/>
      <w:lvlText w:val=""/>
      <w:lvlJc w:val="left"/>
      <w:pPr>
        <w:tabs>
          <w:tab w:val="num" w:pos="5760"/>
        </w:tabs>
        <w:ind w:left="5760" w:hanging="360"/>
      </w:pPr>
      <w:rPr>
        <w:rFonts w:ascii="Wingdings" w:hAnsi="Wingdings" w:hint="default"/>
        <w:sz w:val="20"/>
      </w:rPr>
    </w:lvl>
    <w:lvl w:ilvl="8" w:tplc="CF94127E"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046EA7"/>
    <w:multiLevelType w:val="hybridMultilevel"/>
    <w:tmpl w:val="BD946A14"/>
    <w:lvl w:ilvl="0" w:tplc="D5A82DAA">
      <w:start w:val="1"/>
      <w:numFmt w:val="bullet"/>
      <w:lvlRestart w:val="0"/>
      <w:lvlText w:val="–"/>
      <w:lvlJc w:val="left"/>
      <w:pPr>
        <w:ind w:left="720" w:hanging="363"/>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11B689C"/>
    <w:multiLevelType w:val="multilevel"/>
    <w:tmpl w:val="42FAD09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heme="minorEastAsia"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2A9071F"/>
    <w:multiLevelType w:val="hybridMultilevel"/>
    <w:tmpl w:val="9C20E17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12D22A5E"/>
    <w:multiLevelType w:val="hybridMultilevel"/>
    <w:tmpl w:val="92B6F05C"/>
    <w:lvl w:ilvl="0" w:tplc="8D965956">
      <w:start w:val="1"/>
      <w:numFmt w:val="decimal"/>
      <w:pStyle w:val="Heading1"/>
      <w:lvlText w:val="%1."/>
      <w:lvlJc w:val="left"/>
      <w:pPr>
        <w:ind w:left="360" w:hanging="360"/>
      </w:pPr>
      <w:rPr>
        <w:rFonts w:hint="default"/>
      </w:rPr>
    </w:lvl>
    <w:lvl w:ilvl="1" w:tplc="F10E2690">
      <w:start w:val="5"/>
      <w:numFmt w:val="bullet"/>
      <w:lvlText w:val="•"/>
      <w:lvlJc w:val="left"/>
      <w:pPr>
        <w:ind w:left="-4165" w:hanging="360"/>
      </w:pPr>
      <w:rPr>
        <w:rFonts w:ascii="Times New Roman" w:eastAsia="Malgun Gothic" w:hAnsi="Times New Roman" w:cs="Times New Roman" w:hint="default"/>
      </w:rPr>
    </w:lvl>
    <w:lvl w:ilvl="2" w:tplc="0409001B" w:tentative="1">
      <w:start w:val="1"/>
      <w:numFmt w:val="lowerRoman"/>
      <w:lvlText w:val="%3."/>
      <w:lvlJc w:val="right"/>
      <w:pPr>
        <w:ind w:left="-3445" w:hanging="180"/>
      </w:pPr>
    </w:lvl>
    <w:lvl w:ilvl="3" w:tplc="0409000F" w:tentative="1">
      <w:start w:val="1"/>
      <w:numFmt w:val="decimal"/>
      <w:lvlText w:val="%4."/>
      <w:lvlJc w:val="left"/>
      <w:pPr>
        <w:ind w:left="-2725" w:hanging="360"/>
      </w:pPr>
    </w:lvl>
    <w:lvl w:ilvl="4" w:tplc="04090019" w:tentative="1">
      <w:start w:val="1"/>
      <w:numFmt w:val="lowerLetter"/>
      <w:lvlText w:val="%5."/>
      <w:lvlJc w:val="left"/>
      <w:pPr>
        <w:ind w:left="-2005" w:hanging="360"/>
      </w:pPr>
    </w:lvl>
    <w:lvl w:ilvl="5" w:tplc="0409001B" w:tentative="1">
      <w:start w:val="1"/>
      <w:numFmt w:val="lowerRoman"/>
      <w:lvlText w:val="%6."/>
      <w:lvlJc w:val="right"/>
      <w:pPr>
        <w:ind w:left="-1285" w:hanging="180"/>
      </w:pPr>
    </w:lvl>
    <w:lvl w:ilvl="6" w:tplc="0409000F" w:tentative="1">
      <w:start w:val="1"/>
      <w:numFmt w:val="decimal"/>
      <w:lvlText w:val="%7."/>
      <w:lvlJc w:val="left"/>
      <w:pPr>
        <w:ind w:left="-565" w:hanging="360"/>
      </w:pPr>
    </w:lvl>
    <w:lvl w:ilvl="7" w:tplc="04090019" w:tentative="1">
      <w:start w:val="1"/>
      <w:numFmt w:val="lowerLetter"/>
      <w:lvlText w:val="%8."/>
      <w:lvlJc w:val="left"/>
      <w:pPr>
        <w:ind w:left="155" w:hanging="360"/>
      </w:pPr>
    </w:lvl>
    <w:lvl w:ilvl="8" w:tplc="0409001B" w:tentative="1">
      <w:start w:val="1"/>
      <w:numFmt w:val="lowerRoman"/>
      <w:lvlText w:val="%9."/>
      <w:lvlJc w:val="right"/>
      <w:pPr>
        <w:ind w:left="875" w:hanging="180"/>
      </w:pPr>
    </w:lvl>
  </w:abstractNum>
  <w:abstractNum w:abstractNumId="21" w15:restartNumberingAfterBreak="0">
    <w:nsid w:val="135016AF"/>
    <w:multiLevelType w:val="hybridMultilevel"/>
    <w:tmpl w:val="68306D98"/>
    <w:lvl w:ilvl="0" w:tplc="BBF64CA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2" w15:restartNumberingAfterBreak="0">
    <w:nsid w:val="15D118D8"/>
    <w:multiLevelType w:val="multilevel"/>
    <w:tmpl w:val="7E8E7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60452E2"/>
    <w:multiLevelType w:val="hybridMultilevel"/>
    <w:tmpl w:val="24B6DA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17473BE1"/>
    <w:multiLevelType w:val="hybridMultilevel"/>
    <w:tmpl w:val="A9489CCA"/>
    <w:lvl w:ilvl="0" w:tplc="D5A82DA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7E44B32"/>
    <w:multiLevelType w:val="hybridMultilevel"/>
    <w:tmpl w:val="1D0EE872"/>
    <w:lvl w:ilvl="0" w:tplc="08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93C3E31"/>
    <w:multiLevelType w:val="hybridMultilevel"/>
    <w:tmpl w:val="AA68E920"/>
    <w:lvl w:ilvl="0" w:tplc="13F2974C">
      <w:start w:val="2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1B0C4688"/>
    <w:multiLevelType w:val="hybridMultilevel"/>
    <w:tmpl w:val="018E04F4"/>
    <w:lvl w:ilvl="0" w:tplc="D5A82DA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8" w15:restartNumberingAfterBreak="0">
    <w:nsid w:val="1B9011B3"/>
    <w:multiLevelType w:val="hybridMultilevel"/>
    <w:tmpl w:val="4E16268C"/>
    <w:lvl w:ilvl="0" w:tplc="5B2405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C255CCD"/>
    <w:multiLevelType w:val="hybridMultilevel"/>
    <w:tmpl w:val="2CA2BF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1F1E06D5"/>
    <w:multiLevelType w:val="hybridMultilevel"/>
    <w:tmpl w:val="B82AA2C6"/>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21265B58"/>
    <w:multiLevelType w:val="hybridMultilevel"/>
    <w:tmpl w:val="9A3203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21FB4C1A"/>
    <w:multiLevelType w:val="hybridMultilevel"/>
    <w:tmpl w:val="6AF82172"/>
    <w:lvl w:ilvl="0" w:tplc="7D162FEA">
      <w:start w:val="1"/>
      <w:numFmt w:val="bullet"/>
      <w:lvlText w:val="•"/>
      <w:lvlJc w:val="left"/>
      <w:pPr>
        <w:tabs>
          <w:tab w:val="num" w:pos="720"/>
        </w:tabs>
        <w:ind w:left="720" w:hanging="360"/>
      </w:pPr>
      <w:rPr>
        <w:rFonts w:ascii="Arial" w:hAnsi="Arial" w:hint="default"/>
      </w:rPr>
    </w:lvl>
    <w:lvl w:ilvl="1" w:tplc="ADE49E74" w:tentative="1">
      <w:start w:val="1"/>
      <w:numFmt w:val="bullet"/>
      <w:lvlText w:val="•"/>
      <w:lvlJc w:val="left"/>
      <w:pPr>
        <w:tabs>
          <w:tab w:val="num" w:pos="1440"/>
        </w:tabs>
        <w:ind w:left="1440" w:hanging="360"/>
      </w:pPr>
      <w:rPr>
        <w:rFonts w:ascii="Arial" w:hAnsi="Arial" w:hint="default"/>
      </w:rPr>
    </w:lvl>
    <w:lvl w:ilvl="2" w:tplc="39E8D6CE" w:tentative="1">
      <w:start w:val="1"/>
      <w:numFmt w:val="bullet"/>
      <w:lvlText w:val="•"/>
      <w:lvlJc w:val="left"/>
      <w:pPr>
        <w:tabs>
          <w:tab w:val="num" w:pos="2160"/>
        </w:tabs>
        <w:ind w:left="2160" w:hanging="360"/>
      </w:pPr>
      <w:rPr>
        <w:rFonts w:ascii="Arial" w:hAnsi="Arial" w:hint="default"/>
      </w:rPr>
    </w:lvl>
    <w:lvl w:ilvl="3" w:tplc="2378265E" w:tentative="1">
      <w:start w:val="1"/>
      <w:numFmt w:val="bullet"/>
      <w:lvlText w:val="•"/>
      <w:lvlJc w:val="left"/>
      <w:pPr>
        <w:tabs>
          <w:tab w:val="num" w:pos="2880"/>
        </w:tabs>
        <w:ind w:left="2880" w:hanging="360"/>
      </w:pPr>
      <w:rPr>
        <w:rFonts w:ascii="Arial" w:hAnsi="Arial" w:hint="default"/>
      </w:rPr>
    </w:lvl>
    <w:lvl w:ilvl="4" w:tplc="26FE2CDC" w:tentative="1">
      <w:start w:val="1"/>
      <w:numFmt w:val="bullet"/>
      <w:lvlText w:val="•"/>
      <w:lvlJc w:val="left"/>
      <w:pPr>
        <w:tabs>
          <w:tab w:val="num" w:pos="3600"/>
        </w:tabs>
        <w:ind w:left="3600" w:hanging="360"/>
      </w:pPr>
      <w:rPr>
        <w:rFonts w:ascii="Arial" w:hAnsi="Arial" w:hint="default"/>
      </w:rPr>
    </w:lvl>
    <w:lvl w:ilvl="5" w:tplc="572E087C" w:tentative="1">
      <w:start w:val="1"/>
      <w:numFmt w:val="bullet"/>
      <w:lvlText w:val="•"/>
      <w:lvlJc w:val="left"/>
      <w:pPr>
        <w:tabs>
          <w:tab w:val="num" w:pos="4320"/>
        </w:tabs>
        <w:ind w:left="4320" w:hanging="360"/>
      </w:pPr>
      <w:rPr>
        <w:rFonts w:ascii="Arial" w:hAnsi="Arial" w:hint="default"/>
      </w:rPr>
    </w:lvl>
    <w:lvl w:ilvl="6" w:tplc="F648B430" w:tentative="1">
      <w:start w:val="1"/>
      <w:numFmt w:val="bullet"/>
      <w:lvlText w:val="•"/>
      <w:lvlJc w:val="left"/>
      <w:pPr>
        <w:tabs>
          <w:tab w:val="num" w:pos="5040"/>
        </w:tabs>
        <w:ind w:left="5040" w:hanging="360"/>
      </w:pPr>
      <w:rPr>
        <w:rFonts w:ascii="Arial" w:hAnsi="Arial" w:hint="default"/>
      </w:rPr>
    </w:lvl>
    <w:lvl w:ilvl="7" w:tplc="31584DF6" w:tentative="1">
      <w:start w:val="1"/>
      <w:numFmt w:val="bullet"/>
      <w:lvlText w:val="•"/>
      <w:lvlJc w:val="left"/>
      <w:pPr>
        <w:tabs>
          <w:tab w:val="num" w:pos="5760"/>
        </w:tabs>
        <w:ind w:left="5760" w:hanging="360"/>
      </w:pPr>
      <w:rPr>
        <w:rFonts w:ascii="Arial" w:hAnsi="Arial" w:hint="default"/>
      </w:rPr>
    </w:lvl>
    <w:lvl w:ilvl="8" w:tplc="247ABE4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22A972B7"/>
    <w:multiLevelType w:val="hybridMultilevel"/>
    <w:tmpl w:val="FFFFFFFF"/>
    <w:lvl w:ilvl="0" w:tplc="6FAA55AE">
      <w:start w:val="1"/>
      <w:numFmt w:val="bullet"/>
      <w:lvlText w:val="·"/>
      <w:lvlJc w:val="left"/>
      <w:pPr>
        <w:ind w:left="720" w:hanging="360"/>
      </w:pPr>
      <w:rPr>
        <w:rFonts w:ascii="Symbol" w:hAnsi="Symbol" w:hint="default"/>
      </w:rPr>
    </w:lvl>
    <w:lvl w:ilvl="1" w:tplc="64CA30FE">
      <w:start w:val="1"/>
      <w:numFmt w:val="bullet"/>
      <w:lvlText w:val="o"/>
      <w:lvlJc w:val="left"/>
      <w:pPr>
        <w:ind w:left="1440" w:hanging="360"/>
      </w:pPr>
      <w:rPr>
        <w:rFonts w:ascii="Courier New" w:hAnsi="Courier New" w:hint="default"/>
      </w:rPr>
    </w:lvl>
    <w:lvl w:ilvl="2" w:tplc="C7349F5A">
      <w:start w:val="1"/>
      <w:numFmt w:val="bullet"/>
      <w:lvlText w:val=""/>
      <w:lvlJc w:val="left"/>
      <w:pPr>
        <w:ind w:left="2160" w:hanging="360"/>
      </w:pPr>
      <w:rPr>
        <w:rFonts w:ascii="Wingdings" w:hAnsi="Wingdings" w:hint="default"/>
      </w:rPr>
    </w:lvl>
    <w:lvl w:ilvl="3" w:tplc="EE222718">
      <w:start w:val="1"/>
      <w:numFmt w:val="bullet"/>
      <w:lvlText w:val=""/>
      <w:lvlJc w:val="left"/>
      <w:pPr>
        <w:ind w:left="2880" w:hanging="360"/>
      </w:pPr>
      <w:rPr>
        <w:rFonts w:ascii="Symbol" w:hAnsi="Symbol" w:hint="default"/>
      </w:rPr>
    </w:lvl>
    <w:lvl w:ilvl="4" w:tplc="0E005EB0">
      <w:start w:val="1"/>
      <w:numFmt w:val="bullet"/>
      <w:lvlText w:val="o"/>
      <w:lvlJc w:val="left"/>
      <w:pPr>
        <w:ind w:left="3600" w:hanging="360"/>
      </w:pPr>
      <w:rPr>
        <w:rFonts w:ascii="Courier New" w:hAnsi="Courier New" w:hint="default"/>
      </w:rPr>
    </w:lvl>
    <w:lvl w:ilvl="5" w:tplc="04D49236">
      <w:start w:val="1"/>
      <w:numFmt w:val="bullet"/>
      <w:lvlText w:val=""/>
      <w:lvlJc w:val="left"/>
      <w:pPr>
        <w:ind w:left="4320" w:hanging="360"/>
      </w:pPr>
      <w:rPr>
        <w:rFonts w:ascii="Wingdings" w:hAnsi="Wingdings" w:hint="default"/>
      </w:rPr>
    </w:lvl>
    <w:lvl w:ilvl="6" w:tplc="C8DE844A">
      <w:start w:val="1"/>
      <w:numFmt w:val="bullet"/>
      <w:lvlText w:val=""/>
      <w:lvlJc w:val="left"/>
      <w:pPr>
        <w:ind w:left="5040" w:hanging="360"/>
      </w:pPr>
      <w:rPr>
        <w:rFonts w:ascii="Symbol" w:hAnsi="Symbol" w:hint="default"/>
      </w:rPr>
    </w:lvl>
    <w:lvl w:ilvl="7" w:tplc="ADCA96BC">
      <w:start w:val="1"/>
      <w:numFmt w:val="bullet"/>
      <w:lvlText w:val="o"/>
      <w:lvlJc w:val="left"/>
      <w:pPr>
        <w:ind w:left="5760" w:hanging="360"/>
      </w:pPr>
      <w:rPr>
        <w:rFonts w:ascii="Courier New" w:hAnsi="Courier New" w:hint="default"/>
      </w:rPr>
    </w:lvl>
    <w:lvl w:ilvl="8" w:tplc="582044D8">
      <w:start w:val="1"/>
      <w:numFmt w:val="bullet"/>
      <w:lvlText w:val=""/>
      <w:lvlJc w:val="left"/>
      <w:pPr>
        <w:ind w:left="6480" w:hanging="360"/>
      </w:pPr>
      <w:rPr>
        <w:rFonts w:ascii="Wingdings" w:hAnsi="Wingdings" w:hint="default"/>
      </w:rPr>
    </w:lvl>
  </w:abstractNum>
  <w:abstractNum w:abstractNumId="34" w15:restartNumberingAfterBreak="0">
    <w:nsid w:val="22FB385B"/>
    <w:multiLevelType w:val="hybridMultilevel"/>
    <w:tmpl w:val="705E3338"/>
    <w:lvl w:ilvl="0" w:tplc="D5A82DA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5" w15:restartNumberingAfterBreak="0">
    <w:nsid w:val="236460B4"/>
    <w:multiLevelType w:val="hybridMultilevel"/>
    <w:tmpl w:val="1BB67506"/>
    <w:lvl w:ilvl="0" w:tplc="08090001">
      <w:start w:val="22"/>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4784E5E"/>
    <w:multiLevelType w:val="hybridMultilevel"/>
    <w:tmpl w:val="FFFFFFFF"/>
    <w:lvl w:ilvl="0" w:tplc="854AE7B6">
      <w:start w:val="1"/>
      <w:numFmt w:val="lowerRoman"/>
      <w:lvlText w:val="%1."/>
      <w:lvlJc w:val="left"/>
      <w:pPr>
        <w:ind w:left="720" w:hanging="360"/>
      </w:pPr>
    </w:lvl>
    <w:lvl w:ilvl="1" w:tplc="E474E546">
      <w:start w:val="1"/>
      <w:numFmt w:val="lowerLetter"/>
      <w:lvlText w:val="%2."/>
      <w:lvlJc w:val="left"/>
      <w:pPr>
        <w:ind w:left="1440" w:hanging="360"/>
      </w:pPr>
    </w:lvl>
    <w:lvl w:ilvl="2" w:tplc="6F72E128">
      <w:start w:val="1"/>
      <w:numFmt w:val="lowerRoman"/>
      <w:lvlText w:val="%3."/>
      <w:lvlJc w:val="right"/>
      <w:pPr>
        <w:ind w:left="2160" w:hanging="180"/>
      </w:pPr>
    </w:lvl>
    <w:lvl w:ilvl="3" w:tplc="4D062D98">
      <w:start w:val="1"/>
      <w:numFmt w:val="decimal"/>
      <w:lvlText w:val="%4."/>
      <w:lvlJc w:val="left"/>
      <w:pPr>
        <w:ind w:left="2880" w:hanging="360"/>
      </w:pPr>
    </w:lvl>
    <w:lvl w:ilvl="4" w:tplc="7C8A5FE6">
      <w:start w:val="1"/>
      <w:numFmt w:val="lowerLetter"/>
      <w:lvlText w:val="%5."/>
      <w:lvlJc w:val="left"/>
      <w:pPr>
        <w:ind w:left="3600" w:hanging="360"/>
      </w:pPr>
    </w:lvl>
    <w:lvl w:ilvl="5" w:tplc="89667B0A">
      <w:start w:val="1"/>
      <w:numFmt w:val="lowerRoman"/>
      <w:lvlText w:val="%6."/>
      <w:lvlJc w:val="right"/>
      <w:pPr>
        <w:ind w:left="4320" w:hanging="180"/>
      </w:pPr>
    </w:lvl>
    <w:lvl w:ilvl="6" w:tplc="BEAC4D32">
      <w:start w:val="1"/>
      <w:numFmt w:val="decimal"/>
      <w:lvlText w:val="%7."/>
      <w:lvlJc w:val="left"/>
      <w:pPr>
        <w:ind w:left="5040" w:hanging="360"/>
      </w:pPr>
    </w:lvl>
    <w:lvl w:ilvl="7" w:tplc="CC0EB160">
      <w:start w:val="1"/>
      <w:numFmt w:val="lowerLetter"/>
      <w:lvlText w:val="%8."/>
      <w:lvlJc w:val="left"/>
      <w:pPr>
        <w:ind w:left="5760" w:hanging="360"/>
      </w:pPr>
    </w:lvl>
    <w:lvl w:ilvl="8" w:tplc="2062CF1E">
      <w:start w:val="1"/>
      <w:numFmt w:val="lowerRoman"/>
      <w:lvlText w:val="%9."/>
      <w:lvlJc w:val="right"/>
      <w:pPr>
        <w:ind w:left="6480" w:hanging="180"/>
      </w:pPr>
    </w:lvl>
  </w:abstractNum>
  <w:abstractNum w:abstractNumId="37" w15:restartNumberingAfterBreak="0">
    <w:nsid w:val="26281302"/>
    <w:multiLevelType w:val="hybridMultilevel"/>
    <w:tmpl w:val="CC6251D4"/>
    <w:lvl w:ilvl="0" w:tplc="9D64738A">
      <w:start w:val="1"/>
      <w:numFmt w:val="bullet"/>
      <w:lvlText w:val="·"/>
      <w:lvlJc w:val="left"/>
      <w:pPr>
        <w:ind w:left="720" w:hanging="360"/>
      </w:pPr>
      <w:rPr>
        <w:rFonts w:ascii="Symbol" w:hAnsi="Symbol" w:hint="default"/>
      </w:rPr>
    </w:lvl>
    <w:lvl w:ilvl="1" w:tplc="FAE6FA30">
      <w:start w:val="1"/>
      <w:numFmt w:val="bullet"/>
      <w:lvlText w:val="o"/>
      <w:lvlJc w:val="left"/>
      <w:pPr>
        <w:ind w:left="1440" w:hanging="360"/>
      </w:pPr>
      <w:rPr>
        <w:rFonts w:ascii="Courier New" w:hAnsi="Courier New" w:hint="default"/>
      </w:rPr>
    </w:lvl>
    <w:lvl w:ilvl="2" w:tplc="C9EC0A5E">
      <w:start w:val="1"/>
      <w:numFmt w:val="bullet"/>
      <w:lvlText w:val=""/>
      <w:lvlJc w:val="left"/>
      <w:pPr>
        <w:ind w:left="2160" w:hanging="360"/>
      </w:pPr>
      <w:rPr>
        <w:rFonts w:ascii="Wingdings" w:hAnsi="Wingdings" w:hint="default"/>
      </w:rPr>
    </w:lvl>
    <w:lvl w:ilvl="3" w:tplc="0FFCA194">
      <w:start w:val="1"/>
      <w:numFmt w:val="bullet"/>
      <w:lvlText w:val=""/>
      <w:lvlJc w:val="left"/>
      <w:pPr>
        <w:ind w:left="2880" w:hanging="360"/>
      </w:pPr>
      <w:rPr>
        <w:rFonts w:ascii="Symbol" w:hAnsi="Symbol" w:hint="default"/>
      </w:rPr>
    </w:lvl>
    <w:lvl w:ilvl="4" w:tplc="3CE0C73C">
      <w:start w:val="1"/>
      <w:numFmt w:val="bullet"/>
      <w:lvlText w:val="o"/>
      <w:lvlJc w:val="left"/>
      <w:pPr>
        <w:ind w:left="3600" w:hanging="360"/>
      </w:pPr>
      <w:rPr>
        <w:rFonts w:ascii="Courier New" w:hAnsi="Courier New" w:hint="default"/>
      </w:rPr>
    </w:lvl>
    <w:lvl w:ilvl="5" w:tplc="0732586A">
      <w:start w:val="1"/>
      <w:numFmt w:val="bullet"/>
      <w:lvlText w:val=""/>
      <w:lvlJc w:val="left"/>
      <w:pPr>
        <w:ind w:left="4320" w:hanging="360"/>
      </w:pPr>
      <w:rPr>
        <w:rFonts w:ascii="Wingdings" w:hAnsi="Wingdings" w:hint="default"/>
      </w:rPr>
    </w:lvl>
    <w:lvl w:ilvl="6" w:tplc="33BAF096">
      <w:start w:val="1"/>
      <w:numFmt w:val="bullet"/>
      <w:lvlText w:val=""/>
      <w:lvlJc w:val="left"/>
      <w:pPr>
        <w:ind w:left="5040" w:hanging="360"/>
      </w:pPr>
      <w:rPr>
        <w:rFonts w:ascii="Symbol" w:hAnsi="Symbol" w:hint="default"/>
      </w:rPr>
    </w:lvl>
    <w:lvl w:ilvl="7" w:tplc="4094CD20">
      <w:start w:val="1"/>
      <w:numFmt w:val="bullet"/>
      <w:lvlText w:val="o"/>
      <w:lvlJc w:val="left"/>
      <w:pPr>
        <w:ind w:left="5760" w:hanging="360"/>
      </w:pPr>
      <w:rPr>
        <w:rFonts w:ascii="Courier New" w:hAnsi="Courier New" w:hint="default"/>
      </w:rPr>
    </w:lvl>
    <w:lvl w:ilvl="8" w:tplc="FF945E8C">
      <w:start w:val="1"/>
      <w:numFmt w:val="bullet"/>
      <w:lvlText w:val=""/>
      <w:lvlJc w:val="left"/>
      <w:pPr>
        <w:ind w:left="6480" w:hanging="360"/>
      </w:pPr>
      <w:rPr>
        <w:rFonts w:ascii="Wingdings" w:hAnsi="Wingdings" w:hint="default"/>
      </w:rPr>
    </w:lvl>
  </w:abstractNum>
  <w:abstractNum w:abstractNumId="38" w15:restartNumberingAfterBreak="0">
    <w:nsid w:val="26FA6BE2"/>
    <w:multiLevelType w:val="multilevel"/>
    <w:tmpl w:val="15FA7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7203A13"/>
    <w:multiLevelType w:val="hybridMultilevel"/>
    <w:tmpl w:val="75FCB2E0"/>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27C85260"/>
    <w:multiLevelType w:val="hybridMultilevel"/>
    <w:tmpl w:val="D2B280FA"/>
    <w:lvl w:ilvl="0" w:tplc="5B2405D2">
      <w:start w:val="1"/>
      <w:numFmt w:val="bullet"/>
      <w:lvlText w:val="-"/>
      <w:lvlJc w:val="left"/>
      <w:pPr>
        <w:ind w:left="720" w:hanging="360"/>
      </w:pPr>
      <w:rPr>
        <w:rFonts w:ascii="Symbol" w:hAnsi="Symbol" w:hint="default"/>
      </w:rPr>
    </w:lvl>
    <w:lvl w:ilvl="1" w:tplc="BDC24A8C">
      <w:start w:val="1"/>
      <w:numFmt w:val="bullet"/>
      <w:lvlText w:val="o"/>
      <w:lvlJc w:val="left"/>
      <w:pPr>
        <w:ind w:left="1440" w:hanging="360"/>
      </w:pPr>
      <w:rPr>
        <w:rFonts w:ascii="Courier New" w:hAnsi="Courier New" w:hint="default"/>
      </w:rPr>
    </w:lvl>
    <w:lvl w:ilvl="2" w:tplc="5EF8D19E">
      <w:start w:val="1"/>
      <w:numFmt w:val="bullet"/>
      <w:lvlText w:val=""/>
      <w:lvlJc w:val="left"/>
      <w:pPr>
        <w:ind w:left="2160" w:hanging="360"/>
      </w:pPr>
      <w:rPr>
        <w:rFonts w:ascii="Wingdings" w:hAnsi="Wingdings" w:hint="default"/>
      </w:rPr>
    </w:lvl>
    <w:lvl w:ilvl="3" w:tplc="2390A6A8">
      <w:start w:val="1"/>
      <w:numFmt w:val="bullet"/>
      <w:lvlText w:val=""/>
      <w:lvlJc w:val="left"/>
      <w:pPr>
        <w:ind w:left="2880" w:hanging="360"/>
      </w:pPr>
      <w:rPr>
        <w:rFonts w:ascii="Symbol" w:hAnsi="Symbol" w:hint="default"/>
      </w:rPr>
    </w:lvl>
    <w:lvl w:ilvl="4" w:tplc="06E497AC">
      <w:start w:val="1"/>
      <w:numFmt w:val="bullet"/>
      <w:lvlText w:val="o"/>
      <w:lvlJc w:val="left"/>
      <w:pPr>
        <w:ind w:left="3600" w:hanging="360"/>
      </w:pPr>
      <w:rPr>
        <w:rFonts w:ascii="Courier New" w:hAnsi="Courier New" w:hint="default"/>
      </w:rPr>
    </w:lvl>
    <w:lvl w:ilvl="5" w:tplc="276A6476">
      <w:start w:val="1"/>
      <w:numFmt w:val="bullet"/>
      <w:lvlText w:val=""/>
      <w:lvlJc w:val="left"/>
      <w:pPr>
        <w:ind w:left="4320" w:hanging="360"/>
      </w:pPr>
      <w:rPr>
        <w:rFonts w:ascii="Wingdings" w:hAnsi="Wingdings" w:hint="default"/>
      </w:rPr>
    </w:lvl>
    <w:lvl w:ilvl="6" w:tplc="9B0E0572">
      <w:start w:val="1"/>
      <w:numFmt w:val="bullet"/>
      <w:lvlText w:val=""/>
      <w:lvlJc w:val="left"/>
      <w:pPr>
        <w:ind w:left="5040" w:hanging="360"/>
      </w:pPr>
      <w:rPr>
        <w:rFonts w:ascii="Symbol" w:hAnsi="Symbol" w:hint="default"/>
      </w:rPr>
    </w:lvl>
    <w:lvl w:ilvl="7" w:tplc="596881C4">
      <w:start w:val="1"/>
      <w:numFmt w:val="bullet"/>
      <w:lvlText w:val="o"/>
      <w:lvlJc w:val="left"/>
      <w:pPr>
        <w:ind w:left="5760" w:hanging="360"/>
      </w:pPr>
      <w:rPr>
        <w:rFonts w:ascii="Courier New" w:hAnsi="Courier New" w:hint="default"/>
      </w:rPr>
    </w:lvl>
    <w:lvl w:ilvl="8" w:tplc="CA98A442">
      <w:start w:val="1"/>
      <w:numFmt w:val="bullet"/>
      <w:lvlText w:val=""/>
      <w:lvlJc w:val="left"/>
      <w:pPr>
        <w:ind w:left="6480" w:hanging="360"/>
      </w:pPr>
      <w:rPr>
        <w:rFonts w:ascii="Wingdings" w:hAnsi="Wingdings" w:hint="default"/>
      </w:rPr>
    </w:lvl>
  </w:abstractNum>
  <w:abstractNum w:abstractNumId="41" w15:restartNumberingAfterBreak="0">
    <w:nsid w:val="29EC08C1"/>
    <w:multiLevelType w:val="hybridMultilevel"/>
    <w:tmpl w:val="084A7F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AED039F"/>
    <w:multiLevelType w:val="hybridMultilevel"/>
    <w:tmpl w:val="8AEE67A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2BFE7725"/>
    <w:multiLevelType w:val="hybridMultilevel"/>
    <w:tmpl w:val="36AE42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2C72587C"/>
    <w:multiLevelType w:val="hybridMultilevel"/>
    <w:tmpl w:val="8AECF33E"/>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D0E3561"/>
    <w:multiLevelType w:val="hybridMultilevel"/>
    <w:tmpl w:val="916202DE"/>
    <w:lvl w:ilvl="0" w:tplc="261676D0">
      <w:start w:val="1"/>
      <w:numFmt w:val="decimal"/>
      <w:pStyle w:val="normalWSIS"/>
      <w:lvlText w:val="%1."/>
      <w:lvlJc w:val="left"/>
      <w:pPr>
        <w:ind w:left="360" w:hanging="360"/>
      </w:pPr>
      <w:rPr>
        <w:rFonts w:asciiTheme="majorBidi" w:hAnsiTheme="majorBidi" w:cstheme="majorBidi" w:hint="default"/>
        <w:b w:val="0"/>
        <w:bCs w:val="0"/>
        <w:i w:val="0"/>
        <w:iCs w:val="0"/>
        <w:color w:val="auto"/>
        <w:sz w:val="22"/>
        <w:szCs w:val="22"/>
        <w:lang w:val="en-US"/>
      </w:rPr>
    </w:lvl>
    <w:lvl w:ilvl="1" w:tplc="04090019">
      <w:start w:val="1"/>
      <w:numFmt w:val="lowerLetter"/>
      <w:lvlText w:val="%2."/>
      <w:lvlJc w:val="left"/>
      <w:pPr>
        <w:ind w:left="-2247" w:hanging="360"/>
      </w:pPr>
    </w:lvl>
    <w:lvl w:ilvl="2" w:tplc="0409001B">
      <w:start w:val="1"/>
      <w:numFmt w:val="lowerRoman"/>
      <w:lvlText w:val="%3."/>
      <w:lvlJc w:val="right"/>
      <w:pPr>
        <w:ind w:left="-1527" w:hanging="180"/>
      </w:pPr>
    </w:lvl>
    <w:lvl w:ilvl="3" w:tplc="0409000F">
      <w:start w:val="1"/>
      <w:numFmt w:val="decimal"/>
      <w:lvlText w:val="%4."/>
      <w:lvlJc w:val="left"/>
      <w:pPr>
        <w:ind w:left="-807" w:hanging="360"/>
      </w:pPr>
    </w:lvl>
    <w:lvl w:ilvl="4" w:tplc="04090019">
      <w:start w:val="1"/>
      <w:numFmt w:val="lowerLetter"/>
      <w:lvlText w:val="%5."/>
      <w:lvlJc w:val="left"/>
      <w:pPr>
        <w:ind w:left="-87" w:hanging="360"/>
      </w:pPr>
    </w:lvl>
    <w:lvl w:ilvl="5" w:tplc="CF6AB378">
      <w:start w:val="10"/>
      <w:numFmt w:val="bullet"/>
      <w:lvlText w:val="–"/>
      <w:lvlJc w:val="left"/>
      <w:pPr>
        <w:ind w:left="888" w:hanging="435"/>
      </w:pPr>
      <w:rPr>
        <w:rFonts w:ascii="Times New Roman" w:eastAsia="Batang" w:hAnsi="Times New Roman" w:cs="Times New Roman" w:hint="default"/>
        <w:color w:val="92D050"/>
      </w:rPr>
    </w:lvl>
    <w:lvl w:ilvl="6" w:tplc="0409000F">
      <w:start w:val="1"/>
      <w:numFmt w:val="decimal"/>
      <w:lvlText w:val="%7."/>
      <w:lvlJc w:val="left"/>
      <w:pPr>
        <w:ind w:left="1353" w:hanging="360"/>
      </w:pPr>
    </w:lvl>
    <w:lvl w:ilvl="7" w:tplc="04090019" w:tentative="1">
      <w:start w:val="1"/>
      <w:numFmt w:val="lowerLetter"/>
      <w:lvlText w:val="%8."/>
      <w:lvlJc w:val="left"/>
      <w:pPr>
        <w:ind w:left="2073" w:hanging="360"/>
      </w:pPr>
    </w:lvl>
    <w:lvl w:ilvl="8" w:tplc="0409001B" w:tentative="1">
      <w:start w:val="1"/>
      <w:numFmt w:val="lowerRoman"/>
      <w:lvlText w:val="%9."/>
      <w:lvlJc w:val="right"/>
      <w:pPr>
        <w:ind w:left="2793" w:hanging="180"/>
      </w:pPr>
    </w:lvl>
  </w:abstractNum>
  <w:abstractNum w:abstractNumId="46" w15:restartNumberingAfterBreak="0">
    <w:nsid w:val="2F90644E"/>
    <w:multiLevelType w:val="hybridMultilevel"/>
    <w:tmpl w:val="101EC28C"/>
    <w:lvl w:ilvl="0" w:tplc="08090001">
      <w:start w:val="1"/>
      <w:numFmt w:val="bullet"/>
      <w:lvlText w:val=""/>
      <w:lvlJc w:val="left"/>
      <w:pPr>
        <w:ind w:left="785" w:hanging="360"/>
      </w:pPr>
      <w:rPr>
        <w:rFonts w:ascii="Symbol" w:hAnsi="Symbol" w:hint="default"/>
      </w:rPr>
    </w:lvl>
    <w:lvl w:ilvl="1" w:tplc="04090003">
      <w:start w:val="1"/>
      <w:numFmt w:val="bullet"/>
      <w:lvlText w:val="o"/>
      <w:lvlJc w:val="left"/>
      <w:pPr>
        <w:ind w:left="1092" w:hanging="360"/>
      </w:pPr>
      <w:rPr>
        <w:rFonts w:ascii="Courier New" w:hAnsi="Courier New" w:cs="Courier New" w:hint="default"/>
      </w:rPr>
    </w:lvl>
    <w:lvl w:ilvl="2" w:tplc="04090005">
      <w:start w:val="1"/>
      <w:numFmt w:val="bullet"/>
      <w:lvlText w:val=""/>
      <w:lvlJc w:val="left"/>
      <w:pPr>
        <w:ind w:left="1812" w:hanging="360"/>
      </w:pPr>
      <w:rPr>
        <w:rFonts w:ascii="Wingdings" w:hAnsi="Wingdings" w:hint="default"/>
      </w:rPr>
    </w:lvl>
    <w:lvl w:ilvl="3" w:tplc="04090001">
      <w:start w:val="1"/>
      <w:numFmt w:val="bullet"/>
      <w:lvlText w:val=""/>
      <w:lvlJc w:val="left"/>
      <w:pPr>
        <w:ind w:left="2532" w:hanging="360"/>
      </w:pPr>
      <w:rPr>
        <w:rFonts w:ascii="Symbol" w:hAnsi="Symbol" w:hint="default"/>
      </w:rPr>
    </w:lvl>
    <w:lvl w:ilvl="4" w:tplc="3816FF02">
      <w:numFmt w:val="bullet"/>
      <w:lvlText w:val="·"/>
      <w:lvlJc w:val="left"/>
      <w:pPr>
        <w:ind w:left="3252" w:hanging="360"/>
      </w:pPr>
      <w:rPr>
        <w:rFonts w:ascii="Times New Roman" w:eastAsia="Times New Roman" w:hAnsi="Times New Roman" w:cs="Times New Roman" w:hint="default"/>
      </w:rPr>
    </w:lvl>
    <w:lvl w:ilvl="5" w:tplc="04090005" w:tentative="1">
      <w:start w:val="1"/>
      <w:numFmt w:val="bullet"/>
      <w:lvlText w:val=""/>
      <w:lvlJc w:val="left"/>
      <w:pPr>
        <w:ind w:left="3972" w:hanging="360"/>
      </w:pPr>
      <w:rPr>
        <w:rFonts w:ascii="Wingdings" w:hAnsi="Wingdings" w:hint="default"/>
      </w:rPr>
    </w:lvl>
    <w:lvl w:ilvl="6" w:tplc="04090001" w:tentative="1">
      <w:start w:val="1"/>
      <w:numFmt w:val="bullet"/>
      <w:lvlText w:val=""/>
      <w:lvlJc w:val="left"/>
      <w:pPr>
        <w:ind w:left="4692" w:hanging="360"/>
      </w:pPr>
      <w:rPr>
        <w:rFonts w:ascii="Symbol" w:hAnsi="Symbol" w:hint="default"/>
      </w:rPr>
    </w:lvl>
    <w:lvl w:ilvl="7" w:tplc="04090003" w:tentative="1">
      <w:start w:val="1"/>
      <w:numFmt w:val="bullet"/>
      <w:lvlText w:val="o"/>
      <w:lvlJc w:val="left"/>
      <w:pPr>
        <w:ind w:left="5412" w:hanging="360"/>
      </w:pPr>
      <w:rPr>
        <w:rFonts w:ascii="Courier New" w:hAnsi="Courier New" w:cs="Courier New" w:hint="default"/>
      </w:rPr>
    </w:lvl>
    <w:lvl w:ilvl="8" w:tplc="04090005" w:tentative="1">
      <w:start w:val="1"/>
      <w:numFmt w:val="bullet"/>
      <w:lvlText w:val=""/>
      <w:lvlJc w:val="left"/>
      <w:pPr>
        <w:ind w:left="6132" w:hanging="360"/>
      </w:pPr>
      <w:rPr>
        <w:rFonts w:ascii="Wingdings" w:hAnsi="Wingdings" w:hint="default"/>
      </w:rPr>
    </w:lvl>
  </w:abstractNum>
  <w:abstractNum w:abstractNumId="47" w15:restartNumberingAfterBreak="0">
    <w:nsid w:val="30310B8F"/>
    <w:multiLevelType w:val="hybridMultilevel"/>
    <w:tmpl w:val="52AE4476"/>
    <w:lvl w:ilvl="0" w:tplc="B6AA4752">
      <w:start w:val="1"/>
      <w:numFmt w:val="bullet"/>
      <w:lvlText w:val="•"/>
      <w:lvlJc w:val="left"/>
      <w:pPr>
        <w:tabs>
          <w:tab w:val="num" w:pos="720"/>
        </w:tabs>
        <w:ind w:left="720" w:hanging="360"/>
      </w:pPr>
      <w:rPr>
        <w:rFonts w:ascii="Arial" w:hAnsi="Arial" w:hint="default"/>
      </w:rPr>
    </w:lvl>
    <w:lvl w:ilvl="1" w:tplc="67742D24">
      <w:start w:val="1"/>
      <w:numFmt w:val="bullet"/>
      <w:lvlText w:val="•"/>
      <w:lvlJc w:val="left"/>
      <w:pPr>
        <w:tabs>
          <w:tab w:val="num" w:pos="1440"/>
        </w:tabs>
        <w:ind w:left="1440" w:hanging="360"/>
      </w:pPr>
      <w:rPr>
        <w:rFonts w:ascii="Arial" w:hAnsi="Arial" w:hint="default"/>
      </w:rPr>
    </w:lvl>
    <w:lvl w:ilvl="2" w:tplc="021AE1F4" w:tentative="1">
      <w:start w:val="1"/>
      <w:numFmt w:val="bullet"/>
      <w:lvlText w:val="•"/>
      <w:lvlJc w:val="left"/>
      <w:pPr>
        <w:tabs>
          <w:tab w:val="num" w:pos="2160"/>
        </w:tabs>
        <w:ind w:left="2160" w:hanging="360"/>
      </w:pPr>
      <w:rPr>
        <w:rFonts w:ascii="Arial" w:hAnsi="Arial" w:hint="default"/>
      </w:rPr>
    </w:lvl>
    <w:lvl w:ilvl="3" w:tplc="D8E66DE4" w:tentative="1">
      <w:start w:val="1"/>
      <w:numFmt w:val="bullet"/>
      <w:lvlText w:val="•"/>
      <w:lvlJc w:val="left"/>
      <w:pPr>
        <w:tabs>
          <w:tab w:val="num" w:pos="2880"/>
        </w:tabs>
        <w:ind w:left="2880" w:hanging="360"/>
      </w:pPr>
      <w:rPr>
        <w:rFonts w:ascii="Arial" w:hAnsi="Arial" w:hint="default"/>
      </w:rPr>
    </w:lvl>
    <w:lvl w:ilvl="4" w:tplc="419A2FC8" w:tentative="1">
      <w:start w:val="1"/>
      <w:numFmt w:val="bullet"/>
      <w:lvlText w:val="•"/>
      <w:lvlJc w:val="left"/>
      <w:pPr>
        <w:tabs>
          <w:tab w:val="num" w:pos="3600"/>
        </w:tabs>
        <w:ind w:left="3600" w:hanging="360"/>
      </w:pPr>
      <w:rPr>
        <w:rFonts w:ascii="Arial" w:hAnsi="Arial" w:hint="default"/>
      </w:rPr>
    </w:lvl>
    <w:lvl w:ilvl="5" w:tplc="771E3E54" w:tentative="1">
      <w:start w:val="1"/>
      <w:numFmt w:val="bullet"/>
      <w:lvlText w:val="•"/>
      <w:lvlJc w:val="left"/>
      <w:pPr>
        <w:tabs>
          <w:tab w:val="num" w:pos="4320"/>
        </w:tabs>
        <w:ind w:left="4320" w:hanging="360"/>
      </w:pPr>
      <w:rPr>
        <w:rFonts w:ascii="Arial" w:hAnsi="Arial" w:hint="default"/>
      </w:rPr>
    </w:lvl>
    <w:lvl w:ilvl="6" w:tplc="A36036EE" w:tentative="1">
      <w:start w:val="1"/>
      <w:numFmt w:val="bullet"/>
      <w:lvlText w:val="•"/>
      <w:lvlJc w:val="left"/>
      <w:pPr>
        <w:tabs>
          <w:tab w:val="num" w:pos="5040"/>
        </w:tabs>
        <w:ind w:left="5040" w:hanging="360"/>
      </w:pPr>
      <w:rPr>
        <w:rFonts w:ascii="Arial" w:hAnsi="Arial" w:hint="default"/>
      </w:rPr>
    </w:lvl>
    <w:lvl w:ilvl="7" w:tplc="D95416F8" w:tentative="1">
      <w:start w:val="1"/>
      <w:numFmt w:val="bullet"/>
      <w:lvlText w:val="•"/>
      <w:lvlJc w:val="left"/>
      <w:pPr>
        <w:tabs>
          <w:tab w:val="num" w:pos="5760"/>
        </w:tabs>
        <w:ind w:left="5760" w:hanging="360"/>
      </w:pPr>
      <w:rPr>
        <w:rFonts w:ascii="Arial" w:hAnsi="Arial" w:hint="default"/>
      </w:rPr>
    </w:lvl>
    <w:lvl w:ilvl="8" w:tplc="8CF06A00"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30BA1836"/>
    <w:multiLevelType w:val="hybridMultilevel"/>
    <w:tmpl w:val="130617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0C41DE6"/>
    <w:multiLevelType w:val="hybridMultilevel"/>
    <w:tmpl w:val="788ADC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3165296E"/>
    <w:multiLevelType w:val="multilevel"/>
    <w:tmpl w:val="1B26E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1733C66"/>
    <w:multiLevelType w:val="hybridMultilevel"/>
    <w:tmpl w:val="933CF7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1CE6447"/>
    <w:multiLevelType w:val="hybridMultilevel"/>
    <w:tmpl w:val="73C819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330B7364"/>
    <w:multiLevelType w:val="hybridMultilevel"/>
    <w:tmpl w:val="1E2CFD8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336B4BF5"/>
    <w:multiLevelType w:val="hybridMultilevel"/>
    <w:tmpl w:val="544664C2"/>
    <w:lvl w:ilvl="0" w:tplc="D5A82DA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55" w15:restartNumberingAfterBreak="0">
    <w:nsid w:val="37FC0F83"/>
    <w:multiLevelType w:val="multilevel"/>
    <w:tmpl w:val="6EB2041C"/>
    <w:lvl w:ilvl="0">
      <w:numFmt w:val="bullet"/>
      <w:lvlText w:val="-"/>
      <w:lvlJc w:val="left"/>
      <w:pPr>
        <w:tabs>
          <w:tab w:val="num" w:pos="720"/>
        </w:tabs>
        <w:ind w:left="720" w:hanging="360"/>
      </w:pPr>
      <w:rPr>
        <w:rFonts w:ascii="Calibri" w:eastAsia="Calibri" w:hAnsi="Calibri"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8973147"/>
    <w:multiLevelType w:val="hybridMultilevel"/>
    <w:tmpl w:val="7FE6F7C2"/>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396F1C98"/>
    <w:multiLevelType w:val="hybridMultilevel"/>
    <w:tmpl w:val="FD043E64"/>
    <w:lvl w:ilvl="0" w:tplc="2A5EC096">
      <w:start w:val="1"/>
      <w:numFmt w:val="bullet"/>
      <w:lvlText w:val=""/>
      <w:lvlJc w:val="left"/>
      <w:pPr>
        <w:ind w:left="720" w:hanging="360"/>
      </w:pPr>
      <w:rPr>
        <w:rFonts w:ascii="Symbol" w:hAnsi="Symbol" w:hint="default"/>
        <w:color w:val="auto"/>
      </w:rPr>
    </w:lvl>
    <w:lvl w:ilvl="1" w:tplc="ED601D18">
      <w:start w:val="1"/>
      <w:numFmt w:val="bullet"/>
      <w:lvlText w:val="o"/>
      <w:lvlJc w:val="left"/>
      <w:pPr>
        <w:ind w:left="1440" w:hanging="360"/>
      </w:pPr>
      <w:rPr>
        <w:rFonts w:ascii="Courier New" w:hAnsi="Courier New" w:hint="default"/>
        <w:color w:val="auto"/>
      </w:rPr>
    </w:lvl>
    <w:lvl w:ilvl="2" w:tplc="3A8A37C8">
      <w:start w:val="1"/>
      <w:numFmt w:val="bullet"/>
      <w:lvlText w:val=""/>
      <w:lvlJc w:val="left"/>
      <w:pPr>
        <w:ind w:left="2160" w:hanging="360"/>
      </w:pPr>
      <w:rPr>
        <w:rFonts w:ascii="Wingdings" w:hAnsi="Wingdings" w:hint="default"/>
      </w:rPr>
    </w:lvl>
    <w:lvl w:ilvl="3" w:tplc="43BABD72">
      <w:start w:val="1"/>
      <w:numFmt w:val="bullet"/>
      <w:lvlText w:val=""/>
      <w:lvlJc w:val="left"/>
      <w:pPr>
        <w:ind w:left="2880" w:hanging="360"/>
      </w:pPr>
      <w:rPr>
        <w:rFonts w:ascii="Symbol" w:hAnsi="Symbol" w:hint="default"/>
      </w:rPr>
    </w:lvl>
    <w:lvl w:ilvl="4" w:tplc="34C02AD2">
      <w:start w:val="1"/>
      <w:numFmt w:val="bullet"/>
      <w:lvlText w:val="o"/>
      <w:lvlJc w:val="left"/>
      <w:pPr>
        <w:ind w:left="3600" w:hanging="360"/>
      </w:pPr>
      <w:rPr>
        <w:rFonts w:ascii="Courier New" w:hAnsi="Courier New" w:hint="default"/>
      </w:rPr>
    </w:lvl>
    <w:lvl w:ilvl="5" w:tplc="2D380434">
      <w:start w:val="1"/>
      <w:numFmt w:val="bullet"/>
      <w:lvlText w:val=""/>
      <w:lvlJc w:val="left"/>
      <w:pPr>
        <w:ind w:left="4320" w:hanging="360"/>
      </w:pPr>
      <w:rPr>
        <w:rFonts w:ascii="Wingdings" w:hAnsi="Wingdings" w:hint="default"/>
      </w:rPr>
    </w:lvl>
    <w:lvl w:ilvl="6" w:tplc="92A08BA4">
      <w:start w:val="1"/>
      <w:numFmt w:val="bullet"/>
      <w:lvlText w:val=""/>
      <w:lvlJc w:val="left"/>
      <w:pPr>
        <w:ind w:left="5040" w:hanging="360"/>
      </w:pPr>
      <w:rPr>
        <w:rFonts w:ascii="Symbol" w:hAnsi="Symbol" w:hint="default"/>
      </w:rPr>
    </w:lvl>
    <w:lvl w:ilvl="7" w:tplc="7542F940">
      <w:start w:val="1"/>
      <w:numFmt w:val="bullet"/>
      <w:lvlText w:val="o"/>
      <w:lvlJc w:val="left"/>
      <w:pPr>
        <w:ind w:left="5760" w:hanging="360"/>
      </w:pPr>
      <w:rPr>
        <w:rFonts w:ascii="Courier New" w:hAnsi="Courier New" w:hint="default"/>
      </w:rPr>
    </w:lvl>
    <w:lvl w:ilvl="8" w:tplc="CF824748">
      <w:start w:val="1"/>
      <w:numFmt w:val="bullet"/>
      <w:lvlText w:val=""/>
      <w:lvlJc w:val="left"/>
      <w:pPr>
        <w:ind w:left="6480" w:hanging="360"/>
      </w:pPr>
      <w:rPr>
        <w:rFonts w:ascii="Wingdings" w:hAnsi="Wingdings" w:hint="default"/>
      </w:rPr>
    </w:lvl>
  </w:abstractNum>
  <w:abstractNum w:abstractNumId="58" w15:restartNumberingAfterBreak="0">
    <w:nsid w:val="39EC40B7"/>
    <w:multiLevelType w:val="hybridMultilevel"/>
    <w:tmpl w:val="F08007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3A7B474B"/>
    <w:multiLevelType w:val="hybridMultilevel"/>
    <w:tmpl w:val="B6661B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0" w15:restartNumberingAfterBreak="0">
    <w:nsid w:val="3AC55CAA"/>
    <w:multiLevelType w:val="hybridMultilevel"/>
    <w:tmpl w:val="AC8C128A"/>
    <w:lvl w:ilvl="0" w:tplc="7706B1AE">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3D552EE5"/>
    <w:multiLevelType w:val="hybridMultilevel"/>
    <w:tmpl w:val="72244C0E"/>
    <w:lvl w:ilvl="0" w:tplc="15860340">
      <w:start w:val="1"/>
      <w:numFmt w:val="bullet"/>
      <w:lvlText w:val="•"/>
      <w:lvlJc w:val="left"/>
      <w:pPr>
        <w:tabs>
          <w:tab w:val="num" w:pos="720"/>
        </w:tabs>
        <w:ind w:left="720" w:hanging="360"/>
      </w:pPr>
      <w:rPr>
        <w:rFonts w:ascii="Arial" w:hAnsi="Arial" w:hint="default"/>
      </w:rPr>
    </w:lvl>
    <w:lvl w:ilvl="1" w:tplc="2AA4467E" w:tentative="1">
      <w:start w:val="1"/>
      <w:numFmt w:val="bullet"/>
      <w:lvlText w:val="•"/>
      <w:lvlJc w:val="left"/>
      <w:pPr>
        <w:tabs>
          <w:tab w:val="num" w:pos="1440"/>
        </w:tabs>
        <w:ind w:left="1440" w:hanging="360"/>
      </w:pPr>
      <w:rPr>
        <w:rFonts w:ascii="Arial" w:hAnsi="Arial" w:hint="default"/>
      </w:rPr>
    </w:lvl>
    <w:lvl w:ilvl="2" w:tplc="E68650E8" w:tentative="1">
      <w:start w:val="1"/>
      <w:numFmt w:val="bullet"/>
      <w:lvlText w:val="•"/>
      <w:lvlJc w:val="left"/>
      <w:pPr>
        <w:tabs>
          <w:tab w:val="num" w:pos="2160"/>
        </w:tabs>
        <w:ind w:left="2160" w:hanging="360"/>
      </w:pPr>
      <w:rPr>
        <w:rFonts w:ascii="Arial" w:hAnsi="Arial" w:hint="default"/>
      </w:rPr>
    </w:lvl>
    <w:lvl w:ilvl="3" w:tplc="2BC0F2C0" w:tentative="1">
      <w:start w:val="1"/>
      <w:numFmt w:val="bullet"/>
      <w:lvlText w:val="•"/>
      <w:lvlJc w:val="left"/>
      <w:pPr>
        <w:tabs>
          <w:tab w:val="num" w:pos="2880"/>
        </w:tabs>
        <w:ind w:left="2880" w:hanging="360"/>
      </w:pPr>
      <w:rPr>
        <w:rFonts w:ascii="Arial" w:hAnsi="Arial" w:hint="default"/>
      </w:rPr>
    </w:lvl>
    <w:lvl w:ilvl="4" w:tplc="51FA70C6" w:tentative="1">
      <w:start w:val="1"/>
      <w:numFmt w:val="bullet"/>
      <w:lvlText w:val="•"/>
      <w:lvlJc w:val="left"/>
      <w:pPr>
        <w:tabs>
          <w:tab w:val="num" w:pos="3600"/>
        </w:tabs>
        <w:ind w:left="3600" w:hanging="360"/>
      </w:pPr>
      <w:rPr>
        <w:rFonts w:ascii="Arial" w:hAnsi="Arial" w:hint="default"/>
      </w:rPr>
    </w:lvl>
    <w:lvl w:ilvl="5" w:tplc="E908824A" w:tentative="1">
      <w:start w:val="1"/>
      <w:numFmt w:val="bullet"/>
      <w:lvlText w:val="•"/>
      <w:lvlJc w:val="left"/>
      <w:pPr>
        <w:tabs>
          <w:tab w:val="num" w:pos="4320"/>
        </w:tabs>
        <w:ind w:left="4320" w:hanging="360"/>
      </w:pPr>
      <w:rPr>
        <w:rFonts w:ascii="Arial" w:hAnsi="Arial" w:hint="default"/>
      </w:rPr>
    </w:lvl>
    <w:lvl w:ilvl="6" w:tplc="BBC62DF4" w:tentative="1">
      <w:start w:val="1"/>
      <w:numFmt w:val="bullet"/>
      <w:lvlText w:val="•"/>
      <w:lvlJc w:val="left"/>
      <w:pPr>
        <w:tabs>
          <w:tab w:val="num" w:pos="5040"/>
        </w:tabs>
        <w:ind w:left="5040" w:hanging="360"/>
      </w:pPr>
      <w:rPr>
        <w:rFonts w:ascii="Arial" w:hAnsi="Arial" w:hint="default"/>
      </w:rPr>
    </w:lvl>
    <w:lvl w:ilvl="7" w:tplc="6A522DC2" w:tentative="1">
      <w:start w:val="1"/>
      <w:numFmt w:val="bullet"/>
      <w:lvlText w:val="•"/>
      <w:lvlJc w:val="left"/>
      <w:pPr>
        <w:tabs>
          <w:tab w:val="num" w:pos="5760"/>
        </w:tabs>
        <w:ind w:left="5760" w:hanging="360"/>
      </w:pPr>
      <w:rPr>
        <w:rFonts w:ascii="Arial" w:hAnsi="Arial" w:hint="default"/>
      </w:rPr>
    </w:lvl>
    <w:lvl w:ilvl="8" w:tplc="F02ED184" w:tentative="1">
      <w:start w:val="1"/>
      <w:numFmt w:val="bullet"/>
      <w:lvlText w:val="•"/>
      <w:lvlJc w:val="left"/>
      <w:pPr>
        <w:tabs>
          <w:tab w:val="num" w:pos="6480"/>
        </w:tabs>
        <w:ind w:left="6480" w:hanging="360"/>
      </w:pPr>
      <w:rPr>
        <w:rFonts w:ascii="Arial" w:hAnsi="Arial" w:hint="default"/>
      </w:rPr>
    </w:lvl>
  </w:abstractNum>
  <w:abstractNum w:abstractNumId="62" w15:restartNumberingAfterBreak="0">
    <w:nsid w:val="3DD13A92"/>
    <w:multiLevelType w:val="hybridMultilevel"/>
    <w:tmpl w:val="6F987F4A"/>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3" w15:restartNumberingAfterBreak="0">
    <w:nsid w:val="3E225AA9"/>
    <w:multiLevelType w:val="hybridMultilevel"/>
    <w:tmpl w:val="A0D4513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4" w15:restartNumberingAfterBreak="0">
    <w:nsid w:val="3EE649ED"/>
    <w:multiLevelType w:val="hybridMultilevel"/>
    <w:tmpl w:val="95D82E82"/>
    <w:lvl w:ilvl="0" w:tplc="AD58B28A">
      <w:start w:val="1"/>
      <w:numFmt w:val="bullet"/>
      <w:lvlText w:val="·"/>
      <w:lvlJc w:val="left"/>
      <w:pPr>
        <w:ind w:left="720" w:hanging="360"/>
      </w:pPr>
      <w:rPr>
        <w:rFonts w:ascii="Symbol" w:hAnsi="Symbol" w:hint="default"/>
      </w:rPr>
    </w:lvl>
    <w:lvl w:ilvl="1" w:tplc="0C7402A4">
      <w:start w:val="1"/>
      <w:numFmt w:val="bullet"/>
      <w:lvlText w:val="o"/>
      <w:lvlJc w:val="left"/>
      <w:pPr>
        <w:ind w:left="1440" w:hanging="360"/>
      </w:pPr>
      <w:rPr>
        <w:rFonts w:ascii="Courier New" w:hAnsi="Courier New" w:hint="default"/>
      </w:rPr>
    </w:lvl>
    <w:lvl w:ilvl="2" w:tplc="C58AE810">
      <w:start w:val="1"/>
      <w:numFmt w:val="bullet"/>
      <w:lvlText w:val=""/>
      <w:lvlJc w:val="left"/>
      <w:pPr>
        <w:ind w:left="2160" w:hanging="360"/>
      </w:pPr>
      <w:rPr>
        <w:rFonts w:ascii="Wingdings" w:hAnsi="Wingdings" w:hint="default"/>
      </w:rPr>
    </w:lvl>
    <w:lvl w:ilvl="3" w:tplc="4E7C5750">
      <w:start w:val="1"/>
      <w:numFmt w:val="bullet"/>
      <w:lvlText w:val=""/>
      <w:lvlJc w:val="left"/>
      <w:pPr>
        <w:ind w:left="2880" w:hanging="360"/>
      </w:pPr>
      <w:rPr>
        <w:rFonts w:ascii="Symbol" w:hAnsi="Symbol" w:hint="default"/>
      </w:rPr>
    </w:lvl>
    <w:lvl w:ilvl="4" w:tplc="2B98AA8E">
      <w:start w:val="1"/>
      <w:numFmt w:val="bullet"/>
      <w:lvlText w:val="o"/>
      <w:lvlJc w:val="left"/>
      <w:pPr>
        <w:ind w:left="3600" w:hanging="360"/>
      </w:pPr>
      <w:rPr>
        <w:rFonts w:ascii="Courier New" w:hAnsi="Courier New" w:hint="default"/>
      </w:rPr>
    </w:lvl>
    <w:lvl w:ilvl="5" w:tplc="786C62D6">
      <w:start w:val="1"/>
      <w:numFmt w:val="bullet"/>
      <w:lvlText w:val=""/>
      <w:lvlJc w:val="left"/>
      <w:pPr>
        <w:ind w:left="4320" w:hanging="360"/>
      </w:pPr>
      <w:rPr>
        <w:rFonts w:ascii="Wingdings" w:hAnsi="Wingdings" w:hint="default"/>
      </w:rPr>
    </w:lvl>
    <w:lvl w:ilvl="6" w:tplc="0A3E2838">
      <w:start w:val="1"/>
      <w:numFmt w:val="bullet"/>
      <w:lvlText w:val=""/>
      <w:lvlJc w:val="left"/>
      <w:pPr>
        <w:ind w:left="5040" w:hanging="360"/>
      </w:pPr>
      <w:rPr>
        <w:rFonts w:ascii="Symbol" w:hAnsi="Symbol" w:hint="default"/>
      </w:rPr>
    </w:lvl>
    <w:lvl w:ilvl="7" w:tplc="480C86D8">
      <w:start w:val="1"/>
      <w:numFmt w:val="bullet"/>
      <w:lvlText w:val="o"/>
      <w:lvlJc w:val="left"/>
      <w:pPr>
        <w:ind w:left="5760" w:hanging="360"/>
      </w:pPr>
      <w:rPr>
        <w:rFonts w:ascii="Courier New" w:hAnsi="Courier New" w:hint="default"/>
      </w:rPr>
    </w:lvl>
    <w:lvl w:ilvl="8" w:tplc="9E2EB33E">
      <w:start w:val="1"/>
      <w:numFmt w:val="bullet"/>
      <w:lvlText w:val=""/>
      <w:lvlJc w:val="left"/>
      <w:pPr>
        <w:ind w:left="6480" w:hanging="360"/>
      </w:pPr>
      <w:rPr>
        <w:rFonts w:ascii="Wingdings" w:hAnsi="Wingdings" w:hint="default"/>
      </w:rPr>
    </w:lvl>
  </w:abstractNum>
  <w:abstractNum w:abstractNumId="65" w15:restartNumberingAfterBreak="0">
    <w:nsid w:val="42B029F4"/>
    <w:multiLevelType w:val="hybridMultilevel"/>
    <w:tmpl w:val="42BCB9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441237DC"/>
    <w:multiLevelType w:val="hybridMultilevel"/>
    <w:tmpl w:val="7152D4F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459B0BD2"/>
    <w:multiLevelType w:val="hybridMultilevel"/>
    <w:tmpl w:val="6D3E3B06"/>
    <w:lvl w:ilvl="0" w:tplc="E6B8C454">
      <w:start w:val="1"/>
      <w:numFmt w:val="bullet"/>
      <w:lvlText w:val=""/>
      <w:lvlJc w:val="left"/>
      <w:pPr>
        <w:ind w:left="720" w:hanging="360"/>
      </w:pPr>
      <w:rPr>
        <w:rFonts w:ascii="Symbol" w:hAnsi="Symbol" w:hint="default"/>
      </w:rPr>
    </w:lvl>
    <w:lvl w:ilvl="1" w:tplc="5ED22784">
      <w:start w:val="1"/>
      <w:numFmt w:val="bullet"/>
      <w:lvlText w:val="o"/>
      <w:lvlJc w:val="left"/>
      <w:pPr>
        <w:ind w:left="1440" w:hanging="360"/>
      </w:pPr>
      <w:rPr>
        <w:rFonts w:ascii="Courier New" w:hAnsi="Courier New" w:hint="default"/>
      </w:rPr>
    </w:lvl>
    <w:lvl w:ilvl="2" w:tplc="4AEA59E6">
      <w:start w:val="1"/>
      <w:numFmt w:val="bullet"/>
      <w:lvlText w:val=""/>
      <w:lvlJc w:val="left"/>
      <w:pPr>
        <w:ind w:left="2160" w:hanging="360"/>
      </w:pPr>
      <w:rPr>
        <w:rFonts w:ascii="Wingdings" w:hAnsi="Wingdings" w:hint="default"/>
      </w:rPr>
    </w:lvl>
    <w:lvl w:ilvl="3" w:tplc="2CF8A4B4">
      <w:start w:val="1"/>
      <w:numFmt w:val="bullet"/>
      <w:lvlText w:val=""/>
      <w:lvlJc w:val="left"/>
      <w:pPr>
        <w:ind w:left="2880" w:hanging="360"/>
      </w:pPr>
      <w:rPr>
        <w:rFonts w:ascii="Symbol" w:hAnsi="Symbol" w:hint="default"/>
      </w:rPr>
    </w:lvl>
    <w:lvl w:ilvl="4" w:tplc="22B4A6E8">
      <w:start w:val="1"/>
      <w:numFmt w:val="bullet"/>
      <w:lvlText w:val="o"/>
      <w:lvlJc w:val="left"/>
      <w:pPr>
        <w:ind w:left="3600" w:hanging="360"/>
      </w:pPr>
      <w:rPr>
        <w:rFonts w:ascii="Courier New" w:hAnsi="Courier New" w:hint="default"/>
      </w:rPr>
    </w:lvl>
    <w:lvl w:ilvl="5" w:tplc="A7FCDB7C">
      <w:start w:val="1"/>
      <w:numFmt w:val="bullet"/>
      <w:lvlText w:val=""/>
      <w:lvlJc w:val="left"/>
      <w:pPr>
        <w:ind w:left="4320" w:hanging="360"/>
      </w:pPr>
      <w:rPr>
        <w:rFonts w:ascii="Wingdings" w:hAnsi="Wingdings" w:hint="default"/>
      </w:rPr>
    </w:lvl>
    <w:lvl w:ilvl="6" w:tplc="B06A6B46">
      <w:start w:val="1"/>
      <w:numFmt w:val="bullet"/>
      <w:lvlText w:val=""/>
      <w:lvlJc w:val="left"/>
      <w:pPr>
        <w:ind w:left="5040" w:hanging="360"/>
      </w:pPr>
      <w:rPr>
        <w:rFonts w:ascii="Symbol" w:hAnsi="Symbol" w:hint="default"/>
      </w:rPr>
    </w:lvl>
    <w:lvl w:ilvl="7" w:tplc="B54E063C">
      <w:start w:val="1"/>
      <w:numFmt w:val="bullet"/>
      <w:lvlText w:val="o"/>
      <w:lvlJc w:val="left"/>
      <w:pPr>
        <w:ind w:left="5760" w:hanging="360"/>
      </w:pPr>
      <w:rPr>
        <w:rFonts w:ascii="Courier New" w:hAnsi="Courier New" w:hint="default"/>
      </w:rPr>
    </w:lvl>
    <w:lvl w:ilvl="8" w:tplc="979CB8EA">
      <w:start w:val="1"/>
      <w:numFmt w:val="bullet"/>
      <w:lvlText w:val=""/>
      <w:lvlJc w:val="left"/>
      <w:pPr>
        <w:ind w:left="6480" w:hanging="360"/>
      </w:pPr>
      <w:rPr>
        <w:rFonts w:ascii="Wingdings" w:hAnsi="Wingdings" w:hint="default"/>
      </w:rPr>
    </w:lvl>
  </w:abstractNum>
  <w:abstractNum w:abstractNumId="68" w15:restartNumberingAfterBreak="0">
    <w:nsid w:val="49284507"/>
    <w:multiLevelType w:val="multilevel"/>
    <w:tmpl w:val="C2C46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961503A"/>
    <w:multiLevelType w:val="hybridMultilevel"/>
    <w:tmpl w:val="365CBE76"/>
    <w:lvl w:ilvl="0" w:tplc="08090001">
      <w:start w:val="1"/>
      <w:numFmt w:val="bullet"/>
      <w:lvlText w:val=""/>
      <w:lvlJc w:val="left"/>
      <w:pPr>
        <w:ind w:left="363" w:hanging="360"/>
      </w:pPr>
      <w:rPr>
        <w:rFonts w:ascii="Symbol" w:hAnsi="Symbol"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0" w15:restartNumberingAfterBreak="0">
    <w:nsid w:val="49B85C68"/>
    <w:multiLevelType w:val="multilevel"/>
    <w:tmpl w:val="7F0C4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A1C57FE"/>
    <w:multiLevelType w:val="hybridMultilevel"/>
    <w:tmpl w:val="E77E87AC"/>
    <w:lvl w:ilvl="0" w:tplc="04090001">
      <w:start w:val="1"/>
      <w:numFmt w:val="bullet"/>
      <w:lvlText w:val=""/>
      <w:lvlJc w:val="left"/>
      <w:pPr>
        <w:ind w:left="717" w:hanging="360"/>
      </w:pPr>
      <w:rPr>
        <w:rFonts w:ascii="Symbol" w:hAnsi="Symbol" w:hint="default"/>
      </w:rPr>
    </w:lvl>
    <w:lvl w:ilvl="1" w:tplc="04090003">
      <w:start w:val="1"/>
      <w:numFmt w:val="bullet"/>
      <w:lvlText w:val="o"/>
      <w:lvlJc w:val="left"/>
      <w:pPr>
        <w:ind w:left="1437" w:hanging="360"/>
      </w:pPr>
      <w:rPr>
        <w:rFonts w:ascii="Courier New" w:hAnsi="Courier New" w:cs="Courier New" w:hint="default"/>
      </w:rPr>
    </w:lvl>
    <w:lvl w:ilvl="2" w:tplc="04090005">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72" w15:restartNumberingAfterBreak="0">
    <w:nsid w:val="4BB770D7"/>
    <w:multiLevelType w:val="hybridMultilevel"/>
    <w:tmpl w:val="8884C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EDD3212"/>
    <w:multiLevelType w:val="hybridMultilevel"/>
    <w:tmpl w:val="36D282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4F455319"/>
    <w:multiLevelType w:val="hybridMultilevel"/>
    <w:tmpl w:val="3446B7E6"/>
    <w:lvl w:ilvl="0" w:tplc="80FA53CE">
      <w:start w:val="1"/>
      <w:numFmt w:val="bullet"/>
      <w:lvlText w:val=""/>
      <w:lvlJc w:val="left"/>
      <w:pPr>
        <w:tabs>
          <w:tab w:val="num" w:pos="720"/>
        </w:tabs>
        <w:ind w:left="720" w:hanging="360"/>
      </w:pPr>
      <w:rPr>
        <w:rFonts w:ascii="Symbol" w:hAnsi="Symbol" w:hint="default"/>
        <w:sz w:val="20"/>
      </w:rPr>
    </w:lvl>
    <w:lvl w:ilvl="1" w:tplc="832EFD1A">
      <w:start w:val="1"/>
      <w:numFmt w:val="bullet"/>
      <w:lvlText w:val="o"/>
      <w:lvlJc w:val="left"/>
      <w:pPr>
        <w:tabs>
          <w:tab w:val="num" w:pos="1440"/>
        </w:tabs>
        <w:ind w:left="1440" w:hanging="360"/>
      </w:pPr>
      <w:rPr>
        <w:rFonts w:ascii="Courier New" w:hAnsi="Courier New" w:cs="Times New Roman" w:hint="default"/>
        <w:sz w:val="20"/>
      </w:rPr>
    </w:lvl>
    <w:lvl w:ilvl="2" w:tplc="733C310E">
      <w:start w:val="1"/>
      <w:numFmt w:val="bullet"/>
      <w:lvlText w:val=""/>
      <w:lvlJc w:val="left"/>
      <w:pPr>
        <w:tabs>
          <w:tab w:val="num" w:pos="2160"/>
        </w:tabs>
        <w:ind w:left="2160" w:hanging="360"/>
      </w:pPr>
      <w:rPr>
        <w:rFonts w:ascii="Wingdings" w:hAnsi="Wingdings" w:hint="default"/>
        <w:sz w:val="20"/>
      </w:rPr>
    </w:lvl>
    <w:lvl w:ilvl="3" w:tplc="71FE801A">
      <w:start w:val="1"/>
      <w:numFmt w:val="bullet"/>
      <w:lvlText w:val=""/>
      <w:lvlJc w:val="left"/>
      <w:pPr>
        <w:tabs>
          <w:tab w:val="num" w:pos="2880"/>
        </w:tabs>
        <w:ind w:left="2880" w:hanging="360"/>
      </w:pPr>
      <w:rPr>
        <w:rFonts w:ascii="Wingdings" w:hAnsi="Wingdings" w:hint="default"/>
        <w:sz w:val="20"/>
      </w:rPr>
    </w:lvl>
    <w:lvl w:ilvl="4" w:tplc="F1DAE8E4">
      <w:start w:val="1"/>
      <w:numFmt w:val="bullet"/>
      <w:lvlText w:val=""/>
      <w:lvlJc w:val="left"/>
      <w:pPr>
        <w:tabs>
          <w:tab w:val="num" w:pos="3600"/>
        </w:tabs>
        <w:ind w:left="3600" w:hanging="360"/>
      </w:pPr>
      <w:rPr>
        <w:rFonts w:ascii="Wingdings" w:hAnsi="Wingdings" w:hint="default"/>
        <w:sz w:val="20"/>
      </w:rPr>
    </w:lvl>
    <w:lvl w:ilvl="5" w:tplc="2842C316">
      <w:start w:val="1"/>
      <w:numFmt w:val="bullet"/>
      <w:lvlText w:val=""/>
      <w:lvlJc w:val="left"/>
      <w:pPr>
        <w:tabs>
          <w:tab w:val="num" w:pos="4320"/>
        </w:tabs>
        <w:ind w:left="4320" w:hanging="360"/>
      </w:pPr>
      <w:rPr>
        <w:rFonts w:ascii="Wingdings" w:hAnsi="Wingdings" w:hint="default"/>
        <w:sz w:val="20"/>
      </w:rPr>
    </w:lvl>
    <w:lvl w:ilvl="6" w:tplc="AD6475C6">
      <w:start w:val="1"/>
      <w:numFmt w:val="bullet"/>
      <w:lvlText w:val=""/>
      <w:lvlJc w:val="left"/>
      <w:pPr>
        <w:tabs>
          <w:tab w:val="num" w:pos="5040"/>
        </w:tabs>
        <w:ind w:left="5040" w:hanging="360"/>
      </w:pPr>
      <w:rPr>
        <w:rFonts w:ascii="Wingdings" w:hAnsi="Wingdings" w:hint="default"/>
        <w:sz w:val="20"/>
      </w:rPr>
    </w:lvl>
    <w:lvl w:ilvl="7" w:tplc="CB0E9650">
      <w:start w:val="1"/>
      <w:numFmt w:val="bullet"/>
      <w:lvlText w:val=""/>
      <w:lvlJc w:val="left"/>
      <w:pPr>
        <w:tabs>
          <w:tab w:val="num" w:pos="5760"/>
        </w:tabs>
        <w:ind w:left="5760" w:hanging="360"/>
      </w:pPr>
      <w:rPr>
        <w:rFonts w:ascii="Wingdings" w:hAnsi="Wingdings" w:hint="default"/>
        <w:sz w:val="20"/>
      </w:rPr>
    </w:lvl>
    <w:lvl w:ilvl="8" w:tplc="14BEFD1E">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FED01EB"/>
    <w:multiLevelType w:val="hybridMultilevel"/>
    <w:tmpl w:val="A84AC91E"/>
    <w:lvl w:ilvl="0" w:tplc="1D387404">
      <w:start w:val="1"/>
      <w:numFmt w:val="bullet"/>
      <w:lvlText w:val="·"/>
      <w:lvlJc w:val="left"/>
      <w:pPr>
        <w:ind w:left="720" w:hanging="360"/>
      </w:pPr>
      <w:rPr>
        <w:rFonts w:ascii="Symbol" w:hAnsi="Symbol" w:hint="default"/>
      </w:rPr>
    </w:lvl>
    <w:lvl w:ilvl="1" w:tplc="5FB41B3A">
      <w:start w:val="1"/>
      <w:numFmt w:val="bullet"/>
      <w:lvlText w:val="o"/>
      <w:lvlJc w:val="left"/>
      <w:pPr>
        <w:ind w:left="1440" w:hanging="360"/>
      </w:pPr>
      <w:rPr>
        <w:rFonts w:ascii="Courier New" w:hAnsi="Courier New" w:hint="default"/>
      </w:rPr>
    </w:lvl>
    <w:lvl w:ilvl="2" w:tplc="F3D027DA">
      <w:start w:val="1"/>
      <w:numFmt w:val="bullet"/>
      <w:lvlText w:val=""/>
      <w:lvlJc w:val="left"/>
      <w:pPr>
        <w:ind w:left="2160" w:hanging="360"/>
      </w:pPr>
      <w:rPr>
        <w:rFonts w:ascii="Wingdings" w:hAnsi="Wingdings" w:hint="default"/>
      </w:rPr>
    </w:lvl>
    <w:lvl w:ilvl="3" w:tplc="513CD926">
      <w:start w:val="1"/>
      <w:numFmt w:val="bullet"/>
      <w:lvlText w:val=""/>
      <w:lvlJc w:val="left"/>
      <w:pPr>
        <w:ind w:left="2880" w:hanging="360"/>
      </w:pPr>
      <w:rPr>
        <w:rFonts w:ascii="Symbol" w:hAnsi="Symbol" w:hint="default"/>
      </w:rPr>
    </w:lvl>
    <w:lvl w:ilvl="4" w:tplc="16426982">
      <w:start w:val="1"/>
      <w:numFmt w:val="bullet"/>
      <w:lvlText w:val="o"/>
      <w:lvlJc w:val="left"/>
      <w:pPr>
        <w:ind w:left="3600" w:hanging="360"/>
      </w:pPr>
      <w:rPr>
        <w:rFonts w:ascii="Courier New" w:hAnsi="Courier New" w:hint="default"/>
      </w:rPr>
    </w:lvl>
    <w:lvl w:ilvl="5" w:tplc="3BD0F95E">
      <w:start w:val="1"/>
      <w:numFmt w:val="bullet"/>
      <w:lvlText w:val=""/>
      <w:lvlJc w:val="left"/>
      <w:pPr>
        <w:ind w:left="4320" w:hanging="360"/>
      </w:pPr>
      <w:rPr>
        <w:rFonts w:ascii="Wingdings" w:hAnsi="Wingdings" w:hint="default"/>
      </w:rPr>
    </w:lvl>
    <w:lvl w:ilvl="6" w:tplc="5278418A">
      <w:start w:val="1"/>
      <w:numFmt w:val="bullet"/>
      <w:lvlText w:val=""/>
      <w:lvlJc w:val="left"/>
      <w:pPr>
        <w:ind w:left="5040" w:hanging="360"/>
      </w:pPr>
      <w:rPr>
        <w:rFonts w:ascii="Symbol" w:hAnsi="Symbol" w:hint="default"/>
      </w:rPr>
    </w:lvl>
    <w:lvl w:ilvl="7" w:tplc="C3B0CA9C">
      <w:start w:val="1"/>
      <w:numFmt w:val="bullet"/>
      <w:lvlText w:val="o"/>
      <w:lvlJc w:val="left"/>
      <w:pPr>
        <w:ind w:left="5760" w:hanging="360"/>
      </w:pPr>
      <w:rPr>
        <w:rFonts w:ascii="Courier New" w:hAnsi="Courier New" w:hint="default"/>
      </w:rPr>
    </w:lvl>
    <w:lvl w:ilvl="8" w:tplc="5DC85EEA">
      <w:start w:val="1"/>
      <w:numFmt w:val="bullet"/>
      <w:lvlText w:val=""/>
      <w:lvlJc w:val="left"/>
      <w:pPr>
        <w:ind w:left="6480" w:hanging="360"/>
      </w:pPr>
      <w:rPr>
        <w:rFonts w:ascii="Wingdings" w:hAnsi="Wingdings" w:hint="default"/>
      </w:rPr>
    </w:lvl>
  </w:abstractNum>
  <w:abstractNum w:abstractNumId="76" w15:restartNumberingAfterBreak="0">
    <w:nsid w:val="517A0B4C"/>
    <w:multiLevelType w:val="hybridMultilevel"/>
    <w:tmpl w:val="73AAD0FE"/>
    <w:lvl w:ilvl="0" w:tplc="7638A8A4">
      <w:numFmt w:val="bullet"/>
      <w:lvlText w:val="-"/>
      <w:lvlJc w:val="left"/>
      <w:pPr>
        <w:ind w:left="927" w:hanging="360"/>
      </w:pPr>
      <w:rPr>
        <w:rFonts w:ascii="Arial" w:eastAsiaTheme="minorEastAsia" w:hAnsi="Arial" w:cs="Arial"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7" w15:restartNumberingAfterBreak="0">
    <w:nsid w:val="5211142E"/>
    <w:multiLevelType w:val="hybridMultilevel"/>
    <w:tmpl w:val="99003F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8" w15:restartNumberingAfterBreak="0">
    <w:nsid w:val="526C4162"/>
    <w:multiLevelType w:val="hybridMultilevel"/>
    <w:tmpl w:val="14C65A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52C80D8C"/>
    <w:multiLevelType w:val="hybridMultilevel"/>
    <w:tmpl w:val="ED568D34"/>
    <w:lvl w:ilvl="0" w:tplc="9156FBD8">
      <w:start w:val="1"/>
      <w:numFmt w:val="bullet"/>
      <w:lvlText w:val="·"/>
      <w:lvlJc w:val="left"/>
      <w:pPr>
        <w:ind w:left="720" w:hanging="360"/>
      </w:pPr>
      <w:rPr>
        <w:rFonts w:ascii="Symbol" w:hAnsi="Symbol" w:hint="default"/>
      </w:rPr>
    </w:lvl>
    <w:lvl w:ilvl="1" w:tplc="25E417C0">
      <w:start w:val="1"/>
      <w:numFmt w:val="bullet"/>
      <w:lvlText w:val="o"/>
      <w:lvlJc w:val="left"/>
      <w:pPr>
        <w:ind w:left="1440" w:hanging="360"/>
      </w:pPr>
      <w:rPr>
        <w:rFonts w:ascii="Courier New" w:hAnsi="Courier New" w:hint="default"/>
      </w:rPr>
    </w:lvl>
    <w:lvl w:ilvl="2" w:tplc="880E06A6">
      <w:start w:val="1"/>
      <w:numFmt w:val="bullet"/>
      <w:lvlText w:val=""/>
      <w:lvlJc w:val="left"/>
      <w:pPr>
        <w:ind w:left="2160" w:hanging="360"/>
      </w:pPr>
      <w:rPr>
        <w:rFonts w:ascii="Wingdings" w:hAnsi="Wingdings" w:hint="default"/>
      </w:rPr>
    </w:lvl>
    <w:lvl w:ilvl="3" w:tplc="880CDCFA">
      <w:start w:val="1"/>
      <w:numFmt w:val="bullet"/>
      <w:lvlText w:val=""/>
      <w:lvlJc w:val="left"/>
      <w:pPr>
        <w:ind w:left="2880" w:hanging="360"/>
      </w:pPr>
      <w:rPr>
        <w:rFonts w:ascii="Symbol" w:hAnsi="Symbol" w:hint="default"/>
      </w:rPr>
    </w:lvl>
    <w:lvl w:ilvl="4" w:tplc="0B8EB50A">
      <w:start w:val="1"/>
      <w:numFmt w:val="bullet"/>
      <w:lvlText w:val="o"/>
      <w:lvlJc w:val="left"/>
      <w:pPr>
        <w:ind w:left="3600" w:hanging="360"/>
      </w:pPr>
      <w:rPr>
        <w:rFonts w:ascii="Courier New" w:hAnsi="Courier New" w:hint="default"/>
      </w:rPr>
    </w:lvl>
    <w:lvl w:ilvl="5" w:tplc="DBB2F70C">
      <w:start w:val="1"/>
      <w:numFmt w:val="bullet"/>
      <w:lvlText w:val=""/>
      <w:lvlJc w:val="left"/>
      <w:pPr>
        <w:ind w:left="4320" w:hanging="360"/>
      </w:pPr>
      <w:rPr>
        <w:rFonts w:ascii="Wingdings" w:hAnsi="Wingdings" w:hint="default"/>
      </w:rPr>
    </w:lvl>
    <w:lvl w:ilvl="6" w:tplc="19AE9C56">
      <w:start w:val="1"/>
      <w:numFmt w:val="bullet"/>
      <w:lvlText w:val=""/>
      <w:lvlJc w:val="left"/>
      <w:pPr>
        <w:ind w:left="5040" w:hanging="360"/>
      </w:pPr>
      <w:rPr>
        <w:rFonts w:ascii="Symbol" w:hAnsi="Symbol" w:hint="default"/>
      </w:rPr>
    </w:lvl>
    <w:lvl w:ilvl="7" w:tplc="0430F06C">
      <w:start w:val="1"/>
      <w:numFmt w:val="bullet"/>
      <w:lvlText w:val="o"/>
      <w:lvlJc w:val="left"/>
      <w:pPr>
        <w:ind w:left="5760" w:hanging="360"/>
      </w:pPr>
      <w:rPr>
        <w:rFonts w:ascii="Courier New" w:hAnsi="Courier New" w:hint="default"/>
      </w:rPr>
    </w:lvl>
    <w:lvl w:ilvl="8" w:tplc="10FAB626">
      <w:start w:val="1"/>
      <w:numFmt w:val="bullet"/>
      <w:lvlText w:val=""/>
      <w:lvlJc w:val="left"/>
      <w:pPr>
        <w:ind w:left="6480" w:hanging="360"/>
      </w:pPr>
      <w:rPr>
        <w:rFonts w:ascii="Wingdings" w:hAnsi="Wingdings" w:hint="default"/>
      </w:rPr>
    </w:lvl>
  </w:abstractNum>
  <w:abstractNum w:abstractNumId="80" w15:restartNumberingAfterBreak="0">
    <w:nsid w:val="53EA73CD"/>
    <w:multiLevelType w:val="hybridMultilevel"/>
    <w:tmpl w:val="829E6FFA"/>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81" w15:restartNumberingAfterBreak="0">
    <w:nsid w:val="53F07012"/>
    <w:multiLevelType w:val="hybridMultilevel"/>
    <w:tmpl w:val="1D5250AA"/>
    <w:lvl w:ilvl="0" w:tplc="DA50AC06">
      <w:start w:val="1"/>
      <w:numFmt w:val="bullet"/>
      <w:lvlText w:val=""/>
      <w:lvlJc w:val="left"/>
      <w:pPr>
        <w:ind w:left="786" w:hanging="360"/>
      </w:pPr>
      <w:rPr>
        <w:rFonts w:ascii="Symbol" w:hAnsi="Symbol" w:hint="default"/>
        <w:color w:val="auto"/>
      </w:rPr>
    </w:lvl>
    <w:lvl w:ilvl="1" w:tplc="D1B47CEE">
      <w:start w:val="1"/>
      <w:numFmt w:val="bullet"/>
      <w:lvlText w:val="o"/>
      <w:lvlJc w:val="left"/>
      <w:pPr>
        <w:ind w:left="1506" w:hanging="360"/>
      </w:pPr>
      <w:rPr>
        <w:rFonts w:ascii="Courier New" w:hAnsi="Courier New" w:cs="Courier New" w:hint="default"/>
        <w:color w:val="auto"/>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82" w15:restartNumberingAfterBreak="0">
    <w:nsid w:val="543C4C3B"/>
    <w:multiLevelType w:val="hybridMultilevel"/>
    <w:tmpl w:val="6930F22E"/>
    <w:lvl w:ilvl="0" w:tplc="95E26718">
      <w:start w:val="1"/>
      <w:numFmt w:val="bullet"/>
      <w:lvlText w:val="·"/>
      <w:lvlJc w:val="left"/>
      <w:pPr>
        <w:ind w:left="720" w:hanging="360"/>
      </w:pPr>
      <w:rPr>
        <w:rFonts w:ascii="Symbol" w:hAnsi="Symbol" w:hint="default"/>
      </w:rPr>
    </w:lvl>
    <w:lvl w:ilvl="1" w:tplc="688A143E">
      <w:start w:val="1"/>
      <w:numFmt w:val="bullet"/>
      <w:lvlText w:val="o"/>
      <w:lvlJc w:val="left"/>
      <w:pPr>
        <w:ind w:left="1440" w:hanging="360"/>
      </w:pPr>
      <w:rPr>
        <w:rFonts w:ascii="Courier New" w:hAnsi="Courier New" w:hint="default"/>
      </w:rPr>
    </w:lvl>
    <w:lvl w:ilvl="2" w:tplc="E6D88F4E">
      <w:start w:val="1"/>
      <w:numFmt w:val="bullet"/>
      <w:lvlText w:val=""/>
      <w:lvlJc w:val="left"/>
      <w:pPr>
        <w:ind w:left="2160" w:hanging="360"/>
      </w:pPr>
      <w:rPr>
        <w:rFonts w:ascii="Wingdings" w:hAnsi="Wingdings" w:hint="default"/>
      </w:rPr>
    </w:lvl>
    <w:lvl w:ilvl="3" w:tplc="0DC810A2">
      <w:start w:val="1"/>
      <w:numFmt w:val="bullet"/>
      <w:lvlText w:val=""/>
      <w:lvlJc w:val="left"/>
      <w:pPr>
        <w:ind w:left="2880" w:hanging="360"/>
      </w:pPr>
      <w:rPr>
        <w:rFonts w:ascii="Symbol" w:hAnsi="Symbol" w:hint="default"/>
      </w:rPr>
    </w:lvl>
    <w:lvl w:ilvl="4" w:tplc="7534C8F0">
      <w:start w:val="1"/>
      <w:numFmt w:val="bullet"/>
      <w:lvlText w:val="o"/>
      <w:lvlJc w:val="left"/>
      <w:pPr>
        <w:ind w:left="3600" w:hanging="360"/>
      </w:pPr>
      <w:rPr>
        <w:rFonts w:ascii="Courier New" w:hAnsi="Courier New" w:hint="default"/>
      </w:rPr>
    </w:lvl>
    <w:lvl w:ilvl="5" w:tplc="43AED928">
      <w:start w:val="1"/>
      <w:numFmt w:val="bullet"/>
      <w:lvlText w:val=""/>
      <w:lvlJc w:val="left"/>
      <w:pPr>
        <w:ind w:left="4320" w:hanging="360"/>
      </w:pPr>
      <w:rPr>
        <w:rFonts w:ascii="Wingdings" w:hAnsi="Wingdings" w:hint="default"/>
      </w:rPr>
    </w:lvl>
    <w:lvl w:ilvl="6" w:tplc="7E421B54">
      <w:start w:val="1"/>
      <w:numFmt w:val="bullet"/>
      <w:lvlText w:val=""/>
      <w:lvlJc w:val="left"/>
      <w:pPr>
        <w:ind w:left="5040" w:hanging="360"/>
      </w:pPr>
      <w:rPr>
        <w:rFonts w:ascii="Symbol" w:hAnsi="Symbol" w:hint="default"/>
      </w:rPr>
    </w:lvl>
    <w:lvl w:ilvl="7" w:tplc="DE863688">
      <w:start w:val="1"/>
      <w:numFmt w:val="bullet"/>
      <w:lvlText w:val="o"/>
      <w:lvlJc w:val="left"/>
      <w:pPr>
        <w:ind w:left="5760" w:hanging="360"/>
      </w:pPr>
      <w:rPr>
        <w:rFonts w:ascii="Courier New" w:hAnsi="Courier New" w:hint="default"/>
      </w:rPr>
    </w:lvl>
    <w:lvl w:ilvl="8" w:tplc="81D40E98">
      <w:start w:val="1"/>
      <w:numFmt w:val="bullet"/>
      <w:lvlText w:val=""/>
      <w:lvlJc w:val="left"/>
      <w:pPr>
        <w:ind w:left="6480" w:hanging="360"/>
      </w:pPr>
      <w:rPr>
        <w:rFonts w:ascii="Wingdings" w:hAnsi="Wingdings" w:hint="default"/>
      </w:rPr>
    </w:lvl>
  </w:abstractNum>
  <w:abstractNum w:abstractNumId="83" w15:restartNumberingAfterBreak="0">
    <w:nsid w:val="54742680"/>
    <w:multiLevelType w:val="hybridMultilevel"/>
    <w:tmpl w:val="783CF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552371FB"/>
    <w:multiLevelType w:val="hybridMultilevel"/>
    <w:tmpl w:val="0CEAB51A"/>
    <w:lvl w:ilvl="0" w:tplc="472AAC08">
      <w:start w:val="1"/>
      <w:numFmt w:val="bullet"/>
      <w:lvlText w:val="•"/>
      <w:lvlJc w:val="left"/>
      <w:pPr>
        <w:tabs>
          <w:tab w:val="num" w:pos="720"/>
        </w:tabs>
        <w:ind w:left="720" w:hanging="360"/>
      </w:pPr>
      <w:rPr>
        <w:rFonts w:ascii="Arial" w:hAnsi="Arial" w:hint="default"/>
      </w:rPr>
    </w:lvl>
    <w:lvl w:ilvl="1" w:tplc="52863072" w:tentative="1">
      <w:start w:val="1"/>
      <w:numFmt w:val="bullet"/>
      <w:lvlText w:val="•"/>
      <w:lvlJc w:val="left"/>
      <w:pPr>
        <w:tabs>
          <w:tab w:val="num" w:pos="1440"/>
        </w:tabs>
        <w:ind w:left="1440" w:hanging="360"/>
      </w:pPr>
      <w:rPr>
        <w:rFonts w:ascii="Arial" w:hAnsi="Arial" w:hint="default"/>
      </w:rPr>
    </w:lvl>
    <w:lvl w:ilvl="2" w:tplc="D75EEC7C" w:tentative="1">
      <w:start w:val="1"/>
      <w:numFmt w:val="bullet"/>
      <w:lvlText w:val="•"/>
      <w:lvlJc w:val="left"/>
      <w:pPr>
        <w:tabs>
          <w:tab w:val="num" w:pos="2160"/>
        </w:tabs>
        <w:ind w:left="2160" w:hanging="360"/>
      </w:pPr>
      <w:rPr>
        <w:rFonts w:ascii="Arial" w:hAnsi="Arial" w:hint="default"/>
      </w:rPr>
    </w:lvl>
    <w:lvl w:ilvl="3" w:tplc="FF62D80A" w:tentative="1">
      <w:start w:val="1"/>
      <w:numFmt w:val="bullet"/>
      <w:lvlText w:val="•"/>
      <w:lvlJc w:val="left"/>
      <w:pPr>
        <w:tabs>
          <w:tab w:val="num" w:pos="2880"/>
        </w:tabs>
        <w:ind w:left="2880" w:hanging="360"/>
      </w:pPr>
      <w:rPr>
        <w:rFonts w:ascii="Arial" w:hAnsi="Arial" w:hint="default"/>
      </w:rPr>
    </w:lvl>
    <w:lvl w:ilvl="4" w:tplc="A19C4F26" w:tentative="1">
      <w:start w:val="1"/>
      <w:numFmt w:val="bullet"/>
      <w:lvlText w:val="•"/>
      <w:lvlJc w:val="left"/>
      <w:pPr>
        <w:tabs>
          <w:tab w:val="num" w:pos="3600"/>
        </w:tabs>
        <w:ind w:left="3600" w:hanging="360"/>
      </w:pPr>
      <w:rPr>
        <w:rFonts w:ascii="Arial" w:hAnsi="Arial" w:hint="default"/>
      </w:rPr>
    </w:lvl>
    <w:lvl w:ilvl="5" w:tplc="EC982962" w:tentative="1">
      <w:start w:val="1"/>
      <w:numFmt w:val="bullet"/>
      <w:lvlText w:val="•"/>
      <w:lvlJc w:val="left"/>
      <w:pPr>
        <w:tabs>
          <w:tab w:val="num" w:pos="4320"/>
        </w:tabs>
        <w:ind w:left="4320" w:hanging="360"/>
      </w:pPr>
      <w:rPr>
        <w:rFonts w:ascii="Arial" w:hAnsi="Arial" w:hint="default"/>
      </w:rPr>
    </w:lvl>
    <w:lvl w:ilvl="6" w:tplc="1458BF86" w:tentative="1">
      <w:start w:val="1"/>
      <w:numFmt w:val="bullet"/>
      <w:lvlText w:val="•"/>
      <w:lvlJc w:val="left"/>
      <w:pPr>
        <w:tabs>
          <w:tab w:val="num" w:pos="5040"/>
        </w:tabs>
        <w:ind w:left="5040" w:hanging="360"/>
      </w:pPr>
      <w:rPr>
        <w:rFonts w:ascii="Arial" w:hAnsi="Arial" w:hint="default"/>
      </w:rPr>
    </w:lvl>
    <w:lvl w:ilvl="7" w:tplc="190E9D12" w:tentative="1">
      <w:start w:val="1"/>
      <w:numFmt w:val="bullet"/>
      <w:lvlText w:val="•"/>
      <w:lvlJc w:val="left"/>
      <w:pPr>
        <w:tabs>
          <w:tab w:val="num" w:pos="5760"/>
        </w:tabs>
        <w:ind w:left="5760" w:hanging="360"/>
      </w:pPr>
      <w:rPr>
        <w:rFonts w:ascii="Arial" w:hAnsi="Arial" w:hint="default"/>
      </w:rPr>
    </w:lvl>
    <w:lvl w:ilvl="8" w:tplc="39DE741C" w:tentative="1">
      <w:start w:val="1"/>
      <w:numFmt w:val="bullet"/>
      <w:lvlText w:val="•"/>
      <w:lvlJc w:val="left"/>
      <w:pPr>
        <w:tabs>
          <w:tab w:val="num" w:pos="6480"/>
        </w:tabs>
        <w:ind w:left="6480" w:hanging="360"/>
      </w:pPr>
      <w:rPr>
        <w:rFonts w:ascii="Arial" w:hAnsi="Arial" w:hint="default"/>
      </w:rPr>
    </w:lvl>
  </w:abstractNum>
  <w:abstractNum w:abstractNumId="85" w15:restartNumberingAfterBreak="0">
    <w:nsid w:val="558F0D98"/>
    <w:multiLevelType w:val="hybridMultilevel"/>
    <w:tmpl w:val="4EEE605C"/>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6" w15:restartNumberingAfterBreak="0">
    <w:nsid w:val="56194F5D"/>
    <w:multiLevelType w:val="hybridMultilevel"/>
    <w:tmpl w:val="D21CFACE"/>
    <w:lvl w:ilvl="0" w:tplc="F10E2690">
      <w:start w:val="5"/>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56611114"/>
    <w:multiLevelType w:val="hybridMultilevel"/>
    <w:tmpl w:val="D9CE55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56722931"/>
    <w:multiLevelType w:val="hybridMultilevel"/>
    <w:tmpl w:val="DFE284F8"/>
    <w:lvl w:ilvl="0" w:tplc="7638A8A4">
      <w:numFmt w:val="bullet"/>
      <w:lvlText w:val="-"/>
      <w:lvlJc w:val="left"/>
      <w:pPr>
        <w:ind w:left="360" w:hanging="360"/>
      </w:pPr>
      <w:rPr>
        <w:rFonts w:ascii="Arial" w:eastAsiaTheme="minorEastAsia"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9" w15:restartNumberingAfterBreak="0">
    <w:nsid w:val="56AF2FD9"/>
    <w:multiLevelType w:val="hybridMultilevel"/>
    <w:tmpl w:val="BACA6606"/>
    <w:lvl w:ilvl="0" w:tplc="7638A8A4">
      <w:numFmt w:val="bullet"/>
      <w:lvlText w:val="-"/>
      <w:lvlJc w:val="left"/>
      <w:pPr>
        <w:ind w:left="1083" w:hanging="360"/>
      </w:pPr>
      <w:rPr>
        <w:rFonts w:ascii="Arial" w:eastAsiaTheme="minorEastAsia" w:hAnsi="Arial" w:cs="Aria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90" w15:restartNumberingAfterBreak="0">
    <w:nsid w:val="56DB5169"/>
    <w:multiLevelType w:val="hybridMultilevel"/>
    <w:tmpl w:val="CB0AF5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1" w15:restartNumberingAfterBreak="0">
    <w:nsid w:val="59D76894"/>
    <w:multiLevelType w:val="hybridMultilevel"/>
    <w:tmpl w:val="1840C3DA"/>
    <w:lvl w:ilvl="0" w:tplc="04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5A163C5D"/>
    <w:multiLevelType w:val="hybridMultilevel"/>
    <w:tmpl w:val="F484373A"/>
    <w:lvl w:ilvl="0" w:tplc="034857A0">
      <w:start w:val="1"/>
      <w:numFmt w:val="bullet"/>
      <w:lvlText w:val="·"/>
      <w:lvlJc w:val="left"/>
      <w:pPr>
        <w:ind w:left="720" w:hanging="360"/>
      </w:pPr>
      <w:rPr>
        <w:rFonts w:ascii="Symbol" w:hAnsi="Symbol" w:hint="default"/>
      </w:rPr>
    </w:lvl>
    <w:lvl w:ilvl="1" w:tplc="E9A85AD2">
      <w:start w:val="1"/>
      <w:numFmt w:val="bullet"/>
      <w:lvlText w:val="o"/>
      <w:lvlJc w:val="left"/>
      <w:pPr>
        <w:ind w:left="1440" w:hanging="360"/>
      </w:pPr>
      <w:rPr>
        <w:rFonts w:ascii="Courier New" w:hAnsi="Courier New" w:hint="default"/>
      </w:rPr>
    </w:lvl>
    <w:lvl w:ilvl="2" w:tplc="9D72A0A8">
      <w:start w:val="1"/>
      <w:numFmt w:val="bullet"/>
      <w:lvlText w:val=""/>
      <w:lvlJc w:val="left"/>
      <w:pPr>
        <w:ind w:left="2160" w:hanging="360"/>
      </w:pPr>
      <w:rPr>
        <w:rFonts w:ascii="Wingdings" w:hAnsi="Wingdings" w:hint="default"/>
      </w:rPr>
    </w:lvl>
    <w:lvl w:ilvl="3" w:tplc="E2C2D86E">
      <w:start w:val="1"/>
      <w:numFmt w:val="bullet"/>
      <w:lvlText w:val=""/>
      <w:lvlJc w:val="left"/>
      <w:pPr>
        <w:ind w:left="2880" w:hanging="360"/>
      </w:pPr>
      <w:rPr>
        <w:rFonts w:ascii="Symbol" w:hAnsi="Symbol" w:hint="default"/>
      </w:rPr>
    </w:lvl>
    <w:lvl w:ilvl="4" w:tplc="9F5CF8F8">
      <w:start w:val="1"/>
      <w:numFmt w:val="bullet"/>
      <w:lvlText w:val="o"/>
      <w:lvlJc w:val="left"/>
      <w:pPr>
        <w:ind w:left="3600" w:hanging="360"/>
      </w:pPr>
      <w:rPr>
        <w:rFonts w:ascii="Courier New" w:hAnsi="Courier New" w:hint="default"/>
      </w:rPr>
    </w:lvl>
    <w:lvl w:ilvl="5" w:tplc="01E028A4">
      <w:start w:val="1"/>
      <w:numFmt w:val="bullet"/>
      <w:lvlText w:val=""/>
      <w:lvlJc w:val="left"/>
      <w:pPr>
        <w:ind w:left="4320" w:hanging="360"/>
      </w:pPr>
      <w:rPr>
        <w:rFonts w:ascii="Wingdings" w:hAnsi="Wingdings" w:hint="default"/>
      </w:rPr>
    </w:lvl>
    <w:lvl w:ilvl="6" w:tplc="98F6C2AA">
      <w:start w:val="1"/>
      <w:numFmt w:val="bullet"/>
      <w:lvlText w:val=""/>
      <w:lvlJc w:val="left"/>
      <w:pPr>
        <w:ind w:left="5040" w:hanging="360"/>
      </w:pPr>
      <w:rPr>
        <w:rFonts w:ascii="Symbol" w:hAnsi="Symbol" w:hint="default"/>
      </w:rPr>
    </w:lvl>
    <w:lvl w:ilvl="7" w:tplc="7FCAD6A0">
      <w:start w:val="1"/>
      <w:numFmt w:val="bullet"/>
      <w:lvlText w:val="o"/>
      <w:lvlJc w:val="left"/>
      <w:pPr>
        <w:ind w:left="5760" w:hanging="360"/>
      </w:pPr>
      <w:rPr>
        <w:rFonts w:ascii="Courier New" w:hAnsi="Courier New" w:hint="default"/>
      </w:rPr>
    </w:lvl>
    <w:lvl w:ilvl="8" w:tplc="617C2FDE">
      <w:start w:val="1"/>
      <w:numFmt w:val="bullet"/>
      <w:lvlText w:val=""/>
      <w:lvlJc w:val="left"/>
      <w:pPr>
        <w:ind w:left="6480" w:hanging="360"/>
      </w:pPr>
      <w:rPr>
        <w:rFonts w:ascii="Wingdings" w:hAnsi="Wingdings" w:hint="default"/>
      </w:rPr>
    </w:lvl>
  </w:abstractNum>
  <w:abstractNum w:abstractNumId="93" w15:restartNumberingAfterBreak="0">
    <w:nsid w:val="5BF34939"/>
    <w:multiLevelType w:val="hybridMultilevel"/>
    <w:tmpl w:val="FFFFFFFF"/>
    <w:lvl w:ilvl="0" w:tplc="B93E357E">
      <w:start w:val="1"/>
      <w:numFmt w:val="lowerLetter"/>
      <w:lvlText w:val="%1)"/>
      <w:lvlJc w:val="left"/>
      <w:pPr>
        <w:ind w:left="720" w:hanging="360"/>
      </w:pPr>
    </w:lvl>
    <w:lvl w:ilvl="1" w:tplc="A7FAB55C">
      <w:start w:val="1"/>
      <w:numFmt w:val="bullet"/>
      <w:lvlText w:val="o"/>
      <w:lvlJc w:val="left"/>
      <w:pPr>
        <w:ind w:left="1440" w:hanging="360"/>
      </w:pPr>
      <w:rPr>
        <w:rFonts w:ascii="Courier New" w:hAnsi="Courier New" w:hint="default"/>
      </w:rPr>
    </w:lvl>
    <w:lvl w:ilvl="2" w:tplc="1B4EC238">
      <w:start w:val="1"/>
      <w:numFmt w:val="bullet"/>
      <w:lvlText w:val=""/>
      <w:lvlJc w:val="left"/>
      <w:pPr>
        <w:ind w:left="2160" w:hanging="360"/>
      </w:pPr>
      <w:rPr>
        <w:rFonts w:ascii="Wingdings" w:hAnsi="Wingdings" w:hint="default"/>
      </w:rPr>
    </w:lvl>
    <w:lvl w:ilvl="3" w:tplc="7EACFBB8">
      <w:start w:val="1"/>
      <w:numFmt w:val="bullet"/>
      <w:lvlText w:val=""/>
      <w:lvlJc w:val="left"/>
      <w:pPr>
        <w:ind w:left="2880" w:hanging="360"/>
      </w:pPr>
      <w:rPr>
        <w:rFonts w:ascii="Symbol" w:hAnsi="Symbol" w:hint="default"/>
      </w:rPr>
    </w:lvl>
    <w:lvl w:ilvl="4" w:tplc="856C146C">
      <w:start w:val="1"/>
      <w:numFmt w:val="bullet"/>
      <w:lvlText w:val="o"/>
      <w:lvlJc w:val="left"/>
      <w:pPr>
        <w:ind w:left="3600" w:hanging="360"/>
      </w:pPr>
      <w:rPr>
        <w:rFonts w:ascii="Courier New" w:hAnsi="Courier New" w:hint="default"/>
      </w:rPr>
    </w:lvl>
    <w:lvl w:ilvl="5" w:tplc="FBA0B39E">
      <w:start w:val="1"/>
      <w:numFmt w:val="bullet"/>
      <w:lvlText w:val=""/>
      <w:lvlJc w:val="left"/>
      <w:pPr>
        <w:ind w:left="4320" w:hanging="360"/>
      </w:pPr>
      <w:rPr>
        <w:rFonts w:ascii="Wingdings" w:hAnsi="Wingdings" w:hint="default"/>
      </w:rPr>
    </w:lvl>
    <w:lvl w:ilvl="6" w:tplc="31E6CBA0">
      <w:start w:val="1"/>
      <w:numFmt w:val="bullet"/>
      <w:lvlText w:val=""/>
      <w:lvlJc w:val="left"/>
      <w:pPr>
        <w:ind w:left="5040" w:hanging="360"/>
      </w:pPr>
      <w:rPr>
        <w:rFonts w:ascii="Symbol" w:hAnsi="Symbol" w:hint="default"/>
      </w:rPr>
    </w:lvl>
    <w:lvl w:ilvl="7" w:tplc="6F5A4A14">
      <w:start w:val="1"/>
      <w:numFmt w:val="bullet"/>
      <w:lvlText w:val="o"/>
      <w:lvlJc w:val="left"/>
      <w:pPr>
        <w:ind w:left="5760" w:hanging="360"/>
      </w:pPr>
      <w:rPr>
        <w:rFonts w:ascii="Courier New" w:hAnsi="Courier New" w:hint="default"/>
      </w:rPr>
    </w:lvl>
    <w:lvl w:ilvl="8" w:tplc="77883C06">
      <w:start w:val="1"/>
      <w:numFmt w:val="bullet"/>
      <w:lvlText w:val=""/>
      <w:lvlJc w:val="left"/>
      <w:pPr>
        <w:ind w:left="6480" w:hanging="360"/>
      </w:pPr>
      <w:rPr>
        <w:rFonts w:ascii="Wingdings" w:hAnsi="Wingdings" w:hint="default"/>
      </w:rPr>
    </w:lvl>
  </w:abstractNum>
  <w:abstractNum w:abstractNumId="94" w15:restartNumberingAfterBreak="0">
    <w:nsid w:val="5D845E60"/>
    <w:multiLevelType w:val="hybridMultilevel"/>
    <w:tmpl w:val="CDE45A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5DB07DA8"/>
    <w:multiLevelType w:val="hybridMultilevel"/>
    <w:tmpl w:val="DAB28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5DF13F41"/>
    <w:multiLevelType w:val="multilevel"/>
    <w:tmpl w:val="E1BA4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E4418F3"/>
    <w:multiLevelType w:val="hybridMultilevel"/>
    <w:tmpl w:val="66C65342"/>
    <w:lvl w:ilvl="0" w:tplc="FFFFFFFF">
      <w:start w:val="1"/>
      <w:numFmt w:val="lowerRoman"/>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8" w15:restartNumberingAfterBreak="0">
    <w:nsid w:val="5E4C54ED"/>
    <w:multiLevelType w:val="hybridMultilevel"/>
    <w:tmpl w:val="BC5CB9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9" w15:restartNumberingAfterBreak="0">
    <w:nsid w:val="5F254BAB"/>
    <w:multiLevelType w:val="hybridMultilevel"/>
    <w:tmpl w:val="67D02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5F672A91"/>
    <w:multiLevelType w:val="hybridMultilevel"/>
    <w:tmpl w:val="6A860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61316627"/>
    <w:multiLevelType w:val="multilevel"/>
    <w:tmpl w:val="80886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1C20B69"/>
    <w:multiLevelType w:val="hybridMultilevel"/>
    <w:tmpl w:val="71986F58"/>
    <w:lvl w:ilvl="0" w:tplc="08090001">
      <w:start w:val="1"/>
      <w:numFmt w:val="bullet"/>
      <w:lvlText w:val=""/>
      <w:lvlJc w:val="left"/>
      <w:pPr>
        <w:ind w:left="360" w:hanging="360"/>
      </w:pPr>
      <w:rPr>
        <w:rFonts w:ascii="Symbol" w:hAnsi="Symbol" w:hint="default"/>
      </w:rPr>
    </w:lvl>
    <w:lvl w:ilvl="1" w:tplc="FFFFFFFF">
      <w:start w:val="1"/>
      <w:numFmt w:val="bullet"/>
      <w:lvlText w:val="•"/>
      <w:lvlJc w:val="left"/>
      <w:pPr>
        <w:ind w:left="1290" w:hanging="570"/>
      </w:pPr>
      <w:rPr>
        <w:rFonts w:ascii="Times New Roman" w:hAnsi="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3" w15:restartNumberingAfterBreak="0">
    <w:nsid w:val="62A76F8E"/>
    <w:multiLevelType w:val="hybridMultilevel"/>
    <w:tmpl w:val="B588AD9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6329637B"/>
    <w:multiLevelType w:val="hybridMultilevel"/>
    <w:tmpl w:val="853257E2"/>
    <w:lvl w:ilvl="0" w:tplc="F21EE86A">
      <w:start w:val="1"/>
      <w:numFmt w:val="bullet"/>
      <w:lvlText w:val=""/>
      <w:lvlJc w:val="left"/>
      <w:pPr>
        <w:ind w:left="720" w:hanging="360"/>
      </w:pPr>
      <w:rPr>
        <w:rFonts w:ascii="Symbol" w:hAnsi="Symbol" w:hint="default"/>
      </w:rPr>
    </w:lvl>
    <w:lvl w:ilvl="1" w:tplc="E1FADEE6">
      <w:start w:val="1"/>
      <w:numFmt w:val="bullet"/>
      <w:lvlText w:val="o"/>
      <w:lvlJc w:val="left"/>
      <w:pPr>
        <w:ind w:left="1440" w:hanging="360"/>
      </w:pPr>
      <w:rPr>
        <w:rFonts w:ascii="Courier New" w:hAnsi="Courier New" w:hint="default"/>
      </w:rPr>
    </w:lvl>
    <w:lvl w:ilvl="2" w:tplc="D8001274">
      <w:start w:val="1"/>
      <w:numFmt w:val="bullet"/>
      <w:lvlText w:val=""/>
      <w:lvlJc w:val="left"/>
      <w:pPr>
        <w:ind w:left="2160" w:hanging="360"/>
      </w:pPr>
      <w:rPr>
        <w:rFonts w:ascii="Wingdings" w:hAnsi="Wingdings" w:hint="default"/>
      </w:rPr>
    </w:lvl>
    <w:lvl w:ilvl="3" w:tplc="4838DD36">
      <w:start w:val="1"/>
      <w:numFmt w:val="bullet"/>
      <w:lvlText w:val=""/>
      <w:lvlJc w:val="left"/>
      <w:pPr>
        <w:ind w:left="2880" w:hanging="360"/>
      </w:pPr>
      <w:rPr>
        <w:rFonts w:ascii="Symbol" w:hAnsi="Symbol" w:hint="default"/>
      </w:rPr>
    </w:lvl>
    <w:lvl w:ilvl="4" w:tplc="05C264C2">
      <w:start w:val="1"/>
      <w:numFmt w:val="bullet"/>
      <w:lvlText w:val="o"/>
      <w:lvlJc w:val="left"/>
      <w:pPr>
        <w:ind w:left="3600" w:hanging="360"/>
      </w:pPr>
      <w:rPr>
        <w:rFonts w:ascii="Courier New" w:hAnsi="Courier New" w:hint="default"/>
      </w:rPr>
    </w:lvl>
    <w:lvl w:ilvl="5" w:tplc="CAA47E0C">
      <w:start w:val="1"/>
      <w:numFmt w:val="bullet"/>
      <w:lvlText w:val=""/>
      <w:lvlJc w:val="left"/>
      <w:pPr>
        <w:ind w:left="4320" w:hanging="360"/>
      </w:pPr>
      <w:rPr>
        <w:rFonts w:ascii="Wingdings" w:hAnsi="Wingdings" w:hint="default"/>
      </w:rPr>
    </w:lvl>
    <w:lvl w:ilvl="6" w:tplc="027EE61A">
      <w:start w:val="1"/>
      <w:numFmt w:val="bullet"/>
      <w:lvlText w:val=""/>
      <w:lvlJc w:val="left"/>
      <w:pPr>
        <w:ind w:left="5040" w:hanging="360"/>
      </w:pPr>
      <w:rPr>
        <w:rFonts w:ascii="Symbol" w:hAnsi="Symbol" w:hint="default"/>
      </w:rPr>
    </w:lvl>
    <w:lvl w:ilvl="7" w:tplc="2D14D57C">
      <w:start w:val="1"/>
      <w:numFmt w:val="bullet"/>
      <w:lvlText w:val="o"/>
      <w:lvlJc w:val="left"/>
      <w:pPr>
        <w:ind w:left="5760" w:hanging="360"/>
      </w:pPr>
      <w:rPr>
        <w:rFonts w:ascii="Courier New" w:hAnsi="Courier New" w:hint="default"/>
      </w:rPr>
    </w:lvl>
    <w:lvl w:ilvl="8" w:tplc="884C529C">
      <w:start w:val="1"/>
      <w:numFmt w:val="bullet"/>
      <w:lvlText w:val=""/>
      <w:lvlJc w:val="left"/>
      <w:pPr>
        <w:ind w:left="6480" w:hanging="360"/>
      </w:pPr>
      <w:rPr>
        <w:rFonts w:ascii="Wingdings" w:hAnsi="Wingdings" w:hint="default"/>
      </w:rPr>
    </w:lvl>
  </w:abstractNum>
  <w:abstractNum w:abstractNumId="105" w15:restartNumberingAfterBreak="0">
    <w:nsid w:val="63841856"/>
    <w:multiLevelType w:val="hybridMultilevel"/>
    <w:tmpl w:val="7EC4B5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15:restartNumberingAfterBreak="0">
    <w:nsid w:val="64444505"/>
    <w:multiLevelType w:val="hybridMultilevel"/>
    <w:tmpl w:val="40DC9496"/>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65B7724F"/>
    <w:multiLevelType w:val="hybridMultilevel"/>
    <w:tmpl w:val="9A763ADE"/>
    <w:lvl w:ilvl="0" w:tplc="D864FB0A">
      <w:start w:val="1"/>
      <w:numFmt w:val="bullet"/>
      <w:lvlText w:val=""/>
      <w:lvlJc w:val="left"/>
      <w:pPr>
        <w:tabs>
          <w:tab w:val="num" w:pos="720"/>
        </w:tabs>
        <w:ind w:left="720" w:hanging="720"/>
      </w:pPr>
      <w:rPr>
        <w:rFonts w:ascii="Symbol" w:hAnsi="Symbol" w:hint="default"/>
      </w:rPr>
    </w:lvl>
    <w:lvl w:ilvl="1" w:tplc="77EAE0A8">
      <w:start w:val="1"/>
      <w:numFmt w:val="decimal"/>
      <w:lvlText w:val="%2."/>
      <w:lvlJc w:val="left"/>
      <w:pPr>
        <w:tabs>
          <w:tab w:val="num" w:pos="1440"/>
        </w:tabs>
        <w:ind w:left="1440" w:hanging="720"/>
      </w:pPr>
    </w:lvl>
    <w:lvl w:ilvl="2" w:tplc="465A40B0">
      <w:start w:val="1"/>
      <w:numFmt w:val="decimal"/>
      <w:lvlText w:val="%3."/>
      <w:lvlJc w:val="left"/>
      <w:pPr>
        <w:tabs>
          <w:tab w:val="num" w:pos="2160"/>
        </w:tabs>
        <w:ind w:left="2160" w:hanging="720"/>
      </w:pPr>
    </w:lvl>
    <w:lvl w:ilvl="3" w:tplc="F8CA1EF8">
      <w:start w:val="1"/>
      <w:numFmt w:val="decimal"/>
      <w:lvlText w:val="%4."/>
      <w:lvlJc w:val="left"/>
      <w:pPr>
        <w:tabs>
          <w:tab w:val="num" w:pos="2880"/>
        </w:tabs>
        <w:ind w:left="2880" w:hanging="720"/>
      </w:pPr>
    </w:lvl>
    <w:lvl w:ilvl="4" w:tplc="62CCC5E2">
      <w:start w:val="1"/>
      <w:numFmt w:val="decimal"/>
      <w:lvlText w:val="%5."/>
      <w:lvlJc w:val="left"/>
      <w:pPr>
        <w:tabs>
          <w:tab w:val="num" w:pos="3600"/>
        </w:tabs>
        <w:ind w:left="3600" w:hanging="720"/>
      </w:pPr>
    </w:lvl>
    <w:lvl w:ilvl="5" w:tplc="053C3156">
      <w:start w:val="1"/>
      <w:numFmt w:val="decimal"/>
      <w:lvlText w:val="%6."/>
      <w:lvlJc w:val="left"/>
      <w:pPr>
        <w:tabs>
          <w:tab w:val="num" w:pos="4320"/>
        </w:tabs>
        <w:ind w:left="4320" w:hanging="720"/>
      </w:pPr>
    </w:lvl>
    <w:lvl w:ilvl="6" w:tplc="40C4349C">
      <w:start w:val="1"/>
      <w:numFmt w:val="decimal"/>
      <w:lvlText w:val="%7."/>
      <w:lvlJc w:val="left"/>
      <w:pPr>
        <w:tabs>
          <w:tab w:val="num" w:pos="5040"/>
        </w:tabs>
        <w:ind w:left="5040" w:hanging="720"/>
      </w:pPr>
    </w:lvl>
    <w:lvl w:ilvl="7" w:tplc="D22469F0">
      <w:start w:val="1"/>
      <w:numFmt w:val="decimal"/>
      <w:lvlText w:val="%8."/>
      <w:lvlJc w:val="left"/>
      <w:pPr>
        <w:tabs>
          <w:tab w:val="num" w:pos="5760"/>
        </w:tabs>
        <w:ind w:left="5760" w:hanging="720"/>
      </w:pPr>
    </w:lvl>
    <w:lvl w:ilvl="8" w:tplc="9AD6A4A8">
      <w:start w:val="1"/>
      <w:numFmt w:val="decimal"/>
      <w:lvlText w:val="%9."/>
      <w:lvlJc w:val="left"/>
      <w:pPr>
        <w:tabs>
          <w:tab w:val="num" w:pos="6480"/>
        </w:tabs>
        <w:ind w:left="6480" w:hanging="720"/>
      </w:pPr>
    </w:lvl>
  </w:abstractNum>
  <w:abstractNum w:abstractNumId="108" w15:restartNumberingAfterBreak="0">
    <w:nsid w:val="673368E1"/>
    <w:multiLevelType w:val="hybridMultilevel"/>
    <w:tmpl w:val="AD82C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68C11287"/>
    <w:multiLevelType w:val="hybridMultilevel"/>
    <w:tmpl w:val="FA5AD422"/>
    <w:lvl w:ilvl="0" w:tplc="3A4A8F32">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69C0476E"/>
    <w:multiLevelType w:val="hybridMultilevel"/>
    <w:tmpl w:val="2EE0A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A1333BF"/>
    <w:multiLevelType w:val="hybridMultilevel"/>
    <w:tmpl w:val="DBD04E0A"/>
    <w:lvl w:ilvl="0" w:tplc="08090005">
      <w:start w:val="1"/>
      <w:numFmt w:val="bullet"/>
      <w:lvlText w:val=""/>
      <w:lvlJc w:val="left"/>
      <w:pPr>
        <w:ind w:left="1046" w:hanging="360"/>
      </w:pPr>
      <w:rPr>
        <w:rFonts w:ascii="Wingdings" w:hAnsi="Wingdings" w:hint="default"/>
      </w:rPr>
    </w:lvl>
    <w:lvl w:ilvl="1" w:tplc="08090003" w:tentative="1">
      <w:start w:val="1"/>
      <w:numFmt w:val="bullet"/>
      <w:lvlText w:val="o"/>
      <w:lvlJc w:val="left"/>
      <w:pPr>
        <w:ind w:left="1766" w:hanging="360"/>
      </w:pPr>
      <w:rPr>
        <w:rFonts w:ascii="Courier New" w:hAnsi="Courier New" w:cs="Courier New" w:hint="default"/>
      </w:rPr>
    </w:lvl>
    <w:lvl w:ilvl="2" w:tplc="08090005" w:tentative="1">
      <w:start w:val="1"/>
      <w:numFmt w:val="bullet"/>
      <w:lvlText w:val=""/>
      <w:lvlJc w:val="left"/>
      <w:pPr>
        <w:ind w:left="2486" w:hanging="360"/>
      </w:pPr>
      <w:rPr>
        <w:rFonts w:ascii="Wingdings" w:hAnsi="Wingdings" w:hint="default"/>
      </w:rPr>
    </w:lvl>
    <w:lvl w:ilvl="3" w:tplc="08090001" w:tentative="1">
      <w:start w:val="1"/>
      <w:numFmt w:val="bullet"/>
      <w:lvlText w:val=""/>
      <w:lvlJc w:val="left"/>
      <w:pPr>
        <w:ind w:left="3206" w:hanging="360"/>
      </w:pPr>
      <w:rPr>
        <w:rFonts w:ascii="Symbol" w:hAnsi="Symbol" w:hint="default"/>
      </w:rPr>
    </w:lvl>
    <w:lvl w:ilvl="4" w:tplc="08090003" w:tentative="1">
      <w:start w:val="1"/>
      <w:numFmt w:val="bullet"/>
      <w:lvlText w:val="o"/>
      <w:lvlJc w:val="left"/>
      <w:pPr>
        <w:ind w:left="3926" w:hanging="360"/>
      </w:pPr>
      <w:rPr>
        <w:rFonts w:ascii="Courier New" w:hAnsi="Courier New" w:cs="Courier New" w:hint="default"/>
      </w:rPr>
    </w:lvl>
    <w:lvl w:ilvl="5" w:tplc="08090005" w:tentative="1">
      <w:start w:val="1"/>
      <w:numFmt w:val="bullet"/>
      <w:lvlText w:val=""/>
      <w:lvlJc w:val="left"/>
      <w:pPr>
        <w:ind w:left="4646" w:hanging="360"/>
      </w:pPr>
      <w:rPr>
        <w:rFonts w:ascii="Wingdings" w:hAnsi="Wingdings" w:hint="default"/>
      </w:rPr>
    </w:lvl>
    <w:lvl w:ilvl="6" w:tplc="08090001" w:tentative="1">
      <w:start w:val="1"/>
      <w:numFmt w:val="bullet"/>
      <w:lvlText w:val=""/>
      <w:lvlJc w:val="left"/>
      <w:pPr>
        <w:ind w:left="5366" w:hanging="360"/>
      </w:pPr>
      <w:rPr>
        <w:rFonts w:ascii="Symbol" w:hAnsi="Symbol" w:hint="default"/>
      </w:rPr>
    </w:lvl>
    <w:lvl w:ilvl="7" w:tplc="08090003" w:tentative="1">
      <w:start w:val="1"/>
      <w:numFmt w:val="bullet"/>
      <w:lvlText w:val="o"/>
      <w:lvlJc w:val="left"/>
      <w:pPr>
        <w:ind w:left="6086" w:hanging="360"/>
      </w:pPr>
      <w:rPr>
        <w:rFonts w:ascii="Courier New" w:hAnsi="Courier New" w:cs="Courier New" w:hint="default"/>
      </w:rPr>
    </w:lvl>
    <w:lvl w:ilvl="8" w:tplc="08090005" w:tentative="1">
      <w:start w:val="1"/>
      <w:numFmt w:val="bullet"/>
      <w:lvlText w:val=""/>
      <w:lvlJc w:val="left"/>
      <w:pPr>
        <w:ind w:left="6806" w:hanging="360"/>
      </w:pPr>
      <w:rPr>
        <w:rFonts w:ascii="Wingdings" w:hAnsi="Wingdings" w:hint="default"/>
      </w:rPr>
    </w:lvl>
  </w:abstractNum>
  <w:abstractNum w:abstractNumId="112" w15:restartNumberingAfterBreak="0">
    <w:nsid w:val="6B0144E6"/>
    <w:multiLevelType w:val="hybridMultilevel"/>
    <w:tmpl w:val="F2787E94"/>
    <w:lvl w:ilvl="0" w:tplc="08090001">
      <w:start w:val="1"/>
      <w:numFmt w:val="bullet"/>
      <w:lvlText w:val=""/>
      <w:lvlJc w:val="left"/>
      <w:pPr>
        <w:ind w:left="372"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3" w15:restartNumberingAfterBreak="0">
    <w:nsid w:val="6C4C658C"/>
    <w:multiLevelType w:val="hybridMultilevel"/>
    <w:tmpl w:val="FFFFFFFF"/>
    <w:lvl w:ilvl="0" w:tplc="F2F2BB22">
      <w:start w:val="1"/>
      <w:numFmt w:val="bullet"/>
      <w:lvlText w:val="·"/>
      <w:lvlJc w:val="left"/>
      <w:pPr>
        <w:ind w:left="720" w:hanging="360"/>
      </w:pPr>
      <w:rPr>
        <w:rFonts w:ascii="Symbol" w:hAnsi="Symbol" w:hint="default"/>
      </w:rPr>
    </w:lvl>
    <w:lvl w:ilvl="1" w:tplc="A686FC94">
      <w:start w:val="1"/>
      <w:numFmt w:val="bullet"/>
      <w:lvlText w:val="o"/>
      <w:lvlJc w:val="left"/>
      <w:pPr>
        <w:ind w:left="1440" w:hanging="360"/>
      </w:pPr>
      <w:rPr>
        <w:rFonts w:ascii="Courier New" w:hAnsi="Courier New" w:hint="default"/>
      </w:rPr>
    </w:lvl>
    <w:lvl w:ilvl="2" w:tplc="85FA70C0">
      <w:start w:val="1"/>
      <w:numFmt w:val="bullet"/>
      <w:lvlText w:val=""/>
      <w:lvlJc w:val="left"/>
      <w:pPr>
        <w:ind w:left="2160" w:hanging="360"/>
      </w:pPr>
      <w:rPr>
        <w:rFonts w:ascii="Wingdings" w:hAnsi="Wingdings" w:hint="default"/>
      </w:rPr>
    </w:lvl>
    <w:lvl w:ilvl="3" w:tplc="F904D9FA">
      <w:start w:val="1"/>
      <w:numFmt w:val="bullet"/>
      <w:lvlText w:val=""/>
      <w:lvlJc w:val="left"/>
      <w:pPr>
        <w:ind w:left="2880" w:hanging="360"/>
      </w:pPr>
      <w:rPr>
        <w:rFonts w:ascii="Symbol" w:hAnsi="Symbol" w:hint="default"/>
      </w:rPr>
    </w:lvl>
    <w:lvl w:ilvl="4" w:tplc="CC649F16">
      <w:start w:val="1"/>
      <w:numFmt w:val="bullet"/>
      <w:lvlText w:val="o"/>
      <w:lvlJc w:val="left"/>
      <w:pPr>
        <w:ind w:left="3600" w:hanging="360"/>
      </w:pPr>
      <w:rPr>
        <w:rFonts w:ascii="Courier New" w:hAnsi="Courier New" w:hint="default"/>
      </w:rPr>
    </w:lvl>
    <w:lvl w:ilvl="5" w:tplc="C0B44836">
      <w:start w:val="1"/>
      <w:numFmt w:val="bullet"/>
      <w:lvlText w:val=""/>
      <w:lvlJc w:val="left"/>
      <w:pPr>
        <w:ind w:left="4320" w:hanging="360"/>
      </w:pPr>
      <w:rPr>
        <w:rFonts w:ascii="Wingdings" w:hAnsi="Wingdings" w:hint="default"/>
      </w:rPr>
    </w:lvl>
    <w:lvl w:ilvl="6" w:tplc="C5D071E0">
      <w:start w:val="1"/>
      <w:numFmt w:val="bullet"/>
      <w:lvlText w:val=""/>
      <w:lvlJc w:val="left"/>
      <w:pPr>
        <w:ind w:left="5040" w:hanging="360"/>
      </w:pPr>
      <w:rPr>
        <w:rFonts w:ascii="Symbol" w:hAnsi="Symbol" w:hint="default"/>
      </w:rPr>
    </w:lvl>
    <w:lvl w:ilvl="7" w:tplc="0BE01208">
      <w:start w:val="1"/>
      <w:numFmt w:val="bullet"/>
      <w:lvlText w:val="o"/>
      <w:lvlJc w:val="left"/>
      <w:pPr>
        <w:ind w:left="5760" w:hanging="360"/>
      </w:pPr>
      <w:rPr>
        <w:rFonts w:ascii="Courier New" w:hAnsi="Courier New" w:hint="default"/>
      </w:rPr>
    </w:lvl>
    <w:lvl w:ilvl="8" w:tplc="19C861AA">
      <w:start w:val="1"/>
      <w:numFmt w:val="bullet"/>
      <w:lvlText w:val=""/>
      <w:lvlJc w:val="left"/>
      <w:pPr>
        <w:ind w:left="6480" w:hanging="360"/>
      </w:pPr>
      <w:rPr>
        <w:rFonts w:ascii="Wingdings" w:hAnsi="Wingdings" w:hint="default"/>
      </w:rPr>
    </w:lvl>
  </w:abstractNum>
  <w:abstractNum w:abstractNumId="114" w15:restartNumberingAfterBreak="0">
    <w:nsid w:val="6C5828E3"/>
    <w:multiLevelType w:val="hybridMultilevel"/>
    <w:tmpl w:val="8E5E29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 w15:restartNumberingAfterBreak="0">
    <w:nsid w:val="6C6F2EFC"/>
    <w:multiLevelType w:val="hybridMultilevel"/>
    <w:tmpl w:val="66C65342"/>
    <w:lvl w:ilvl="0" w:tplc="2DC09398">
      <w:start w:val="1"/>
      <w:numFmt w:val="lowerRoman"/>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6" w15:restartNumberingAfterBreak="0">
    <w:nsid w:val="6DCF7112"/>
    <w:multiLevelType w:val="hybridMultilevel"/>
    <w:tmpl w:val="7C265CFE"/>
    <w:lvl w:ilvl="0" w:tplc="01B2803E">
      <w:start w:val="1"/>
      <w:numFmt w:val="decimal"/>
      <w:lvlText w:val="%1."/>
      <w:lvlJc w:val="left"/>
      <w:pPr>
        <w:ind w:left="360" w:hanging="360"/>
      </w:pPr>
      <w:rPr>
        <w:rFonts w:ascii="Segoe UI" w:hAnsi="Segoe UI" w:cs="Segoe UI" w:hint="default"/>
        <w:b w:val="0"/>
        <w:i w:val="0"/>
        <w:color w:val="000000" w:themeColor="text1"/>
        <w:sz w:val="22"/>
        <w:szCs w:val="22"/>
      </w:rPr>
    </w:lvl>
    <w:lvl w:ilvl="1" w:tplc="0409000B">
      <w:start w:val="1"/>
      <w:numFmt w:val="bullet"/>
      <w:lvlText w:val=""/>
      <w:lvlJc w:val="left"/>
      <w:pPr>
        <w:ind w:left="1080" w:hanging="360"/>
      </w:pPr>
      <w:rPr>
        <w:rFonts w:ascii="Wingdings" w:hAnsi="Wingdings" w:hint="default"/>
      </w:rPr>
    </w:lvl>
    <w:lvl w:ilvl="2" w:tplc="0409000B">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7" w15:restartNumberingAfterBreak="0">
    <w:nsid w:val="6F125B12"/>
    <w:multiLevelType w:val="hybridMultilevel"/>
    <w:tmpl w:val="1E527F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72B14B3A"/>
    <w:multiLevelType w:val="hybridMultilevel"/>
    <w:tmpl w:val="74DEC5CC"/>
    <w:lvl w:ilvl="0" w:tplc="CAAE045A">
      <w:start w:val="1"/>
      <w:numFmt w:val="bullet"/>
      <w:lvlText w:val="·"/>
      <w:lvlJc w:val="left"/>
      <w:pPr>
        <w:ind w:left="720" w:hanging="360"/>
      </w:pPr>
      <w:rPr>
        <w:rFonts w:ascii="Symbol" w:hAnsi="Symbol" w:hint="default"/>
      </w:rPr>
    </w:lvl>
    <w:lvl w:ilvl="1" w:tplc="73CE2F50">
      <w:start w:val="1"/>
      <w:numFmt w:val="bullet"/>
      <w:lvlText w:val="o"/>
      <w:lvlJc w:val="left"/>
      <w:pPr>
        <w:ind w:left="1440" w:hanging="360"/>
      </w:pPr>
      <w:rPr>
        <w:rFonts w:ascii="Courier New" w:hAnsi="Courier New" w:hint="default"/>
      </w:rPr>
    </w:lvl>
    <w:lvl w:ilvl="2" w:tplc="9AA8A9E6">
      <w:start w:val="1"/>
      <w:numFmt w:val="bullet"/>
      <w:lvlText w:val=""/>
      <w:lvlJc w:val="left"/>
      <w:pPr>
        <w:ind w:left="2160" w:hanging="360"/>
      </w:pPr>
      <w:rPr>
        <w:rFonts w:ascii="Wingdings" w:hAnsi="Wingdings" w:hint="default"/>
      </w:rPr>
    </w:lvl>
    <w:lvl w:ilvl="3" w:tplc="5AE45AF0">
      <w:start w:val="1"/>
      <w:numFmt w:val="bullet"/>
      <w:lvlText w:val=""/>
      <w:lvlJc w:val="left"/>
      <w:pPr>
        <w:ind w:left="2880" w:hanging="360"/>
      </w:pPr>
      <w:rPr>
        <w:rFonts w:ascii="Symbol" w:hAnsi="Symbol" w:hint="default"/>
      </w:rPr>
    </w:lvl>
    <w:lvl w:ilvl="4" w:tplc="31029E82">
      <w:start w:val="1"/>
      <w:numFmt w:val="bullet"/>
      <w:lvlText w:val="o"/>
      <w:lvlJc w:val="left"/>
      <w:pPr>
        <w:ind w:left="3600" w:hanging="360"/>
      </w:pPr>
      <w:rPr>
        <w:rFonts w:ascii="Courier New" w:hAnsi="Courier New" w:hint="default"/>
      </w:rPr>
    </w:lvl>
    <w:lvl w:ilvl="5" w:tplc="7B947B1A">
      <w:start w:val="1"/>
      <w:numFmt w:val="bullet"/>
      <w:lvlText w:val=""/>
      <w:lvlJc w:val="left"/>
      <w:pPr>
        <w:ind w:left="4320" w:hanging="360"/>
      </w:pPr>
      <w:rPr>
        <w:rFonts w:ascii="Wingdings" w:hAnsi="Wingdings" w:hint="default"/>
      </w:rPr>
    </w:lvl>
    <w:lvl w:ilvl="6" w:tplc="37902002">
      <w:start w:val="1"/>
      <w:numFmt w:val="bullet"/>
      <w:lvlText w:val=""/>
      <w:lvlJc w:val="left"/>
      <w:pPr>
        <w:ind w:left="5040" w:hanging="360"/>
      </w:pPr>
      <w:rPr>
        <w:rFonts w:ascii="Symbol" w:hAnsi="Symbol" w:hint="default"/>
      </w:rPr>
    </w:lvl>
    <w:lvl w:ilvl="7" w:tplc="68BA48FA">
      <w:start w:val="1"/>
      <w:numFmt w:val="bullet"/>
      <w:lvlText w:val="o"/>
      <w:lvlJc w:val="left"/>
      <w:pPr>
        <w:ind w:left="5760" w:hanging="360"/>
      </w:pPr>
      <w:rPr>
        <w:rFonts w:ascii="Courier New" w:hAnsi="Courier New" w:hint="default"/>
      </w:rPr>
    </w:lvl>
    <w:lvl w:ilvl="8" w:tplc="EF4CCA98">
      <w:start w:val="1"/>
      <w:numFmt w:val="bullet"/>
      <w:lvlText w:val=""/>
      <w:lvlJc w:val="left"/>
      <w:pPr>
        <w:ind w:left="6480" w:hanging="360"/>
      </w:pPr>
      <w:rPr>
        <w:rFonts w:ascii="Wingdings" w:hAnsi="Wingdings" w:hint="default"/>
      </w:rPr>
    </w:lvl>
  </w:abstractNum>
  <w:abstractNum w:abstractNumId="119" w15:restartNumberingAfterBreak="0">
    <w:nsid w:val="73426AF2"/>
    <w:multiLevelType w:val="multilevel"/>
    <w:tmpl w:val="3DE26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52E42FF"/>
    <w:multiLevelType w:val="hybridMultilevel"/>
    <w:tmpl w:val="3962CE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1" w15:restartNumberingAfterBreak="0">
    <w:nsid w:val="766E3BD3"/>
    <w:multiLevelType w:val="hybridMultilevel"/>
    <w:tmpl w:val="8BB63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6DC3343"/>
    <w:multiLevelType w:val="hybridMultilevel"/>
    <w:tmpl w:val="4224D83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3" w15:restartNumberingAfterBreak="0">
    <w:nsid w:val="787A3D9F"/>
    <w:multiLevelType w:val="hybridMultilevel"/>
    <w:tmpl w:val="63DED60A"/>
    <w:lvl w:ilvl="0" w:tplc="B6F0B4B4">
      <w:start w:val="1"/>
      <w:numFmt w:val="bullet"/>
      <w:lvlText w:val="·"/>
      <w:lvlJc w:val="left"/>
      <w:pPr>
        <w:ind w:left="720" w:hanging="360"/>
      </w:pPr>
      <w:rPr>
        <w:rFonts w:ascii="Symbol" w:hAnsi="Symbol" w:hint="default"/>
      </w:rPr>
    </w:lvl>
    <w:lvl w:ilvl="1" w:tplc="F1DAC564">
      <w:start w:val="1"/>
      <w:numFmt w:val="bullet"/>
      <w:lvlText w:val="o"/>
      <w:lvlJc w:val="left"/>
      <w:pPr>
        <w:ind w:left="1440" w:hanging="360"/>
      </w:pPr>
      <w:rPr>
        <w:rFonts w:ascii="Courier New" w:hAnsi="Courier New" w:hint="default"/>
      </w:rPr>
    </w:lvl>
    <w:lvl w:ilvl="2" w:tplc="200A7332">
      <w:start w:val="1"/>
      <w:numFmt w:val="bullet"/>
      <w:lvlText w:val=""/>
      <w:lvlJc w:val="left"/>
      <w:pPr>
        <w:ind w:left="2160" w:hanging="360"/>
      </w:pPr>
      <w:rPr>
        <w:rFonts w:ascii="Wingdings" w:hAnsi="Wingdings" w:hint="default"/>
      </w:rPr>
    </w:lvl>
    <w:lvl w:ilvl="3" w:tplc="B4EC41AC">
      <w:start w:val="1"/>
      <w:numFmt w:val="bullet"/>
      <w:lvlText w:val=""/>
      <w:lvlJc w:val="left"/>
      <w:pPr>
        <w:ind w:left="2880" w:hanging="360"/>
      </w:pPr>
      <w:rPr>
        <w:rFonts w:ascii="Symbol" w:hAnsi="Symbol" w:hint="default"/>
      </w:rPr>
    </w:lvl>
    <w:lvl w:ilvl="4" w:tplc="C81A2804">
      <w:start w:val="1"/>
      <w:numFmt w:val="bullet"/>
      <w:lvlText w:val="o"/>
      <w:lvlJc w:val="left"/>
      <w:pPr>
        <w:ind w:left="3600" w:hanging="360"/>
      </w:pPr>
      <w:rPr>
        <w:rFonts w:ascii="Courier New" w:hAnsi="Courier New" w:hint="default"/>
      </w:rPr>
    </w:lvl>
    <w:lvl w:ilvl="5" w:tplc="A64EA11A">
      <w:start w:val="1"/>
      <w:numFmt w:val="bullet"/>
      <w:lvlText w:val=""/>
      <w:lvlJc w:val="left"/>
      <w:pPr>
        <w:ind w:left="4320" w:hanging="360"/>
      </w:pPr>
      <w:rPr>
        <w:rFonts w:ascii="Wingdings" w:hAnsi="Wingdings" w:hint="default"/>
      </w:rPr>
    </w:lvl>
    <w:lvl w:ilvl="6" w:tplc="EFA8A240">
      <w:start w:val="1"/>
      <w:numFmt w:val="bullet"/>
      <w:lvlText w:val=""/>
      <w:lvlJc w:val="left"/>
      <w:pPr>
        <w:ind w:left="5040" w:hanging="360"/>
      </w:pPr>
      <w:rPr>
        <w:rFonts w:ascii="Symbol" w:hAnsi="Symbol" w:hint="default"/>
      </w:rPr>
    </w:lvl>
    <w:lvl w:ilvl="7" w:tplc="FA6C896A">
      <w:start w:val="1"/>
      <w:numFmt w:val="bullet"/>
      <w:lvlText w:val="o"/>
      <w:lvlJc w:val="left"/>
      <w:pPr>
        <w:ind w:left="5760" w:hanging="360"/>
      </w:pPr>
      <w:rPr>
        <w:rFonts w:ascii="Courier New" w:hAnsi="Courier New" w:hint="default"/>
      </w:rPr>
    </w:lvl>
    <w:lvl w:ilvl="8" w:tplc="17C89332">
      <w:start w:val="1"/>
      <w:numFmt w:val="bullet"/>
      <w:lvlText w:val=""/>
      <w:lvlJc w:val="left"/>
      <w:pPr>
        <w:ind w:left="6480" w:hanging="360"/>
      </w:pPr>
      <w:rPr>
        <w:rFonts w:ascii="Wingdings" w:hAnsi="Wingdings" w:hint="default"/>
      </w:rPr>
    </w:lvl>
  </w:abstractNum>
  <w:abstractNum w:abstractNumId="124" w15:restartNumberingAfterBreak="0">
    <w:nsid w:val="794B73E7"/>
    <w:multiLevelType w:val="hybridMultilevel"/>
    <w:tmpl w:val="5622B5A8"/>
    <w:lvl w:ilvl="0" w:tplc="5FF6D906">
      <w:start w:val="1"/>
      <w:numFmt w:val="bullet"/>
      <w:lvlText w:val=""/>
      <w:lvlJc w:val="left"/>
      <w:pPr>
        <w:ind w:left="720" w:hanging="360"/>
      </w:pPr>
      <w:rPr>
        <w:rFonts w:ascii="Symbol" w:hAnsi="Symbol" w:hint="default"/>
      </w:rPr>
    </w:lvl>
    <w:lvl w:ilvl="1" w:tplc="699ADA9A">
      <w:start w:val="1"/>
      <w:numFmt w:val="bullet"/>
      <w:lvlText w:val="o"/>
      <w:lvlJc w:val="left"/>
      <w:pPr>
        <w:ind w:left="1440" w:hanging="360"/>
      </w:pPr>
      <w:rPr>
        <w:rFonts w:ascii="Courier New" w:hAnsi="Courier New" w:hint="default"/>
      </w:rPr>
    </w:lvl>
    <w:lvl w:ilvl="2" w:tplc="C9DED2F4">
      <w:start w:val="1"/>
      <w:numFmt w:val="bullet"/>
      <w:lvlText w:val=""/>
      <w:lvlJc w:val="left"/>
      <w:pPr>
        <w:ind w:left="2160" w:hanging="360"/>
      </w:pPr>
      <w:rPr>
        <w:rFonts w:ascii="Wingdings" w:hAnsi="Wingdings" w:hint="default"/>
      </w:rPr>
    </w:lvl>
    <w:lvl w:ilvl="3" w:tplc="954050B0">
      <w:start w:val="1"/>
      <w:numFmt w:val="bullet"/>
      <w:lvlText w:val=""/>
      <w:lvlJc w:val="left"/>
      <w:pPr>
        <w:ind w:left="2880" w:hanging="360"/>
      </w:pPr>
      <w:rPr>
        <w:rFonts w:ascii="Symbol" w:hAnsi="Symbol" w:hint="default"/>
      </w:rPr>
    </w:lvl>
    <w:lvl w:ilvl="4" w:tplc="EC8C4700">
      <w:start w:val="1"/>
      <w:numFmt w:val="bullet"/>
      <w:lvlText w:val="o"/>
      <w:lvlJc w:val="left"/>
      <w:pPr>
        <w:ind w:left="3600" w:hanging="360"/>
      </w:pPr>
      <w:rPr>
        <w:rFonts w:ascii="Courier New" w:hAnsi="Courier New" w:hint="default"/>
      </w:rPr>
    </w:lvl>
    <w:lvl w:ilvl="5" w:tplc="1C4E57E0">
      <w:start w:val="1"/>
      <w:numFmt w:val="bullet"/>
      <w:lvlText w:val=""/>
      <w:lvlJc w:val="left"/>
      <w:pPr>
        <w:ind w:left="4320" w:hanging="360"/>
      </w:pPr>
      <w:rPr>
        <w:rFonts w:ascii="Wingdings" w:hAnsi="Wingdings" w:hint="default"/>
      </w:rPr>
    </w:lvl>
    <w:lvl w:ilvl="6" w:tplc="933267A2">
      <w:start w:val="1"/>
      <w:numFmt w:val="bullet"/>
      <w:lvlText w:val=""/>
      <w:lvlJc w:val="left"/>
      <w:pPr>
        <w:ind w:left="5040" w:hanging="360"/>
      </w:pPr>
      <w:rPr>
        <w:rFonts w:ascii="Symbol" w:hAnsi="Symbol" w:hint="default"/>
      </w:rPr>
    </w:lvl>
    <w:lvl w:ilvl="7" w:tplc="284076E4">
      <w:start w:val="1"/>
      <w:numFmt w:val="bullet"/>
      <w:lvlText w:val="o"/>
      <w:lvlJc w:val="left"/>
      <w:pPr>
        <w:ind w:left="5760" w:hanging="360"/>
      </w:pPr>
      <w:rPr>
        <w:rFonts w:ascii="Courier New" w:hAnsi="Courier New" w:hint="default"/>
      </w:rPr>
    </w:lvl>
    <w:lvl w:ilvl="8" w:tplc="85440146">
      <w:start w:val="1"/>
      <w:numFmt w:val="bullet"/>
      <w:lvlText w:val=""/>
      <w:lvlJc w:val="left"/>
      <w:pPr>
        <w:ind w:left="6480" w:hanging="360"/>
      </w:pPr>
      <w:rPr>
        <w:rFonts w:ascii="Wingdings" w:hAnsi="Wingdings" w:hint="default"/>
      </w:rPr>
    </w:lvl>
  </w:abstractNum>
  <w:abstractNum w:abstractNumId="125" w15:restartNumberingAfterBreak="0">
    <w:nsid w:val="7AB53534"/>
    <w:multiLevelType w:val="hybridMultilevel"/>
    <w:tmpl w:val="750A6F66"/>
    <w:lvl w:ilvl="0" w:tplc="3D86BB02">
      <w:start w:val="1"/>
      <w:numFmt w:val="bullet"/>
      <w:lvlText w:val="•"/>
      <w:lvlJc w:val="left"/>
      <w:pPr>
        <w:tabs>
          <w:tab w:val="num" w:pos="720"/>
        </w:tabs>
        <w:ind w:left="720" w:hanging="360"/>
      </w:pPr>
      <w:rPr>
        <w:rFonts w:ascii="Arial" w:hAnsi="Arial" w:hint="default"/>
      </w:rPr>
    </w:lvl>
    <w:lvl w:ilvl="1" w:tplc="CA940678" w:tentative="1">
      <w:start w:val="1"/>
      <w:numFmt w:val="bullet"/>
      <w:lvlText w:val="•"/>
      <w:lvlJc w:val="left"/>
      <w:pPr>
        <w:tabs>
          <w:tab w:val="num" w:pos="1440"/>
        </w:tabs>
        <w:ind w:left="1440" w:hanging="360"/>
      </w:pPr>
      <w:rPr>
        <w:rFonts w:ascii="Arial" w:hAnsi="Arial" w:hint="default"/>
      </w:rPr>
    </w:lvl>
    <w:lvl w:ilvl="2" w:tplc="67941FD2" w:tentative="1">
      <w:start w:val="1"/>
      <w:numFmt w:val="bullet"/>
      <w:lvlText w:val="•"/>
      <w:lvlJc w:val="left"/>
      <w:pPr>
        <w:tabs>
          <w:tab w:val="num" w:pos="2160"/>
        </w:tabs>
        <w:ind w:left="2160" w:hanging="360"/>
      </w:pPr>
      <w:rPr>
        <w:rFonts w:ascii="Arial" w:hAnsi="Arial" w:hint="default"/>
      </w:rPr>
    </w:lvl>
    <w:lvl w:ilvl="3" w:tplc="05887108">
      <w:start w:val="1"/>
      <w:numFmt w:val="bullet"/>
      <w:lvlText w:val="•"/>
      <w:lvlJc w:val="left"/>
      <w:pPr>
        <w:tabs>
          <w:tab w:val="num" w:pos="2880"/>
        </w:tabs>
        <w:ind w:left="2880" w:hanging="360"/>
      </w:pPr>
      <w:rPr>
        <w:rFonts w:ascii="Arial" w:hAnsi="Arial" w:hint="default"/>
      </w:rPr>
    </w:lvl>
    <w:lvl w:ilvl="4" w:tplc="D08AC220" w:tentative="1">
      <w:start w:val="1"/>
      <w:numFmt w:val="bullet"/>
      <w:lvlText w:val="•"/>
      <w:lvlJc w:val="left"/>
      <w:pPr>
        <w:tabs>
          <w:tab w:val="num" w:pos="3600"/>
        </w:tabs>
        <w:ind w:left="3600" w:hanging="360"/>
      </w:pPr>
      <w:rPr>
        <w:rFonts w:ascii="Arial" w:hAnsi="Arial" w:hint="default"/>
      </w:rPr>
    </w:lvl>
    <w:lvl w:ilvl="5" w:tplc="DAFC8588" w:tentative="1">
      <w:start w:val="1"/>
      <w:numFmt w:val="bullet"/>
      <w:lvlText w:val="•"/>
      <w:lvlJc w:val="left"/>
      <w:pPr>
        <w:tabs>
          <w:tab w:val="num" w:pos="4320"/>
        </w:tabs>
        <w:ind w:left="4320" w:hanging="360"/>
      </w:pPr>
      <w:rPr>
        <w:rFonts w:ascii="Arial" w:hAnsi="Arial" w:hint="default"/>
      </w:rPr>
    </w:lvl>
    <w:lvl w:ilvl="6" w:tplc="112AE7B6" w:tentative="1">
      <w:start w:val="1"/>
      <w:numFmt w:val="bullet"/>
      <w:lvlText w:val="•"/>
      <w:lvlJc w:val="left"/>
      <w:pPr>
        <w:tabs>
          <w:tab w:val="num" w:pos="5040"/>
        </w:tabs>
        <w:ind w:left="5040" w:hanging="360"/>
      </w:pPr>
      <w:rPr>
        <w:rFonts w:ascii="Arial" w:hAnsi="Arial" w:hint="default"/>
      </w:rPr>
    </w:lvl>
    <w:lvl w:ilvl="7" w:tplc="ECEEF87C" w:tentative="1">
      <w:start w:val="1"/>
      <w:numFmt w:val="bullet"/>
      <w:lvlText w:val="•"/>
      <w:lvlJc w:val="left"/>
      <w:pPr>
        <w:tabs>
          <w:tab w:val="num" w:pos="5760"/>
        </w:tabs>
        <w:ind w:left="5760" w:hanging="360"/>
      </w:pPr>
      <w:rPr>
        <w:rFonts w:ascii="Arial" w:hAnsi="Arial" w:hint="default"/>
      </w:rPr>
    </w:lvl>
    <w:lvl w:ilvl="8" w:tplc="4D6EF0F8" w:tentative="1">
      <w:start w:val="1"/>
      <w:numFmt w:val="bullet"/>
      <w:lvlText w:val="•"/>
      <w:lvlJc w:val="left"/>
      <w:pPr>
        <w:tabs>
          <w:tab w:val="num" w:pos="6480"/>
        </w:tabs>
        <w:ind w:left="6480" w:hanging="360"/>
      </w:pPr>
      <w:rPr>
        <w:rFonts w:ascii="Arial" w:hAnsi="Arial" w:hint="default"/>
      </w:rPr>
    </w:lvl>
  </w:abstractNum>
  <w:abstractNum w:abstractNumId="126" w15:restartNumberingAfterBreak="0">
    <w:nsid w:val="7C133A60"/>
    <w:multiLevelType w:val="hybridMultilevel"/>
    <w:tmpl w:val="8604BFCE"/>
    <w:lvl w:ilvl="0" w:tplc="5DE6A6C6">
      <w:start w:val="5"/>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7" w15:restartNumberingAfterBreak="0">
    <w:nsid w:val="7C593641"/>
    <w:multiLevelType w:val="hybridMultilevel"/>
    <w:tmpl w:val="8EF82970"/>
    <w:lvl w:ilvl="0" w:tplc="F910A6F6">
      <w:numFmt w:val="bullet"/>
      <w:pStyle w:val="Enumlev1"/>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7CAF0F43"/>
    <w:multiLevelType w:val="hybridMultilevel"/>
    <w:tmpl w:val="54BC04CC"/>
    <w:lvl w:ilvl="0" w:tplc="5BE624B8">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29" w15:restartNumberingAfterBreak="0">
    <w:nsid w:val="7E042F4A"/>
    <w:multiLevelType w:val="multilevel"/>
    <w:tmpl w:val="B7B2C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E4F74B6"/>
    <w:multiLevelType w:val="hybridMultilevel"/>
    <w:tmpl w:val="77D2376E"/>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31" w15:restartNumberingAfterBreak="0">
    <w:nsid w:val="7F5A0540"/>
    <w:multiLevelType w:val="hybridMultilevel"/>
    <w:tmpl w:val="8814F0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3"/>
  </w:num>
  <w:num w:numId="2">
    <w:abstractNumId w:val="124"/>
  </w:num>
  <w:num w:numId="3">
    <w:abstractNumId w:val="123"/>
  </w:num>
  <w:num w:numId="4">
    <w:abstractNumId w:val="37"/>
  </w:num>
  <w:num w:numId="5">
    <w:abstractNumId w:val="92"/>
  </w:num>
  <w:num w:numId="6">
    <w:abstractNumId w:val="75"/>
  </w:num>
  <w:num w:numId="7">
    <w:abstractNumId w:val="82"/>
  </w:num>
  <w:num w:numId="8">
    <w:abstractNumId w:val="15"/>
  </w:num>
  <w:num w:numId="9">
    <w:abstractNumId w:val="104"/>
  </w:num>
  <w:num w:numId="10">
    <w:abstractNumId w:val="67"/>
  </w:num>
  <w:num w:numId="11">
    <w:abstractNumId w:val="40"/>
  </w:num>
  <w:num w:numId="12">
    <w:abstractNumId w:val="118"/>
  </w:num>
  <w:num w:numId="13">
    <w:abstractNumId w:val="79"/>
  </w:num>
  <w:num w:numId="14">
    <w:abstractNumId w:val="20"/>
  </w:num>
  <w:num w:numId="15">
    <w:abstractNumId w:val="20"/>
    <w:lvlOverride w:ilvl="0">
      <w:startOverride w:val="1"/>
    </w:lvlOverride>
  </w:num>
  <w:num w:numId="16">
    <w:abstractNumId w:val="127"/>
  </w:num>
  <w:num w:numId="17">
    <w:abstractNumId w:val="110"/>
  </w:num>
  <w:num w:numId="18">
    <w:abstractNumId w:val="76"/>
  </w:num>
  <w:num w:numId="19">
    <w:abstractNumId w:val="34"/>
  </w:num>
  <w:num w:numId="20">
    <w:abstractNumId w:val="27"/>
  </w:num>
  <w:num w:numId="21">
    <w:abstractNumId w:val="54"/>
  </w:num>
  <w:num w:numId="22">
    <w:abstractNumId w:val="17"/>
  </w:num>
  <w:num w:numId="23">
    <w:abstractNumId w:val="128"/>
  </w:num>
  <w:num w:numId="24">
    <w:abstractNumId w:val="46"/>
  </w:num>
  <w:num w:numId="25">
    <w:abstractNumId w:val="35"/>
  </w:num>
  <w:num w:numId="26">
    <w:abstractNumId w:val="60"/>
  </w:num>
  <w:num w:numId="27">
    <w:abstractNumId w:val="130"/>
  </w:num>
  <w:num w:numId="28">
    <w:abstractNumId w:val="52"/>
  </w:num>
  <w:num w:numId="29">
    <w:abstractNumId w:val="10"/>
  </w:num>
  <w:num w:numId="30">
    <w:abstractNumId w:val="87"/>
  </w:num>
  <w:num w:numId="31">
    <w:abstractNumId w:val="31"/>
  </w:num>
  <w:num w:numId="32">
    <w:abstractNumId w:val="90"/>
  </w:num>
  <w:num w:numId="33">
    <w:abstractNumId w:val="120"/>
  </w:num>
  <w:num w:numId="34">
    <w:abstractNumId w:val="94"/>
  </w:num>
  <w:num w:numId="35">
    <w:abstractNumId w:val="131"/>
  </w:num>
  <w:num w:numId="36">
    <w:abstractNumId w:val="65"/>
  </w:num>
  <w:num w:numId="37">
    <w:abstractNumId w:val="69"/>
  </w:num>
  <w:num w:numId="38">
    <w:abstractNumId w:val="23"/>
  </w:num>
  <w:num w:numId="39">
    <w:abstractNumId w:val="3"/>
  </w:num>
  <w:num w:numId="40">
    <w:abstractNumId w:val="29"/>
  </w:num>
  <w:num w:numId="41">
    <w:abstractNumId w:val="24"/>
  </w:num>
  <w:num w:numId="42">
    <w:abstractNumId w:val="45"/>
  </w:num>
  <w:num w:numId="43">
    <w:abstractNumId w:val="81"/>
  </w:num>
  <w:num w:numId="44">
    <w:abstractNumId w:val="71"/>
  </w:num>
  <w:num w:numId="45">
    <w:abstractNumId w:val="21"/>
  </w:num>
  <w:num w:numId="46">
    <w:abstractNumId w:val="86"/>
  </w:num>
  <w:num w:numId="47">
    <w:abstractNumId w:val="112"/>
  </w:num>
  <w:num w:numId="48">
    <w:abstractNumId w:val="106"/>
  </w:num>
  <w:num w:numId="49">
    <w:abstractNumId w:val="73"/>
  </w:num>
  <w:num w:numId="50">
    <w:abstractNumId w:val="78"/>
  </w:num>
  <w:num w:numId="51">
    <w:abstractNumId w:val="109"/>
  </w:num>
  <w:num w:numId="52">
    <w:abstractNumId w:val="72"/>
  </w:num>
  <w:num w:numId="53">
    <w:abstractNumId w:val="58"/>
  </w:num>
  <w:num w:numId="54">
    <w:abstractNumId w:val="121"/>
  </w:num>
  <w:num w:numId="55">
    <w:abstractNumId w:val="114"/>
  </w:num>
  <w:num w:numId="56">
    <w:abstractNumId w:val="105"/>
  </w:num>
  <w:num w:numId="57">
    <w:abstractNumId w:val="107"/>
  </w:num>
  <w:num w:numId="58">
    <w:abstractNumId w:val="39"/>
  </w:num>
  <w:num w:numId="59">
    <w:abstractNumId w:val="117"/>
  </w:num>
  <w:num w:numId="60">
    <w:abstractNumId w:val="16"/>
  </w:num>
  <w:num w:numId="61">
    <w:abstractNumId w:val="48"/>
  </w:num>
  <w:num w:numId="62">
    <w:abstractNumId w:val="66"/>
  </w:num>
  <w:num w:numId="63">
    <w:abstractNumId w:val="5"/>
  </w:num>
  <w:num w:numId="64">
    <w:abstractNumId w:val="14"/>
  </w:num>
  <w:num w:numId="65">
    <w:abstractNumId w:val="4"/>
  </w:num>
  <w:num w:numId="66">
    <w:abstractNumId w:val="98"/>
  </w:num>
  <w:num w:numId="67">
    <w:abstractNumId w:val="80"/>
  </w:num>
  <w:num w:numId="68">
    <w:abstractNumId w:val="59"/>
  </w:num>
  <w:num w:numId="69">
    <w:abstractNumId w:val="56"/>
  </w:num>
  <w:num w:numId="70">
    <w:abstractNumId w:val="91"/>
  </w:num>
  <w:num w:numId="71">
    <w:abstractNumId w:val="89"/>
  </w:num>
  <w:num w:numId="72">
    <w:abstractNumId w:val="53"/>
  </w:num>
  <w:num w:numId="73">
    <w:abstractNumId w:val="41"/>
  </w:num>
  <w:num w:numId="74">
    <w:abstractNumId w:val="64"/>
  </w:num>
  <w:num w:numId="75">
    <w:abstractNumId w:val="113"/>
  </w:num>
  <w:num w:numId="76">
    <w:abstractNumId w:val="36"/>
  </w:num>
  <w:num w:numId="77">
    <w:abstractNumId w:val="93"/>
  </w:num>
  <w:num w:numId="78">
    <w:abstractNumId w:val="33"/>
  </w:num>
  <w:num w:numId="79">
    <w:abstractNumId w:val="44"/>
  </w:num>
  <w:num w:numId="80">
    <w:abstractNumId w:val="28"/>
  </w:num>
  <w:num w:numId="81">
    <w:abstractNumId w:val="47"/>
  </w:num>
  <w:num w:numId="82">
    <w:abstractNumId w:val="19"/>
  </w:num>
  <w:num w:numId="83">
    <w:abstractNumId w:val="63"/>
  </w:num>
  <w:num w:numId="84">
    <w:abstractNumId w:val="74"/>
  </w:num>
  <w:num w:numId="85">
    <w:abstractNumId w:val="88"/>
  </w:num>
  <w:num w:numId="86">
    <w:abstractNumId w:val="26"/>
  </w:num>
  <w:num w:numId="87">
    <w:abstractNumId w:val="102"/>
  </w:num>
  <w:num w:numId="88">
    <w:abstractNumId w:val="99"/>
  </w:num>
  <w:num w:numId="89">
    <w:abstractNumId w:val="108"/>
  </w:num>
  <w:num w:numId="90">
    <w:abstractNumId w:val="12"/>
  </w:num>
  <w:num w:numId="91">
    <w:abstractNumId w:val="57"/>
  </w:num>
  <w:num w:numId="92">
    <w:abstractNumId w:val="83"/>
  </w:num>
  <w:num w:numId="93">
    <w:abstractNumId w:val="111"/>
  </w:num>
  <w:num w:numId="94">
    <w:abstractNumId w:val="18"/>
  </w:num>
  <w:num w:numId="95">
    <w:abstractNumId w:val="50"/>
  </w:num>
  <w:num w:numId="96">
    <w:abstractNumId w:val="100"/>
  </w:num>
  <w:num w:numId="97">
    <w:abstractNumId w:val="77"/>
  </w:num>
  <w:num w:numId="98">
    <w:abstractNumId w:val="61"/>
  </w:num>
  <w:num w:numId="99">
    <w:abstractNumId w:val="84"/>
  </w:num>
  <w:num w:numId="100">
    <w:abstractNumId w:val="32"/>
  </w:num>
  <w:num w:numId="101">
    <w:abstractNumId w:val="96"/>
  </w:num>
  <w:num w:numId="102">
    <w:abstractNumId w:val="38"/>
  </w:num>
  <w:num w:numId="103">
    <w:abstractNumId w:val="101"/>
  </w:num>
  <w:num w:numId="104">
    <w:abstractNumId w:val="119"/>
  </w:num>
  <w:num w:numId="105">
    <w:abstractNumId w:val="49"/>
  </w:num>
  <w:num w:numId="106">
    <w:abstractNumId w:val="95"/>
  </w:num>
  <w:num w:numId="107">
    <w:abstractNumId w:val="68"/>
  </w:num>
  <w:num w:numId="108">
    <w:abstractNumId w:val="0"/>
  </w:num>
  <w:num w:numId="109">
    <w:abstractNumId w:val="126"/>
  </w:num>
  <w:num w:numId="110">
    <w:abstractNumId w:val="42"/>
  </w:num>
  <w:num w:numId="111">
    <w:abstractNumId w:val="2"/>
  </w:num>
  <w:num w:numId="112">
    <w:abstractNumId w:val="115"/>
  </w:num>
  <w:num w:numId="113">
    <w:abstractNumId w:val="122"/>
  </w:num>
  <w:num w:numId="114">
    <w:abstractNumId w:val="97"/>
  </w:num>
  <w:num w:numId="115">
    <w:abstractNumId w:val="116"/>
  </w:num>
  <w:num w:numId="116">
    <w:abstractNumId w:val="125"/>
  </w:num>
  <w:num w:numId="117">
    <w:abstractNumId w:val="22"/>
  </w:num>
  <w:num w:numId="118">
    <w:abstractNumId w:val="8"/>
  </w:num>
  <w:num w:numId="119">
    <w:abstractNumId w:val="70"/>
  </w:num>
  <w:num w:numId="120">
    <w:abstractNumId w:val="129"/>
  </w:num>
  <w:num w:numId="121">
    <w:abstractNumId w:val="11"/>
  </w:num>
  <w:num w:numId="122">
    <w:abstractNumId w:val="9"/>
  </w:num>
  <w:num w:numId="123">
    <w:abstractNumId w:val="85"/>
  </w:num>
  <w:num w:numId="124">
    <w:abstractNumId w:val="30"/>
  </w:num>
  <w:num w:numId="125">
    <w:abstractNumId w:val="7"/>
  </w:num>
  <w:num w:numId="126">
    <w:abstractNumId w:val="62"/>
  </w:num>
  <w:num w:numId="127">
    <w:abstractNumId w:val="51"/>
  </w:num>
  <w:num w:numId="128">
    <w:abstractNumId w:val="1"/>
  </w:num>
  <w:num w:numId="129">
    <w:abstractNumId w:val="103"/>
  </w:num>
  <w:num w:numId="130">
    <w:abstractNumId w:val="6"/>
  </w:num>
  <w:num w:numId="131">
    <w:abstractNumId w:val="25"/>
  </w:num>
  <w:num w:numId="132">
    <w:abstractNumId w:val="55"/>
  </w:num>
  <w:num w:numId="133">
    <w:abstractNumId w:val="43"/>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fr-CH" w:vendorID="64" w:dllVersion="6" w:nlCheck="1" w:checkStyle="0"/>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s-ES" w:vendorID="64" w:dllVersion="0" w:nlCheck="1" w:checkStyle="0"/>
  <w:activeWritingStyle w:appName="MSWord" w:lang="es-419" w:vendorID="64" w:dllVersion="0" w:nlCheck="1" w:checkStyle="0"/>
  <w:activeWritingStyle w:appName="MSWord" w:lang="es-419"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es-ES" w:vendorID="64" w:dllVersion="4096" w:nlCheck="1" w:checkStyle="0"/>
  <w:activeWritingStyle w:appName="MSWord" w:lang="es-419" w:vendorID="64" w:dllVersion="4096" w:nlCheck="1" w:checkStyle="0"/>
  <w:activeWritingStyle w:appName="MSWord" w:lang="fr-FR" w:vendorID="64" w:dllVersion="4096" w:nlCheck="1" w:checkStyle="0"/>
  <w:activeWritingStyle w:appName="MSWord" w:lang="en-CA" w:vendorID="64" w:dllVersion="4096" w:nlCheck="1" w:checkStyle="0"/>
  <w:activeWritingStyle w:appName="MSWord" w:lang="en-CA" w:vendorID="64" w:dllVersion="0" w:nlCheck="1" w:checkStyle="0"/>
  <w:activeWritingStyle w:appName="MSWord" w:lang="fr-FR" w:vendorID="64" w:dllVersion="0" w:nlCheck="1" w:checkStyle="0"/>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trackedChanges" w:enforcement="0"/>
  <w:defaultTabStop w:val="567"/>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2DB"/>
    <w:rsid w:val="000004D9"/>
    <w:rsid w:val="000005BA"/>
    <w:rsid w:val="000006D1"/>
    <w:rsid w:val="0000074A"/>
    <w:rsid w:val="00000AF1"/>
    <w:rsid w:val="00000C79"/>
    <w:rsid w:val="00000D5A"/>
    <w:rsid w:val="0000106F"/>
    <w:rsid w:val="00001152"/>
    <w:rsid w:val="000012DA"/>
    <w:rsid w:val="00001306"/>
    <w:rsid w:val="000014DF"/>
    <w:rsid w:val="000015F7"/>
    <w:rsid w:val="0000160D"/>
    <w:rsid w:val="000018B6"/>
    <w:rsid w:val="00001D5E"/>
    <w:rsid w:val="00001DD8"/>
    <w:rsid w:val="00002732"/>
    <w:rsid w:val="00002B77"/>
    <w:rsid w:val="00002C02"/>
    <w:rsid w:val="00002E8D"/>
    <w:rsid w:val="00002F25"/>
    <w:rsid w:val="00003134"/>
    <w:rsid w:val="00003289"/>
    <w:rsid w:val="0000330B"/>
    <w:rsid w:val="0000356D"/>
    <w:rsid w:val="00003603"/>
    <w:rsid w:val="0000372D"/>
    <w:rsid w:val="00003998"/>
    <w:rsid w:val="00003B2F"/>
    <w:rsid w:val="00003C2C"/>
    <w:rsid w:val="00003E4D"/>
    <w:rsid w:val="00003ECF"/>
    <w:rsid w:val="00004347"/>
    <w:rsid w:val="00004508"/>
    <w:rsid w:val="0000456B"/>
    <w:rsid w:val="00004615"/>
    <w:rsid w:val="0000479C"/>
    <w:rsid w:val="00004A11"/>
    <w:rsid w:val="00004CF2"/>
    <w:rsid w:val="00004F77"/>
    <w:rsid w:val="00005338"/>
    <w:rsid w:val="00005792"/>
    <w:rsid w:val="0000590D"/>
    <w:rsid w:val="00005B00"/>
    <w:rsid w:val="00005C73"/>
    <w:rsid w:val="00006242"/>
    <w:rsid w:val="000066BD"/>
    <w:rsid w:val="00006A90"/>
    <w:rsid w:val="00006AC4"/>
    <w:rsid w:val="00006B8F"/>
    <w:rsid w:val="00006D4E"/>
    <w:rsid w:val="00007048"/>
    <w:rsid w:val="000071E3"/>
    <w:rsid w:val="00007542"/>
    <w:rsid w:val="0000763C"/>
    <w:rsid w:val="00007AFA"/>
    <w:rsid w:val="00007D26"/>
    <w:rsid w:val="00007FD3"/>
    <w:rsid w:val="000100DE"/>
    <w:rsid w:val="00010201"/>
    <w:rsid w:val="00010225"/>
    <w:rsid w:val="000102C0"/>
    <w:rsid w:val="000104BF"/>
    <w:rsid w:val="0001068B"/>
    <w:rsid w:val="000108D1"/>
    <w:rsid w:val="00010A7A"/>
    <w:rsid w:val="0001100F"/>
    <w:rsid w:val="0001106E"/>
    <w:rsid w:val="000110D1"/>
    <w:rsid w:val="000113D5"/>
    <w:rsid w:val="00011444"/>
    <w:rsid w:val="00011893"/>
    <w:rsid w:val="00011E14"/>
    <w:rsid w:val="00011E66"/>
    <w:rsid w:val="0001214E"/>
    <w:rsid w:val="00012232"/>
    <w:rsid w:val="000123C1"/>
    <w:rsid w:val="00012653"/>
    <w:rsid w:val="00012C1B"/>
    <w:rsid w:val="00012D78"/>
    <w:rsid w:val="00013056"/>
    <w:rsid w:val="0001306D"/>
    <w:rsid w:val="0001347B"/>
    <w:rsid w:val="0001359C"/>
    <w:rsid w:val="000135C9"/>
    <w:rsid w:val="000135D1"/>
    <w:rsid w:val="00013703"/>
    <w:rsid w:val="000137B6"/>
    <w:rsid w:val="00013BBD"/>
    <w:rsid w:val="00013CE6"/>
    <w:rsid w:val="0001418E"/>
    <w:rsid w:val="00014232"/>
    <w:rsid w:val="0001438B"/>
    <w:rsid w:val="0001457B"/>
    <w:rsid w:val="00014610"/>
    <w:rsid w:val="000148CD"/>
    <w:rsid w:val="00014AA7"/>
    <w:rsid w:val="00014B17"/>
    <w:rsid w:val="00014C0E"/>
    <w:rsid w:val="00014C34"/>
    <w:rsid w:val="00014E1D"/>
    <w:rsid w:val="00014F2E"/>
    <w:rsid w:val="00014F98"/>
    <w:rsid w:val="000151BE"/>
    <w:rsid w:val="000152FB"/>
    <w:rsid w:val="000153CE"/>
    <w:rsid w:val="00015660"/>
    <w:rsid w:val="00015B75"/>
    <w:rsid w:val="00015D07"/>
    <w:rsid w:val="00015E52"/>
    <w:rsid w:val="0001699C"/>
    <w:rsid w:val="000169D6"/>
    <w:rsid w:val="000173AD"/>
    <w:rsid w:val="000179F8"/>
    <w:rsid w:val="00017AC9"/>
    <w:rsid w:val="00017B4C"/>
    <w:rsid w:val="00017B8E"/>
    <w:rsid w:val="00017D94"/>
    <w:rsid w:val="000200B6"/>
    <w:rsid w:val="00020338"/>
    <w:rsid w:val="00020395"/>
    <w:rsid w:val="00020BCE"/>
    <w:rsid w:val="00020C5A"/>
    <w:rsid w:val="00020F2E"/>
    <w:rsid w:val="000212C5"/>
    <w:rsid w:val="00021473"/>
    <w:rsid w:val="000218CC"/>
    <w:rsid w:val="00021D18"/>
    <w:rsid w:val="00022012"/>
    <w:rsid w:val="000223DB"/>
    <w:rsid w:val="000225F6"/>
    <w:rsid w:val="0002273D"/>
    <w:rsid w:val="00022746"/>
    <w:rsid w:val="00022748"/>
    <w:rsid w:val="000229AD"/>
    <w:rsid w:val="00022E93"/>
    <w:rsid w:val="000232B5"/>
    <w:rsid w:val="0002336C"/>
    <w:rsid w:val="0002395D"/>
    <w:rsid w:val="000239D9"/>
    <w:rsid w:val="00023AEB"/>
    <w:rsid w:val="00023C3A"/>
    <w:rsid w:val="00023DFF"/>
    <w:rsid w:val="000241D0"/>
    <w:rsid w:val="000243B3"/>
    <w:rsid w:val="0002446D"/>
    <w:rsid w:val="00024778"/>
    <w:rsid w:val="0002499B"/>
    <w:rsid w:val="00024C5E"/>
    <w:rsid w:val="00024C6F"/>
    <w:rsid w:val="00024DB2"/>
    <w:rsid w:val="00025613"/>
    <w:rsid w:val="00025682"/>
    <w:rsid w:val="00025B09"/>
    <w:rsid w:val="00025B32"/>
    <w:rsid w:val="00025EC9"/>
    <w:rsid w:val="000261E8"/>
    <w:rsid w:val="000265BE"/>
    <w:rsid w:val="00026745"/>
    <w:rsid w:val="000269A3"/>
    <w:rsid w:val="00026F2D"/>
    <w:rsid w:val="000274BD"/>
    <w:rsid w:val="00027663"/>
    <w:rsid w:val="0002766B"/>
    <w:rsid w:val="000277DB"/>
    <w:rsid w:val="00027FBB"/>
    <w:rsid w:val="00030404"/>
    <w:rsid w:val="000307CC"/>
    <w:rsid w:val="00030D96"/>
    <w:rsid w:val="00030E4E"/>
    <w:rsid w:val="00030F14"/>
    <w:rsid w:val="00030F69"/>
    <w:rsid w:val="000310D7"/>
    <w:rsid w:val="0003116D"/>
    <w:rsid w:val="000312E6"/>
    <w:rsid w:val="000319B4"/>
    <w:rsid w:val="00031AA3"/>
    <w:rsid w:val="00031EA3"/>
    <w:rsid w:val="0003249D"/>
    <w:rsid w:val="00032552"/>
    <w:rsid w:val="00032631"/>
    <w:rsid w:val="000326C0"/>
    <w:rsid w:val="00032A8A"/>
    <w:rsid w:val="00032BAE"/>
    <w:rsid w:val="00032BB9"/>
    <w:rsid w:val="0003301C"/>
    <w:rsid w:val="000335E3"/>
    <w:rsid w:val="00033897"/>
    <w:rsid w:val="000338F9"/>
    <w:rsid w:val="00033989"/>
    <w:rsid w:val="000339FC"/>
    <w:rsid w:val="00033C7F"/>
    <w:rsid w:val="00033C92"/>
    <w:rsid w:val="00033D90"/>
    <w:rsid w:val="00033E28"/>
    <w:rsid w:val="00033E50"/>
    <w:rsid w:val="00033E74"/>
    <w:rsid w:val="00033FFD"/>
    <w:rsid w:val="0003402E"/>
    <w:rsid w:val="000344BD"/>
    <w:rsid w:val="000351DB"/>
    <w:rsid w:val="00035240"/>
    <w:rsid w:val="00035368"/>
    <w:rsid w:val="00035801"/>
    <w:rsid w:val="00035B77"/>
    <w:rsid w:val="00035FD8"/>
    <w:rsid w:val="00036181"/>
    <w:rsid w:val="0003624A"/>
    <w:rsid w:val="0003634F"/>
    <w:rsid w:val="000366FF"/>
    <w:rsid w:val="000368E8"/>
    <w:rsid w:val="0003692B"/>
    <w:rsid w:val="00036E3F"/>
    <w:rsid w:val="00037110"/>
    <w:rsid w:val="0003716E"/>
    <w:rsid w:val="000371DA"/>
    <w:rsid w:val="0003775B"/>
    <w:rsid w:val="00037791"/>
    <w:rsid w:val="000378A5"/>
    <w:rsid w:val="00037AA6"/>
    <w:rsid w:val="00037DA9"/>
    <w:rsid w:val="00037E9F"/>
    <w:rsid w:val="000404D5"/>
    <w:rsid w:val="0004060E"/>
    <w:rsid w:val="000407C9"/>
    <w:rsid w:val="00040C9E"/>
    <w:rsid w:val="00040D2A"/>
    <w:rsid w:val="00040F56"/>
    <w:rsid w:val="00040FF3"/>
    <w:rsid w:val="000411E5"/>
    <w:rsid w:val="0004148F"/>
    <w:rsid w:val="0004164C"/>
    <w:rsid w:val="00041794"/>
    <w:rsid w:val="00041B0B"/>
    <w:rsid w:val="00041B97"/>
    <w:rsid w:val="00041DC2"/>
    <w:rsid w:val="000422DC"/>
    <w:rsid w:val="0004236C"/>
    <w:rsid w:val="000423A6"/>
    <w:rsid w:val="00042597"/>
    <w:rsid w:val="000427D3"/>
    <w:rsid w:val="00042BE0"/>
    <w:rsid w:val="00042CD0"/>
    <w:rsid w:val="00043307"/>
    <w:rsid w:val="00043733"/>
    <w:rsid w:val="00043875"/>
    <w:rsid w:val="00043C5A"/>
    <w:rsid w:val="0004463E"/>
    <w:rsid w:val="000446AA"/>
    <w:rsid w:val="00044CF4"/>
    <w:rsid w:val="00044D69"/>
    <w:rsid w:val="00044F3A"/>
    <w:rsid w:val="000450A1"/>
    <w:rsid w:val="0004521E"/>
    <w:rsid w:val="00045A78"/>
    <w:rsid w:val="00045DD8"/>
    <w:rsid w:val="00045E56"/>
    <w:rsid w:val="00045EFF"/>
    <w:rsid w:val="00045FB4"/>
    <w:rsid w:val="0004602C"/>
    <w:rsid w:val="000460E2"/>
    <w:rsid w:val="000462C0"/>
    <w:rsid w:val="000466D8"/>
    <w:rsid w:val="00046AF6"/>
    <w:rsid w:val="00046CA0"/>
    <w:rsid w:val="00046CED"/>
    <w:rsid w:val="00046E65"/>
    <w:rsid w:val="00047156"/>
    <w:rsid w:val="00047261"/>
    <w:rsid w:val="0004727D"/>
    <w:rsid w:val="00047367"/>
    <w:rsid w:val="00047398"/>
    <w:rsid w:val="00047567"/>
    <w:rsid w:val="00047B74"/>
    <w:rsid w:val="00047CCC"/>
    <w:rsid w:val="0005004A"/>
    <w:rsid w:val="00050095"/>
    <w:rsid w:val="00050605"/>
    <w:rsid w:val="00050A68"/>
    <w:rsid w:val="00050AB8"/>
    <w:rsid w:val="00050B32"/>
    <w:rsid w:val="00050D63"/>
    <w:rsid w:val="0005140F"/>
    <w:rsid w:val="00051624"/>
    <w:rsid w:val="00051698"/>
    <w:rsid w:val="00051864"/>
    <w:rsid w:val="00051A2C"/>
    <w:rsid w:val="000526C6"/>
    <w:rsid w:val="000526ED"/>
    <w:rsid w:val="00052934"/>
    <w:rsid w:val="00052C23"/>
    <w:rsid w:val="00052C51"/>
    <w:rsid w:val="00052EBF"/>
    <w:rsid w:val="000530A2"/>
    <w:rsid w:val="00053233"/>
    <w:rsid w:val="000537F5"/>
    <w:rsid w:val="0005380E"/>
    <w:rsid w:val="0005387C"/>
    <w:rsid w:val="00053D21"/>
    <w:rsid w:val="000543F8"/>
    <w:rsid w:val="00054A21"/>
    <w:rsid w:val="00055111"/>
    <w:rsid w:val="00055112"/>
    <w:rsid w:val="00055217"/>
    <w:rsid w:val="00055D1D"/>
    <w:rsid w:val="000562F6"/>
    <w:rsid w:val="000564CD"/>
    <w:rsid w:val="00056865"/>
    <w:rsid w:val="00056ABB"/>
    <w:rsid w:val="00056B0F"/>
    <w:rsid w:val="00056C36"/>
    <w:rsid w:val="00056DD3"/>
    <w:rsid w:val="00057009"/>
    <w:rsid w:val="0005712A"/>
    <w:rsid w:val="000574D5"/>
    <w:rsid w:val="0005765C"/>
    <w:rsid w:val="00057CB9"/>
    <w:rsid w:val="00057FB7"/>
    <w:rsid w:val="000601B3"/>
    <w:rsid w:val="00060480"/>
    <w:rsid w:val="000609A8"/>
    <w:rsid w:val="00060CD6"/>
    <w:rsid w:val="00060E0A"/>
    <w:rsid w:val="00060F98"/>
    <w:rsid w:val="00061288"/>
    <w:rsid w:val="000613B8"/>
    <w:rsid w:val="00061435"/>
    <w:rsid w:val="000614A1"/>
    <w:rsid w:val="0006165C"/>
    <w:rsid w:val="00061CAF"/>
    <w:rsid w:val="00061DDC"/>
    <w:rsid w:val="00061FC3"/>
    <w:rsid w:val="000622D9"/>
    <w:rsid w:val="000626E6"/>
    <w:rsid w:val="0006395A"/>
    <w:rsid w:val="00063D10"/>
    <w:rsid w:val="00063DB0"/>
    <w:rsid w:val="00064392"/>
    <w:rsid w:val="00064928"/>
    <w:rsid w:val="0006495A"/>
    <w:rsid w:val="00064BFD"/>
    <w:rsid w:val="00064C63"/>
    <w:rsid w:val="00064E0B"/>
    <w:rsid w:val="000653BF"/>
    <w:rsid w:val="00065DBE"/>
    <w:rsid w:val="00065EF0"/>
    <w:rsid w:val="00065F24"/>
    <w:rsid w:val="000661CE"/>
    <w:rsid w:val="0006642F"/>
    <w:rsid w:val="00066540"/>
    <w:rsid w:val="000669B9"/>
    <w:rsid w:val="00066A7A"/>
    <w:rsid w:val="00066DC5"/>
    <w:rsid w:val="00066FE2"/>
    <w:rsid w:val="000674CF"/>
    <w:rsid w:val="000674E7"/>
    <w:rsid w:val="000676A4"/>
    <w:rsid w:val="000676B1"/>
    <w:rsid w:val="000677F2"/>
    <w:rsid w:val="00067C97"/>
    <w:rsid w:val="00067EF7"/>
    <w:rsid w:val="00070139"/>
    <w:rsid w:val="000703EB"/>
    <w:rsid w:val="000704C5"/>
    <w:rsid w:val="000704E8"/>
    <w:rsid w:val="0007091E"/>
    <w:rsid w:val="00070B6D"/>
    <w:rsid w:val="00071954"/>
    <w:rsid w:val="00071ACD"/>
    <w:rsid w:val="00071BDA"/>
    <w:rsid w:val="000722CD"/>
    <w:rsid w:val="0007270F"/>
    <w:rsid w:val="00072A0D"/>
    <w:rsid w:val="00072AA6"/>
    <w:rsid w:val="00072AD4"/>
    <w:rsid w:val="00072B78"/>
    <w:rsid w:val="00072BC6"/>
    <w:rsid w:val="00072E6B"/>
    <w:rsid w:val="00072F9A"/>
    <w:rsid w:val="0007314A"/>
    <w:rsid w:val="00073260"/>
    <w:rsid w:val="00073574"/>
    <w:rsid w:val="000737E5"/>
    <w:rsid w:val="00073A61"/>
    <w:rsid w:val="00073E08"/>
    <w:rsid w:val="00074057"/>
    <w:rsid w:val="000740ED"/>
    <w:rsid w:val="000744A9"/>
    <w:rsid w:val="00074797"/>
    <w:rsid w:val="00074A7A"/>
    <w:rsid w:val="00074CAA"/>
    <w:rsid w:val="00074D13"/>
    <w:rsid w:val="00074D3F"/>
    <w:rsid w:val="00074EDA"/>
    <w:rsid w:val="00075168"/>
    <w:rsid w:val="00075240"/>
    <w:rsid w:val="000752E0"/>
    <w:rsid w:val="000753DE"/>
    <w:rsid w:val="00075B8B"/>
    <w:rsid w:val="00075D82"/>
    <w:rsid w:val="00075E1F"/>
    <w:rsid w:val="00075F00"/>
    <w:rsid w:val="00075FCA"/>
    <w:rsid w:val="00075FFD"/>
    <w:rsid w:val="0007618D"/>
    <w:rsid w:val="000762A1"/>
    <w:rsid w:val="0007639D"/>
    <w:rsid w:val="000766CC"/>
    <w:rsid w:val="0007687F"/>
    <w:rsid w:val="00076922"/>
    <w:rsid w:val="0007698B"/>
    <w:rsid w:val="000771EF"/>
    <w:rsid w:val="000771FA"/>
    <w:rsid w:val="00077319"/>
    <w:rsid w:val="00077B3C"/>
    <w:rsid w:val="00077B7F"/>
    <w:rsid w:val="00077D5C"/>
    <w:rsid w:val="00077E23"/>
    <w:rsid w:val="00077F12"/>
    <w:rsid w:val="00077F3B"/>
    <w:rsid w:val="000800B9"/>
    <w:rsid w:val="000801A1"/>
    <w:rsid w:val="000802CF"/>
    <w:rsid w:val="00080405"/>
    <w:rsid w:val="00080661"/>
    <w:rsid w:val="000806E6"/>
    <w:rsid w:val="000807FE"/>
    <w:rsid w:val="00080B71"/>
    <w:rsid w:val="00080D7D"/>
    <w:rsid w:val="000810AE"/>
    <w:rsid w:val="000810F6"/>
    <w:rsid w:val="00081243"/>
    <w:rsid w:val="00081491"/>
    <w:rsid w:val="0008155F"/>
    <w:rsid w:val="00081678"/>
    <w:rsid w:val="000817C8"/>
    <w:rsid w:val="00081903"/>
    <w:rsid w:val="0008211C"/>
    <w:rsid w:val="000822B4"/>
    <w:rsid w:val="00082600"/>
    <w:rsid w:val="000827E8"/>
    <w:rsid w:val="0008309C"/>
    <w:rsid w:val="000832AC"/>
    <w:rsid w:val="000834BF"/>
    <w:rsid w:val="00084567"/>
    <w:rsid w:val="000845FD"/>
    <w:rsid w:val="00084A00"/>
    <w:rsid w:val="00084A29"/>
    <w:rsid w:val="00084A73"/>
    <w:rsid w:val="00084AA8"/>
    <w:rsid w:val="00084ED2"/>
    <w:rsid w:val="00085738"/>
    <w:rsid w:val="00085F7E"/>
    <w:rsid w:val="00086005"/>
    <w:rsid w:val="00086549"/>
    <w:rsid w:val="0008664A"/>
    <w:rsid w:val="00086742"/>
    <w:rsid w:val="00086CBA"/>
    <w:rsid w:val="00086DE6"/>
    <w:rsid w:val="00086EDC"/>
    <w:rsid w:val="00087048"/>
    <w:rsid w:val="000872BA"/>
    <w:rsid w:val="0008736D"/>
    <w:rsid w:val="0008763B"/>
    <w:rsid w:val="00090422"/>
    <w:rsid w:val="000906BE"/>
    <w:rsid w:val="000906F8"/>
    <w:rsid w:val="00090D04"/>
    <w:rsid w:val="00090F55"/>
    <w:rsid w:val="0009113D"/>
    <w:rsid w:val="00091191"/>
    <w:rsid w:val="000911B5"/>
    <w:rsid w:val="000915B1"/>
    <w:rsid w:val="0009164A"/>
    <w:rsid w:val="0009193F"/>
    <w:rsid w:val="00091AC9"/>
    <w:rsid w:val="00091DB0"/>
    <w:rsid w:val="00091DF4"/>
    <w:rsid w:val="00091E61"/>
    <w:rsid w:val="00091F09"/>
    <w:rsid w:val="0009208A"/>
    <w:rsid w:val="00092294"/>
    <w:rsid w:val="00092370"/>
    <w:rsid w:val="0009302D"/>
    <w:rsid w:val="00093197"/>
    <w:rsid w:val="000933B2"/>
    <w:rsid w:val="00093481"/>
    <w:rsid w:val="0009384F"/>
    <w:rsid w:val="00093C20"/>
    <w:rsid w:val="00093C45"/>
    <w:rsid w:val="000940F0"/>
    <w:rsid w:val="0009441E"/>
    <w:rsid w:val="00094C3E"/>
    <w:rsid w:val="00095412"/>
    <w:rsid w:val="0009558B"/>
    <w:rsid w:val="00095649"/>
    <w:rsid w:val="00095B90"/>
    <w:rsid w:val="00095EF3"/>
    <w:rsid w:val="00096076"/>
    <w:rsid w:val="000960AF"/>
    <w:rsid w:val="00096149"/>
    <w:rsid w:val="000964EA"/>
    <w:rsid w:val="00096617"/>
    <w:rsid w:val="000966E8"/>
    <w:rsid w:val="000970B5"/>
    <w:rsid w:val="000A0048"/>
    <w:rsid w:val="000A037D"/>
    <w:rsid w:val="000A0465"/>
    <w:rsid w:val="000A0793"/>
    <w:rsid w:val="000A086D"/>
    <w:rsid w:val="000A0CA6"/>
    <w:rsid w:val="000A0CEA"/>
    <w:rsid w:val="000A0D3D"/>
    <w:rsid w:val="000A1169"/>
    <w:rsid w:val="000A14AE"/>
    <w:rsid w:val="000A186F"/>
    <w:rsid w:val="000A1A13"/>
    <w:rsid w:val="000A1A18"/>
    <w:rsid w:val="000A1C9F"/>
    <w:rsid w:val="000A1D4A"/>
    <w:rsid w:val="000A1F3E"/>
    <w:rsid w:val="000A2260"/>
    <w:rsid w:val="000A23C6"/>
    <w:rsid w:val="000A283D"/>
    <w:rsid w:val="000A2941"/>
    <w:rsid w:val="000A3185"/>
    <w:rsid w:val="000A3D57"/>
    <w:rsid w:val="000A4073"/>
    <w:rsid w:val="000A4215"/>
    <w:rsid w:val="000A461C"/>
    <w:rsid w:val="000A58B0"/>
    <w:rsid w:val="000A5E10"/>
    <w:rsid w:val="000A6181"/>
    <w:rsid w:val="000A62A1"/>
    <w:rsid w:val="000A6988"/>
    <w:rsid w:val="000A69A1"/>
    <w:rsid w:val="000A6FD3"/>
    <w:rsid w:val="000A7002"/>
    <w:rsid w:val="000A721A"/>
    <w:rsid w:val="000A7576"/>
    <w:rsid w:val="000A75AD"/>
    <w:rsid w:val="000A7A9B"/>
    <w:rsid w:val="000A7BD3"/>
    <w:rsid w:val="000A7E6E"/>
    <w:rsid w:val="000B018A"/>
    <w:rsid w:val="000B0231"/>
    <w:rsid w:val="000B0D08"/>
    <w:rsid w:val="000B0D7C"/>
    <w:rsid w:val="000B1170"/>
    <w:rsid w:val="000B1225"/>
    <w:rsid w:val="000B1344"/>
    <w:rsid w:val="000B1786"/>
    <w:rsid w:val="000B21E3"/>
    <w:rsid w:val="000B229A"/>
    <w:rsid w:val="000B2389"/>
    <w:rsid w:val="000B2649"/>
    <w:rsid w:val="000B26E4"/>
    <w:rsid w:val="000B27C1"/>
    <w:rsid w:val="000B2C24"/>
    <w:rsid w:val="000B2F31"/>
    <w:rsid w:val="000B305F"/>
    <w:rsid w:val="000B3168"/>
    <w:rsid w:val="000B38D3"/>
    <w:rsid w:val="000B3B38"/>
    <w:rsid w:val="000B3DA2"/>
    <w:rsid w:val="000B4012"/>
    <w:rsid w:val="000B457B"/>
    <w:rsid w:val="000B4610"/>
    <w:rsid w:val="000B4969"/>
    <w:rsid w:val="000B4B7F"/>
    <w:rsid w:val="000B4C4A"/>
    <w:rsid w:val="000B4CEE"/>
    <w:rsid w:val="000B56DC"/>
    <w:rsid w:val="000B57F7"/>
    <w:rsid w:val="000B5939"/>
    <w:rsid w:val="000B5D57"/>
    <w:rsid w:val="000B61E3"/>
    <w:rsid w:val="000B62FF"/>
    <w:rsid w:val="000B6308"/>
    <w:rsid w:val="000B63A5"/>
    <w:rsid w:val="000B66C9"/>
    <w:rsid w:val="000B676B"/>
    <w:rsid w:val="000B68EE"/>
    <w:rsid w:val="000B69E6"/>
    <w:rsid w:val="000B6CA5"/>
    <w:rsid w:val="000B70BC"/>
    <w:rsid w:val="000B70DA"/>
    <w:rsid w:val="000B741C"/>
    <w:rsid w:val="000B7525"/>
    <w:rsid w:val="000B77C7"/>
    <w:rsid w:val="000B7A14"/>
    <w:rsid w:val="000C00DB"/>
    <w:rsid w:val="000C0332"/>
    <w:rsid w:val="000C0767"/>
    <w:rsid w:val="000C0A47"/>
    <w:rsid w:val="000C0BEC"/>
    <w:rsid w:val="000C1161"/>
    <w:rsid w:val="000C1394"/>
    <w:rsid w:val="000C1534"/>
    <w:rsid w:val="000C1DD6"/>
    <w:rsid w:val="000C1DDE"/>
    <w:rsid w:val="000C22CE"/>
    <w:rsid w:val="000C22E3"/>
    <w:rsid w:val="000C23AF"/>
    <w:rsid w:val="000C2B87"/>
    <w:rsid w:val="000C2C86"/>
    <w:rsid w:val="000C2DB3"/>
    <w:rsid w:val="000C2E93"/>
    <w:rsid w:val="000C2FC7"/>
    <w:rsid w:val="000C387D"/>
    <w:rsid w:val="000C3B41"/>
    <w:rsid w:val="000C3B48"/>
    <w:rsid w:val="000C3CEB"/>
    <w:rsid w:val="000C3EA4"/>
    <w:rsid w:val="000C4014"/>
    <w:rsid w:val="000C4481"/>
    <w:rsid w:val="000C45B5"/>
    <w:rsid w:val="000C4670"/>
    <w:rsid w:val="000C47E1"/>
    <w:rsid w:val="000C485B"/>
    <w:rsid w:val="000C48A4"/>
    <w:rsid w:val="000C4F08"/>
    <w:rsid w:val="000C4F4E"/>
    <w:rsid w:val="000C51B7"/>
    <w:rsid w:val="000C51FA"/>
    <w:rsid w:val="000C5345"/>
    <w:rsid w:val="000C5497"/>
    <w:rsid w:val="000C5664"/>
    <w:rsid w:val="000C58AF"/>
    <w:rsid w:val="000C5BF1"/>
    <w:rsid w:val="000C5DDB"/>
    <w:rsid w:val="000C5E62"/>
    <w:rsid w:val="000C6187"/>
    <w:rsid w:val="000C64A7"/>
    <w:rsid w:val="000C66F2"/>
    <w:rsid w:val="000C684F"/>
    <w:rsid w:val="000C68B6"/>
    <w:rsid w:val="000C6D19"/>
    <w:rsid w:val="000C6D62"/>
    <w:rsid w:val="000C70C5"/>
    <w:rsid w:val="000C789F"/>
    <w:rsid w:val="000C7C70"/>
    <w:rsid w:val="000C7C91"/>
    <w:rsid w:val="000D06D7"/>
    <w:rsid w:val="000D08C1"/>
    <w:rsid w:val="000D09FE"/>
    <w:rsid w:val="000D0CC4"/>
    <w:rsid w:val="000D0E2F"/>
    <w:rsid w:val="000D0E49"/>
    <w:rsid w:val="000D0E98"/>
    <w:rsid w:val="000D0F0E"/>
    <w:rsid w:val="000D1302"/>
    <w:rsid w:val="000D147C"/>
    <w:rsid w:val="000D1B67"/>
    <w:rsid w:val="000D1BCD"/>
    <w:rsid w:val="000D1C8B"/>
    <w:rsid w:val="000D1DC9"/>
    <w:rsid w:val="000D1F5F"/>
    <w:rsid w:val="000D215B"/>
    <w:rsid w:val="000D21C1"/>
    <w:rsid w:val="000D21F3"/>
    <w:rsid w:val="000D21F7"/>
    <w:rsid w:val="000D22C6"/>
    <w:rsid w:val="000D2678"/>
    <w:rsid w:val="000D2C77"/>
    <w:rsid w:val="000D3036"/>
    <w:rsid w:val="000D3631"/>
    <w:rsid w:val="000D3849"/>
    <w:rsid w:val="000D3CE6"/>
    <w:rsid w:val="000D3DE8"/>
    <w:rsid w:val="000D4067"/>
    <w:rsid w:val="000D40AE"/>
    <w:rsid w:val="000D4132"/>
    <w:rsid w:val="000D46A6"/>
    <w:rsid w:val="000D4703"/>
    <w:rsid w:val="000D47EF"/>
    <w:rsid w:val="000D49DE"/>
    <w:rsid w:val="000D4BA9"/>
    <w:rsid w:val="000D4E7C"/>
    <w:rsid w:val="000D508F"/>
    <w:rsid w:val="000D5149"/>
    <w:rsid w:val="000D5389"/>
    <w:rsid w:val="000D54E1"/>
    <w:rsid w:val="000D5723"/>
    <w:rsid w:val="000D57BF"/>
    <w:rsid w:val="000D58AA"/>
    <w:rsid w:val="000D5CDF"/>
    <w:rsid w:val="000D5DF5"/>
    <w:rsid w:val="000D63FE"/>
    <w:rsid w:val="000D6521"/>
    <w:rsid w:val="000D68A0"/>
    <w:rsid w:val="000D6BB5"/>
    <w:rsid w:val="000D6D68"/>
    <w:rsid w:val="000D7047"/>
    <w:rsid w:val="000D71F1"/>
    <w:rsid w:val="000D7537"/>
    <w:rsid w:val="000D7566"/>
    <w:rsid w:val="000D7868"/>
    <w:rsid w:val="000D78D1"/>
    <w:rsid w:val="000D7A8D"/>
    <w:rsid w:val="000D7D5E"/>
    <w:rsid w:val="000E085E"/>
    <w:rsid w:val="000E0FA3"/>
    <w:rsid w:val="000E125E"/>
    <w:rsid w:val="000E14AD"/>
    <w:rsid w:val="000E14C5"/>
    <w:rsid w:val="000E1716"/>
    <w:rsid w:val="000E17A6"/>
    <w:rsid w:val="000E1BEC"/>
    <w:rsid w:val="000E1C12"/>
    <w:rsid w:val="000E1F31"/>
    <w:rsid w:val="000E22BD"/>
    <w:rsid w:val="000E2C5F"/>
    <w:rsid w:val="000E3A18"/>
    <w:rsid w:val="000E3FF9"/>
    <w:rsid w:val="000E41CB"/>
    <w:rsid w:val="000E430D"/>
    <w:rsid w:val="000E52DB"/>
    <w:rsid w:val="000E53BA"/>
    <w:rsid w:val="000E53DB"/>
    <w:rsid w:val="000E5659"/>
    <w:rsid w:val="000E5CCB"/>
    <w:rsid w:val="000E5D3A"/>
    <w:rsid w:val="000E5DC7"/>
    <w:rsid w:val="000E60B8"/>
    <w:rsid w:val="000E6536"/>
    <w:rsid w:val="000E6783"/>
    <w:rsid w:val="000E6B33"/>
    <w:rsid w:val="000E6DCA"/>
    <w:rsid w:val="000E6F15"/>
    <w:rsid w:val="000E7343"/>
    <w:rsid w:val="000E78BB"/>
    <w:rsid w:val="000E790A"/>
    <w:rsid w:val="000E7B50"/>
    <w:rsid w:val="000E7D84"/>
    <w:rsid w:val="000F0096"/>
    <w:rsid w:val="000F022D"/>
    <w:rsid w:val="000F0598"/>
    <w:rsid w:val="000F05ED"/>
    <w:rsid w:val="000F0C47"/>
    <w:rsid w:val="000F0E0E"/>
    <w:rsid w:val="000F11B8"/>
    <w:rsid w:val="000F120C"/>
    <w:rsid w:val="000F142D"/>
    <w:rsid w:val="000F16ED"/>
    <w:rsid w:val="000F194A"/>
    <w:rsid w:val="000F1B91"/>
    <w:rsid w:val="000F1C5C"/>
    <w:rsid w:val="000F1E89"/>
    <w:rsid w:val="000F211E"/>
    <w:rsid w:val="000F2303"/>
    <w:rsid w:val="000F23AE"/>
    <w:rsid w:val="000F288B"/>
    <w:rsid w:val="000F2D69"/>
    <w:rsid w:val="000F2EA9"/>
    <w:rsid w:val="000F2EFF"/>
    <w:rsid w:val="000F2F51"/>
    <w:rsid w:val="000F335F"/>
    <w:rsid w:val="000F3856"/>
    <w:rsid w:val="000F391F"/>
    <w:rsid w:val="000F4780"/>
    <w:rsid w:val="000F4808"/>
    <w:rsid w:val="000F4A98"/>
    <w:rsid w:val="000F4CB2"/>
    <w:rsid w:val="000F5628"/>
    <w:rsid w:val="000F56B2"/>
    <w:rsid w:val="000F571D"/>
    <w:rsid w:val="000F592E"/>
    <w:rsid w:val="000F5E3A"/>
    <w:rsid w:val="000F5EE8"/>
    <w:rsid w:val="000F5EE9"/>
    <w:rsid w:val="000F600A"/>
    <w:rsid w:val="000F62B8"/>
    <w:rsid w:val="000F65BC"/>
    <w:rsid w:val="000F6CB6"/>
    <w:rsid w:val="000F6DCC"/>
    <w:rsid w:val="000F6EC8"/>
    <w:rsid w:val="000F714C"/>
    <w:rsid w:val="000F7CE4"/>
    <w:rsid w:val="000F7D0A"/>
    <w:rsid w:val="00100402"/>
    <w:rsid w:val="0010057A"/>
    <w:rsid w:val="001005C2"/>
    <w:rsid w:val="001006F5"/>
    <w:rsid w:val="00100786"/>
    <w:rsid w:val="00100870"/>
    <w:rsid w:val="00100B03"/>
    <w:rsid w:val="00100B4C"/>
    <w:rsid w:val="00100BFA"/>
    <w:rsid w:val="00100FD8"/>
    <w:rsid w:val="00101205"/>
    <w:rsid w:val="0010148A"/>
    <w:rsid w:val="00101559"/>
    <w:rsid w:val="001016B8"/>
    <w:rsid w:val="001017B6"/>
    <w:rsid w:val="00101B78"/>
    <w:rsid w:val="00101BC9"/>
    <w:rsid w:val="00101E54"/>
    <w:rsid w:val="0010202A"/>
    <w:rsid w:val="0010208F"/>
    <w:rsid w:val="001020AA"/>
    <w:rsid w:val="00102963"/>
    <w:rsid w:val="00102A66"/>
    <w:rsid w:val="00102BE5"/>
    <w:rsid w:val="00102D49"/>
    <w:rsid w:val="00103280"/>
    <w:rsid w:val="00103483"/>
    <w:rsid w:val="0010351F"/>
    <w:rsid w:val="001035B8"/>
    <w:rsid w:val="00103C8C"/>
    <w:rsid w:val="00103E3E"/>
    <w:rsid w:val="001045D6"/>
    <w:rsid w:val="0010471D"/>
    <w:rsid w:val="00104784"/>
    <w:rsid w:val="001047F1"/>
    <w:rsid w:val="00104A69"/>
    <w:rsid w:val="00104A81"/>
    <w:rsid w:val="00104B60"/>
    <w:rsid w:val="00104B63"/>
    <w:rsid w:val="00104E87"/>
    <w:rsid w:val="001050A6"/>
    <w:rsid w:val="0010580B"/>
    <w:rsid w:val="00105906"/>
    <w:rsid w:val="001061D5"/>
    <w:rsid w:val="001063C0"/>
    <w:rsid w:val="001063F9"/>
    <w:rsid w:val="001068DC"/>
    <w:rsid w:val="001069B5"/>
    <w:rsid w:val="00106CBC"/>
    <w:rsid w:val="00106D60"/>
    <w:rsid w:val="00106F69"/>
    <w:rsid w:val="00106FA4"/>
    <w:rsid w:val="00107041"/>
    <w:rsid w:val="0010736E"/>
    <w:rsid w:val="00107811"/>
    <w:rsid w:val="00107868"/>
    <w:rsid w:val="00107961"/>
    <w:rsid w:val="00107E25"/>
    <w:rsid w:val="00107F83"/>
    <w:rsid w:val="001107B5"/>
    <w:rsid w:val="00110AB5"/>
    <w:rsid w:val="00110DED"/>
    <w:rsid w:val="00111059"/>
    <w:rsid w:val="0011155E"/>
    <w:rsid w:val="00111653"/>
    <w:rsid w:val="0011175A"/>
    <w:rsid w:val="00111E81"/>
    <w:rsid w:val="00111F7E"/>
    <w:rsid w:val="00112295"/>
    <w:rsid w:val="001122F6"/>
    <w:rsid w:val="0011240C"/>
    <w:rsid w:val="00112A43"/>
    <w:rsid w:val="00112A94"/>
    <w:rsid w:val="00112C75"/>
    <w:rsid w:val="00112CB8"/>
    <w:rsid w:val="00113002"/>
    <w:rsid w:val="0011328B"/>
    <w:rsid w:val="00113814"/>
    <w:rsid w:val="00113AE0"/>
    <w:rsid w:val="00113C56"/>
    <w:rsid w:val="00113D16"/>
    <w:rsid w:val="001140B1"/>
    <w:rsid w:val="00114848"/>
    <w:rsid w:val="00114D76"/>
    <w:rsid w:val="00115005"/>
    <w:rsid w:val="001150F9"/>
    <w:rsid w:val="00115E39"/>
    <w:rsid w:val="00116274"/>
    <w:rsid w:val="0011641C"/>
    <w:rsid w:val="00116C31"/>
    <w:rsid w:val="00116C34"/>
    <w:rsid w:val="00116CD5"/>
    <w:rsid w:val="00116DB2"/>
    <w:rsid w:val="00117493"/>
    <w:rsid w:val="00117607"/>
    <w:rsid w:val="00117794"/>
    <w:rsid w:val="001177A1"/>
    <w:rsid w:val="00117B87"/>
    <w:rsid w:val="00117DFC"/>
    <w:rsid w:val="00117E5A"/>
    <w:rsid w:val="0011EE15"/>
    <w:rsid w:val="00120240"/>
    <w:rsid w:val="00120314"/>
    <w:rsid w:val="001203A7"/>
    <w:rsid w:val="001205A4"/>
    <w:rsid w:val="001207AE"/>
    <w:rsid w:val="00120D10"/>
    <w:rsid w:val="001210FF"/>
    <w:rsid w:val="00121491"/>
    <w:rsid w:val="00121532"/>
    <w:rsid w:val="00121595"/>
    <w:rsid w:val="00121C1F"/>
    <w:rsid w:val="00121D88"/>
    <w:rsid w:val="00121E17"/>
    <w:rsid w:val="0012213B"/>
    <w:rsid w:val="0012222A"/>
    <w:rsid w:val="00122505"/>
    <w:rsid w:val="001225F6"/>
    <w:rsid w:val="0012295C"/>
    <w:rsid w:val="001231B5"/>
    <w:rsid w:val="001235FE"/>
    <w:rsid w:val="0012364D"/>
    <w:rsid w:val="00123906"/>
    <w:rsid w:val="00123CA4"/>
    <w:rsid w:val="00123CC1"/>
    <w:rsid w:val="00123D53"/>
    <w:rsid w:val="00123E3E"/>
    <w:rsid w:val="00123ECA"/>
    <w:rsid w:val="0012427C"/>
    <w:rsid w:val="0012457E"/>
    <w:rsid w:val="00124BCB"/>
    <w:rsid w:val="00124C1F"/>
    <w:rsid w:val="001256A9"/>
    <w:rsid w:val="00125BD0"/>
    <w:rsid w:val="00125C0F"/>
    <w:rsid w:val="00125C8A"/>
    <w:rsid w:val="00125D20"/>
    <w:rsid w:val="00125FB2"/>
    <w:rsid w:val="00126233"/>
    <w:rsid w:val="001264D4"/>
    <w:rsid w:val="001265AF"/>
    <w:rsid w:val="0012670A"/>
    <w:rsid w:val="001267EB"/>
    <w:rsid w:val="00126864"/>
    <w:rsid w:val="001268D6"/>
    <w:rsid w:val="00126D72"/>
    <w:rsid w:val="0012719C"/>
    <w:rsid w:val="0012726D"/>
    <w:rsid w:val="001272F4"/>
    <w:rsid w:val="0012786D"/>
    <w:rsid w:val="00127A70"/>
    <w:rsid w:val="00127B61"/>
    <w:rsid w:val="00127CCF"/>
    <w:rsid w:val="00127DE1"/>
    <w:rsid w:val="00127E60"/>
    <w:rsid w:val="00127E72"/>
    <w:rsid w:val="00130722"/>
    <w:rsid w:val="00130A66"/>
    <w:rsid w:val="00130CAD"/>
    <w:rsid w:val="00130EA8"/>
    <w:rsid w:val="00131168"/>
    <w:rsid w:val="00131181"/>
    <w:rsid w:val="001313B6"/>
    <w:rsid w:val="0013140F"/>
    <w:rsid w:val="00131878"/>
    <w:rsid w:val="00131B87"/>
    <w:rsid w:val="00131BF3"/>
    <w:rsid w:val="00131DD5"/>
    <w:rsid w:val="00131E24"/>
    <w:rsid w:val="00131ECD"/>
    <w:rsid w:val="00132342"/>
    <w:rsid w:val="00132489"/>
    <w:rsid w:val="00132CA1"/>
    <w:rsid w:val="00132F12"/>
    <w:rsid w:val="00132F84"/>
    <w:rsid w:val="001330FD"/>
    <w:rsid w:val="001331C8"/>
    <w:rsid w:val="00133661"/>
    <w:rsid w:val="00133704"/>
    <w:rsid w:val="00133A42"/>
    <w:rsid w:val="00133BDE"/>
    <w:rsid w:val="00133F49"/>
    <w:rsid w:val="00134047"/>
    <w:rsid w:val="00134220"/>
    <w:rsid w:val="001342CB"/>
    <w:rsid w:val="00134556"/>
    <w:rsid w:val="001345D1"/>
    <w:rsid w:val="001345DB"/>
    <w:rsid w:val="00134605"/>
    <w:rsid w:val="0013462F"/>
    <w:rsid w:val="00134962"/>
    <w:rsid w:val="00134A22"/>
    <w:rsid w:val="00134E92"/>
    <w:rsid w:val="001351F9"/>
    <w:rsid w:val="001357A8"/>
    <w:rsid w:val="001359C5"/>
    <w:rsid w:val="00135BCE"/>
    <w:rsid w:val="00135CA1"/>
    <w:rsid w:val="00135D81"/>
    <w:rsid w:val="00136086"/>
    <w:rsid w:val="0013634D"/>
    <w:rsid w:val="001365C8"/>
    <w:rsid w:val="0013674E"/>
    <w:rsid w:val="001369E3"/>
    <w:rsid w:val="0013700C"/>
    <w:rsid w:val="00137B63"/>
    <w:rsid w:val="00137EAE"/>
    <w:rsid w:val="00137ECC"/>
    <w:rsid w:val="001401B0"/>
    <w:rsid w:val="001403DE"/>
    <w:rsid w:val="00140517"/>
    <w:rsid w:val="00141140"/>
    <w:rsid w:val="00141BC7"/>
    <w:rsid w:val="00141BF1"/>
    <w:rsid w:val="001422A2"/>
    <w:rsid w:val="0014231D"/>
    <w:rsid w:val="00142989"/>
    <w:rsid w:val="001429FA"/>
    <w:rsid w:val="00142DDD"/>
    <w:rsid w:val="00142E60"/>
    <w:rsid w:val="00143139"/>
    <w:rsid w:val="00143185"/>
    <w:rsid w:val="0014375B"/>
    <w:rsid w:val="00143C19"/>
    <w:rsid w:val="00143EF1"/>
    <w:rsid w:val="00144445"/>
    <w:rsid w:val="001448A7"/>
    <w:rsid w:val="001448AB"/>
    <w:rsid w:val="00144E33"/>
    <w:rsid w:val="00144F8F"/>
    <w:rsid w:val="00145441"/>
    <w:rsid w:val="0014545F"/>
    <w:rsid w:val="00145876"/>
    <w:rsid w:val="00145ACC"/>
    <w:rsid w:val="00145D7B"/>
    <w:rsid w:val="00145DCA"/>
    <w:rsid w:val="0014665F"/>
    <w:rsid w:val="001469F2"/>
    <w:rsid w:val="00146A4F"/>
    <w:rsid w:val="00146DB9"/>
    <w:rsid w:val="0014749D"/>
    <w:rsid w:val="001476CA"/>
    <w:rsid w:val="001476E6"/>
    <w:rsid w:val="00147822"/>
    <w:rsid w:val="00147982"/>
    <w:rsid w:val="00147B2B"/>
    <w:rsid w:val="00147EB0"/>
    <w:rsid w:val="00150098"/>
    <w:rsid w:val="00150285"/>
    <w:rsid w:val="001503B4"/>
    <w:rsid w:val="00150B51"/>
    <w:rsid w:val="00150D56"/>
    <w:rsid w:val="001515F8"/>
    <w:rsid w:val="00151A69"/>
    <w:rsid w:val="00151BB9"/>
    <w:rsid w:val="00151DD6"/>
    <w:rsid w:val="00151F6C"/>
    <w:rsid w:val="0015215E"/>
    <w:rsid w:val="0015249D"/>
    <w:rsid w:val="001524A9"/>
    <w:rsid w:val="00152595"/>
    <w:rsid w:val="001527DB"/>
    <w:rsid w:val="00152847"/>
    <w:rsid w:val="00153177"/>
    <w:rsid w:val="00153261"/>
    <w:rsid w:val="001532C2"/>
    <w:rsid w:val="00153401"/>
    <w:rsid w:val="001536CB"/>
    <w:rsid w:val="001537CD"/>
    <w:rsid w:val="00153998"/>
    <w:rsid w:val="00153A95"/>
    <w:rsid w:val="00153C63"/>
    <w:rsid w:val="00153D82"/>
    <w:rsid w:val="00153ED2"/>
    <w:rsid w:val="001548AD"/>
    <w:rsid w:val="00154E96"/>
    <w:rsid w:val="0015522F"/>
    <w:rsid w:val="00155492"/>
    <w:rsid w:val="00155593"/>
    <w:rsid w:val="001556ED"/>
    <w:rsid w:val="001557C5"/>
    <w:rsid w:val="00155D35"/>
    <w:rsid w:val="00155DA7"/>
    <w:rsid w:val="0015600D"/>
    <w:rsid w:val="00156015"/>
    <w:rsid w:val="0015607B"/>
    <w:rsid w:val="00156191"/>
    <w:rsid w:val="0015692F"/>
    <w:rsid w:val="001569EB"/>
    <w:rsid w:val="00156E4C"/>
    <w:rsid w:val="0015704B"/>
    <w:rsid w:val="00157979"/>
    <w:rsid w:val="00157C7C"/>
    <w:rsid w:val="00157CA1"/>
    <w:rsid w:val="00157DEE"/>
    <w:rsid w:val="00157ED4"/>
    <w:rsid w:val="001600E7"/>
    <w:rsid w:val="001602A2"/>
    <w:rsid w:val="00160320"/>
    <w:rsid w:val="00160338"/>
    <w:rsid w:val="00160B20"/>
    <w:rsid w:val="001611EB"/>
    <w:rsid w:val="00161B6B"/>
    <w:rsid w:val="00161F4E"/>
    <w:rsid w:val="001625CE"/>
    <w:rsid w:val="001626F2"/>
    <w:rsid w:val="00163019"/>
    <w:rsid w:val="0016311E"/>
    <w:rsid w:val="00163152"/>
    <w:rsid w:val="001635AC"/>
    <w:rsid w:val="001636EB"/>
    <w:rsid w:val="001637BE"/>
    <w:rsid w:val="001639AC"/>
    <w:rsid w:val="00163C76"/>
    <w:rsid w:val="00163C9A"/>
    <w:rsid w:val="00163CBE"/>
    <w:rsid w:val="00163F1F"/>
    <w:rsid w:val="0016429A"/>
    <w:rsid w:val="001642B9"/>
    <w:rsid w:val="00164453"/>
    <w:rsid w:val="00164AE6"/>
    <w:rsid w:val="00164B30"/>
    <w:rsid w:val="00164B80"/>
    <w:rsid w:val="00164BC1"/>
    <w:rsid w:val="00164F6B"/>
    <w:rsid w:val="00164F72"/>
    <w:rsid w:val="001653C3"/>
    <w:rsid w:val="001653CC"/>
    <w:rsid w:val="00165404"/>
    <w:rsid w:val="001655CE"/>
    <w:rsid w:val="00165D51"/>
    <w:rsid w:val="001663C3"/>
    <w:rsid w:val="001665B2"/>
    <w:rsid w:val="00166703"/>
    <w:rsid w:val="00166877"/>
    <w:rsid w:val="00166E05"/>
    <w:rsid w:val="00166F62"/>
    <w:rsid w:val="00167019"/>
    <w:rsid w:val="00167096"/>
    <w:rsid w:val="0016737C"/>
    <w:rsid w:val="001708C6"/>
    <w:rsid w:val="00170998"/>
    <w:rsid w:val="00170EDF"/>
    <w:rsid w:val="00170EF9"/>
    <w:rsid w:val="00171346"/>
    <w:rsid w:val="00171805"/>
    <w:rsid w:val="0017186B"/>
    <w:rsid w:val="00171953"/>
    <w:rsid w:val="001719E5"/>
    <w:rsid w:val="00171D9A"/>
    <w:rsid w:val="00172475"/>
    <w:rsid w:val="0017263B"/>
    <w:rsid w:val="00172C61"/>
    <w:rsid w:val="00172C6E"/>
    <w:rsid w:val="001731B5"/>
    <w:rsid w:val="00173515"/>
    <w:rsid w:val="0017390C"/>
    <w:rsid w:val="00173A29"/>
    <w:rsid w:val="00173AE9"/>
    <w:rsid w:val="00173B8A"/>
    <w:rsid w:val="00174316"/>
    <w:rsid w:val="001744DC"/>
    <w:rsid w:val="00174502"/>
    <w:rsid w:val="001747A4"/>
    <w:rsid w:val="001747FD"/>
    <w:rsid w:val="00174ABC"/>
    <w:rsid w:val="00174C19"/>
    <w:rsid w:val="00174C86"/>
    <w:rsid w:val="00174D8E"/>
    <w:rsid w:val="00174F07"/>
    <w:rsid w:val="001752B9"/>
    <w:rsid w:val="00175335"/>
    <w:rsid w:val="0017542B"/>
    <w:rsid w:val="00175499"/>
    <w:rsid w:val="001756CC"/>
    <w:rsid w:val="001756FA"/>
    <w:rsid w:val="00175844"/>
    <w:rsid w:val="001758A9"/>
    <w:rsid w:val="00175E06"/>
    <w:rsid w:val="00176384"/>
    <w:rsid w:val="001763BD"/>
    <w:rsid w:val="00176582"/>
    <w:rsid w:val="0017676D"/>
    <w:rsid w:val="00176791"/>
    <w:rsid w:val="00176CB5"/>
    <w:rsid w:val="00176DC8"/>
    <w:rsid w:val="0017756C"/>
    <w:rsid w:val="0017765D"/>
    <w:rsid w:val="00177B46"/>
    <w:rsid w:val="00177BB4"/>
    <w:rsid w:val="00177C75"/>
    <w:rsid w:val="00177CB6"/>
    <w:rsid w:val="00180077"/>
    <w:rsid w:val="00180085"/>
    <w:rsid w:val="00180825"/>
    <w:rsid w:val="00180F57"/>
    <w:rsid w:val="00180F73"/>
    <w:rsid w:val="001811D4"/>
    <w:rsid w:val="00181303"/>
    <w:rsid w:val="00181CB9"/>
    <w:rsid w:val="00182053"/>
    <w:rsid w:val="0018251E"/>
    <w:rsid w:val="00182979"/>
    <w:rsid w:val="00182A30"/>
    <w:rsid w:val="00182C68"/>
    <w:rsid w:val="00183227"/>
    <w:rsid w:val="0018325B"/>
    <w:rsid w:val="00183480"/>
    <w:rsid w:val="001837A3"/>
    <w:rsid w:val="00183910"/>
    <w:rsid w:val="00183CE4"/>
    <w:rsid w:val="00183D42"/>
    <w:rsid w:val="00183EAB"/>
    <w:rsid w:val="001845FC"/>
    <w:rsid w:val="0018486A"/>
    <w:rsid w:val="00184BC1"/>
    <w:rsid w:val="00184C8F"/>
    <w:rsid w:val="00184C9E"/>
    <w:rsid w:val="0018517B"/>
    <w:rsid w:val="00185376"/>
    <w:rsid w:val="001854B2"/>
    <w:rsid w:val="001859BA"/>
    <w:rsid w:val="001859E0"/>
    <w:rsid w:val="001859E1"/>
    <w:rsid w:val="00185D51"/>
    <w:rsid w:val="00185EAB"/>
    <w:rsid w:val="00185EC5"/>
    <w:rsid w:val="0018606D"/>
    <w:rsid w:val="00186112"/>
    <w:rsid w:val="001864BE"/>
    <w:rsid w:val="001866AC"/>
    <w:rsid w:val="00186A20"/>
    <w:rsid w:val="00187275"/>
    <w:rsid w:val="00187499"/>
    <w:rsid w:val="001874AB"/>
    <w:rsid w:val="001875C4"/>
    <w:rsid w:val="00187882"/>
    <w:rsid w:val="00187B18"/>
    <w:rsid w:val="00187B7B"/>
    <w:rsid w:val="00187B7E"/>
    <w:rsid w:val="00187BC9"/>
    <w:rsid w:val="00187CF6"/>
    <w:rsid w:val="00187F4A"/>
    <w:rsid w:val="001904CA"/>
    <w:rsid w:val="00190864"/>
    <w:rsid w:val="00190931"/>
    <w:rsid w:val="00190B82"/>
    <w:rsid w:val="00190BD3"/>
    <w:rsid w:val="00190D79"/>
    <w:rsid w:val="00190FAB"/>
    <w:rsid w:val="001911CD"/>
    <w:rsid w:val="0019137C"/>
    <w:rsid w:val="00191857"/>
    <w:rsid w:val="001923FC"/>
    <w:rsid w:val="00192747"/>
    <w:rsid w:val="00192BC7"/>
    <w:rsid w:val="00192C08"/>
    <w:rsid w:val="00192D18"/>
    <w:rsid w:val="00192DF8"/>
    <w:rsid w:val="00192EB1"/>
    <w:rsid w:val="00193129"/>
    <w:rsid w:val="00193479"/>
    <w:rsid w:val="0019356D"/>
    <w:rsid w:val="0019364C"/>
    <w:rsid w:val="0019377A"/>
    <w:rsid w:val="00193C46"/>
    <w:rsid w:val="00193D5D"/>
    <w:rsid w:val="0019431A"/>
    <w:rsid w:val="0019476B"/>
    <w:rsid w:val="001951DD"/>
    <w:rsid w:val="00195478"/>
    <w:rsid w:val="001955D8"/>
    <w:rsid w:val="001955E5"/>
    <w:rsid w:val="001957FE"/>
    <w:rsid w:val="0019582C"/>
    <w:rsid w:val="00195E8D"/>
    <w:rsid w:val="001960DC"/>
    <w:rsid w:val="00196798"/>
    <w:rsid w:val="001969B3"/>
    <w:rsid w:val="00196DD7"/>
    <w:rsid w:val="00196F39"/>
    <w:rsid w:val="00197136"/>
    <w:rsid w:val="00197312"/>
    <w:rsid w:val="00197333"/>
    <w:rsid w:val="0019770D"/>
    <w:rsid w:val="0019778A"/>
    <w:rsid w:val="0019778E"/>
    <w:rsid w:val="001977DF"/>
    <w:rsid w:val="0019785A"/>
    <w:rsid w:val="001978FF"/>
    <w:rsid w:val="00197DB9"/>
    <w:rsid w:val="00197DD3"/>
    <w:rsid w:val="00197FF6"/>
    <w:rsid w:val="001A00D0"/>
    <w:rsid w:val="001A01D7"/>
    <w:rsid w:val="001A0592"/>
    <w:rsid w:val="001A05B4"/>
    <w:rsid w:val="001A05C9"/>
    <w:rsid w:val="001A091C"/>
    <w:rsid w:val="001A0A34"/>
    <w:rsid w:val="001A0EDF"/>
    <w:rsid w:val="001A0F18"/>
    <w:rsid w:val="001A0FD7"/>
    <w:rsid w:val="001A10FF"/>
    <w:rsid w:val="001A129D"/>
    <w:rsid w:val="001A13A4"/>
    <w:rsid w:val="001A1646"/>
    <w:rsid w:val="001A16DE"/>
    <w:rsid w:val="001A1E25"/>
    <w:rsid w:val="001A244B"/>
    <w:rsid w:val="001A3461"/>
    <w:rsid w:val="001A378C"/>
    <w:rsid w:val="001A3D04"/>
    <w:rsid w:val="001A4476"/>
    <w:rsid w:val="001A49B9"/>
    <w:rsid w:val="001A4F0D"/>
    <w:rsid w:val="001A50E0"/>
    <w:rsid w:val="001A5357"/>
    <w:rsid w:val="001A550F"/>
    <w:rsid w:val="001A5519"/>
    <w:rsid w:val="001A5FCD"/>
    <w:rsid w:val="001A6126"/>
    <w:rsid w:val="001A6409"/>
    <w:rsid w:val="001A6449"/>
    <w:rsid w:val="001A6575"/>
    <w:rsid w:val="001A66DD"/>
    <w:rsid w:val="001A6888"/>
    <w:rsid w:val="001A6904"/>
    <w:rsid w:val="001A6DCB"/>
    <w:rsid w:val="001A7029"/>
    <w:rsid w:val="001A7111"/>
    <w:rsid w:val="001A728B"/>
    <w:rsid w:val="001A7392"/>
    <w:rsid w:val="001A77F8"/>
    <w:rsid w:val="001A7839"/>
    <w:rsid w:val="001A7F53"/>
    <w:rsid w:val="001B0232"/>
    <w:rsid w:val="001B036D"/>
    <w:rsid w:val="001B0561"/>
    <w:rsid w:val="001B05D8"/>
    <w:rsid w:val="001B0C37"/>
    <w:rsid w:val="001B0CBA"/>
    <w:rsid w:val="001B10E4"/>
    <w:rsid w:val="001B1154"/>
    <w:rsid w:val="001B124A"/>
    <w:rsid w:val="001B1261"/>
    <w:rsid w:val="001B1304"/>
    <w:rsid w:val="001B137B"/>
    <w:rsid w:val="001B15BD"/>
    <w:rsid w:val="001B17B9"/>
    <w:rsid w:val="001B1864"/>
    <w:rsid w:val="001B1892"/>
    <w:rsid w:val="001B1A10"/>
    <w:rsid w:val="001B2238"/>
    <w:rsid w:val="001B228D"/>
    <w:rsid w:val="001B24E3"/>
    <w:rsid w:val="001B2514"/>
    <w:rsid w:val="001B27F6"/>
    <w:rsid w:val="001B2D1C"/>
    <w:rsid w:val="001B2D4B"/>
    <w:rsid w:val="001B3684"/>
    <w:rsid w:val="001B36C6"/>
    <w:rsid w:val="001B394E"/>
    <w:rsid w:val="001B3F7C"/>
    <w:rsid w:val="001B3FA1"/>
    <w:rsid w:val="001B4016"/>
    <w:rsid w:val="001B4051"/>
    <w:rsid w:val="001B4408"/>
    <w:rsid w:val="001B4510"/>
    <w:rsid w:val="001B4796"/>
    <w:rsid w:val="001B4890"/>
    <w:rsid w:val="001B4912"/>
    <w:rsid w:val="001B49DC"/>
    <w:rsid w:val="001B4B44"/>
    <w:rsid w:val="001B5178"/>
    <w:rsid w:val="001B53A6"/>
    <w:rsid w:val="001B5525"/>
    <w:rsid w:val="001B554D"/>
    <w:rsid w:val="001B5609"/>
    <w:rsid w:val="001B5672"/>
    <w:rsid w:val="001B6832"/>
    <w:rsid w:val="001B6989"/>
    <w:rsid w:val="001B6AE3"/>
    <w:rsid w:val="001B6C5D"/>
    <w:rsid w:val="001B6ED1"/>
    <w:rsid w:val="001B71E3"/>
    <w:rsid w:val="001B776E"/>
    <w:rsid w:val="001B78E1"/>
    <w:rsid w:val="001B7992"/>
    <w:rsid w:val="001B7AD0"/>
    <w:rsid w:val="001B7DCD"/>
    <w:rsid w:val="001C00F9"/>
    <w:rsid w:val="001C0219"/>
    <w:rsid w:val="001C06C3"/>
    <w:rsid w:val="001C0763"/>
    <w:rsid w:val="001C076C"/>
    <w:rsid w:val="001C0795"/>
    <w:rsid w:val="001C0CB2"/>
    <w:rsid w:val="001C0DF8"/>
    <w:rsid w:val="001C1130"/>
    <w:rsid w:val="001C15C0"/>
    <w:rsid w:val="001C16DA"/>
    <w:rsid w:val="001C18E9"/>
    <w:rsid w:val="001C190F"/>
    <w:rsid w:val="001C1AC7"/>
    <w:rsid w:val="001C1CDD"/>
    <w:rsid w:val="001C1D27"/>
    <w:rsid w:val="001C1E66"/>
    <w:rsid w:val="001C1EBC"/>
    <w:rsid w:val="001C2139"/>
    <w:rsid w:val="001C22B4"/>
    <w:rsid w:val="001C2393"/>
    <w:rsid w:val="001C251C"/>
    <w:rsid w:val="001C25B3"/>
    <w:rsid w:val="001C39B3"/>
    <w:rsid w:val="001C3DB2"/>
    <w:rsid w:val="001C3E41"/>
    <w:rsid w:val="001C4041"/>
    <w:rsid w:val="001C4414"/>
    <w:rsid w:val="001C4457"/>
    <w:rsid w:val="001C4576"/>
    <w:rsid w:val="001C458E"/>
    <w:rsid w:val="001C474F"/>
    <w:rsid w:val="001C47C8"/>
    <w:rsid w:val="001C481E"/>
    <w:rsid w:val="001C4986"/>
    <w:rsid w:val="001C4C3A"/>
    <w:rsid w:val="001C4FA6"/>
    <w:rsid w:val="001C4FA8"/>
    <w:rsid w:val="001C50D1"/>
    <w:rsid w:val="001C5728"/>
    <w:rsid w:val="001C5F83"/>
    <w:rsid w:val="001C60A9"/>
    <w:rsid w:val="001C69A3"/>
    <w:rsid w:val="001C6BD8"/>
    <w:rsid w:val="001C6E19"/>
    <w:rsid w:val="001C6E64"/>
    <w:rsid w:val="001C7137"/>
    <w:rsid w:val="001C72C5"/>
    <w:rsid w:val="001C72E8"/>
    <w:rsid w:val="001C755C"/>
    <w:rsid w:val="001C764D"/>
    <w:rsid w:val="001C7A82"/>
    <w:rsid w:val="001C7B52"/>
    <w:rsid w:val="001C7D8B"/>
    <w:rsid w:val="001D03B4"/>
    <w:rsid w:val="001D0430"/>
    <w:rsid w:val="001D0626"/>
    <w:rsid w:val="001D062D"/>
    <w:rsid w:val="001D063A"/>
    <w:rsid w:val="001D0717"/>
    <w:rsid w:val="001D089C"/>
    <w:rsid w:val="001D08EB"/>
    <w:rsid w:val="001D0BE1"/>
    <w:rsid w:val="001D0DD1"/>
    <w:rsid w:val="001D1077"/>
    <w:rsid w:val="001D14A3"/>
    <w:rsid w:val="001D151E"/>
    <w:rsid w:val="001D1592"/>
    <w:rsid w:val="001D16DE"/>
    <w:rsid w:val="001D1E7A"/>
    <w:rsid w:val="001D2334"/>
    <w:rsid w:val="001D2B85"/>
    <w:rsid w:val="001D32E2"/>
    <w:rsid w:val="001D362A"/>
    <w:rsid w:val="001D366F"/>
    <w:rsid w:val="001D3779"/>
    <w:rsid w:val="001D393E"/>
    <w:rsid w:val="001D398E"/>
    <w:rsid w:val="001D3E36"/>
    <w:rsid w:val="001D4278"/>
    <w:rsid w:val="001D42EF"/>
    <w:rsid w:val="001D46B4"/>
    <w:rsid w:val="001D491C"/>
    <w:rsid w:val="001D4A74"/>
    <w:rsid w:val="001D4CE2"/>
    <w:rsid w:val="001D4F91"/>
    <w:rsid w:val="001D512F"/>
    <w:rsid w:val="001D56D1"/>
    <w:rsid w:val="001D5795"/>
    <w:rsid w:val="001D582A"/>
    <w:rsid w:val="001D5F62"/>
    <w:rsid w:val="001D5FA8"/>
    <w:rsid w:val="001D5FA9"/>
    <w:rsid w:val="001D5FFF"/>
    <w:rsid w:val="001D61E6"/>
    <w:rsid w:val="001D6357"/>
    <w:rsid w:val="001D6783"/>
    <w:rsid w:val="001D6880"/>
    <w:rsid w:val="001D69CD"/>
    <w:rsid w:val="001D6A84"/>
    <w:rsid w:val="001D6CC1"/>
    <w:rsid w:val="001D6E17"/>
    <w:rsid w:val="001D7555"/>
    <w:rsid w:val="001D7B12"/>
    <w:rsid w:val="001D7EFC"/>
    <w:rsid w:val="001D7F17"/>
    <w:rsid w:val="001E0071"/>
    <w:rsid w:val="001E015E"/>
    <w:rsid w:val="001E017D"/>
    <w:rsid w:val="001E01DC"/>
    <w:rsid w:val="001E05F4"/>
    <w:rsid w:val="001E06CD"/>
    <w:rsid w:val="001E0BF7"/>
    <w:rsid w:val="001E0C2F"/>
    <w:rsid w:val="001E0DDF"/>
    <w:rsid w:val="001E1238"/>
    <w:rsid w:val="001E1355"/>
    <w:rsid w:val="001E158B"/>
    <w:rsid w:val="001E15D0"/>
    <w:rsid w:val="001E228D"/>
    <w:rsid w:val="001E25BB"/>
    <w:rsid w:val="001E269F"/>
    <w:rsid w:val="001E26ED"/>
    <w:rsid w:val="001E2CBC"/>
    <w:rsid w:val="001E2CEB"/>
    <w:rsid w:val="001E31FB"/>
    <w:rsid w:val="001E3233"/>
    <w:rsid w:val="001E3587"/>
    <w:rsid w:val="001E35B2"/>
    <w:rsid w:val="001E3896"/>
    <w:rsid w:val="001E39BC"/>
    <w:rsid w:val="001E46CE"/>
    <w:rsid w:val="001E46F6"/>
    <w:rsid w:val="001E493C"/>
    <w:rsid w:val="001E4A5C"/>
    <w:rsid w:val="001E4A81"/>
    <w:rsid w:val="001E4F36"/>
    <w:rsid w:val="001E52F4"/>
    <w:rsid w:val="001E54D9"/>
    <w:rsid w:val="001E555D"/>
    <w:rsid w:val="001E6071"/>
    <w:rsid w:val="001E63F9"/>
    <w:rsid w:val="001E6534"/>
    <w:rsid w:val="001E654F"/>
    <w:rsid w:val="001E67F6"/>
    <w:rsid w:val="001E68C0"/>
    <w:rsid w:val="001E7199"/>
    <w:rsid w:val="001E75EC"/>
    <w:rsid w:val="001E7909"/>
    <w:rsid w:val="001E7C3B"/>
    <w:rsid w:val="001E7CF5"/>
    <w:rsid w:val="001E7E79"/>
    <w:rsid w:val="001F00C5"/>
    <w:rsid w:val="001F037E"/>
    <w:rsid w:val="001F0E2C"/>
    <w:rsid w:val="001F103E"/>
    <w:rsid w:val="001F105A"/>
    <w:rsid w:val="001F10DD"/>
    <w:rsid w:val="001F12FA"/>
    <w:rsid w:val="001F1A3A"/>
    <w:rsid w:val="001F1B63"/>
    <w:rsid w:val="001F1D31"/>
    <w:rsid w:val="001F1E7A"/>
    <w:rsid w:val="001F1F4C"/>
    <w:rsid w:val="001F252E"/>
    <w:rsid w:val="001F26BB"/>
    <w:rsid w:val="001F2864"/>
    <w:rsid w:val="001F2B54"/>
    <w:rsid w:val="001F2CE8"/>
    <w:rsid w:val="001F2D12"/>
    <w:rsid w:val="001F3200"/>
    <w:rsid w:val="001F3330"/>
    <w:rsid w:val="001F35BE"/>
    <w:rsid w:val="001F36BD"/>
    <w:rsid w:val="001F398E"/>
    <w:rsid w:val="001F3B59"/>
    <w:rsid w:val="001F3D49"/>
    <w:rsid w:val="001F41DE"/>
    <w:rsid w:val="001F45F5"/>
    <w:rsid w:val="001F4C65"/>
    <w:rsid w:val="001F4D8C"/>
    <w:rsid w:val="001F4E92"/>
    <w:rsid w:val="001F5029"/>
    <w:rsid w:val="001F5571"/>
    <w:rsid w:val="001F5905"/>
    <w:rsid w:val="001F5F46"/>
    <w:rsid w:val="001F61B5"/>
    <w:rsid w:val="001F6491"/>
    <w:rsid w:val="001F666A"/>
    <w:rsid w:val="001F66CC"/>
    <w:rsid w:val="001F6F5A"/>
    <w:rsid w:val="001F70D4"/>
    <w:rsid w:val="001F715B"/>
    <w:rsid w:val="001F793F"/>
    <w:rsid w:val="001F7AED"/>
    <w:rsid w:val="001F7DAA"/>
    <w:rsid w:val="001F7EC6"/>
    <w:rsid w:val="002000B0"/>
    <w:rsid w:val="0020011B"/>
    <w:rsid w:val="002001B6"/>
    <w:rsid w:val="00200432"/>
    <w:rsid w:val="002009A4"/>
    <w:rsid w:val="002009FF"/>
    <w:rsid w:val="00201419"/>
    <w:rsid w:val="0020176B"/>
    <w:rsid w:val="002024C8"/>
    <w:rsid w:val="0020258B"/>
    <w:rsid w:val="0020261E"/>
    <w:rsid w:val="00202A1B"/>
    <w:rsid w:val="00202F08"/>
    <w:rsid w:val="00202FCC"/>
    <w:rsid w:val="00203079"/>
    <w:rsid w:val="002033A3"/>
    <w:rsid w:val="00203563"/>
    <w:rsid w:val="002037EE"/>
    <w:rsid w:val="002038BF"/>
    <w:rsid w:val="00203A25"/>
    <w:rsid w:val="00203C4E"/>
    <w:rsid w:val="00204BD2"/>
    <w:rsid w:val="00204C6F"/>
    <w:rsid w:val="00204CB3"/>
    <w:rsid w:val="00204E8D"/>
    <w:rsid w:val="00204EDC"/>
    <w:rsid w:val="002050D4"/>
    <w:rsid w:val="002055CC"/>
    <w:rsid w:val="00205B69"/>
    <w:rsid w:val="00205BF8"/>
    <w:rsid w:val="00205C72"/>
    <w:rsid w:val="00205FB3"/>
    <w:rsid w:val="00206224"/>
    <w:rsid w:val="00206313"/>
    <w:rsid w:val="00206331"/>
    <w:rsid w:val="002066DE"/>
    <w:rsid w:val="00206E9F"/>
    <w:rsid w:val="002070AE"/>
    <w:rsid w:val="002071A1"/>
    <w:rsid w:val="002072CD"/>
    <w:rsid w:val="00207654"/>
    <w:rsid w:val="00207A5D"/>
    <w:rsid w:val="00207AA1"/>
    <w:rsid w:val="00207CAE"/>
    <w:rsid w:val="00210019"/>
    <w:rsid w:val="002101C2"/>
    <w:rsid w:val="00210387"/>
    <w:rsid w:val="00210714"/>
    <w:rsid w:val="00210786"/>
    <w:rsid w:val="00210826"/>
    <w:rsid w:val="00210C45"/>
    <w:rsid w:val="00210F90"/>
    <w:rsid w:val="00211329"/>
    <w:rsid w:val="00211343"/>
    <w:rsid w:val="0021136B"/>
    <w:rsid w:val="0021146F"/>
    <w:rsid w:val="002114DB"/>
    <w:rsid w:val="0021181D"/>
    <w:rsid w:val="002118B1"/>
    <w:rsid w:val="002119A0"/>
    <w:rsid w:val="00211C98"/>
    <w:rsid w:val="00211D4A"/>
    <w:rsid w:val="00212059"/>
    <w:rsid w:val="002124EB"/>
    <w:rsid w:val="00212509"/>
    <w:rsid w:val="0021275E"/>
    <w:rsid w:val="00212B51"/>
    <w:rsid w:val="00212C46"/>
    <w:rsid w:val="00212CBB"/>
    <w:rsid w:val="0021321F"/>
    <w:rsid w:val="00213225"/>
    <w:rsid w:val="00213664"/>
    <w:rsid w:val="00213723"/>
    <w:rsid w:val="00213795"/>
    <w:rsid w:val="00213C27"/>
    <w:rsid w:val="00213EA6"/>
    <w:rsid w:val="002140C5"/>
    <w:rsid w:val="002140EE"/>
    <w:rsid w:val="00214235"/>
    <w:rsid w:val="002147AD"/>
    <w:rsid w:val="00214B20"/>
    <w:rsid w:val="00214BEB"/>
    <w:rsid w:val="00214C0F"/>
    <w:rsid w:val="00214F3A"/>
    <w:rsid w:val="002151C9"/>
    <w:rsid w:val="002153FB"/>
    <w:rsid w:val="002154FE"/>
    <w:rsid w:val="0021563C"/>
    <w:rsid w:val="0021578C"/>
    <w:rsid w:val="0021589C"/>
    <w:rsid w:val="0021589D"/>
    <w:rsid w:val="00215A61"/>
    <w:rsid w:val="00215C9E"/>
    <w:rsid w:val="0021672B"/>
    <w:rsid w:val="002169A6"/>
    <w:rsid w:val="00216F4F"/>
    <w:rsid w:val="002175BC"/>
    <w:rsid w:val="002177C3"/>
    <w:rsid w:val="00217B86"/>
    <w:rsid w:val="00217DD0"/>
    <w:rsid w:val="002200C4"/>
    <w:rsid w:val="00220180"/>
    <w:rsid w:val="0022056D"/>
    <w:rsid w:val="00220646"/>
    <w:rsid w:val="002209C4"/>
    <w:rsid w:val="00220C6A"/>
    <w:rsid w:val="00221100"/>
    <w:rsid w:val="002213A3"/>
    <w:rsid w:val="002216C2"/>
    <w:rsid w:val="002218D0"/>
    <w:rsid w:val="002218FD"/>
    <w:rsid w:val="00221A1B"/>
    <w:rsid w:val="00221E73"/>
    <w:rsid w:val="00222307"/>
    <w:rsid w:val="00222492"/>
    <w:rsid w:val="002225D6"/>
    <w:rsid w:val="00222939"/>
    <w:rsid w:val="00222A3C"/>
    <w:rsid w:val="0022312F"/>
    <w:rsid w:val="002232CA"/>
    <w:rsid w:val="002235EA"/>
    <w:rsid w:val="0022367B"/>
    <w:rsid w:val="00223700"/>
    <w:rsid w:val="00223966"/>
    <w:rsid w:val="00224029"/>
    <w:rsid w:val="002240BA"/>
    <w:rsid w:val="00224348"/>
    <w:rsid w:val="00224427"/>
    <w:rsid w:val="0022486E"/>
    <w:rsid w:val="002248D3"/>
    <w:rsid w:val="00224B97"/>
    <w:rsid w:val="00224CAB"/>
    <w:rsid w:val="002252BE"/>
    <w:rsid w:val="00225676"/>
    <w:rsid w:val="002256F5"/>
    <w:rsid w:val="0022588B"/>
    <w:rsid w:val="00225B17"/>
    <w:rsid w:val="00225C85"/>
    <w:rsid w:val="00226231"/>
    <w:rsid w:val="00226637"/>
    <w:rsid w:val="002266EF"/>
    <w:rsid w:val="00226BFA"/>
    <w:rsid w:val="00226D8E"/>
    <w:rsid w:val="00227058"/>
    <w:rsid w:val="00227301"/>
    <w:rsid w:val="00227395"/>
    <w:rsid w:val="002273B9"/>
    <w:rsid w:val="002274A4"/>
    <w:rsid w:val="00227652"/>
    <w:rsid w:val="00227843"/>
    <w:rsid w:val="00227ABD"/>
    <w:rsid w:val="00227E09"/>
    <w:rsid w:val="002301A2"/>
    <w:rsid w:val="00230CE4"/>
    <w:rsid w:val="00231C92"/>
    <w:rsid w:val="00231F52"/>
    <w:rsid w:val="002320CC"/>
    <w:rsid w:val="002321FA"/>
    <w:rsid w:val="002325F9"/>
    <w:rsid w:val="002327A5"/>
    <w:rsid w:val="00232891"/>
    <w:rsid w:val="00232CDB"/>
    <w:rsid w:val="00232D92"/>
    <w:rsid w:val="00232E75"/>
    <w:rsid w:val="00232F47"/>
    <w:rsid w:val="002336DE"/>
    <w:rsid w:val="00233C22"/>
    <w:rsid w:val="00233CAE"/>
    <w:rsid w:val="00233D00"/>
    <w:rsid w:val="002342FA"/>
    <w:rsid w:val="00234334"/>
    <w:rsid w:val="0023446A"/>
    <w:rsid w:val="002348DA"/>
    <w:rsid w:val="00234923"/>
    <w:rsid w:val="00234AB6"/>
    <w:rsid w:val="00234BE0"/>
    <w:rsid w:val="00234F29"/>
    <w:rsid w:val="00234FA7"/>
    <w:rsid w:val="002358F7"/>
    <w:rsid w:val="00235BE2"/>
    <w:rsid w:val="002362E5"/>
    <w:rsid w:val="00236543"/>
    <w:rsid w:val="00236591"/>
    <w:rsid w:val="0023663B"/>
    <w:rsid w:val="0023696D"/>
    <w:rsid w:val="00236A45"/>
    <w:rsid w:val="00236FD9"/>
    <w:rsid w:val="00237072"/>
    <w:rsid w:val="0023726A"/>
    <w:rsid w:val="0023747C"/>
    <w:rsid w:val="00237614"/>
    <w:rsid w:val="002376D3"/>
    <w:rsid w:val="002377B9"/>
    <w:rsid w:val="002377FD"/>
    <w:rsid w:val="002378C3"/>
    <w:rsid w:val="00237AA1"/>
    <w:rsid w:val="00237BB4"/>
    <w:rsid w:val="00237E5D"/>
    <w:rsid w:val="00237FE3"/>
    <w:rsid w:val="00240516"/>
    <w:rsid w:val="00240876"/>
    <w:rsid w:val="0024101C"/>
    <w:rsid w:val="00241056"/>
    <w:rsid w:val="00241650"/>
    <w:rsid w:val="00241CDF"/>
    <w:rsid w:val="00241DC8"/>
    <w:rsid w:val="002425B9"/>
    <w:rsid w:val="002428CA"/>
    <w:rsid w:val="00243060"/>
    <w:rsid w:val="002435AA"/>
    <w:rsid w:val="002435F7"/>
    <w:rsid w:val="00243672"/>
    <w:rsid w:val="00243901"/>
    <w:rsid w:val="00243911"/>
    <w:rsid w:val="00243D66"/>
    <w:rsid w:val="0024422F"/>
    <w:rsid w:val="00244256"/>
    <w:rsid w:val="002445DB"/>
    <w:rsid w:val="00244940"/>
    <w:rsid w:val="00244954"/>
    <w:rsid w:val="00244B27"/>
    <w:rsid w:val="00244BCC"/>
    <w:rsid w:val="00244CED"/>
    <w:rsid w:val="00244F94"/>
    <w:rsid w:val="002452B3"/>
    <w:rsid w:val="0024531A"/>
    <w:rsid w:val="0024558F"/>
    <w:rsid w:val="00245987"/>
    <w:rsid w:val="00245BD8"/>
    <w:rsid w:val="00245E0C"/>
    <w:rsid w:val="00246163"/>
    <w:rsid w:val="00246453"/>
    <w:rsid w:val="00246466"/>
    <w:rsid w:val="00246625"/>
    <w:rsid w:val="00246802"/>
    <w:rsid w:val="00246B77"/>
    <w:rsid w:val="00246F00"/>
    <w:rsid w:val="00246F25"/>
    <w:rsid w:val="00246F8C"/>
    <w:rsid w:val="002470C9"/>
    <w:rsid w:val="002470E9"/>
    <w:rsid w:val="00247215"/>
    <w:rsid w:val="002474A5"/>
    <w:rsid w:val="0024793D"/>
    <w:rsid w:val="00247A07"/>
    <w:rsid w:val="00247A15"/>
    <w:rsid w:val="00247DE3"/>
    <w:rsid w:val="002500B7"/>
    <w:rsid w:val="0025062E"/>
    <w:rsid w:val="00250816"/>
    <w:rsid w:val="00250837"/>
    <w:rsid w:val="00250B51"/>
    <w:rsid w:val="00250C6D"/>
    <w:rsid w:val="0025125B"/>
    <w:rsid w:val="00251557"/>
    <w:rsid w:val="00251662"/>
    <w:rsid w:val="00251860"/>
    <w:rsid w:val="00251D19"/>
    <w:rsid w:val="00251EC4"/>
    <w:rsid w:val="0025256D"/>
    <w:rsid w:val="00252D22"/>
    <w:rsid w:val="00252D25"/>
    <w:rsid w:val="00252D87"/>
    <w:rsid w:val="00252F4E"/>
    <w:rsid w:val="002531E0"/>
    <w:rsid w:val="00253275"/>
    <w:rsid w:val="00253458"/>
    <w:rsid w:val="002536FE"/>
    <w:rsid w:val="00254269"/>
    <w:rsid w:val="002543F7"/>
    <w:rsid w:val="0025493E"/>
    <w:rsid w:val="002549EA"/>
    <w:rsid w:val="00255266"/>
    <w:rsid w:val="002552A4"/>
    <w:rsid w:val="00255572"/>
    <w:rsid w:val="00255EB0"/>
    <w:rsid w:val="002561AE"/>
    <w:rsid w:val="00256299"/>
    <w:rsid w:val="002564E2"/>
    <w:rsid w:val="002566E1"/>
    <w:rsid w:val="00256A41"/>
    <w:rsid w:val="00256B36"/>
    <w:rsid w:val="0025720F"/>
    <w:rsid w:val="002574B4"/>
    <w:rsid w:val="00257794"/>
    <w:rsid w:val="00257FB5"/>
    <w:rsid w:val="00260C19"/>
    <w:rsid w:val="00260C91"/>
    <w:rsid w:val="00260D3B"/>
    <w:rsid w:val="00260F2C"/>
    <w:rsid w:val="00260F9E"/>
    <w:rsid w:val="0026108E"/>
    <w:rsid w:val="00261217"/>
    <w:rsid w:val="00261D8D"/>
    <w:rsid w:val="00261DBF"/>
    <w:rsid w:val="00261F2B"/>
    <w:rsid w:val="002622A5"/>
    <w:rsid w:val="00262395"/>
    <w:rsid w:val="002625BC"/>
    <w:rsid w:val="00262601"/>
    <w:rsid w:val="00262613"/>
    <w:rsid w:val="0026293E"/>
    <w:rsid w:val="00262D81"/>
    <w:rsid w:val="00263191"/>
    <w:rsid w:val="00263238"/>
    <w:rsid w:val="00263335"/>
    <w:rsid w:val="0026349A"/>
    <w:rsid w:val="00263956"/>
    <w:rsid w:val="00263A62"/>
    <w:rsid w:val="00264866"/>
    <w:rsid w:val="00264B3B"/>
    <w:rsid w:val="00264B4E"/>
    <w:rsid w:val="00264C54"/>
    <w:rsid w:val="00264EF1"/>
    <w:rsid w:val="002658E3"/>
    <w:rsid w:val="00265B8F"/>
    <w:rsid w:val="00265D6D"/>
    <w:rsid w:val="00265DBD"/>
    <w:rsid w:val="00266319"/>
    <w:rsid w:val="0026691E"/>
    <w:rsid w:val="00266BBB"/>
    <w:rsid w:val="00266BD0"/>
    <w:rsid w:val="00266C93"/>
    <w:rsid w:val="00266DAF"/>
    <w:rsid w:val="0026737C"/>
    <w:rsid w:val="00267652"/>
    <w:rsid w:val="0026769C"/>
    <w:rsid w:val="00267BA4"/>
    <w:rsid w:val="002707EC"/>
    <w:rsid w:val="00271159"/>
    <w:rsid w:val="002711FE"/>
    <w:rsid w:val="002715F4"/>
    <w:rsid w:val="00271696"/>
    <w:rsid w:val="00271779"/>
    <w:rsid w:val="0027185F"/>
    <w:rsid w:val="00271FDC"/>
    <w:rsid w:val="00272246"/>
    <w:rsid w:val="002722F2"/>
    <w:rsid w:val="002723E9"/>
    <w:rsid w:val="00272C41"/>
    <w:rsid w:val="002733AD"/>
    <w:rsid w:val="00273508"/>
    <w:rsid w:val="00273770"/>
    <w:rsid w:val="002739D5"/>
    <w:rsid w:val="00273D3D"/>
    <w:rsid w:val="00273F5A"/>
    <w:rsid w:val="00274069"/>
    <w:rsid w:val="002744A4"/>
    <w:rsid w:val="00274531"/>
    <w:rsid w:val="002746F4"/>
    <w:rsid w:val="002748A1"/>
    <w:rsid w:val="00274958"/>
    <w:rsid w:val="002749AA"/>
    <w:rsid w:val="002749C9"/>
    <w:rsid w:val="00274B48"/>
    <w:rsid w:val="00274B64"/>
    <w:rsid w:val="002757ED"/>
    <w:rsid w:val="00275D27"/>
    <w:rsid w:val="00275FFA"/>
    <w:rsid w:val="002762D8"/>
    <w:rsid w:val="0027666B"/>
    <w:rsid w:val="00276788"/>
    <w:rsid w:val="00276C16"/>
    <w:rsid w:val="00276E05"/>
    <w:rsid w:val="002770EE"/>
    <w:rsid w:val="00277295"/>
    <w:rsid w:val="002774BE"/>
    <w:rsid w:val="002779AB"/>
    <w:rsid w:val="00277B98"/>
    <w:rsid w:val="00277CF8"/>
    <w:rsid w:val="00277D7C"/>
    <w:rsid w:val="00280157"/>
    <w:rsid w:val="002803E7"/>
    <w:rsid w:val="0028050C"/>
    <w:rsid w:val="0028079A"/>
    <w:rsid w:val="002807E8"/>
    <w:rsid w:val="002808CC"/>
    <w:rsid w:val="00280CC3"/>
    <w:rsid w:val="00280CEE"/>
    <w:rsid w:val="00280D30"/>
    <w:rsid w:val="00281035"/>
    <w:rsid w:val="00281081"/>
    <w:rsid w:val="0028115C"/>
    <w:rsid w:val="00281203"/>
    <w:rsid w:val="0028123B"/>
    <w:rsid w:val="0028134B"/>
    <w:rsid w:val="0028144D"/>
    <w:rsid w:val="002815BB"/>
    <w:rsid w:val="0028180B"/>
    <w:rsid w:val="00281A0A"/>
    <w:rsid w:val="00281B67"/>
    <w:rsid w:val="00281C25"/>
    <w:rsid w:val="00281F91"/>
    <w:rsid w:val="00282014"/>
    <w:rsid w:val="00282079"/>
    <w:rsid w:val="00282660"/>
    <w:rsid w:val="0028295E"/>
    <w:rsid w:val="00283011"/>
    <w:rsid w:val="002831CE"/>
    <w:rsid w:val="002831F9"/>
    <w:rsid w:val="00283541"/>
    <w:rsid w:val="00283638"/>
    <w:rsid w:val="002837DD"/>
    <w:rsid w:val="0028384B"/>
    <w:rsid w:val="002839B5"/>
    <w:rsid w:val="002839D1"/>
    <w:rsid w:val="002839F2"/>
    <w:rsid w:val="00283C57"/>
    <w:rsid w:val="00283F76"/>
    <w:rsid w:val="002843FA"/>
    <w:rsid w:val="002849AE"/>
    <w:rsid w:val="00284A2E"/>
    <w:rsid w:val="00284B68"/>
    <w:rsid w:val="00284CD5"/>
    <w:rsid w:val="00284E5E"/>
    <w:rsid w:val="0028525C"/>
    <w:rsid w:val="00285269"/>
    <w:rsid w:val="00285885"/>
    <w:rsid w:val="0028595C"/>
    <w:rsid w:val="002859E2"/>
    <w:rsid w:val="00285CF2"/>
    <w:rsid w:val="0028622A"/>
    <w:rsid w:val="002864DA"/>
    <w:rsid w:val="002866C7"/>
    <w:rsid w:val="00286D2C"/>
    <w:rsid w:val="00286DAE"/>
    <w:rsid w:val="00286EE7"/>
    <w:rsid w:val="00286F4F"/>
    <w:rsid w:val="0028746E"/>
    <w:rsid w:val="00287928"/>
    <w:rsid w:val="002879AA"/>
    <w:rsid w:val="00287AC0"/>
    <w:rsid w:val="00287C2B"/>
    <w:rsid w:val="00287DE4"/>
    <w:rsid w:val="002900F2"/>
    <w:rsid w:val="002902BB"/>
    <w:rsid w:val="00290BAA"/>
    <w:rsid w:val="00290E95"/>
    <w:rsid w:val="00290EA4"/>
    <w:rsid w:val="0029126D"/>
    <w:rsid w:val="0029126F"/>
    <w:rsid w:val="00291565"/>
    <w:rsid w:val="002915BF"/>
    <w:rsid w:val="002916E5"/>
    <w:rsid w:val="0029182F"/>
    <w:rsid w:val="00291931"/>
    <w:rsid w:val="00292306"/>
    <w:rsid w:val="00292709"/>
    <w:rsid w:val="002928F3"/>
    <w:rsid w:val="00292A07"/>
    <w:rsid w:val="00292AB5"/>
    <w:rsid w:val="00292F6F"/>
    <w:rsid w:val="00292FD3"/>
    <w:rsid w:val="00293169"/>
    <w:rsid w:val="00293541"/>
    <w:rsid w:val="002937D3"/>
    <w:rsid w:val="0029389E"/>
    <w:rsid w:val="00293E5F"/>
    <w:rsid w:val="002944FC"/>
    <w:rsid w:val="00294650"/>
    <w:rsid w:val="00294734"/>
    <w:rsid w:val="00294914"/>
    <w:rsid w:val="00294B7F"/>
    <w:rsid w:val="00294BB5"/>
    <w:rsid w:val="00295032"/>
    <w:rsid w:val="002950D0"/>
    <w:rsid w:val="00295417"/>
    <w:rsid w:val="002958AF"/>
    <w:rsid w:val="002968CC"/>
    <w:rsid w:val="00296F0A"/>
    <w:rsid w:val="00297620"/>
    <w:rsid w:val="002977B7"/>
    <w:rsid w:val="002979CB"/>
    <w:rsid w:val="00297BF4"/>
    <w:rsid w:val="00297F79"/>
    <w:rsid w:val="002A09E2"/>
    <w:rsid w:val="002A0B26"/>
    <w:rsid w:val="002A0E1F"/>
    <w:rsid w:val="002A0EDC"/>
    <w:rsid w:val="002A0F0A"/>
    <w:rsid w:val="002A0FB1"/>
    <w:rsid w:val="002A1394"/>
    <w:rsid w:val="002A14B1"/>
    <w:rsid w:val="002A165E"/>
    <w:rsid w:val="002A18E5"/>
    <w:rsid w:val="002A1CA3"/>
    <w:rsid w:val="002A2209"/>
    <w:rsid w:val="002A2401"/>
    <w:rsid w:val="002A2530"/>
    <w:rsid w:val="002A2A33"/>
    <w:rsid w:val="002A2CC0"/>
    <w:rsid w:val="002A3482"/>
    <w:rsid w:val="002A368F"/>
    <w:rsid w:val="002A36F5"/>
    <w:rsid w:val="002A3AA9"/>
    <w:rsid w:val="002A409A"/>
    <w:rsid w:val="002A40EC"/>
    <w:rsid w:val="002A4134"/>
    <w:rsid w:val="002A41CF"/>
    <w:rsid w:val="002A48CA"/>
    <w:rsid w:val="002A49DD"/>
    <w:rsid w:val="002A4AB1"/>
    <w:rsid w:val="002A4C92"/>
    <w:rsid w:val="002A5728"/>
    <w:rsid w:val="002A580C"/>
    <w:rsid w:val="002A58CF"/>
    <w:rsid w:val="002A59B1"/>
    <w:rsid w:val="002A5A64"/>
    <w:rsid w:val="002A5D9A"/>
    <w:rsid w:val="002A5ED6"/>
    <w:rsid w:val="002A5F7C"/>
    <w:rsid w:val="002A623C"/>
    <w:rsid w:val="002A634F"/>
    <w:rsid w:val="002A65D8"/>
    <w:rsid w:val="002A66A9"/>
    <w:rsid w:val="002A66CB"/>
    <w:rsid w:val="002A68E9"/>
    <w:rsid w:val="002A69A4"/>
    <w:rsid w:val="002A69D5"/>
    <w:rsid w:val="002A6A90"/>
    <w:rsid w:val="002A72B5"/>
    <w:rsid w:val="002A7353"/>
    <w:rsid w:val="002A73A5"/>
    <w:rsid w:val="002A76FD"/>
    <w:rsid w:val="002A7DC6"/>
    <w:rsid w:val="002A7E7F"/>
    <w:rsid w:val="002A7F95"/>
    <w:rsid w:val="002B00B5"/>
    <w:rsid w:val="002B09A3"/>
    <w:rsid w:val="002B0C5F"/>
    <w:rsid w:val="002B0CBC"/>
    <w:rsid w:val="002B0FB1"/>
    <w:rsid w:val="002B10D4"/>
    <w:rsid w:val="002B10EF"/>
    <w:rsid w:val="002B12D2"/>
    <w:rsid w:val="002B16DF"/>
    <w:rsid w:val="002B1A09"/>
    <w:rsid w:val="002B1F75"/>
    <w:rsid w:val="002B2363"/>
    <w:rsid w:val="002B25AE"/>
    <w:rsid w:val="002B2DC5"/>
    <w:rsid w:val="002B36FD"/>
    <w:rsid w:val="002B40A0"/>
    <w:rsid w:val="002B4606"/>
    <w:rsid w:val="002B474E"/>
    <w:rsid w:val="002B4D09"/>
    <w:rsid w:val="002B5018"/>
    <w:rsid w:val="002B5412"/>
    <w:rsid w:val="002B5576"/>
    <w:rsid w:val="002B57B6"/>
    <w:rsid w:val="002B5A60"/>
    <w:rsid w:val="002B5F4F"/>
    <w:rsid w:val="002B6086"/>
    <w:rsid w:val="002B643E"/>
    <w:rsid w:val="002B64D6"/>
    <w:rsid w:val="002B6913"/>
    <w:rsid w:val="002B6986"/>
    <w:rsid w:val="002B6DBD"/>
    <w:rsid w:val="002B751A"/>
    <w:rsid w:val="002B762C"/>
    <w:rsid w:val="002B77BF"/>
    <w:rsid w:val="002B7959"/>
    <w:rsid w:val="002B7DB8"/>
    <w:rsid w:val="002C00E9"/>
    <w:rsid w:val="002C026A"/>
    <w:rsid w:val="002C034C"/>
    <w:rsid w:val="002C0387"/>
    <w:rsid w:val="002C09C0"/>
    <w:rsid w:val="002C0AE1"/>
    <w:rsid w:val="002C0DFE"/>
    <w:rsid w:val="002C1298"/>
    <w:rsid w:val="002C1692"/>
    <w:rsid w:val="002C170E"/>
    <w:rsid w:val="002C1757"/>
    <w:rsid w:val="002C1977"/>
    <w:rsid w:val="002C1B5C"/>
    <w:rsid w:val="002C1C65"/>
    <w:rsid w:val="002C206E"/>
    <w:rsid w:val="002C237F"/>
    <w:rsid w:val="002C239A"/>
    <w:rsid w:val="002C24DF"/>
    <w:rsid w:val="002C290B"/>
    <w:rsid w:val="002C2A1F"/>
    <w:rsid w:val="002C2BD6"/>
    <w:rsid w:val="002C2D2C"/>
    <w:rsid w:val="002C2D52"/>
    <w:rsid w:val="002C3359"/>
    <w:rsid w:val="002C34DA"/>
    <w:rsid w:val="002C35A6"/>
    <w:rsid w:val="002C40BF"/>
    <w:rsid w:val="002C41F9"/>
    <w:rsid w:val="002C44A7"/>
    <w:rsid w:val="002C44DE"/>
    <w:rsid w:val="002C45DD"/>
    <w:rsid w:val="002C4A3A"/>
    <w:rsid w:val="002C4B5E"/>
    <w:rsid w:val="002C4BAB"/>
    <w:rsid w:val="002C5073"/>
    <w:rsid w:val="002C54D4"/>
    <w:rsid w:val="002C55AC"/>
    <w:rsid w:val="002C576E"/>
    <w:rsid w:val="002C5804"/>
    <w:rsid w:val="002C5C36"/>
    <w:rsid w:val="002C5EA0"/>
    <w:rsid w:val="002C6733"/>
    <w:rsid w:val="002C6C1B"/>
    <w:rsid w:val="002C6FAA"/>
    <w:rsid w:val="002C745C"/>
    <w:rsid w:val="002C74A0"/>
    <w:rsid w:val="002C75E6"/>
    <w:rsid w:val="002C78EA"/>
    <w:rsid w:val="002C7DD7"/>
    <w:rsid w:val="002C7E3D"/>
    <w:rsid w:val="002D06EA"/>
    <w:rsid w:val="002D0793"/>
    <w:rsid w:val="002D098B"/>
    <w:rsid w:val="002D0E23"/>
    <w:rsid w:val="002D0FEC"/>
    <w:rsid w:val="002D12A2"/>
    <w:rsid w:val="002D1432"/>
    <w:rsid w:val="002D1960"/>
    <w:rsid w:val="002D19A0"/>
    <w:rsid w:val="002D1BA6"/>
    <w:rsid w:val="002D1F1F"/>
    <w:rsid w:val="002D259D"/>
    <w:rsid w:val="002D2BD6"/>
    <w:rsid w:val="002D2DB5"/>
    <w:rsid w:val="002D328B"/>
    <w:rsid w:val="002D370F"/>
    <w:rsid w:val="002D3CBD"/>
    <w:rsid w:val="002D3E9D"/>
    <w:rsid w:val="002D3F27"/>
    <w:rsid w:val="002D3F8D"/>
    <w:rsid w:val="002D450F"/>
    <w:rsid w:val="002D4BA6"/>
    <w:rsid w:val="002D4BCD"/>
    <w:rsid w:val="002D4BEF"/>
    <w:rsid w:val="002D4C14"/>
    <w:rsid w:val="002D4D1F"/>
    <w:rsid w:val="002D4DBC"/>
    <w:rsid w:val="002D4F67"/>
    <w:rsid w:val="002D50F3"/>
    <w:rsid w:val="002D5350"/>
    <w:rsid w:val="002D5C7D"/>
    <w:rsid w:val="002D65B9"/>
    <w:rsid w:val="002D666E"/>
    <w:rsid w:val="002D6A5F"/>
    <w:rsid w:val="002D6BE2"/>
    <w:rsid w:val="002D6CAC"/>
    <w:rsid w:val="002D6F1B"/>
    <w:rsid w:val="002D7505"/>
    <w:rsid w:val="002D763C"/>
    <w:rsid w:val="002D77BC"/>
    <w:rsid w:val="002D7AB2"/>
    <w:rsid w:val="002D7D7A"/>
    <w:rsid w:val="002D7F5C"/>
    <w:rsid w:val="002E001F"/>
    <w:rsid w:val="002E0733"/>
    <w:rsid w:val="002E0B5B"/>
    <w:rsid w:val="002E0BE5"/>
    <w:rsid w:val="002E0C2E"/>
    <w:rsid w:val="002E0DBB"/>
    <w:rsid w:val="002E0E02"/>
    <w:rsid w:val="002E0E36"/>
    <w:rsid w:val="002E0F71"/>
    <w:rsid w:val="002E15E7"/>
    <w:rsid w:val="002E16CF"/>
    <w:rsid w:val="002E1984"/>
    <w:rsid w:val="002E20CB"/>
    <w:rsid w:val="002E2192"/>
    <w:rsid w:val="002E241A"/>
    <w:rsid w:val="002E2662"/>
    <w:rsid w:val="002E2CD1"/>
    <w:rsid w:val="002E3258"/>
    <w:rsid w:val="002E32AB"/>
    <w:rsid w:val="002E3337"/>
    <w:rsid w:val="002E3435"/>
    <w:rsid w:val="002E3874"/>
    <w:rsid w:val="002E399A"/>
    <w:rsid w:val="002E3A13"/>
    <w:rsid w:val="002E4010"/>
    <w:rsid w:val="002E42AB"/>
    <w:rsid w:val="002E437C"/>
    <w:rsid w:val="002E46D6"/>
    <w:rsid w:val="002E479C"/>
    <w:rsid w:val="002E4CC7"/>
    <w:rsid w:val="002E51D5"/>
    <w:rsid w:val="002E5267"/>
    <w:rsid w:val="002E52EC"/>
    <w:rsid w:val="002E55AA"/>
    <w:rsid w:val="002E57C1"/>
    <w:rsid w:val="002E57F6"/>
    <w:rsid w:val="002E5A8B"/>
    <w:rsid w:val="002E5D08"/>
    <w:rsid w:val="002E610E"/>
    <w:rsid w:val="002E630C"/>
    <w:rsid w:val="002E6388"/>
    <w:rsid w:val="002E65FD"/>
    <w:rsid w:val="002E66BA"/>
    <w:rsid w:val="002E68B5"/>
    <w:rsid w:val="002E69B3"/>
    <w:rsid w:val="002E6D5B"/>
    <w:rsid w:val="002E6DA9"/>
    <w:rsid w:val="002E6DBA"/>
    <w:rsid w:val="002E6EFF"/>
    <w:rsid w:val="002E6F01"/>
    <w:rsid w:val="002E6F23"/>
    <w:rsid w:val="002E721C"/>
    <w:rsid w:val="002E73DB"/>
    <w:rsid w:val="002E79FB"/>
    <w:rsid w:val="002E7BA8"/>
    <w:rsid w:val="002E7FC1"/>
    <w:rsid w:val="002F0095"/>
    <w:rsid w:val="002F0130"/>
    <w:rsid w:val="002F0252"/>
    <w:rsid w:val="002F04E8"/>
    <w:rsid w:val="002F09C5"/>
    <w:rsid w:val="002F0E8F"/>
    <w:rsid w:val="002F126C"/>
    <w:rsid w:val="002F1359"/>
    <w:rsid w:val="002F155A"/>
    <w:rsid w:val="002F16A7"/>
    <w:rsid w:val="002F1812"/>
    <w:rsid w:val="002F1902"/>
    <w:rsid w:val="002F1E31"/>
    <w:rsid w:val="002F1EB3"/>
    <w:rsid w:val="002F1F59"/>
    <w:rsid w:val="002F20BE"/>
    <w:rsid w:val="002F22FF"/>
    <w:rsid w:val="002F2744"/>
    <w:rsid w:val="002F28DC"/>
    <w:rsid w:val="002F2DA3"/>
    <w:rsid w:val="002F3020"/>
    <w:rsid w:val="002F30C8"/>
    <w:rsid w:val="002F351D"/>
    <w:rsid w:val="002F3786"/>
    <w:rsid w:val="002F3920"/>
    <w:rsid w:val="002F3E92"/>
    <w:rsid w:val="002F3F67"/>
    <w:rsid w:val="002F44ED"/>
    <w:rsid w:val="002F46C3"/>
    <w:rsid w:val="002F4EC6"/>
    <w:rsid w:val="002F4F84"/>
    <w:rsid w:val="002F50C4"/>
    <w:rsid w:val="002F514E"/>
    <w:rsid w:val="002F57C6"/>
    <w:rsid w:val="002F589D"/>
    <w:rsid w:val="002F6417"/>
    <w:rsid w:val="002F6700"/>
    <w:rsid w:val="002F6B2B"/>
    <w:rsid w:val="002F6D6D"/>
    <w:rsid w:val="002F6E91"/>
    <w:rsid w:val="002F6ED1"/>
    <w:rsid w:val="002F7061"/>
    <w:rsid w:val="002F72E9"/>
    <w:rsid w:val="002F734C"/>
    <w:rsid w:val="002F752B"/>
    <w:rsid w:val="002F785C"/>
    <w:rsid w:val="00300030"/>
    <w:rsid w:val="003003CC"/>
    <w:rsid w:val="003008A6"/>
    <w:rsid w:val="00300AC0"/>
    <w:rsid w:val="00300D60"/>
    <w:rsid w:val="00301303"/>
    <w:rsid w:val="003013C0"/>
    <w:rsid w:val="0030155D"/>
    <w:rsid w:val="00301616"/>
    <w:rsid w:val="00301984"/>
    <w:rsid w:val="00301EDF"/>
    <w:rsid w:val="00302004"/>
    <w:rsid w:val="0030241C"/>
    <w:rsid w:val="00302501"/>
    <w:rsid w:val="00302971"/>
    <w:rsid w:val="00302B32"/>
    <w:rsid w:val="00302B99"/>
    <w:rsid w:val="00302DE2"/>
    <w:rsid w:val="00303182"/>
    <w:rsid w:val="00303509"/>
    <w:rsid w:val="00303613"/>
    <w:rsid w:val="00303B2B"/>
    <w:rsid w:val="00303E96"/>
    <w:rsid w:val="00303F3A"/>
    <w:rsid w:val="0030420B"/>
    <w:rsid w:val="0030441B"/>
    <w:rsid w:val="0030464D"/>
    <w:rsid w:val="003049C1"/>
    <w:rsid w:val="00304BBE"/>
    <w:rsid w:val="00304C0C"/>
    <w:rsid w:val="00304CA0"/>
    <w:rsid w:val="00304D7A"/>
    <w:rsid w:val="00305170"/>
    <w:rsid w:val="003058E7"/>
    <w:rsid w:val="003058F5"/>
    <w:rsid w:val="00306103"/>
    <w:rsid w:val="00306539"/>
    <w:rsid w:val="00306988"/>
    <w:rsid w:val="00306DFA"/>
    <w:rsid w:val="003078A4"/>
    <w:rsid w:val="00307C59"/>
    <w:rsid w:val="00307F90"/>
    <w:rsid w:val="00310168"/>
    <w:rsid w:val="00310196"/>
    <w:rsid w:val="003101E1"/>
    <w:rsid w:val="0031033F"/>
    <w:rsid w:val="00310786"/>
    <w:rsid w:val="003107D1"/>
    <w:rsid w:val="0031093B"/>
    <w:rsid w:val="00310C96"/>
    <w:rsid w:val="00310E30"/>
    <w:rsid w:val="00310E4A"/>
    <w:rsid w:val="00310FA5"/>
    <w:rsid w:val="00310FE5"/>
    <w:rsid w:val="00311172"/>
    <w:rsid w:val="0031126F"/>
    <w:rsid w:val="003117C6"/>
    <w:rsid w:val="00311AC1"/>
    <w:rsid w:val="00312197"/>
    <w:rsid w:val="00312403"/>
    <w:rsid w:val="003125E4"/>
    <w:rsid w:val="003127D9"/>
    <w:rsid w:val="003129EA"/>
    <w:rsid w:val="00312FDB"/>
    <w:rsid w:val="003130EA"/>
    <w:rsid w:val="0031355D"/>
    <w:rsid w:val="00313593"/>
    <w:rsid w:val="003135D6"/>
    <w:rsid w:val="003139B6"/>
    <w:rsid w:val="00313F0C"/>
    <w:rsid w:val="00313F59"/>
    <w:rsid w:val="00313FEA"/>
    <w:rsid w:val="00314266"/>
    <w:rsid w:val="003142D5"/>
    <w:rsid w:val="0031450C"/>
    <w:rsid w:val="00314915"/>
    <w:rsid w:val="003149A8"/>
    <w:rsid w:val="00315396"/>
    <w:rsid w:val="00315975"/>
    <w:rsid w:val="00315D6D"/>
    <w:rsid w:val="00315E88"/>
    <w:rsid w:val="00315F9B"/>
    <w:rsid w:val="00316163"/>
    <w:rsid w:val="003163C5"/>
    <w:rsid w:val="003164D9"/>
    <w:rsid w:val="00316778"/>
    <w:rsid w:val="003167DC"/>
    <w:rsid w:val="00316D77"/>
    <w:rsid w:val="0031714E"/>
    <w:rsid w:val="003174C8"/>
    <w:rsid w:val="003174EF"/>
    <w:rsid w:val="003176E1"/>
    <w:rsid w:val="00317720"/>
    <w:rsid w:val="00317B92"/>
    <w:rsid w:val="00317D10"/>
    <w:rsid w:val="00317E04"/>
    <w:rsid w:val="003201BD"/>
    <w:rsid w:val="0032033F"/>
    <w:rsid w:val="003204C6"/>
    <w:rsid w:val="00320651"/>
    <w:rsid w:val="00320D3C"/>
    <w:rsid w:val="00320E21"/>
    <w:rsid w:val="00320F28"/>
    <w:rsid w:val="00320FF0"/>
    <w:rsid w:val="00321658"/>
    <w:rsid w:val="003216AD"/>
    <w:rsid w:val="0032193B"/>
    <w:rsid w:val="0032193D"/>
    <w:rsid w:val="00321B2C"/>
    <w:rsid w:val="00321B9C"/>
    <w:rsid w:val="00321C2D"/>
    <w:rsid w:val="0032203E"/>
    <w:rsid w:val="003226CE"/>
    <w:rsid w:val="00322AF8"/>
    <w:rsid w:val="00323142"/>
    <w:rsid w:val="003238BB"/>
    <w:rsid w:val="00323AC9"/>
    <w:rsid w:val="00323B4B"/>
    <w:rsid w:val="00323D5F"/>
    <w:rsid w:val="00323D8A"/>
    <w:rsid w:val="003241E6"/>
    <w:rsid w:val="003242FC"/>
    <w:rsid w:val="00324520"/>
    <w:rsid w:val="003248AA"/>
    <w:rsid w:val="0032498B"/>
    <w:rsid w:val="00324BC2"/>
    <w:rsid w:val="00324E43"/>
    <w:rsid w:val="00324E6C"/>
    <w:rsid w:val="0032504D"/>
    <w:rsid w:val="00325596"/>
    <w:rsid w:val="00325610"/>
    <w:rsid w:val="0032587B"/>
    <w:rsid w:val="00325983"/>
    <w:rsid w:val="00325BA4"/>
    <w:rsid w:val="00325C54"/>
    <w:rsid w:val="00325D29"/>
    <w:rsid w:val="003266CD"/>
    <w:rsid w:val="00326AF9"/>
    <w:rsid w:val="00326E2E"/>
    <w:rsid w:val="003270F9"/>
    <w:rsid w:val="0032723C"/>
    <w:rsid w:val="00327842"/>
    <w:rsid w:val="00327F42"/>
    <w:rsid w:val="00330167"/>
    <w:rsid w:val="003306ED"/>
    <w:rsid w:val="003309E5"/>
    <w:rsid w:val="00330AD4"/>
    <w:rsid w:val="00330D00"/>
    <w:rsid w:val="00330FFA"/>
    <w:rsid w:val="003312DE"/>
    <w:rsid w:val="003320D0"/>
    <w:rsid w:val="003322FE"/>
    <w:rsid w:val="0033253D"/>
    <w:rsid w:val="00332610"/>
    <w:rsid w:val="0033295F"/>
    <w:rsid w:val="0033296B"/>
    <w:rsid w:val="00332CAE"/>
    <w:rsid w:val="00332F8F"/>
    <w:rsid w:val="00332F9D"/>
    <w:rsid w:val="003331D6"/>
    <w:rsid w:val="003331F7"/>
    <w:rsid w:val="0033334A"/>
    <w:rsid w:val="003335B9"/>
    <w:rsid w:val="0033367E"/>
    <w:rsid w:val="0033377B"/>
    <w:rsid w:val="0033395D"/>
    <w:rsid w:val="00333F4A"/>
    <w:rsid w:val="00333FB5"/>
    <w:rsid w:val="00333FE3"/>
    <w:rsid w:val="003344CF"/>
    <w:rsid w:val="00334A47"/>
    <w:rsid w:val="00335216"/>
    <w:rsid w:val="003352FA"/>
    <w:rsid w:val="0033571C"/>
    <w:rsid w:val="00335A39"/>
    <w:rsid w:val="00335BB5"/>
    <w:rsid w:val="00335F2F"/>
    <w:rsid w:val="003360A5"/>
    <w:rsid w:val="003361F0"/>
    <w:rsid w:val="0033667B"/>
    <w:rsid w:val="0033668C"/>
    <w:rsid w:val="00336BBD"/>
    <w:rsid w:val="00336CB9"/>
    <w:rsid w:val="00336EDC"/>
    <w:rsid w:val="00337457"/>
    <w:rsid w:val="0033745A"/>
    <w:rsid w:val="00337591"/>
    <w:rsid w:val="003379E5"/>
    <w:rsid w:val="00337A6F"/>
    <w:rsid w:val="00337A7B"/>
    <w:rsid w:val="00337F00"/>
    <w:rsid w:val="003403D5"/>
    <w:rsid w:val="00340E73"/>
    <w:rsid w:val="003411FE"/>
    <w:rsid w:val="003412F3"/>
    <w:rsid w:val="0034151A"/>
    <w:rsid w:val="00341535"/>
    <w:rsid w:val="00341589"/>
    <w:rsid w:val="00341915"/>
    <w:rsid w:val="00342164"/>
    <w:rsid w:val="003423E8"/>
    <w:rsid w:val="00342881"/>
    <w:rsid w:val="00342CE5"/>
    <w:rsid w:val="00342F26"/>
    <w:rsid w:val="0034337C"/>
    <w:rsid w:val="003433C3"/>
    <w:rsid w:val="003434E7"/>
    <w:rsid w:val="003435F1"/>
    <w:rsid w:val="00343A1E"/>
    <w:rsid w:val="00343D22"/>
    <w:rsid w:val="00343F59"/>
    <w:rsid w:val="0034409A"/>
    <w:rsid w:val="00344430"/>
    <w:rsid w:val="00344584"/>
    <w:rsid w:val="0034481F"/>
    <w:rsid w:val="00344A33"/>
    <w:rsid w:val="00344BF7"/>
    <w:rsid w:val="00345156"/>
    <w:rsid w:val="0034526F"/>
    <w:rsid w:val="00345332"/>
    <w:rsid w:val="0034591E"/>
    <w:rsid w:val="003459E6"/>
    <w:rsid w:val="00345D90"/>
    <w:rsid w:val="00345EC2"/>
    <w:rsid w:val="0034647A"/>
    <w:rsid w:val="003465C7"/>
    <w:rsid w:val="00346655"/>
    <w:rsid w:val="0034673B"/>
    <w:rsid w:val="00346A5A"/>
    <w:rsid w:val="00346CCD"/>
    <w:rsid w:val="00347775"/>
    <w:rsid w:val="003477D8"/>
    <w:rsid w:val="0034782A"/>
    <w:rsid w:val="00347C33"/>
    <w:rsid w:val="00350030"/>
    <w:rsid w:val="003500F0"/>
    <w:rsid w:val="00350161"/>
    <w:rsid w:val="003503A4"/>
    <w:rsid w:val="0035083F"/>
    <w:rsid w:val="0035098B"/>
    <w:rsid w:val="00350A8E"/>
    <w:rsid w:val="00350AAA"/>
    <w:rsid w:val="00350E3A"/>
    <w:rsid w:val="00350F1C"/>
    <w:rsid w:val="003511A3"/>
    <w:rsid w:val="003511F8"/>
    <w:rsid w:val="00351911"/>
    <w:rsid w:val="003519FF"/>
    <w:rsid w:val="003521E2"/>
    <w:rsid w:val="00352276"/>
    <w:rsid w:val="003522EB"/>
    <w:rsid w:val="00352362"/>
    <w:rsid w:val="0035262D"/>
    <w:rsid w:val="003529A5"/>
    <w:rsid w:val="00352B3D"/>
    <w:rsid w:val="00352B4D"/>
    <w:rsid w:val="00352B9B"/>
    <w:rsid w:val="00352BD3"/>
    <w:rsid w:val="00352E2A"/>
    <w:rsid w:val="00353148"/>
    <w:rsid w:val="003532D9"/>
    <w:rsid w:val="00353706"/>
    <w:rsid w:val="0035384F"/>
    <w:rsid w:val="00353C20"/>
    <w:rsid w:val="00353F42"/>
    <w:rsid w:val="0035502E"/>
    <w:rsid w:val="00355128"/>
    <w:rsid w:val="0035523A"/>
    <w:rsid w:val="0035541A"/>
    <w:rsid w:val="003555F4"/>
    <w:rsid w:val="0035574D"/>
    <w:rsid w:val="003560B1"/>
    <w:rsid w:val="003561E5"/>
    <w:rsid w:val="00356292"/>
    <w:rsid w:val="003562E8"/>
    <w:rsid w:val="003565B6"/>
    <w:rsid w:val="0035687F"/>
    <w:rsid w:val="00357440"/>
    <w:rsid w:val="00357490"/>
    <w:rsid w:val="0035764B"/>
    <w:rsid w:val="00357871"/>
    <w:rsid w:val="00357A77"/>
    <w:rsid w:val="00357FBD"/>
    <w:rsid w:val="00360023"/>
    <w:rsid w:val="00360111"/>
    <w:rsid w:val="0036011D"/>
    <w:rsid w:val="003602B5"/>
    <w:rsid w:val="00360305"/>
    <w:rsid w:val="0036046A"/>
    <w:rsid w:val="00360619"/>
    <w:rsid w:val="00360AB2"/>
    <w:rsid w:val="00360C31"/>
    <w:rsid w:val="00360C3A"/>
    <w:rsid w:val="00360D38"/>
    <w:rsid w:val="00360F93"/>
    <w:rsid w:val="003612BE"/>
    <w:rsid w:val="003617D1"/>
    <w:rsid w:val="003618A4"/>
    <w:rsid w:val="003618EF"/>
    <w:rsid w:val="00361A5D"/>
    <w:rsid w:val="00362398"/>
    <w:rsid w:val="0036244D"/>
    <w:rsid w:val="0036250D"/>
    <w:rsid w:val="0036260C"/>
    <w:rsid w:val="00362720"/>
    <w:rsid w:val="003629AC"/>
    <w:rsid w:val="003629FB"/>
    <w:rsid w:val="00362C86"/>
    <w:rsid w:val="00362DC5"/>
    <w:rsid w:val="003631C2"/>
    <w:rsid w:val="00363340"/>
    <w:rsid w:val="00363432"/>
    <w:rsid w:val="003634D7"/>
    <w:rsid w:val="00363524"/>
    <w:rsid w:val="00363857"/>
    <w:rsid w:val="003639A9"/>
    <w:rsid w:val="00363D24"/>
    <w:rsid w:val="00363D4C"/>
    <w:rsid w:val="00363D6D"/>
    <w:rsid w:val="00363E92"/>
    <w:rsid w:val="003640B1"/>
    <w:rsid w:val="003641B3"/>
    <w:rsid w:val="00364269"/>
    <w:rsid w:val="00364439"/>
    <w:rsid w:val="0036487C"/>
    <w:rsid w:val="00364F43"/>
    <w:rsid w:val="003650B6"/>
    <w:rsid w:val="003650FA"/>
    <w:rsid w:val="00365804"/>
    <w:rsid w:val="00365AC5"/>
    <w:rsid w:val="00365DB4"/>
    <w:rsid w:val="00365E57"/>
    <w:rsid w:val="0036619A"/>
    <w:rsid w:val="0036623C"/>
    <w:rsid w:val="00366432"/>
    <w:rsid w:val="00366A6E"/>
    <w:rsid w:val="00366AA1"/>
    <w:rsid w:val="00366B4E"/>
    <w:rsid w:val="00366BA3"/>
    <w:rsid w:val="00366BD0"/>
    <w:rsid w:val="00366C93"/>
    <w:rsid w:val="00367870"/>
    <w:rsid w:val="00367A69"/>
    <w:rsid w:val="00367B98"/>
    <w:rsid w:val="0037149C"/>
    <w:rsid w:val="0037159F"/>
    <w:rsid w:val="003716A1"/>
    <w:rsid w:val="003719AA"/>
    <w:rsid w:val="00371CAA"/>
    <w:rsid w:val="00371D53"/>
    <w:rsid w:val="00372242"/>
    <w:rsid w:val="00372280"/>
    <w:rsid w:val="003722A3"/>
    <w:rsid w:val="003722C9"/>
    <w:rsid w:val="00372360"/>
    <w:rsid w:val="0037246C"/>
    <w:rsid w:val="00372808"/>
    <w:rsid w:val="00372859"/>
    <w:rsid w:val="00372DC9"/>
    <w:rsid w:val="00373474"/>
    <w:rsid w:val="0037349A"/>
    <w:rsid w:val="00373972"/>
    <w:rsid w:val="003739E2"/>
    <w:rsid w:val="00374308"/>
    <w:rsid w:val="0037439F"/>
    <w:rsid w:val="00374725"/>
    <w:rsid w:val="003751BF"/>
    <w:rsid w:val="003754AE"/>
    <w:rsid w:val="00375CE5"/>
    <w:rsid w:val="00375CFA"/>
    <w:rsid w:val="00375EAD"/>
    <w:rsid w:val="00375F08"/>
    <w:rsid w:val="00376204"/>
    <w:rsid w:val="003766B9"/>
    <w:rsid w:val="00376803"/>
    <w:rsid w:val="00376E9F"/>
    <w:rsid w:val="00377199"/>
    <w:rsid w:val="00377391"/>
    <w:rsid w:val="0037759C"/>
    <w:rsid w:val="00377C54"/>
    <w:rsid w:val="00377C8B"/>
    <w:rsid w:val="00377DCD"/>
    <w:rsid w:val="003800DE"/>
    <w:rsid w:val="003802C5"/>
    <w:rsid w:val="003802D2"/>
    <w:rsid w:val="00380508"/>
    <w:rsid w:val="00380E2F"/>
    <w:rsid w:val="00381080"/>
    <w:rsid w:val="00381673"/>
    <w:rsid w:val="0038196B"/>
    <w:rsid w:val="00381C0B"/>
    <w:rsid w:val="00382602"/>
    <w:rsid w:val="00382B76"/>
    <w:rsid w:val="00383066"/>
    <w:rsid w:val="0038306F"/>
    <w:rsid w:val="00383207"/>
    <w:rsid w:val="00383704"/>
    <w:rsid w:val="0038385E"/>
    <w:rsid w:val="00383B59"/>
    <w:rsid w:val="00383B85"/>
    <w:rsid w:val="00383C4C"/>
    <w:rsid w:val="00383EBE"/>
    <w:rsid w:val="0038453D"/>
    <w:rsid w:val="003847E7"/>
    <w:rsid w:val="00384832"/>
    <w:rsid w:val="00384CC8"/>
    <w:rsid w:val="00384F2C"/>
    <w:rsid w:val="003852A2"/>
    <w:rsid w:val="003859CA"/>
    <w:rsid w:val="00385B24"/>
    <w:rsid w:val="00386222"/>
    <w:rsid w:val="00386392"/>
    <w:rsid w:val="00386799"/>
    <w:rsid w:val="00386AE9"/>
    <w:rsid w:val="00386B09"/>
    <w:rsid w:val="0038734F"/>
    <w:rsid w:val="003876CD"/>
    <w:rsid w:val="003877F2"/>
    <w:rsid w:val="00387A16"/>
    <w:rsid w:val="00387C4F"/>
    <w:rsid w:val="00387E0B"/>
    <w:rsid w:val="0039011F"/>
    <w:rsid w:val="00390133"/>
    <w:rsid w:val="00390226"/>
    <w:rsid w:val="003902C9"/>
    <w:rsid w:val="00390412"/>
    <w:rsid w:val="00390573"/>
    <w:rsid w:val="003905D7"/>
    <w:rsid w:val="003905FC"/>
    <w:rsid w:val="00390A3C"/>
    <w:rsid w:val="00391007"/>
    <w:rsid w:val="00391352"/>
    <w:rsid w:val="00391366"/>
    <w:rsid w:val="00391392"/>
    <w:rsid w:val="0039148E"/>
    <w:rsid w:val="0039158B"/>
    <w:rsid w:val="00391767"/>
    <w:rsid w:val="0039192D"/>
    <w:rsid w:val="00391B7C"/>
    <w:rsid w:val="00391D3C"/>
    <w:rsid w:val="003920BD"/>
    <w:rsid w:val="00392614"/>
    <w:rsid w:val="00392A3B"/>
    <w:rsid w:val="00392B6E"/>
    <w:rsid w:val="00392F6C"/>
    <w:rsid w:val="003930F1"/>
    <w:rsid w:val="00393887"/>
    <w:rsid w:val="00393895"/>
    <w:rsid w:val="00393CB9"/>
    <w:rsid w:val="0039405A"/>
    <w:rsid w:val="00394155"/>
    <w:rsid w:val="00394269"/>
    <w:rsid w:val="003945F1"/>
    <w:rsid w:val="0039477F"/>
    <w:rsid w:val="00394801"/>
    <w:rsid w:val="003948AE"/>
    <w:rsid w:val="00394C2C"/>
    <w:rsid w:val="00395204"/>
    <w:rsid w:val="003952A9"/>
    <w:rsid w:val="003953D9"/>
    <w:rsid w:val="0039542C"/>
    <w:rsid w:val="003955AA"/>
    <w:rsid w:val="00395C70"/>
    <w:rsid w:val="00395D96"/>
    <w:rsid w:val="00395F54"/>
    <w:rsid w:val="00395FA1"/>
    <w:rsid w:val="00395FEA"/>
    <w:rsid w:val="0039610F"/>
    <w:rsid w:val="00396323"/>
    <w:rsid w:val="00396550"/>
    <w:rsid w:val="00396732"/>
    <w:rsid w:val="0039686E"/>
    <w:rsid w:val="00396EC9"/>
    <w:rsid w:val="0039728B"/>
    <w:rsid w:val="003972C5"/>
    <w:rsid w:val="00397586"/>
    <w:rsid w:val="003978D7"/>
    <w:rsid w:val="00397D05"/>
    <w:rsid w:val="003A00A0"/>
    <w:rsid w:val="003A00C7"/>
    <w:rsid w:val="003A0358"/>
    <w:rsid w:val="003A10CA"/>
    <w:rsid w:val="003A15C1"/>
    <w:rsid w:val="003A1669"/>
    <w:rsid w:val="003A1C11"/>
    <w:rsid w:val="003A1C64"/>
    <w:rsid w:val="003A2102"/>
    <w:rsid w:val="003A261E"/>
    <w:rsid w:val="003A2624"/>
    <w:rsid w:val="003A265C"/>
    <w:rsid w:val="003A27C6"/>
    <w:rsid w:val="003A2C3F"/>
    <w:rsid w:val="003A2DE9"/>
    <w:rsid w:val="003A31EC"/>
    <w:rsid w:val="003A34B8"/>
    <w:rsid w:val="003A3814"/>
    <w:rsid w:val="003A38E7"/>
    <w:rsid w:val="003A4147"/>
    <w:rsid w:val="003A444D"/>
    <w:rsid w:val="003A44EE"/>
    <w:rsid w:val="003A45F1"/>
    <w:rsid w:val="003A46DC"/>
    <w:rsid w:val="003A4941"/>
    <w:rsid w:val="003A4958"/>
    <w:rsid w:val="003A49CC"/>
    <w:rsid w:val="003A4F97"/>
    <w:rsid w:val="003A4FCC"/>
    <w:rsid w:val="003A50F5"/>
    <w:rsid w:val="003A5249"/>
    <w:rsid w:val="003A534E"/>
    <w:rsid w:val="003A5709"/>
    <w:rsid w:val="003A5775"/>
    <w:rsid w:val="003A5B70"/>
    <w:rsid w:val="003A5BC1"/>
    <w:rsid w:val="003A5CAF"/>
    <w:rsid w:val="003A5FEF"/>
    <w:rsid w:val="003A6324"/>
    <w:rsid w:val="003A660E"/>
    <w:rsid w:val="003A6B6F"/>
    <w:rsid w:val="003A6F7C"/>
    <w:rsid w:val="003A6FA3"/>
    <w:rsid w:val="003A77F2"/>
    <w:rsid w:val="003B01C9"/>
    <w:rsid w:val="003B0479"/>
    <w:rsid w:val="003B048E"/>
    <w:rsid w:val="003B08F5"/>
    <w:rsid w:val="003B0A5A"/>
    <w:rsid w:val="003B0CD8"/>
    <w:rsid w:val="003B0F6A"/>
    <w:rsid w:val="003B1132"/>
    <w:rsid w:val="003B1250"/>
    <w:rsid w:val="003B1786"/>
    <w:rsid w:val="003B199A"/>
    <w:rsid w:val="003B1E4B"/>
    <w:rsid w:val="003B223D"/>
    <w:rsid w:val="003B2560"/>
    <w:rsid w:val="003B29CF"/>
    <w:rsid w:val="003B2DFD"/>
    <w:rsid w:val="003B2EC6"/>
    <w:rsid w:val="003B3049"/>
    <w:rsid w:val="003B3474"/>
    <w:rsid w:val="003B37CF"/>
    <w:rsid w:val="003B39CC"/>
    <w:rsid w:val="003B3CB3"/>
    <w:rsid w:val="003B4549"/>
    <w:rsid w:val="003B46C4"/>
    <w:rsid w:val="003B4930"/>
    <w:rsid w:val="003B4B0D"/>
    <w:rsid w:val="003B4B47"/>
    <w:rsid w:val="003B4FD5"/>
    <w:rsid w:val="003B501B"/>
    <w:rsid w:val="003B50BD"/>
    <w:rsid w:val="003B50F4"/>
    <w:rsid w:val="003B5543"/>
    <w:rsid w:val="003B579F"/>
    <w:rsid w:val="003B5802"/>
    <w:rsid w:val="003B5B4E"/>
    <w:rsid w:val="003B5E39"/>
    <w:rsid w:val="003B650D"/>
    <w:rsid w:val="003B673E"/>
    <w:rsid w:val="003B6C2C"/>
    <w:rsid w:val="003B6C54"/>
    <w:rsid w:val="003B6D5E"/>
    <w:rsid w:val="003B7181"/>
    <w:rsid w:val="003B738C"/>
    <w:rsid w:val="003B73DE"/>
    <w:rsid w:val="003B7427"/>
    <w:rsid w:val="003B742B"/>
    <w:rsid w:val="003B7DD7"/>
    <w:rsid w:val="003C06AA"/>
    <w:rsid w:val="003C06B5"/>
    <w:rsid w:val="003C0767"/>
    <w:rsid w:val="003C0A1B"/>
    <w:rsid w:val="003C0A5E"/>
    <w:rsid w:val="003C0E5E"/>
    <w:rsid w:val="003C0FB5"/>
    <w:rsid w:val="003C164D"/>
    <w:rsid w:val="003C2204"/>
    <w:rsid w:val="003C2252"/>
    <w:rsid w:val="003C2330"/>
    <w:rsid w:val="003C240C"/>
    <w:rsid w:val="003C280D"/>
    <w:rsid w:val="003C281F"/>
    <w:rsid w:val="003C2A1A"/>
    <w:rsid w:val="003C2E63"/>
    <w:rsid w:val="003C2EDD"/>
    <w:rsid w:val="003C3006"/>
    <w:rsid w:val="003C3204"/>
    <w:rsid w:val="003C3420"/>
    <w:rsid w:val="003C3777"/>
    <w:rsid w:val="003C380E"/>
    <w:rsid w:val="003C3839"/>
    <w:rsid w:val="003C40DD"/>
    <w:rsid w:val="003C4463"/>
    <w:rsid w:val="003C45A9"/>
    <w:rsid w:val="003C4A09"/>
    <w:rsid w:val="003C54BB"/>
    <w:rsid w:val="003C5519"/>
    <w:rsid w:val="003C5817"/>
    <w:rsid w:val="003C58EA"/>
    <w:rsid w:val="003C59A1"/>
    <w:rsid w:val="003C59C4"/>
    <w:rsid w:val="003C5B2F"/>
    <w:rsid w:val="003C6019"/>
    <w:rsid w:val="003C6087"/>
    <w:rsid w:val="003C6327"/>
    <w:rsid w:val="003C6400"/>
    <w:rsid w:val="003C6484"/>
    <w:rsid w:val="003C69E2"/>
    <w:rsid w:val="003C6E6E"/>
    <w:rsid w:val="003C70E7"/>
    <w:rsid w:val="003C75BA"/>
    <w:rsid w:val="003C7BC9"/>
    <w:rsid w:val="003C7BE6"/>
    <w:rsid w:val="003C7D8F"/>
    <w:rsid w:val="003C7E25"/>
    <w:rsid w:val="003C7F5A"/>
    <w:rsid w:val="003D03D9"/>
    <w:rsid w:val="003D082D"/>
    <w:rsid w:val="003D09E1"/>
    <w:rsid w:val="003D0B32"/>
    <w:rsid w:val="003D0C74"/>
    <w:rsid w:val="003D0CF1"/>
    <w:rsid w:val="003D0F7C"/>
    <w:rsid w:val="003D12CB"/>
    <w:rsid w:val="003D15C3"/>
    <w:rsid w:val="003D16CE"/>
    <w:rsid w:val="003D18CA"/>
    <w:rsid w:val="003D1B1D"/>
    <w:rsid w:val="003D1E83"/>
    <w:rsid w:val="003D1E9E"/>
    <w:rsid w:val="003D1FA7"/>
    <w:rsid w:val="003D2058"/>
    <w:rsid w:val="003D21E8"/>
    <w:rsid w:val="003D27D6"/>
    <w:rsid w:val="003D2860"/>
    <w:rsid w:val="003D2A5B"/>
    <w:rsid w:val="003D2AE2"/>
    <w:rsid w:val="003D30B6"/>
    <w:rsid w:val="003D36FD"/>
    <w:rsid w:val="003D3AF9"/>
    <w:rsid w:val="003D3C95"/>
    <w:rsid w:val="003D3CAE"/>
    <w:rsid w:val="003D3F32"/>
    <w:rsid w:val="003D41BD"/>
    <w:rsid w:val="003D434F"/>
    <w:rsid w:val="003D4551"/>
    <w:rsid w:val="003D4666"/>
    <w:rsid w:val="003D48A8"/>
    <w:rsid w:val="003D4FE5"/>
    <w:rsid w:val="003D5105"/>
    <w:rsid w:val="003D5162"/>
    <w:rsid w:val="003D5B6D"/>
    <w:rsid w:val="003D5EF7"/>
    <w:rsid w:val="003D710D"/>
    <w:rsid w:val="003E00CF"/>
    <w:rsid w:val="003E010D"/>
    <w:rsid w:val="003E05CF"/>
    <w:rsid w:val="003E067C"/>
    <w:rsid w:val="003E0ADE"/>
    <w:rsid w:val="003E0BB8"/>
    <w:rsid w:val="003E0C95"/>
    <w:rsid w:val="003E0F6E"/>
    <w:rsid w:val="003E100B"/>
    <w:rsid w:val="003E195D"/>
    <w:rsid w:val="003E1C4E"/>
    <w:rsid w:val="003E2384"/>
    <w:rsid w:val="003E25A2"/>
    <w:rsid w:val="003E2788"/>
    <w:rsid w:val="003E2A74"/>
    <w:rsid w:val="003E2B8A"/>
    <w:rsid w:val="003E2E53"/>
    <w:rsid w:val="003E2EFC"/>
    <w:rsid w:val="003E2F0D"/>
    <w:rsid w:val="003E3227"/>
    <w:rsid w:val="003E3376"/>
    <w:rsid w:val="003E3521"/>
    <w:rsid w:val="003E386D"/>
    <w:rsid w:val="003E39C6"/>
    <w:rsid w:val="003E39FF"/>
    <w:rsid w:val="003E3AE6"/>
    <w:rsid w:val="003E3B2C"/>
    <w:rsid w:val="003E3C31"/>
    <w:rsid w:val="003E3E71"/>
    <w:rsid w:val="003E41F3"/>
    <w:rsid w:val="003E4214"/>
    <w:rsid w:val="003E43C3"/>
    <w:rsid w:val="003E4484"/>
    <w:rsid w:val="003E4677"/>
    <w:rsid w:val="003E487F"/>
    <w:rsid w:val="003E492F"/>
    <w:rsid w:val="003E4AAA"/>
    <w:rsid w:val="003E4B04"/>
    <w:rsid w:val="003E4CE4"/>
    <w:rsid w:val="003E4D31"/>
    <w:rsid w:val="003E4F42"/>
    <w:rsid w:val="003E517F"/>
    <w:rsid w:val="003E53E1"/>
    <w:rsid w:val="003E5965"/>
    <w:rsid w:val="003E5B8B"/>
    <w:rsid w:val="003E5F4F"/>
    <w:rsid w:val="003E5FE7"/>
    <w:rsid w:val="003E6497"/>
    <w:rsid w:val="003E668D"/>
    <w:rsid w:val="003E677F"/>
    <w:rsid w:val="003E6DC6"/>
    <w:rsid w:val="003E73AF"/>
    <w:rsid w:val="003E7709"/>
    <w:rsid w:val="003E77E2"/>
    <w:rsid w:val="003E7AD8"/>
    <w:rsid w:val="003F0119"/>
    <w:rsid w:val="003F0423"/>
    <w:rsid w:val="003F050F"/>
    <w:rsid w:val="003F0686"/>
    <w:rsid w:val="003F0E10"/>
    <w:rsid w:val="003F134A"/>
    <w:rsid w:val="003F137B"/>
    <w:rsid w:val="003F138C"/>
    <w:rsid w:val="003F152D"/>
    <w:rsid w:val="003F1A52"/>
    <w:rsid w:val="003F1A73"/>
    <w:rsid w:val="003F1AA7"/>
    <w:rsid w:val="003F1CFF"/>
    <w:rsid w:val="003F2094"/>
    <w:rsid w:val="003F20E3"/>
    <w:rsid w:val="003F2393"/>
    <w:rsid w:val="003F241C"/>
    <w:rsid w:val="003F25FA"/>
    <w:rsid w:val="003F2871"/>
    <w:rsid w:val="003F36E2"/>
    <w:rsid w:val="003F39D0"/>
    <w:rsid w:val="003F3E9F"/>
    <w:rsid w:val="003F3EAB"/>
    <w:rsid w:val="003F429E"/>
    <w:rsid w:val="003F4442"/>
    <w:rsid w:val="003F46CC"/>
    <w:rsid w:val="003F479E"/>
    <w:rsid w:val="003F4D64"/>
    <w:rsid w:val="003F5149"/>
    <w:rsid w:val="003F5E6B"/>
    <w:rsid w:val="003F5F00"/>
    <w:rsid w:val="003F6084"/>
    <w:rsid w:val="003F6329"/>
    <w:rsid w:val="003F6D5F"/>
    <w:rsid w:val="003F6F58"/>
    <w:rsid w:val="003F7363"/>
    <w:rsid w:val="003F749F"/>
    <w:rsid w:val="003F790C"/>
    <w:rsid w:val="003F7C47"/>
    <w:rsid w:val="003F7D2F"/>
    <w:rsid w:val="003F7EEA"/>
    <w:rsid w:val="00400C65"/>
    <w:rsid w:val="004010D8"/>
    <w:rsid w:val="004012E0"/>
    <w:rsid w:val="00401703"/>
    <w:rsid w:val="004019C1"/>
    <w:rsid w:val="004020F6"/>
    <w:rsid w:val="0040226A"/>
    <w:rsid w:val="00402682"/>
    <w:rsid w:val="00402801"/>
    <w:rsid w:val="00402B09"/>
    <w:rsid w:val="0040307F"/>
    <w:rsid w:val="00403138"/>
    <w:rsid w:val="00403256"/>
    <w:rsid w:val="00403502"/>
    <w:rsid w:val="00403B18"/>
    <w:rsid w:val="00403EC4"/>
    <w:rsid w:val="0040411F"/>
    <w:rsid w:val="00404795"/>
    <w:rsid w:val="004047D0"/>
    <w:rsid w:val="004048E4"/>
    <w:rsid w:val="00404CA7"/>
    <w:rsid w:val="00404D70"/>
    <w:rsid w:val="00405090"/>
    <w:rsid w:val="00405765"/>
    <w:rsid w:val="00405AB4"/>
    <w:rsid w:val="00405C19"/>
    <w:rsid w:val="00405C9F"/>
    <w:rsid w:val="00406214"/>
    <w:rsid w:val="00406263"/>
    <w:rsid w:val="0040629D"/>
    <w:rsid w:val="0040632F"/>
    <w:rsid w:val="004066C5"/>
    <w:rsid w:val="00406B88"/>
    <w:rsid w:val="00406D90"/>
    <w:rsid w:val="00406DD7"/>
    <w:rsid w:val="00406DDC"/>
    <w:rsid w:val="00406EDE"/>
    <w:rsid w:val="004071CF"/>
    <w:rsid w:val="00407292"/>
    <w:rsid w:val="0040786A"/>
    <w:rsid w:val="00407D69"/>
    <w:rsid w:val="00407E00"/>
    <w:rsid w:val="00407ECF"/>
    <w:rsid w:val="00410954"/>
    <w:rsid w:val="00410D3A"/>
    <w:rsid w:val="00411105"/>
    <w:rsid w:val="004112C8"/>
    <w:rsid w:val="0041135C"/>
    <w:rsid w:val="00411651"/>
    <w:rsid w:val="00411893"/>
    <w:rsid w:val="004119F6"/>
    <w:rsid w:val="00411A50"/>
    <w:rsid w:val="00411B3E"/>
    <w:rsid w:val="00411B5F"/>
    <w:rsid w:val="00411BC4"/>
    <w:rsid w:val="00411DDB"/>
    <w:rsid w:val="00411F63"/>
    <w:rsid w:val="004120B5"/>
    <w:rsid w:val="00412325"/>
    <w:rsid w:val="00412619"/>
    <w:rsid w:val="0041281A"/>
    <w:rsid w:val="0041286F"/>
    <w:rsid w:val="00412986"/>
    <w:rsid w:val="00412A57"/>
    <w:rsid w:val="00412D4F"/>
    <w:rsid w:val="00412F29"/>
    <w:rsid w:val="00412FA7"/>
    <w:rsid w:val="00412FDA"/>
    <w:rsid w:val="004130D5"/>
    <w:rsid w:val="004132E2"/>
    <w:rsid w:val="004134B7"/>
    <w:rsid w:val="0041363C"/>
    <w:rsid w:val="00413C3C"/>
    <w:rsid w:val="00413CAD"/>
    <w:rsid w:val="00413D35"/>
    <w:rsid w:val="00414105"/>
    <w:rsid w:val="004142C6"/>
    <w:rsid w:val="004146B3"/>
    <w:rsid w:val="004148FE"/>
    <w:rsid w:val="00414975"/>
    <w:rsid w:val="00414B44"/>
    <w:rsid w:val="00414D74"/>
    <w:rsid w:val="0041527C"/>
    <w:rsid w:val="00415514"/>
    <w:rsid w:val="004155D3"/>
    <w:rsid w:val="0041564C"/>
    <w:rsid w:val="00415B47"/>
    <w:rsid w:val="004164B7"/>
    <w:rsid w:val="004165BA"/>
    <w:rsid w:val="00416710"/>
    <w:rsid w:val="00416D03"/>
    <w:rsid w:val="00416E1C"/>
    <w:rsid w:val="00416EFF"/>
    <w:rsid w:val="00417259"/>
    <w:rsid w:val="004172DA"/>
    <w:rsid w:val="00417752"/>
    <w:rsid w:val="00417E81"/>
    <w:rsid w:val="004200A3"/>
    <w:rsid w:val="004202BB"/>
    <w:rsid w:val="0042075B"/>
    <w:rsid w:val="0042078A"/>
    <w:rsid w:val="00420A18"/>
    <w:rsid w:val="00420F2C"/>
    <w:rsid w:val="00420F2F"/>
    <w:rsid w:val="004210FA"/>
    <w:rsid w:val="00421132"/>
    <w:rsid w:val="004212FA"/>
    <w:rsid w:val="0042149B"/>
    <w:rsid w:val="00421779"/>
    <w:rsid w:val="004219EF"/>
    <w:rsid w:val="00422059"/>
    <w:rsid w:val="004220E0"/>
    <w:rsid w:val="0042215F"/>
    <w:rsid w:val="004224F7"/>
    <w:rsid w:val="004225A4"/>
    <w:rsid w:val="0042293F"/>
    <w:rsid w:val="0042298B"/>
    <w:rsid w:val="004233EA"/>
    <w:rsid w:val="00423AAB"/>
    <w:rsid w:val="00423F76"/>
    <w:rsid w:val="00423FE0"/>
    <w:rsid w:val="0042402F"/>
    <w:rsid w:val="00424276"/>
    <w:rsid w:val="00424431"/>
    <w:rsid w:val="00424503"/>
    <w:rsid w:val="00424860"/>
    <w:rsid w:val="004251BB"/>
    <w:rsid w:val="004253A8"/>
    <w:rsid w:val="00425822"/>
    <w:rsid w:val="00425A4C"/>
    <w:rsid w:val="00425D71"/>
    <w:rsid w:val="00425EF2"/>
    <w:rsid w:val="0042647E"/>
    <w:rsid w:val="00426636"/>
    <w:rsid w:val="00426B7D"/>
    <w:rsid w:val="00426B9A"/>
    <w:rsid w:val="00426E55"/>
    <w:rsid w:val="00426F83"/>
    <w:rsid w:val="00427044"/>
    <w:rsid w:val="004271FE"/>
    <w:rsid w:val="004274AD"/>
    <w:rsid w:val="004279FE"/>
    <w:rsid w:val="00427A10"/>
    <w:rsid w:val="00427A2F"/>
    <w:rsid w:val="00427C79"/>
    <w:rsid w:val="0043018A"/>
    <w:rsid w:val="00430207"/>
    <w:rsid w:val="00430310"/>
    <w:rsid w:val="00430A58"/>
    <w:rsid w:val="00430AA0"/>
    <w:rsid w:val="00430D0A"/>
    <w:rsid w:val="00430F29"/>
    <w:rsid w:val="00430FDC"/>
    <w:rsid w:val="00430FE9"/>
    <w:rsid w:val="00431300"/>
    <w:rsid w:val="0043135F"/>
    <w:rsid w:val="00431465"/>
    <w:rsid w:val="0043150F"/>
    <w:rsid w:val="00431642"/>
    <w:rsid w:val="0043166B"/>
    <w:rsid w:val="00431741"/>
    <w:rsid w:val="00431795"/>
    <w:rsid w:val="004319C7"/>
    <w:rsid w:val="00431CC7"/>
    <w:rsid w:val="00431D2F"/>
    <w:rsid w:val="00431FDF"/>
    <w:rsid w:val="00432141"/>
    <w:rsid w:val="004322AA"/>
    <w:rsid w:val="004322C1"/>
    <w:rsid w:val="004323DB"/>
    <w:rsid w:val="004325E9"/>
    <w:rsid w:val="00432B49"/>
    <w:rsid w:val="00432DF3"/>
    <w:rsid w:val="00433243"/>
    <w:rsid w:val="004337BF"/>
    <w:rsid w:val="00433B8A"/>
    <w:rsid w:val="00433F21"/>
    <w:rsid w:val="0043429D"/>
    <w:rsid w:val="00434546"/>
    <w:rsid w:val="004345B6"/>
    <w:rsid w:val="004345F3"/>
    <w:rsid w:val="00434E90"/>
    <w:rsid w:val="004350ED"/>
    <w:rsid w:val="00435243"/>
    <w:rsid w:val="004352E9"/>
    <w:rsid w:val="004356F0"/>
    <w:rsid w:val="00435986"/>
    <w:rsid w:val="00435B4A"/>
    <w:rsid w:val="00435B74"/>
    <w:rsid w:val="00436257"/>
    <w:rsid w:val="00436BD9"/>
    <w:rsid w:val="00436BE3"/>
    <w:rsid w:val="0043709B"/>
    <w:rsid w:val="004374E3"/>
    <w:rsid w:val="004377E6"/>
    <w:rsid w:val="00437DCE"/>
    <w:rsid w:val="004403B4"/>
    <w:rsid w:val="00440F62"/>
    <w:rsid w:val="004416D7"/>
    <w:rsid w:val="0044172B"/>
    <w:rsid w:val="004417AB"/>
    <w:rsid w:val="00441AE4"/>
    <w:rsid w:val="004427BF"/>
    <w:rsid w:val="0044285F"/>
    <w:rsid w:val="00442AB5"/>
    <w:rsid w:val="00442C6C"/>
    <w:rsid w:val="00442CC5"/>
    <w:rsid w:val="00442DF8"/>
    <w:rsid w:val="00443786"/>
    <w:rsid w:val="004438C2"/>
    <w:rsid w:val="00443DE5"/>
    <w:rsid w:val="00443DEB"/>
    <w:rsid w:val="00443EA2"/>
    <w:rsid w:val="004443EB"/>
    <w:rsid w:val="004447C3"/>
    <w:rsid w:val="00444803"/>
    <w:rsid w:val="00444DE1"/>
    <w:rsid w:val="00444E32"/>
    <w:rsid w:val="00444F95"/>
    <w:rsid w:val="0044538E"/>
    <w:rsid w:val="00445410"/>
    <w:rsid w:val="004458C3"/>
    <w:rsid w:val="00445934"/>
    <w:rsid w:val="00445976"/>
    <w:rsid w:val="004467CF"/>
    <w:rsid w:val="004469AC"/>
    <w:rsid w:val="00446A32"/>
    <w:rsid w:val="00446F28"/>
    <w:rsid w:val="00446FA0"/>
    <w:rsid w:val="0044701B"/>
    <w:rsid w:val="0044703C"/>
    <w:rsid w:val="00450243"/>
    <w:rsid w:val="0045049C"/>
    <w:rsid w:val="00450B2F"/>
    <w:rsid w:val="00450BB7"/>
    <w:rsid w:val="00450C28"/>
    <w:rsid w:val="00450DD3"/>
    <w:rsid w:val="00451106"/>
    <w:rsid w:val="0045138C"/>
    <w:rsid w:val="004514CC"/>
    <w:rsid w:val="00451511"/>
    <w:rsid w:val="00451605"/>
    <w:rsid w:val="00451730"/>
    <w:rsid w:val="004518A4"/>
    <w:rsid w:val="00452483"/>
    <w:rsid w:val="00452A5B"/>
    <w:rsid w:val="00452ABB"/>
    <w:rsid w:val="00452C49"/>
    <w:rsid w:val="00452DEF"/>
    <w:rsid w:val="00452E28"/>
    <w:rsid w:val="00452F2C"/>
    <w:rsid w:val="0045311A"/>
    <w:rsid w:val="00453220"/>
    <w:rsid w:val="004532FB"/>
    <w:rsid w:val="004533FF"/>
    <w:rsid w:val="0045349C"/>
    <w:rsid w:val="0045364E"/>
    <w:rsid w:val="00453695"/>
    <w:rsid w:val="00453CDE"/>
    <w:rsid w:val="00453F5F"/>
    <w:rsid w:val="0045439A"/>
    <w:rsid w:val="00454688"/>
    <w:rsid w:val="00454A11"/>
    <w:rsid w:val="00454EB8"/>
    <w:rsid w:val="00454EDE"/>
    <w:rsid w:val="00454F7E"/>
    <w:rsid w:val="00455155"/>
    <w:rsid w:val="0045518A"/>
    <w:rsid w:val="00455276"/>
    <w:rsid w:val="00455344"/>
    <w:rsid w:val="00455348"/>
    <w:rsid w:val="004557BB"/>
    <w:rsid w:val="0045583C"/>
    <w:rsid w:val="00455C38"/>
    <w:rsid w:val="00455D52"/>
    <w:rsid w:val="004560C2"/>
    <w:rsid w:val="004566A8"/>
    <w:rsid w:val="0045671D"/>
    <w:rsid w:val="00456AC7"/>
    <w:rsid w:val="00456C21"/>
    <w:rsid w:val="00457D8B"/>
    <w:rsid w:val="00460710"/>
    <w:rsid w:val="00460883"/>
    <w:rsid w:val="004608C8"/>
    <w:rsid w:val="00460D4E"/>
    <w:rsid w:val="00460EC5"/>
    <w:rsid w:val="00460F35"/>
    <w:rsid w:val="00461107"/>
    <w:rsid w:val="004612D5"/>
    <w:rsid w:val="004612EE"/>
    <w:rsid w:val="00461557"/>
    <w:rsid w:val="0046159B"/>
    <w:rsid w:val="00462150"/>
    <w:rsid w:val="004621C4"/>
    <w:rsid w:val="00462383"/>
    <w:rsid w:val="004623CE"/>
    <w:rsid w:val="0046249A"/>
    <w:rsid w:val="004625A4"/>
    <w:rsid w:val="004625E1"/>
    <w:rsid w:val="00462672"/>
    <w:rsid w:val="00462BF0"/>
    <w:rsid w:val="00462CB4"/>
    <w:rsid w:val="00462E04"/>
    <w:rsid w:val="0046315B"/>
    <w:rsid w:val="00463266"/>
    <w:rsid w:val="00463441"/>
    <w:rsid w:val="00463BDC"/>
    <w:rsid w:val="00463FA5"/>
    <w:rsid w:val="004644FF"/>
    <w:rsid w:val="0046488F"/>
    <w:rsid w:val="004648D7"/>
    <w:rsid w:val="004649B6"/>
    <w:rsid w:val="004649DF"/>
    <w:rsid w:val="00464B6E"/>
    <w:rsid w:val="00464CA3"/>
    <w:rsid w:val="00464DE8"/>
    <w:rsid w:val="00465263"/>
    <w:rsid w:val="00465301"/>
    <w:rsid w:val="0046543C"/>
    <w:rsid w:val="004659E6"/>
    <w:rsid w:val="004659F5"/>
    <w:rsid w:val="00465BE2"/>
    <w:rsid w:val="00465C4A"/>
    <w:rsid w:val="00465E0C"/>
    <w:rsid w:val="00465E6C"/>
    <w:rsid w:val="00465F6B"/>
    <w:rsid w:val="004663A5"/>
    <w:rsid w:val="00466519"/>
    <w:rsid w:val="0046655B"/>
    <w:rsid w:val="00466792"/>
    <w:rsid w:val="00466AA9"/>
    <w:rsid w:val="00466E97"/>
    <w:rsid w:val="00467139"/>
    <w:rsid w:val="0046731F"/>
    <w:rsid w:val="00467386"/>
    <w:rsid w:val="00467504"/>
    <w:rsid w:val="004676C6"/>
    <w:rsid w:val="004676D4"/>
    <w:rsid w:val="0046783C"/>
    <w:rsid w:val="00470675"/>
    <w:rsid w:val="004707B0"/>
    <w:rsid w:val="00470FF1"/>
    <w:rsid w:val="004711A6"/>
    <w:rsid w:val="00471479"/>
    <w:rsid w:val="0047154B"/>
    <w:rsid w:val="00471C90"/>
    <w:rsid w:val="00471CF7"/>
    <w:rsid w:val="00471E8A"/>
    <w:rsid w:val="00471F65"/>
    <w:rsid w:val="00472142"/>
    <w:rsid w:val="00472165"/>
    <w:rsid w:val="004727CB"/>
    <w:rsid w:val="00472936"/>
    <w:rsid w:val="00472A9E"/>
    <w:rsid w:val="00472B02"/>
    <w:rsid w:val="00472B9A"/>
    <w:rsid w:val="00472C0B"/>
    <w:rsid w:val="00473054"/>
    <w:rsid w:val="0047337C"/>
    <w:rsid w:val="00473572"/>
    <w:rsid w:val="00473B2A"/>
    <w:rsid w:val="00473C20"/>
    <w:rsid w:val="00473C33"/>
    <w:rsid w:val="00473CE8"/>
    <w:rsid w:val="00474035"/>
    <w:rsid w:val="004740FE"/>
    <w:rsid w:val="0047425A"/>
    <w:rsid w:val="004742CF"/>
    <w:rsid w:val="00474531"/>
    <w:rsid w:val="00474747"/>
    <w:rsid w:val="004747AF"/>
    <w:rsid w:val="00474A4F"/>
    <w:rsid w:val="00474EBD"/>
    <w:rsid w:val="004750B6"/>
    <w:rsid w:val="004753CE"/>
    <w:rsid w:val="00475E94"/>
    <w:rsid w:val="004762A5"/>
    <w:rsid w:val="00476386"/>
    <w:rsid w:val="00476B4F"/>
    <w:rsid w:val="00476BE6"/>
    <w:rsid w:val="00476C19"/>
    <w:rsid w:val="004771AA"/>
    <w:rsid w:val="004772C1"/>
    <w:rsid w:val="0047734F"/>
    <w:rsid w:val="00477AAE"/>
    <w:rsid w:val="00477C4C"/>
    <w:rsid w:val="00477E96"/>
    <w:rsid w:val="00477EC5"/>
    <w:rsid w:val="00480357"/>
    <w:rsid w:val="004809E0"/>
    <w:rsid w:val="00480CAE"/>
    <w:rsid w:val="00480E15"/>
    <w:rsid w:val="004810BB"/>
    <w:rsid w:val="0048135D"/>
    <w:rsid w:val="004813F6"/>
    <w:rsid w:val="0048144B"/>
    <w:rsid w:val="0048177F"/>
    <w:rsid w:val="004817BC"/>
    <w:rsid w:val="0048185F"/>
    <w:rsid w:val="00481A2A"/>
    <w:rsid w:val="00481E7D"/>
    <w:rsid w:val="00481EAC"/>
    <w:rsid w:val="004826FD"/>
    <w:rsid w:val="004829F7"/>
    <w:rsid w:val="00482E37"/>
    <w:rsid w:val="00482E5F"/>
    <w:rsid w:val="00482E8A"/>
    <w:rsid w:val="00482F21"/>
    <w:rsid w:val="00482FAA"/>
    <w:rsid w:val="004830B5"/>
    <w:rsid w:val="0048338A"/>
    <w:rsid w:val="00483DA2"/>
    <w:rsid w:val="00483F1C"/>
    <w:rsid w:val="00483F7E"/>
    <w:rsid w:val="00484580"/>
    <w:rsid w:val="00484C54"/>
    <w:rsid w:val="00484ECD"/>
    <w:rsid w:val="00485152"/>
    <w:rsid w:val="0048532D"/>
    <w:rsid w:val="00485404"/>
    <w:rsid w:val="004854DD"/>
    <w:rsid w:val="00485632"/>
    <w:rsid w:val="00485781"/>
    <w:rsid w:val="00485F4B"/>
    <w:rsid w:val="00486064"/>
    <w:rsid w:val="004860A0"/>
    <w:rsid w:val="00486150"/>
    <w:rsid w:val="0048632F"/>
    <w:rsid w:val="00486465"/>
    <w:rsid w:val="00486B0A"/>
    <w:rsid w:val="00486BE8"/>
    <w:rsid w:val="00486FD7"/>
    <w:rsid w:val="0048710C"/>
    <w:rsid w:val="0048715F"/>
    <w:rsid w:val="00487350"/>
    <w:rsid w:val="00487412"/>
    <w:rsid w:val="004877C7"/>
    <w:rsid w:val="00487806"/>
    <w:rsid w:val="00487AD6"/>
    <w:rsid w:val="00487B71"/>
    <w:rsid w:val="00487B8D"/>
    <w:rsid w:val="00487F5D"/>
    <w:rsid w:val="00490931"/>
    <w:rsid w:val="00490B7D"/>
    <w:rsid w:val="00490F3F"/>
    <w:rsid w:val="00491190"/>
    <w:rsid w:val="004913A4"/>
    <w:rsid w:val="0049164B"/>
    <w:rsid w:val="00491E11"/>
    <w:rsid w:val="0049214E"/>
    <w:rsid w:val="00492243"/>
    <w:rsid w:val="0049240D"/>
    <w:rsid w:val="004925AE"/>
    <w:rsid w:val="004926BF"/>
    <w:rsid w:val="00492849"/>
    <w:rsid w:val="0049290A"/>
    <w:rsid w:val="00492D8C"/>
    <w:rsid w:val="00492DD8"/>
    <w:rsid w:val="00492E86"/>
    <w:rsid w:val="00493037"/>
    <w:rsid w:val="004934C4"/>
    <w:rsid w:val="0049366D"/>
    <w:rsid w:val="0049382C"/>
    <w:rsid w:val="004939FD"/>
    <w:rsid w:val="00493A91"/>
    <w:rsid w:val="00493BD3"/>
    <w:rsid w:val="00493BDE"/>
    <w:rsid w:val="00493C2C"/>
    <w:rsid w:val="004940E5"/>
    <w:rsid w:val="00494555"/>
    <w:rsid w:val="004948FF"/>
    <w:rsid w:val="0049493E"/>
    <w:rsid w:val="00494A4D"/>
    <w:rsid w:val="00494CF8"/>
    <w:rsid w:val="00494E4B"/>
    <w:rsid w:val="00494EDD"/>
    <w:rsid w:val="004951DC"/>
    <w:rsid w:val="00495373"/>
    <w:rsid w:val="00495433"/>
    <w:rsid w:val="004958A8"/>
    <w:rsid w:val="0049597D"/>
    <w:rsid w:val="00495ABD"/>
    <w:rsid w:val="00495F8D"/>
    <w:rsid w:val="004965D7"/>
    <w:rsid w:val="00496610"/>
    <w:rsid w:val="00496757"/>
    <w:rsid w:val="004969E7"/>
    <w:rsid w:val="00496ABA"/>
    <w:rsid w:val="00496B56"/>
    <w:rsid w:val="00496EA6"/>
    <w:rsid w:val="00496F3D"/>
    <w:rsid w:val="004971FD"/>
    <w:rsid w:val="0049722A"/>
    <w:rsid w:val="0049756C"/>
    <w:rsid w:val="004975AD"/>
    <w:rsid w:val="0049760A"/>
    <w:rsid w:val="00497779"/>
    <w:rsid w:val="00497C58"/>
    <w:rsid w:val="004A03C3"/>
    <w:rsid w:val="004A0744"/>
    <w:rsid w:val="004A0AE3"/>
    <w:rsid w:val="004A0FF6"/>
    <w:rsid w:val="004A1051"/>
    <w:rsid w:val="004A10AE"/>
    <w:rsid w:val="004A1194"/>
    <w:rsid w:val="004A11A3"/>
    <w:rsid w:val="004A13FD"/>
    <w:rsid w:val="004A250F"/>
    <w:rsid w:val="004A2672"/>
    <w:rsid w:val="004A29B3"/>
    <w:rsid w:val="004A2AA2"/>
    <w:rsid w:val="004A2C85"/>
    <w:rsid w:val="004A2EEB"/>
    <w:rsid w:val="004A2F87"/>
    <w:rsid w:val="004A357A"/>
    <w:rsid w:val="004A3580"/>
    <w:rsid w:val="004A3799"/>
    <w:rsid w:val="004A3A78"/>
    <w:rsid w:val="004A3DC9"/>
    <w:rsid w:val="004A46CD"/>
    <w:rsid w:val="004A478E"/>
    <w:rsid w:val="004A4D77"/>
    <w:rsid w:val="004A4DAC"/>
    <w:rsid w:val="004A4EE0"/>
    <w:rsid w:val="004A50F5"/>
    <w:rsid w:val="004A53BD"/>
    <w:rsid w:val="004A57EA"/>
    <w:rsid w:val="004A5916"/>
    <w:rsid w:val="004A59EB"/>
    <w:rsid w:val="004A5AF9"/>
    <w:rsid w:val="004A5C6F"/>
    <w:rsid w:val="004A5FA1"/>
    <w:rsid w:val="004A6186"/>
    <w:rsid w:val="004A64E4"/>
    <w:rsid w:val="004A68A0"/>
    <w:rsid w:val="004A6BA7"/>
    <w:rsid w:val="004A6C12"/>
    <w:rsid w:val="004A6E3C"/>
    <w:rsid w:val="004A6EDE"/>
    <w:rsid w:val="004A72BD"/>
    <w:rsid w:val="004A7403"/>
    <w:rsid w:val="004A7B6A"/>
    <w:rsid w:val="004A7BBC"/>
    <w:rsid w:val="004A7CCF"/>
    <w:rsid w:val="004A7EE5"/>
    <w:rsid w:val="004A7FB2"/>
    <w:rsid w:val="004B0339"/>
    <w:rsid w:val="004B0421"/>
    <w:rsid w:val="004B0B45"/>
    <w:rsid w:val="004B10DF"/>
    <w:rsid w:val="004B10EB"/>
    <w:rsid w:val="004B1182"/>
    <w:rsid w:val="004B119D"/>
    <w:rsid w:val="004B11E8"/>
    <w:rsid w:val="004B13E8"/>
    <w:rsid w:val="004B1464"/>
    <w:rsid w:val="004B148A"/>
    <w:rsid w:val="004B1679"/>
    <w:rsid w:val="004B19BA"/>
    <w:rsid w:val="004B1AF8"/>
    <w:rsid w:val="004B1D88"/>
    <w:rsid w:val="004B1FFF"/>
    <w:rsid w:val="004B20A8"/>
    <w:rsid w:val="004B20BF"/>
    <w:rsid w:val="004B24CA"/>
    <w:rsid w:val="004B2752"/>
    <w:rsid w:val="004B276F"/>
    <w:rsid w:val="004B2AFF"/>
    <w:rsid w:val="004B2B6C"/>
    <w:rsid w:val="004B3052"/>
    <w:rsid w:val="004B3545"/>
    <w:rsid w:val="004B370E"/>
    <w:rsid w:val="004B3C70"/>
    <w:rsid w:val="004B3EDD"/>
    <w:rsid w:val="004B4241"/>
    <w:rsid w:val="004B45DB"/>
    <w:rsid w:val="004B46AF"/>
    <w:rsid w:val="004B4995"/>
    <w:rsid w:val="004B4C4E"/>
    <w:rsid w:val="004B4E71"/>
    <w:rsid w:val="004B4F49"/>
    <w:rsid w:val="004B518D"/>
    <w:rsid w:val="004B533E"/>
    <w:rsid w:val="004B5341"/>
    <w:rsid w:val="004B5544"/>
    <w:rsid w:val="004B5C3E"/>
    <w:rsid w:val="004B5D2F"/>
    <w:rsid w:val="004B68FC"/>
    <w:rsid w:val="004B69DE"/>
    <w:rsid w:val="004B6C66"/>
    <w:rsid w:val="004B6DEE"/>
    <w:rsid w:val="004B6DFC"/>
    <w:rsid w:val="004B6E4C"/>
    <w:rsid w:val="004B70F6"/>
    <w:rsid w:val="004B752D"/>
    <w:rsid w:val="004B753D"/>
    <w:rsid w:val="004B75C8"/>
    <w:rsid w:val="004B79B6"/>
    <w:rsid w:val="004B7A24"/>
    <w:rsid w:val="004B7D13"/>
    <w:rsid w:val="004B7D7F"/>
    <w:rsid w:val="004C02E6"/>
    <w:rsid w:val="004C0529"/>
    <w:rsid w:val="004C071E"/>
    <w:rsid w:val="004C18EE"/>
    <w:rsid w:val="004C1B08"/>
    <w:rsid w:val="004C24A1"/>
    <w:rsid w:val="004C25ED"/>
    <w:rsid w:val="004C26C5"/>
    <w:rsid w:val="004C296E"/>
    <w:rsid w:val="004C29B3"/>
    <w:rsid w:val="004C2CCA"/>
    <w:rsid w:val="004C2CFF"/>
    <w:rsid w:val="004C2EE6"/>
    <w:rsid w:val="004C32BC"/>
    <w:rsid w:val="004C34CE"/>
    <w:rsid w:val="004C4360"/>
    <w:rsid w:val="004C4471"/>
    <w:rsid w:val="004C44EC"/>
    <w:rsid w:val="004C465C"/>
    <w:rsid w:val="004C484A"/>
    <w:rsid w:val="004C4AE0"/>
    <w:rsid w:val="004C4BBC"/>
    <w:rsid w:val="004C4CB8"/>
    <w:rsid w:val="004C4EA6"/>
    <w:rsid w:val="004C4F0D"/>
    <w:rsid w:val="004C5583"/>
    <w:rsid w:val="004C5603"/>
    <w:rsid w:val="004C579C"/>
    <w:rsid w:val="004C5D62"/>
    <w:rsid w:val="004C5D7C"/>
    <w:rsid w:val="004C5FD4"/>
    <w:rsid w:val="004C62C6"/>
    <w:rsid w:val="004C664B"/>
    <w:rsid w:val="004C6BB1"/>
    <w:rsid w:val="004C6D7E"/>
    <w:rsid w:val="004C71BA"/>
    <w:rsid w:val="004C7524"/>
    <w:rsid w:val="004C7659"/>
    <w:rsid w:val="004C7C51"/>
    <w:rsid w:val="004C7C86"/>
    <w:rsid w:val="004D0080"/>
    <w:rsid w:val="004D029C"/>
    <w:rsid w:val="004D07DC"/>
    <w:rsid w:val="004D0BCD"/>
    <w:rsid w:val="004D0DA8"/>
    <w:rsid w:val="004D1176"/>
    <w:rsid w:val="004D12C9"/>
    <w:rsid w:val="004D13FC"/>
    <w:rsid w:val="004D1AA1"/>
    <w:rsid w:val="004D1B31"/>
    <w:rsid w:val="004D25F8"/>
    <w:rsid w:val="004D2B50"/>
    <w:rsid w:val="004D2D87"/>
    <w:rsid w:val="004D2E42"/>
    <w:rsid w:val="004D3321"/>
    <w:rsid w:val="004D3718"/>
    <w:rsid w:val="004D3AA5"/>
    <w:rsid w:val="004D3C9C"/>
    <w:rsid w:val="004D3D7F"/>
    <w:rsid w:val="004D3E65"/>
    <w:rsid w:val="004D41A7"/>
    <w:rsid w:val="004D455E"/>
    <w:rsid w:val="004D4A33"/>
    <w:rsid w:val="004D4F52"/>
    <w:rsid w:val="004D505F"/>
    <w:rsid w:val="004D5321"/>
    <w:rsid w:val="004D5363"/>
    <w:rsid w:val="004D56F7"/>
    <w:rsid w:val="004D5C1E"/>
    <w:rsid w:val="004D5E06"/>
    <w:rsid w:val="004D5EFC"/>
    <w:rsid w:val="004D61AB"/>
    <w:rsid w:val="004D67D2"/>
    <w:rsid w:val="004D6DC2"/>
    <w:rsid w:val="004D70DE"/>
    <w:rsid w:val="004D7101"/>
    <w:rsid w:val="004D71C1"/>
    <w:rsid w:val="004D72CB"/>
    <w:rsid w:val="004D7320"/>
    <w:rsid w:val="004D74A1"/>
    <w:rsid w:val="004D74C9"/>
    <w:rsid w:val="004D775A"/>
    <w:rsid w:val="004D78BD"/>
    <w:rsid w:val="004D7A8A"/>
    <w:rsid w:val="004E01D1"/>
    <w:rsid w:val="004E020C"/>
    <w:rsid w:val="004E0E13"/>
    <w:rsid w:val="004E10D4"/>
    <w:rsid w:val="004E113B"/>
    <w:rsid w:val="004E14C9"/>
    <w:rsid w:val="004E15F7"/>
    <w:rsid w:val="004E19C2"/>
    <w:rsid w:val="004E2353"/>
    <w:rsid w:val="004E23F9"/>
    <w:rsid w:val="004E2E5E"/>
    <w:rsid w:val="004E352A"/>
    <w:rsid w:val="004E36A3"/>
    <w:rsid w:val="004E38BC"/>
    <w:rsid w:val="004E3D1F"/>
    <w:rsid w:val="004E3D49"/>
    <w:rsid w:val="004E3F95"/>
    <w:rsid w:val="004E40B6"/>
    <w:rsid w:val="004E42B2"/>
    <w:rsid w:val="004E483B"/>
    <w:rsid w:val="004E4927"/>
    <w:rsid w:val="004E4BE5"/>
    <w:rsid w:val="004E56B4"/>
    <w:rsid w:val="004E57CE"/>
    <w:rsid w:val="004E5C88"/>
    <w:rsid w:val="004E5DDF"/>
    <w:rsid w:val="004E62D2"/>
    <w:rsid w:val="004E655B"/>
    <w:rsid w:val="004E682B"/>
    <w:rsid w:val="004E68AE"/>
    <w:rsid w:val="004E6A1F"/>
    <w:rsid w:val="004E6B25"/>
    <w:rsid w:val="004E6E3A"/>
    <w:rsid w:val="004E7180"/>
    <w:rsid w:val="004E75F7"/>
    <w:rsid w:val="004E786E"/>
    <w:rsid w:val="004E7884"/>
    <w:rsid w:val="004E78C3"/>
    <w:rsid w:val="004E7E17"/>
    <w:rsid w:val="004F009F"/>
    <w:rsid w:val="004F039B"/>
    <w:rsid w:val="004F0E81"/>
    <w:rsid w:val="004F11B9"/>
    <w:rsid w:val="004F1284"/>
    <w:rsid w:val="004F188E"/>
    <w:rsid w:val="004F1F85"/>
    <w:rsid w:val="004F20FF"/>
    <w:rsid w:val="004F2284"/>
    <w:rsid w:val="004F26C5"/>
    <w:rsid w:val="004F2816"/>
    <w:rsid w:val="004F298B"/>
    <w:rsid w:val="004F2A90"/>
    <w:rsid w:val="004F2C58"/>
    <w:rsid w:val="004F2EEE"/>
    <w:rsid w:val="004F31C1"/>
    <w:rsid w:val="004F3218"/>
    <w:rsid w:val="004F3270"/>
    <w:rsid w:val="004F35C2"/>
    <w:rsid w:val="004F3A44"/>
    <w:rsid w:val="004F3D0A"/>
    <w:rsid w:val="004F3FDA"/>
    <w:rsid w:val="004F415D"/>
    <w:rsid w:val="004F41BF"/>
    <w:rsid w:val="004F434A"/>
    <w:rsid w:val="004F4591"/>
    <w:rsid w:val="004F468A"/>
    <w:rsid w:val="004F47C9"/>
    <w:rsid w:val="004F486C"/>
    <w:rsid w:val="004F4B8C"/>
    <w:rsid w:val="004F4D6F"/>
    <w:rsid w:val="004F4EA8"/>
    <w:rsid w:val="004F540B"/>
    <w:rsid w:val="004F56CD"/>
    <w:rsid w:val="004F6110"/>
    <w:rsid w:val="004F64C6"/>
    <w:rsid w:val="004F656A"/>
    <w:rsid w:val="004F6CD9"/>
    <w:rsid w:val="004F6D92"/>
    <w:rsid w:val="004F72A8"/>
    <w:rsid w:val="004F76A2"/>
    <w:rsid w:val="004F783E"/>
    <w:rsid w:val="004F78A6"/>
    <w:rsid w:val="004F79E5"/>
    <w:rsid w:val="004F7C4B"/>
    <w:rsid w:val="004F7DA8"/>
    <w:rsid w:val="005005C0"/>
    <w:rsid w:val="005007C0"/>
    <w:rsid w:val="00500814"/>
    <w:rsid w:val="00500993"/>
    <w:rsid w:val="005010CF"/>
    <w:rsid w:val="00501372"/>
    <w:rsid w:val="005013CE"/>
    <w:rsid w:val="0050204A"/>
    <w:rsid w:val="00502301"/>
    <w:rsid w:val="005023E9"/>
    <w:rsid w:val="005024F3"/>
    <w:rsid w:val="00502526"/>
    <w:rsid w:val="0050256B"/>
    <w:rsid w:val="00502944"/>
    <w:rsid w:val="00502BDB"/>
    <w:rsid w:val="00502CF0"/>
    <w:rsid w:val="00502D6E"/>
    <w:rsid w:val="00503273"/>
    <w:rsid w:val="00503398"/>
    <w:rsid w:val="00503539"/>
    <w:rsid w:val="005036D2"/>
    <w:rsid w:val="005038D7"/>
    <w:rsid w:val="00503982"/>
    <w:rsid w:val="00503C3B"/>
    <w:rsid w:val="00504B52"/>
    <w:rsid w:val="00504D09"/>
    <w:rsid w:val="00504DBB"/>
    <w:rsid w:val="00505118"/>
    <w:rsid w:val="0050556F"/>
    <w:rsid w:val="005056FD"/>
    <w:rsid w:val="005058C3"/>
    <w:rsid w:val="00505E2C"/>
    <w:rsid w:val="00505EDA"/>
    <w:rsid w:val="005065BC"/>
    <w:rsid w:val="0050661E"/>
    <w:rsid w:val="00506701"/>
    <w:rsid w:val="00506AA6"/>
    <w:rsid w:val="00506AFC"/>
    <w:rsid w:val="00506B39"/>
    <w:rsid w:val="005074FD"/>
    <w:rsid w:val="005075E6"/>
    <w:rsid w:val="00507958"/>
    <w:rsid w:val="00507B36"/>
    <w:rsid w:val="00507B97"/>
    <w:rsid w:val="005100F9"/>
    <w:rsid w:val="005101F8"/>
    <w:rsid w:val="005103C4"/>
    <w:rsid w:val="005104AA"/>
    <w:rsid w:val="0051050B"/>
    <w:rsid w:val="00510553"/>
    <w:rsid w:val="005109F1"/>
    <w:rsid w:val="00510C99"/>
    <w:rsid w:val="00510D2C"/>
    <w:rsid w:val="00510D4A"/>
    <w:rsid w:val="00510D87"/>
    <w:rsid w:val="00510E5D"/>
    <w:rsid w:val="00511201"/>
    <w:rsid w:val="00511553"/>
    <w:rsid w:val="00511898"/>
    <w:rsid w:val="00511DE2"/>
    <w:rsid w:val="00511E5B"/>
    <w:rsid w:val="00512060"/>
    <w:rsid w:val="0051210D"/>
    <w:rsid w:val="00512164"/>
    <w:rsid w:val="00512518"/>
    <w:rsid w:val="00512721"/>
    <w:rsid w:val="00512858"/>
    <w:rsid w:val="00512CD0"/>
    <w:rsid w:val="00512E14"/>
    <w:rsid w:val="00512EBD"/>
    <w:rsid w:val="00513052"/>
    <w:rsid w:val="0051365C"/>
    <w:rsid w:val="00513881"/>
    <w:rsid w:val="005139CB"/>
    <w:rsid w:val="00513B9E"/>
    <w:rsid w:val="00513CA7"/>
    <w:rsid w:val="00513DA1"/>
    <w:rsid w:val="00513FAB"/>
    <w:rsid w:val="005141F2"/>
    <w:rsid w:val="0051430A"/>
    <w:rsid w:val="0051475A"/>
    <w:rsid w:val="00514812"/>
    <w:rsid w:val="0051489A"/>
    <w:rsid w:val="005149FD"/>
    <w:rsid w:val="00514BFC"/>
    <w:rsid w:val="00514E6C"/>
    <w:rsid w:val="00514F9F"/>
    <w:rsid w:val="00515444"/>
    <w:rsid w:val="0051575C"/>
    <w:rsid w:val="0051592E"/>
    <w:rsid w:val="00515A96"/>
    <w:rsid w:val="00516295"/>
    <w:rsid w:val="00516B63"/>
    <w:rsid w:val="00516B9C"/>
    <w:rsid w:val="00516BFB"/>
    <w:rsid w:val="00516D2C"/>
    <w:rsid w:val="00517379"/>
    <w:rsid w:val="00517521"/>
    <w:rsid w:val="005175E9"/>
    <w:rsid w:val="00517769"/>
    <w:rsid w:val="0051793B"/>
    <w:rsid w:val="0051793C"/>
    <w:rsid w:val="005179FB"/>
    <w:rsid w:val="00517D8D"/>
    <w:rsid w:val="00517D9A"/>
    <w:rsid w:val="00520048"/>
    <w:rsid w:val="0052009D"/>
    <w:rsid w:val="0052030E"/>
    <w:rsid w:val="005204BE"/>
    <w:rsid w:val="00520512"/>
    <w:rsid w:val="00520965"/>
    <w:rsid w:val="00520A5F"/>
    <w:rsid w:val="005210AD"/>
    <w:rsid w:val="0052128A"/>
    <w:rsid w:val="005215F7"/>
    <w:rsid w:val="00521710"/>
    <w:rsid w:val="005217A0"/>
    <w:rsid w:val="005217C9"/>
    <w:rsid w:val="00521967"/>
    <w:rsid w:val="00521B9E"/>
    <w:rsid w:val="00521EC6"/>
    <w:rsid w:val="0052215C"/>
    <w:rsid w:val="005221BC"/>
    <w:rsid w:val="00522230"/>
    <w:rsid w:val="00522776"/>
    <w:rsid w:val="0052283C"/>
    <w:rsid w:val="0052327A"/>
    <w:rsid w:val="0052353A"/>
    <w:rsid w:val="00523771"/>
    <w:rsid w:val="0052383F"/>
    <w:rsid w:val="0052388B"/>
    <w:rsid w:val="00523AB6"/>
    <w:rsid w:val="00523CC7"/>
    <w:rsid w:val="00523E56"/>
    <w:rsid w:val="00524123"/>
    <w:rsid w:val="005241EE"/>
    <w:rsid w:val="00524358"/>
    <w:rsid w:val="005243CA"/>
    <w:rsid w:val="005246AA"/>
    <w:rsid w:val="0052494B"/>
    <w:rsid w:val="00525285"/>
    <w:rsid w:val="005254A9"/>
    <w:rsid w:val="005254C4"/>
    <w:rsid w:val="00525A7A"/>
    <w:rsid w:val="00526118"/>
    <w:rsid w:val="0052626A"/>
    <w:rsid w:val="00526343"/>
    <w:rsid w:val="0052653E"/>
    <w:rsid w:val="00526C99"/>
    <w:rsid w:val="00526F92"/>
    <w:rsid w:val="0052715D"/>
    <w:rsid w:val="005272FD"/>
    <w:rsid w:val="00527A20"/>
    <w:rsid w:val="00527B3D"/>
    <w:rsid w:val="00527F3F"/>
    <w:rsid w:val="00527F4A"/>
    <w:rsid w:val="0053044F"/>
    <w:rsid w:val="00530C42"/>
    <w:rsid w:val="00530EE2"/>
    <w:rsid w:val="005319F7"/>
    <w:rsid w:val="00531CEF"/>
    <w:rsid w:val="005321C5"/>
    <w:rsid w:val="00532914"/>
    <w:rsid w:val="00532EFC"/>
    <w:rsid w:val="00533125"/>
    <w:rsid w:val="0053335D"/>
    <w:rsid w:val="005335EB"/>
    <w:rsid w:val="0053364A"/>
    <w:rsid w:val="0053367A"/>
    <w:rsid w:val="0053391B"/>
    <w:rsid w:val="00533BDF"/>
    <w:rsid w:val="00533C4B"/>
    <w:rsid w:val="00534071"/>
    <w:rsid w:val="00534213"/>
    <w:rsid w:val="005343B7"/>
    <w:rsid w:val="005343F1"/>
    <w:rsid w:val="0053440D"/>
    <w:rsid w:val="00534506"/>
    <w:rsid w:val="00534B84"/>
    <w:rsid w:val="0053507C"/>
    <w:rsid w:val="00535449"/>
    <w:rsid w:val="005354F5"/>
    <w:rsid w:val="00535742"/>
    <w:rsid w:val="005357C5"/>
    <w:rsid w:val="0053583E"/>
    <w:rsid w:val="005359E1"/>
    <w:rsid w:val="00535BDF"/>
    <w:rsid w:val="00535C8C"/>
    <w:rsid w:val="00535F09"/>
    <w:rsid w:val="00536254"/>
    <w:rsid w:val="0053676F"/>
    <w:rsid w:val="00536A76"/>
    <w:rsid w:val="00536B7E"/>
    <w:rsid w:val="005370F7"/>
    <w:rsid w:val="0053741E"/>
    <w:rsid w:val="005406AD"/>
    <w:rsid w:val="00540738"/>
    <w:rsid w:val="0054109A"/>
    <w:rsid w:val="00541279"/>
    <w:rsid w:val="00541469"/>
    <w:rsid w:val="00541AC5"/>
    <w:rsid w:val="00541C68"/>
    <w:rsid w:val="00541E58"/>
    <w:rsid w:val="00541EC6"/>
    <w:rsid w:val="00541ED7"/>
    <w:rsid w:val="0054200C"/>
    <w:rsid w:val="00542057"/>
    <w:rsid w:val="005421B1"/>
    <w:rsid w:val="0054229F"/>
    <w:rsid w:val="00542382"/>
    <w:rsid w:val="0054273C"/>
    <w:rsid w:val="0054275F"/>
    <w:rsid w:val="00542DF4"/>
    <w:rsid w:val="00542E65"/>
    <w:rsid w:val="00542FCA"/>
    <w:rsid w:val="005430D9"/>
    <w:rsid w:val="005432B4"/>
    <w:rsid w:val="005432EC"/>
    <w:rsid w:val="005437AE"/>
    <w:rsid w:val="005438D8"/>
    <w:rsid w:val="00544179"/>
    <w:rsid w:val="00544297"/>
    <w:rsid w:val="00544718"/>
    <w:rsid w:val="0054474E"/>
    <w:rsid w:val="00544BE6"/>
    <w:rsid w:val="00545086"/>
    <w:rsid w:val="0054513E"/>
    <w:rsid w:val="005457A6"/>
    <w:rsid w:val="00545ECC"/>
    <w:rsid w:val="00545F4A"/>
    <w:rsid w:val="00546066"/>
    <w:rsid w:val="005461EB"/>
    <w:rsid w:val="005462BF"/>
    <w:rsid w:val="0054630F"/>
    <w:rsid w:val="00546488"/>
    <w:rsid w:val="00546565"/>
    <w:rsid w:val="0054666A"/>
    <w:rsid w:val="00546758"/>
    <w:rsid w:val="00546FC9"/>
    <w:rsid w:val="00547131"/>
    <w:rsid w:val="0054714D"/>
    <w:rsid w:val="005473DB"/>
    <w:rsid w:val="005474FD"/>
    <w:rsid w:val="00547688"/>
    <w:rsid w:val="00547BCA"/>
    <w:rsid w:val="0055004D"/>
    <w:rsid w:val="00550128"/>
    <w:rsid w:val="00550209"/>
    <w:rsid w:val="00550378"/>
    <w:rsid w:val="0055061F"/>
    <w:rsid w:val="00551299"/>
    <w:rsid w:val="00551469"/>
    <w:rsid w:val="005517F3"/>
    <w:rsid w:val="00551AF4"/>
    <w:rsid w:val="00551C26"/>
    <w:rsid w:val="00551C9D"/>
    <w:rsid w:val="00551E22"/>
    <w:rsid w:val="00551E33"/>
    <w:rsid w:val="0055215C"/>
    <w:rsid w:val="00552F44"/>
    <w:rsid w:val="00552F97"/>
    <w:rsid w:val="005530FD"/>
    <w:rsid w:val="00553178"/>
    <w:rsid w:val="00553578"/>
    <w:rsid w:val="00553BFF"/>
    <w:rsid w:val="00553F03"/>
    <w:rsid w:val="00553F95"/>
    <w:rsid w:val="0055478B"/>
    <w:rsid w:val="00554B1A"/>
    <w:rsid w:val="00554B92"/>
    <w:rsid w:val="00554CFE"/>
    <w:rsid w:val="00554D39"/>
    <w:rsid w:val="00555125"/>
    <w:rsid w:val="0055560A"/>
    <w:rsid w:val="00555E73"/>
    <w:rsid w:val="00556139"/>
    <w:rsid w:val="0055646E"/>
    <w:rsid w:val="00556913"/>
    <w:rsid w:val="00556980"/>
    <w:rsid w:val="00556AF5"/>
    <w:rsid w:val="00556C9E"/>
    <w:rsid w:val="00556CB6"/>
    <w:rsid w:val="00556FCE"/>
    <w:rsid w:val="00557449"/>
    <w:rsid w:val="00557551"/>
    <w:rsid w:val="005579F8"/>
    <w:rsid w:val="00557C8A"/>
    <w:rsid w:val="00557D7C"/>
    <w:rsid w:val="00557EA8"/>
    <w:rsid w:val="005601F0"/>
    <w:rsid w:val="0056027C"/>
    <w:rsid w:val="005602EF"/>
    <w:rsid w:val="005604CE"/>
    <w:rsid w:val="00560A43"/>
    <w:rsid w:val="00560A53"/>
    <w:rsid w:val="005610A7"/>
    <w:rsid w:val="0056112C"/>
    <w:rsid w:val="005619DC"/>
    <w:rsid w:val="00561AED"/>
    <w:rsid w:val="00561C06"/>
    <w:rsid w:val="00561E8F"/>
    <w:rsid w:val="00561F0D"/>
    <w:rsid w:val="005620FB"/>
    <w:rsid w:val="00562446"/>
    <w:rsid w:val="00562A9D"/>
    <w:rsid w:val="00562C70"/>
    <w:rsid w:val="00562ED4"/>
    <w:rsid w:val="005630B2"/>
    <w:rsid w:val="005638A8"/>
    <w:rsid w:val="005639A8"/>
    <w:rsid w:val="00563D67"/>
    <w:rsid w:val="00563DE6"/>
    <w:rsid w:val="0056423F"/>
    <w:rsid w:val="00564492"/>
    <w:rsid w:val="00564CC0"/>
    <w:rsid w:val="00564D4C"/>
    <w:rsid w:val="00564D77"/>
    <w:rsid w:val="00565788"/>
    <w:rsid w:val="00565EB6"/>
    <w:rsid w:val="00566C08"/>
    <w:rsid w:val="00566DE1"/>
    <w:rsid w:val="00567973"/>
    <w:rsid w:val="00567CB8"/>
    <w:rsid w:val="00567E46"/>
    <w:rsid w:val="00567EF6"/>
    <w:rsid w:val="00570BF5"/>
    <w:rsid w:val="00570C6C"/>
    <w:rsid w:val="00570CF1"/>
    <w:rsid w:val="00570DA5"/>
    <w:rsid w:val="0057197D"/>
    <w:rsid w:val="00571A72"/>
    <w:rsid w:val="00571B7E"/>
    <w:rsid w:val="00571DCD"/>
    <w:rsid w:val="00571F56"/>
    <w:rsid w:val="005722BA"/>
    <w:rsid w:val="00572334"/>
    <w:rsid w:val="00572420"/>
    <w:rsid w:val="0057250C"/>
    <w:rsid w:val="00572E63"/>
    <w:rsid w:val="005735AC"/>
    <w:rsid w:val="005735DC"/>
    <w:rsid w:val="0057369D"/>
    <w:rsid w:val="00573704"/>
    <w:rsid w:val="00573773"/>
    <w:rsid w:val="00573D7B"/>
    <w:rsid w:val="0057414D"/>
    <w:rsid w:val="00574262"/>
    <w:rsid w:val="0057440C"/>
    <w:rsid w:val="00574491"/>
    <w:rsid w:val="00574504"/>
    <w:rsid w:val="0057456E"/>
    <w:rsid w:val="00574FEF"/>
    <w:rsid w:val="005750FF"/>
    <w:rsid w:val="00575349"/>
    <w:rsid w:val="00575490"/>
    <w:rsid w:val="00575526"/>
    <w:rsid w:val="0057558A"/>
    <w:rsid w:val="0057564C"/>
    <w:rsid w:val="0057577E"/>
    <w:rsid w:val="00575A6C"/>
    <w:rsid w:val="00575C7A"/>
    <w:rsid w:val="00575D50"/>
    <w:rsid w:val="00575E63"/>
    <w:rsid w:val="005760DA"/>
    <w:rsid w:val="00576B41"/>
    <w:rsid w:val="0057756A"/>
    <w:rsid w:val="005776C2"/>
    <w:rsid w:val="00577B5F"/>
    <w:rsid w:val="00577BEF"/>
    <w:rsid w:val="00577D68"/>
    <w:rsid w:val="00577E43"/>
    <w:rsid w:val="00577FBF"/>
    <w:rsid w:val="00580150"/>
    <w:rsid w:val="0058023B"/>
    <w:rsid w:val="00580733"/>
    <w:rsid w:val="00580B49"/>
    <w:rsid w:val="00580BA4"/>
    <w:rsid w:val="00580EA1"/>
    <w:rsid w:val="00581133"/>
    <w:rsid w:val="005811CA"/>
    <w:rsid w:val="0058154E"/>
    <w:rsid w:val="00581846"/>
    <w:rsid w:val="00581964"/>
    <w:rsid w:val="00582089"/>
    <w:rsid w:val="005821A9"/>
    <w:rsid w:val="0058224A"/>
    <w:rsid w:val="005823AE"/>
    <w:rsid w:val="0058264A"/>
    <w:rsid w:val="00582921"/>
    <w:rsid w:val="00582A1F"/>
    <w:rsid w:val="00582D0E"/>
    <w:rsid w:val="00582FF9"/>
    <w:rsid w:val="0058335D"/>
    <w:rsid w:val="005835E9"/>
    <w:rsid w:val="0058385D"/>
    <w:rsid w:val="00583891"/>
    <w:rsid w:val="00583E05"/>
    <w:rsid w:val="00583F96"/>
    <w:rsid w:val="00584D27"/>
    <w:rsid w:val="005850A1"/>
    <w:rsid w:val="0058526A"/>
    <w:rsid w:val="00585373"/>
    <w:rsid w:val="00585448"/>
    <w:rsid w:val="005858B5"/>
    <w:rsid w:val="00585DAF"/>
    <w:rsid w:val="00585FED"/>
    <w:rsid w:val="00586040"/>
    <w:rsid w:val="005865FA"/>
    <w:rsid w:val="00586959"/>
    <w:rsid w:val="00586A34"/>
    <w:rsid w:val="00586CA5"/>
    <w:rsid w:val="00586ED0"/>
    <w:rsid w:val="00586F97"/>
    <w:rsid w:val="005870C2"/>
    <w:rsid w:val="005872B6"/>
    <w:rsid w:val="00587560"/>
    <w:rsid w:val="00587608"/>
    <w:rsid w:val="0058767F"/>
    <w:rsid w:val="00587740"/>
    <w:rsid w:val="00587A0B"/>
    <w:rsid w:val="00587B8D"/>
    <w:rsid w:val="00587CB3"/>
    <w:rsid w:val="00587DF8"/>
    <w:rsid w:val="00587FAB"/>
    <w:rsid w:val="0059032B"/>
    <w:rsid w:val="005903AE"/>
    <w:rsid w:val="00590449"/>
    <w:rsid w:val="005904AC"/>
    <w:rsid w:val="00590501"/>
    <w:rsid w:val="00590A95"/>
    <w:rsid w:val="00590BBD"/>
    <w:rsid w:val="00590F04"/>
    <w:rsid w:val="0059105F"/>
    <w:rsid w:val="005911FD"/>
    <w:rsid w:val="0059131B"/>
    <w:rsid w:val="00591455"/>
    <w:rsid w:val="005917C4"/>
    <w:rsid w:val="00591B08"/>
    <w:rsid w:val="00591C0A"/>
    <w:rsid w:val="00591D57"/>
    <w:rsid w:val="005925BA"/>
    <w:rsid w:val="00592725"/>
    <w:rsid w:val="00592A87"/>
    <w:rsid w:val="00592E41"/>
    <w:rsid w:val="005937B8"/>
    <w:rsid w:val="00593856"/>
    <w:rsid w:val="0059412F"/>
    <w:rsid w:val="0059476F"/>
    <w:rsid w:val="00594834"/>
    <w:rsid w:val="0059493C"/>
    <w:rsid w:val="00594A43"/>
    <w:rsid w:val="00594C73"/>
    <w:rsid w:val="00594D14"/>
    <w:rsid w:val="00594D3E"/>
    <w:rsid w:val="00595505"/>
    <w:rsid w:val="00595660"/>
    <w:rsid w:val="00595925"/>
    <w:rsid w:val="00595B20"/>
    <w:rsid w:val="00595DF2"/>
    <w:rsid w:val="00595E54"/>
    <w:rsid w:val="00595EBB"/>
    <w:rsid w:val="00596787"/>
    <w:rsid w:val="005967A7"/>
    <w:rsid w:val="005968D8"/>
    <w:rsid w:val="00596972"/>
    <w:rsid w:val="00596BF8"/>
    <w:rsid w:val="00596C5C"/>
    <w:rsid w:val="00596D74"/>
    <w:rsid w:val="00596F4D"/>
    <w:rsid w:val="00597054"/>
    <w:rsid w:val="0059706E"/>
    <w:rsid w:val="005977D2"/>
    <w:rsid w:val="00597A31"/>
    <w:rsid w:val="00597A34"/>
    <w:rsid w:val="00597D16"/>
    <w:rsid w:val="005A09EF"/>
    <w:rsid w:val="005A0BEE"/>
    <w:rsid w:val="005A0E60"/>
    <w:rsid w:val="005A1093"/>
    <w:rsid w:val="005A1227"/>
    <w:rsid w:val="005A1702"/>
    <w:rsid w:val="005A1B49"/>
    <w:rsid w:val="005A1BA3"/>
    <w:rsid w:val="005A1CD8"/>
    <w:rsid w:val="005A1E8E"/>
    <w:rsid w:val="005A1FAE"/>
    <w:rsid w:val="005A21DC"/>
    <w:rsid w:val="005A225A"/>
    <w:rsid w:val="005A23DC"/>
    <w:rsid w:val="005A2A24"/>
    <w:rsid w:val="005A2B50"/>
    <w:rsid w:val="005A3393"/>
    <w:rsid w:val="005A3660"/>
    <w:rsid w:val="005A3C60"/>
    <w:rsid w:val="005A432A"/>
    <w:rsid w:val="005A435D"/>
    <w:rsid w:val="005A45EA"/>
    <w:rsid w:val="005A4825"/>
    <w:rsid w:val="005A5035"/>
    <w:rsid w:val="005A51EA"/>
    <w:rsid w:val="005A5275"/>
    <w:rsid w:val="005A545A"/>
    <w:rsid w:val="005A5BDB"/>
    <w:rsid w:val="005A5CC7"/>
    <w:rsid w:val="005A6042"/>
    <w:rsid w:val="005A6197"/>
    <w:rsid w:val="005A6713"/>
    <w:rsid w:val="005A6A1B"/>
    <w:rsid w:val="005A6A45"/>
    <w:rsid w:val="005A6B02"/>
    <w:rsid w:val="005A6DA4"/>
    <w:rsid w:val="005A7743"/>
    <w:rsid w:val="005A7A03"/>
    <w:rsid w:val="005A7B26"/>
    <w:rsid w:val="005A7C0C"/>
    <w:rsid w:val="005A7C11"/>
    <w:rsid w:val="005A7F8B"/>
    <w:rsid w:val="005B001C"/>
    <w:rsid w:val="005B02E4"/>
    <w:rsid w:val="005B0997"/>
    <w:rsid w:val="005B0DCA"/>
    <w:rsid w:val="005B0E69"/>
    <w:rsid w:val="005B0EFF"/>
    <w:rsid w:val="005B1601"/>
    <w:rsid w:val="005B1A20"/>
    <w:rsid w:val="005B1ABB"/>
    <w:rsid w:val="005B1AFD"/>
    <w:rsid w:val="005B1CBF"/>
    <w:rsid w:val="005B2753"/>
    <w:rsid w:val="005B2B0A"/>
    <w:rsid w:val="005B2D31"/>
    <w:rsid w:val="005B2DF1"/>
    <w:rsid w:val="005B3106"/>
    <w:rsid w:val="005B3597"/>
    <w:rsid w:val="005B35E2"/>
    <w:rsid w:val="005B36FE"/>
    <w:rsid w:val="005B3709"/>
    <w:rsid w:val="005B3E36"/>
    <w:rsid w:val="005B3E3B"/>
    <w:rsid w:val="005B40A1"/>
    <w:rsid w:val="005B410A"/>
    <w:rsid w:val="005B420F"/>
    <w:rsid w:val="005B4760"/>
    <w:rsid w:val="005B4CA9"/>
    <w:rsid w:val="005B50BC"/>
    <w:rsid w:val="005B5661"/>
    <w:rsid w:val="005B5893"/>
    <w:rsid w:val="005B58B1"/>
    <w:rsid w:val="005B5D15"/>
    <w:rsid w:val="005B6077"/>
    <w:rsid w:val="005B61B0"/>
    <w:rsid w:val="005B61EC"/>
    <w:rsid w:val="005B6572"/>
    <w:rsid w:val="005B669C"/>
    <w:rsid w:val="005B67AF"/>
    <w:rsid w:val="005B68B3"/>
    <w:rsid w:val="005B6BD1"/>
    <w:rsid w:val="005B74AD"/>
    <w:rsid w:val="005B7683"/>
    <w:rsid w:val="005B77EA"/>
    <w:rsid w:val="005B7A18"/>
    <w:rsid w:val="005B7ACD"/>
    <w:rsid w:val="005B7AD7"/>
    <w:rsid w:val="005C02DB"/>
    <w:rsid w:val="005C03F9"/>
    <w:rsid w:val="005C0518"/>
    <w:rsid w:val="005C0924"/>
    <w:rsid w:val="005C0B27"/>
    <w:rsid w:val="005C0EA4"/>
    <w:rsid w:val="005C1237"/>
    <w:rsid w:val="005C1936"/>
    <w:rsid w:val="005C1AEA"/>
    <w:rsid w:val="005C1E70"/>
    <w:rsid w:val="005C205B"/>
    <w:rsid w:val="005C2147"/>
    <w:rsid w:val="005C26AA"/>
    <w:rsid w:val="005C2D1E"/>
    <w:rsid w:val="005C2D77"/>
    <w:rsid w:val="005C2F39"/>
    <w:rsid w:val="005C30EA"/>
    <w:rsid w:val="005C316F"/>
    <w:rsid w:val="005C333B"/>
    <w:rsid w:val="005C3A53"/>
    <w:rsid w:val="005C3BCC"/>
    <w:rsid w:val="005C4079"/>
    <w:rsid w:val="005C4179"/>
    <w:rsid w:val="005C4211"/>
    <w:rsid w:val="005C4407"/>
    <w:rsid w:val="005C4470"/>
    <w:rsid w:val="005C44A1"/>
    <w:rsid w:val="005C4577"/>
    <w:rsid w:val="005C460F"/>
    <w:rsid w:val="005C47DE"/>
    <w:rsid w:val="005C4B54"/>
    <w:rsid w:val="005C4F36"/>
    <w:rsid w:val="005C524F"/>
    <w:rsid w:val="005C58EC"/>
    <w:rsid w:val="005C599C"/>
    <w:rsid w:val="005C5D19"/>
    <w:rsid w:val="005C5F25"/>
    <w:rsid w:val="005C5F27"/>
    <w:rsid w:val="005C603A"/>
    <w:rsid w:val="005C60F7"/>
    <w:rsid w:val="005C6157"/>
    <w:rsid w:val="005C630A"/>
    <w:rsid w:val="005C6499"/>
    <w:rsid w:val="005C6745"/>
    <w:rsid w:val="005C6B9F"/>
    <w:rsid w:val="005C7177"/>
    <w:rsid w:val="005C71C5"/>
    <w:rsid w:val="005C720D"/>
    <w:rsid w:val="005C7521"/>
    <w:rsid w:val="005C7BF6"/>
    <w:rsid w:val="005C7DA6"/>
    <w:rsid w:val="005C7E79"/>
    <w:rsid w:val="005C7EC5"/>
    <w:rsid w:val="005D0276"/>
    <w:rsid w:val="005D04BB"/>
    <w:rsid w:val="005D0A90"/>
    <w:rsid w:val="005D0B62"/>
    <w:rsid w:val="005D0B99"/>
    <w:rsid w:val="005D0F30"/>
    <w:rsid w:val="005D0FD3"/>
    <w:rsid w:val="005D1840"/>
    <w:rsid w:val="005D18B7"/>
    <w:rsid w:val="005D1B3E"/>
    <w:rsid w:val="005D1E49"/>
    <w:rsid w:val="005D2409"/>
    <w:rsid w:val="005D2509"/>
    <w:rsid w:val="005D2B56"/>
    <w:rsid w:val="005D2D59"/>
    <w:rsid w:val="005D30EF"/>
    <w:rsid w:val="005D3101"/>
    <w:rsid w:val="005D3254"/>
    <w:rsid w:val="005D3299"/>
    <w:rsid w:val="005D3315"/>
    <w:rsid w:val="005D3494"/>
    <w:rsid w:val="005D3655"/>
    <w:rsid w:val="005D417E"/>
    <w:rsid w:val="005D44CD"/>
    <w:rsid w:val="005D49E8"/>
    <w:rsid w:val="005D504C"/>
    <w:rsid w:val="005D50AE"/>
    <w:rsid w:val="005D51E9"/>
    <w:rsid w:val="005D555A"/>
    <w:rsid w:val="005D5964"/>
    <w:rsid w:val="005D5D9C"/>
    <w:rsid w:val="005D5DFD"/>
    <w:rsid w:val="005D6035"/>
    <w:rsid w:val="005D6252"/>
    <w:rsid w:val="005D62C4"/>
    <w:rsid w:val="005D6489"/>
    <w:rsid w:val="005D6523"/>
    <w:rsid w:val="005D6589"/>
    <w:rsid w:val="005D65AD"/>
    <w:rsid w:val="005D68B3"/>
    <w:rsid w:val="005D692C"/>
    <w:rsid w:val="005D6B40"/>
    <w:rsid w:val="005D717B"/>
    <w:rsid w:val="005D7694"/>
    <w:rsid w:val="005D78C1"/>
    <w:rsid w:val="005E0042"/>
    <w:rsid w:val="005E0191"/>
    <w:rsid w:val="005E0548"/>
    <w:rsid w:val="005E078A"/>
    <w:rsid w:val="005E089F"/>
    <w:rsid w:val="005E0A0C"/>
    <w:rsid w:val="005E0B71"/>
    <w:rsid w:val="005E0E67"/>
    <w:rsid w:val="005E1566"/>
    <w:rsid w:val="005E15C4"/>
    <w:rsid w:val="005E15C9"/>
    <w:rsid w:val="005E167E"/>
    <w:rsid w:val="005E1ADD"/>
    <w:rsid w:val="005E1DC0"/>
    <w:rsid w:val="005E1E04"/>
    <w:rsid w:val="005E2265"/>
    <w:rsid w:val="005E22C6"/>
    <w:rsid w:val="005E2393"/>
    <w:rsid w:val="005E25EA"/>
    <w:rsid w:val="005E26E0"/>
    <w:rsid w:val="005E26FE"/>
    <w:rsid w:val="005E2A98"/>
    <w:rsid w:val="005E2CEB"/>
    <w:rsid w:val="005E34BD"/>
    <w:rsid w:val="005E3880"/>
    <w:rsid w:val="005E3DEE"/>
    <w:rsid w:val="005E3F51"/>
    <w:rsid w:val="005E47EC"/>
    <w:rsid w:val="005E5026"/>
    <w:rsid w:val="005E50C2"/>
    <w:rsid w:val="005E5392"/>
    <w:rsid w:val="005E58BD"/>
    <w:rsid w:val="005E5CB8"/>
    <w:rsid w:val="005E5E1B"/>
    <w:rsid w:val="005E657B"/>
    <w:rsid w:val="005E6745"/>
    <w:rsid w:val="005E6830"/>
    <w:rsid w:val="005E6ABB"/>
    <w:rsid w:val="005E7111"/>
    <w:rsid w:val="005E715E"/>
    <w:rsid w:val="005E72A6"/>
    <w:rsid w:val="005E78EA"/>
    <w:rsid w:val="005F0161"/>
    <w:rsid w:val="005F01C8"/>
    <w:rsid w:val="005F0412"/>
    <w:rsid w:val="005F0D8A"/>
    <w:rsid w:val="005F14BB"/>
    <w:rsid w:val="005F1523"/>
    <w:rsid w:val="005F1544"/>
    <w:rsid w:val="005F18B5"/>
    <w:rsid w:val="005F1BAC"/>
    <w:rsid w:val="005F1F36"/>
    <w:rsid w:val="005F1F68"/>
    <w:rsid w:val="005F2060"/>
    <w:rsid w:val="005F226C"/>
    <w:rsid w:val="005F2527"/>
    <w:rsid w:val="005F288F"/>
    <w:rsid w:val="005F2C7E"/>
    <w:rsid w:val="005F2CA5"/>
    <w:rsid w:val="005F322A"/>
    <w:rsid w:val="005F32ED"/>
    <w:rsid w:val="005F3575"/>
    <w:rsid w:val="005F35BA"/>
    <w:rsid w:val="005F36EB"/>
    <w:rsid w:val="005F37E4"/>
    <w:rsid w:val="005F3D05"/>
    <w:rsid w:val="005F3D75"/>
    <w:rsid w:val="005F3F89"/>
    <w:rsid w:val="005F446D"/>
    <w:rsid w:val="005F44D6"/>
    <w:rsid w:val="005F45C7"/>
    <w:rsid w:val="005F4991"/>
    <w:rsid w:val="005F4F93"/>
    <w:rsid w:val="005F5118"/>
    <w:rsid w:val="005F5458"/>
    <w:rsid w:val="005F54BC"/>
    <w:rsid w:val="005F5555"/>
    <w:rsid w:val="005F5654"/>
    <w:rsid w:val="005F5B06"/>
    <w:rsid w:val="005F5C9C"/>
    <w:rsid w:val="005F5DBD"/>
    <w:rsid w:val="005F5F29"/>
    <w:rsid w:val="005F6130"/>
    <w:rsid w:val="005F616D"/>
    <w:rsid w:val="005F626E"/>
    <w:rsid w:val="005F683C"/>
    <w:rsid w:val="005F6B6C"/>
    <w:rsid w:val="005F6C4F"/>
    <w:rsid w:val="005F6E1C"/>
    <w:rsid w:val="005F70B7"/>
    <w:rsid w:val="005F72BF"/>
    <w:rsid w:val="005F7446"/>
    <w:rsid w:val="005F75DC"/>
    <w:rsid w:val="005F796A"/>
    <w:rsid w:val="00600085"/>
    <w:rsid w:val="0060040E"/>
    <w:rsid w:val="00600A3B"/>
    <w:rsid w:val="00601071"/>
    <w:rsid w:val="00601125"/>
    <w:rsid w:val="006011E1"/>
    <w:rsid w:val="006011E7"/>
    <w:rsid w:val="00601210"/>
    <w:rsid w:val="0060127E"/>
    <w:rsid w:val="0060133A"/>
    <w:rsid w:val="00601595"/>
    <w:rsid w:val="00601641"/>
    <w:rsid w:val="00601762"/>
    <w:rsid w:val="00601918"/>
    <w:rsid w:val="00601CC8"/>
    <w:rsid w:val="006023B8"/>
    <w:rsid w:val="00602514"/>
    <w:rsid w:val="00602786"/>
    <w:rsid w:val="0060348D"/>
    <w:rsid w:val="006036C6"/>
    <w:rsid w:val="006037A7"/>
    <w:rsid w:val="00603C37"/>
    <w:rsid w:val="00604758"/>
    <w:rsid w:val="00604A62"/>
    <w:rsid w:val="006050B2"/>
    <w:rsid w:val="006050D1"/>
    <w:rsid w:val="00605164"/>
    <w:rsid w:val="00605196"/>
    <w:rsid w:val="006052C3"/>
    <w:rsid w:val="0060535A"/>
    <w:rsid w:val="0060565A"/>
    <w:rsid w:val="006057F4"/>
    <w:rsid w:val="00605801"/>
    <w:rsid w:val="006061BF"/>
    <w:rsid w:val="00606601"/>
    <w:rsid w:val="00606A2C"/>
    <w:rsid w:val="006075FF"/>
    <w:rsid w:val="00607831"/>
    <w:rsid w:val="0061057C"/>
    <w:rsid w:val="006106FC"/>
    <w:rsid w:val="006107C0"/>
    <w:rsid w:val="00610A7F"/>
    <w:rsid w:val="00610BCD"/>
    <w:rsid w:val="0061101F"/>
    <w:rsid w:val="00612019"/>
    <w:rsid w:val="00612125"/>
    <w:rsid w:val="0061226B"/>
    <w:rsid w:val="006123B0"/>
    <w:rsid w:val="00612729"/>
    <w:rsid w:val="006127C1"/>
    <w:rsid w:val="00612A00"/>
    <w:rsid w:val="00613150"/>
    <w:rsid w:val="00613CD7"/>
    <w:rsid w:val="006141F6"/>
    <w:rsid w:val="006143F9"/>
    <w:rsid w:val="00614574"/>
    <w:rsid w:val="006148E6"/>
    <w:rsid w:val="00614993"/>
    <w:rsid w:val="00614A29"/>
    <w:rsid w:val="00614CAE"/>
    <w:rsid w:val="00614D3F"/>
    <w:rsid w:val="00614EE1"/>
    <w:rsid w:val="00614F34"/>
    <w:rsid w:val="00614F5F"/>
    <w:rsid w:val="00615087"/>
    <w:rsid w:val="0061508A"/>
    <w:rsid w:val="006152C9"/>
    <w:rsid w:val="006162E1"/>
    <w:rsid w:val="00616394"/>
    <w:rsid w:val="006164C9"/>
    <w:rsid w:val="006168C3"/>
    <w:rsid w:val="00616904"/>
    <w:rsid w:val="00616AEF"/>
    <w:rsid w:val="0061741F"/>
    <w:rsid w:val="00617703"/>
    <w:rsid w:val="006177DE"/>
    <w:rsid w:val="00617957"/>
    <w:rsid w:val="00617E4C"/>
    <w:rsid w:val="006200BA"/>
    <w:rsid w:val="00620174"/>
    <w:rsid w:val="0062029B"/>
    <w:rsid w:val="0062036F"/>
    <w:rsid w:val="006205EA"/>
    <w:rsid w:val="00620F75"/>
    <w:rsid w:val="00621481"/>
    <w:rsid w:val="0062178B"/>
    <w:rsid w:val="00621A48"/>
    <w:rsid w:val="00621C06"/>
    <w:rsid w:val="00621D46"/>
    <w:rsid w:val="00621DBF"/>
    <w:rsid w:val="006220F8"/>
    <w:rsid w:val="00622499"/>
    <w:rsid w:val="00622507"/>
    <w:rsid w:val="00622698"/>
    <w:rsid w:val="006226BD"/>
    <w:rsid w:val="0062287B"/>
    <w:rsid w:val="006228DE"/>
    <w:rsid w:val="00622A92"/>
    <w:rsid w:val="00622B8F"/>
    <w:rsid w:val="00623141"/>
    <w:rsid w:val="00623160"/>
    <w:rsid w:val="00623251"/>
    <w:rsid w:val="006234F3"/>
    <w:rsid w:val="00623A14"/>
    <w:rsid w:val="00623F17"/>
    <w:rsid w:val="00623F89"/>
    <w:rsid w:val="00624096"/>
    <w:rsid w:val="0062433F"/>
    <w:rsid w:val="0062462C"/>
    <w:rsid w:val="00624B8E"/>
    <w:rsid w:val="00624CBA"/>
    <w:rsid w:val="00624F44"/>
    <w:rsid w:val="0062503D"/>
    <w:rsid w:val="006251EC"/>
    <w:rsid w:val="0062524E"/>
    <w:rsid w:val="0062527F"/>
    <w:rsid w:val="00625726"/>
    <w:rsid w:val="00625D35"/>
    <w:rsid w:val="00626007"/>
    <w:rsid w:val="006261CE"/>
    <w:rsid w:val="0062662F"/>
    <w:rsid w:val="0062680D"/>
    <w:rsid w:val="00626906"/>
    <w:rsid w:val="00626AC9"/>
    <w:rsid w:val="00627035"/>
    <w:rsid w:val="00627112"/>
    <w:rsid w:val="006271A0"/>
    <w:rsid w:val="0062754D"/>
    <w:rsid w:val="00627737"/>
    <w:rsid w:val="00627F8A"/>
    <w:rsid w:val="006302B9"/>
    <w:rsid w:val="006306A7"/>
    <w:rsid w:val="006307DB"/>
    <w:rsid w:val="00630825"/>
    <w:rsid w:val="00630BA7"/>
    <w:rsid w:val="00630C42"/>
    <w:rsid w:val="00630DCE"/>
    <w:rsid w:val="006312A7"/>
    <w:rsid w:val="00631A82"/>
    <w:rsid w:val="00631ADA"/>
    <w:rsid w:val="00631C43"/>
    <w:rsid w:val="00631E7B"/>
    <w:rsid w:val="00631F5D"/>
    <w:rsid w:val="00631F81"/>
    <w:rsid w:val="0063231A"/>
    <w:rsid w:val="006323F3"/>
    <w:rsid w:val="00632744"/>
    <w:rsid w:val="00632EA5"/>
    <w:rsid w:val="006336BE"/>
    <w:rsid w:val="00633C58"/>
    <w:rsid w:val="00633EDE"/>
    <w:rsid w:val="0063435B"/>
    <w:rsid w:val="00634428"/>
    <w:rsid w:val="00634898"/>
    <w:rsid w:val="006349D3"/>
    <w:rsid w:val="006349D6"/>
    <w:rsid w:val="006349E2"/>
    <w:rsid w:val="00634C8A"/>
    <w:rsid w:val="00634D4D"/>
    <w:rsid w:val="0063509B"/>
    <w:rsid w:val="006351C1"/>
    <w:rsid w:val="006353A7"/>
    <w:rsid w:val="006355CF"/>
    <w:rsid w:val="006357C1"/>
    <w:rsid w:val="00636093"/>
    <w:rsid w:val="00636258"/>
    <w:rsid w:val="006367A6"/>
    <w:rsid w:val="006368D2"/>
    <w:rsid w:val="00636ADC"/>
    <w:rsid w:val="00637189"/>
    <w:rsid w:val="00637391"/>
    <w:rsid w:val="0063745D"/>
    <w:rsid w:val="0063766B"/>
    <w:rsid w:val="00637B8F"/>
    <w:rsid w:val="00637F1F"/>
    <w:rsid w:val="00637FB0"/>
    <w:rsid w:val="00640439"/>
    <w:rsid w:val="0064062A"/>
    <w:rsid w:val="006409FA"/>
    <w:rsid w:val="00640A19"/>
    <w:rsid w:val="00640F10"/>
    <w:rsid w:val="00640FA3"/>
    <w:rsid w:val="00641580"/>
    <w:rsid w:val="006415F8"/>
    <w:rsid w:val="006416A8"/>
    <w:rsid w:val="00641771"/>
    <w:rsid w:val="00641A79"/>
    <w:rsid w:val="00641B76"/>
    <w:rsid w:val="00641C51"/>
    <w:rsid w:val="0064208F"/>
    <w:rsid w:val="00642279"/>
    <w:rsid w:val="00642500"/>
    <w:rsid w:val="00642AEF"/>
    <w:rsid w:val="00642B9A"/>
    <w:rsid w:val="00643130"/>
    <w:rsid w:val="0064340A"/>
    <w:rsid w:val="00643428"/>
    <w:rsid w:val="00643BE9"/>
    <w:rsid w:val="00643C81"/>
    <w:rsid w:val="00644165"/>
    <w:rsid w:val="00644186"/>
    <w:rsid w:val="00644994"/>
    <w:rsid w:val="006449FC"/>
    <w:rsid w:val="00644E4E"/>
    <w:rsid w:val="0064542C"/>
    <w:rsid w:val="00645775"/>
    <w:rsid w:val="00645802"/>
    <w:rsid w:val="00645A41"/>
    <w:rsid w:val="00645C69"/>
    <w:rsid w:val="00645C7C"/>
    <w:rsid w:val="00645F62"/>
    <w:rsid w:val="00646063"/>
    <w:rsid w:val="00646256"/>
    <w:rsid w:val="0064668C"/>
    <w:rsid w:val="006467D2"/>
    <w:rsid w:val="00646845"/>
    <w:rsid w:val="00646AF8"/>
    <w:rsid w:val="00646BAE"/>
    <w:rsid w:val="00646C5D"/>
    <w:rsid w:val="00646EFD"/>
    <w:rsid w:val="00646FBE"/>
    <w:rsid w:val="00646FC2"/>
    <w:rsid w:val="00646FD5"/>
    <w:rsid w:val="00647276"/>
    <w:rsid w:val="006474C0"/>
    <w:rsid w:val="006476DD"/>
    <w:rsid w:val="0064777F"/>
    <w:rsid w:val="00647860"/>
    <w:rsid w:val="00647A1E"/>
    <w:rsid w:val="00647D2D"/>
    <w:rsid w:val="00650047"/>
    <w:rsid w:val="00650162"/>
    <w:rsid w:val="0065070E"/>
    <w:rsid w:val="006509D1"/>
    <w:rsid w:val="0065141D"/>
    <w:rsid w:val="00651600"/>
    <w:rsid w:val="0065164D"/>
    <w:rsid w:val="00651683"/>
    <w:rsid w:val="006517EE"/>
    <w:rsid w:val="0065184B"/>
    <w:rsid w:val="00652412"/>
    <w:rsid w:val="0065246C"/>
    <w:rsid w:val="00652503"/>
    <w:rsid w:val="00652515"/>
    <w:rsid w:val="0065275B"/>
    <w:rsid w:val="006528F4"/>
    <w:rsid w:val="0065291E"/>
    <w:rsid w:val="00652F6C"/>
    <w:rsid w:val="00653169"/>
    <w:rsid w:val="006534A4"/>
    <w:rsid w:val="00653799"/>
    <w:rsid w:val="006537D3"/>
    <w:rsid w:val="0065396B"/>
    <w:rsid w:val="00653A67"/>
    <w:rsid w:val="00653DE3"/>
    <w:rsid w:val="00653FE4"/>
    <w:rsid w:val="00654576"/>
    <w:rsid w:val="006549A6"/>
    <w:rsid w:val="00654D1B"/>
    <w:rsid w:val="00654EFB"/>
    <w:rsid w:val="0065524E"/>
    <w:rsid w:val="006552E9"/>
    <w:rsid w:val="0065592F"/>
    <w:rsid w:val="006559C2"/>
    <w:rsid w:val="00656304"/>
    <w:rsid w:val="00656B79"/>
    <w:rsid w:val="00656D06"/>
    <w:rsid w:val="00656D71"/>
    <w:rsid w:val="00656DD6"/>
    <w:rsid w:val="00656DDC"/>
    <w:rsid w:val="00656F94"/>
    <w:rsid w:val="00657291"/>
    <w:rsid w:val="00657315"/>
    <w:rsid w:val="00657757"/>
    <w:rsid w:val="0065792C"/>
    <w:rsid w:val="00657AEE"/>
    <w:rsid w:val="00660C03"/>
    <w:rsid w:val="00660D34"/>
    <w:rsid w:val="006610BF"/>
    <w:rsid w:val="0066114C"/>
    <w:rsid w:val="006615E3"/>
    <w:rsid w:val="00661D10"/>
    <w:rsid w:val="00661D40"/>
    <w:rsid w:val="00661F60"/>
    <w:rsid w:val="006623D0"/>
    <w:rsid w:val="00662446"/>
    <w:rsid w:val="00662544"/>
    <w:rsid w:val="00662553"/>
    <w:rsid w:val="006627E4"/>
    <w:rsid w:val="00662890"/>
    <w:rsid w:val="0066293B"/>
    <w:rsid w:val="00662942"/>
    <w:rsid w:val="00662C5F"/>
    <w:rsid w:val="006633EE"/>
    <w:rsid w:val="0066344C"/>
    <w:rsid w:val="006636D7"/>
    <w:rsid w:val="00664638"/>
    <w:rsid w:val="0066465F"/>
    <w:rsid w:val="0066491E"/>
    <w:rsid w:val="00664973"/>
    <w:rsid w:val="006649C4"/>
    <w:rsid w:val="00664ED2"/>
    <w:rsid w:val="006651F1"/>
    <w:rsid w:val="006655D4"/>
    <w:rsid w:val="00665638"/>
    <w:rsid w:val="00665693"/>
    <w:rsid w:val="006656A6"/>
    <w:rsid w:val="006658E8"/>
    <w:rsid w:val="00665B62"/>
    <w:rsid w:val="00665EBC"/>
    <w:rsid w:val="0066607D"/>
    <w:rsid w:val="00666A2C"/>
    <w:rsid w:val="00666E33"/>
    <w:rsid w:val="0066741D"/>
    <w:rsid w:val="00667552"/>
    <w:rsid w:val="00667700"/>
    <w:rsid w:val="0066773E"/>
    <w:rsid w:val="006677CE"/>
    <w:rsid w:val="006677D8"/>
    <w:rsid w:val="00667BA7"/>
    <w:rsid w:val="00667D01"/>
    <w:rsid w:val="006701AC"/>
    <w:rsid w:val="00670200"/>
    <w:rsid w:val="006707DA"/>
    <w:rsid w:val="00670939"/>
    <w:rsid w:val="006709CE"/>
    <w:rsid w:val="00670E56"/>
    <w:rsid w:val="00670E97"/>
    <w:rsid w:val="00670FC5"/>
    <w:rsid w:val="006710D1"/>
    <w:rsid w:val="0067117A"/>
    <w:rsid w:val="006711D5"/>
    <w:rsid w:val="006713D3"/>
    <w:rsid w:val="00671725"/>
    <w:rsid w:val="00671974"/>
    <w:rsid w:val="00671D11"/>
    <w:rsid w:val="00671E5F"/>
    <w:rsid w:val="0067231D"/>
    <w:rsid w:val="006724D4"/>
    <w:rsid w:val="006727A2"/>
    <w:rsid w:val="0067297A"/>
    <w:rsid w:val="00672DF6"/>
    <w:rsid w:val="00672E28"/>
    <w:rsid w:val="00672E35"/>
    <w:rsid w:val="006732C7"/>
    <w:rsid w:val="006734D1"/>
    <w:rsid w:val="00673F92"/>
    <w:rsid w:val="00674175"/>
    <w:rsid w:val="00674DB3"/>
    <w:rsid w:val="00674FE3"/>
    <w:rsid w:val="006751BC"/>
    <w:rsid w:val="0067556E"/>
    <w:rsid w:val="0067596D"/>
    <w:rsid w:val="00675B88"/>
    <w:rsid w:val="00675BD4"/>
    <w:rsid w:val="00675BD8"/>
    <w:rsid w:val="00675E95"/>
    <w:rsid w:val="00675E98"/>
    <w:rsid w:val="00676092"/>
    <w:rsid w:val="00676109"/>
    <w:rsid w:val="006761C2"/>
    <w:rsid w:val="006765C3"/>
    <w:rsid w:val="00676963"/>
    <w:rsid w:val="006769EE"/>
    <w:rsid w:val="00676B9B"/>
    <w:rsid w:val="00676BF0"/>
    <w:rsid w:val="00676C70"/>
    <w:rsid w:val="00676CA2"/>
    <w:rsid w:val="006773BC"/>
    <w:rsid w:val="00677B62"/>
    <w:rsid w:val="00677D0D"/>
    <w:rsid w:val="00677F53"/>
    <w:rsid w:val="006802C1"/>
    <w:rsid w:val="006802ED"/>
    <w:rsid w:val="00680407"/>
    <w:rsid w:val="00680467"/>
    <w:rsid w:val="0068054A"/>
    <w:rsid w:val="00680645"/>
    <w:rsid w:val="00680C63"/>
    <w:rsid w:val="0068112C"/>
    <w:rsid w:val="006815BA"/>
    <w:rsid w:val="00681CF9"/>
    <w:rsid w:val="00682186"/>
    <w:rsid w:val="00682681"/>
    <w:rsid w:val="00682792"/>
    <w:rsid w:val="00682B18"/>
    <w:rsid w:val="00682B74"/>
    <w:rsid w:val="00682CA2"/>
    <w:rsid w:val="00682CFB"/>
    <w:rsid w:val="00682FD4"/>
    <w:rsid w:val="006830CE"/>
    <w:rsid w:val="006833E5"/>
    <w:rsid w:val="006835C7"/>
    <w:rsid w:val="00683CFA"/>
    <w:rsid w:val="00684061"/>
    <w:rsid w:val="0068418B"/>
    <w:rsid w:val="00684340"/>
    <w:rsid w:val="00684781"/>
    <w:rsid w:val="00684874"/>
    <w:rsid w:val="00684DF2"/>
    <w:rsid w:val="00685373"/>
    <w:rsid w:val="00685565"/>
    <w:rsid w:val="0068569E"/>
    <w:rsid w:val="00685EC8"/>
    <w:rsid w:val="00686137"/>
    <w:rsid w:val="0068623B"/>
    <w:rsid w:val="00686465"/>
    <w:rsid w:val="0068659B"/>
    <w:rsid w:val="00686924"/>
    <w:rsid w:val="00686D03"/>
    <w:rsid w:val="0068702B"/>
    <w:rsid w:val="00687AF6"/>
    <w:rsid w:val="00687DBA"/>
    <w:rsid w:val="006901E6"/>
    <w:rsid w:val="006902CC"/>
    <w:rsid w:val="0069037C"/>
    <w:rsid w:val="00690885"/>
    <w:rsid w:val="00690BB0"/>
    <w:rsid w:val="00690D28"/>
    <w:rsid w:val="00691115"/>
    <w:rsid w:val="006918E4"/>
    <w:rsid w:val="00691920"/>
    <w:rsid w:val="00691A06"/>
    <w:rsid w:val="00691A35"/>
    <w:rsid w:val="00691A4C"/>
    <w:rsid w:val="0069289A"/>
    <w:rsid w:val="0069292F"/>
    <w:rsid w:val="0069296E"/>
    <w:rsid w:val="00692E0A"/>
    <w:rsid w:val="00692EA9"/>
    <w:rsid w:val="00692F30"/>
    <w:rsid w:val="00693726"/>
    <w:rsid w:val="006938A7"/>
    <w:rsid w:val="00693AC6"/>
    <w:rsid w:val="00693BFC"/>
    <w:rsid w:val="00693EDC"/>
    <w:rsid w:val="0069426A"/>
    <w:rsid w:val="00694427"/>
    <w:rsid w:val="00694C51"/>
    <w:rsid w:val="00694CAD"/>
    <w:rsid w:val="00695336"/>
    <w:rsid w:val="00695696"/>
    <w:rsid w:val="006957C0"/>
    <w:rsid w:val="006959A6"/>
    <w:rsid w:val="00695C9A"/>
    <w:rsid w:val="00696024"/>
    <w:rsid w:val="0069609A"/>
    <w:rsid w:val="006960C3"/>
    <w:rsid w:val="0069614B"/>
    <w:rsid w:val="0069651E"/>
    <w:rsid w:val="00696630"/>
    <w:rsid w:val="006967E3"/>
    <w:rsid w:val="00696DF0"/>
    <w:rsid w:val="0069703A"/>
    <w:rsid w:val="006971D5"/>
    <w:rsid w:val="00697384"/>
    <w:rsid w:val="006977A8"/>
    <w:rsid w:val="00697880"/>
    <w:rsid w:val="0069789E"/>
    <w:rsid w:val="00697D95"/>
    <w:rsid w:val="006A081B"/>
    <w:rsid w:val="006A09A4"/>
    <w:rsid w:val="006A09C2"/>
    <w:rsid w:val="006A0A3C"/>
    <w:rsid w:val="006A0D22"/>
    <w:rsid w:val="006A1098"/>
    <w:rsid w:val="006A122E"/>
    <w:rsid w:val="006A13BF"/>
    <w:rsid w:val="006A1493"/>
    <w:rsid w:val="006A151A"/>
    <w:rsid w:val="006A1FC8"/>
    <w:rsid w:val="006A2051"/>
    <w:rsid w:val="006A2466"/>
    <w:rsid w:val="006A247E"/>
    <w:rsid w:val="006A2B2B"/>
    <w:rsid w:val="006A2B8A"/>
    <w:rsid w:val="006A2D27"/>
    <w:rsid w:val="006A2D52"/>
    <w:rsid w:val="006A2E90"/>
    <w:rsid w:val="006A2ECF"/>
    <w:rsid w:val="006A2F9F"/>
    <w:rsid w:val="006A31A9"/>
    <w:rsid w:val="006A3462"/>
    <w:rsid w:val="006A357C"/>
    <w:rsid w:val="006A35E4"/>
    <w:rsid w:val="006A35E6"/>
    <w:rsid w:val="006A3BA4"/>
    <w:rsid w:val="006A3BED"/>
    <w:rsid w:val="006A3D7F"/>
    <w:rsid w:val="006A3FF2"/>
    <w:rsid w:val="006A4013"/>
    <w:rsid w:val="006A44E6"/>
    <w:rsid w:val="006A4664"/>
    <w:rsid w:val="006A4681"/>
    <w:rsid w:val="006A47DA"/>
    <w:rsid w:val="006A49E7"/>
    <w:rsid w:val="006A4A9B"/>
    <w:rsid w:val="006A4B8F"/>
    <w:rsid w:val="006A4C2C"/>
    <w:rsid w:val="006A4CBF"/>
    <w:rsid w:val="006A4D8A"/>
    <w:rsid w:val="006A5042"/>
    <w:rsid w:val="006A551D"/>
    <w:rsid w:val="006A5743"/>
    <w:rsid w:val="006A5A18"/>
    <w:rsid w:val="006A5C05"/>
    <w:rsid w:val="006A5CD3"/>
    <w:rsid w:val="006A5CDB"/>
    <w:rsid w:val="006A5D44"/>
    <w:rsid w:val="006A5DD4"/>
    <w:rsid w:val="006A5F38"/>
    <w:rsid w:val="006A6205"/>
    <w:rsid w:val="006A6479"/>
    <w:rsid w:val="006A64F0"/>
    <w:rsid w:val="006A6623"/>
    <w:rsid w:val="006A68F3"/>
    <w:rsid w:val="006A6A75"/>
    <w:rsid w:val="006A6BA4"/>
    <w:rsid w:val="006A6C78"/>
    <w:rsid w:val="006A6D3F"/>
    <w:rsid w:val="006A6FE9"/>
    <w:rsid w:val="006A79D0"/>
    <w:rsid w:val="006A7A00"/>
    <w:rsid w:val="006A7B49"/>
    <w:rsid w:val="006A7B68"/>
    <w:rsid w:val="006A7C4E"/>
    <w:rsid w:val="006B0472"/>
    <w:rsid w:val="006B05F2"/>
    <w:rsid w:val="006B0A3D"/>
    <w:rsid w:val="006B0A86"/>
    <w:rsid w:val="006B0C60"/>
    <w:rsid w:val="006B0EEC"/>
    <w:rsid w:val="006B194C"/>
    <w:rsid w:val="006B1B1E"/>
    <w:rsid w:val="006B1D5A"/>
    <w:rsid w:val="006B1EEC"/>
    <w:rsid w:val="006B2190"/>
    <w:rsid w:val="006B23E8"/>
    <w:rsid w:val="006B2574"/>
    <w:rsid w:val="006B25E9"/>
    <w:rsid w:val="006B28DA"/>
    <w:rsid w:val="006B29C0"/>
    <w:rsid w:val="006B2AA5"/>
    <w:rsid w:val="006B2B35"/>
    <w:rsid w:val="006B2F87"/>
    <w:rsid w:val="006B3097"/>
    <w:rsid w:val="006B309F"/>
    <w:rsid w:val="006B30BD"/>
    <w:rsid w:val="006B3116"/>
    <w:rsid w:val="006B32EC"/>
    <w:rsid w:val="006B3599"/>
    <w:rsid w:val="006B3899"/>
    <w:rsid w:val="006B3C18"/>
    <w:rsid w:val="006B4222"/>
    <w:rsid w:val="006B4278"/>
    <w:rsid w:val="006B42AF"/>
    <w:rsid w:val="006B461F"/>
    <w:rsid w:val="006B48E1"/>
    <w:rsid w:val="006B4A33"/>
    <w:rsid w:val="006B4B4B"/>
    <w:rsid w:val="006B4E37"/>
    <w:rsid w:val="006B4E4B"/>
    <w:rsid w:val="006B53C8"/>
    <w:rsid w:val="006B57D0"/>
    <w:rsid w:val="006B5FBF"/>
    <w:rsid w:val="006B60F1"/>
    <w:rsid w:val="006B6157"/>
    <w:rsid w:val="006B63E9"/>
    <w:rsid w:val="006B6A1A"/>
    <w:rsid w:val="006B6B58"/>
    <w:rsid w:val="006B76AA"/>
    <w:rsid w:val="006B778D"/>
    <w:rsid w:val="006B77FE"/>
    <w:rsid w:val="006B7985"/>
    <w:rsid w:val="006B7A29"/>
    <w:rsid w:val="006C02D9"/>
    <w:rsid w:val="006C03C1"/>
    <w:rsid w:val="006C03DA"/>
    <w:rsid w:val="006C0434"/>
    <w:rsid w:val="006C0452"/>
    <w:rsid w:val="006C05C8"/>
    <w:rsid w:val="006C05D3"/>
    <w:rsid w:val="006C07E7"/>
    <w:rsid w:val="006C0B1E"/>
    <w:rsid w:val="006C0C86"/>
    <w:rsid w:val="006C0CED"/>
    <w:rsid w:val="006C0D69"/>
    <w:rsid w:val="006C120C"/>
    <w:rsid w:val="006C1278"/>
    <w:rsid w:val="006C13AC"/>
    <w:rsid w:val="006C16BF"/>
    <w:rsid w:val="006C1C9E"/>
    <w:rsid w:val="006C1CE1"/>
    <w:rsid w:val="006C209C"/>
    <w:rsid w:val="006C20BE"/>
    <w:rsid w:val="006C239B"/>
    <w:rsid w:val="006C23A1"/>
    <w:rsid w:val="006C25A7"/>
    <w:rsid w:val="006C2C95"/>
    <w:rsid w:val="006C2D65"/>
    <w:rsid w:val="006C330E"/>
    <w:rsid w:val="006C33C4"/>
    <w:rsid w:val="006C35F9"/>
    <w:rsid w:val="006C37DD"/>
    <w:rsid w:val="006C38F7"/>
    <w:rsid w:val="006C3BC4"/>
    <w:rsid w:val="006C3F1F"/>
    <w:rsid w:val="006C3F4A"/>
    <w:rsid w:val="006C4039"/>
    <w:rsid w:val="006C479A"/>
    <w:rsid w:val="006C48EB"/>
    <w:rsid w:val="006C4A2F"/>
    <w:rsid w:val="006C4F6D"/>
    <w:rsid w:val="006C5122"/>
    <w:rsid w:val="006C5621"/>
    <w:rsid w:val="006C5C6F"/>
    <w:rsid w:val="006C5EB5"/>
    <w:rsid w:val="006C664A"/>
    <w:rsid w:val="006C664E"/>
    <w:rsid w:val="006C755E"/>
    <w:rsid w:val="006C782B"/>
    <w:rsid w:val="006C7934"/>
    <w:rsid w:val="006C7A15"/>
    <w:rsid w:val="006C7CFA"/>
    <w:rsid w:val="006C7DCC"/>
    <w:rsid w:val="006D008B"/>
    <w:rsid w:val="006D00BC"/>
    <w:rsid w:val="006D04CB"/>
    <w:rsid w:val="006D0839"/>
    <w:rsid w:val="006D08D9"/>
    <w:rsid w:val="006D0B88"/>
    <w:rsid w:val="006D0CDE"/>
    <w:rsid w:val="006D0D5E"/>
    <w:rsid w:val="006D105B"/>
    <w:rsid w:val="006D12AB"/>
    <w:rsid w:val="006D134D"/>
    <w:rsid w:val="006D14F2"/>
    <w:rsid w:val="006D1530"/>
    <w:rsid w:val="006D1883"/>
    <w:rsid w:val="006D1D95"/>
    <w:rsid w:val="006D1EE2"/>
    <w:rsid w:val="006D1F3F"/>
    <w:rsid w:val="006D239E"/>
    <w:rsid w:val="006D295B"/>
    <w:rsid w:val="006D2961"/>
    <w:rsid w:val="006D2BE8"/>
    <w:rsid w:val="006D2E02"/>
    <w:rsid w:val="006D2E79"/>
    <w:rsid w:val="006D3218"/>
    <w:rsid w:val="006D32D6"/>
    <w:rsid w:val="006D35C4"/>
    <w:rsid w:val="006D35FA"/>
    <w:rsid w:val="006D3631"/>
    <w:rsid w:val="006D37AB"/>
    <w:rsid w:val="006D3B50"/>
    <w:rsid w:val="006D3F7D"/>
    <w:rsid w:val="006D3FF5"/>
    <w:rsid w:val="006D4312"/>
    <w:rsid w:val="006D4716"/>
    <w:rsid w:val="006D49FE"/>
    <w:rsid w:val="006D4FD3"/>
    <w:rsid w:val="006D52C6"/>
    <w:rsid w:val="006D5878"/>
    <w:rsid w:val="006D59B9"/>
    <w:rsid w:val="006D5B93"/>
    <w:rsid w:val="006D5E8A"/>
    <w:rsid w:val="006D5F62"/>
    <w:rsid w:val="006D634C"/>
    <w:rsid w:val="006D63B1"/>
    <w:rsid w:val="006D64E2"/>
    <w:rsid w:val="006D665C"/>
    <w:rsid w:val="006D6E48"/>
    <w:rsid w:val="006D70CB"/>
    <w:rsid w:val="006D761B"/>
    <w:rsid w:val="006D782C"/>
    <w:rsid w:val="006E004D"/>
    <w:rsid w:val="006E00CE"/>
    <w:rsid w:val="006E061F"/>
    <w:rsid w:val="006E0769"/>
    <w:rsid w:val="006E0D63"/>
    <w:rsid w:val="006E167B"/>
    <w:rsid w:val="006E1BAE"/>
    <w:rsid w:val="006E1D98"/>
    <w:rsid w:val="006E2238"/>
    <w:rsid w:val="006E2326"/>
    <w:rsid w:val="006E235A"/>
    <w:rsid w:val="006E23D0"/>
    <w:rsid w:val="006E2561"/>
    <w:rsid w:val="006E2567"/>
    <w:rsid w:val="006E25B4"/>
    <w:rsid w:val="006E2B0F"/>
    <w:rsid w:val="006E2BF7"/>
    <w:rsid w:val="006E2E16"/>
    <w:rsid w:val="006E322A"/>
    <w:rsid w:val="006E326A"/>
    <w:rsid w:val="006E3683"/>
    <w:rsid w:val="006E3684"/>
    <w:rsid w:val="006E386A"/>
    <w:rsid w:val="006E3DAE"/>
    <w:rsid w:val="006E3E27"/>
    <w:rsid w:val="006E3E88"/>
    <w:rsid w:val="006E4008"/>
    <w:rsid w:val="006E45C8"/>
    <w:rsid w:val="006E4823"/>
    <w:rsid w:val="006E4AB5"/>
    <w:rsid w:val="006E53DC"/>
    <w:rsid w:val="006E56F5"/>
    <w:rsid w:val="006E58B4"/>
    <w:rsid w:val="006E5932"/>
    <w:rsid w:val="006E5B3E"/>
    <w:rsid w:val="006E5C84"/>
    <w:rsid w:val="006E67C4"/>
    <w:rsid w:val="006E682C"/>
    <w:rsid w:val="006E699F"/>
    <w:rsid w:val="006E7532"/>
    <w:rsid w:val="006E779A"/>
    <w:rsid w:val="006E7973"/>
    <w:rsid w:val="006E7974"/>
    <w:rsid w:val="006E7B6F"/>
    <w:rsid w:val="006E7E4A"/>
    <w:rsid w:val="006F00E3"/>
    <w:rsid w:val="006F0223"/>
    <w:rsid w:val="006F069D"/>
    <w:rsid w:val="006F073C"/>
    <w:rsid w:val="006F08BE"/>
    <w:rsid w:val="006F0A31"/>
    <w:rsid w:val="006F0DFD"/>
    <w:rsid w:val="006F0F9C"/>
    <w:rsid w:val="006F1707"/>
    <w:rsid w:val="006F17F3"/>
    <w:rsid w:val="006F1831"/>
    <w:rsid w:val="006F1A5C"/>
    <w:rsid w:val="006F1E10"/>
    <w:rsid w:val="006F1E44"/>
    <w:rsid w:val="006F24C0"/>
    <w:rsid w:val="006F271F"/>
    <w:rsid w:val="006F2A5C"/>
    <w:rsid w:val="006F2C3D"/>
    <w:rsid w:val="006F328D"/>
    <w:rsid w:val="006F360B"/>
    <w:rsid w:val="006F3869"/>
    <w:rsid w:val="006F3B11"/>
    <w:rsid w:val="006F3D43"/>
    <w:rsid w:val="006F3EA3"/>
    <w:rsid w:val="006F3F4B"/>
    <w:rsid w:val="006F448B"/>
    <w:rsid w:val="006F45D6"/>
    <w:rsid w:val="006F46F8"/>
    <w:rsid w:val="006F4AAA"/>
    <w:rsid w:val="006F503E"/>
    <w:rsid w:val="006F5C92"/>
    <w:rsid w:val="006F5D25"/>
    <w:rsid w:val="006F5D83"/>
    <w:rsid w:val="006F63C7"/>
    <w:rsid w:val="006F6457"/>
    <w:rsid w:val="006F661D"/>
    <w:rsid w:val="006F679D"/>
    <w:rsid w:val="006F6ED6"/>
    <w:rsid w:val="006F7224"/>
    <w:rsid w:val="006F7726"/>
    <w:rsid w:val="006F7860"/>
    <w:rsid w:val="006F79F8"/>
    <w:rsid w:val="006F7A11"/>
    <w:rsid w:val="006F7F9D"/>
    <w:rsid w:val="00700159"/>
    <w:rsid w:val="00700470"/>
    <w:rsid w:val="007007C9"/>
    <w:rsid w:val="00700A72"/>
    <w:rsid w:val="00701410"/>
    <w:rsid w:val="00701468"/>
    <w:rsid w:val="0070186F"/>
    <w:rsid w:val="00701C59"/>
    <w:rsid w:val="00702080"/>
    <w:rsid w:val="007021A2"/>
    <w:rsid w:val="00702450"/>
    <w:rsid w:val="0070276A"/>
    <w:rsid w:val="00702B32"/>
    <w:rsid w:val="00702D68"/>
    <w:rsid w:val="00702F6E"/>
    <w:rsid w:val="007035DD"/>
    <w:rsid w:val="007037F7"/>
    <w:rsid w:val="0070380C"/>
    <w:rsid w:val="0070390C"/>
    <w:rsid w:val="00703AA4"/>
    <w:rsid w:val="00703E3A"/>
    <w:rsid w:val="00704AD6"/>
    <w:rsid w:val="00704F94"/>
    <w:rsid w:val="0070515D"/>
    <w:rsid w:val="007052CA"/>
    <w:rsid w:val="00705921"/>
    <w:rsid w:val="00705AA8"/>
    <w:rsid w:val="00705CD1"/>
    <w:rsid w:val="00705DEE"/>
    <w:rsid w:val="00706163"/>
    <w:rsid w:val="00706324"/>
    <w:rsid w:val="007064E3"/>
    <w:rsid w:val="00706626"/>
    <w:rsid w:val="0070676E"/>
    <w:rsid w:val="0070689D"/>
    <w:rsid w:val="007069D5"/>
    <w:rsid w:val="00706CCC"/>
    <w:rsid w:val="00706D55"/>
    <w:rsid w:val="00706DA5"/>
    <w:rsid w:val="00706F4F"/>
    <w:rsid w:val="00706F88"/>
    <w:rsid w:val="007070BE"/>
    <w:rsid w:val="007070CB"/>
    <w:rsid w:val="0070713E"/>
    <w:rsid w:val="00707369"/>
    <w:rsid w:val="007074D2"/>
    <w:rsid w:val="0070756A"/>
    <w:rsid w:val="0070772E"/>
    <w:rsid w:val="00707B2D"/>
    <w:rsid w:val="00707CA1"/>
    <w:rsid w:val="00710070"/>
    <w:rsid w:val="00710126"/>
    <w:rsid w:val="00710167"/>
    <w:rsid w:val="00710256"/>
    <w:rsid w:val="00710647"/>
    <w:rsid w:val="007106C8"/>
    <w:rsid w:val="00711136"/>
    <w:rsid w:val="00711285"/>
    <w:rsid w:val="00711301"/>
    <w:rsid w:val="0071144A"/>
    <w:rsid w:val="0071156A"/>
    <w:rsid w:val="00711585"/>
    <w:rsid w:val="0071164D"/>
    <w:rsid w:val="00711661"/>
    <w:rsid w:val="0071184D"/>
    <w:rsid w:val="0071199D"/>
    <w:rsid w:val="00711A48"/>
    <w:rsid w:val="00711B94"/>
    <w:rsid w:val="00711FB3"/>
    <w:rsid w:val="007124E2"/>
    <w:rsid w:val="007129D7"/>
    <w:rsid w:val="00712C10"/>
    <w:rsid w:val="007131C2"/>
    <w:rsid w:val="00713416"/>
    <w:rsid w:val="007138AE"/>
    <w:rsid w:val="00713A79"/>
    <w:rsid w:val="007141B9"/>
    <w:rsid w:val="0071462E"/>
    <w:rsid w:val="00714941"/>
    <w:rsid w:val="00714A08"/>
    <w:rsid w:val="00714AD7"/>
    <w:rsid w:val="00714BCC"/>
    <w:rsid w:val="0071510C"/>
    <w:rsid w:val="00715448"/>
    <w:rsid w:val="007156F2"/>
    <w:rsid w:val="00715AC0"/>
    <w:rsid w:val="00715B91"/>
    <w:rsid w:val="00715C08"/>
    <w:rsid w:val="00716177"/>
    <w:rsid w:val="007162DC"/>
    <w:rsid w:val="00716595"/>
    <w:rsid w:val="0071667A"/>
    <w:rsid w:val="0071671A"/>
    <w:rsid w:val="00716BC7"/>
    <w:rsid w:val="00716BF2"/>
    <w:rsid w:val="00717583"/>
    <w:rsid w:val="00717750"/>
    <w:rsid w:val="007179A2"/>
    <w:rsid w:val="00717A0F"/>
    <w:rsid w:val="007203EC"/>
    <w:rsid w:val="0072063C"/>
    <w:rsid w:val="007208BF"/>
    <w:rsid w:val="0072091E"/>
    <w:rsid w:val="00720C11"/>
    <w:rsid w:val="00720CB2"/>
    <w:rsid w:val="00720EC0"/>
    <w:rsid w:val="00720F84"/>
    <w:rsid w:val="00720F87"/>
    <w:rsid w:val="00720FEE"/>
    <w:rsid w:val="00721354"/>
    <w:rsid w:val="0072194D"/>
    <w:rsid w:val="00721BB0"/>
    <w:rsid w:val="0072223C"/>
    <w:rsid w:val="0072226F"/>
    <w:rsid w:val="00722DAA"/>
    <w:rsid w:val="00722F17"/>
    <w:rsid w:val="007230EA"/>
    <w:rsid w:val="0072361D"/>
    <w:rsid w:val="0072380C"/>
    <w:rsid w:val="00723A10"/>
    <w:rsid w:val="00723BC7"/>
    <w:rsid w:val="00723EE4"/>
    <w:rsid w:val="00723EFC"/>
    <w:rsid w:val="00724154"/>
    <w:rsid w:val="00724574"/>
    <w:rsid w:val="00724A69"/>
    <w:rsid w:val="00724AFA"/>
    <w:rsid w:val="00724E27"/>
    <w:rsid w:val="00724F1D"/>
    <w:rsid w:val="00724F6F"/>
    <w:rsid w:val="007259D4"/>
    <w:rsid w:val="00726031"/>
    <w:rsid w:val="0072634F"/>
    <w:rsid w:val="00726BC9"/>
    <w:rsid w:val="00726C82"/>
    <w:rsid w:val="00727410"/>
    <w:rsid w:val="007274D7"/>
    <w:rsid w:val="0072781E"/>
    <w:rsid w:val="0072782F"/>
    <w:rsid w:val="007278E5"/>
    <w:rsid w:val="00727DC4"/>
    <w:rsid w:val="00727DD5"/>
    <w:rsid w:val="00730010"/>
    <w:rsid w:val="00730212"/>
    <w:rsid w:val="007305C5"/>
    <w:rsid w:val="00730758"/>
    <w:rsid w:val="0073083A"/>
    <w:rsid w:val="00730896"/>
    <w:rsid w:val="0073089D"/>
    <w:rsid w:val="00730A51"/>
    <w:rsid w:val="00730ACF"/>
    <w:rsid w:val="00730AED"/>
    <w:rsid w:val="00730B0E"/>
    <w:rsid w:val="00730BEB"/>
    <w:rsid w:val="00730F29"/>
    <w:rsid w:val="007312EA"/>
    <w:rsid w:val="00731D12"/>
    <w:rsid w:val="00731DBF"/>
    <w:rsid w:val="00731F19"/>
    <w:rsid w:val="0073205B"/>
    <w:rsid w:val="00732229"/>
    <w:rsid w:val="007328DF"/>
    <w:rsid w:val="00732CEC"/>
    <w:rsid w:val="00732D00"/>
    <w:rsid w:val="007330B7"/>
    <w:rsid w:val="00733704"/>
    <w:rsid w:val="00733949"/>
    <w:rsid w:val="00733BA4"/>
    <w:rsid w:val="00733C1E"/>
    <w:rsid w:val="00733C50"/>
    <w:rsid w:val="00733FE6"/>
    <w:rsid w:val="007341A7"/>
    <w:rsid w:val="007342EC"/>
    <w:rsid w:val="0073440F"/>
    <w:rsid w:val="00734835"/>
    <w:rsid w:val="00734C10"/>
    <w:rsid w:val="00734CFE"/>
    <w:rsid w:val="00734EE4"/>
    <w:rsid w:val="00735367"/>
    <w:rsid w:val="0073546F"/>
    <w:rsid w:val="007355EF"/>
    <w:rsid w:val="0073593D"/>
    <w:rsid w:val="00735DB3"/>
    <w:rsid w:val="00735F49"/>
    <w:rsid w:val="0073607C"/>
    <w:rsid w:val="0073611E"/>
    <w:rsid w:val="0073659F"/>
    <w:rsid w:val="00736792"/>
    <w:rsid w:val="00736950"/>
    <w:rsid w:val="007370CB"/>
    <w:rsid w:val="00737558"/>
    <w:rsid w:val="0073759C"/>
    <w:rsid w:val="00737B97"/>
    <w:rsid w:val="00737DEF"/>
    <w:rsid w:val="00737FA0"/>
    <w:rsid w:val="00740127"/>
    <w:rsid w:val="00740219"/>
    <w:rsid w:val="007402BC"/>
    <w:rsid w:val="0074078B"/>
    <w:rsid w:val="0074080F"/>
    <w:rsid w:val="00740A99"/>
    <w:rsid w:val="00740C1A"/>
    <w:rsid w:val="00740D51"/>
    <w:rsid w:val="00740FDD"/>
    <w:rsid w:val="00741CBE"/>
    <w:rsid w:val="00741E3C"/>
    <w:rsid w:val="00741E93"/>
    <w:rsid w:val="007422EA"/>
    <w:rsid w:val="00742584"/>
    <w:rsid w:val="00742804"/>
    <w:rsid w:val="007428DC"/>
    <w:rsid w:val="00742BD0"/>
    <w:rsid w:val="00742CD2"/>
    <w:rsid w:val="00742D4E"/>
    <w:rsid w:val="00742DDE"/>
    <w:rsid w:val="00742FCB"/>
    <w:rsid w:val="007430F1"/>
    <w:rsid w:val="00743467"/>
    <w:rsid w:val="007434ED"/>
    <w:rsid w:val="00743619"/>
    <w:rsid w:val="00743867"/>
    <w:rsid w:val="007439F8"/>
    <w:rsid w:val="00743B93"/>
    <w:rsid w:val="0074418D"/>
    <w:rsid w:val="00744294"/>
    <w:rsid w:val="00744EC0"/>
    <w:rsid w:val="00744F06"/>
    <w:rsid w:val="00744F8F"/>
    <w:rsid w:val="007450A5"/>
    <w:rsid w:val="00745404"/>
    <w:rsid w:val="00745420"/>
    <w:rsid w:val="00745793"/>
    <w:rsid w:val="00745957"/>
    <w:rsid w:val="00745E3C"/>
    <w:rsid w:val="00745F6E"/>
    <w:rsid w:val="007460D6"/>
    <w:rsid w:val="0074617A"/>
    <w:rsid w:val="00746353"/>
    <w:rsid w:val="0074666E"/>
    <w:rsid w:val="00746693"/>
    <w:rsid w:val="00746734"/>
    <w:rsid w:val="00746BE7"/>
    <w:rsid w:val="00747099"/>
    <w:rsid w:val="007474DD"/>
    <w:rsid w:val="007475B6"/>
    <w:rsid w:val="0074762F"/>
    <w:rsid w:val="00747E58"/>
    <w:rsid w:val="00750125"/>
    <w:rsid w:val="007502F0"/>
    <w:rsid w:val="00750545"/>
    <w:rsid w:val="00750EA2"/>
    <w:rsid w:val="00751101"/>
    <w:rsid w:val="0075161B"/>
    <w:rsid w:val="00751850"/>
    <w:rsid w:val="00751B26"/>
    <w:rsid w:val="00751BE5"/>
    <w:rsid w:val="00751C24"/>
    <w:rsid w:val="00751E76"/>
    <w:rsid w:val="007520E0"/>
    <w:rsid w:val="00753000"/>
    <w:rsid w:val="007531F8"/>
    <w:rsid w:val="007532EE"/>
    <w:rsid w:val="00753903"/>
    <w:rsid w:val="00753D00"/>
    <w:rsid w:val="00753E2C"/>
    <w:rsid w:val="00753E8B"/>
    <w:rsid w:val="00754079"/>
    <w:rsid w:val="0075417A"/>
    <w:rsid w:val="00754431"/>
    <w:rsid w:val="007545C6"/>
    <w:rsid w:val="0075487C"/>
    <w:rsid w:val="007548D1"/>
    <w:rsid w:val="00754F02"/>
    <w:rsid w:val="007552DD"/>
    <w:rsid w:val="00755416"/>
    <w:rsid w:val="007554E1"/>
    <w:rsid w:val="00755774"/>
    <w:rsid w:val="00755999"/>
    <w:rsid w:val="00755B75"/>
    <w:rsid w:val="007560BB"/>
    <w:rsid w:val="007565C3"/>
    <w:rsid w:val="00756711"/>
    <w:rsid w:val="0075676C"/>
    <w:rsid w:val="00756AC3"/>
    <w:rsid w:val="00756EE0"/>
    <w:rsid w:val="007570B5"/>
    <w:rsid w:val="0075712D"/>
    <w:rsid w:val="00757169"/>
    <w:rsid w:val="00757764"/>
    <w:rsid w:val="00757C22"/>
    <w:rsid w:val="00757C30"/>
    <w:rsid w:val="00757E25"/>
    <w:rsid w:val="00757E3A"/>
    <w:rsid w:val="00757E54"/>
    <w:rsid w:val="0076036C"/>
    <w:rsid w:val="007603C5"/>
    <w:rsid w:val="007605B3"/>
    <w:rsid w:val="00760E1F"/>
    <w:rsid w:val="0076122C"/>
    <w:rsid w:val="00761498"/>
    <w:rsid w:val="00761553"/>
    <w:rsid w:val="00761926"/>
    <w:rsid w:val="00761F34"/>
    <w:rsid w:val="00762227"/>
    <w:rsid w:val="007623B1"/>
    <w:rsid w:val="007623EE"/>
    <w:rsid w:val="00762673"/>
    <w:rsid w:val="007628D4"/>
    <w:rsid w:val="00762F60"/>
    <w:rsid w:val="00763732"/>
    <w:rsid w:val="00763C5E"/>
    <w:rsid w:val="0076422C"/>
    <w:rsid w:val="007642D2"/>
    <w:rsid w:val="007646EE"/>
    <w:rsid w:val="00764762"/>
    <w:rsid w:val="00764B94"/>
    <w:rsid w:val="00764D98"/>
    <w:rsid w:val="00764F24"/>
    <w:rsid w:val="007651CF"/>
    <w:rsid w:val="0076525B"/>
    <w:rsid w:val="007657AF"/>
    <w:rsid w:val="00765B4B"/>
    <w:rsid w:val="0076665C"/>
    <w:rsid w:val="00766D01"/>
    <w:rsid w:val="00766E50"/>
    <w:rsid w:val="0076714D"/>
    <w:rsid w:val="00767314"/>
    <w:rsid w:val="00767707"/>
    <w:rsid w:val="00767719"/>
    <w:rsid w:val="00767793"/>
    <w:rsid w:val="00767D78"/>
    <w:rsid w:val="00770133"/>
    <w:rsid w:val="007701E1"/>
    <w:rsid w:val="0077022E"/>
    <w:rsid w:val="007706AA"/>
    <w:rsid w:val="00771567"/>
    <w:rsid w:val="007715BF"/>
    <w:rsid w:val="0077162E"/>
    <w:rsid w:val="00771959"/>
    <w:rsid w:val="007719C3"/>
    <w:rsid w:val="00771E5A"/>
    <w:rsid w:val="00771F21"/>
    <w:rsid w:val="007720EF"/>
    <w:rsid w:val="007726FA"/>
    <w:rsid w:val="0077272A"/>
    <w:rsid w:val="00772822"/>
    <w:rsid w:val="00772A36"/>
    <w:rsid w:val="00772B03"/>
    <w:rsid w:val="00772DB0"/>
    <w:rsid w:val="00772E05"/>
    <w:rsid w:val="007734B7"/>
    <w:rsid w:val="007737FC"/>
    <w:rsid w:val="00773BD1"/>
    <w:rsid w:val="00773DD0"/>
    <w:rsid w:val="00773E00"/>
    <w:rsid w:val="00773FB7"/>
    <w:rsid w:val="00774051"/>
    <w:rsid w:val="0077474A"/>
    <w:rsid w:val="0077486E"/>
    <w:rsid w:val="00774915"/>
    <w:rsid w:val="00774C28"/>
    <w:rsid w:val="00774FA8"/>
    <w:rsid w:val="0077530E"/>
    <w:rsid w:val="00775713"/>
    <w:rsid w:val="00775ABE"/>
    <w:rsid w:val="00775C06"/>
    <w:rsid w:val="00775E24"/>
    <w:rsid w:val="0077618A"/>
    <w:rsid w:val="00776890"/>
    <w:rsid w:val="00776973"/>
    <w:rsid w:val="00776AC1"/>
    <w:rsid w:val="00776C11"/>
    <w:rsid w:val="00776EB5"/>
    <w:rsid w:val="00777409"/>
    <w:rsid w:val="007775FC"/>
    <w:rsid w:val="007778A8"/>
    <w:rsid w:val="00777A19"/>
    <w:rsid w:val="00777B43"/>
    <w:rsid w:val="007802FF"/>
    <w:rsid w:val="0078036A"/>
    <w:rsid w:val="00780394"/>
    <w:rsid w:val="0078059C"/>
    <w:rsid w:val="007806A1"/>
    <w:rsid w:val="0078071D"/>
    <w:rsid w:val="00780BF0"/>
    <w:rsid w:val="00780D5F"/>
    <w:rsid w:val="007814B8"/>
    <w:rsid w:val="0078192A"/>
    <w:rsid w:val="00781E5E"/>
    <w:rsid w:val="00782171"/>
    <w:rsid w:val="00782692"/>
    <w:rsid w:val="007826E3"/>
    <w:rsid w:val="00782DF8"/>
    <w:rsid w:val="0078303A"/>
    <w:rsid w:val="0078314F"/>
    <w:rsid w:val="0078358A"/>
    <w:rsid w:val="00783732"/>
    <w:rsid w:val="0078409A"/>
    <w:rsid w:val="0078442B"/>
    <w:rsid w:val="00784988"/>
    <w:rsid w:val="00784F2D"/>
    <w:rsid w:val="00785391"/>
    <w:rsid w:val="007853F3"/>
    <w:rsid w:val="0078543D"/>
    <w:rsid w:val="0078564E"/>
    <w:rsid w:val="007857DC"/>
    <w:rsid w:val="0078593B"/>
    <w:rsid w:val="00785A61"/>
    <w:rsid w:val="00785CCC"/>
    <w:rsid w:val="00785E1B"/>
    <w:rsid w:val="00785ED4"/>
    <w:rsid w:val="00786306"/>
    <w:rsid w:val="007863F3"/>
    <w:rsid w:val="0078644F"/>
    <w:rsid w:val="0078665C"/>
    <w:rsid w:val="0078670A"/>
    <w:rsid w:val="0078679E"/>
    <w:rsid w:val="00786909"/>
    <w:rsid w:val="00786A00"/>
    <w:rsid w:val="00786C6F"/>
    <w:rsid w:val="00786CE3"/>
    <w:rsid w:val="00786D85"/>
    <w:rsid w:val="00786FDC"/>
    <w:rsid w:val="007870DD"/>
    <w:rsid w:val="00787203"/>
    <w:rsid w:val="0078720A"/>
    <w:rsid w:val="0078729C"/>
    <w:rsid w:val="00790422"/>
    <w:rsid w:val="0079046B"/>
    <w:rsid w:val="0079050C"/>
    <w:rsid w:val="007906D8"/>
    <w:rsid w:val="0079072D"/>
    <w:rsid w:val="00790B1F"/>
    <w:rsid w:val="00790DEC"/>
    <w:rsid w:val="00790F15"/>
    <w:rsid w:val="00790F95"/>
    <w:rsid w:val="00790FEB"/>
    <w:rsid w:val="00791120"/>
    <w:rsid w:val="00791271"/>
    <w:rsid w:val="00791324"/>
    <w:rsid w:val="0079143F"/>
    <w:rsid w:val="0079154C"/>
    <w:rsid w:val="007919F0"/>
    <w:rsid w:val="00791E83"/>
    <w:rsid w:val="007928CB"/>
    <w:rsid w:val="00792934"/>
    <w:rsid w:val="00792A8F"/>
    <w:rsid w:val="00792F7E"/>
    <w:rsid w:val="00793658"/>
    <w:rsid w:val="007938E8"/>
    <w:rsid w:val="00793E19"/>
    <w:rsid w:val="00794129"/>
    <w:rsid w:val="00794406"/>
    <w:rsid w:val="0079453E"/>
    <w:rsid w:val="00794866"/>
    <w:rsid w:val="00794EEB"/>
    <w:rsid w:val="00794F20"/>
    <w:rsid w:val="00795997"/>
    <w:rsid w:val="00795CEC"/>
    <w:rsid w:val="007961D1"/>
    <w:rsid w:val="00796534"/>
    <w:rsid w:val="0079678D"/>
    <w:rsid w:val="00796899"/>
    <w:rsid w:val="007969C7"/>
    <w:rsid w:val="00796B06"/>
    <w:rsid w:val="00796CDD"/>
    <w:rsid w:val="00796CF4"/>
    <w:rsid w:val="00796F26"/>
    <w:rsid w:val="007973E4"/>
    <w:rsid w:val="007974C4"/>
    <w:rsid w:val="00797E3D"/>
    <w:rsid w:val="007A023A"/>
    <w:rsid w:val="007A0362"/>
    <w:rsid w:val="007A0729"/>
    <w:rsid w:val="007A08DB"/>
    <w:rsid w:val="007A0922"/>
    <w:rsid w:val="007A0AE0"/>
    <w:rsid w:val="007A0D14"/>
    <w:rsid w:val="007A0D5A"/>
    <w:rsid w:val="007A0EC1"/>
    <w:rsid w:val="007A1473"/>
    <w:rsid w:val="007A1651"/>
    <w:rsid w:val="007A175F"/>
    <w:rsid w:val="007A1A55"/>
    <w:rsid w:val="007A1BA0"/>
    <w:rsid w:val="007A1CC5"/>
    <w:rsid w:val="007A1E70"/>
    <w:rsid w:val="007A2543"/>
    <w:rsid w:val="007A25A9"/>
    <w:rsid w:val="007A28D3"/>
    <w:rsid w:val="007A2D2C"/>
    <w:rsid w:val="007A2D65"/>
    <w:rsid w:val="007A3086"/>
    <w:rsid w:val="007A38C4"/>
    <w:rsid w:val="007A3AE0"/>
    <w:rsid w:val="007A3D79"/>
    <w:rsid w:val="007A4213"/>
    <w:rsid w:val="007A4363"/>
    <w:rsid w:val="007A4524"/>
    <w:rsid w:val="007A4631"/>
    <w:rsid w:val="007A47A1"/>
    <w:rsid w:val="007A4B46"/>
    <w:rsid w:val="007A50A0"/>
    <w:rsid w:val="007A523F"/>
    <w:rsid w:val="007A5551"/>
    <w:rsid w:val="007A56AF"/>
    <w:rsid w:val="007A64B2"/>
    <w:rsid w:val="007A68D1"/>
    <w:rsid w:val="007A6956"/>
    <w:rsid w:val="007A6A41"/>
    <w:rsid w:val="007A6E8D"/>
    <w:rsid w:val="007A73A5"/>
    <w:rsid w:val="007A75D6"/>
    <w:rsid w:val="007A7766"/>
    <w:rsid w:val="007A7818"/>
    <w:rsid w:val="007A78E8"/>
    <w:rsid w:val="007A79D7"/>
    <w:rsid w:val="007B01D7"/>
    <w:rsid w:val="007B0308"/>
    <w:rsid w:val="007B0381"/>
    <w:rsid w:val="007B055C"/>
    <w:rsid w:val="007B0645"/>
    <w:rsid w:val="007B096C"/>
    <w:rsid w:val="007B0C9C"/>
    <w:rsid w:val="007B1246"/>
    <w:rsid w:val="007B12D9"/>
    <w:rsid w:val="007B1367"/>
    <w:rsid w:val="007B1B25"/>
    <w:rsid w:val="007B1D3E"/>
    <w:rsid w:val="007B1D58"/>
    <w:rsid w:val="007B1D71"/>
    <w:rsid w:val="007B216E"/>
    <w:rsid w:val="007B257B"/>
    <w:rsid w:val="007B2617"/>
    <w:rsid w:val="007B2899"/>
    <w:rsid w:val="007B2CBB"/>
    <w:rsid w:val="007B2D3A"/>
    <w:rsid w:val="007B2D4B"/>
    <w:rsid w:val="007B2DB9"/>
    <w:rsid w:val="007B31D5"/>
    <w:rsid w:val="007B33CC"/>
    <w:rsid w:val="007B4AD7"/>
    <w:rsid w:val="007B527D"/>
    <w:rsid w:val="007B5F44"/>
    <w:rsid w:val="007B61B2"/>
    <w:rsid w:val="007B6245"/>
    <w:rsid w:val="007B63A4"/>
    <w:rsid w:val="007B6526"/>
    <w:rsid w:val="007B6540"/>
    <w:rsid w:val="007B688C"/>
    <w:rsid w:val="007B7175"/>
    <w:rsid w:val="007B7278"/>
    <w:rsid w:val="007B72D1"/>
    <w:rsid w:val="007B7494"/>
    <w:rsid w:val="007B7564"/>
    <w:rsid w:val="007B7AA1"/>
    <w:rsid w:val="007C0226"/>
    <w:rsid w:val="007C032E"/>
    <w:rsid w:val="007C0386"/>
    <w:rsid w:val="007C0708"/>
    <w:rsid w:val="007C0BDA"/>
    <w:rsid w:val="007C1129"/>
    <w:rsid w:val="007C1223"/>
    <w:rsid w:val="007C13FF"/>
    <w:rsid w:val="007C143C"/>
    <w:rsid w:val="007C1863"/>
    <w:rsid w:val="007C194C"/>
    <w:rsid w:val="007C1D9C"/>
    <w:rsid w:val="007C1DFB"/>
    <w:rsid w:val="007C1F3C"/>
    <w:rsid w:val="007C2129"/>
    <w:rsid w:val="007C2368"/>
    <w:rsid w:val="007C26AB"/>
    <w:rsid w:val="007C27CF"/>
    <w:rsid w:val="007C2900"/>
    <w:rsid w:val="007C2A64"/>
    <w:rsid w:val="007C31C0"/>
    <w:rsid w:val="007C3727"/>
    <w:rsid w:val="007C3798"/>
    <w:rsid w:val="007C384A"/>
    <w:rsid w:val="007C38CF"/>
    <w:rsid w:val="007C3A3D"/>
    <w:rsid w:val="007C3F35"/>
    <w:rsid w:val="007C4313"/>
    <w:rsid w:val="007C461A"/>
    <w:rsid w:val="007C463C"/>
    <w:rsid w:val="007C47C9"/>
    <w:rsid w:val="007C48FD"/>
    <w:rsid w:val="007C4D83"/>
    <w:rsid w:val="007C4E63"/>
    <w:rsid w:val="007C4EA6"/>
    <w:rsid w:val="007C528B"/>
    <w:rsid w:val="007C52F7"/>
    <w:rsid w:val="007C54FD"/>
    <w:rsid w:val="007C576E"/>
    <w:rsid w:val="007C57E1"/>
    <w:rsid w:val="007C5A09"/>
    <w:rsid w:val="007C5E57"/>
    <w:rsid w:val="007C601D"/>
    <w:rsid w:val="007C619C"/>
    <w:rsid w:val="007C63DA"/>
    <w:rsid w:val="007C683D"/>
    <w:rsid w:val="007C69DA"/>
    <w:rsid w:val="007C6DF1"/>
    <w:rsid w:val="007C6F20"/>
    <w:rsid w:val="007C70DD"/>
    <w:rsid w:val="007C73BB"/>
    <w:rsid w:val="007C73F9"/>
    <w:rsid w:val="007C7560"/>
    <w:rsid w:val="007C791B"/>
    <w:rsid w:val="007C7DC1"/>
    <w:rsid w:val="007C7EE0"/>
    <w:rsid w:val="007C7F4D"/>
    <w:rsid w:val="007D00C8"/>
    <w:rsid w:val="007D019F"/>
    <w:rsid w:val="007D023B"/>
    <w:rsid w:val="007D0367"/>
    <w:rsid w:val="007D0450"/>
    <w:rsid w:val="007D0651"/>
    <w:rsid w:val="007D0780"/>
    <w:rsid w:val="007D096D"/>
    <w:rsid w:val="007D0C2E"/>
    <w:rsid w:val="007D0C3B"/>
    <w:rsid w:val="007D0CA1"/>
    <w:rsid w:val="007D1192"/>
    <w:rsid w:val="007D154D"/>
    <w:rsid w:val="007D163C"/>
    <w:rsid w:val="007D1749"/>
    <w:rsid w:val="007D17F6"/>
    <w:rsid w:val="007D1921"/>
    <w:rsid w:val="007D1BCF"/>
    <w:rsid w:val="007D20D1"/>
    <w:rsid w:val="007D22B2"/>
    <w:rsid w:val="007D2361"/>
    <w:rsid w:val="007D23B9"/>
    <w:rsid w:val="007D2DEB"/>
    <w:rsid w:val="007D318A"/>
    <w:rsid w:val="007D3320"/>
    <w:rsid w:val="007D345A"/>
    <w:rsid w:val="007D36CB"/>
    <w:rsid w:val="007D370B"/>
    <w:rsid w:val="007D37BB"/>
    <w:rsid w:val="007D39BC"/>
    <w:rsid w:val="007D3B92"/>
    <w:rsid w:val="007D3C7D"/>
    <w:rsid w:val="007D3D72"/>
    <w:rsid w:val="007D3FDC"/>
    <w:rsid w:val="007D4ADF"/>
    <w:rsid w:val="007D4F9E"/>
    <w:rsid w:val="007D514E"/>
    <w:rsid w:val="007D5907"/>
    <w:rsid w:val="007D5EA2"/>
    <w:rsid w:val="007D5EB8"/>
    <w:rsid w:val="007D6551"/>
    <w:rsid w:val="007D655D"/>
    <w:rsid w:val="007D6651"/>
    <w:rsid w:val="007D67FF"/>
    <w:rsid w:val="007D6AFC"/>
    <w:rsid w:val="007D6F0D"/>
    <w:rsid w:val="007D70C1"/>
    <w:rsid w:val="007D72D9"/>
    <w:rsid w:val="007D7697"/>
    <w:rsid w:val="007D76E6"/>
    <w:rsid w:val="007D78D2"/>
    <w:rsid w:val="007D7940"/>
    <w:rsid w:val="007D7FE2"/>
    <w:rsid w:val="007E076B"/>
    <w:rsid w:val="007E08F2"/>
    <w:rsid w:val="007E09E8"/>
    <w:rsid w:val="007E0A64"/>
    <w:rsid w:val="007E0BC7"/>
    <w:rsid w:val="007E0DD8"/>
    <w:rsid w:val="007E0FFA"/>
    <w:rsid w:val="007E1427"/>
    <w:rsid w:val="007E17C1"/>
    <w:rsid w:val="007E1CC9"/>
    <w:rsid w:val="007E2081"/>
    <w:rsid w:val="007E2357"/>
    <w:rsid w:val="007E28F0"/>
    <w:rsid w:val="007E2986"/>
    <w:rsid w:val="007E2AB0"/>
    <w:rsid w:val="007E2B0B"/>
    <w:rsid w:val="007E2BF9"/>
    <w:rsid w:val="007E2FC2"/>
    <w:rsid w:val="007E3098"/>
    <w:rsid w:val="007E325F"/>
    <w:rsid w:val="007E336B"/>
    <w:rsid w:val="007E35B4"/>
    <w:rsid w:val="007E3621"/>
    <w:rsid w:val="007E3719"/>
    <w:rsid w:val="007E3CE5"/>
    <w:rsid w:val="007E3DBA"/>
    <w:rsid w:val="007E444B"/>
    <w:rsid w:val="007E44FD"/>
    <w:rsid w:val="007E4A5B"/>
    <w:rsid w:val="007E4B0B"/>
    <w:rsid w:val="007E507E"/>
    <w:rsid w:val="007E51FF"/>
    <w:rsid w:val="007E538C"/>
    <w:rsid w:val="007E5949"/>
    <w:rsid w:val="007E5A0C"/>
    <w:rsid w:val="007E5AE1"/>
    <w:rsid w:val="007E5D8E"/>
    <w:rsid w:val="007E60C0"/>
    <w:rsid w:val="007E64F5"/>
    <w:rsid w:val="007E67D3"/>
    <w:rsid w:val="007E6911"/>
    <w:rsid w:val="007E6BA4"/>
    <w:rsid w:val="007E6CE2"/>
    <w:rsid w:val="007E7230"/>
    <w:rsid w:val="007E7260"/>
    <w:rsid w:val="007E729F"/>
    <w:rsid w:val="007E7723"/>
    <w:rsid w:val="007E7D0B"/>
    <w:rsid w:val="007E7F4D"/>
    <w:rsid w:val="007F08FA"/>
    <w:rsid w:val="007F0989"/>
    <w:rsid w:val="007F0B1E"/>
    <w:rsid w:val="007F0C42"/>
    <w:rsid w:val="007F12C2"/>
    <w:rsid w:val="007F16EA"/>
    <w:rsid w:val="007F1967"/>
    <w:rsid w:val="007F1BF6"/>
    <w:rsid w:val="007F2BC1"/>
    <w:rsid w:val="007F2D5D"/>
    <w:rsid w:val="007F2D88"/>
    <w:rsid w:val="007F2E6D"/>
    <w:rsid w:val="007F312E"/>
    <w:rsid w:val="007F3533"/>
    <w:rsid w:val="007F3573"/>
    <w:rsid w:val="007F39CD"/>
    <w:rsid w:val="007F3ABA"/>
    <w:rsid w:val="007F3B6C"/>
    <w:rsid w:val="007F3CC6"/>
    <w:rsid w:val="007F3E0E"/>
    <w:rsid w:val="007F3E95"/>
    <w:rsid w:val="007F3EDF"/>
    <w:rsid w:val="007F40CD"/>
    <w:rsid w:val="007F457B"/>
    <w:rsid w:val="007F47D5"/>
    <w:rsid w:val="007F4A1A"/>
    <w:rsid w:val="007F4B3B"/>
    <w:rsid w:val="007F4D9D"/>
    <w:rsid w:val="007F4EC5"/>
    <w:rsid w:val="007F54D6"/>
    <w:rsid w:val="007F55F6"/>
    <w:rsid w:val="007F5F26"/>
    <w:rsid w:val="007F5F39"/>
    <w:rsid w:val="007F5F44"/>
    <w:rsid w:val="007F602F"/>
    <w:rsid w:val="007F60A8"/>
    <w:rsid w:val="007F6B54"/>
    <w:rsid w:val="007F73E1"/>
    <w:rsid w:val="007F76A4"/>
    <w:rsid w:val="007F7747"/>
    <w:rsid w:val="007F7829"/>
    <w:rsid w:val="007F7847"/>
    <w:rsid w:val="007F79B0"/>
    <w:rsid w:val="007F7AA8"/>
    <w:rsid w:val="007F7C67"/>
    <w:rsid w:val="007F7DF0"/>
    <w:rsid w:val="007F7FB9"/>
    <w:rsid w:val="00800010"/>
    <w:rsid w:val="0080008D"/>
    <w:rsid w:val="008002D4"/>
    <w:rsid w:val="0080061A"/>
    <w:rsid w:val="00800744"/>
    <w:rsid w:val="0080082C"/>
    <w:rsid w:val="00800D27"/>
    <w:rsid w:val="00800DC7"/>
    <w:rsid w:val="00800F0F"/>
    <w:rsid w:val="00801442"/>
    <w:rsid w:val="00801921"/>
    <w:rsid w:val="00801A14"/>
    <w:rsid w:val="00801B6E"/>
    <w:rsid w:val="00802568"/>
    <w:rsid w:val="0080276B"/>
    <w:rsid w:val="0080279C"/>
    <w:rsid w:val="00802DEF"/>
    <w:rsid w:val="00802E7C"/>
    <w:rsid w:val="0080310F"/>
    <w:rsid w:val="0080347C"/>
    <w:rsid w:val="008036C9"/>
    <w:rsid w:val="0080370D"/>
    <w:rsid w:val="008037B0"/>
    <w:rsid w:val="00803A60"/>
    <w:rsid w:val="00803AE5"/>
    <w:rsid w:val="00803D3F"/>
    <w:rsid w:val="008041DD"/>
    <w:rsid w:val="00804947"/>
    <w:rsid w:val="00804AF9"/>
    <w:rsid w:val="008051AD"/>
    <w:rsid w:val="00805870"/>
    <w:rsid w:val="00805AFE"/>
    <w:rsid w:val="00805C2B"/>
    <w:rsid w:val="008060CB"/>
    <w:rsid w:val="0080629D"/>
    <w:rsid w:val="00806383"/>
    <w:rsid w:val="008067E0"/>
    <w:rsid w:val="00806AEF"/>
    <w:rsid w:val="00806B74"/>
    <w:rsid w:val="00806BD8"/>
    <w:rsid w:val="00806CDA"/>
    <w:rsid w:val="008070A6"/>
    <w:rsid w:val="00807526"/>
    <w:rsid w:val="00807570"/>
    <w:rsid w:val="00807C81"/>
    <w:rsid w:val="00810301"/>
    <w:rsid w:val="00810CE0"/>
    <w:rsid w:val="00810DC5"/>
    <w:rsid w:val="00810E67"/>
    <w:rsid w:val="00810EE0"/>
    <w:rsid w:val="00810F00"/>
    <w:rsid w:val="00810F46"/>
    <w:rsid w:val="0081133B"/>
    <w:rsid w:val="0081139E"/>
    <w:rsid w:val="008114A1"/>
    <w:rsid w:val="00811853"/>
    <w:rsid w:val="00811E26"/>
    <w:rsid w:val="00811EB5"/>
    <w:rsid w:val="00811EEF"/>
    <w:rsid w:val="00811FF7"/>
    <w:rsid w:val="00812482"/>
    <w:rsid w:val="00812575"/>
    <w:rsid w:val="008125A9"/>
    <w:rsid w:val="00812627"/>
    <w:rsid w:val="008128E2"/>
    <w:rsid w:val="00812FEA"/>
    <w:rsid w:val="00813056"/>
    <w:rsid w:val="0081369D"/>
    <w:rsid w:val="00813A6E"/>
    <w:rsid w:val="00813B62"/>
    <w:rsid w:val="00813E77"/>
    <w:rsid w:val="00813E86"/>
    <w:rsid w:val="00813F7D"/>
    <w:rsid w:val="00814794"/>
    <w:rsid w:val="008149CF"/>
    <w:rsid w:val="00814EA4"/>
    <w:rsid w:val="00815612"/>
    <w:rsid w:val="00815A37"/>
    <w:rsid w:val="00815F9E"/>
    <w:rsid w:val="008160DB"/>
    <w:rsid w:val="008164AE"/>
    <w:rsid w:val="00816581"/>
    <w:rsid w:val="00816993"/>
    <w:rsid w:val="00816C95"/>
    <w:rsid w:val="00816EAD"/>
    <w:rsid w:val="00816EFE"/>
    <w:rsid w:val="00816F43"/>
    <w:rsid w:val="00817256"/>
    <w:rsid w:val="00817410"/>
    <w:rsid w:val="00817618"/>
    <w:rsid w:val="008201EC"/>
    <w:rsid w:val="008201F5"/>
    <w:rsid w:val="0082066A"/>
    <w:rsid w:val="00820873"/>
    <w:rsid w:val="00820F53"/>
    <w:rsid w:val="0082126D"/>
    <w:rsid w:val="008214F0"/>
    <w:rsid w:val="00821572"/>
    <w:rsid w:val="0082163B"/>
    <w:rsid w:val="0082164A"/>
    <w:rsid w:val="00821720"/>
    <w:rsid w:val="0082172F"/>
    <w:rsid w:val="00821764"/>
    <w:rsid w:val="00821816"/>
    <w:rsid w:val="00821890"/>
    <w:rsid w:val="00821985"/>
    <w:rsid w:val="00821A48"/>
    <w:rsid w:val="00821ACB"/>
    <w:rsid w:val="00821BB2"/>
    <w:rsid w:val="008220F7"/>
    <w:rsid w:val="00822BE5"/>
    <w:rsid w:val="00822EB5"/>
    <w:rsid w:val="00823385"/>
    <w:rsid w:val="00823650"/>
    <w:rsid w:val="0082376D"/>
    <w:rsid w:val="008238DF"/>
    <w:rsid w:val="00823929"/>
    <w:rsid w:val="00823F2A"/>
    <w:rsid w:val="00824077"/>
    <w:rsid w:val="0082409C"/>
    <w:rsid w:val="008247D2"/>
    <w:rsid w:val="008248FE"/>
    <w:rsid w:val="00824B79"/>
    <w:rsid w:val="00824F57"/>
    <w:rsid w:val="00825119"/>
    <w:rsid w:val="00825298"/>
    <w:rsid w:val="00825542"/>
    <w:rsid w:val="0082576F"/>
    <w:rsid w:val="00825D75"/>
    <w:rsid w:val="00826160"/>
    <w:rsid w:val="0082650E"/>
    <w:rsid w:val="0082686A"/>
    <w:rsid w:val="00827191"/>
    <w:rsid w:val="00827943"/>
    <w:rsid w:val="00827AB6"/>
    <w:rsid w:val="00827BDE"/>
    <w:rsid w:val="00827CDB"/>
    <w:rsid w:val="00827E2D"/>
    <w:rsid w:val="008304C7"/>
    <w:rsid w:val="008306EF"/>
    <w:rsid w:val="008310BF"/>
    <w:rsid w:val="008314C4"/>
    <w:rsid w:val="008317F3"/>
    <w:rsid w:val="00831844"/>
    <w:rsid w:val="00831B3D"/>
    <w:rsid w:val="00832ACF"/>
    <w:rsid w:val="00832AF5"/>
    <w:rsid w:val="00832CEF"/>
    <w:rsid w:val="00832FE1"/>
    <w:rsid w:val="008333E0"/>
    <w:rsid w:val="0083372F"/>
    <w:rsid w:val="00833758"/>
    <w:rsid w:val="00833885"/>
    <w:rsid w:val="008339FE"/>
    <w:rsid w:val="00833A6F"/>
    <w:rsid w:val="008342C6"/>
    <w:rsid w:val="00834377"/>
    <w:rsid w:val="00834D06"/>
    <w:rsid w:val="00834D71"/>
    <w:rsid w:val="00834DDA"/>
    <w:rsid w:val="008351B7"/>
    <w:rsid w:val="00835855"/>
    <w:rsid w:val="0083613A"/>
    <w:rsid w:val="0083669F"/>
    <w:rsid w:val="008367AB"/>
    <w:rsid w:val="008368DD"/>
    <w:rsid w:val="0083690F"/>
    <w:rsid w:val="00836C20"/>
    <w:rsid w:val="008371C1"/>
    <w:rsid w:val="00837469"/>
    <w:rsid w:val="0083793C"/>
    <w:rsid w:val="00840273"/>
    <w:rsid w:val="008402FB"/>
    <w:rsid w:val="0084080A"/>
    <w:rsid w:val="00840CA0"/>
    <w:rsid w:val="00840E8A"/>
    <w:rsid w:val="00841036"/>
    <w:rsid w:val="0084108C"/>
    <w:rsid w:val="008414D9"/>
    <w:rsid w:val="00841BE4"/>
    <w:rsid w:val="00842260"/>
    <w:rsid w:val="008427FD"/>
    <w:rsid w:val="00842DC1"/>
    <w:rsid w:val="00842FD0"/>
    <w:rsid w:val="0084324E"/>
    <w:rsid w:val="008434FB"/>
    <w:rsid w:val="0084357D"/>
    <w:rsid w:val="00843789"/>
    <w:rsid w:val="008437C9"/>
    <w:rsid w:val="0084380B"/>
    <w:rsid w:val="00843B38"/>
    <w:rsid w:val="00843F07"/>
    <w:rsid w:val="00843FD2"/>
    <w:rsid w:val="0084427F"/>
    <w:rsid w:val="008445B1"/>
    <w:rsid w:val="008446BB"/>
    <w:rsid w:val="00844E71"/>
    <w:rsid w:val="00845018"/>
    <w:rsid w:val="00845A5F"/>
    <w:rsid w:val="00845F4F"/>
    <w:rsid w:val="00845F7C"/>
    <w:rsid w:val="008460B6"/>
    <w:rsid w:val="0084617A"/>
    <w:rsid w:val="00846368"/>
    <w:rsid w:val="0084648E"/>
    <w:rsid w:val="00846702"/>
    <w:rsid w:val="00846D5B"/>
    <w:rsid w:val="00846DEF"/>
    <w:rsid w:val="00847061"/>
    <w:rsid w:val="008471CB"/>
    <w:rsid w:val="008471D0"/>
    <w:rsid w:val="0084762D"/>
    <w:rsid w:val="00847AA4"/>
    <w:rsid w:val="00847C88"/>
    <w:rsid w:val="00847D02"/>
    <w:rsid w:val="00847E58"/>
    <w:rsid w:val="00847ED8"/>
    <w:rsid w:val="00847FB5"/>
    <w:rsid w:val="00847FE1"/>
    <w:rsid w:val="008508A0"/>
    <w:rsid w:val="00850A18"/>
    <w:rsid w:val="00850B78"/>
    <w:rsid w:val="00850E0E"/>
    <w:rsid w:val="0085130A"/>
    <w:rsid w:val="008516A7"/>
    <w:rsid w:val="00851E12"/>
    <w:rsid w:val="00851EC8"/>
    <w:rsid w:val="00851FD1"/>
    <w:rsid w:val="0085215F"/>
    <w:rsid w:val="008521D5"/>
    <w:rsid w:val="0085274B"/>
    <w:rsid w:val="008528D7"/>
    <w:rsid w:val="00852902"/>
    <w:rsid w:val="008529EC"/>
    <w:rsid w:val="00852AAC"/>
    <w:rsid w:val="00852E30"/>
    <w:rsid w:val="00852EBC"/>
    <w:rsid w:val="00853298"/>
    <w:rsid w:val="008534C7"/>
    <w:rsid w:val="00853ACD"/>
    <w:rsid w:val="0085410C"/>
    <w:rsid w:val="008544B5"/>
    <w:rsid w:val="008544D7"/>
    <w:rsid w:val="008546C8"/>
    <w:rsid w:val="00854893"/>
    <w:rsid w:val="008548FD"/>
    <w:rsid w:val="00854BBA"/>
    <w:rsid w:val="00854EAE"/>
    <w:rsid w:val="00855396"/>
    <w:rsid w:val="008554AA"/>
    <w:rsid w:val="0085562F"/>
    <w:rsid w:val="008558FA"/>
    <w:rsid w:val="00855A10"/>
    <w:rsid w:val="00855A82"/>
    <w:rsid w:val="00855C8B"/>
    <w:rsid w:val="00855D58"/>
    <w:rsid w:val="00855DF6"/>
    <w:rsid w:val="00855FEC"/>
    <w:rsid w:val="008560D0"/>
    <w:rsid w:val="008569F8"/>
    <w:rsid w:val="00856BC7"/>
    <w:rsid w:val="00856F3D"/>
    <w:rsid w:val="00856F50"/>
    <w:rsid w:val="00856FD6"/>
    <w:rsid w:val="008570B5"/>
    <w:rsid w:val="00857324"/>
    <w:rsid w:val="008574C9"/>
    <w:rsid w:val="0085751F"/>
    <w:rsid w:val="0085771B"/>
    <w:rsid w:val="00857A3A"/>
    <w:rsid w:val="00857BA4"/>
    <w:rsid w:val="008601AC"/>
    <w:rsid w:val="00860248"/>
    <w:rsid w:val="00860615"/>
    <w:rsid w:val="00860742"/>
    <w:rsid w:val="0086088B"/>
    <w:rsid w:val="00860AE4"/>
    <w:rsid w:val="00860AEB"/>
    <w:rsid w:val="00860EB0"/>
    <w:rsid w:val="00861026"/>
    <w:rsid w:val="008610C9"/>
    <w:rsid w:val="0086130C"/>
    <w:rsid w:val="00861341"/>
    <w:rsid w:val="008613C5"/>
    <w:rsid w:val="008614CF"/>
    <w:rsid w:val="00861644"/>
    <w:rsid w:val="00861933"/>
    <w:rsid w:val="00861C7C"/>
    <w:rsid w:val="00861D95"/>
    <w:rsid w:val="00861F8C"/>
    <w:rsid w:val="008624BB"/>
    <w:rsid w:val="008628E9"/>
    <w:rsid w:val="00862EC3"/>
    <w:rsid w:val="00862F51"/>
    <w:rsid w:val="0086324C"/>
    <w:rsid w:val="00863971"/>
    <w:rsid w:val="00863AA4"/>
    <w:rsid w:val="00863E66"/>
    <w:rsid w:val="0086404B"/>
    <w:rsid w:val="0086424D"/>
    <w:rsid w:val="00864285"/>
    <w:rsid w:val="0086451B"/>
    <w:rsid w:val="008646C1"/>
    <w:rsid w:val="00865228"/>
    <w:rsid w:val="0086537A"/>
    <w:rsid w:val="008653D5"/>
    <w:rsid w:val="0086572D"/>
    <w:rsid w:val="0086577C"/>
    <w:rsid w:val="00865AAB"/>
    <w:rsid w:val="00865DB4"/>
    <w:rsid w:val="00865EA6"/>
    <w:rsid w:val="00865F06"/>
    <w:rsid w:val="00866114"/>
    <w:rsid w:val="00866E30"/>
    <w:rsid w:val="00866F10"/>
    <w:rsid w:val="00866F9A"/>
    <w:rsid w:val="00866FC5"/>
    <w:rsid w:val="00867529"/>
    <w:rsid w:val="00867A86"/>
    <w:rsid w:val="00867B3A"/>
    <w:rsid w:val="00867B89"/>
    <w:rsid w:val="00867BD5"/>
    <w:rsid w:val="00870132"/>
    <w:rsid w:val="0087044D"/>
    <w:rsid w:val="008704BE"/>
    <w:rsid w:val="00870978"/>
    <w:rsid w:val="00870C73"/>
    <w:rsid w:val="00870DCB"/>
    <w:rsid w:val="008717C5"/>
    <w:rsid w:val="008719E0"/>
    <w:rsid w:val="00871C50"/>
    <w:rsid w:val="00871CEA"/>
    <w:rsid w:val="00871DB7"/>
    <w:rsid w:val="00871F2D"/>
    <w:rsid w:val="00872850"/>
    <w:rsid w:val="008728AA"/>
    <w:rsid w:val="00872D78"/>
    <w:rsid w:val="00872E82"/>
    <w:rsid w:val="008730F4"/>
    <w:rsid w:val="008732F1"/>
    <w:rsid w:val="008733BD"/>
    <w:rsid w:val="00873916"/>
    <w:rsid w:val="00873B1B"/>
    <w:rsid w:val="00873CB8"/>
    <w:rsid w:val="00873E02"/>
    <w:rsid w:val="008743C2"/>
    <w:rsid w:val="0087446B"/>
    <w:rsid w:val="00874593"/>
    <w:rsid w:val="00874F63"/>
    <w:rsid w:val="00875291"/>
    <w:rsid w:val="008752F4"/>
    <w:rsid w:val="00875522"/>
    <w:rsid w:val="00875605"/>
    <w:rsid w:val="00875929"/>
    <w:rsid w:val="00875DD1"/>
    <w:rsid w:val="00875F95"/>
    <w:rsid w:val="00876192"/>
    <w:rsid w:val="0087648A"/>
    <w:rsid w:val="00876641"/>
    <w:rsid w:val="00876DBA"/>
    <w:rsid w:val="00877009"/>
    <w:rsid w:val="00877436"/>
    <w:rsid w:val="00877A32"/>
    <w:rsid w:val="008800A0"/>
    <w:rsid w:val="008808AB"/>
    <w:rsid w:val="00880D79"/>
    <w:rsid w:val="008810B8"/>
    <w:rsid w:val="0088128E"/>
    <w:rsid w:val="0088136E"/>
    <w:rsid w:val="008817DB"/>
    <w:rsid w:val="00881999"/>
    <w:rsid w:val="00881AAB"/>
    <w:rsid w:val="00881C96"/>
    <w:rsid w:val="00881E16"/>
    <w:rsid w:val="00881E45"/>
    <w:rsid w:val="00881EC8"/>
    <w:rsid w:val="0088209D"/>
    <w:rsid w:val="008823C7"/>
    <w:rsid w:val="0088258C"/>
    <w:rsid w:val="00882762"/>
    <w:rsid w:val="00882D44"/>
    <w:rsid w:val="00882DDB"/>
    <w:rsid w:val="00882FF0"/>
    <w:rsid w:val="00883232"/>
    <w:rsid w:val="00883500"/>
    <w:rsid w:val="008835AF"/>
    <w:rsid w:val="008835FE"/>
    <w:rsid w:val="00883A16"/>
    <w:rsid w:val="00883D2D"/>
    <w:rsid w:val="00884554"/>
    <w:rsid w:val="00884783"/>
    <w:rsid w:val="00884A35"/>
    <w:rsid w:val="00884D04"/>
    <w:rsid w:val="00884E85"/>
    <w:rsid w:val="00884FF0"/>
    <w:rsid w:val="00885342"/>
    <w:rsid w:val="0088568E"/>
    <w:rsid w:val="00885826"/>
    <w:rsid w:val="00885867"/>
    <w:rsid w:val="00885A82"/>
    <w:rsid w:val="00885BD9"/>
    <w:rsid w:val="00885D26"/>
    <w:rsid w:val="0088605E"/>
    <w:rsid w:val="0088618D"/>
    <w:rsid w:val="008863E9"/>
    <w:rsid w:val="00886934"/>
    <w:rsid w:val="00886E07"/>
    <w:rsid w:val="00886E72"/>
    <w:rsid w:val="008871E2"/>
    <w:rsid w:val="00887451"/>
    <w:rsid w:val="00887B3F"/>
    <w:rsid w:val="00887F39"/>
    <w:rsid w:val="00890103"/>
    <w:rsid w:val="0089012A"/>
    <w:rsid w:val="00890694"/>
    <w:rsid w:val="008906C1"/>
    <w:rsid w:val="008907B9"/>
    <w:rsid w:val="00890D29"/>
    <w:rsid w:val="00890DF7"/>
    <w:rsid w:val="00890ECD"/>
    <w:rsid w:val="0089136D"/>
    <w:rsid w:val="00891474"/>
    <w:rsid w:val="00891656"/>
    <w:rsid w:val="00891691"/>
    <w:rsid w:val="008917B7"/>
    <w:rsid w:val="008917D2"/>
    <w:rsid w:val="008919AB"/>
    <w:rsid w:val="00891C1F"/>
    <w:rsid w:val="00892195"/>
    <w:rsid w:val="0089259D"/>
    <w:rsid w:val="008928CE"/>
    <w:rsid w:val="00892A6C"/>
    <w:rsid w:val="00892DCD"/>
    <w:rsid w:val="00892EE9"/>
    <w:rsid w:val="00893175"/>
    <w:rsid w:val="00893543"/>
    <w:rsid w:val="008936B2"/>
    <w:rsid w:val="00893B17"/>
    <w:rsid w:val="00893E34"/>
    <w:rsid w:val="008940F0"/>
    <w:rsid w:val="00894202"/>
    <w:rsid w:val="00894815"/>
    <w:rsid w:val="00894DD8"/>
    <w:rsid w:val="008955F4"/>
    <w:rsid w:val="00895601"/>
    <w:rsid w:val="00895960"/>
    <w:rsid w:val="00895D94"/>
    <w:rsid w:val="00895F46"/>
    <w:rsid w:val="00896348"/>
    <w:rsid w:val="0089652A"/>
    <w:rsid w:val="00896C6B"/>
    <w:rsid w:val="00896D96"/>
    <w:rsid w:val="00897329"/>
    <w:rsid w:val="008973A4"/>
    <w:rsid w:val="00897815"/>
    <w:rsid w:val="00897D23"/>
    <w:rsid w:val="00897E57"/>
    <w:rsid w:val="00897E82"/>
    <w:rsid w:val="008A093F"/>
    <w:rsid w:val="008A0CCF"/>
    <w:rsid w:val="008A10D0"/>
    <w:rsid w:val="008A126A"/>
    <w:rsid w:val="008A15DC"/>
    <w:rsid w:val="008A16CB"/>
    <w:rsid w:val="008A19C3"/>
    <w:rsid w:val="008A1BDF"/>
    <w:rsid w:val="008A1C73"/>
    <w:rsid w:val="008A1EA6"/>
    <w:rsid w:val="008A203C"/>
    <w:rsid w:val="008A206A"/>
    <w:rsid w:val="008A2374"/>
    <w:rsid w:val="008A251F"/>
    <w:rsid w:val="008A26B2"/>
    <w:rsid w:val="008A2DB7"/>
    <w:rsid w:val="008A3090"/>
    <w:rsid w:val="008A3191"/>
    <w:rsid w:val="008A3702"/>
    <w:rsid w:val="008A3B54"/>
    <w:rsid w:val="008A4A54"/>
    <w:rsid w:val="008A4F97"/>
    <w:rsid w:val="008A5124"/>
    <w:rsid w:val="008A513D"/>
    <w:rsid w:val="008A5249"/>
    <w:rsid w:val="008A53CA"/>
    <w:rsid w:val="008A5617"/>
    <w:rsid w:val="008A56CE"/>
    <w:rsid w:val="008A57BF"/>
    <w:rsid w:val="008A5A3B"/>
    <w:rsid w:val="008A5BDA"/>
    <w:rsid w:val="008A5BFE"/>
    <w:rsid w:val="008A5CB6"/>
    <w:rsid w:val="008A62C7"/>
    <w:rsid w:val="008A6A7D"/>
    <w:rsid w:val="008A6EA4"/>
    <w:rsid w:val="008A7633"/>
    <w:rsid w:val="008A7647"/>
    <w:rsid w:val="008A76C7"/>
    <w:rsid w:val="008A7944"/>
    <w:rsid w:val="008A7A87"/>
    <w:rsid w:val="008B0C00"/>
    <w:rsid w:val="008B0C5A"/>
    <w:rsid w:val="008B0E71"/>
    <w:rsid w:val="008B0F59"/>
    <w:rsid w:val="008B0F70"/>
    <w:rsid w:val="008B0FB2"/>
    <w:rsid w:val="008B1BCF"/>
    <w:rsid w:val="008B212A"/>
    <w:rsid w:val="008B2885"/>
    <w:rsid w:val="008B2A24"/>
    <w:rsid w:val="008B3024"/>
    <w:rsid w:val="008B4030"/>
    <w:rsid w:val="008B43EC"/>
    <w:rsid w:val="008B43FC"/>
    <w:rsid w:val="008B44B2"/>
    <w:rsid w:val="008B45F9"/>
    <w:rsid w:val="008B46FD"/>
    <w:rsid w:val="008B4785"/>
    <w:rsid w:val="008B48A8"/>
    <w:rsid w:val="008B4B5F"/>
    <w:rsid w:val="008B59F5"/>
    <w:rsid w:val="008B6207"/>
    <w:rsid w:val="008B668F"/>
    <w:rsid w:val="008B6913"/>
    <w:rsid w:val="008B6C63"/>
    <w:rsid w:val="008B6D30"/>
    <w:rsid w:val="008B76A4"/>
    <w:rsid w:val="008B76C8"/>
    <w:rsid w:val="008B76D4"/>
    <w:rsid w:val="008B7D9F"/>
    <w:rsid w:val="008B7DC3"/>
    <w:rsid w:val="008B7E0F"/>
    <w:rsid w:val="008C028F"/>
    <w:rsid w:val="008C034A"/>
    <w:rsid w:val="008C04DA"/>
    <w:rsid w:val="008C065B"/>
    <w:rsid w:val="008C080E"/>
    <w:rsid w:val="008C08AD"/>
    <w:rsid w:val="008C0BA5"/>
    <w:rsid w:val="008C164B"/>
    <w:rsid w:val="008C1736"/>
    <w:rsid w:val="008C1B35"/>
    <w:rsid w:val="008C1BDA"/>
    <w:rsid w:val="008C1C29"/>
    <w:rsid w:val="008C1C38"/>
    <w:rsid w:val="008C1CCE"/>
    <w:rsid w:val="008C1D01"/>
    <w:rsid w:val="008C1E00"/>
    <w:rsid w:val="008C2458"/>
    <w:rsid w:val="008C29C9"/>
    <w:rsid w:val="008C2B50"/>
    <w:rsid w:val="008C2D0F"/>
    <w:rsid w:val="008C3057"/>
    <w:rsid w:val="008C307F"/>
    <w:rsid w:val="008C339D"/>
    <w:rsid w:val="008C3598"/>
    <w:rsid w:val="008C35A8"/>
    <w:rsid w:val="008C385F"/>
    <w:rsid w:val="008C39CF"/>
    <w:rsid w:val="008C3D42"/>
    <w:rsid w:val="008C3FB5"/>
    <w:rsid w:val="008C424B"/>
    <w:rsid w:val="008C44C0"/>
    <w:rsid w:val="008C46A2"/>
    <w:rsid w:val="008C494A"/>
    <w:rsid w:val="008C5834"/>
    <w:rsid w:val="008C5851"/>
    <w:rsid w:val="008C58E3"/>
    <w:rsid w:val="008C59B0"/>
    <w:rsid w:val="008C59F5"/>
    <w:rsid w:val="008C5DD0"/>
    <w:rsid w:val="008C6294"/>
    <w:rsid w:val="008C669B"/>
    <w:rsid w:val="008C6816"/>
    <w:rsid w:val="008C69D5"/>
    <w:rsid w:val="008C6A75"/>
    <w:rsid w:val="008C6BC0"/>
    <w:rsid w:val="008C75AC"/>
    <w:rsid w:val="008C76DA"/>
    <w:rsid w:val="008C771B"/>
    <w:rsid w:val="008C7727"/>
    <w:rsid w:val="008C781F"/>
    <w:rsid w:val="008C78C9"/>
    <w:rsid w:val="008C7A9F"/>
    <w:rsid w:val="008D0133"/>
    <w:rsid w:val="008D02DA"/>
    <w:rsid w:val="008D0315"/>
    <w:rsid w:val="008D0390"/>
    <w:rsid w:val="008D0414"/>
    <w:rsid w:val="008D0781"/>
    <w:rsid w:val="008D0A5E"/>
    <w:rsid w:val="008D0C96"/>
    <w:rsid w:val="008D1016"/>
    <w:rsid w:val="008D1184"/>
    <w:rsid w:val="008D1304"/>
    <w:rsid w:val="008D1421"/>
    <w:rsid w:val="008D15DD"/>
    <w:rsid w:val="008D16F4"/>
    <w:rsid w:val="008D190A"/>
    <w:rsid w:val="008D1AC3"/>
    <w:rsid w:val="008D1BF3"/>
    <w:rsid w:val="008D1BFD"/>
    <w:rsid w:val="008D1FD2"/>
    <w:rsid w:val="008D2344"/>
    <w:rsid w:val="008D254E"/>
    <w:rsid w:val="008D26AD"/>
    <w:rsid w:val="008D26ED"/>
    <w:rsid w:val="008D28BA"/>
    <w:rsid w:val="008D2B63"/>
    <w:rsid w:val="008D3496"/>
    <w:rsid w:val="008D386E"/>
    <w:rsid w:val="008D38E7"/>
    <w:rsid w:val="008D3E60"/>
    <w:rsid w:val="008D3E9A"/>
    <w:rsid w:val="008D3EBF"/>
    <w:rsid w:val="008D4004"/>
    <w:rsid w:val="008D497C"/>
    <w:rsid w:val="008D4DF4"/>
    <w:rsid w:val="008D52F8"/>
    <w:rsid w:val="008D5410"/>
    <w:rsid w:val="008D5890"/>
    <w:rsid w:val="008D591D"/>
    <w:rsid w:val="008D5D7A"/>
    <w:rsid w:val="008D617E"/>
    <w:rsid w:val="008D6C0B"/>
    <w:rsid w:val="008D6F7B"/>
    <w:rsid w:val="008D716E"/>
    <w:rsid w:val="008D74FD"/>
    <w:rsid w:val="008D7522"/>
    <w:rsid w:val="008D754D"/>
    <w:rsid w:val="008D7571"/>
    <w:rsid w:val="008D759A"/>
    <w:rsid w:val="008E008B"/>
    <w:rsid w:val="008E07E3"/>
    <w:rsid w:val="008E097F"/>
    <w:rsid w:val="008E0B73"/>
    <w:rsid w:val="008E0CAF"/>
    <w:rsid w:val="008E0EA6"/>
    <w:rsid w:val="008E0EFA"/>
    <w:rsid w:val="008E112D"/>
    <w:rsid w:val="008E1210"/>
    <w:rsid w:val="008E17BC"/>
    <w:rsid w:val="008E19A5"/>
    <w:rsid w:val="008E1A0B"/>
    <w:rsid w:val="008E1BC9"/>
    <w:rsid w:val="008E1CA3"/>
    <w:rsid w:val="008E1EDE"/>
    <w:rsid w:val="008E1F89"/>
    <w:rsid w:val="008E2076"/>
    <w:rsid w:val="008E2520"/>
    <w:rsid w:val="008E252D"/>
    <w:rsid w:val="008E2621"/>
    <w:rsid w:val="008E2665"/>
    <w:rsid w:val="008E2F12"/>
    <w:rsid w:val="008E3500"/>
    <w:rsid w:val="008E3A13"/>
    <w:rsid w:val="008E3A89"/>
    <w:rsid w:val="008E3EE8"/>
    <w:rsid w:val="008E41F2"/>
    <w:rsid w:val="008E4EA6"/>
    <w:rsid w:val="008E5392"/>
    <w:rsid w:val="008E5436"/>
    <w:rsid w:val="008E54F9"/>
    <w:rsid w:val="008E55D8"/>
    <w:rsid w:val="008E55EA"/>
    <w:rsid w:val="008E5737"/>
    <w:rsid w:val="008E58F6"/>
    <w:rsid w:val="008E5B16"/>
    <w:rsid w:val="008E5BDF"/>
    <w:rsid w:val="008E5FAB"/>
    <w:rsid w:val="008E5FE3"/>
    <w:rsid w:val="008E608A"/>
    <w:rsid w:val="008E6121"/>
    <w:rsid w:val="008E61D7"/>
    <w:rsid w:val="008E6200"/>
    <w:rsid w:val="008E627A"/>
    <w:rsid w:val="008E6DE1"/>
    <w:rsid w:val="008E7209"/>
    <w:rsid w:val="008E75F8"/>
    <w:rsid w:val="008E7959"/>
    <w:rsid w:val="008E7EA2"/>
    <w:rsid w:val="008F0044"/>
    <w:rsid w:val="008F0446"/>
    <w:rsid w:val="008F049F"/>
    <w:rsid w:val="008F06E9"/>
    <w:rsid w:val="008F07E4"/>
    <w:rsid w:val="008F08E0"/>
    <w:rsid w:val="008F0BFC"/>
    <w:rsid w:val="008F1393"/>
    <w:rsid w:val="008F16D2"/>
    <w:rsid w:val="008F17D8"/>
    <w:rsid w:val="008F19A9"/>
    <w:rsid w:val="008F1B71"/>
    <w:rsid w:val="008F1D82"/>
    <w:rsid w:val="008F2117"/>
    <w:rsid w:val="008F2BEB"/>
    <w:rsid w:val="008F2F09"/>
    <w:rsid w:val="008F3481"/>
    <w:rsid w:val="008F389E"/>
    <w:rsid w:val="008F3915"/>
    <w:rsid w:val="008F3A4A"/>
    <w:rsid w:val="008F3B8C"/>
    <w:rsid w:val="008F47DA"/>
    <w:rsid w:val="008F48DC"/>
    <w:rsid w:val="008F510C"/>
    <w:rsid w:val="008F53F2"/>
    <w:rsid w:val="008F5505"/>
    <w:rsid w:val="008F5538"/>
    <w:rsid w:val="008F5AA4"/>
    <w:rsid w:val="008F5C6E"/>
    <w:rsid w:val="008F5EBD"/>
    <w:rsid w:val="008F600D"/>
    <w:rsid w:val="008F611F"/>
    <w:rsid w:val="008F6649"/>
    <w:rsid w:val="008F695A"/>
    <w:rsid w:val="008F69D8"/>
    <w:rsid w:val="008F6C6F"/>
    <w:rsid w:val="008F6DA6"/>
    <w:rsid w:val="008F71A9"/>
    <w:rsid w:val="008F743A"/>
    <w:rsid w:val="008F7540"/>
    <w:rsid w:val="008F7996"/>
    <w:rsid w:val="008F7A50"/>
    <w:rsid w:val="008F7A79"/>
    <w:rsid w:val="009000AE"/>
    <w:rsid w:val="009000C4"/>
    <w:rsid w:val="00900279"/>
    <w:rsid w:val="009002AA"/>
    <w:rsid w:val="0090062E"/>
    <w:rsid w:val="00900703"/>
    <w:rsid w:val="00900834"/>
    <w:rsid w:val="0090088D"/>
    <w:rsid w:val="00900AEA"/>
    <w:rsid w:val="00900C4B"/>
    <w:rsid w:val="009013BA"/>
    <w:rsid w:val="00901595"/>
    <w:rsid w:val="009016A8"/>
    <w:rsid w:val="009017AF"/>
    <w:rsid w:val="009017E8"/>
    <w:rsid w:val="00902366"/>
    <w:rsid w:val="0090246F"/>
    <w:rsid w:val="009028E3"/>
    <w:rsid w:val="00902DEC"/>
    <w:rsid w:val="00902E4F"/>
    <w:rsid w:val="00902F10"/>
    <w:rsid w:val="009030C6"/>
    <w:rsid w:val="009034A1"/>
    <w:rsid w:val="009036D3"/>
    <w:rsid w:val="00903808"/>
    <w:rsid w:val="00903EF3"/>
    <w:rsid w:val="009044A9"/>
    <w:rsid w:val="00904565"/>
    <w:rsid w:val="009045D6"/>
    <w:rsid w:val="00904B04"/>
    <w:rsid w:val="00904BD5"/>
    <w:rsid w:val="00904D18"/>
    <w:rsid w:val="00904D1D"/>
    <w:rsid w:val="00904DFF"/>
    <w:rsid w:val="00905076"/>
    <w:rsid w:val="00905113"/>
    <w:rsid w:val="0090544A"/>
    <w:rsid w:val="009056E9"/>
    <w:rsid w:val="0090581F"/>
    <w:rsid w:val="009058B6"/>
    <w:rsid w:val="009060C2"/>
    <w:rsid w:val="009065FC"/>
    <w:rsid w:val="00906835"/>
    <w:rsid w:val="00906862"/>
    <w:rsid w:val="00906AA1"/>
    <w:rsid w:val="00906C61"/>
    <w:rsid w:val="00906EDB"/>
    <w:rsid w:val="00907037"/>
    <w:rsid w:val="00907131"/>
    <w:rsid w:val="009072B2"/>
    <w:rsid w:val="009073C3"/>
    <w:rsid w:val="00907454"/>
    <w:rsid w:val="0090770A"/>
    <w:rsid w:val="00907B68"/>
    <w:rsid w:val="00907BC0"/>
    <w:rsid w:val="00907C10"/>
    <w:rsid w:val="00907CB2"/>
    <w:rsid w:val="00907E17"/>
    <w:rsid w:val="00910064"/>
    <w:rsid w:val="00910285"/>
    <w:rsid w:val="00910807"/>
    <w:rsid w:val="00910918"/>
    <w:rsid w:val="00910DF6"/>
    <w:rsid w:val="009113CE"/>
    <w:rsid w:val="009119E6"/>
    <w:rsid w:val="00911E74"/>
    <w:rsid w:val="00911F67"/>
    <w:rsid w:val="00912260"/>
    <w:rsid w:val="0091233D"/>
    <w:rsid w:val="0091278C"/>
    <w:rsid w:val="00912B07"/>
    <w:rsid w:val="00912B4B"/>
    <w:rsid w:val="00912C58"/>
    <w:rsid w:val="00912D8F"/>
    <w:rsid w:val="009132B5"/>
    <w:rsid w:val="00913400"/>
    <w:rsid w:val="0091340D"/>
    <w:rsid w:val="0091342D"/>
    <w:rsid w:val="0091361A"/>
    <w:rsid w:val="00913952"/>
    <w:rsid w:val="0091399D"/>
    <w:rsid w:val="00913A04"/>
    <w:rsid w:val="00913EC2"/>
    <w:rsid w:val="00914266"/>
    <w:rsid w:val="00914BFA"/>
    <w:rsid w:val="00914D1D"/>
    <w:rsid w:val="00915AEE"/>
    <w:rsid w:val="00916558"/>
    <w:rsid w:val="00916866"/>
    <w:rsid w:val="00917301"/>
    <w:rsid w:val="009176C1"/>
    <w:rsid w:val="00917A19"/>
    <w:rsid w:val="00917B0C"/>
    <w:rsid w:val="00917CA0"/>
    <w:rsid w:val="009200A1"/>
    <w:rsid w:val="009203BB"/>
    <w:rsid w:val="00920C21"/>
    <w:rsid w:val="00920C63"/>
    <w:rsid w:val="00920DD0"/>
    <w:rsid w:val="00920F1A"/>
    <w:rsid w:val="00921779"/>
    <w:rsid w:val="009218B8"/>
    <w:rsid w:val="00921C55"/>
    <w:rsid w:val="00921C95"/>
    <w:rsid w:val="00921FB4"/>
    <w:rsid w:val="00922344"/>
    <w:rsid w:val="0092253E"/>
    <w:rsid w:val="009226F1"/>
    <w:rsid w:val="009227BA"/>
    <w:rsid w:val="00922A3E"/>
    <w:rsid w:val="00922C93"/>
    <w:rsid w:val="00922F25"/>
    <w:rsid w:val="00923005"/>
    <w:rsid w:val="009230D6"/>
    <w:rsid w:val="00923161"/>
    <w:rsid w:val="00923191"/>
    <w:rsid w:val="009235D2"/>
    <w:rsid w:val="0092367F"/>
    <w:rsid w:val="00923BE5"/>
    <w:rsid w:val="00923F1B"/>
    <w:rsid w:val="00924016"/>
    <w:rsid w:val="009240B1"/>
    <w:rsid w:val="009242C8"/>
    <w:rsid w:val="00924505"/>
    <w:rsid w:val="009245CC"/>
    <w:rsid w:val="00924D7F"/>
    <w:rsid w:val="00924F62"/>
    <w:rsid w:val="0092509F"/>
    <w:rsid w:val="009251E1"/>
    <w:rsid w:val="009255E8"/>
    <w:rsid w:val="00925642"/>
    <w:rsid w:val="00925686"/>
    <w:rsid w:val="009257EA"/>
    <w:rsid w:val="009259AE"/>
    <w:rsid w:val="00925A46"/>
    <w:rsid w:val="00925A7C"/>
    <w:rsid w:val="00925AC9"/>
    <w:rsid w:val="00925BAB"/>
    <w:rsid w:val="00925EEC"/>
    <w:rsid w:val="0092639D"/>
    <w:rsid w:val="0092669D"/>
    <w:rsid w:val="00926A5E"/>
    <w:rsid w:val="00926D77"/>
    <w:rsid w:val="00927228"/>
    <w:rsid w:val="009274AA"/>
    <w:rsid w:val="00927CC4"/>
    <w:rsid w:val="0093028A"/>
    <w:rsid w:val="00930395"/>
    <w:rsid w:val="00930480"/>
    <w:rsid w:val="009307C7"/>
    <w:rsid w:val="00930B93"/>
    <w:rsid w:val="00930CF4"/>
    <w:rsid w:val="00930DDF"/>
    <w:rsid w:val="00930F71"/>
    <w:rsid w:val="009313F7"/>
    <w:rsid w:val="009317EA"/>
    <w:rsid w:val="00931AD6"/>
    <w:rsid w:val="00931E4F"/>
    <w:rsid w:val="00932360"/>
    <w:rsid w:val="00932991"/>
    <w:rsid w:val="00932E5B"/>
    <w:rsid w:val="0093327C"/>
    <w:rsid w:val="00933412"/>
    <w:rsid w:val="00933415"/>
    <w:rsid w:val="0093351C"/>
    <w:rsid w:val="00933F5D"/>
    <w:rsid w:val="00934279"/>
    <w:rsid w:val="00934399"/>
    <w:rsid w:val="00934A8F"/>
    <w:rsid w:val="00934C76"/>
    <w:rsid w:val="00934E83"/>
    <w:rsid w:val="0093525B"/>
    <w:rsid w:val="009356A6"/>
    <w:rsid w:val="009358DB"/>
    <w:rsid w:val="00935927"/>
    <w:rsid w:val="00935EA1"/>
    <w:rsid w:val="00936008"/>
    <w:rsid w:val="0093600E"/>
    <w:rsid w:val="009365E0"/>
    <w:rsid w:val="009366FC"/>
    <w:rsid w:val="009368E1"/>
    <w:rsid w:val="00936CBD"/>
    <w:rsid w:val="00936CD3"/>
    <w:rsid w:val="00936E24"/>
    <w:rsid w:val="0093715E"/>
    <w:rsid w:val="00937743"/>
    <w:rsid w:val="00937796"/>
    <w:rsid w:val="00937859"/>
    <w:rsid w:val="00937B3B"/>
    <w:rsid w:val="00937CF3"/>
    <w:rsid w:val="00937DC6"/>
    <w:rsid w:val="009400FC"/>
    <w:rsid w:val="00940335"/>
    <w:rsid w:val="009403AA"/>
    <w:rsid w:val="0094041F"/>
    <w:rsid w:val="00940481"/>
    <w:rsid w:val="00940582"/>
    <w:rsid w:val="00940D45"/>
    <w:rsid w:val="00940EBD"/>
    <w:rsid w:val="0094101C"/>
    <w:rsid w:val="009414D1"/>
    <w:rsid w:val="009414E4"/>
    <w:rsid w:val="00941568"/>
    <w:rsid w:val="009415DF"/>
    <w:rsid w:val="0094168F"/>
    <w:rsid w:val="009416B4"/>
    <w:rsid w:val="009417A5"/>
    <w:rsid w:val="00941811"/>
    <w:rsid w:val="0094199B"/>
    <w:rsid w:val="00941AE7"/>
    <w:rsid w:val="00941E9B"/>
    <w:rsid w:val="00942538"/>
    <w:rsid w:val="00942990"/>
    <w:rsid w:val="009429AF"/>
    <w:rsid w:val="00942C93"/>
    <w:rsid w:val="0094363C"/>
    <w:rsid w:val="009436A7"/>
    <w:rsid w:val="00943929"/>
    <w:rsid w:val="00943ABA"/>
    <w:rsid w:val="00943B17"/>
    <w:rsid w:val="00943C0B"/>
    <w:rsid w:val="00943E2C"/>
    <w:rsid w:val="00943EFE"/>
    <w:rsid w:val="009443A7"/>
    <w:rsid w:val="0094443C"/>
    <w:rsid w:val="0094447E"/>
    <w:rsid w:val="009444A1"/>
    <w:rsid w:val="009444CA"/>
    <w:rsid w:val="0094452F"/>
    <w:rsid w:val="00944668"/>
    <w:rsid w:val="00944747"/>
    <w:rsid w:val="00944F4E"/>
    <w:rsid w:val="00944F86"/>
    <w:rsid w:val="009450C6"/>
    <w:rsid w:val="009451F8"/>
    <w:rsid w:val="0094524B"/>
    <w:rsid w:val="009458D6"/>
    <w:rsid w:val="00945B30"/>
    <w:rsid w:val="00945CE7"/>
    <w:rsid w:val="00945D1F"/>
    <w:rsid w:val="00945D93"/>
    <w:rsid w:val="00946281"/>
    <w:rsid w:val="0094640A"/>
    <w:rsid w:val="009464F5"/>
    <w:rsid w:val="0094660D"/>
    <w:rsid w:val="00946CA7"/>
    <w:rsid w:val="00946DEF"/>
    <w:rsid w:val="0094701E"/>
    <w:rsid w:val="0094703E"/>
    <w:rsid w:val="009474F7"/>
    <w:rsid w:val="009475B0"/>
    <w:rsid w:val="009477DB"/>
    <w:rsid w:val="009478DE"/>
    <w:rsid w:val="00947B5A"/>
    <w:rsid w:val="00947B7F"/>
    <w:rsid w:val="00947F5D"/>
    <w:rsid w:val="00950812"/>
    <w:rsid w:val="00950877"/>
    <w:rsid w:val="00950995"/>
    <w:rsid w:val="00950B72"/>
    <w:rsid w:val="00950FFD"/>
    <w:rsid w:val="009512A8"/>
    <w:rsid w:val="00951878"/>
    <w:rsid w:val="00951A6F"/>
    <w:rsid w:val="00951E28"/>
    <w:rsid w:val="00951EF5"/>
    <w:rsid w:val="00951F16"/>
    <w:rsid w:val="009524AF"/>
    <w:rsid w:val="009524EC"/>
    <w:rsid w:val="009525E5"/>
    <w:rsid w:val="009528D1"/>
    <w:rsid w:val="00952B50"/>
    <w:rsid w:val="00952B7B"/>
    <w:rsid w:val="00952DD2"/>
    <w:rsid w:val="00952F5D"/>
    <w:rsid w:val="009537D4"/>
    <w:rsid w:val="00953E44"/>
    <w:rsid w:val="00953E77"/>
    <w:rsid w:val="0095404D"/>
    <w:rsid w:val="009540FD"/>
    <w:rsid w:val="0095429C"/>
    <w:rsid w:val="00954901"/>
    <w:rsid w:val="00954B9E"/>
    <w:rsid w:val="00954DB6"/>
    <w:rsid w:val="00955250"/>
    <w:rsid w:val="0095589E"/>
    <w:rsid w:val="00955EE0"/>
    <w:rsid w:val="00955F46"/>
    <w:rsid w:val="0095624E"/>
    <w:rsid w:val="0095635F"/>
    <w:rsid w:val="009568F0"/>
    <w:rsid w:val="00956B4D"/>
    <w:rsid w:val="0095715A"/>
    <w:rsid w:val="00957309"/>
    <w:rsid w:val="009574E6"/>
    <w:rsid w:val="009576EF"/>
    <w:rsid w:val="00957F99"/>
    <w:rsid w:val="00960141"/>
    <w:rsid w:val="009602C4"/>
    <w:rsid w:val="0096048E"/>
    <w:rsid w:val="009605C5"/>
    <w:rsid w:val="00960777"/>
    <w:rsid w:val="0096081B"/>
    <w:rsid w:val="00960943"/>
    <w:rsid w:val="00960B8F"/>
    <w:rsid w:val="00960C41"/>
    <w:rsid w:val="00960C86"/>
    <w:rsid w:val="009610CB"/>
    <w:rsid w:val="009611D5"/>
    <w:rsid w:val="00961551"/>
    <w:rsid w:val="0096168D"/>
    <w:rsid w:val="00961C5C"/>
    <w:rsid w:val="00961D00"/>
    <w:rsid w:val="00961DF5"/>
    <w:rsid w:val="00961F52"/>
    <w:rsid w:val="00961F75"/>
    <w:rsid w:val="00962827"/>
    <w:rsid w:val="00962880"/>
    <w:rsid w:val="00962D3E"/>
    <w:rsid w:val="00962E3A"/>
    <w:rsid w:val="00962F0D"/>
    <w:rsid w:val="0096312D"/>
    <w:rsid w:val="00963169"/>
    <w:rsid w:val="0096324A"/>
    <w:rsid w:val="00963573"/>
    <w:rsid w:val="00963626"/>
    <w:rsid w:val="009638B3"/>
    <w:rsid w:val="0096403E"/>
    <w:rsid w:val="009641BA"/>
    <w:rsid w:val="009641E3"/>
    <w:rsid w:val="00964900"/>
    <w:rsid w:val="00964A6B"/>
    <w:rsid w:val="0096502F"/>
    <w:rsid w:val="00965291"/>
    <w:rsid w:val="0096532F"/>
    <w:rsid w:val="009656A3"/>
    <w:rsid w:val="00965705"/>
    <w:rsid w:val="009658BC"/>
    <w:rsid w:val="00965D9B"/>
    <w:rsid w:val="00965F20"/>
    <w:rsid w:val="00965FEB"/>
    <w:rsid w:val="0096603F"/>
    <w:rsid w:val="00966219"/>
    <w:rsid w:val="0096624C"/>
    <w:rsid w:val="00966DA4"/>
    <w:rsid w:val="00966E24"/>
    <w:rsid w:val="009676C1"/>
    <w:rsid w:val="009679C9"/>
    <w:rsid w:val="00967B9F"/>
    <w:rsid w:val="00967CC9"/>
    <w:rsid w:val="00967F7A"/>
    <w:rsid w:val="009701DB"/>
    <w:rsid w:val="00970656"/>
    <w:rsid w:val="00970B27"/>
    <w:rsid w:val="00970BBD"/>
    <w:rsid w:val="00971231"/>
    <w:rsid w:val="00971592"/>
    <w:rsid w:val="0097199A"/>
    <w:rsid w:val="00971E1A"/>
    <w:rsid w:val="00972011"/>
    <w:rsid w:val="00972093"/>
    <w:rsid w:val="009722DD"/>
    <w:rsid w:val="00972431"/>
    <w:rsid w:val="0097244B"/>
    <w:rsid w:val="00972502"/>
    <w:rsid w:val="009726A0"/>
    <w:rsid w:val="00972BA5"/>
    <w:rsid w:val="00972F0C"/>
    <w:rsid w:val="00972F46"/>
    <w:rsid w:val="009730F6"/>
    <w:rsid w:val="00973522"/>
    <w:rsid w:val="009736D8"/>
    <w:rsid w:val="00973834"/>
    <w:rsid w:val="00973930"/>
    <w:rsid w:val="00973BE4"/>
    <w:rsid w:val="00973CDF"/>
    <w:rsid w:val="00973D16"/>
    <w:rsid w:val="00973D9E"/>
    <w:rsid w:val="00973DFC"/>
    <w:rsid w:val="009740F3"/>
    <w:rsid w:val="00974245"/>
    <w:rsid w:val="00974492"/>
    <w:rsid w:val="00974CB6"/>
    <w:rsid w:val="009750C0"/>
    <w:rsid w:val="00975192"/>
    <w:rsid w:val="00975277"/>
    <w:rsid w:val="0097576E"/>
    <w:rsid w:val="00975A00"/>
    <w:rsid w:val="00975FC4"/>
    <w:rsid w:val="009760BB"/>
    <w:rsid w:val="009761EA"/>
    <w:rsid w:val="0097637D"/>
    <w:rsid w:val="009763A1"/>
    <w:rsid w:val="009769FD"/>
    <w:rsid w:val="00976D90"/>
    <w:rsid w:val="00976EB4"/>
    <w:rsid w:val="00977199"/>
    <w:rsid w:val="00977247"/>
    <w:rsid w:val="00977636"/>
    <w:rsid w:val="00977A21"/>
    <w:rsid w:val="00977B10"/>
    <w:rsid w:val="00977C2F"/>
    <w:rsid w:val="00977E98"/>
    <w:rsid w:val="009800DE"/>
    <w:rsid w:val="009800F5"/>
    <w:rsid w:val="00980123"/>
    <w:rsid w:val="009803F1"/>
    <w:rsid w:val="00980852"/>
    <w:rsid w:val="00980883"/>
    <w:rsid w:val="00980981"/>
    <w:rsid w:val="00980B8C"/>
    <w:rsid w:val="00980D27"/>
    <w:rsid w:val="0098109E"/>
    <w:rsid w:val="009811DD"/>
    <w:rsid w:val="0098128C"/>
    <w:rsid w:val="00981FF6"/>
    <w:rsid w:val="009822D9"/>
    <w:rsid w:val="00982317"/>
    <w:rsid w:val="009824DF"/>
    <w:rsid w:val="009828EC"/>
    <w:rsid w:val="0098291B"/>
    <w:rsid w:val="00982B43"/>
    <w:rsid w:val="00982B4C"/>
    <w:rsid w:val="00982C99"/>
    <w:rsid w:val="00982D88"/>
    <w:rsid w:val="00982D96"/>
    <w:rsid w:val="009830D2"/>
    <w:rsid w:val="0098381A"/>
    <w:rsid w:val="00983CB4"/>
    <w:rsid w:val="0098423A"/>
    <w:rsid w:val="009849C6"/>
    <w:rsid w:val="00984F8B"/>
    <w:rsid w:val="0098516F"/>
    <w:rsid w:val="00985319"/>
    <w:rsid w:val="009853D8"/>
    <w:rsid w:val="009859BB"/>
    <w:rsid w:val="009859E9"/>
    <w:rsid w:val="00985E6E"/>
    <w:rsid w:val="00985FC7"/>
    <w:rsid w:val="009866B4"/>
    <w:rsid w:val="009868A1"/>
    <w:rsid w:val="00986C00"/>
    <w:rsid w:val="00986C27"/>
    <w:rsid w:val="00986CCF"/>
    <w:rsid w:val="00986CD6"/>
    <w:rsid w:val="00987201"/>
    <w:rsid w:val="009872EA"/>
    <w:rsid w:val="009876AC"/>
    <w:rsid w:val="009877C8"/>
    <w:rsid w:val="009878D1"/>
    <w:rsid w:val="00987965"/>
    <w:rsid w:val="00990335"/>
    <w:rsid w:val="00990384"/>
    <w:rsid w:val="00990686"/>
    <w:rsid w:val="009907DE"/>
    <w:rsid w:val="0099081A"/>
    <w:rsid w:val="00991308"/>
    <w:rsid w:val="00991D54"/>
    <w:rsid w:val="00991D84"/>
    <w:rsid w:val="00991E0A"/>
    <w:rsid w:val="0099204C"/>
    <w:rsid w:val="00992177"/>
    <w:rsid w:val="009921DA"/>
    <w:rsid w:val="00992454"/>
    <w:rsid w:val="0099294B"/>
    <w:rsid w:val="009931CA"/>
    <w:rsid w:val="009934FF"/>
    <w:rsid w:val="00993C8A"/>
    <w:rsid w:val="00994287"/>
    <w:rsid w:val="0099481E"/>
    <w:rsid w:val="00994834"/>
    <w:rsid w:val="009952E1"/>
    <w:rsid w:val="0099540B"/>
    <w:rsid w:val="00995826"/>
    <w:rsid w:val="009959B3"/>
    <w:rsid w:val="00995B29"/>
    <w:rsid w:val="00995C90"/>
    <w:rsid w:val="0099603B"/>
    <w:rsid w:val="009965EC"/>
    <w:rsid w:val="0099674D"/>
    <w:rsid w:val="0099687F"/>
    <w:rsid w:val="00996917"/>
    <w:rsid w:val="00996C5C"/>
    <w:rsid w:val="009970BD"/>
    <w:rsid w:val="00997442"/>
    <w:rsid w:val="009974DA"/>
    <w:rsid w:val="00997599"/>
    <w:rsid w:val="009977B1"/>
    <w:rsid w:val="00997D07"/>
    <w:rsid w:val="009A0000"/>
    <w:rsid w:val="009A05C2"/>
    <w:rsid w:val="009A061B"/>
    <w:rsid w:val="009A083F"/>
    <w:rsid w:val="009A0992"/>
    <w:rsid w:val="009A0ACB"/>
    <w:rsid w:val="009A11AA"/>
    <w:rsid w:val="009A17FF"/>
    <w:rsid w:val="009A1DEE"/>
    <w:rsid w:val="009A20CF"/>
    <w:rsid w:val="009A2246"/>
    <w:rsid w:val="009A2506"/>
    <w:rsid w:val="009A26C4"/>
    <w:rsid w:val="009A2D56"/>
    <w:rsid w:val="009A306E"/>
    <w:rsid w:val="009A30A9"/>
    <w:rsid w:val="009A3405"/>
    <w:rsid w:val="009A3426"/>
    <w:rsid w:val="009A4596"/>
    <w:rsid w:val="009A461E"/>
    <w:rsid w:val="009A4E65"/>
    <w:rsid w:val="009A4FED"/>
    <w:rsid w:val="009A5669"/>
    <w:rsid w:val="009A585F"/>
    <w:rsid w:val="009A5B08"/>
    <w:rsid w:val="009A5B7E"/>
    <w:rsid w:val="009A6024"/>
    <w:rsid w:val="009A614E"/>
    <w:rsid w:val="009A63CD"/>
    <w:rsid w:val="009A6580"/>
    <w:rsid w:val="009A65D4"/>
    <w:rsid w:val="009A6A93"/>
    <w:rsid w:val="009A6D6B"/>
    <w:rsid w:val="009A6EFE"/>
    <w:rsid w:val="009A7164"/>
    <w:rsid w:val="009A732F"/>
    <w:rsid w:val="009A754E"/>
    <w:rsid w:val="009A7756"/>
    <w:rsid w:val="009A77CB"/>
    <w:rsid w:val="009A79C6"/>
    <w:rsid w:val="009A79FE"/>
    <w:rsid w:val="009A7C5B"/>
    <w:rsid w:val="009B00D6"/>
    <w:rsid w:val="009B00FA"/>
    <w:rsid w:val="009B0749"/>
    <w:rsid w:val="009B0815"/>
    <w:rsid w:val="009B0B06"/>
    <w:rsid w:val="009B143B"/>
    <w:rsid w:val="009B145D"/>
    <w:rsid w:val="009B201B"/>
    <w:rsid w:val="009B25B5"/>
    <w:rsid w:val="009B26D5"/>
    <w:rsid w:val="009B275C"/>
    <w:rsid w:val="009B2DD4"/>
    <w:rsid w:val="009B32DD"/>
    <w:rsid w:val="009B3429"/>
    <w:rsid w:val="009B34A2"/>
    <w:rsid w:val="009B3607"/>
    <w:rsid w:val="009B3620"/>
    <w:rsid w:val="009B3832"/>
    <w:rsid w:val="009B3C62"/>
    <w:rsid w:val="009B3CFC"/>
    <w:rsid w:val="009B406F"/>
    <w:rsid w:val="009B43B4"/>
    <w:rsid w:val="009B4541"/>
    <w:rsid w:val="009B48AD"/>
    <w:rsid w:val="009B48C8"/>
    <w:rsid w:val="009B4991"/>
    <w:rsid w:val="009B4B9E"/>
    <w:rsid w:val="009B4C75"/>
    <w:rsid w:val="009B4E8F"/>
    <w:rsid w:val="009B4F97"/>
    <w:rsid w:val="009B5A36"/>
    <w:rsid w:val="009B5CC1"/>
    <w:rsid w:val="009B5CCC"/>
    <w:rsid w:val="009B5EFA"/>
    <w:rsid w:val="009B5FFD"/>
    <w:rsid w:val="009B6098"/>
    <w:rsid w:val="009B60E1"/>
    <w:rsid w:val="009B62FD"/>
    <w:rsid w:val="009B64FE"/>
    <w:rsid w:val="009B67FE"/>
    <w:rsid w:val="009B6869"/>
    <w:rsid w:val="009B7030"/>
    <w:rsid w:val="009B7405"/>
    <w:rsid w:val="009B7706"/>
    <w:rsid w:val="009B7A68"/>
    <w:rsid w:val="009B7DDB"/>
    <w:rsid w:val="009B7F7E"/>
    <w:rsid w:val="009C07AF"/>
    <w:rsid w:val="009C0AB4"/>
    <w:rsid w:val="009C124A"/>
    <w:rsid w:val="009C1371"/>
    <w:rsid w:val="009C151D"/>
    <w:rsid w:val="009C170B"/>
    <w:rsid w:val="009C1C30"/>
    <w:rsid w:val="009C21A7"/>
    <w:rsid w:val="009C221C"/>
    <w:rsid w:val="009C23A9"/>
    <w:rsid w:val="009C26A3"/>
    <w:rsid w:val="009C26E9"/>
    <w:rsid w:val="009C289F"/>
    <w:rsid w:val="009C28FB"/>
    <w:rsid w:val="009C2987"/>
    <w:rsid w:val="009C2BAE"/>
    <w:rsid w:val="009C2C05"/>
    <w:rsid w:val="009C2E71"/>
    <w:rsid w:val="009C3237"/>
    <w:rsid w:val="009C3253"/>
    <w:rsid w:val="009C32A7"/>
    <w:rsid w:val="009C33E8"/>
    <w:rsid w:val="009C3449"/>
    <w:rsid w:val="009C3BD1"/>
    <w:rsid w:val="009C4127"/>
    <w:rsid w:val="009C43D3"/>
    <w:rsid w:val="009C43D6"/>
    <w:rsid w:val="009C4E58"/>
    <w:rsid w:val="009C51C6"/>
    <w:rsid w:val="009C55D9"/>
    <w:rsid w:val="009C56ED"/>
    <w:rsid w:val="009C5BC1"/>
    <w:rsid w:val="009C5DE8"/>
    <w:rsid w:val="009C5E96"/>
    <w:rsid w:val="009C5F53"/>
    <w:rsid w:val="009C61E8"/>
    <w:rsid w:val="009C6363"/>
    <w:rsid w:val="009C64C2"/>
    <w:rsid w:val="009C65A1"/>
    <w:rsid w:val="009C6953"/>
    <w:rsid w:val="009C6D54"/>
    <w:rsid w:val="009C6E5C"/>
    <w:rsid w:val="009C6E82"/>
    <w:rsid w:val="009C743A"/>
    <w:rsid w:val="009C776C"/>
    <w:rsid w:val="009C7956"/>
    <w:rsid w:val="009C7AEE"/>
    <w:rsid w:val="009D02CE"/>
    <w:rsid w:val="009D048B"/>
    <w:rsid w:val="009D04E5"/>
    <w:rsid w:val="009D06A4"/>
    <w:rsid w:val="009D08BD"/>
    <w:rsid w:val="009D0C34"/>
    <w:rsid w:val="009D0D68"/>
    <w:rsid w:val="009D1292"/>
    <w:rsid w:val="009D134E"/>
    <w:rsid w:val="009D1469"/>
    <w:rsid w:val="009D1883"/>
    <w:rsid w:val="009D1AE9"/>
    <w:rsid w:val="009D1C3C"/>
    <w:rsid w:val="009D1DF3"/>
    <w:rsid w:val="009D1FBD"/>
    <w:rsid w:val="009D208A"/>
    <w:rsid w:val="009D21FB"/>
    <w:rsid w:val="009D234F"/>
    <w:rsid w:val="009D2372"/>
    <w:rsid w:val="009D2475"/>
    <w:rsid w:val="009D2650"/>
    <w:rsid w:val="009D27F2"/>
    <w:rsid w:val="009D35E6"/>
    <w:rsid w:val="009D36C6"/>
    <w:rsid w:val="009D3984"/>
    <w:rsid w:val="009D39B3"/>
    <w:rsid w:val="009D3A2C"/>
    <w:rsid w:val="009D3B68"/>
    <w:rsid w:val="009D3B97"/>
    <w:rsid w:val="009D3CE1"/>
    <w:rsid w:val="009D3D36"/>
    <w:rsid w:val="009D3D85"/>
    <w:rsid w:val="009D3DB0"/>
    <w:rsid w:val="009D3DD5"/>
    <w:rsid w:val="009D3F36"/>
    <w:rsid w:val="009D40EA"/>
    <w:rsid w:val="009D476C"/>
    <w:rsid w:val="009D54BB"/>
    <w:rsid w:val="009D550A"/>
    <w:rsid w:val="009D5526"/>
    <w:rsid w:val="009D5A4A"/>
    <w:rsid w:val="009D5D46"/>
    <w:rsid w:val="009D6102"/>
    <w:rsid w:val="009D6A1E"/>
    <w:rsid w:val="009D6B9B"/>
    <w:rsid w:val="009D6BBE"/>
    <w:rsid w:val="009D702A"/>
    <w:rsid w:val="009D7418"/>
    <w:rsid w:val="009D770A"/>
    <w:rsid w:val="009D7797"/>
    <w:rsid w:val="009D78F0"/>
    <w:rsid w:val="009D7932"/>
    <w:rsid w:val="009D7C17"/>
    <w:rsid w:val="009D7FD2"/>
    <w:rsid w:val="009E0191"/>
    <w:rsid w:val="009E022C"/>
    <w:rsid w:val="009E0563"/>
    <w:rsid w:val="009E067D"/>
    <w:rsid w:val="009E06B9"/>
    <w:rsid w:val="009E06DA"/>
    <w:rsid w:val="009E07FA"/>
    <w:rsid w:val="009E0A3C"/>
    <w:rsid w:val="009E0DEE"/>
    <w:rsid w:val="009E0FF3"/>
    <w:rsid w:val="009E1498"/>
    <w:rsid w:val="009E1746"/>
    <w:rsid w:val="009E18AD"/>
    <w:rsid w:val="009E2234"/>
    <w:rsid w:val="009E26BA"/>
    <w:rsid w:val="009E29A9"/>
    <w:rsid w:val="009E29EB"/>
    <w:rsid w:val="009E2A70"/>
    <w:rsid w:val="009E2DD2"/>
    <w:rsid w:val="009E3214"/>
    <w:rsid w:val="009E32F5"/>
    <w:rsid w:val="009E3359"/>
    <w:rsid w:val="009E351C"/>
    <w:rsid w:val="009E36E9"/>
    <w:rsid w:val="009E36F0"/>
    <w:rsid w:val="009E38AA"/>
    <w:rsid w:val="009E38D1"/>
    <w:rsid w:val="009E38F6"/>
    <w:rsid w:val="009E3A7C"/>
    <w:rsid w:val="009E40A4"/>
    <w:rsid w:val="009E412C"/>
    <w:rsid w:val="009E4417"/>
    <w:rsid w:val="009E447F"/>
    <w:rsid w:val="009E4CDE"/>
    <w:rsid w:val="009E4FBB"/>
    <w:rsid w:val="009E4FD2"/>
    <w:rsid w:val="009E5029"/>
    <w:rsid w:val="009E53E2"/>
    <w:rsid w:val="009E57CB"/>
    <w:rsid w:val="009E5B5F"/>
    <w:rsid w:val="009E5E18"/>
    <w:rsid w:val="009E6094"/>
    <w:rsid w:val="009E60C4"/>
    <w:rsid w:val="009E66F4"/>
    <w:rsid w:val="009E67A1"/>
    <w:rsid w:val="009E6982"/>
    <w:rsid w:val="009E69D4"/>
    <w:rsid w:val="009E6A85"/>
    <w:rsid w:val="009E6B61"/>
    <w:rsid w:val="009E6D27"/>
    <w:rsid w:val="009E6DCD"/>
    <w:rsid w:val="009E701C"/>
    <w:rsid w:val="009E7621"/>
    <w:rsid w:val="009E7ACE"/>
    <w:rsid w:val="009E7B69"/>
    <w:rsid w:val="009E7B77"/>
    <w:rsid w:val="009E7BDE"/>
    <w:rsid w:val="009E7EEB"/>
    <w:rsid w:val="009E7F44"/>
    <w:rsid w:val="009F0010"/>
    <w:rsid w:val="009F0E7D"/>
    <w:rsid w:val="009F1178"/>
    <w:rsid w:val="009F12A7"/>
    <w:rsid w:val="009F14F5"/>
    <w:rsid w:val="009F15D5"/>
    <w:rsid w:val="009F15E7"/>
    <w:rsid w:val="009F1EA8"/>
    <w:rsid w:val="009F1F2C"/>
    <w:rsid w:val="009F1F3F"/>
    <w:rsid w:val="009F1F47"/>
    <w:rsid w:val="009F28AA"/>
    <w:rsid w:val="009F2C84"/>
    <w:rsid w:val="009F30E5"/>
    <w:rsid w:val="009F311F"/>
    <w:rsid w:val="009F3774"/>
    <w:rsid w:val="009F3857"/>
    <w:rsid w:val="009F38A5"/>
    <w:rsid w:val="009F3BFB"/>
    <w:rsid w:val="009F3E39"/>
    <w:rsid w:val="009F3E96"/>
    <w:rsid w:val="009F3ED1"/>
    <w:rsid w:val="009F417C"/>
    <w:rsid w:val="009F4B33"/>
    <w:rsid w:val="009F4ECE"/>
    <w:rsid w:val="009F5262"/>
    <w:rsid w:val="009F54CA"/>
    <w:rsid w:val="009F5929"/>
    <w:rsid w:val="009F66DF"/>
    <w:rsid w:val="009F67F7"/>
    <w:rsid w:val="009F69E5"/>
    <w:rsid w:val="009F6A3E"/>
    <w:rsid w:val="009F6C2F"/>
    <w:rsid w:val="009F6E67"/>
    <w:rsid w:val="009F6E8C"/>
    <w:rsid w:val="009F6FF0"/>
    <w:rsid w:val="009F712B"/>
    <w:rsid w:val="009F7B56"/>
    <w:rsid w:val="00A00042"/>
    <w:rsid w:val="00A00514"/>
    <w:rsid w:val="00A00592"/>
    <w:rsid w:val="00A006F7"/>
    <w:rsid w:val="00A00875"/>
    <w:rsid w:val="00A0091D"/>
    <w:rsid w:val="00A00B3B"/>
    <w:rsid w:val="00A00E1A"/>
    <w:rsid w:val="00A00F46"/>
    <w:rsid w:val="00A010D0"/>
    <w:rsid w:val="00A010EF"/>
    <w:rsid w:val="00A01282"/>
    <w:rsid w:val="00A015B4"/>
    <w:rsid w:val="00A017CB"/>
    <w:rsid w:val="00A01EEB"/>
    <w:rsid w:val="00A022CF"/>
    <w:rsid w:val="00A025E6"/>
    <w:rsid w:val="00A02718"/>
    <w:rsid w:val="00A029AF"/>
    <w:rsid w:val="00A029E0"/>
    <w:rsid w:val="00A02C36"/>
    <w:rsid w:val="00A02D78"/>
    <w:rsid w:val="00A02D8A"/>
    <w:rsid w:val="00A030C0"/>
    <w:rsid w:val="00A03A46"/>
    <w:rsid w:val="00A03CD9"/>
    <w:rsid w:val="00A03DF3"/>
    <w:rsid w:val="00A0413F"/>
    <w:rsid w:val="00A0424E"/>
    <w:rsid w:val="00A04646"/>
    <w:rsid w:val="00A046AF"/>
    <w:rsid w:val="00A0596F"/>
    <w:rsid w:val="00A05A62"/>
    <w:rsid w:val="00A05AE3"/>
    <w:rsid w:val="00A05BF6"/>
    <w:rsid w:val="00A05DF7"/>
    <w:rsid w:val="00A05F17"/>
    <w:rsid w:val="00A062AF"/>
    <w:rsid w:val="00A06C5B"/>
    <w:rsid w:val="00A06C74"/>
    <w:rsid w:val="00A07379"/>
    <w:rsid w:val="00A07398"/>
    <w:rsid w:val="00A07438"/>
    <w:rsid w:val="00A074D7"/>
    <w:rsid w:val="00A0774D"/>
    <w:rsid w:val="00A077A0"/>
    <w:rsid w:val="00A078DD"/>
    <w:rsid w:val="00A107CF"/>
    <w:rsid w:val="00A10C11"/>
    <w:rsid w:val="00A10CD5"/>
    <w:rsid w:val="00A10F3E"/>
    <w:rsid w:val="00A10F8B"/>
    <w:rsid w:val="00A1109A"/>
    <w:rsid w:val="00A110C2"/>
    <w:rsid w:val="00A1115E"/>
    <w:rsid w:val="00A117C6"/>
    <w:rsid w:val="00A11BA7"/>
    <w:rsid w:val="00A11D42"/>
    <w:rsid w:val="00A121EF"/>
    <w:rsid w:val="00A122E6"/>
    <w:rsid w:val="00A123C4"/>
    <w:rsid w:val="00A12C88"/>
    <w:rsid w:val="00A133FF"/>
    <w:rsid w:val="00A135A0"/>
    <w:rsid w:val="00A137AA"/>
    <w:rsid w:val="00A13867"/>
    <w:rsid w:val="00A1388D"/>
    <w:rsid w:val="00A13C5C"/>
    <w:rsid w:val="00A14361"/>
    <w:rsid w:val="00A145AA"/>
    <w:rsid w:val="00A148E3"/>
    <w:rsid w:val="00A15022"/>
    <w:rsid w:val="00A1574D"/>
    <w:rsid w:val="00A1590D"/>
    <w:rsid w:val="00A15950"/>
    <w:rsid w:val="00A15BA4"/>
    <w:rsid w:val="00A15C85"/>
    <w:rsid w:val="00A162DA"/>
    <w:rsid w:val="00A16828"/>
    <w:rsid w:val="00A16901"/>
    <w:rsid w:val="00A16A3F"/>
    <w:rsid w:val="00A16AB3"/>
    <w:rsid w:val="00A16C6C"/>
    <w:rsid w:val="00A16CE6"/>
    <w:rsid w:val="00A16E45"/>
    <w:rsid w:val="00A17053"/>
    <w:rsid w:val="00A1748F"/>
    <w:rsid w:val="00A17595"/>
    <w:rsid w:val="00A176EE"/>
    <w:rsid w:val="00A177A4"/>
    <w:rsid w:val="00A177E8"/>
    <w:rsid w:val="00A1788B"/>
    <w:rsid w:val="00A20350"/>
    <w:rsid w:val="00A2042D"/>
    <w:rsid w:val="00A206A5"/>
    <w:rsid w:val="00A206D8"/>
    <w:rsid w:val="00A20AD6"/>
    <w:rsid w:val="00A20F1B"/>
    <w:rsid w:val="00A20F4B"/>
    <w:rsid w:val="00A21125"/>
    <w:rsid w:val="00A2127D"/>
    <w:rsid w:val="00A2129E"/>
    <w:rsid w:val="00A217B9"/>
    <w:rsid w:val="00A21944"/>
    <w:rsid w:val="00A21E12"/>
    <w:rsid w:val="00A22227"/>
    <w:rsid w:val="00A222AD"/>
    <w:rsid w:val="00A22321"/>
    <w:rsid w:val="00A223FA"/>
    <w:rsid w:val="00A2287B"/>
    <w:rsid w:val="00A22A03"/>
    <w:rsid w:val="00A22AF9"/>
    <w:rsid w:val="00A22E1E"/>
    <w:rsid w:val="00A22F96"/>
    <w:rsid w:val="00A230F8"/>
    <w:rsid w:val="00A23531"/>
    <w:rsid w:val="00A23684"/>
    <w:rsid w:val="00A23DEF"/>
    <w:rsid w:val="00A240F4"/>
    <w:rsid w:val="00A2418A"/>
    <w:rsid w:val="00A243E4"/>
    <w:rsid w:val="00A24652"/>
    <w:rsid w:val="00A248DE"/>
    <w:rsid w:val="00A253BA"/>
    <w:rsid w:val="00A254D4"/>
    <w:rsid w:val="00A255C8"/>
    <w:rsid w:val="00A255D7"/>
    <w:rsid w:val="00A2575B"/>
    <w:rsid w:val="00A25862"/>
    <w:rsid w:val="00A2593E"/>
    <w:rsid w:val="00A25A10"/>
    <w:rsid w:val="00A25CBA"/>
    <w:rsid w:val="00A25E7B"/>
    <w:rsid w:val="00A25E84"/>
    <w:rsid w:val="00A2607F"/>
    <w:rsid w:val="00A263BE"/>
    <w:rsid w:val="00A264C8"/>
    <w:rsid w:val="00A26D5A"/>
    <w:rsid w:val="00A273F4"/>
    <w:rsid w:val="00A27548"/>
    <w:rsid w:val="00A27870"/>
    <w:rsid w:val="00A27A28"/>
    <w:rsid w:val="00A27ADB"/>
    <w:rsid w:val="00A27CB3"/>
    <w:rsid w:val="00A27E35"/>
    <w:rsid w:val="00A3017C"/>
    <w:rsid w:val="00A3087E"/>
    <w:rsid w:val="00A308AE"/>
    <w:rsid w:val="00A31559"/>
    <w:rsid w:val="00A31CCA"/>
    <w:rsid w:val="00A31E03"/>
    <w:rsid w:val="00A320CC"/>
    <w:rsid w:val="00A3255E"/>
    <w:rsid w:val="00A325B9"/>
    <w:rsid w:val="00A325D5"/>
    <w:rsid w:val="00A32A72"/>
    <w:rsid w:val="00A32E7C"/>
    <w:rsid w:val="00A3306F"/>
    <w:rsid w:val="00A33124"/>
    <w:rsid w:val="00A33312"/>
    <w:rsid w:val="00A33363"/>
    <w:rsid w:val="00A33669"/>
    <w:rsid w:val="00A33E85"/>
    <w:rsid w:val="00A34204"/>
    <w:rsid w:val="00A34486"/>
    <w:rsid w:val="00A344FD"/>
    <w:rsid w:val="00A35356"/>
    <w:rsid w:val="00A3575B"/>
    <w:rsid w:val="00A35838"/>
    <w:rsid w:val="00A36B75"/>
    <w:rsid w:val="00A36C34"/>
    <w:rsid w:val="00A37C4C"/>
    <w:rsid w:val="00A37E7D"/>
    <w:rsid w:val="00A40146"/>
    <w:rsid w:val="00A402AB"/>
    <w:rsid w:val="00A404F5"/>
    <w:rsid w:val="00A4069C"/>
    <w:rsid w:val="00A416F6"/>
    <w:rsid w:val="00A41789"/>
    <w:rsid w:val="00A418DF"/>
    <w:rsid w:val="00A41ABA"/>
    <w:rsid w:val="00A41BBF"/>
    <w:rsid w:val="00A41D42"/>
    <w:rsid w:val="00A41F3E"/>
    <w:rsid w:val="00A41FA9"/>
    <w:rsid w:val="00A424CD"/>
    <w:rsid w:val="00A42657"/>
    <w:rsid w:val="00A42940"/>
    <w:rsid w:val="00A42A93"/>
    <w:rsid w:val="00A42D9E"/>
    <w:rsid w:val="00A42FDE"/>
    <w:rsid w:val="00A43059"/>
    <w:rsid w:val="00A43766"/>
    <w:rsid w:val="00A43B1D"/>
    <w:rsid w:val="00A43D4E"/>
    <w:rsid w:val="00A43D92"/>
    <w:rsid w:val="00A44A43"/>
    <w:rsid w:val="00A44BCD"/>
    <w:rsid w:val="00A451A5"/>
    <w:rsid w:val="00A45285"/>
    <w:rsid w:val="00A452D9"/>
    <w:rsid w:val="00A45693"/>
    <w:rsid w:val="00A457F3"/>
    <w:rsid w:val="00A45890"/>
    <w:rsid w:val="00A458D3"/>
    <w:rsid w:val="00A459F1"/>
    <w:rsid w:val="00A45A55"/>
    <w:rsid w:val="00A45B5F"/>
    <w:rsid w:val="00A45C59"/>
    <w:rsid w:val="00A45D77"/>
    <w:rsid w:val="00A45DAA"/>
    <w:rsid w:val="00A46266"/>
    <w:rsid w:val="00A464CF"/>
    <w:rsid w:val="00A46FCE"/>
    <w:rsid w:val="00A4732D"/>
    <w:rsid w:val="00A474DF"/>
    <w:rsid w:val="00A475B3"/>
    <w:rsid w:val="00A47653"/>
    <w:rsid w:val="00A4778B"/>
    <w:rsid w:val="00A477EA"/>
    <w:rsid w:val="00A47C30"/>
    <w:rsid w:val="00A47CF6"/>
    <w:rsid w:val="00A51284"/>
    <w:rsid w:val="00A51380"/>
    <w:rsid w:val="00A51445"/>
    <w:rsid w:val="00A5164A"/>
    <w:rsid w:val="00A516FB"/>
    <w:rsid w:val="00A51B85"/>
    <w:rsid w:val="00A51C2F"/>
    <w:rsid w:val="00A51D4D"/>
    <w:rsid w:val="00A51E16"/>
    <w:rsid w:val="00A5236D"/>
    <w:rsid w:val="00A523CD"/>
    <w:rsid w:val="00A52443"/>
    <w:rsid w:val="00A5254C"/>
    <w:rsid w:val="00A52553"/>
    <w:rsid w:val="00A525DD"/>
    <w:rsid w:val="00A52660"/>
    <w:rsid w:val="00A52BB7"/>
    <w:rsid w:val="00A52C85"/>
    <w:rsid w:val="00A52C96"/>
    <w:rsid w:val="00A52E4E"/>
    <w:rsid w:val="00A52ED4"/>
    <w:rsid w:val="00A52FCD"/>
    <w:rsid w:val="00A531FC"/>
    <w:rsid w:val="00A53200"/>
    <w:rsid w:val="00A5339C"/>
    <w:rsid w:val="00A5346A"/>
    <w:rsid w:val="00A536DA"/>
    <w:rsid w:val="00A53CF4"/>
    <w:rsid w:val="00A53D04"/>
    <w:rsid w:val="00A53DB9"/>
    <w:rsid w:val="00A53F5F"/>
    <w:rsid w:val="00A53FFF"/>
    <w:rsid w:val="00A5402E"/>
    <w:rsid w:val="00A543A2"/>
    <w:rsid w:val="00A54819"/>
    <w:rsid w:val="00A5497F"/>
    <w:rsid w:val="00A54A3A"/>
    <w:rsid w:val="00A54E6F"/>
    <w:rsid w:val="00A54F0C"/>
    <w:rsid w:val="00A54FF8"/>
    <w:rsid w:val="00A55496"/>
    <w:rsid w:val="00A558DB"/>
    <w:rsid w:val="00A5591E"/>
    <w:rsid w:val="00A55A93"/>
    <w:rsid w:val="00A55B3D"/>
    <w:rsid w:val="00A55C7D"/>
    <w:rsid w:val="00A561D5"/>
    <w:rsid w:val="00A566D9"/>
    <w:rsid w:val="00A56A3B"/>
    <w:rsid w:val="00A570AD"/>
    <w:rsid w:val="00A572EA"/>
    <w:rsid w:val="00A574B0"/>
    <w:rsid w:val="00A57546"/>
    <w:rsid w:val="00A57ABC"/>
    <w:rsid w:val="00A57FBE"/>
    <w:rsid w:val="00A6014D"/>
    <w:rsid w:val="00A60288"/>
    <w:rsid w:val="00A603C4"/>
    <w:rsid w:val="00A605CB"/>
    <w:rsid w:val="00A6061F"/>
    <w:rsid w:val="00A606C4"/>
    <w:rsid w:val="00A609EE"/>
    <w:rsid w:val="00A60DDB"/>
    <w:rsid w:val="00A60F0A"/>
    <w:rsid w:val="00A60FA2"/>
    <w:rsid w:val="00A61229"/>
    <w:rsid w:val="00A6144D"/>
    <w:rsid w:val="00A614B8"/>
    <w:rsid w:val="00A614BE"/>
    <w:rsid w:val="00A61861"/>
    <w:rsid w:val="00A6191E"/>
    <w:rsid w:val="00A61ABC"/>
    <w:rsid w:val="00A61F06"/>
    <w:rsid w:val="00A61FD8"/>
    <w:rsid w:val="00A623EC"/>
    <w:rsid w:val="00A62623"/>
    <w:rsid w:val="00A62796"/>
    <w:rsid w:val="00A627A2"/>
    <w:rsid w:val="00A62EB3"/>
    <w:rsid w:val="00A63333"/>
    <w:rsid w:val="00A63769"/>
    <w:rsid w:val="00A638FB"/>
    <w:rsid w:val="00A639F8"/>
    <w:rsid w:val="00A63A52"/>
    <w:rsid w:val="00A63DD2"/>
    <w:rsid w:val="00A6436D"/>
    <w:rsid w:val="00A647B7"/>
    <w:rsid w:val="00A64902"/>
    <w:rsid w:val="00A6498D"/>
    <w:rsid w:val="00A64992"/>
    <w:rsid w:val="00A64ADD"/>
    <w:rsid w:val="00A64B83"/>
    <w:rsid w:val="00A64DD3"/>
    <w:rsid w:val="00A64EFA"/>
    <w:rsid w:val="00A64F2C"/>
    <w:rsid w:val="00A64FD0"/>
    <w:rsid w:val="00A64FDA"/>
    <w:rsid w:val="00A656ED"/>
    <w:rsid w:val="00A659D9"/>
    <w:rsid w:val="00A66134"/>
    <w:rsid w:val="00A6621C"/>
    <w:rsid w:val="00A6642B"/>
    <w:rsid w:val="00A665F8"/>
    <w:rsid w:val="00A66968"/>
    <w:rsid w:val="00A669C0"/>
    <w:rsid w:val="00A674ED"/>
    <w:rsid w:val="00A6769F"/>
    <w:rsid w:val="00A676D2"/>
    <w:rsid w:val="00A6782E"/>
    <w:rsid w:val="00A67A96"/>
    <w:rsid w:val="00A67F09"/>
    <w:rsid w:val="00A67F14"/>
    <w:rsid w:val="00A67F53"/>
    <w:rsid w:val="00A67FBF"/>
    <w:rsid w:val="00A700E5"/>
    <w:rsid w:val="00A700EF"/>
    <w:rsid w:val="00A701F1"/>
    <w:rsid w:val="00A70767"/>
    <w:rsid w:val="00A70B42"/>
    <w:rsid w:val="00A71246"/>
    <w:rsid w:val="00A7128D"/>
    <w:rsid w:val="00A7136C"/>
    <w:rsid w:val="00A719B9"/>
    <w:rsid w:val="00A72B5A"/>
    <w:rsid w:val="00A72EFC"/>
    <w:rsid w:val="00A73457"/>
    <w:rsid w:val="00A73ED4"/>
    <w:rsid w:val="00A7402C"/>
    <w:rsid w:val="00A74061"/>
    <w:rsid w:val="00A748A9"/>
    <w:rsid w:val="00A7494C"/>
    <w:rsid w:val="00A7495D"/>
    <w:rsid w:val="00A749CE"/>
    <w:rsid w:val="00A74A4E"/>
    <w:rsid w:val="00A74B95"/>
    <w:rsid w:val="00A74CF4"/>
    <w:rsid w:val="00A75537"/>
    <w:rsid w:val="00A756A9"/>
    <w:rsid w:val="00A75757"/>
    <w:rsid w:val="00A758FA"/>
    <w:rsid w:val="00A75BA5"/>
    <w:rsid w:val="00A75BA6"/>
    <w:rsid w:val="00A75BF6"/>
    <w:rsid w:val="00A764A0"/>
    <w:rsid w:val="00A765CA"/>
    <w:rsid w:val="00A76722"/>
    <w:rsid w:val="00A76865"/>
    <w:rsid w:val="00A769F1"/>
    <w:rsid w:val="00A76E27"/>
    <w:rsid w:val="00A77058"/>
    <w:rsid w:val="00A77163"/>
    <w:rsid w:val="00A77196"/>
    <w:rsid w:val="00A774C8"/>
    <w:rsid w:val="00A77AC3"/>
    <w:rsid w:val="00A77CF9"/>
    <w:rsid w:val="00A80209"/>
    <w:rsid w:val="00A80234"/>
    <w:rsid w:val="00A80265"/>
    <w:rsid w:val="00A803AC"/>
    <w:rsid w:val="00A803B0"/>
    <w:rsid w:val="00A803CE"/>
    <w:rsid w:val="00A8070C"/>
    <w:rsid w:val="00A81071"/>
    <w:rsid w:val="00A815B1"/>
    <w:rsid w:val="00A81BD7"/>
    <w:rsid w:val="00A81EA1"/>
    <w:rsid w:val="00A820ED"/>
    <w:rsid w:val="00A82266"/>
    <w:rsid w:val="00A82C15"/>
    <w:rsid w:val="00A82EFC"/>
    <w:rsid w:val="00A83069"/>
    <w:rsid w:val="00A83214"/>
    <w:rsid w:val="00A83693"/>
    <w:rsid w:val="00A83AD7"/>
    <w:rsid w:val="00A83E73"/>
    <w:rsid w:val="00A843F8"/>
    <w:rsid w:val="00A84428"/>
    <w:rsid w:val="00A8494C"/>
    <w:rsid w:val="00A84BD5"/>
    <w:rsid w:val="00A84FFE"/>
    <w:rsid w:val="00A8512B"/>
    <w:rsid w:val="00A8519C"/>
    <w:rsid w:val="00A852EC"/>
    <w:rsid w:val="00A85720"/>
    <w:rsid w:val="00A8574A"/>
    <w:rsid w:val="00A85CBA"/>
    <w:rsid w:val="00A85D3B"/>
    <w:rsid w:val="00A85DF4"/>
    <w:rsid w:val="00A85E76"/>
    <w:rsid w:val="00A85F03"/>
    <w:rsid w:val="00A861D5"/>
    <w:rsid w:val="00A864FC"/>
    <w:rsid w:val="00A86558"/>
    <w:rsid w:val="00A8661F"/>
    <w:rsid w:val="00A86930"/>
    <w:rsid w:val="00A86998"/>
    <w:rsid w:val="00A86CB5"/>
    <w:rsid w:val="00A86DE7"/>
    <w:rsid w:val="00A87408"/>
    <w:rsid w:val="00A8762A"/>
    <w:rsid w:val="00A87733"/>
    <w:rsid w:val="00A87777"/>
    <w:rsid w:val="00A87BD4"/>
    <w:rsid w:val="00A87C5D"/>
    <w:rsid w:val="00A87E7A"/>
    <w:rsid w:val="00A904A0"/>
    <w:rsid w:val="00A90504"/>
    <w:rsid w:val="00A906BD"/>
    <w:rsid w:val="00A906D0"/>
    <w:rsid w:val="00A907B3"/>
    <w:rsid w:val="00A9093B"/>
    <w:rsid w:val="00A909DB"/>
    <w:rsid w:val="00A90CCF"/>
    <w:rsid w:val="00A910EB"/>
    <w:rsid w:val="00A91519"/>
    <w:rsid w:val="00A91525"/>
    <w:rsid w:val="00A915FC"/>
    <w:rsid w:val="00A91606"/>
    <w:rsid w:val="00A91632"/>
    <w:rsid w:val="00A91681"/>
    <w:rsid w:val="00A91710"/>
    <w:rsid w:val="00A91C36"/>
    <w:rsid w:val="00A91D46"/>
    <w:rsid w:val="00A91DAA"/>
    <w:rsid w:val="00A92020"/>
    <w:rsid w:val="00A920D5"/>
    <w:rsid w:val="00A926E4"/>
    <w:rsid w:val="00A928F3"/>
    <w:rsid w:val="00A929FB"/>
    <w:rsid w:val="00A92AC9"/>
    <w:rsid w:val="00A92D14"/>
    <w:rsid w:val="00A92F18"/>
    <w:rsid w:val="00A933E1"/>
    <w:rsid w:val="00A93497"/>
    <w:rsid w:val="00A940E6"/>
    <w:rsid w:val="00A945C7"/>
    <w:rsid w:val="00A9479A"/>
    <w:rsid w:val="00A94A07"/>
    <w:rsid w:val="00A94C38"/>
    <w:rsid w:val="00A9531A"/>
    <w:rsid w:val="00A953A2"/>
    <w:rsid w:val="00A95447"/>
    <w:rsid w:val="00A95559"/>
    <w:rsid w:val="00A95958"/>
    <w:rsid w:val="00A959D8"/>
    <w:rsid w:val="00A95AF4"/>
    <w:rsid w:val="00A96ABA"/>
    <w:rsid w:val="00A96B47"/>
    <w:rsid w:val="00A96C0A"/>
    <w:rsid w:val="00A96CE9"/>
    <w:rsid w:val="00A97105"/>
    <w:rsid w:val="00A971A1"/>
    <w:rsid w:val="00A973AF"/>
    <w:rsid w:val="00A97C3A"/>
    <w:rsid w:val="00AA02CB"/>
    <w:rsid w:val="00AA05DB"/>
    <w:rsid w:val="00AA06E6"/>
    <w:rsid w:val="00AA0A2B"/>
    <w:rsid w:val="00AA102F"/>
    <w:rsid w:val="00AA12EE"/>
    <w:rsid w:val="00AA256E"/>
    <w:rsid w:val="00AA27CC"/>
    <w:rsid w:val="00AA2877"/>
    <w:rsid w:val="00AA2BB6"/>
    <w:rsid w:val="00AA32EA"/>
    <w:rsid w:val="00AA3510"/>
    <w:rsid w:val="00AA35B4"/>
    <w:rsid w:val="00AA375A"/>
    <w:rsid w:val="00AA3961"/>
    <w:rsid w:val="00AA3CBE"/>
    <w:rsid w:val="00AA4099"/>
    <w:rsid w:val="00AA489C"/>
    <w:rsid w:val="00AA4A44"/>
    <w:rsid w:val="00AA4AAB"/>
    <w:rsid w:val="00AA4C64"/>
    <w:rsid w:val="00AA4CC9"/>
    <w:rsid w:val="00AA4CCA"/>
    <w:rsid w:val="00AA4D67"/>
    <w:rsid w:val="00AA5420"/>
    <w:rsid w:val="00AA584D"/>
    <w:rsid w:val="00AA60F7"/>
    <w:rsid w:val="00AA62A8"/>
    <w:rsid w:val="00AA63C4"/>
    <w:rsid w:val="00AA6432"/>
    <w:rsid w:val="00AA69D7"/>
    <w:rsid w:val="00AA69E6"/>
    <w:rsid w:val="00AA6C60"/>
    <w:rsid w:val="00AA6DB7"/>
    <w:rsid w:val="00AA702C"/>
    <w:rsid w:val="00AA79B4"/>
    <w:rsid w:val="00AA7B4A"/>
    <w:rsid w:val="00AA7DE3"/>
    <w:rsid w:val="00AB0452"/>
    <w:rsid w:val="00AB06E9"/>
    <w:rsid w:val="00AB08F4"/>
    <w:rsid w:val="00AB094D"/>
    <w:rsid w:val="00AB0AE9"/>
    <w:rsid w:val="00AB0C95"/>
    <w:rsid w:val="00AB1867"/>
    <w:rsid w:val="00AB1988"/>
    <w:rsid w:val="00AB1B2C"/>
    <w:rsid w:val="00AB22C2"/>
    <w:rsid w:val="00AB2427"/>
    <w:rsid w:val="00AB244B"/>
    <w:rsid w:val="00AB25FB"/>
    <w:rsid w:val="00AB28DC"/>
    <w:rsid w:val="00AB3105"/>
    <w:rsid w:val="00AB386A"/>
    <w:rsid w:val="00AB3A44"/>
    <w:rsid w:val="00AB3C1B"/>
    <w:rsid w:val="00AB4074"/>
    <w:rsid w:val="00AB41AA"/>
    <w:rsid w:val="00AB4229"/>
    <w:rsid w:val="00AB439E"/>
    <w:rsid w:val="00AB4572"/>
    <w:rsid w:val="00AB4851"/>
    <w:rsid w:val="00AB48DC"/>
    <w:rsid w:val="00AB4C28"/>
    <w:rsid w:val="00AB4FB7"/>
    <w:rsid w:val="00AB5192"/>
    <w:rsid w:val="00AB56A5"/>
    <w:rsid w:val="00AB57CE"/>
    <w:rsid w:val="00AB5DE4"/>
    <w:rsid w:val="00AB5E56"/>
    <w:rsid w:val="00AB6391"/>
    <w:rsid w:val="00AB69F7"/>
    <w:rsid w:val="00AB6DA6"/>
    <w:rsid w:val="00AB736B"/>
    <w:rsid w:val="00AB7ACB"/>
    <w:rsid w:val="00AB7B83"/>
    <w:rsid w:val="00AB7D6F"/>
    <w:rsid w:val="00AB7F74"/>
    <w:rsid w:val="00AC004C"/>
    <w:rsid w:val="00AC01D9"/>
    <w:rsid w:val="00AC08A5"/>
    <w:rsid w:val="00AC0A63"/>
    <w:rsid w:val="00AC0A87"/>
    <w:rsid w:val="00AC0AD2"/>
    <w:rsid w:val="00AC0BAC"/>
    <w:rsid w:val="00AC0C27"/>
    <w:rsid w:val="00AC100F"/>
    <w:rsid w:val="00AC1835"/>
    <w:rsid w:val="00AC1A21"/>
    <w:rsid w:val="00AC219D"/>
    <w:rsid w:val="00AC2C79"/>
    <w:rsid w:val="00AC2E7F"/>
    <w:rsid w:val="00AC32D4"/>
    <w:rsid w:val="00AC3EF8"/>
    <w:rsid w:val="00AC3EF9"/>
    <w:rsid w:val="00AC4012"/>
    <w:rsid w:val="00AC4129"/>
    <w:rsid w:val="00AC46E1"/>
    <w:rsid w:val="00AC4C60"/>
    <w:rsid w:val="00AC4C99"/>
    <w:rsid w:val="00AC4EE8"/>
    <w:rsid w:val="00AC5033"/>
    <w:rsid w:val="00AC530F"/>
    <w:rsid w:val="00AC5369"/>
    <w:rsid w:val="00AC570F"/>
    <w:rsid w:val="00AC5E90"/>
    <w:rsid w:val="00AC5FCD"/>
    <w:rsid w:val="00AC600F"/>
    <w:rsid w:val="00AC68A8"/>
    <w:rsid w:val="00AC7266"/>
    <w:rsid w:val="00AC7714"/>
    <w:rsid w:val="00AC7827"/>
    <w:rsid w:val="00AC7B71"/>
    <w:rsid w:val="00AC7B95"/>
    <w:rsid w:val="00AC7C9C"/>
    <w:rsid w:val="00AC7EB8"/>
    <w:rsid w:val="00AD0080"/>
    <w:rsid w:val="00AD0210"/>
    <w:rsid w:val="00AD0260"/>
    <w:rsid w:val="00AD02ED"/>
    <w:rsid w:val="00AD06F6"/>
    <w:rsid w:val="00AD100B"/>
    <w:rsid w:val="00AD10E4"/>
    <w:rsid w:val="00AD113C"/>
    <w:rsid w:val="00AD163C"/>
    <w:rsid w:val="00AD166B"/>
    <w:rsid w:val="00AD1F8C"/>
    <w:rsid w:val="00AD21AB"/>
    <w:rsid w:val="00AD2581"/>
    <w:rsid w:val="00AD27C2"/>
    <w:rsid w:val="00AD29B7"/>
    <w:rsid w:val="00AD2AAC"/>
    <w:rsid w:val="00AD2B7A"/>
    <w:rsid w:val="00AD2D6C"/>
    <w:rsid w:val="00AD2E7E"/>
    <w:rsid w:val="00AD35A9"/>
    <w:rsid w:val="00AD381D"/>
    <w:rsid w:val="00AD3A98"/>
    <w:rsid w:val="00AD3BCD"/>
    <w:rsid w:val="00AD3C18"/>
    <w:rsid w:val="00AD3CA4"/>
    <w:rsid w:val="00AD4764"/>
    <w:rsid w:val="00AD491F"/>
    <w:rsid w:val="00AD4E16"/>
    <w:rsid w:val="00AD4E90"/>
    <w:rsid w:val="00AD53F1"/>
    <w:rsid w:val="00AD5C51"/>
    <w:rsid w:val="00AD5DEF"/>
    <w:rsid w:val="00AD5F18"/>
    <w:rsid w:val="00AD6969"/>
    <w:rsid w:val="00AD699B"/>
    <w:rsid w:val="00AD6BD5"/>
    <w:rsid w:val="00AD6CEA"/>
    <w:rsid w:val="00AD6F8D"/>
    <w:rsid w:val="00AD7273"/>
    <w:rsid w:val="00AD737B"/>
    <w:rsid w:val="00AD7598"/>
    <w:rsid w:val="00AD76B1"/>
    <w:rsid w:val="00AD7B85"/>
    <w:rsid w:val="00AD7D0B"/>
    <w:rsid w:val="00AD7F0C"/>
    <w:rsid w:val="00AE08DE"/>
    <w:rsid w:val="00AE0997"/>
    <w:rsid w:val="00AE0B59"/>
    <w:rsid w:val="00AE0B5E"/>
    <w:rsid w:val="00AE0CF8"/>
    <w:rsid w:val="00AE1261"/>
    <w:rsid w:val="00AE14B5"/>
    <w:rsid w:val="00AE1609"/>
    <w:rsid w:val="00AE17B4"/>
    <w:rsid w:val="00AE188A"/>
    <w:rsid w:val="00AE2036"/>
    <w:rsid w:val="00AE2103"/>
    <w:rsid w:val="00AE24FC"/>
    <w:rsid w:val="00AE29A1"/>
    <w:rsid w:val="00AE2C85"/>
    <w:rsid w:val="00AE2D3A"/>
    <w:rsid w:val="00AE2F28"/>
    <w:rsid w:val="00AE3177"/>
    <w:rsid w:val="00AE31B0"/>
    <w:rsid w:val="00AE32D1"/>
    <w:rsid w:val="00AE3375"/>
    <w:rsid w:val="00AE3D84"/>
    <w:rsid w:val="00AE4086"/>
    <w:rsid w:val="00AE4406"/>
    <w:rsid w:val="00AE4784"/>
    <w:rsid w:val="00AE47A6"/>
    <w:rsid w:val="00AE4CE1"/>
    <w:rsid w:val="00AE4F9F"/>
    <w:rsid w:val="00AE5133"/>
    <w:rsid w:val="00AE575F"/>
    <w:rsid w:val="00AE59B8"/>
    <w:rsid w:val="00AE5CAA"/>
    <w:rsid w:val="00AE5FDB"/>
    <w:rsid w:val="00AE6185"/>
    <w:rsid w:val="00AE6663"/>
    <w:rsid w:val="00AE6C43"/>
    <w:rsid w:val="00AE7138"/>
    <w:rsid w:val="00AE768D"/>
    <w:rsid w:val="00AE76A8"/>
    <w:rsid w:val="00AE7EA3"/>
    <w:rsid w:val="00AE7FDC"/>
    <w:rsid w:val="00AF05C2"/>
    <w:rsid w:val="00AF0D5B"/>
    <w:rsid w:val="00AF1256"/>
    <w:rsid w:val="00AF1C73"/>
    <w:rsid w:val="00AF1DEB"/>
    <w:rsid w:val="00AF1F07"/>
    <w:rsid w:val="00AF1FD0"/>
    <w:rsid w:val="00AF22CF"/>
    <w:rsid w:val="00AF2BE1"/>
    <w:rsid w:val="00AF2D57"/>
    <w:rsid w:val="00AF2D8A"/>
    <w:rsid w:val="00AF2E6C"/>
    <w:rsid w:val="00AF35C9"/>
    <w:rsid w:val="00AF368C"/>
    <w:rsid w:val="00AF4D0C"/>
    <w:rsid w:val="00AF4F5B"/>
    <w:rsid w:val="00AF504D"/>
    <w:rsid w:val="00AF5536"/>
    <w:rsid w:val="00AF559C"/>
    <w:rsid w:val="00AF5B79"/>
    <w:rsid w:val="00AF629F"/>
    <w:rsid w:val="00AF6311"/>
    <w:rsid w:val="00AF6D81"/>
    <w:rsid w:val="00AF713B"/>
    <w:rsid w:val="00AF74D6"/>
    <w:rsid w:val="00AF75E8"/>
    <w:rsid w:val="00AF7ADD"/>
    <w:rsid w:val="00AF7B78"/>
    <w:rsid w:val="00B0011F"/>
    <w:rsid w:val="00B00285"/>
    <w:rsid w:val="00B0052E"/>
    <w:rsid w:val="00B00535"/>
    <w:rsid w:val="00B008D3"/>
    <w:rsid w:val="00B0090F"/>
    <w:rsid w:val="00B00C5C"/>
    <w:rsid w:val="00B00FB5"/>
    <w:rsid w:val="00B016ED"/>
    <w:rsid w:val="00B01DF9"/>
    <w:rsid w:val="00B01F05"/>
    <w:rsid w:val="00B01F6A"/>
    <w:rsid w:val="00B021FC"/>
    <w:rsid w:val="00B0239A"/>
    <w:rsid w:val="00B027A6"/>
    <w:rsid w:val="00B0280B"/>
    <w:rsid w:val="00B02972"/>
    <w:rsid w:val="00B02A02"/>
    <w:rsid w:val="00B02C9A"/>
    <w:rsid w:val="00B0312D"/>
    <w:rsid w:val="00B0396F"/>
    <w:rsid w:val="00B03DD6"/>
    <w:rsid w:val="00B0432A"/>
    <w:rsid w:val="00B045E8"/>
    <w:rsid w:val="00B04826"/>
    <w:rsid w:val="00B04BAD"/>
    <w:rsid w:val="00B058F9"/>
    <w:rsid w:val="00B05960"/>
    <w:rsid w:val="00B0598D"/>
    <w:rsid w:val="00B05ABD"/>
    <w:rsid w:val="00B05BA1"/>
    <w:rsid w:val="00B05FBC"/>
    <w:rsid w:val="00B06433"/>
    <w:rsid w:val="00B06487"/>
    <w:rsid w:val="00B06697"/>
    <w:rsid w:val="00B067F9"/>
    <w:rsid w:val="00B06B0E"/>
    <w:rsid w:val="00B06DC4"/>
    <w:rsid w:val="00B06FA5"/>
    <w:rsid w:val="00B07064"/>
    <w:rsid w:val="00B070DA"/>
    <w:rsid w:val="00B07559"/>
    <w:rsid w:val="00B07641"/>
    <w:rsid w:val="00B07C01"/>
    <w:rsid w:val="00B07C58"/>
    <w:rsid w:val="00B07D8C"/>
    <w:rsid w:val="00B07F5F"/>
    <w:rsid w:val="00B07F67"/>
    <w:rsid w:val="00B1065E"/>
    <w:rsid w:val="00B1139E"/>
    <w:rsid w:val="00B11835"/>
    <w:rsid w:val="00B118CF"/>
    <w:rsid w:val="00B11B52"/>
    <w:rsid w:val="00B11C77"/>
    <w:rsid w:val="00B11CE9"/>
    <w:rsid w:val="00B11D47"/>
    <w:rsid w:val="00B11EE0"/>
    <w:rsid w:val="00B120E5"/>
    <w:rsid w:val="00B1230D"/>
    <w:rsid w:val="00B12628"/>
    <w:rsid w:val="00B127BD"/>
    <w:rsid w:val="00B13BC6"/>
    <w:rsid w:val="00B13E38"/>
    <w:rsid w:val="00B13F74"/>
    <w:rsid w:val="00B14029"/>
    <w:rsid w:val="00B1448F"/>
    <w:rsid w:val="00B146F3"/>
    <w:rsid w:val="00B152DB"/>
    <w:rsid w:val="00B15463"/>
    <w:rsid w:val="00B157A2"/>
    <w:rsid w:val="00B15936"/>
    <w:rsid w:val="00B15967"/>
    <w:rsid w:val="00B15CFC"/>
    <w:rsid w:val="00B16292"/>
    <w:rsid w:val="00B163D6"/>
    <w:rsid w:val="00B164D5"/>
    <w:rsid w:val="00B16694"/>
    <w:rsid w:val="00B166DD"/>
    <w:rsid w:val="00B16795"/>
    <w:rsid w:val="00B16877"/>
    <w:rsid w:val="00B16DC2"/>
    <w:rsid w:val="00B16F46"/>
    <w:rsid w:val="00B16FBD"/>
    <w:rsid w:val="00B171E7"/>
    <w:rsid w:val="00B1755E"/>
    <w:rsid w:val="00B1774A"/>
    <w:rsid w:val="00B1795C"/>
    <w:rsid w:val="00B200E4"/>
    <w:rsid w:val="00B20167"/>
    <w:rsid w:val="00B205EB"/>
    <w:rsid w:val="00B2074E"/>
    <w:rsid w:val="00B20880"/>
    <w:rsid w:val="00B20B88"/>
    <w:rsid w:val="00B20D25"/>
    <w:rsid w:val="00B20E88"/>
    <w:rsid w:val="00B2106F"/>
    <w:rsid w:val="00B214B0"/>
    <w:rsid w:val="00B2169C"/>
    <w:rsid w:val="00B217AA"/>
    <w:rsid w:val="00B21C75"/>
    <w:rsid w:val="00B2256E"/>
    <w:rsid w:val="00B226C2"/>
    <w:rsid w:val="00B22A1A"/>
    <w:rsid w:val="00B22E3D"/>
    <w:rsid w:val="00B22E55"/>
    <w:rsid w:val="00B23403"/>
    <w:rsid w:val="00B242DF"/>
    <w:rsid w:val="00B242ED"/>
    <w:rsid w:val="00B244FD"/>
    <w:rsid w:val="00B24517"/>
    <w:rsid w:val="00B24A92"/>
    <w:rsid w:val="00B24B76"/>
    <w:rsid w:val="00B24BC7"/>
    <w:rsid w:val="00B24FE8"/>
    <w:rsid w:val="00B252BC"/>
    <w:rsid w:val="00B25343"/>
    <w:rsid w:val="00B25550"/>
    <w:rsid w:val="00B259DC"/>
    <w:rsid w:val="00B25FCB"/>
    <w:rsid w:val="00B26173"/>
    <w:rsid w:val="00B26281"/>
    <w:rsid w:val="00B262F5"/>
    <w:rsid w:val="00B26A8B"/>
    <w:rsid w:val="00B26ADC"/>
    <w:rsid w:val="00B26CC2"/>
    <w:rsid w:val="00B26D55"/>
    <w:rsid w:val="00B26DAD"/>
    <w:rsid w:val="00B26DFC"/>
    <w:rsid w:val="00B27337"/>
    <w:rsid w:val="00B27BA8"/>
    <w:rsid w:val="00B27E81"/>
    <w:rsid w:val="00B301B9"/>
    <w:rsid w:val="00B3045B"/>
    <w:rsid w:val="00B30592"/>
    <w:rsid w:val="00B30770"/>
    <w:rsid w:val="00B30DA6"/>
    <w:rsid w:val="00B311DE"/>
    <w:rsid w:val="00B3196F"/>
    <w:rsid w:val="00B319A7"/>
    <w:rsid w:val="00B31A25"/>
    <w:rsid w:val="00B31C07"/>
    <w:rsid w:val="00B32003"/>
    <w:rsid w:val="00B3233F"/>
    <w:rsid w:val="00B323C2"/>
    <w:rsid w:val="00B32688"/>
    <w:rsid w:val="00B32745"/>
    <w:rsid w:val="00B328A6"/>
    <w:rsid w:val="00B32D6F"/>
    <w:rsid w:val="00B32E34"/>
    <w:rsid w:val="00B32FCD"/>
    <w:rsid w:val="00B33644"/>
    <w:rsid w:val="00B33DDE"/>
    <w:rsid w:val="00B34067"/>
    <w:rsid w:val="00B341E0"/>
    <w:rsid w:val="00B343A5"/>
    <w:rsid w:val="00B3444C"/>
    <w:rsid w:val="00B345A8"/>
    <w:rsid w:val="00B3467E"/>
    <w:rsid w:val="00B348D2"/>
    <w:rsid w:val="00B349C9"/>
    <w:rsid w:val="00B34A16"/>
    <w:rsid w:val="00B34BFD"/>
    <w:rsid w:val="00B34E4B"/>
    <w:rsid w:val="00B35274"/>
    <w:rsid w:val="00B353D1"/>
    <w:rsid w:val="00B3558A"/>
    <w:rsid w:val="00B357A7"/>
    <w:rsid w:val="00B35ED0"/>
    <w:rsid w:val="00B36078"/>
    <w:rsid w:val="00B36432"/>
    <w:rsid w:val="00B36A26"/>
    <w:rsid w:val="00B36F66"/>
    <w:rsid w:val="00B374BB"/>
    <w:rsid w:val="00B3780A"/>
    <w:rsid w:val="00B37850"/>
    <w:rsid w:val="00B37A59"/>
    <w:rsid w:val="00B37CA7"/>
    <w:rsid w:val="00B40210"/>
    <w:rsid w:val="00B409C5"/>
    <w:rsid w:val="00B40BB9"/>
    <w:rsid w:val="00B40E0D"/>
    <w:rsid w:val="00B40EFC"/>
    <w:rsid w:val="00B40F90"/>
    <w:rsid w:val="00B41250"/>
    <w:rsid w:val="00B414EA"/>
    <w:rsid w:val="00B4168B"/>
    <w:rsid w:val="00B416DE"/>
    <w:rsid w:val="00B41C30"/>
    <w:rsid w:val="00B41D5F"/>
    <w:rsid w:val="00B41DE6"/>
    <w:rsid w:val="00B41EB5"/>
    <w:rsid w:val="00B41F03"/>
    <w:rsid w:val="00B42140"/>
    <w:rsid w:val="00B425ED"/>
    <w:rsid w:val="00B42F60"/>
    <w:rsid w:val="00B4367E"/>
    <w:rsid w:val="00B43822"/>
    <w:rsid w:val="00B438D4"/>
    <w:rsid w:val="00B439EA"/>
    <w:rsid w:val="00B43B9A"/>
    <w:rsid w:val="00B43C49"/>
    <w:rsid w:val="00B43E33"/>
    <w:rsid w:val="00B44354"/>
    <w:rsid w:val="00B44543"/>
    <w:rsid w:val="00B4466D"/>
    <w:rsid w:val="00B446D2"/>
    <w:rsid w:val="00B4479C"/>
    <w:rsid w:val="00B44833"/>
    <w:rsid w:val="00B44974"/>
    <w:rsid w:val="00B44C3E"/>
    <w:rsid w:val="00B44C4C"/>
    <w:rsid w:val="00B44C63"/>
    <w:rsid w:val="00B4507A"/>
    <w:rsid w:val="00B4507F"/>
    <w:rsid w:val="00B456B3"/>
    <w:rsid w:val="00B4580F"/>
    <w:rsid w:val="00B45942"/>
    <w:rsid w:val="00B45B40"/>
    <w:rsid w:val="00B45D84"/>
    <w:rsid w:val="00B4601D"/>
    <w:rsid w:val="00B460AE"/>
    <w:rsid w:val="00B46176"/>
    <w:rsid w:val="00B461DC"/>
    <w:rsid w:val="00B46961"/>
    <w:rsid w:val="00B46D89"/>
    <w:rsid w:val="00B46DDA"/>
    <w:rsid w:val="00B476B2"/>
    <w:rsid w:val="00B4777B"/>
    <w:rsid w:val="00B4785F"/>
    <w:rsid w:val="00B47891"/>
    <w:rsid w:val="00B478D8"/>
    <w:rsid w:val="00B478DA"/>
    <w:rsid w:val="00B47A53"/>
    <w:rsid w:val="00B47C67"/>
    <w:rsid w:val="00B47FC8"/>
    <w:rsid w:val="00B500A1"/>
    <w:rsid w:val="00B50268"/>
    <w:rsid w:val="00B50715"/>
    <w:rsid w:val="00B50944"/>
    <w:rsid w:val="00B50CC1"/>
    <w:rsid w:val="00B50CD0"/>
    <w:rsid w:val="00B50F6E"/>
    <w:rsid w:val="00B51031"/>
    <w:rsid w:val="00B516A7"/>
    <w:rsid w:val="00B51798"/>
    <w:rsid w:val="00B51E7E"/>
    <w:rsid w:val="00B52347"/>
    <w:rsid w:val="00B5238C"/>
    <w:rsid w:val="00B52614"/>
    <w:rsid w:val="00B5281D"/>
    <w:rsid w:val="00B52A13"/>
    <w:rsid w:val="00B52FE5"/>
    <w:rsid w:val="00B5332E"/>
    <w:rsid w:val="00B53575"/>
    <w:rsid w:val="00B5365D"/>
    <w:rsid w:val="00B53885"/>
    <w:rsid w:val="00B539B2"/>
    <w:rsid w:val="00B53D15"/>
    <w:rsid w:val="00B541E2"/>
    <w:rsid w:val="00B544B5"/>
    <w:rsid w:val="00B54805"/>
    <w:rsid w:val="00B54AF6"/>
    <w:rsid w:val="00B5506C"/>
    <w:rsid w:val="00B55078"/>
    <w:rsid w:val="00B55128"/>
    <w:rsid w:val="00B5522F"/>
    <w:rsid w:val="00B55432"/>
    <w:rsid w:val="00B55837"/>
    <w:rsid w:val="00B55991"/>
    <w:rsid w:val="00B55C53"/>
    <w:rsid w:val="00B55DA9"/>
    <w:rsid w:val="00B562F0"/>
    <w:rsid w:val="00B56BB2"/>
    <w:rsid w:val="00B57192"/>
    <w:rsid w:val="00B57265"/>
    <w:rsid w:val="00B577FA"/>
    <w:rsid w:val="00B57A0D"/>
    <w:rsid w:val="00B57FE5"/>
    <w:rsid w:val="00B601BE"/>
    <w:rsid w:val="00B605EA"/>
    <w:rsid w:val="00B6079E"/>
    <w:rsid w:val="00B60906"/>
    <w:rsid w:val="00B60C03"/>
    <w:rsid w:val="00B60F4F"/>
    <w:rsid w:val="00B60F93"/>
    <w:rsid w:val="00B61018"/>
    <w:rsid w:val="00B61496"/>
    <w:rsid w:val="00B61624"/>
    <w:rsid w:val="00B6177E"/>
    <w:rsid w:val="00B61834"/>
    <w:rsid w:val="00B623D4"/>
    <w:rsid w:val="00B6263D"/>
    <w:rsid w:val="00B62998"/>
    <w:rsid w:val="00B62AF2"/>
    <w:rsid w:val="00B62C20"/>
    <w:rsid w:val="00B62ED8"/>
    <w:rsid w:val="00B632DA"/>
    <w:rsid w:val="00B632E7"/>
    <w:rsid w:val="00B63335"/>
    <w:rsid w:val="00B6343E"/>
    <w:rsid w:val="00B63B33"/>
    <w:rsid w:val="00B63E53"/>
    <w:rsid w:val="00B63FE5"/>
    <w:rsid w:val="00B64156"/>
    <w:rsid w:val="00B6428A"/>
    <w:rsid w:val="00B648EE"/>
    <w:rsid w:val="00B64912"/>
    <w:rsid w:val="00B64AC0"/>
    <w:rsid w:val="00B64CE0"/>
    <w:rsid w:val="00B64E8E"/>
    <w:rsid w:val="00B64ED8"/>
    <w:rsid w:val="00B64F25"/>
    <w:rsid w:val="00B64FEE"/>
    <w:rsid w:val="00B65064"/>
    <w:rsid w:val="00B65A2D"/>
    <w:rsid w:val="00B65CA8"/>
    <w:rsid w:val="00B65D85"/>
    <w:rsid w:val="00B66250"/>
    <w:rsid w:val="00B662DF"/>
    <w:rsid w:val="00B66489"/>
    <w:rsid w:val="00B66847"/>
    <w:rsid w:val="00B66D12"/>
    <w:rsid w:val="00B66FA7"/>
    <w:rsid w:val="00B67540"/>
    <w:rsid w:val="00B675D7"/>
    <w:rsid w:val="00B67A2A"/>
    <w:rsid w:val="00B67D1D"/>
    <w:rsid w:val="00B702CD"/>
    <w:rsid w:val="00B70676"/>
    <w:rsid w:val="00B70A90"/>
    <w:rsid w:val="00B70A99"/>
    <w:rsid w:val="00B70D91"/>
    <w:rsid w:val="00B70F64"/>
    <w:rsid w:val="00B71224"/>
    <w:rsid w:val="00B71555"/>
    <w:rsid w:val="00B71929"/>
    <w:rsid w:val="00B71ECA"/>
    <w:rsid w:val="00B72602"/>
    <w:rsid w:val="00B72AD2"/>
    <w:rsid w:val="00B73380"/>
    <w:rsid w:val="00B741D4"/>
    <w:rsid w:val="00B743A0"/>
    <w:rsid w:val="00B74712"/>
    <w:rsid w:val="00B747EB"/>
    <w:rsid w:val="00B754EF"/>
    <w:rsid w:val="00B75545"/>
    <w:rsid w:val="00B75725"/>
    <w:rsid w:val="00B75861"/>
    <w:rsid w:val="00B75EAE"/>
    <w:rsid w:val="00B761C4"/>
    <w:rsid w:val="00B7647A"/>
    <w:rsid w:val="00B7647B"/>
    <w:rsid w:val="00B765D9"/>
    <w:rsid w:val="00B76691"/>
    <w:rsid w:val="00B76851"/>
    <w:rsid w:val="00B76A33"/>
    <w:rsid w:val="00B76B40"/>
    <w:rsid w:val="00B76BAA"/>
    <w:rsid w:val="00B77385"/>
    <w:rsid w:val="00B77459"/>
    <w:rsid w:val="00B774AD"/>
    <w:rsid w:val="00B776E7"/>
    <w:rsid w:val="00B7788B"/>
    <w:rsid w:val="00B77D3F"/>
    <w:rsid w:val="00B77D8D"/>
    <w:rsid w:val="00B77F19"/>
    <w:rsid w:val="00B77F35"/>
    <w:rsid w:val="00B77F67"/>
    <w:rsid w:val="00B801AD"/>
    <w:rsid w:val="00B80435"/>
    <w:rsid w:val="00B807AF"/>
    <w:rsid w:val="00B8084B"/>
    <w:rsid w:val="00B808D0"/>
    <w:rsid w:val="00B80F4F"/>
    <w:rsid w:val="00B80F99"/>
    <w:rsid w:val="00B81458"/>
    <w:rsid w:val="00B8155B"/>
    <w:rsid w:val="00B8155D"/>
    <w:rsid w:val="00B81DCE"/>
    <w:rsid w:val="00B81E82"/>
    <w:rsid w:val="00B81F0C"/>
    <w:rsid w:val="00B82487"/>
    <w:rsid w:val="00B82567"/>
    <w:rsid w:val="00B825AC"/>
    <w:rsid w:val="00B8297F"/>
    <w:rsid w:val="00B82C0E"/>
    <w:rsid w:val="00B82EED"/>
    <w:rsid w:val="00B8313C"/>
    <w:rsid w:val="00B83209"/>
    <w:rsid w:val="00B8342C"/>
    <w:rsid w:val="00B8347F"/>
    <w:rsid w:val="00B83738"/>
    <w:rsid w:val="00B838A6"/>
    <w:rsid w:val="00B83991"/>
    <w:rsid w:val="00B83F83"/>
    <w:rsid w:val="00B84054"/>
    <w:rsid w:val="00B8434B"/>
    <w:rsid w:val="00B844C4"/>
    <w:rsid w:val="00B8454F"/>
    <w:rsid w:val="00B84A59"/>
    <w:rsid w:val="00B84A63"/>
    <w:rsid w:val="00B84FEB"/>
    <w:rsid w:val="00B85071"/>
    <w:rsid w:val="00B8539E"/>
    <w:rsid w:val="00B854FA"/>
    <w:rsid w:val="00B85C82"/>
    <w:rsid w:val="00B85D9C"/>
    <w:rsid w:val="00B860B4"/>
    <w:rsid w:val="00B867A1"/>
    <w:rsid w:val="00B86820"/>
    <w:rsid w:val="00B8686A"/>
    <w:rsid w:val="00B86B62"/>
    <w:rsid w:val="00B86D6F"/>
    <w:rsid w:val="00B86E15"/>
    <w:rsid w:val="00B86EF3"/>
    <w:rsid w:val="00B86F58"/>
    <w:rsid w:val="00B873D1"/>
    <w:rsid w:val="00B874AA"/>
    <w:rsid w:val="00B87600"/>
    <w:rsid w:val="00B8769A"/>
    <w:rsid w:val="00B87709"/>
    <w:rsid w:val="00B87D39"/>
    <w:rsid w:val="00B87E61"/>
    <w:rsid w:val="00B9015A"/>
    <w:rsid w:val="00B901C1"/>
    <w:rsid w:val="00B90F0E"/>
    <w:rsid w:val="00B91349"/>
    <w:rsid w:val="00B91401"/>
    <w:rsid w:val="00B91487"/>
    <w:rsid w:val="00B91938"/>
    <w:rsid w:val="00B91B5C"/>
    <w:rsid w:val="00B91E34"/>
    <w:rsid w:val="00B91F9D"/>
    <w:rsid w:val="00B92045"/>
    <w:rsid w:val="00B922E1"/>
    <w:rsid w:val="00B92321"/>
    <w:rsid w:val="00B92438"/>
    <w:rsid w:val="00B92462"/>
    <w:rsid w:val="00B92649"/>
    <w:rsid w:val="00B927D8"/>
    <w:rsid w:val="00B92931"/>
    <w:rsid w:val="00B9296A"/>
    <w:rsid w:val="00B92B76"/>
    <w:rsid w:val="00B92BC2"/>
    <w:rsid w:val="00B92D22"/>
    <w:rsid w:val="00B92D56"/>
    <w:rsid w:val="00B92D87"/>
    <w:rsid w:val="00B92DBF"/>
    <w:rsid w:val="00B930AA"/>
    <w:rsid w:val="00B93BC5"/>
    <w:rsid w:val="00B93CE7"/>
    <w:rsid w:val="00B93E93"/>
    <w:rsid w:val="00B9406B"/>
    <w:rsid w:val="00B94248"/>
    <w:rsid w:val="00B94B63"/>
    <w:rsid w:val="00B94D6B"/>
    <w:rsid w:val="00B952F9"/>
    <w:rsid w:val="00B95525"/>
    <w:rsid w:val="00B9562C"/>
    <w:rsid w:val="00B957DC"/>
    <w:rsid w:val="00B95C1E"/>
    <w:rsid w:val="00B95D2F"/>
    <w:rsid w:val="00B95E1F"/>
    <w:rsid w:val="00B95F03"/>
    <w:rsid w:val="00B96158"/>
    <w:rsid w:val="00B96260"/>
    <w:rsid w:val="00B9672F"/>
    <w:rsid w:val="00B96747"/>
    <w:rsid w:val="00B96850"/>
    <w:rsid w:val="00B96BD4"/>
    <w:rsid w:val="00B971B9"/>
    <w:rsid w:val="00B9720E"/>
    <w:rsid w:val="00B973E5"/>
    <w:rsid w:val="00B97949"/>
    <w:rsid w:val="00B97976"/>
    <w:rsid w:val="00B97F3E"/>
    <w:rsid w:val="00BA0272"/>
    <w:rsid w:val="00BA0B92"/>
    <w:rsid w:val="00BA0BA0"/>
    <w:rsid w:val="00BA0D4F"/>
    <w:rsid w:val="00BA0DD9"/>
    <w:rsid w:val="00BA13C0"/>
    <w:rsid w:val="00BA13C8"/>
    <w:rsid w:val="00BA14DD"/>
    <w:rsid w:val="00BA1D2B"/>
    <w:rsid w:val="00BA1DAE"/>
    <w:rsid w:val="00BA2521"/>
    <w:rsid w:val="00BA276C"/>
    <w:rsid w:val="00BA281A"/>
    <w:rsid w:val="00BA2952"/>
    <w:rsid w:val="00BA297E"/>
    <w:rsid w:val="00BA2BF9"/>
    <w:rsid w:val="00BA2D1A"/>
    <w:rsid w:val="00BA2E50"/>
    <w:rsid w:val="00BA30ED"/>
    <w:rsid w:val="00BA3141"/>
    <w:rsid w:val="00BA3CD5"/>
    <w:rsid w:val="00BA3F7B"/>
    <w:rsid w:val="00BA422B"/>
    <w:rsid w:val="00BA42FC"/>
    <w:rsid w:val="00BA4506"/>
    <w:rsid w:val="00BA47E1"/>
    <w:rsid w:val="00BA4933"/>
    <w:rsid w:val="00BA4B63"/>
    <w:rsid w:val="00BA4C2C"/>
    <w:rsid w:val="00BA610F"/>
    <w:rsid w:val="00BA61D2"/>
    <w:rsid w:val="00BA626B"/>
    <w:rsid w:val="00BA6571"/>
    <w:rsid w:val="00BA663A"/>
    <w:rsid w:val="00BA6778"/>
    <w:rsid w:val="00BA68D8"/>
    <w:rsid w:val="00BA6A12"/>
    <w:rsid w:val="00BA6D47"/>
    <w:rsid w:val="00BA6E35"/>
    <w:rsid w:val="00BA709D"/>
    <w:rsid w:val="00BA76EB"/>
    <w:rsid w:val="00BA7839"/>
    <w:rsid w:val="00BA78E6"/>
    <w:rsid w:val="00BA7E85"/>
    <w:rsid w:val="00BA7FE3"/>
    <w:rsid w:val="00BB011C"/>
    <w:rsid w:val="00BB019A"/>
    <w:rsid w:val="00BB046C"/>
    <w:rsid w:val="00BB0AC9"/>
    <w:rsid w:val="00BB0F6C"/>
    <w:rsid w:val="00BB104A"/>
    <w:rsid w:val="00BB13F6"/>
    <w:rsid w:val="00BB143D"/>
    <w:rsid w:val="00BB15E1"/>
    <w:rsid w:val="00BB1E71"/>
    <w:rsid w:val="00BB1F7C"/>
    <w:rsid w:val="00BB2083"/>
    <w:rsid w:val="00BB2119"/>
    <w:rsid w:val="00BB22F0"/>
    <w:rsid w:val="00BB2965"/>
    <w:rsid w:val="00BB2AAB"/>
    <w:rsid w:val="00BB2B73"/>
    <w:rsid w:val="00BB2C91"/>
    <w:rsid w:val="00BB2D75"/>
    <w:rsid w:val="00BB2E38"/>
    <w:rsid w:val="00BB30F9"/>
    <w:rsid w:val="00BB3307"/>
    <w:rsid w:val="00BB344B"/>
    <w:rsid w:val="00BB35C3"/>
    <w:rsid w:val="00BB377D"/>
    <w:rsid w:val="00BB38B6"/>
    <w:rsid w:val="00BB41D9"/>
    <w:rsid w:val="00BB47DB"/>
    <w:rsid w:val="00BB487F"/>
    <w:rsid w:val="00BB489E"/>
    <w:rsid w:val="00BB4959"/>
    <w:rsid w:val="00BB4990"/>
    <w:rsid w:val="00BB4CAB"/>
    <w:rsid w:val="00BB4E01"/>
    <w:rsid w:val="00BB50D3"/>
    <w:rsid w:val="00BB5303"/>
    <w:rsid w:val="00BB5B79"/>
    <w:rsid w:val="00BB5CD0"/>
    <w:rsid w:val="00BB5E87"/>
    <w:rsid w:val="00BB5FF7"/>
    <w:rsid w:val="00BB6361"/>
    <w:rsid w:val="00BB65CF"/>
    <w:rsid w:val="00BB6D75"/>
    <w:rsid w:val="00BB6E59"/>
    <w:rsid w:val="00BB6EEC"/>
    <w:rsid w:val="00BB735D"/>
    <w:rsid w:val="00BB745F"/>
    <w:rsid w:val="00BB78A0"/>
    <w:rsid w:val="00BB79D5"/>
    <w:rsid w:val="00BC000C"/>
    <w:rsid w:val="00BC0046"/>
    <w:rsid w:val="00BC021E"/>
    <w:rsid w:val="00BC03E9"/>
    <w:rsid w:val="00BC07E0"/>
    <w:rsid w:val="00BC0842"/>
    <w:rsid w:val="00BC0980"/>
    <w:rsid w:val="00BC0AF1"/>
    <w:rsid w:val="00BC0C4E"/>
    <w:rsid w:val="00BC0C51"/>
    <w:rsid w:val="00BC1688"/>
    <w:rsid w:val="00BC16DA"/>
    <w:rsid w:val="00BC18E3"/>
    <w:rsid w:val="00BC197C"/>
    <w:rsid w:val="00BC1A6F"/>
    <w:rsid w:val="00BC1B2F"/>
    <w:rsid w:val="00BC21E8"/>
    <w:rsid w:val="00BC21EE"/>
    <w:rsid w:val="00BC27EA"/>
    <w:rsid w:val="00BC2E5D"/>
    <w:rsid w:val="00BC2ED5"/>
    <w:rsid w:val="00BC31C2"/>
    <w:rsid w:val="00BC337E"/>
    <w:rsid w:val="00BC3678"/>
    <w:rsid w:val="00BC3760"/>
    <w:rsid w:val="00BC3DD2"/>
    <w:rsid w:val="00BC4133"/>
    <w:rsid w:val="00BC4AA8"/>
    <w:rsid w:val="00BC4BF4"/>
    <w:rsid w:val="00BC527D"/>
    <w:rsid w:val="00BC55F4"/>
    <w:rsid w:val="00BC5649"/>
    <w:rsid w:val="00BC5DB5"/>
    <w:rsid w:val="00BC5F35"/>
    <w:rsid w:val="00BC5FE8"/>
    <w:rsid w:val="00BC6644"/>
    <w:rsid w:val="00BC6A2D"/>
    <w:rsid w:val="00BC6CE0"/>
    <w:rsid w:val="00BC7071"/>
    <w:rsid w:val="00BC7558"/>
    <w:rsid w:val="00BC7638"/>
    <w:rsid w:val="00BC76A7"/>
    <w:rsid w:val="00BC77A6"/>
    <w:rsid w:val="00BC7A9A"/>
    <w:rsid w:val="00BC7BF0"/>
    <w:rsid w:val="00BD060F"/>
    <w:rsid w:val="00BD072F"/>
    <w:rsid w:val="00BD0C21"/>
    <w:rsid w:val="00BD0E8E"/>
    <w:rsid w:val="00BD102D"/>
    <w:rsid w:val="00BD106F"/>
    <w:rsid w:val="00BD10CF"/>
    <w:rsid w:val="00BD128A"/>
    <w:rsid w:val="00BD12A9"/>
    <w:rsid w:val="00BD1366"/>
    <w:rsid w:val="00BD1878"/>
    <w:rsid w:val="00BD1916"/>
    <w:rsid w:val="00BD1ABE"/>
    <w:rsid w:val="00BD1ED4"/>
    <w:rsid w:val="00BD1FB2"/>
    <w:rsid w:val="00BD1FB9"/>
    <w:rsid w:val="00BD2400"/>
    <w:rsid w:val="00BD266C"/>
    <w:rsid w:val="00BD299C"/>
    <w:rsid w:val="00BD2C6A"/>
    <w:rsid w:val="00BD3083"/>
    <w:rsid w:val="00BD3C1D"/>
    <w:rsid w:val="00BD3E6A"/>
    <w:rsid w:val="00BD3F95"/>
    <w:rsid w:val="00BD42C4"/>
    <w:rsid w:val="00BD4450"/>
    <w:rsid w:val="00BD45BC"/>
    <w:rsid w:val="00BD485A"/>
    <w:rsid w:val="00BD4D2A"/>
    <w:rsid w:val="00BD5230"/>
    <w:rsid w:val="00BD5264"/>
    <w:rsid w:val="00BD52AA"/>
    <w:rsid w:val="00BD593B"/>
    <w:rsid w:val="00BD5945"/>
    <w:rsid w:val="00BD6575"/>
    <w:rsid w:val="00BD66AD"/>
    <w:rsid w:val="00BD6898"/>
    <w:rsid w:val="00BD6AB6"/>
    <w:rsid w:val="00BD6E7D"/>
    <w:rsid w:val="00BD702E"/>
    <w:rsid w:val="00BD7389"/>
    <w:rsid w:val="00BD75AD"/>
    <w:rsid w:val="00BD7818"/>
    <w:rsid w:val="00BD7EFA"/>
    <w:rsid w:val="00BE00AE"/>
    <w:rsid w:val="00BE00F8"/>
    <w:rsid w:val="00BE0426"/>
    <w:rsid w:val="00BE04DC"/>
    <w:rsid w:val="00BE0C1E"/>
    <w:rsid w:val="00BE0C6B"/>
    <w:rsid w:val="00BE0CD0"/>
    <w:rsid w:val="00BE107D"/>
    <w:rsid w:val="00BE1BF9"/>
    <w:rsid w:val="00BE1CB5"/>
    <w:rsid w:val="00BE1CFC"/>
    <w:rsid w:val="00BE1DDF"/>
    <w:rsid w:val="00BE213B"/>
    <w:rsid w:val="00BE236F"/>
    <w:rsid w:val="00BE24C3"/>
    <w:rsid w:val="00BE28FE"/>
    <w:rsid w:val="00BE29DA"/>
    <w:rsid w:val="00BE2E93"/>
    <w:rsid w:val="00BE2EB3"/>
    <w:rsid w:val="00BE32C8"/>
    <w:rsid w:val="00BE34B8"/>
    <w:rsid w:val="00BE357E"/>
    <w:rsid w:val="00BE37BE"/>
    <w:rsid w:val="00BE38F8"/>
    <w:rsid w:val="00BE3A18"/>
    <w:rsid w:val="00BE4021"/>
    <w:rsid w:val="00BE4179"/>
    <w:rsid w:val="00BE4531"/>
    <w:rsid w:val="00BE4A78"/>
    <w:rsid w:val="00BE4EB0"/>
    <w:rsid w:val="00BE4ECE"/>
    <w:rsid w:val="00BE50A2"/>
    <w:rsid w:val="00BE50CF"/>
    <w:rsid w:val="00BE5127"/>
    <w:rsid w:val="00BE53C0"/>
    <w:rsid w:val="00BE56E4"/>
    <w:rsid w:val="00BE56EB"/>
    <w:rsid w:val="00BE56EE"/>
    <w:rsid w:val="00BE58F9"/>
    <w:rsid w:val="00BE5AB5"/>
    <w:rsid w:val="00BE5AEA"/>
    <w:rsid w:val="00BE5B8B"/>
    <w:rsid w:val="00BE5BC2"/>
    <w:rsid w:val="00BE5CCB"/>
    <w:rsid w:val="00BE5CDD"/>
    <w:rsid w:val="00BE62CB"/>
    <w:rsid w:val="00BE63A5"/>
    <w:rsid w:val="00BE65E8"/>
    <w:rsid w:val="00BE68AF"/>
    <w:rsid w:val="00BE6B49"/>
    <w:rsid w:val="00BE6BDA"/>
    <w:rsid w:val="00BE6E79"/>
    <w:rsid w:val="00BE7761"/>
    <w:rsid w:val="00BE7931"/>
    <w:rsid w:val="00BE7A07"/>
    <w:rsid w:val="00BE7D96"/>
    <w:rsid w:val="00BE7E7D"/>
    <w:rsid w:val="00BE7EC4"/>
    <w:rsid w:val="00BE7FAC"/>
    <w:rsid w:val="00BF02AB"/>
    <w:rsid w:val="00BF0482"/>
    <w:rsid w:val="00BF04C4"/>
    <w:rsid w:val="00BF056E"/>
    <w:rsid w:val="00BF062F"/>
    <w:rsid w:val="00BF0746"/>
    <w:rsid w:val="00BF0801"/>
    <w:rsid w:val="00BF0897"/>
    <w:rsid w:val="00BF0D2A"/>
    <w:rsid w:val="00BF0D49"/>
    <w:rsid w:val="00BF0DB9"/>
    <w:rsid w:val="00BF1094"/>
    <w:rsid w:val="00BF10BB"/>
    <w:rsid w:val="00BF15D7"/>
    <w:rsid w:val="00BF171E"/>
    <w:rsid w:val="00BF2214"/>
    <w:rsid w:val="00BF22CA"/>
    <w:rsid w:val="00BF2D5C"/>
    <w:rsid w:val="00BF2E32"/>
    <w:rsid w:val="00BF2FD1"/>
    <w:rsid w:val="00BF3120"/>
    <w:rsid w:val="00BF35A7"/>
    <w:rsid w:val="00BF3D2C"/>
    <w:rsid w:val="00BF3DDE"/>
    <w:rsid w:val="00BF3E02"/>
    <w:rsid w:val="00BF45AC"/>
    <w:rsid w:val="00BF493F"/>
    <w:rsid w:val="00BF49C9"/>
    <w:rsid w:val="00BF4BFC"/>
    <w:rsid w:val="00BF4DF8"/>
    <w:rsid w:val="00BF54C1"/>
    <w:rsid w:val="00BF5585"/>
    <w:rsid w:val="00BF5747"/>
    <w:rsid w:val="00BF59A7"/>
    <w:rsid w:val="00BF5A21"/>
    <w:rsid w:val="00BF5E65"/>
    <w:rsid w:val="00BF6334"/>
    <w:rsid w:val="00BF6903"/>
    <w:rsid w:val="00BF77F0"/>
    <w:rsid w:val="00C00121"/>
    <w:rsid w:val="00C00149"/>
    <w:rsid w:val="00C003BB"/>
    <w:rsid w:val="00C0044E"/>
    <w:rsid w:val="00C006FE"/>
    <w:rsid w:val="00C00836"/>
    <w:rsid w:val="00C01440"/>
    <w:rsid w:val="00C01863"/>
    <w:rsid w:val="00C01955"/>
    <w:rsid w:val="00C01BC4"/>
    <w:rsid w:val="00C01DD0"/>
    <w:rsid w:val="00C01FA6"/>
    <w:rsid w:val="00C02141"/>
    <w:rsid w:val="00C026E5"/>
    <w:rsid w:val="00C02B2B"/>
    <w:rsid w:val="00C03609"/>
    <w:rsid w:val="00C039CE"/>
    <w:rsid w:val="00C03A5B"/>
    <w:rsid w:val="00C03A9A"/>
    <w:rsid w:val="00C03C8A"/>
    <w:rsid w:val="00C03CA5"/>
    <w:rsid w:val="00C048CA"/>
    <w:rsid w:val="00C049B2"/>
    <w:rsid w:val="00C04D31"/>
    <w:rsid w:val="00C04EAC"/>
    <w:rsid w:val="00C05022"/>
    <w:rsid w:val="00C056E5"/>
    <w:rsid w:val="00C05756"/>
    <w:rsid w:val="00C057AA"/>
    <w:rsid w:val="00C058B6"/>
    <w:rsid w:val="00C05D27"/>
    <w:rsid w:val="00C05E26"/>
    <w:rsid w:val="00C05E30"/>
    <w:rsid w:val="00C05F32"/>
    <w:rsid w:val="00C06BBB"/>
    <w:rsid w:val="00C06D9B"/>
    <w:rsid w:val="00C06E02"/>
    <w:rsid w:val="00C07119"/>
    <w:rsid w:val="00C074BD"/>
    <w:rsid w:val="00C07568"/>
    <w:rsid w:val="00C077DE"/>
    <w:rsid w:val="00C07D47"/>
    <w:rsid w:val="00C1000A"/>
    <w:rsid w:val="00C10186"/>
    <w:rsid w:val="00C103C4"/>
    <w:rsid w:val="00C1050D"/>
    <w:rsid w:val="00C107E3"/>
    <w:rsid w:val="00C1081F"/>
    <w:rsid w:val="00C10AA9"/>
    <w:rsid w:val="00C10CED"/>
    <w:rsid w:val="00C11065"/>
    <w:rsid w:val="00C110BD"/>
    <w:rsid w:val="00C112DF"/>
    <w:rsid w:val="00C1137D"/>
    <w:rsid w:val="00C1163E"/>
    <w:rsid w:val="00C1164A"/>
    <w:rsid w:val="00C11AF1"/>
    <w:rsid w:val="00C11FEE"/>
    <w:rsid w:val="00C121E2"/>
    <w:rsid w:val="00C126E0"/>
    <w:rsid w:val="00C12A4D"/>
    <w:rsid w:val="00C12BE1"/>
    <w:rsid w:val="00C12EFB"/>
    <w:rsid w:val="00C1325D"/>
    <w:rsid w:val="00C13292"/>
    <w:rsid w:val="00C13778"/>
    <w:rsid w:val="00C13A9D"/>
    <w:rsid w:val="00C13B40"/>
    <w:rsid w:val="00C14180"/>
    <w:rsid w:val="00C141EC"/>
    <w:rsid w:val="00C14253"/>
    <w:rsid w:val="00C1457B"/>
    <w:rsid w:val="00C146A7"/>
    <w:rsid w:val="00C14795"/>
    <w:rsid w:val="00C14CBF"/>
    <w:rsid w:val="00C15120"/>
    <w:rsid w:val="00C1528D"/>
    <w:rsid w:val="00C152C0"/>
    <w:rsid w:val="00C154B8"/>
    <w:rsid w:val="00C1571B"/>
    <w:rsid w:val="00C1585B"/>
    <w:rsid w:val="00C15B60"/>
    <w:rsid w:val="00C15E74"/>
    <w:rsid w:val="00C161B8"/>
    <w:rsid w:val="00C1620C"/>
    <w:rsid w:val="00C1642D"/>
    <w:rsid w:val="00C16639"/>
    <w:rsid w:val="00C167B5"/>
    <w:rsid w:val="00C168A1"/>
    <w:rsid w:val="00C16B46"/>
    <w:rsid w:val="00C16EEB"/>
    <w:rsid w:val="00C16F0B"/>
    <w:rsid w:val="00C1701C"/>
    <w:rsid w:val="00C17267"/>
    <w:rsid w:val="00C172D4"/>
    <w:rsid w:val="00C179DE"/>
    <w:rsid w:val="00C17A88"/>
    <w:rsid w:val="00C17B0B"/>
    <w:rsid w:val="00C17B6E"/>
    <w:rsid w:val="00C17D43"/>
    <w:rsid w:val="00C2002C"/>
    <w:rsid w:val="00C20180"/>
    <w:rsid w:val="00C203CF"/>
    <w:rsid w:val="00C20401"/>
    <w:rsid w:val="00C204A8"/>
    <w:rsid w:val="00C20C21"/>
    <w:rsid w:val="00C210AA"/>
    <w:rsid w:val="00C21B8A"/>
    <w:rsid w:val="00C21E0E"/>
    <w:rsid w:val="00C21EB0"/>
    <w:rsid w:val="00C222A9"/>
    <w:rsid w:val="00C2238C"/>
    <w:rsid w:val="00C226BF"/>
    <w:rsid w:val="00C233C0"/>
    <w:rsid w:val="00C23478"/>
    <w:rsid w:val="00C2402B"/>
    <w:rsid w:val="00C243D8"/>
    <w:rsid w:val="00C24454"/>
    <w:rsid w:val="00C245B1"/>
    <w:rsid w:val="00C24A1A"/>
    <w:rsid w:val="00C24A40"/>
    <w:rsid w:val="00C24BB6"/>
    <w:rsid w:val="00C24FB6"/>
    <w:rsid w:val="00C252D7"/>
    <w:rsid w:val="00C253C2"/>
    <w:rsid w:val="00C25578"/>
    <w:rsid w:val="00C26015"/>
    <w:rsid w:val="00C260AE"/>
    <w:rsid w:val="00C261FA"/>
    <w:rsid w:val="00C26AEA"/>
    <w:rsid w:val="00C27313"/>
    <w:rsid w:val="00C2746D"/>
    <w:rsid w:val="00C27C3B"/>
    <w:rsid w:val="00C3013C"/>
    <w:rsid w:val="00C30582"/>
    <w:rsid w:val="00C306F5"/>
    <w:rsid w:val="00C30E47"/>
    <w:rsid w:val="00C3141C"/>
    <w:rsid w:val="00C315A6"/>
    <w:rsid w:val="00C319AD"/>
    <w:rsid w:val="00C31B18"/>
    <w:rsid w:val="00C31C16"/>
    <w:rsid w:val="00C31E00"/>
    <w:rsid w:val="00C3226C"/>
    <w:rsid w:val="00C32574"/>
    <w:rsid w:val="00C326CD"/>
    <w:rsid w:val="00C32763"/>
    <w:rsid w:val="00C331A9"/>
    <w:rsid w:val="00C335B7"/>
    <w:rsid w:val="00C33749"/>
    <w:rsid w:val="00C33979"/>
    <w:rsid w:val="00C33A59"/>
    <w:rsid w:val="00C33FA0"/>
    <w:rsid w:val="00C3461B"/>
    <w:rsid w:val="00C34785"/>
    <w:rsid w:val="00C34C16"/>
    <w:rsid w:val="00C34C26"/>
    <w:rsid w:val="00C34CCD"/>
    <w:rsid w:val="00C34F91"/>
    <w:rsid w:val="00C35226"/>
    <w:rsid w:val="00C3525B"/>
    <w:rsid w:val="00C35298"/>
    <w:rsid w:val="00C358D5"/>
    <w:rsid w:val="00C35921"/>
    <w:rsid w:val="00C35F0B"/>
    <w:rsid w:val="00C3607C"/>
    <w:rsid w:val="00C36294"/>
    <w:rsid w:val="00C365A1"/>
    <w:rsid w:val="00C3671D"/>
    <w:rsid w:val="00C36A07"/>
    <w:rsid w:val="00C36E4C"/>
    <w:rsid w:val="00C372D7"/>
    <w:rsid w:val="00C37411"/>
    <w:rsid w:val="00C37920"/>
    <w:rsid w:val="00C379C5"/>
    <w:rsid w:val="00C37A0C"/>
    <w:rsid w:val="00C37BDE"/>
    <w:rsid w:val="00C37C07"/>
    <w:rsid w:val="00C37D59"/>
    <w:rsid w:val="00C40574"/>
    <w:rsid w:val="00C408D6"/>
    <w:rsid w:val="00C40B8E"/>
    <w:rsid w:val="00C40C52"/>
    <w:rsid w:val="00C40F99"/>
    <w:rsid w:val="00C40FA2"/>
    <w:rsid w:val="00C41236"/>
    <w:rsid w:val="00C413F6"/>
    <w:rsid w:val="00C41638"/>
    <w:rsid w:val="00C41CCA"/>
    <w:rsid w:val="00C41D7D"/>
    <w:rsid w:val="00C4207A"/>
    <w:rsid w:val="00C42284"/>
    <w:rsid w:val="00C4235E"/>
    <w:rsid w:val="00C42D04"/>
    <w:rsid w:val="00C432CB"/>
    <w:rsid w:val="00C43482"/>
    <w:rsid w:val="00C43548"/>
    <w:rsid w:val="00C43801"/>
    <w:rsid w:val="00C43A15"/>
    <w:rsid w:val="00C43D64"/>
    <w:rsid w:val="00C43DBE"/>
    <w:rsid w:val="00C440F2"/>
    <w:rsid w:val="00C44248"/>
    <w:rsid w:val="00C4436E"/>
    <w:rsid w:val="00C444BB"/>
    <w:rsid w:val="00C4473F"/>
    <w:rsid w:val="00C44B39"/>
    <w:rsid w:val="00C44FFC"/>
    <w:rsid w:val="00C45138"/>
    <w:rsid w:val="00C453A4"/>
    <w:rsid w:val="00C45420"/>
    <w:rsid w:val="00C45468"/>
    <w:rsid w:val="00C45992"/>
    <w:rsid w:val="00C45E40"/>
    <w:rsid w:val="00C45FDA"/>
    <w:rsid w:val="00C46175"/>
    <w:rsid w:val="00C463DB"/>
    <w:rsid w:val="00C46682"/>
    <w:rsid w:val="00C4675E"/>
    <w:rsid w:val="00C46A14"/>
    <w:rsid w:val="00C46C2E"/>
    <w:rsid w:val="00C46CCE"/>
    <w:rsid w:val="00C46D44"/>
    <w:rsid w:val="00C47112"/>
    <w:rsid w:val="00C477AD"/>
    <w:rsid w:val="00C4788F"/>
    <w:rsid w:val="00C47A7E"/>
    <w:rsid w:val="00C47E32"/>
    <w:rsid w:val="00C47F7B"/>
    <w:rsid w:val="00C504DF"/>
    <w:rsid w:val="00C50547"/>
    <w:rsid w:val="00C506E8"/>
    <w:rsid w:val="00C51C12"/>
    <w:rsid w:val="00C51D1E"/>
    <w:rsid w:val="00C520BD"/>
    <w:rsid w:val="00C5214F"/>
    <w:rsid w:val="00C522ED"/>
    <w:rsid w:val="00C52320"/>
    <w:rsid w:val="00C524DB"/>
    <w:rsid w:val="00C524DE"/>
    <w:rsid w:val="00C52800"/>
    <w:rsid w:val="00C528A6"/>
    <w:rsid w:val="00C528BD"/>
    <w:rsid w:val="00C52A11"/>
    <w:rsid w:val="00C52BC7"/>
    <w:rsid w:val="00C52D74"/>
    <w:rsid w:val="00C53140"/>
    <w:rsid w:val="00C534A9"/>
    <w:rsid w:val="00C5390F"/>
    <w:rsid w:val="00C53B2B"/>
    <w:rsid w:val="00C53BA6"/>
    <w:rsid w:val="00C53E8F"/>
    <w:rsid w:val="00C5423C"/>
    <w:rsid w:val="00C542F1"/>
    <w:rsid w:val="00C5482F"/>
    <w:rsid w:val="00C54A4D"/>
    <w:rsid w:val="00C54BC8"/>
    <w:rsid w:val="00C54EB3"/>
    <w:rsid w:val="00C556A7"/>
    <w:rsid w:val="00C55A00"/>
    <w:rsid w:val="00C55E8E"/>
    <w:rsid w:val="00C55FFD"/>
    <w:rsid w:val="00C5601F"/>
    <w:rsid w:val="00C5607A"/>
    <w:rsid w:val="00C56533"/>
    <w:rsid w:val="00C57185"/>
    <w:rsid w:val="00C57B90"/>
    <w:rsid w:val="00C604BD"/>
    <w:rsid w:val="00C6092D"/>
    <w:rsid w:val="00C60B37"/>
    <w:rsid w:val="00C6104C"/>
    <w:rsid w:val="00C61074"/>
    <w:rsid w:val="00C61170"/>
    <w:rsid w:val="00C61721"/>
    <w:rsid w:val="00C618FD"/>
    <w:rsid w:val="00C61B4E"/>
    <w:rsid w:val="00C61ECD"/>
    <w:rsid w:val="00C621F3"/>
    <w:rsid w:val="00C62329"/>
    <w:rsid w:val="00C626D3"/>
    <w:rsid w:val="00C627E0"/>
    <w:rsid w:val="00C62964"/>
    <w:rsid w:val="00C62B65"/>
    <w:rsid w:val="00C63271"/>
    <w:rsid w:val="00C63906"/>
    <w:rsid w:val="00C63C72"/>
    <w:rsid w:val="00C6400E"/>
    <w:rsid w:val="00C64044"/>
    <w:rsid w:val="00C641FF"/>
    <w:rsid w:val="00C64963"/>
    <w:rsid w:val="00C64EBA"/>
    <w:rsid w:val="00C64F27"/>
    <w:rsid w:val="00C6516F"/>
    <w:rsid w:val="00C6522C"/>
    <w:rsid w:val="00C65570"/>
    <w:rsid w:val="00C6584D"/>
    <w:rsid w:val="00C6597A"/>
    <w:rsid w:val="00C65F6E"/>
    <w:rsid w:val="00C6637C"/>
    <w:rsid w:val="00C667B7"/>
    <w:rsid w:val="00C668E5"/>
    <w:rsid w:val="00C66918"/>
    <w:rsid w:val="00C66928"/>
    <w:rsid w:val="00C66F8F"/>
    <w:rsid w:val="00C670CF"/>
    <w:rsid w:val="00C6717B"/>
    <w:rsid w:val="00C6735F"/>
    <w:rsid w:val="00C673FE"/>
    <w:rsid w:val="00C67560"/>
    <w:rsid w:val="00C676F7"/>
    <w:rsid w:val="00C678B7"/>
    <w:rsid w:val="00C70200"/>
    <w:rsid w:val="00C7081B"/>
    <w:rsid w:val="00C71027"/>
    <w:rsid w:val="00C711DC"/>
    <w:rsid w:val="00C7132F"/>
    <w:rsid w:val="00C717CE"/>
    <w:rsid w:val="00C72245"/>
    <w:rsid w:val="00C7231D"/>
    <w:rsid w:val="00C72508"/>
    <w:rsid w:val="00C72509"/>
    <w:rsid w:val="00C727C7"/>
    <w:rsid w:val="00C728E3"/>
    <w:rsid w:val="00C729E8"/>
    <w:rsid w:val="00C72A89"/>
    <w:rsid w:val="00C72B7F"/>
    <w:rsid w:val="00C734B4"/>
    <w:rsid w:val="00C735A8"/>
    <w:rsid w:val="00C736C0"/>
    <w:rsid w:val="00C73904"/>
    <w:rsid w:val="00C73939"/>
    <w:rsid w:val="00C73C20"/>
    <w:rsid w:val="00C73EEB"/>
    <w:rsid w:val="00C741BE"/>
    <w:rsid w:val="00C742DF"/>
    <w:rsid w:val="00C74CCD"/>
    <w:rsid w:val="00C74FBE"/>
    <w:rsid w:val="00C7558A"/>
    <w:rsid w:val="00C75AAC"/>
    <w:rsid w:val="00C75BA8"/>
    <w:rsid w:val="00C75BC2"/>
    <w:rsid w:val="00C7639C"/>
    <w:rsid w:val="00C7679F"/>
    <w:rsid w:val="00C768A5"/>
    <w:rsid w:val="00C76C25"/>
    <w:rsid w:val="00C76EBD"/>
    <w:rsid w:val="00C77012"/>
    <w:rsid w:val="00C77079"/>
    <w:rsid w:val="00C77708"/>
    <w:rsid w:val="00C77B41"/>
    <w:rsid w:val="00C77B95"/>
    <w:rsid w:val="00C77E7F"/>
    <w:rsid w:val="00C77F6B"/>
    <w:rsid w:val="00C77FD3"/>
    <w:rsid w:val="00C80084"/>
    <w:rsid w:val="00C809C7"/>
    <w:rsid w:val="00C80BCE"/>
    <w:rsid w:val="00C80C2C"/>
    <w:rsid w:val="00C80E27"/>
    <w:rsid w:val="00C80FB1"/>
    <w:rsid w:val="00C8146F"/>
    <w:rsid w:val="00C81615"/>
    <w:rsid w:val="00C816D4"/>
    <w:rsid w:val="00C816E5"/>
    <w:rsid w:val="00C81808"/>
    <w:rsid w:val="00C81899"/>
    <w:rsid w:val="00C81E93"/>
    <w:rsid w:val="00C822E6"/>
    <w:rsid w:val="00C822F6"/>
    <w:rsid w:val="00C826B5"/>
    <w:rsid w:val="00C826E3"/>
    <w:rsid w:val="00C82C0F"/>
    <w:rsid w:val="00C82EA2"/>
    <w:rsid w:val="00C82F74"/>
    <w:rsid w:val="00C82F9D"/>
    <w:rsid w:val="00C8352F"/>
    <w:rsid w:val="00C83626"/>
    <w:rsid w:val="00C83BA0"/>
    <w:rsid w:val="00C83E3D"/>
    <w:rsid w:val="00C84159"/>
    <w:rsid w:val="00C84BBF"/>
    <w:rsid w:val="00C85252"/>
    <w:rsid w:val="00C852CE"/>
    <w:rsid w:val="00C85393"/>
    <w:rsid w:val="00C855AB"/>
    <w:rsid w:val="00C8568A"/>
    <w:rsid w:val="00C859BC"/>
    <w:rsid w:val="00C85B9B"/>
    <w:rsid w:val="00C85F7D"/>
    <w:rsid w:val="00C86259"/>
    <w:rsid w:val="00C865AF"/>
    <w:rsid w:val="00C865E0"/>
    <w:rsid w:val="00C86743"/>
    <w:rsid w:val="00C868F8"/>
    <w:rsid w:val="00C86C16"/>
    <w:rsid w:val="00C86D1C"/>
    <w:rsid w:val="00C87211"/>
    <w:rsid w:val="00C8738E"/>
    <w:rsid w:val="00C874AD"/>
    <w:rsid w:val="00C87591"/>
    <w:rsid w:val="00C875E9"/>
    <w:rsid w:val="00C876BD"/>
    <w:rsid w:val="00C877F6"/>
    <w:rsid w:val="00C87A66"/>
    <w:rsid w:val="00C87C80"/>
    <w:rsid w:val="00C90106"/>
    <w:rsid w:val="00C90160"/>
    <w:rsid w:val="00C903DA"/>
    <w:rsid w:val="00C904F0"/>
    <w:rsid w:val="00C906F8"/>
    <w:rsid w:val="00C90724"/>
    <w:rsid w:val="00C90A81"/>
    <w:rsid w:val="00C90E6C"/>
    <w:rsid w:val="00C910AA"/>
    <w:rsid w:val="00C912C6"/>
    <w:rsid w:val="00C913D7"/>
    <w:rsid w:val="00C918E0"/>
    <w:rsid w:val="00C91D91"/>
    <w:rsid w:val="00C920E3"/>
    <w:rsid w:val="00C92319"/>
    <w:rsid w:val="00C926DB"/>
    <w:rsid w:val="00C93173"/>
    <w:rsid w:val="00C93179"/>
    <w:rsid w:val="00C93943"/>
    <w:rsid w:val="00C93D29"/>
    <w:rsid w:val="00C93D3E"/>
    <w:rsid w:val="00C93F3A"/>
    <w:rsid w:val="00C93F3B"/>
    <w:rsid w:val="00C9435D"/>
    <w:rsid w:val="00C94610"/>
    <w:rsid w:val="00C94B75"/>
    <w:rsid w:val="00C94C08"/>
    <w:rsid w:val="00C9574C"/>
    <w:rsid w:val="00C961AD"/>
    <w:rsid w:val="00C9627B"/>
    <w:rsid w:val="00C962D0"/>
    <w:rsid w:val="00C9669B"/>
    <w:rsid w:val="00C968AE"/>
    <w:rsid w:val="00C96938"/>
    <w:rsid w:val="00C96BDE"/>
    <w:rsid w:val="00C96CCB"/>
    <w:rsid w:val="00C96F12"/>
    <w:rsid w:val="00C9726B"/>
    <w:rsid w:val="00C97284"/>
    <w:rsid w:val="00C97682"/>
    <w:rsid w:val="00C977A0"/>
    <w:rsid w:val="00C97810"/>
    <w:rsid w:val="00C979BF"/>
    <w:rsid w:val="00CA046C"/>
    <w:rsid w:val="00CA05CD"/>
    <w:rsid w:val="00CA0D85"/>
    <w:rsid w:val="00CA100C"/>
    <w:rsid w:val="00CA1119"/>
    <w:rsid w:val="00CA1243"/>
    <w:rsid w:val="00CA16C3"/>
    <w:rsid w:val="00CA1A6D"/>
    <w:rsid w:val="00CA1AAB"/>
    <w:rsid w:val="00CA1E02"/>
    <w:rsid w:val="00CA1EB0"/>
    <w:rsid w:val="00CA2073"/>
    <w:rsid w:val="00CA23C6"/>
    <w:rsid w:val="00CA2838"/>
    <w:rsid w:val="00CA2AA3"/>
    <w:rsid w:val="00CA2D04"/>
    <w:rsid w:val="00CA30C0"/>
    <w:rsid w:val="00CA3164"/>
    <w:rsid w:val="00CA3568"/>
    <w:rsid w:val="00CA3680"/>
    <w:rsid w:val="00CA3779"/>
    <w:rsid w:val="00CA37D5"/>
    <w:rsid w:val="00CA3865"/>
    <w:rsid w:val="00CA3E72"/>
    <w:rsid w:val="00CA3F4D"/>
    <w:rsid w:val="00CA474C"/>
    <w:rsid w:val="00CA47CA"/>
    <w:rsid w:val="00CA49B1"/>
    <w:rsid w:val="00CA49B6"/>
    <w:rsid w:val="00CA4BF6"/>
    <w:rsid w:val="00CA4EEB"/>
    <w:rsid w:val="00CA4FB0"/>
    <w:rsid w:val="00CA5468"/>
    <w:rsid w:val="00CA55B5"/>
    <w:rsid w:val="00CA5A94"/>
    <w:rsid w:val="00CA5E27"/>
    <w:rsid w:val="00CA6073"/>
    <w:rsid w:val="00CA6178"/>
    <w:rsid w:val="00CA62E6"/>
    <w:rsid w:val="00CA6515"/>
    <w:rsid w:val="00CA661A"/>
    <w:rsid w:val="00CA6AA1"/>
    <w:rsid w:val="00CA6DED"/>
    <w:rsid w:val="00CA6E2A"/>
    <w:rsid w:val="00CA706B"/>
    <w:rsid w:val="00CA70FD"/>
    <w:rsid w:val="00CA7547"/>
    <w:rsid w:val="00CA7612"/>
    <w:rsid w:val="00CA770D"/>
    <w:rsid w:val="00CA7F33"/>
    <w:rsid w:val="00CB00F7"/>
    <w:rsid w:val="00CB0478"/>
    <w:rsid w:val="00CB05DD"/>
    <w:rsid w:val="00CB0A45"/>
    <w:rsid w:val="00CB0BCF"/>
    <w:rsid w:val="00CB0C1A"/>
    <w:rsid w:val="00CB0C40"/>
    <w:rsid w:val="00CB226C"/>
    <w:rsid w:val="00CB2419"/>
    <w:rsid w:val="00CB290A"/>
    <w:rsid w:val="00CB2C16"/>
    <w:rsid w:val="00CB2CC7"/>
    <w:rsid w:val="00CB38A5"/>
    <w:rsid w:val="00CB3E0C"/>
    <w:rsid w:val="00CB4250"/>
    <w:rsid w:val="00CB45E4"/>
    <w:rsid w:val="00CB4994"/>
    <w:rsid w:val="00CB4F95"/>
    <w:rsid w:val="00CB57AE"/>
    <w:rsid w:val="00CB57F0"/>
    <w:rsid w:val="00CB5891"/>
    <w:rsid w:val="00CB5C48"/>
    <w:rsid w:val="00CB5D53"/>
    <w:rsid w:val="00CB5E60"/>
    <w:rsid w:val="00CB6081"/>
    <w:rsid w:val="00CB622D"/>
    <w:rsid w:val="00CB66DA"/>
    <w:rsid w:val="00CB67F4"/>
    <w:rsid w:val="00CB68AC"/>
    <w:rsid w:val="00CB6972"/>
    <w:rsid w:val="00CB6BB7"/>
    <w:rsid w:val="00CB6CB1"/>
    <w:rsid w:val="00CB6E83"/>
    <w:rsid w:val="00CB7038"/>
    <w:rsid w:val="00CB726E"/>
    <w:rsid w:val="00CB742E"/>
    <w:rsid w:val="00CB76BF"/>
    <w:rsid w:val="00CB7A24"/>
    <w:rsid w:val="00CB7E12"/>
    <w:rsid w:val="00CB7EB3"/>
    <w:rsid w:val="00CC09CC"/>
    <w:rsid w:val="00CC0A07"/>
    <w:rsid w:val="00CC118C"/>
    <w:rsid w:val="00CC16AF"/>
    <w:rsid w:val="00CC1900"/>
    <w:rsid w:val="00CC1B0B"/>
    <w:rsid w:val="00CC1CF0"/>
    <w:rsid w:val="00CC1EDC"/>
    <w:rsid w:val="00CC1FC1"/>
    <w:rsid w:val="00CC1FC2"/>
    <w:rsid w:val="00CC2074"/>
    <w:rsid w:val="00CC2175"/>
    <w:rsid w:val="00CC243A"/>
    <w:rsid w:val="00CC29E9"/>
    <w:rsid w:val="00CC2BC8"/>
    <w:rsid w:val="00CC2CE9"/>
    <w:rsid w:val="00CC2DA4"/>
    <w:rsid w:val="00CC2E5B"/>
    <w:rsid w:val="00CC31AE"/>
    <w:rsid w:val="00CC368A"/>
    <w:rsid w:val="00CC3A70"/>
    <w:rsid w:val="00CC3C71"/>
    <w:rsid w:val="00CC3F46"/>
    <w:rsid w:val="00CC4156"/>
    <w:rsid w:val="00CC41AA"/>
    <w:rsid w:val="00CC4547"/>
    <w:rsid w:val="00CC4637"/>
    <w:rsid w:val="00CC4D7F"/>
    <w:rsid w:val="00CC4DA3"/>
    <w:rsid w:val="00CC4EE3"/>
    <w:rsid w:val="00CC51EC"/>
    <w:rsid w:val="00CC543C"/>
    <w:rsid w:val="00CC5513"/>
    <w:rsid w:val="00CC5517"/>
    <w:rsid w:val="00CC580E"/>
    <w:rsid w:val="00CC5866"/>
    <w:rsid w:val="00CC5A6F"/>
    <w:rsid w:val="00CC6924"/>
    <w:rsid w:val="00CC6BE2"/>
    <w:rsid w:val="00CC7005"/>
    <w:rsid w:val="00CC7014"/>
    <w:rsid w:val="00CC70D0"/>
    <w:rsid w:val="00CC7232"/>
    <w:rsid w:val="00CC7398"/>
    <w:rsid w:val="00CC73F2"/>
    <w:rsid w:val="00CC757B"/>
    <w:rsid w:val="00CC77A0"/>
    <w:rsid w:val="00CC7DA9"/>
    <w:rsid w:val="00CD0455"/>
    <w:rsid w:val="00CD0BCF"/>
    <w:rsid w:val="00CD0C35"/>
    <w:rsid w:val="00CD0E6E"/>
    <w:rsid w:val="00CD142A"/>
    <w:rsid w:val="00CD167B"/>
    <w:rsid w:val="00CD1998"/>
    <w:rsid w:val="00CD1AC0"/>
    <w:rsid w:val="00CD1B42"/>
    <w:rsid w:val="00CD1C37"/>
    <w:rsid w:val="00CD1CD6"/>
    <w:rsid w:val="00CD20A2"/>
    <w:rsid w:val="00CD21CC"/>
    <w:rsid w:val="00CD221B"/>
    <w:rsid w:val="00CD2683"/>
    <w:rsid w:val="00CD26AB"/>
    <w:rsid w:val="00CD2B6B"/>
    <w:rsid w:val="00CD2CA2"/>
    <w:rsid w:val="00CD2D1A"/>
    <w:rsid w:val="00CD2EA7"/>
    <w:rsid w:val="00CD324A"/>
    <w:rsid w:val="00CD326C"/>
    <w:rsid w:val="00CD3ADE"/>
    <w:rsid w:val="00CD4038"/>
    <w:rsid w:val="00CD40AB"/>
    <w:rsid w:val="00CD4232"/>
    <w:rsid w:val="00CD455E"/>
    <w:rsid w:val="00CD458D"/>
    <w:rsid w:val="00CD46F5"/>
    <w:rsid w:val="00CD488A"/>
    <w:rsid w:val="00CD488D"/>
    <w:rsid w:val="00CD4B39"/>
    <w:rsid w:val="00CD4BA3"/>
    <w:rsid w:val="00CD4F3E"/>
    <w:rsid w:val="00CD4F96"/>
    <w:rsid w:val="00CD5295"/>
    <w:rsid w:val="00CD52DF"/>
    <w:rsid w:val="00CD5628"/>
    <w:rsid w:val="00CD5A77"/>
    <w:rsid w:val="00CD5A99"/>
    <w:rsid w:val="00CD5C49"/>
    <w:rsid w:val="00CD5E4C"/>
    <w:rsid w:val="00CD6373"/>
    <w:rsid w:val="00CD63AB"/>
    <w:rsid w:val="00CD6530"/>
    <w:rsid w:val="00CD66A9"/>
    <w:rsid w:val="00CD677F"/>
    <w:rsid w:val="00CD6BD7"/>
    <w:rsid w:val="00CD6C80"/>
    <w:rsid w:val="00CD6CB9"/>
    <w:rsid w:val="00CD6E08"/>
    <w:rsid w:val="00CD6FBF"/>
    <w:rsid w:val="00CD7009"/>
    <w:rsid w:val="00CD705C"/>
    <w:rsid w:val="00CD764B"/>
    <w:rsid w:val="00CD76CF"/>
    <w:rsid w:val="00CD7836"/>
    <w:rsid w:val="00CD7956"/>
    <w:rsid w:val="00CD798A"/>
    <w:rsid w:val="00CD799C"/>
    <w:rsid w:val="00CD7B09"/>
    <w:rsid w:val="00CD7FC7"/>
    <w:rsid w:val="00CE08A7"/>
    <w:rsid w:val="00CE0916"/>
    <w:rsid w:val="00CE09C9"/>
    <w:rsid w:val="00CE0A22"/>
    <w:rsid w:val="00CE0A66"/>
    <w:rsid w:val="00CE0DEB"/>
    <w:rsid w:val="00CE11A5"/>
    <w:rsid w:val="00CE1200"/>
    <w:rsid w:val="00CE1338"/>
    <w:rsid w:val="00CE1463"/>
    <w:rsid w:val="00CE167F"/>
    <w:rsid w:val="00CE1694"/>
    <w:rsid w:val="00CE16CC"/>
    <w:rsid w:val="00CE1B70"/>
    <w:rsid w:val="00CE1B9D"/>
    <w:rsid w:val="00CE1D82"/>
    <w:rsid w:val="00CE24E1"/>
    <w:rsid w:val="00CE2554"/>
    <w:rsid w:val="00CE2655"/>
    <w:rsid w:val="00CE2A93"/>
    <w:rsid w:val="00CE2E05"/>
    <w:rsid w:val="00CE2F39"/>
    <w:rsid w:val="00CE2FAC"/>
    <w:rsid w:val="00CE3176"/>
    <w:rsid w:val="00CE3593"/>
    <w:rsid w:val="00CE397F"/>
    <w:rsid w:val="00CE3E13"/>
    <w:rsid w:val="00CE400C"/>
    <w:rsid w:val="00CE4040"/>
    <w:rsid w:val="00CE4609"/>
    <w:rsid w:val="00CE46AC"/>
    <w:rsid w:val="00CE4BE6"/>
    <w:rsid w:val="00CE4D4F"/>
    <w:rsid w:val="00CE4DFC"/>
    <w:rsid w:val="00CE5083"/>
    <w:rsid w:val="00CE51CB"/>
    <w:rsid w:val="00CE5289"/>
    <w:rsid w:val="00CE53C8"/>
    <w:rsid w:val="00CE589D"/>
    <w:rsid w:val="00CE595B"/>
    <w:rsid w:val="00CE5A88"/>
    <w:rsid w:val="00CE5AD4"/>
    <w:rsid w:val="00CE5B9C"/>
    <w:rsid w:val="00CE5B9E"/>
    <w:rsid w:val="00CE5D95"/>
    <w:rsid w:val="00CE5EE1"/>
    <w:rsid w:val="00CE6092"/>
    <w:rsid w:val="00CE6281"/>
    <w:rsid w:val="00CE676F"/>
    <w:rsid w:val="00CE6783"/>
    <w:rsid w:val="00CE6E4E"/>
    <w:rsid w:val="00CE716E"/>
    <w:rsid w:val="00CE728C"/>
    <w:rsid w:val="00CE738B"/>
    <w:rsid w:val="00CE7501"/>
    <w:rsid w:val="00CE7CB2"/>
    <w:rsid w:val="00CE7EBA"/>
    <w:rsid w:val="00CF04D1"/>
    <w:rsid w:val="00CF0607"/>
    <w:rsid w:val="00CF08B9"/>
    <w:rsid w:val="00CF0D91"/>
    <w:rsid w:val="00CF0DA3"/>
    <w:rsid w:val="00CF0E20"/>
    <w:rsid w:val="00CF0EBB"/>
    <w:rsid w:val="00CF12DF"/>
    <w:rsid w:val="00CF131F"/>
    <w:rsid w:val="00CF1589"/>
    <w:rsid w:val="00CF1604"/>
    <w:rsid w:val="00CF1FF3"/>
    <w:rsid w:val="00CF2871"/>
    <w:rsid w:val="00CF2D60"/>
    <w:rsid w:val="00CF2E7A"/>
    <w:rsid w:val="00CF2E8E"/>
    <w:rsid w:val="00CF302C"/>
    <w:rsid w:val="00CF3580"/>
    <w:rsid w:val="00CF364A"/>
    <w:rsid w:val="00CF369F"/>
    <w:rsid w:val="00CF3720"/>
    <w:rsid w:val="00CF3752"/>
    <w:rsid w:val="00CF3B2C"/>
    <w:rsid w:val="00CF3F09"/>
    <w:rsid w:val="00CF40FB"/>
    <w:rsid w:val="00CF4802"/>
    <w:rsid w:val="00CF495D"/>
    <w:rsid w:val="00CF5031"/>
    <w:rsid w:val="00CF5581"/>
    <w:rsid w:val="00CF57B6"/>
    <w:rsid w:val="00CF591E"/>
    <w:rsid w:val="00CF5A8C"/>
    <w:rsid w:val="00CF5F54"/>
    <w:rsid w:val="00CF607C"/>
    <w:rsid w:val="00CF61E6"/>
    <w:rsid w:val="00CF627B"/>
    <w:rsid w:val="00CF671A"/>
    <w:rsid w:val="00CF687D"/>
    <w:rsid w:val="00CF6977"/>
    <w:rsid w:val="00CF7312"/>
    <w:rsid w:val="00CF733F"/>
    <w:rsid w:val="00CF7A5B"/>
    <w:rsid w:val="00CF7BB3"/>
    <w:rsid w:val="00CF7D0C"/>
    <w:rsid w:val="00CF7D1F"/>
    <w:rsid w:val="00D0027A"/>
    <w:rsid w:val="00D009A9"/>
    <w:rsid w:val="00D00A7E"/>
    <w:rsid w:val="00D00BFD"/>
    <w:rsid w:val="00D00C0A"/>
    <w:rsid w:val="00D00D1A"/>
    <w:rsid w:val="00D00DCE"/>
    <w:rsid w:val="00D00FA3"/>
    <w:rsid w:val="00D01019"/>
    <w:rsid w:val="00D011E4"/>
    <w:rsid w:val="00D015A9"/>
    <w:rsid w:val="00D016B0"/>
    <w:rsid w:val="00D019E3"/>
    <w:rsid w:val="00D01AAE"/>
    <w:rsid w:val="00D02939"/>
    <w:rsid w:val="00D0299D"/>
    <w:rsid w:val="00D02B74"/>
    <w:rsid w:val="00D02C8B"/>
    <w:rsid w:val="00D02E90"/>
    <w:rsid w:val="00D032CF"/>
    <w:rsid w:val="00D036BB"/>
    <w:rsid w:val="00D038F4"/>
    <w:rsid w:val="00D03C9D"/>
    <w:rsid w:val="00D03D96"/>
    <w:rsid w:val="00D0432E"/>
    <w:rsid w:val="00D04402"/>
    <w:rsid w:val="00D04557"/>
    <w:rsid w:val="00D04603"/>
    <w:rsid w:val="00D04DE0"/>
    <w:rsid w:val="00D04E90"/>
    <w:rsid w:val="00D04F8F"/>
    <w:rsid w:val="00D05152"/>
    <w:rsid w:val="00D05578"/>
    <w:rsid w:val="00D05AE5"/>
    <w:rsid w:val="00D05F8F"/>
    <w:rsid w:val="00D05FEC"/>
    <w:rsid w:val="00D0616F"/>
    <w:rsid w:val="00D061FD"/>
    <w:rsid w:val="00D062CF"/>
    <w:rsid w:val="00D064C1"/>
    <w:rsid w:val="00D064EA"/>
    <w:rsid w:val="00D0675C"/>
    <w:rsid w:val="00D067C1"/>
    <w:rsid w:val="00D069AB"/>
    <w:rsid w:val="00D06C1A"/>
    <w:rsid w:val="00D06C63"/>
    <w:rsid w:val="00D06E0C"/>
    <w:rsid w:val="00D06F3C"/>
    <w:rsid w:val="00D06FFD"/>
    <w:rsid w:val="00D073C9"/>
    <w:rsid w:val="00D07505"/>
    <w:rsid w:val="00D07848"/>
    <w:rsid w:val="00D07B52"/>
    <w:rsid w:val="00D07F1B"/>
    <w:rsid w:val="00D07F93"/>
    <w:rsid w:val="00D100F9"/>
    <w:rsid w:val="00D101C1"/>
    <w:rsid w:val="00D10502"/>
    <w:rsid w:val="00D105FB"/>
    <w:rsid w:val="00D10875"/>
    <w:rsid w:val="00D10A59"/>
    <w:rsid w:val="00D10B39"/>
    <w:rsid w:val="00D10B4E"/>
    <w:rsid w:val="00D10CB9"/>
    <w:rsid w:val="00D10E11"/>
    <w:rsid w:val="00D11045"/>
    <w:rsid w:val="00D116B7"/>
    <w:rsid w:val="00D11C20"/>
    <w:rsid w:val="00D11C47"/>
    <w:rsid w:val="00D11C82"/>
    <w:rsid w:val="00D11DA4"/>
    <w:rsid w:val="00D11E28"/>
    <w:rsid w:val="00D127D2"/>
    <w:rsid w:val="00D1287C"/>
    <w:rsid w:val="00D12D34"/>
    <w:rsid w:val="00D12DF2"/>
    <w:rsid w:val="00D1314C"/>
    <w:rsid w:val="00D13296"/>
    <w:rsid w:val="00D134B0"/>
    <w:rsid w:val="00D1365C"/>
    <w:rsid w:val="00D13A45"/>
    <w:rsid w:val="00D13C8E"/>
    <w:rsid w:val="00D14F0E"/>
    <w:rsid w:val="00D15007"/>
    <w:rsid w:val="00D15209"/>
    <w:rsid w:val="00D1565E"/>
    <w:rsid w:val="00D15805"/>
    <w:rsid w:val="00D1596D"/>
    <w:rsid w:val="00D159DC"/>
    <w:rsid w:val="00D15CA7"/>
    <w:rsid w:val="00D15D44"/>
    <w:rsid w:val="00D160C8"/>
    <w:rsid w:val="00D161BB"/>
    <w:rsid w:val="00D16685"/>
    <w:rsid w:val="00D166F1"/>
    <w:rsid w:val="00D16AC5"/>
    <w:rsid w:val="00D16B86"/>
    <w:rsid w:val="00D16BD6"/>
    <w:rsid w:val="00D16D7C"/>
    <w:rsid w:val="00D16EDA"/>
    <w:rsid w:val="00D1774F"/>
    <w:rsid w:val="00D17831"/>
    <w:rsid w:val="00D17904"/>
    <w:rsid w:val="00D17A97"/>
    <w:rsid w:val="00D17D4C"/>
    <w:rsid w:val="00D17DD7"/>
    <w:rsid w:val="00D200BF"/>
    <w:rsid w:val="00D2054D"/>
    <w:rsid w:val="00D20575"/>
    <w:rsid w:val="00D206C7"/>
    <w:rsid w:val="00D208E8"/>
    <w:rsid w:val="00D20A5D"/>
    <w:rsid w:val="00D20A5E"/>
    <w:rsid w:val="00D210A1"/>
    <w:rsid w:val="00D2148B"/>
    <w:rsid w:val="00D21554"/>
    <w:rsid w:val="00D217A2"/>
    <w:rsid w:val="00D218C6"/>
    <w:rsid w:val="00D219B4"/>
    <w:rsid w:val="00D21A92"/>
    <w:rsid w:val="00D22058"/>
    <w:rsid w:val="00D220B4"/>
    <w:rsid w:val="00D2257F"/>
    <w:rsid w:val="00D22B9B"/>
    <w:rsid w:val="00D2309A"/>
    <w:rsid w:val="00D2319E"/>
    <w:rsid w:val="00D2334F"/>
    <w:rsid w:val="00D2365F"/>
    <w:rsid w:val="00D23A32"/>
    <w:rsid w:val="00D23B3B"/>
    <w:rsid w:val="00D23DAC"/>
    <w:rsid w:val="00D24010"/>
    <w:rsid w:val="00D24139"/>
    <w:rsid w:val="00D2449F"/>
    <w:rsid w:val="00D24524"/>
    <w:rsid w:val="00D245EB"/>
    <w:rsid w:val="00D24609"/>
    <w:rsid w:val="00D24C99"/>
    <w:rsid w:val="00D24DE2"/>
    <w:rsid w:val="00D24ED6"/>
    <w:rsid w:val="00D2511A"/>
    <w:rsid w:val="00D252DD"/>
    <w:rsid w:val="00D253AE"/>
    <w:rsid w:val="00D253C5"/>
    <w:rsid w:val="00D25981"/>
    <w:rsid w:val="00D25AEC"/>
    <w:rsid w:val="00D264FB"/>
    <w:rsid w:val="00D26657"/>
    <w:rsid w:val="00D26995"/>
    <w:rsid w:val="00D277B7"/>
    <w:rsid w:val="00D27FF7"/>
    <w:rsid w:val="00D30035"/>
    <w:rsid w:val="00D30046"/>
    <w:rsid w:val="00D302E6"/>
    <w:rsid w:val="00D3045D"/>
    <w:rsid w:val="00D305E6"/>
    <w:rsid w:val="00D30916"/>
    <w:rsid w:val="00D309F4"/>
    <w:rsid w:val="00D30A54"/>
    <w:rsid w:val="00D30A6D"/>
    <w:rsid w:val="00D30BFA"/>
    <w:rsid w:val="00D30C87"/>
    <w:rsid w:val="00D30DC6"/>
    <w:rsid w:val="00D3101F"/>
    <w:rsid w:val="00D3106C"/>
    <w:rsid w:val="00D31302"/>
    <w:rsid w:val="00D316CC"/>
    <w:rsid w:val="00D31A99"/>
    <w:rsid w:val="00D31C2A"/>
    <w:rsid w:val="00D31F90"/>
    <w:rsid w:val="00D3213A"/>
    <w:rsid w:val="00D323DA"/>
    <w:rsid w:val="00D32628"/>
    <w:rsid w:val="00D3275E"/>
    <w:rsid w:val="00D32918"/>
    <w:rsid w:val="00D32C53"/>
    <w:rsid w:val="00D32DD8"/>
    <w:rsid w:val="00D33009"/>
    <w:rsid w:val="00D3370B"/>
    <w:rsid w:val="00D33742"/>
    <w:rsid w:val="00D3394B"/>
    <w:rsid w:val="00D33A03"/>
    <w:rsid w:val="00D33E90"/>
    <w:rsid w:val="00D33FCF"/>
    <w:rsid w:val="00D3403E"/>
    <w:rsid w:val="00D341BD"/>
    <w:rsid w:val="00D3445A"/>
    <w:rsid w:val="00D346E5"/>
    <w:rsid w:val="00D346F1"/>
    <w:rsid w:val="00D34B97"/>
    <w:rsid w:val="00D34E11"/>
    <w:rsid w:val="00D35090"/>
    <w:rsid w:val="00D352D9"/>
    <w:rsid w:val="00D352FE"/>
    <w:rsid w:val="00D35441"/>
    <w:rsid w:val="00D35F22"/>
    <w:rsid w:val="00D3620B"/>
    <w:rsid w:val="00D36633"/>
    <w:rsid w:val="00D36637"/>
    <w:rsid w:val="00D36747"/>
    <w:rsid w:val="00D370A5"/>
    <w:rsid w:val="00D377CF"/>
    <w:rsid w:val="00D3798E"/>
    <w:rsid w:val="00D37B07"/>
    <w:rsid w:val="00D37B1D"/>
    <w:rsid w:val="00D37CAA"/>
    <w:rsid w:val="00D4028D"/>
    <w:rsid w:val="00D40481"/>
    <w:rsid w:val="00D4068D"/>
    <w:rsid w:val="00D407BB"/>
    <w:rsid w:val="00D40B1A"/>
    <w:rsid w:val="00D40BC2"/>
    <w:rsid w:val="00D40C96"/>
    <w:rsid w:val="00D40FE8"/>
    <w:rsid w:val="00D4135C"/>
    <w:rsid w:val="00D415C6"/>
    <w:rsid w:val="00D41EF5"/>
    <w:rsid w:val="00D42103"/>
    <w:rsid w:val="00D42712"/>
    <w:rsid w:val="00D42744"/>
    <w:rsid w:val="00D42856"/>
    <w:rsid w:val="00D42C4A"/>
    <w:rsid w:val="00D43210"/>
    <w:rsid w:val="00D43934"/>
    <w:rsid w:val="00D43F20"/>
    <w:rsid w:val="00D44620"/>
    <w:rsid w:val="00D44AD4"/>
    <w:rsid w:val="00D44FBF"/>
    <w:rsid w:val="00D45079"/>
    <w:rsid w:val="00D45127"/>
    <w:rsid w:val="00D4559C"/>
    <w:rsid w:val="00D45CCB"/>
    <w:rsid w:val="00D45D45"/>
    <w:rsid w:val="00D45E2D"/>
    <w:rsid w:val="00D46469"/>
    <w:rsid w:val="00D465C9"/>
    <w:rsid w:val="00D46733"/>
    <w:rsid w:val="00D46A83"/>
    <w:rsid w:val="00D46CD4"/>
    <w:rsid w:val="00D46E51"/>
    <w:rsid w:val="00D4704B"/>
    <w:rsid w:val="00D47415"/>
    <w:rsid w:val="00D47951"/>
    <w:rsid w:val="00D47B28"/>
    <w:rsid w:val="00D47CC4"/>
    <w:rsid w:val="00D47ED4"/>
    <w:rsid w:val="00D47F80"/>
    <w:rsid w:val="00D50073"/>
    <w:rsid w:val="00D5027D"/>
    <w:rsid w:val="00D503F9"/>
    <w:rsid w:val="00D51135"/>
    <w:rsid w:val="00D51176"/>
    <w:rsid w:val="00D51412"/>
    <w:rsid w:val="00D514DF"/>
    <w:rsid w:val="00D515AF"/>
    <w:rsid w:val="00D515EC"/>
    <w:rsid w:val="00D5198A"/>
    <w:rsid w:val="00D51C6C"/>
    <w:rsid w:val="00D525A4"/>
    <w:rsid w:val="00D5297D"/>
    <w:rsid w:val="00D529EB"/>
    <w:rsid w:val="00D52AC5"/>
    <w:rsid w:val="00D52EA8"/>
    <w:rsid w:val="00D5395E"/>
    <w:rsid w:val="00D53999"/>
    <w:rsid w:val="00D53BBF"/>
    <w:rsid w:val="00D53E54"/>
    <w:rsid w:val="00D53EA8"/>
    <w:rsid w:val="00D5419C"/>
    <w:rsid w:val="00D542F5"/>
    <w:rsid w:val="00D5496A"/>
    <w:rsid w:val="00D54B93"/>
    <w:rsid w:val="00D54F27"/>
    <w:rsid w:val="00D55287"/>
    <w:rsid w:val="00D5529A"/>
    <w:rsid w:val="00D554F0"/>
    <w:rsid w:val="00D55501"/>
    <w:rsid w:val="00D55812"/>
    <w:rsid w:val="00D55FE2"/>
    <w:rsid w:val="00D5610F"/>
    <w:rsid w:val="00D56380"/>
    <w:rsid w:val="00D5646A"/>
    <w:rsid w:val="00D565E7"/>
    <w:rsid w:val="00D567F7"/>
    <w:rsid w:val="00D56B7C"/>
    <w:rsid w:val="00D56DBA"/>
    <w:rsid w:val="00D56DC6"/>
    <w:rsid w:val="00D56E7A"/>
    <w:rsid w:val="00D57378"/>
    <w:rsid w:val="00D57908"/>
    <w:rsid w:val="00D57F89"/>
    <w:rsid w:val="00D60545"/>
    <w:rsid w:val="00D60795"/>
    <w:rsid w:val="00D607EE"/>
    <w:rsid w:val="00D60F75"/>
    <w:rsid w:val="00D615EC"/>
    <w:rsid w:val="00D61603"/>
    <w:rsid w:val="00D617DE"/>
    <w:rsid w:val="00D61C2D"/>
    <w:rsid w:val="00D61F7E"/>
    <w:rsid w:val="00D620F3"/>
    <w:rsid w:val="00D62758"/>
    <w:rsid w:val="00D629AB"/>
    <w:rsid w:val="00D62A97"/>
    <w:rsid w:val="00D62C1E"/>
    <w:rsid w:val="00D62C74"/>
    <w:rsid w:val="00D62C97"/>
    <w:rsid w:val="00D631D5"/>
    <w:rsid w:val="00D6342C"/>
    <w:rsid w:val="00D6403C"/>
    <w:rsid w:val="00D641F3"/>
    <w:rsid w:val="00D648A8"/>
    <w:rsid w:val="00D64DFB"/>
    <w:rsid w:val="00D64E4E"/>
    <w:rsid w:val="00D64EF5"/>
    <w:rsid w:val="00D65469"/>
    <w:rsid w:val="00D6555A"/>
    <w:rsid w:val="00D656E2"/>
    <w:rsid w:val="00D65B51"/>
    <w:rsid w:val="00D65CBB"/>
    <w:rsid w:val="00D65E0D"/>
    <w:rsid w:val="00D65FCF"/>
    <w:rsid w:val="00D66138"/>
    <w:rsid w:val="00D66713"/>
    <w:rsid w:val="00D668D8"/>
    <w:rsid w:val="00D66D85"/>
    <w:rsid w:val="00D66EFE"/>
    <w:rsid w:val="00D671B0"/>
    <w:rsid w:val="00D676F9"/>
    <w:rsid w:val="00D67A5F"/>
    <w:rsid w:val="00D67FDF"/>
    <w:rsid w:val="00D701FA"/>
    <w:rsid w:val="00D7029F"/>
    <w:rsid w:val="00D703FD"/>
    <w:rsid w:val="00D7042E"/>
    <w:rsid w:val="00D704F4"/>
    <w:rsid w:val="00D70505"/>
    <w:rsid w:val="00D706D8"/>
    <w:rsid w:val="00D70E74"/>
    <w:rsid w:val="00D71325"/>
    <w:rsid w:val="00D7132A"/>
    <w:rsid w:val="00D71372"/>
    <w:rsid w:val="00D71793"/>
    <w:rsid w:val="00D719C4"/>
    <w:rsid w:val="00D71D1B"/>
    <w:rsid w:val="00D71D41"/>
    <w:rsid w:val="00D72112"/>
    <w:rsid w:val="00D726A4"/>
    <w:rsid w:val="00D726EC"/>
    <w:rsid w:val="00D7281A"/>
    <w:rsid w:val="00D72BF9"/>
    <w:rsid w:val="00D72E9D"/>
    <w:rsid w:val="00D72EC0"/>
    <w:rsid w:val="00D72F5A"/>
    <w:rsid w:val="00D7329E"/>
    <w:rsid w:val="00D7332A"/>
    <w:rsid w:val="00D73570"/>
    <w:rsid w:val="00D735F3"/>
    <w:rsid w:val="00D738E3"/>
    <w:rsid w:val="00D7390C"/>
    <w:rsid w:val="00D73B62"/>
    <w:rsid w:val="00D73D37"/>
    <w:rsid w:val="00D73DF0"/>
    <w:rsid w:val="00D73E4E"/>
    <w:rsid w:val="00D73E5E"/>
    <w:rsid w:val="00D73E6E"/>
    <w:rsid w:val="00D73EA5"/>
    <w:rsid w:val="00D73EE2"/>
    <w:rsid w:val="00D74206"/>
    <w:rsid w:val="00D747EC"/>
    <w:rsid w:val="00D74CFC"/>
    <w:rsid w:val="00D75116"/>
    <w:rsid w:val="00D754A2"/>
    <w:rsid w:val="00D754B5"/>
    <w:rsid w:val="00D75B50"/>
    <w:rsid w:val="00D75CF9"/>
    <w:rsid w:val="00D75E00"/>
    <w:rsid w:val="00D75F95"/>
    <w:rsid w:val="00D76190"/>
    <w:rsid w:val="00D761B0"/>
    <w:rsid w:val="00D7649F"/>
    <w:rsid w:val="00D7674D"/>
    <w:rsid w:val="00D77418"/>
    <w:rsid w:val="00D77601"/>
    <w:rsid w:val="00D7762E"/>
    <w:rsid w:val="00D7775F"/>
    <w:rsid w:val="00D77812"/>
    <w:rsid w:val="00D77906"/>
    <w:rsid w:val="00D77E24"/>
    <w:rsid w:val="00D80147"/>
    <w:rsid w:val="00D80296"/>
    <w:rsid w:val="00D803D8"/>
    <w:rsid w:val="00D8042C"/>
    <w:rsid w:val="00D8045E"/>
    <w:rsid w:val="00D80500"/>
    <w:rsid w:val="00D808C1"/>
    <w:rsid w:val="00D80A2C"/>
    <w:rsid w:val="00D80AB4"/>
    <w:rsid w:val="00D80B38"/>
    <w:rsid w:val="00D80E40"/>
    <w:rsid w:val="00D80F5E"/>
    <w:rsid w:val="00D810C9"/>
    <w:rsid w:val="00D811A5"/>
    <w:rsid w:val="00D8132A"/>
    <w:rsid w:val="00D81379"/>
    <w:rsid w:val="00D817DD"/>
    <w:rsid w:val="00D818F0"/>
    <w:rsid w:val="00D819E9"/>
    <w:rsid w:val="00D81D55"/>
    <w:rsid w:val="00D821BC"/>
    <w:rsid w:val="00D822A8"/>
    <w:rsid w:val="00D82C61"/>
    <w:rsid w:val="00D82DC7"/>
    <w:rsid w:val="00D83226"/>
    <w:rsid w:val="00D839B2"/>
    <w:rsid w:val="00D83B5D"/>
    <w:rsid w:val="00D83BF1"/>
    <w:rsid w:val="00D83CA1"/>
    <w:rsid w:val="00D840A3"/>
    <w:rsid w:val="00D8447D"/>
    <w:rsid w:val="00D844DC"/>
    <w:rsid w:val="00D847AC"/>
    <w:rsid w:val="00D84E93"/>
    <w:rsid w:val="00D85198"/>
    <w:rsid w:val="00D8530B"/>
    <w:rsid w:val="00D85C44"/>
    <w:rsid w:val="00D86E6D"/>
    <w:rsid w:val="00D86FD0"/>
    <w:rsid w:val="00D878BF"/>
    <w:rsid w:val="00D87F48"/>
    <w:rsid w:val="00D90060"/>
    <w:rsid w:val="00D905E7"/>
    <w:rsid w:val="00D9069F"/>
    <w:rsid w:val="00D9097D"/>
    <w:rsid w:val="00D910A7"/>
    <w:rsid w:val="00D912F6"/>
    <w:rsid w:val="00D91840"/>
    <w:rsid w:val="00D91C8F"/>
    <w:rsid w:val="00D91D80"/>
    <w:rsid w:val="00D91EC3"/>
    <w:rsid w:val="00D91F00"/>
    <w:rsid w:val="00D91F93"/>
    <w:rsid w:val="00D92076"/>
    <w:rsid w:val="00D92607"/>
    <w:rsid w:val="00D92682"/>
    <w:rsid w:val="00D92737"/>
    <w:rsid w:val="00D92776"/>
    <w:rsid w:val="00D933E5"/>
    <w:rsid w:val="00D9385F"/>
    <w:rsid w:val="00D93AF2"/>
    <w:rsid w:val="00D93D08"/>
    <w:rsid w:val="00D9428A"/>
    <w:rsid w:val="00D94526"/>
    <w:rsid w:val="00D947AA"/>
    <w:rsid w:val="00D94837"/>
    <w:rsid w:val="00D948C9"/>
    <w:rsid w:val="00D94C41"/>
    <w:rsid w:val="00D94D9C"/>
    <w:rsid w:val="00D95073"/>
    <w:rsid w:val="00D9519A"/>
    <w:rsid w:val="00D95237"/>
    <w:rsid w:val="00D954FA"/>
    <w:rsid w:val="00D95520"/>
    <w:rsid w:val="00D9559B"/>
    <w:rsid w:val="00D959F2"/>
    <w:rsid w:val="00D967F1"/>
    <w:rsid w:val="00D96BA4"/>
    <w:rsid w:val="00D96C2F"/>
    <w:rsid w:val="00D970D1"/>
    <w:rsid w:val="00D9787A"/>
    <w:rsid w:val="00D97EBB"/>
    <w:rsid w:val="00D97F31"/>
    <w:rsid w:val="00DA0098"/>
    <w:rsid w:val="00DA01CB"/>
    <w:rsid w:val="00DA0723"/>
    <w:rsid w:val="00DA0DCE"/>
    <w:rsid w:val="00DA13D6"/>
    <w:rsid w:val="00DA14EC"/>
    <w:rsid w:val="00DA1C8B"/>
    <w:rsid w:val="00DA1F43"/>
    <w:rsid w:val="00DA1FEC"/>
    <w:rsid w:val="00DA2084"/>
    <w:rsid w:val="00DA20E7"/>
    <w:rsid w:val="00DA21F5"/>
    <w:rsid w:val="00DA223A"/>
    <w:rsid w:val="00DA22AB"/>
    <w:rsid w:val="00DA231D"/>
    <w:rsid w:val="00DA248C"/>
    <w:rsid w:val="00DA2B0A"/>
    <w:rsid w:val="00DA2B6E"/>
    <w:rsid w:val="00DA2CAF"/>
    <w:rsid w:val="00DA2EEA"/>
    <w:rsid w:val="00DA2F12"/>
    <w:rsid w:val="00DA3370"/>
    <w:rsid w:val="00DA371A"/>
    <w:rsid w:val="00DA3C6D"/>
    <w:rsid w:val="00DA4146"/>
    <w:rsid w:val="00DA42AE"/>
    <w:rsid w:val="00DA4C09"/>
    <w:rsid w:val="00DA4CF0"/>
    <w:rsid w:val="00DA4F35"/>
    <w:rsid w:val="00DA4FE2"/>
    <w:rsid w:val="00DA5143"/>
    <w:rsid w:val="00DA524C"/>
    <w:rsid w:val="00DA545F"/>
    <w:rsid w:val="00DA637F"/>
    <w:rsid w:val="00DA6512"/>
    <w:rsid w:val="00DA664B"/>
    <w:rsid w:val="00DA675A"/>
    <w:rsid w:val="00DA6902"/>
    <w:rsid w:val="00DA6A26"/>
    <w:rsid w:val="00DA7236"/>
    <w:rsid w:val="00DA7463"/>
    <w:rsid w:val="00DA7871"/>
    <w:rsid w:val="00DA7C49"/>
    <w:rsid w:val="00DB016D"/>
    <w:rsid w:val="00DB035E"/>
    <w:rsid w:val="00DB1429"/>
    <w:rsid w:val="00DB14AA"/>
    <w:rsid w:val="00DB1503"/>
    <w:rsid w:val="00DB1549"/>
    <w:rsid w:val="00DB1939"/>
    <w:rsid w:val="00DB1C96"/>
    <w:rsid w:val="00DB1F44"/>
    <w:rsid w:val="00DB20F4"/>
    <w:rsid w:val="00DB2123"/>
    <w:rsid w:val="00DB2153"/>
    <w:rsid w:val="00DB2238"/>
    <w:rsid w:val="00DB2596"/>
    <w:rsid w:val="00DB26E6"/>
    <w:rsid w:val="00DB2806"/>
    <w:rsid w:val="00DB28D7"/>
    <w:rsid w:val="00DB2B0A"/>
    <w:rsid w:val="00DB2CAA"/>
    <w:rsid w:val="00DB2DED"/>
    <w:rsid w:val="00DB334E"/>
    <w:rsid w:val="00DB3404"/>
    <w:rsid w:val="00DB3464"/>
    <w:rsid w:val="00DB36E3"/>
    <w:rsid w:val="00DB37FF"/>
    <w:rsid w:val="00DB39B3"/>
    <w:rsid w:val="00DB3A1D"/>
    <w:rsid w:val="00DB3AF8"/>
    <w:rsid w:val="00DB3EC9"/>
    <w:rsid w:val="00DB3EF7"/>
    <w:rsid w:val="00DB4613"/>
    <w:rsid w:val="00DB4B75"/>
    <w:rsid w:val="00DB52BA"/>
    <w:rsid w:val="00DB597D"/>
    <w:rsid w:val="00DB5D25"/>
    <w:rsid w:val="00DB5DFB"/>
    <w:rsid w:val="00DB6168"/>
    <w:rsid w:val="00DB616E"/>
    <w:rsid w:val="00DB62A9"/>
    <w:rsid w:val="00DB656D"/>
    <w:rsid w:val="00DB6631"/>
    <w:rsid w:val="00DB670A"/>
    <w:rsid w:val="00DB672C"/>
    <w:rsid w:val="00DB6C44"/>
    <w:rsid w:val="00DB6FA7"/>
    <w:rsid w:val="00DB717A"/>
    <w:rsid w:val="00DB7468"/>
    <w:rsid w:val="00DB772D"/>
    <w:rsid w:val="00DB7C1C"/>
    <w:rsid w:val="00DB7ED0"/>
    <w:rsid w:val="00DC066B"/>
    <w:rsid w:val="00DC13A0"/>
    <w:rsid w:val="00DC13B7"/>
    <w:rsid w:val="00DC1445"/>
    <w:rsid w:val="00DC15C2"/>
    <w:rsid w:val="00DC1802"/>
    <w:rsid w:val="00DC1910"/>
    <w:rsid w:val="00DC1C06"/>
    <w:rsid w:val="00DC1E3C"/>
    <w:rsid w:val="00DC2316"/>
    <w:rsid w:val="00DC2495"/>
    <w:rsid w:val="00DC25E9"/>
    <w:rsid w:val="00DC2B1D"/>
    <w:rsid w:val="00DC2D21"/>
    <w:rsid w:val="00DC2D53"/>
    <w:rsid w:val="00DC2DE3"/>
    <w:rsid w:val="00DC36D8"/>
    <w:rsid w:val="00DC3822"/>
    <w:rsid w:val="00DC3AB5"/>
    <w:rsid w:val="00DC3D67"/>
    <w:rsid w:val="00DC3E77"/>
    <w:rsid w:val="00DC401B"/>
    <w:rsid w:val="00DC4129"/>
    <w:rsid w:val="00DC431B"/>
    <w:rsid w:val="00DC44CA"/>
    <w:rsid w:val="00DC4B19"/>
    <w:rsid w:val="00DC507D"/>
    <w:rsid w:val="00DC53EB"/>
    <w:rsid w:val="00DC5720"/>
    <w:rsid w:val="00DC5AF1"/>
    <w:rsid w:val="00DC5BC3"/>
    <w:rsid w:val="00DC5FDE"/>
    <w:rsid w:val="00DC643E"/>
    <w:rsid w:val="00DC65BE"/>
    <w:rsid w:val="00DC6851"/>
    <w:rsid w:val="00DC6ADB"/>
    <w:rsid w:val="00DC6E3C"/>
    <w:rsid w:val="00DC6EF5"/>
    <w:rsid w:val="00DC7095"/>
    <w:rsid w:val="00DC70BA"/>
    <w:rsid w:val="00DC763C"/>
    <w:rsid w:val="00DC7734"/>
    <w:rsid w:val="00DC79C9"/>
    <w:rsid w:val="00DC79D5"/>
    <w:rsid w:val="00DC7BCE"/>
    <w:rsid w:val="00DD0082"/>
    <w:rsid w:val="00DD0417"/>
    <w:rsid w:val="00DD1BB9"/>
    <w:rsid w:val="00DD1D93"/>
    <w:rsid w:val="00DD21BC"/>
    <w:rsid w:val="00DD25CE"/>
    <w:rsid w:val="00DD2857"/>
    <w:rsid w:val="00DD2A66"/>
    <w:rsid w:val="00DD2B47"/>
    <w:rsid w:val="00DD2C3B"/>
    <w:rsid w:val="00DD2E16"/>
    <w:rsid w:val="00DD30FC"/>
    <w:rsid w:val="00DD31E9"/>
    <w:rsid w:val="00DD360C"/>
    <w:rsid w:val="00DD39AB"/>
    <w:rsid w:val="00DD3CBF"/>
    <w:rsid w:val="00DD3D14"/>
    <w:rsid w:val="00DD3E0F"/>
    <w:rsid w:val="00DD3E7E"/>
    <w:rsid w:val="00DD418F"/>
    <w:rsid w:val="00DD43D2"/>
    <w:rsid w:val="00DD45AC"/>
    <w:rsid w:val="00DD4648"/>
    <w:rsid w:val="00DD46CD"/>
    <w:rsid w:val="00DD4C97"/>
    <w:rsid w:val="00DD4F96"/>
    <w:rsid w:val="00DD503F"/>
    <w:rsid w:val="00DD5083"/>
    <w:rsid w:val="00DD5158"/>
    <w:rsid w:val="00DD515A"/>
    <w:rsid w:val="00DD520D"/>
    <w:rsid w:val="00DD5266"/>
    <w:rsid w:val="00DD53DF"/>
    <w:rsid w:val="00DD569B"/>
    <w:rsid w:val="00DD571D"/>
    <w:rsid w:val="00DD5735"/>
    <w:rsid w:val="00DD57BB"/>
    <w:rsid w:val="00DD5AF5"/>
    <w:rsid w:val="00DD5EEB"/>
    <w:rsid w:val="00DD6561"/>
    <w:rsid w:val="00DD656A"/>
    <w:rsid w:val="00DD67CC"/>
    <w:rsid w:val="00DD6837"/>
    <w:rsid w:val="00DD692C"/>
    <w:rsid w:val="00DD7215"/>
    <w:rsid w:val="00DD72DE"/>
    <w:rsid w:val="00DD7E02"/>
    <w:rsid w:val="00DD7F7E"/>
    <w:rsid w:val="00DE01FB"/>
    <w:rsid w:val="00DE030A"/>
    <w:rsid w:val="00DE06CA"/>
    <w:rsid w:val="00DE07C4"/>
    <w:rsid w:val="00DE0AD7"/>
    <w:rsid w:val="00DE0D79"/>
    <w:rsid w:val="00DE1211"/>
    <w:rsid w:val="00DE138F"/>
    <w:rsid w:val="00DE1E75"/>
    <w:rsid w:val="00DE21CB"/>
    <w:rsid w:val="00DE2D0D"/>
    <w:rsid w:val="00DE2E0B"/>
    <w:rsid w:val="00DE308E"/>
    <w:rsid w:val="00DE319A"/>
    <w:rsid w:val="00DE31EC"/>
    <w:rsid w:val="00DE329E"/>
    <w:rsid w:val="00DE3895"/>
    <w:rsid w:val="00DE405E"/>
    <w:rsid w:val="00DE4167"/>
    <w:rsid w:val="00DE43BC"/>
    <w:rsid w:val="00DE45A8"/>
    <w:rsid w:val="00DE492F"/>
    <w:rsid w:val="00DE4A90"/>
    <w:rsid w:val="00DE4BCA"/>
    <w:rsid w:val="00DE50BF"/>
    <w:rsid w:val="00DE519B"/>
    <w:rsid w:val="00DE52BC"/>
    <w:rsid w:val="00DE564A"/>
    <w:rsid w:val="00DE59C4"/>
    <w:rsid w:val="00DE5B3F"/>
    <w:rsid w:val="00DE5C0C"/>
    <w:rsid w:val="00DE5D24"/>
    <w:rsid w:val="00DE5DE5"/>
    <w:rsid w:val="00DE6497"/>
    <w:rsid w:val="00DE69C8"/>
    <w:rsid w:val="00DE7147"/>
    <w:rsid w:val="00DE7181"/>
    <w:rsid w:val="00DE71AB"/>
    <w:rsid w:val="00DE71D1"/>
    <w:rsid w:val="00DE72AE"/>
    <w:rsid w:val="00DE73AE"/>
    <w:rsid w:val="00DE75DF"/>
    <w:rsid w:val="00DE7A2A"/>
    <w:rsid w:val="00DE7AB4"/>
    <w:rsid w:val="00DE7FD3"/>
    <w:rsid w:val="00DF03AC"/>
    <w:rsid w:val="00DF05B5"/>
    <w:rsid w:val="00DF09A8"/>
    <w:rsid w:val="00DF0C67"/>
    <w:rsid w:val="00DF0C99"/>
    <w:rsid w:val="00DF12DC"/>
    <w:rsid w:val="00DF1451"/>
    <w:rsid w:val="00DF18B8"/>
    <w:rsid w:val="00DF1903"/>
    <w:rsid w:val="00DF1986"/>
    <w:rsid w:val="00DF1D89"/>
    <w:rsid w:val="00DF1FCD"/>
    <w:rsid w:val="00DF22E6"/>
    <w:rsid w:val="00DF278D"/>
    <w:rsid w:val="00DF2B5F"/>
    <w:rsid w:val="00DF2D2F"/>
    <w:rsid w:val="00DF31D8"/>
    <w:rsid w:val="00DF326F"/>
    <w:rsid w:val="00DF350F"/>
    <w:rsid w:val="00DF36E1"/>
    <w:rsid w:val="00DF3EBE"/>
    <w:rsid w:val="00DF408E"/>
    <w:rsid w:val="00DF4230"/>
    <w:rsid w:val="00DF429B"/>
    <w:rsid w:val="00DF44EB"/>
    <w:rsid w:val="00DF47A6"/>
    <w:rsid w:val="00DF4BE8"/>
    <w:rsid w:val="00DF4C7A"/>
    <w:rsid w:val="00DF4C87"/>
    <w:rsid w:val="00DF5066"/>
    <w:rsid w:val="00DF563B"/>
    <w:rsid w:val="00DF5E72"/>
    <w:rsid w:val="00DF629A"/>
    <w:rsid w:val="00DF641E"/>
    <w:rsid w:val="00DF64E8"/>
    <w:rsid w:val="00DF6626"/>
    <w:rsid w:val="00DF678E"/>
    <w:rsid w:val="00DF720D"/>
    <w:rsid w:val="00DF76B2"/>
    <w:rsid w:val="00DF7801"/>
    <w:rsid w:val="00DF7D07"/>
    <w:rsid w:val="00DF7D51"/>
    <w:rsid w:val="00DF7F02"/>
    <w:rsid w:val="00DF7F4E"/>
    <w:rsid w:val="00DF7FD7"/>
    <w:rsid w:val="00E0025B"/>
    <w:rsid w:val="00E00321"/>
    <w:rsid w:val="00E003B3"/>
    <w:rsid w:val="00E003E8"/>
    <w:rsid w:val="00E00750"/>
    <w:rsid w:val="00E007E9"/>
    <w:rsid w:val="00E0086A"/>
    <w:rsid w:val="00E00D6B"/>
    <w:rsid w:val="00E00F83"/>
    <w:rsid w:val="00E0111B"/>
    <w:rsid w:val="00E01328"/>
    <w:rsid w:val="00E01434"/>
    <w:rsid w:val="00E0164D"/>
    <w:rsid w:val="00E01653"/>
    <w:rsid w:val="00E0167E"/>
    <w:rsid w:val="00E0182E"/>
    <w:rsid w:val="00E01B61"/>
    <w:rsid w:val="00E025C4"/>
    <w:rsid w:val="00E02798"/>
    <w:rsid w:val="00E03A71"/>
    <w:rsid w:val="00E03B62"/>
    <w:rsid w:val="00E03E5A"/>
    <w:rsid w:val="00E03EBD"/>
    <w:rsid w:val="00E03F0E"/>
    <w:rsid w:val="00E03F19"/>
    <w:rsid w:val="00E03F76"/>
    <w:rsid w:val="00E04048"/>
    <w:rsid w:val="00E040B4"/>
    <w:rsid w:val="00E04130"/>
    <w:rsid w:val="00E04D6D"/>
    <w:rsid w:val="00E0567E"/>
    <w:rsid w:val="00E05A44"/>
    <w:rsid w:val="00E05BBB"/>
    <w:rsid w:val="00E0651F"/>
    <w:rsid w:val="00E06ACF"/>
    <w:rsid w:val="00E06B44"/>
    <w:rsid w:val="00E06EB2"/>
    <w:rsid w:val="00E070BF"/>
    <w:rsid w:val="00E07290"/>
    <w:rsid w:val="00E075E2"/>
    <w:rsid w:val="00E07612"/>
    <w:rsid w:val="00E0761E"/>
    <w:rsid w:val="00E0769C"/>
    <w:rsid w:val="00E07A5D"/>
    <w:rsid w:val="00E07BF5"/>
    <w:rsid w:val="00E07D07"/>
    <w:rsid w:val="00E103E8"/>
    <w:rsid w:val="00E104D9"/>
    <w:rsid w:val="00E1076F"/>
    <w:rsid w:val="00E10B71"/>
    <w:rsid w:val="00E10BF8"/>
    <w:rsid w:val="00E10C41"/>
    <w:rsid w:val="00E10E00"/>
    <w:rsid w:val="00E11407"/>
    <w:rsid w:val="00E1153F"/>
    <w:rsid w:val="00E1166F"/>
    <w:rsid w:val="00E1176A"/>
    <w:rsid w:val="00E11823"/>
    <w:rsid w:val="00E11ED7"/>
    <w:rsid w:val="00E123D9"/>
    <w:rsid w:val="00E123FD"/>
    <w:rsid w:val="00E1264C"/>
    <w:rsid w:val="00E1295A"/>
    <w:rsid w:val="00E13690"/>
    <w:rsid w:val="00E13B17"/>
    <w:rsid w:val="00E13C65"/>
    <w:rsid w:val="00E145D8"/>
    <w:rsid w:val="00E14E42"/>
    <w:rsid w:val="00E15112"/>
    <w:rsid w:val="00E1517E"/>
    <w:rsid w:val="00E151D2"/>
    <w:rsid w:val="00E15626"/>
    <w:rsid w:val="00E15633"/>
    <w:rsid w:val="00E15986"/>
    <w:rsid w:val="00E159A1"/>
    <w:rsid w:val="00E15AC7"/>
    <w:rsid w:val="00E15F37"/>
    <w:rsid w:val="00E16014"/>
    <w:rsid w:val="00E16216"/>
    <w:rsid w:val="00E1641A"/>
    <w:rsid w:val="00E1651B"/>
    <w:rsid w:val="00E16527"/>
    <w:rsid w:val="00E1658D"/>
    <w:rsid w:val="00E168B0"/>
    <w:rsid w:val="00E16EAA"/>
    <w:rsid w:val="00E17110"/>
    <w:rsid w:val="00E17182"/>
    <w:rsid w:val="00E17288"/>
    <w:rsid w:val="00E1732B"/>
    <w:rsid w:val="00E175C4"/>
    <w:rsid w:val="00E17862"/>
    <w:rsid w:val="00E17FA9"/>
    <w:rsid w:val="00E200BA"/>
    <w:rsid w:val="00E20434"/>
    <w:rsid w:val="00E20484"/>
    <w:rsid w:val="00E20945"/>
    <w:rsid w:val="00E20D66"/>
    <w:rsid w:val="00E20E3E"/>
    <w:rsid w:val="00E210CD"/>
    <w:rsid w:val="00E21427"/>
    <w:rsid w:val="00E21656"/>
    <w:rsid w:val="00E218EC"/>
    <w:rsid w:val="00E21DCE"/>
    <w:rsid w:val="00E227E4"/>
    <w:rsid w:val="00E23233"/>
    <w:rsid w:val="00E23940"/>
    <w:rsid w:val="00E23961"/>
    <w:rsid w:val="00E23BCD"/>
    <w:rsid w:val="00E23C18"/>
    <w:rsid w:val="00E243F8"/>
    <w:rsid w:val="00E24782"/>
    <w:rsid w:val="00E24E29"/>
    <w:rsid w:val="00E24E6C"/>
    <w:rsid w:val="00E2514C"/>
    <w:rsid w:val="00E2549B"/>
    <w:rsid w:val="00E255E7"/>
    <w:rsid w:val="00E2576C"/>
    <w:rsid w:val="00E25833"/>
    <w:rsid w:val="00E258E9"/>
    <w:rsid w:val="00E25A78"/>
    <w:rsid w:val="00E25CFB"/>
    <w:rsid w:val="00E25EF4"/>
    <w:rsid w:val="00E25FC3"/>
    <w:rsid w:val="00E2610F"/>
    <w:rsid w:val="00E267C1"/>
    <w:rsid w:val="00E26C77"/>
    <w:rsid w:val="00E27247"/>
    <w:rsid w:val="00E2729C"/>
    <w:rsid w:val="00E27641"/>
    <w:rsid w:val="00E27B61"/>
    <w:rsid w:val="00E27C58"/>
    <w:rsid w:val="00E27F57"/>
    <w:rsid w:val="00E301B5"/>
    <w:rsid w:val="00E30216"/>
    <w:rsid w:val="00E30330"/>
    <w:rsid w:val="00E30786"/>
    <w:rsid w:val="00E30857"/>
    <w:rsid w:val="00E30AA6"/>
    <w:rsid w:val="00E3103C"/>
    <w:rsid w:val="00E310D3"/>
    <w:rsid w:val="00E31194"/>
    <w:rsid w:val="00E31545"/>
    <w:rsid w:val="00E31596"/>
    <w:rsid w:val="00E31790"/>
    <w:rsid w:val="00E31D9F"/>
    <w:rsid w:val="00E31F6A"/>
    <w:rsid w:val="00E32ADD"/>
    <w:rsid w:val="00E32C77"/>
    <w:rsid w:val="00E32DAA"/>
    <w:rsid w:val="00E32DD6"/>
    <w:rsid w:val="00E32E78"/>
    <w:rsid w:val="00E32F16"/>
    <w:rsid w:val="00E32F86"/>
    <w:rsid w:val="00E3334D"/>
    <w:rsid w:val="00E33537"/>
    <w:rsid w:val="00E33E15"/>
    <w:rsid w:val="00E33EB8"/>
    <w:rsid w:val="00E34111"/>
    <w:rsid w:val="00E34387"/>
    <w:rsid w:val="00E344CE"/>
    <w:rsid w:val="00E34692"/>
    <w:rsid w:val="00E346C2"/>
    <w:rsid w:val="00E347E3"/>
    <w:rsid w:val="00E34AB5"/>
    <w:rsid w:val="00E34C9E"/>
    <w:rsid w:val="00E34DAA"/>
    <w:rsid w:val="00E35096"/>
    <w:rsid w:val="00E350CA"/>
    <w:rsid w:val="00E351EC"/>
    <w:rsid w:val="00E35AA8"/>
    <w:rsid w:val="00E35B05"/>
    <w:rsid w:val="00E35B27"/>
    <w:rsid w:val="00E35E29"/>
    <w:rsid w:val="00E35E3A"/>
    <w:rsid w:val="00E36B48"/>
    <w:rsid w:val="00E36C67"/>
    <w:rsid w:val="00E36FD4"/>
    <w:rsid w:val="00E3760F"/>
    <w:rsid w:val="00E377E6"/>
    <w:rsid w:val="00E37850"/>
    <w:rsid w:val="00E379BD"/>
    <w:rsid w:val="00E37A4D"/>
    <w:rsid w:val="00E37A64"/>
    <w:rsid w:val="00E37A9D"/>
    <w:rsid w:val="00E404B1"/>
    <w:rsid w:val="00E4067C"/>
    <w:rsid w:val="00E409BD"/>
    <w:rsid w:val="00E40E56"/>
    <w:rsid w:val="00E40FD8"/>
    <w:rsid w:val="00E411C3"/>
    <w:rsid w:val="00E4166B"/>
    <w:rsid w:val="00E4182C"/>
    <w:rsid w:val="00E41870"/>
    <w:rsid w:val="00E41A28"/>
    <w:rsid w:val="00E41BBF"/>
    <w:rsid w:val="00E42171"/>
    <w:rsid w:val="00E4222B"/>
    <w:rsid w:val="00E422B2"/>
    <w:rsid w:val="00E4248C"/>
    <w:rsid w:val="00E424AC"/>
    <w:rsid w:val="00E427AA"/>
    <w:rsid w:val="00E427AB"/>
    <w:rsid w:val="00E429D8"/>
    <w:rsid w:val="00E42A6F"/>
    <w:rsid w:val="00E435E9"/>
    <w:rsid w:val="00E4373F"/>
    <w:rsid w:val="00E4383F"/>
    <w:rsid w:val="00E43D21"/>
    <w:rsid w:val="00E43F3F"/>
    <w:rsid w:val="00E44042"/>
    <w:rsid w:val="00E440B7"/>
    <w:rsid w:val="00E4427F"/>
    <w:rsid w:val="00E44309"/>
    <w:rsid w:val="00E4483D"/>
    <w:rsid w:val="00E44A77"/>
    <w:rsid w:val="00E44B76"/>
    <w:rsid w:val="00E44C3D"/>
    <w:rsid w:val="00E44E48"/>
    <w:rsid w:val="00E4521E"/>
    <w:rsid w:val="00E45251"/>
    <w:rsid w:val="00E45ABC"/>
    <w:rsid w:val="00E45B30"/>
    <w:rsid w:val="00E45C1A"/>
    <w:rsid w:val="00E464B6"/>
    <w:rsid w:val="00E46A03"/>
    <w:rsid w:val="00E46AFC"/>
    <w:rsid w:val="00E46D7C"/>
    <w:rsid w:val="00E46E77"/>
    <w:rsid w:val="00E46F98"/>
    <w:rsid w:val="00E46FF6"/>
    <w:rsid w:val="00E473BC"/>
    <w:rsid w:val="00E47602"/>
    <w:rsid w:val="00E47CD6"/>
    <w:rsid w:val="00E47D63"/>
    <w:rsid w:val="00E47EEA"/>
    <w:rsid w:val="00E50570"/>
    <w:rsid w:val="00E50623"/>
    <w:rsid w:val="00E508A7"/>
    <w:rsid w:val="00E50984"/>
    <w:rsid w:val="00E50B28"/>
    <w:rsid w:val="00E50D1D"/>
    <w:rsid w:val="00E51096"/>
    <w:rsid w:val="00E51152"/>
    <w:rsid w:val="00E515C1"/>
    <w:rsid w:val="00E518C3"/>
    <w:rsid w:val="00E518F0"/>
    <w:rsid w:val="00E51909"/>
    <w:rsid w:val="00E51D3A"/>
    <w:rsid w:val="00E51F98"/>
    <w:rsid w:val="00E51FDE"/>
    <w:rsid w:val="00E52595"/>
    <w:rsid w:val="00E5260C"/>
    <w:rsid w:val="00E5267A"/>
    <w:rsid w:val="00E529E8"/>
    <w:rsid w:val="00E52B9E"/>
    <w:rsid w:val="00E533A9"/>
    <w:rsid w:val="00E53CCB"/>
    <w:rsid w:val="00E53DB8"/>
    <w:rsid w:val="00E53F8C"/>
    <w:rsid w:val="00E546EC"/>
    <w:rsid w:val="00E547FA"/>
    <w:rsid w:val="00E54A2A"/>
    <w:rsid w:val="00E54E94"/>
    <w:rsid w:val="00E55584"/>
    <w:rsid w:val="00E555E6"/>
    <w:rsid w:val="00E55A9D"/>
    <w:rsid w:val="00E55C1E"/>
    <w:rsid w:val="00E562EA"/>
    <w:rsid w:val="00E565A6"/>
    <w:rsid w:val="00E5669C"/>
    <w:rsid w:val="00E56939"/>
    <w:rsid w:val="00E569A0"/>
    <w:rsid w:val="00E571CF"/>
    <w:rsid w:val="00E574FE"/>
    <w:rsid w:val="00E57540"/>
    <w:rsid w:val="00E579EB"/>
    <w:rsid w:val="00E57F5E"/>
    <w:rsid w:val="00E60C8F"/>
    <w:rsid w:val="00E60D13"/>
    <w:rsid w:val="00E61351"/>
    <w:rsid w:val="00E615E7"/>
    <w:rsid w:val="00E6162D"/>
    <w:rsid w:val="00E61A74"/>
    <w:rsid w:val="00E61CF6"/>
    <w:rsid w:val="00E61EF8"/>
    <w:rsid w:val="00E61FF0"/>
    <w:rsid w:val="00E620E1"/>
    <w:rsid w:val="00E62164"/>
    <w:rsid w:val="00E621BB"/>
    <w:rsid w:val="00E6240D"/>
    <w:rsid w:val="00E62425"/>
    <w:rsid w:val="00E62928"/>
    <w:rsid w:val="00E62949"/>
    <w:rsid w:val="00E6295E"/>
    <w:rsid w:val="00E62A5F"/>
    <w:rsid w:val="00E62D05"/>
    <w:rsid w:val="00E62F55"/>
    <w:rsid w:val="00E63074"/>
    <w:rsid w:val="00E63170"/>
    <w:rsid w:val="00E6342C"/>
    <w:rsid w:val="00E63536"/>
    <w:rsid w:val="00E6361C"/>
    <w:rsid w:val="00E63656"/>
    <w:rsid w:val="00E639D3"/>
    <w:rsid w:val="00E63E1D"/>
    <w:rsid w:val="00E6411A"/>
    <w:rsid w:val="00E64618"/>
    <w:rsid w:val="00E6476E"/>
    <w:rsid w:val="00E6491B"/>
    <w:rsid w:val="00E64BCC"/>
    <w:rsid w:val="00E65463"/>
    <w:rsid w:val="00E6549D"/>
    <w:rsid w:val="00E65590"/>
    <w:rsid w:val="00E65B42"/>
    <w:rsid w:val="00E65F08"/>
    <w:rsid w:val="00E65F1A"/>
    <w:rsid w:val="00E66098"/>
    <w:rsid w:val="00E66AFF"/>
    <w:rsid w:val="00E66B8B"/>
    <w:rsid w:val="00E66EC2"/>
    <w:rsid w:val="00E67182"/>
    <w:rsid w:val="00E671D5"/>
    <w:rsid w:val="00E671F8"/>
    <w:rsid w:val="00E676BA"/>
    <w:rsid w:val="00E6795C"/>
    <w:rsid w:val="00E679C0"/>
    <w:rsid w:val="00E67A6A"/>
    <w:rsid w:val="00E67BC8"/>
    <w:rsid w:val="00E67E2A"/>
    <w:rsid w:val="00E7010D"/>
    <w:rsid w:val="00E701CF"/>
    <w:rsid w:val="00E705C4"/>
    <w:rsid w:val="00E70690"/>
    <w:rsid w:val="00E7075B"/>
    <w:rsid w:val="00E70790"/>
    <w:rsid w:val="00E707DA"/>
    <w:rsid w:val="00E70BDE"/>
    <w:rsid w:val="00E70E20"/>
    <w:rsid w:val="00E712E3"/>
    <w:rsid w:val="00E71A49"/>
    <w:rsid w:val="00E71BE2"/>
    <w:rsid w:val="00E71CDE"/>
    <w:rsid w:val="00E71EB3"/>
    <w:rsid w:val="00E71EF9"/>
    <w:rsid w:val="00E71FC1"/>
    <w:rsid w:val="00E72048"/>
    <w:rsid w:val="00E7204A"/>
    <w:rsid w:val="00E724CA"/>
    <w:rsid w:val="00E72821"/>
    <w:rsid w:val="00E72984"/>
    <w:rsid w:val="00E72AF8"/>
    <w:rsid w:val="00E72C58"/>
    <w:rsid w:val="00E72D38"/>
    <w:rsid w:val="00E72DD6"/>
    <w:rsid w:val="00E73209"/>
    <w:rsid w:val="00E7333A"/>
    <w:rsid w:val="00E73391"/>
    <w:rsid w:val="00E73AFA"/>
    <w:rsid w:val="00E73E3F"/>
    <w:rsid w:val="00E74109"/>
    <w:rsid w:val="00E7428A"/>
    <w:rsid w:val="00E74360"/>
    <w:rsid w:val="00E746DC"/>
    <w:rsid w:val="00E749BF"/>
    <w:rsid w:val="00E7520B"/>
    <w:rsid w:val="00E755D4"/>
    <w:rsid w:val="00E757AB"/>
    <w:rsid w:val="00E7583D"/>
    <w:rsid w:val="00E7589C"/>
    <w:rsid w:val="00E758D7"/>
    <w:rsid w:val="00E75930"/>
    <w:rsid w:val="00E75962"/>
    <w:rsid w:val="00E75A0A"/>
    <w:rsid w:val="00E75CE1"/>
    <w:rsid w:val="00E76064"/>
    <w:rsid w:val="00E769A9"/>
    <w:rsid w:val="00E76B27"/>
    <w:rsid w:val="00E76F39"/>
    <w:rsid w:val="00E76FFB"/>
    <w:rsid w:val="00E771F7"/>
    <w:rsid w:val="00E771FD"/>
    <w:rsid w:val="00E7731D"/>
    <w:rsid w:val="00E77394"/>
    <w:rsid w:val="00E77513"/>
    <w:rsid w:val="00E77697"/>
    <w:rsid w:val="00E77D9C"/>
    <w:rsid w:val="00E801C2"/>
    <w:rsid w:val="00E80331"/>
    <w:rsid w:val="00E80E0C"/>
    <w:rsid w:val="00E81324"/>
    <w:rsid w:val="00E81638"/>
    <w:rsid w:val="00E817C5"/>
    <w:rsid w:val="00E81805"/>
    <w:rsid w:val="00E81943"/>
    <w:rsid w:val="00E81A7F"/>
    <w:rsid w:val="00E81B79"/>
    <w:rsid w:val="00E81DA9"/>
    <w:rsid w:val="00E81F03"/>
    <w:rsid w:val="00E81F32"/>
    <w:rsid w:val="00E81FDD"/>
    <w:rsid w:val="00E82032"/>
    <w:rsid w:val="00E821CB"/>
    <w:rsid w:val="00E82225"/>
    <w:rsid w:val="00E8269D"/>
    <w:rsid w:val="00E828BF"/>
    <w:rsid w:val="00E82931"/>
    <w:rsid w:val="00E82BAB"/>
    <w:rsid w:val="00E82D82"/>
    <w:rsid w:val="00E8305D"/>
    <w:rsid w:val="00E83140"/>
    <w:rsid w:val="00E8323E"/>
    <w:rsid w:val="00E836A5"/>
    <w:rsid w:val="00E837C3"/>
    <w:rsid w:val="00E83E4D"/>
    <w:rsid w:val="00E84197"/>
    <w:rsid w:val="00E844E6"/>
    <w:rsid w:val="00E8472B"/>
    <w:rsid w:val="00E84E11"/>
    <w:rsid w:val="00E8507C"/>
    <w:rsid w:val="00E850BD"/>
    <w:rsid w:val="00E850F4"/>
    <w:rsid w:val="00E852D3"/>
    <w:rsid w:val="00E8561A"/>
    <w:rsid w:val="00E8578C"/>
    <w:rsid w:val="00E85E19"/>
    <w:rsid w:val="00E860A0"/>
    <w:rsid w:val="00E866C3"/>
    <w:rsid w:val="00E86A03"/>
    <w:rsid w:val="00E86D5A"/>
    <w:rsid w:val="00E872D2"/>
    <w:rsid w:val="00E8756D"/>
    <w:rsid w:val="00E875F2"/>
    <w:rsid w:val="00E8781C"/>
    <w:rsid w:val="00E879B4"/>
    <w:rsid w:val="00E87C0E"/>
    <w:rsid w:val="00E87E03"/>
    <w:rsid w:val="00E87FFC"/>
    <w:rsid w:val="00E90693"/>
    <w:rsid w:val="00E90856"/>
    <w:rsid w:val="00E90CF0"/>
    <w:rsid w:val="00E90FE5"/>
    <w:rsid w:val="00E9100E"/>
    <w:rsid w:val="00E9151C"/>
    <w:rsid w:val="00E915DE"/>
    <w:rsid w:val="00E91BE5"/>
    <w:rsid w:val="00E91C23"/>
    <w:rsid w:val="00E91E54"/>
    <w:rsid w:val="00E91EE0"/>
    <w:rsid w:val="00E92120"/>
    <w:rsid w:val="00E9222C"/>
    <w:rsid w:val="00E922A0"/>
    <w:rsid w:val="00E9244F"/>
    <w:rsid w:val="00E92483"/>
    <w:rsid w:val="00E928B5"/>
    <w:rsid w:val="00E92A75"/>
    <w:rsid w:val="00E92DC5"/>
    <w:rsid w:val="00E92E1E"/>
    <w:rsid w:val="00E92E4F"/>
    <w:rsid w:val="00E92F35"/>
    <w:rsid w:val="00E9346E"/>
    <w:rsid w:val="00E93600"/>
    <w:rsid w:val="00E93796"/>
    <w:rsid w:val="00E93D79"/>
    <w:rsid w:val="00E9420C"/>
    <w:rsid w:val="00E9437E"/>
    <w:rsid w:val="00E9453E"/>
    <w:rsid w:val="00E947CA"/>
    <w:rsid w:val="00E94EDE"/>
    <w:rsid w:val="00E951EA"/>
    <w:rsid w:val="00E952BD"/>
    <w:rsid w:val="00E95B9A"/>
    <w:rsid w:val="00E95C55"/>
    <w:rsid w:val="00E9603C"/>
    <w:rsid w:val="00E96704"/>
    <w:rsid w:val="00E96B7F"/>
    <w:rsid w:val="00E96BB8"/>
    <w:rsid w:val="00E96C4C"/>
    <w:rsid w:val="00E96FCF"/>
    <w:rsid w:val="00E97478"/>
    <w:rsid w:val="00E974C5"/>
    <w:rsid w:val="00E97A8C"/>
    <w:rsid w:val="00E97DA8"/>
    <w:rsid w:val="00E97FBD"/>
    <w:rsid w:val="00EA0056"/>
    <w:rsid w:val="00EA0148"/>
    <w:rsid w:val="00EA04CE"/>
    <w:rsid w:val="00EA06A0"/>
    <w:rsid w:val="00EA08D2"/>
    <w:rsid w:val="00EA0FD1"/>
    <w:rsid w:val="00EA10B7"/>
    <w:rsid w:val="00EA170E"/>
    <w:rsid w:val="00EA1914"/>
    <w:rsid w:val="00EA1BCA"/>
    <w:rsid w:val="00EA2073"/>
    <w:rsid w:val="00EA2096"/>
    <w:rsid w:val="00EA2A57"/>
    <w:rsid w:val="00EA2E0C"/>
    <w:rsid w:val="00EA3176"/>
    <w:rsid w:val="00EA34A9"/>
    <w:rsid w:val="00EA3C89"/>
    <w:rsid w:val="00EA3F2B"/>
    <w:rsid w:val="00EA3F75"/>
    <w:rsid w:val="00EA445B"/>
    <w:rsid w:val="00EA4570"/>
    <w:rsid w:val="00EA4578"/>
    <w:rsid w:val="00EA4585"/>
    <w:rsid w:val="00EA4669"/>
    <w:rsid w:val="00EA4815"/>
    <w:rsid w:val="00EA491B"/>
    <w:rsid w:val="00EA4924"/>
    <w:rsid w:val="00EA4BB0"/>
    <w:rsid w:val="00EA4BD5"/>
    <w:rsid w:val="00EA4C89"/>
    <w:rsid w:val="00EA4E9B"/>
    <w:rsid w:val="00EA4EBB"/>
    <w:rsid w:val="00EA50D6"/>
    <w:rsid w:val="00EA5115"/>
    <w:rsid w:val="00EA5210"/>
    <w:rsid w:val="00EA5520"/>
    <w:rsid w:val="00EA57A9"/>
    <w:rsid w:val="00EA5981"/>
    <w:rsid w:val="00EA5A43"/>
    <w:rsid w:val="00EA5B0F"/>
    <w:rsid w:val="00EA5FAE"/>
    <w:rsid w:val="00EA6681"/>
    <w:rsid w:val="00EA6A5B"/>
    <w:rsid w:val="00EA6B35"/>
    <w:rsid w:val="00EA6C78"/>
    <w:rsid w:val="00EA6D75"/>
    <w:rsid w:val="00EA7F67"/>
    <w:rsid w:val="00EA918B"/>
    <w:rsid w:val="00EB0515"/>
    <w:rsid w:val="00EB061F"/>
    <w:rsid w:val="00EB065F"/>
    <w:rsid w:val="00EB0D3A"/>
    <w:rsid w:val="00EB13E9"/>
    <w:rsid w:val="00EB15BE"/>
    <w:rsid w:val="00EB19BC"/>
    <w:rsid w:val="00EB1BDC"/>
    <w:rsid w:val="00EB1FBC"/>
    <w:rsid w:val="00EB227C"/>
    <w:rsid w:val="00EB22B9"/>
    <w:rsid w:val="00EB2AA9"/>
    <w:rsid w:val="00EB2B66"/>
    <w:rsid w:val="00EB3038"/>
    <w:rsid w:val="00EB31BD"/>
    <w:rsid w:val="00EB3330"/>
    <w:rsid w:val="00EB34EA"/>
    <w:rsid w:val="00EB375C"/>
    <w:rsid w:val="00EB39F1"/>
    <w:rsid w:val="00EB3AA4"/>
    <w:rsid w:val="00EB3AA8"/>
    <w:rsid w:val="00EB3CB7"/>
    <w:rsid w:val="00EB3DEB"/>
    <w:rsid w:val="00EB3E6F"/>
    <w:rsid w:val="00EB3F77"/>
    <w:rsid w:val="00EB4597"/>
    <w:rsid w:val="00EB4B10"/>
    <w:rsid w:val="00EB4B2F"/>
    <w:rsid w:val="00EB51B7"/>
    <w:rsid w:val="00EB5388"/>
    <w:rsid w:val="00EB5A01"/>
    <w:rsid w:val="00EB5B8D"/>
    <w:rsid w:val="00EB5D0C"/>
    <w:rsid w:val="00EB60F4"/>
    <w:rsid w:val="00EB676E"/>
    <w:rsid w:val="00EB6830"/>
    <w:rsid w:val="00EB68B6"/>
    <w:rsid w:val="00EB68D6"/>
    <w:rsid w:val="00EB6970"/>
    <w:rsid w:val="00EB6A39"/>
    <w:rsid w:val="00EB6B7E"/>
    <w:rsid w:val="00EB6D44"/>
    <w:rsid w:val="00EB707D"/>
    <w:rsid w:val="00EB746A"/>
    <w:rsid w:val="00EB7740"/>
    <w:rsid w:val="00EB781D"/>
    <w:rsid w:val="00EB7A53"/>
    <w:rsid w:val="00EC0034"/>
    <w:rsid w:val="00EC0255"/>
    <w:rsid w:val="00EC045E"/>
    <w:rsid w:val="00EC0A83"/>
    <w:rsid w:val="00EC0AE4"/>
    <w:rsid w:val="00EC0D7C"/>
    <w:rsid w:val="00EC119C"/>
    <w:rsid w:val="00EC16AB"/>
    <w:rsid w:val="00EC172E"/>
    <w:rsid w:val="00EC1B6F"/>
    <w:rsid w:val="00EC2233"/>
    <w:rsid w:val="00EC26A6"/>
    <w:rsid w:val="00EC26FF"/>
    <w:rsid w:val="00EC2C5A"/>
    <w:rsid w:val="00EC2E68"/>
    <w:rsid w:val="00EC2F18"/>
    <w:rsid w:val="00EC32A9"/>
    <w:rsid w:val="00EC33B6"/>
    <w:rsid w:val="00EC3A8C"/>
    <w:rsid w:val="00EC4C6C"/>
    <w:rsid w:val="00EC50E3"/>
    <w:rsid w:val="00EC50EB"/>
    <w:rsid w:val="00EC51D4"/>
    <w:rsid w:val="00EC52FA"/>
    <w:rsid w:val="00EC5735"/>
    <w:rsid w:val="00EC57D6"/>
    <w:rsid w:val="00EC58E6"/>
    <w:rsid w:val="00EC5B8E"/>
    <w:rsid w:val="00EC5B9A"/>
    <w:rsid w:val="00EC5BCB"/>
    <w:rsid w:val="00EC5EAE"/>
    <w:rsid w:val="00EC5F37"/>
    <w:rsid w:val="00EC63EA"/>
    <w:rsid w:val="00EC7090"/>
    <w:rsid w:val="00EC70B5"/>
    <w:rsid w:val="00EC7376"/>
    <w:rsid w:val="00EC73C8"/>
    <w:rsid w:val="00EC7725"/>
    <w:rsid w:val="00EC795E"/>
    <w:rsid w:val="00ED00A0"/>
    <w:rsid w:val="00ED0482"/>
    <w:rsid w:val="00ED06DA"/>
    <w:rsid w:val="00ED0799"/>
    <w:rsid w:val="00ED07D5"/>
    <w:rsid w:val="00ED09C0"/>
    <w:rsid w:val="00ED0B23"/>
    <w:rsid w:val="00ED0B7A"/>
    <w:rsid w:val="00ED0DCB"/>
    <w:rsid w:val="00ED11B9"/>
    <w:rsid w:val="00ED129C"/>
    <w:rsid w:val="00ED1883"/>
    <w:rsid w:val="00ED1AA6"/>
    <w:rsid w:val="00ED1BFF"/>
    <w:rsid w:val="00ED228B"/>
    <w:rsid w:val="00ED2868"/>
    <w:rsid w:val="00ED2A3B"/>
    <w:rsid w:val="00ED2FAD"/>
    <w:rsid w:val="00ED3089"/>
    <w:rsid w:val="00ED311E"/>
    <w:rsid w:val="00ED32CA"/>
    <w:rsid w:val="00ED3342"/>
    <w:rsid w:val="00ED371F"/>
    <w:rsid w:val="00ED3901"/>
    <w:rsid w:val="00ED3AE4"/>
    <w:rsid w:val="00ED44CA"/>
    <w:rsid w:val="00ED4957"/>
    <w:rsid w:val="00ED6197"/>
    <w:rsid w:val="00ED697C"/>
    <w:rsid w:val="00ED6AC9"/>
    <w:rsid w:val="00ED7068"/>
    <w:rsid w:val="00ED735C"/>
    <w:rsid w:val="00ED7621"/>
    <w:rsid w:val="00ED7647"/>
    <w:rsid w:val="00ED7950"/>
    <w:rsid w:val="00ED7977"/>
    <w:rsid w:val="00ED7B47"/>
    <w:rsid w:val="00EE00FC"/>
    <w:rsid w:val="00EE033C"/>
    <w:rsid w:val="00EE05C7"/>
    <w:rsid w:val="00EE06B8"/>
    <w:rsid w:val="00EE0C20"/>
    <w:rsid w:val="00EE0CB2"/>
    <w:rsid w:val="00EE0DE2"/>
    <w:rsid w:val="00EE10EE"/>
    <w:rsid w:val="00EE1385"/>
    <w:rsid w:val="00EE159F"/>
    <w:rsid w:val="00EE1681"/>
    <w:rsid w:val="00EE1686"/>
    <w:rsid w:val="00EE1B84"/>
    <w:rsid w:val="00EE1E1B"/>
    <w:rsid w:val="00EE20A7"/>
    <w:rsid w:val="00EE210C"/>
    <w:rsid w:val="00EE226C"/>
    <w:rsid w:val="00EE2401"/>
    <w:rsid w:val="00EE25FA"/>
    <w:rsid w:val="00EE2CEB"/>
    <w:rsid w:val="00EE2DCB"/>
    <w:rsid w:val="00EE3017"/>
    <w:rsid w:val="00EE30DD"/>
    <w:rsid w:val="00EE37EB"/>
    <w:rsid w:val="00EE39C5"/>
    <w:rsid w:val="00EE3B74"/>
    <w:rsid w:val="00EE3C8B"/>
    <w:rsid w:val="00EE42AE"/>
    <w:rsid w:val="00EE4B09"/>
    <w:rsid w:val="00EE4E4A"/>
    <w:rsid w:val="00EE4F56"/>
    <w:rsid w:val="00EE4FA7"/>
    <w:rsid w:val="00EE4FBE"/>
    <w:rsid w:val="00EE515D"/>
    <w:rsid w:val="00EE5283"/>
    <w:rsid w:val="00EE528C"/>
    <w:rsid w:val="00EE5751"/>
    <w:rsid w:val="00EE5AA6"/>
    <w:rsid w:val="00EE5EEB"/>
    <w:rsid w:val="00EE604A"/>
    <w:rsid w:val="00EE6180"/>
    <w:rsid w:val="00EE68D3"/>
    <w:rsid w:val="00EE6D12"/>
    <w:rsid w:val="00EE6F41"/>
    <w:rsid w:val="00EE714C"/>
    <w:rsid w:val="00EE73FC"/>
    <w:rsid w:val="00EE7570"/>
    <w:rsid w:val="00EE7585"/>
    <w:rsid w:val="00EE77F1"/>
    <w:rsid w:val="00EE7E4C"/>
    <w:rsid w:val="00EF0098"/>
    <w:rsid w:val="00EF0109"/>
    <w:rsid w:val="00EF0582"/>
    <w:rsid w:val="00EF0C99"/>
    <w:rsid w:val="00EF0E91"/>
    <w:rsid w:val="00EF1111"/>
    <w:rsid w:val="00EF164A"/>
    <w:rsid w:val="00EF17CF"/>
    <w:rsid w:val="00EF1BEF"/>
    <w:rsid w:val="00EF1C8A"/>
    <w:rsid w:val="00EF21C1"/>
    <w:rsid w:val="00EF264D"/>
    <w:rsid w:val="00EF28A3"/>
    <w:rsid w:val="00EF28E3"/>
    <w:rsid w:val="00EF2C24"/>
    <w:rsid w:val="00EF2DF1"/>
    <w:rsid w:val="00EF33AC"/>
    <w:rsid w:val="00EF3493"/>
    <w:rsid w:val="00EF36E1"/>
    <w:rsid w:val="00EF3A4C"/>
    <w:rsid w:val="00EF3DF1"/>
    <w:rsid w:val="00EF4015"/>
    <w:rsid w:val="00EF401A"/>
    <w:rsid w:val="00EF41CC"/>
    <w:rsid w:val="00EF43E9"/>
    <w:rsid w:val="00EF47F7"/>
    <w:rsid w:val="00EF4E76"/>
    <w:rsid w:val="00EF5163"/>
    <w:rsid w:val="00EF53C1"/>
    <w:rsid w:val="00EF5554"/>
    <w:rsid w:val="00EF55C3"/>
    <w:rsid w:val="00EF57C4"/>
    <w:rsid w:val="00EF5ACB"/>
    <w:rsid w:val="00EF5ADB"/>
    <w:rsid w:val="00EF5B61"/>
    <w:rsid w:val="00EF5D18"/>
    <w:rsid w:val="00EF5E09"/>
    <w:rsid w:val="00EF5EB8"/>
    <w:rsid w:val="00EF626F"/>
    <w:rsid w:val="00EF663E"/>
    <w:rsid w:val="00EF6D86"/>
    <w:rsid w:val="00EF7241"/>
    <w:rsid w:val="00EF773C"/>
    <w:rsid w:val="00EF77A2"/>
    <w:rsid w:val="00EF78B7"/>
    <w:rsid w:val="00EF7920"/>
    <w:rsid w:val="00EF7D61"/>
    <w:rsid w:val="00F00280"/>
    <w:rsid w:val="00F003CF"/>
    <w:rsid w:val="00F004EE"/>
    <w:rsid w:val="00F00550"/>
    <w:rsid w:val="00F00A3E"/>
    <w:rsid w:val="00F00B6F"/>
    <w:rsid w:val="00F00CA0"/>
    <w:rsid w:val="00F0121D"/>
    <w:rsid w:val="00F01752"/>
    <w:rsid w:val="00F01794"/>
    <w:rsid w:val="00F01B95"/>
    <w:rsid w:val="00F01E5B"/>
    <w:rsid w:val="00F0236A"/>
    <w:rsid w:val="00F023B1"/>
    <w:rsid w:val="00F025D8"/>
    <w:rsid w:val="00F0267C"/>
    <w:rsid w:val="00F02E5E"/>
    <w:rsid w:val="00F036C4"/>
    <w:rsid w:val="00F041D3"/>
    <w:rsid w:val="00F041EB"/>
    <w:rsid w:val="00F0469C"/>
    <w:rsid w:val="00F04826"/>
    <w:rsid w:val="00F04875"/>
    <w:rsid w:val="00F04EA5"/>
    <w:rsid w:val="00F0500D"/>
    <w:rsid w:val="00F05254"/>
    <w:rsid w:val="00F052F9"/>
    <w:rsid w:val="00F05454"/>
    <w:rsid w:val="00F0563E"/>
    <w:rsid w:val="00F05E53"/>
    <w:rsid w:val="00F06319"/>
    <w:rsid w:val="00F06B4B"/>
    <w:rsid w:val="00F074B4"/>
    <w:rsid w:val="00F0752A"/>
    <w:rsid w:val="00F075B7"/>
    <w:rsid w:val="00F07773"/>
    <w:rsid w:val="00F07A47"/>
    <w:rsid w:val="00F07AAE"/>
    <w:rsid w:val="00F07EB8"/>
    <w:rsid w:val="00F105C7"/>
    <w:rsid w:val="00F109AA"/>
    <w:rsid w:val="00F10D9C"/>
    <w:rsid w:val="00F10FD4"/>
    <w:rsid w:val="00F110F8"/>
    <w:rsid w:val="00F112B1"/>
    <w:rsid w:val="00F114FA"/>
    <w:rsid w:val="00F11595"/>
    <w:rsid w:val="00F117EF"/>
    <w:rsid w:val="00F11809"/>
    <w:rsid w:val="00F11B24"/>
    <w:rsid w:val="00F11B2E"/>
    <w:rsid w:val="00F11BBF"/>
    <w:rsid w:val="00F121FE"/>
    <w:rsid w:val="00F122B3"/>
    <w:rsid w:val="00F12550"/>
    <w:rsid w:val="00F125F3"/>
    <w:rsid w:val="00F1313F"/>
    <w:rsid w:val="00F1391C"/>
    <w:rsid w:val="00F13BF8"/>
    <w:rsid w:val="00F13C92"/>
    <w:rsid w:val="00F13D0B"/>
    <w:rsid w:val="00F13FAB"/>
    <w:rsid w:val="00F142B7"/>
    <w:rsid w:val="00F144F0"/>
    <w:rsid w:val="00F14548"/>
    <w:rsid w:val="00F147AB"/>
    <w:rsid w:val="00F153E2"/>
    <w:rsid w:val="00F1599F"/>
    <w:rsid w:val="00F15A52"/>
    <w:rsid w:val="00F15B54"/>
    <w:rsid w:val="00F1628D"/>
    <w:rsid w:val="00F162E5"/>
    <w:rsid w:val="00F1644C"/>
    <w:rsid w:val="00F1657E"/>
    <w:rsid w:val="00F165F9"/>
    <w:rsid w:val="00F16722"/>
    <w:rsid w:val="00F169F3"/>
    <w:rsid w:val="00F16A8D"/>
    <w:rsid w:val="00F16DDC"/>
    <w:rsid w:val="00F16E90"/>
    <w:rsid w:val="00F16FC3"/>
    <w:rsid w:val="00F17213"/>
    <w:rsid w:val="00F17261"/>
    <w:rsid w:val="00F1728F"/>
    <w:rsid w:val="00F17901"/>
    <w:rsid w:val="00F17913"/>
    <w:rsid w:val="00F17928"/>
    <w:rsid w:val="00F17F89"/>
    <w:rsid w:val="00F1B4AE"/>
    <w:rsid w:val="00F202F7"/>
    <w:rsid w:val="00F20303"/>
    <w:rsid w:val="00F206E1"/>
    <w:rsid w:val="00F20AAF"/>
    <w:rsid w:val="00F20B3F"/>
    <w:rsid w:val="00F20D85"/>
    <w:rsid w:val="00F211E6"/>
    <w:rsid w:val="00F214CE"/>
    <w:rsid w:val="00F215D8"/>
    <w:rsid w:val="00F21EB3"/>
    <w:rsid w:val="00F22085"/>
    <w:rsid w:val="00F220B7"/>
    <w:rsid w:val="00F22633"/>
    <w:rsid w:val="00F22684"/>
    <w:rsid w:val="00F229B4"/>
    <w:rsid w:val="00F229CA"/>
    <w:rsid w:val="00F229F9"/>
    <w:rsid w:val="00F22C9D"/>
    <w:rsid w:val="00F22D31"/>
    <w:rsid w:val="00F22D4F"/>
    <w:rsid w:val="00F22EE6"/>
    <w:rsid w:val="00F23240"/>
    <w:rsid w:val="00F23581"/>
    <w:rsid w:val="00F237EF"/>
    <w:rsid w:val="00F238FB"/>
    <w:rsid w:val="00F23B5A"/>
    <w:rsid w:val="00F23B6C"/>
    <w:rsid w:val="00F23B6D"/>
    <w:rsid w:val="00F23CD1"/>
    <w:rsid w:val="00F23D0F"/>
    <w:rsid w:val="00F23D5C"/>
    <w:rsid w:val="00F24086"/>
    <w:rsid w:val="00F24144"/>
    <w:rsid w:val="00F24299"/>
    <w:rsid w:val="00F24787"/>
    <w:rsid w:val="00F24C0D"/>
    <w:rsid w:val="00F24F2B"/>
    <w:rsid w:val="00F24F4C"/>
    <w:rsid w:val="00F2542A"/>
    <w:rsid w:val="00F255E1"/>
    <w:rsid w:val="00F25976"/>
    <w:rsid w:val="00F25B9C"/>
    <w:rsid w:val="00F25CC3"/>
    <w:rsid w:val="00F25CE0"/>
    <w:rsid w:val="00F25D5B"/>
    <w:rsid w:val="00F25F51"/>
    <w:rsid w:val="00F2618B"/>
    <w:rsid w:val="00F261B2"/>
    <w:rsid w:val="00F2637C"/>
    <w:rsid w:val="00F26818"/>
    <w:rsid w:val="00F26976"/>
    <w:rsid w:val="00F269B1"/>
    <w:rsid w:val="00F26A6E"/>
    <w:rsid w:val="00F26D81"/>
    <w:rsid w:val="00F271F6"/>
    <w:rsid w:val="00F27782"/>
    <w:rsid w:val="00F2786B"/>
    <w:rsid w:val="00F27B37"/>
    <w:rsid w:val="00F30338"/>
    <w:rsid w:val="00F304EA"/>
    <w:rsid w:val="00F309E4"/>
    <w:rsid w:val="00F30F65"/>
    <w:rsid w:val="00F30FCC"/>
    <w:rsid w:val="00F3113C"/>
    <w:rsid w:val="00F311DC"/>
    <w:rsid w:val="00F3155E"/>
    <w:rsid w:val="00F31741"/>
    <w:rsid w:val="00F31A41"/>
    <w:rsid w:val="00F31F6E"/>
    <w:rsid w:val="00F3216D"/>
    <w:rsid w:val="00F32187"/>
    <w:rsid w:val="00F3220A"/>
    <w:rsid w:val="00F3227F"/>
    <w:rsid w:val="00F32394"/>
    <w:rsid w:val="00F32C91"/>
    <w:rsid w:val="00F335E4"/>
    <w:rsid w:val="00F337AB"/>
    <w:rsid w:val="00F339A6"/>
    <w:rsid w:val="00F33AD9"/>
    <w:rsid w:val="00F3450F"/>
    <w:rsid w:val="00F34557"/>
    <w:rsid w:val="00F3462E"/>
    <w:rsid w:val="00F34672"/>
    <w:rsid w:val="00F34694"/>
    <w:rsid w:val="00F34849"/>
    <w:rsid w:val="00F34A66"/>
    <w:rsid w:val="00F34C53"/>
    <w:rsid w:val="00F34E11"/>
    <w:rsid w:val="00F35469"/>
    <w:rsid w:val="00F35557"/>
    <w:rsid w:val="00F357BE"/>
    <w:rsid w:val="00F357C4"/>
    <w:rsid w:val="00F35ABC"/>
    <w:rsid w:val="00F35B76"/>
    <w:rsid w:val="00F360BC"/>
    <w:rsid w:val="00F362A7"/>
    <w:rsid w:val="00F362B8"/>
    <w:rsid w:val="00F36303"/>
    <w:rsid w:val="00F363D4"/>
    <w:rsid w:val="00F36491"/>
    <w:rsid w:val="00F36748"/>
    <w:rsid w:val="00F3676B"/>
    <w:rsid w:val="00F368E5"/>
    <w:rsid w:val="00F3694D"/>
    <w:rsid w:val="00F36B44"/>
    <w:rsid w:val="00F36BD3"/>
    <w:rsid w:val="00F36DF0"/>
    <w:rsid w:val="00F3745A"/>
    <w:rsid w:val="00F37B0E"/>
    <w:rsid w:val="00F37EBC"/>
    <w:rsid w:val="00F37EC8"/>
    <w:rsid w:val="00F37FC6"/>
    <w:rsid w:val="00F37FDC"/>
    <w:rsid w:val="00F406BA"/>
    <w:rsid w:val="00F4087B"/>
    <w:rsid w:val="00F40904"/>
    <w:rsid w:val="00F409A4"/>
    <w:rsid w:val="00F40E92"/>
    <w:rsid w:val="00F411FB"/>
    <w:rsid w:val="00F41216"/>
    <w:rsid w:val="00F4129D"/>
    <w:rsid w:val="00F41478"/>
    <w:rsid w:val="00F4175F"/>
    <w:rsid w:val="00F41A06"/>
    <w:rsid w:val="00F41BF8"/>
    <w:rsid w:val="00F428D7"/>
    <w:rsid w:val="00F42952"/>
    <w:rsid w:val="00F42A11"/>
    <w:rsid w:val="00F42D0F"/>
    <w:rsid w:val="00F42D17"/>
    <w:rsid w:val="00F42F2C"/>
    <w:rsid w:val="00F4341D"/>
    <w:rsid w:val="00F434DE"/>
    <w:rsid w:val="00F434FF"/>
    <w:rsid w:val="00F43628"/>
    <w:rsid w:val="00F4386D"/>
    <w:rsid w:val="00F43D52"/>
    <w:rsid w:val="00F44005"/>
    <w:rsid w:val="00F4408F"/>
    <w:rsid w:val="00F440D3"/>
    <w:rsid w:val="00F4475E"/>
    <w:rsid w:val="00F44B1C"/>
    <w:rsid w:val="00F44C6F"/>
    <w:rsid w:val="00F450C3"/>
    <w:rsid w:val="00F45515"/>
    <w:rsid w:val="00F457DA"/>
    <w:rsid w:val="00F45F62"/>
    <w:rsid w:val="00F461C6"/>
    <w:rsid w:val="00F46386"/>
    <w:rsid w:val="00F46557"/>
    <w:rsid w:val="00F46582"/>
    <w:rsid w:val="00F46659"/>
    <w:rsid w:val="00F466FE"/>
    <w:rsid w:val="00F46AAB"/>
    <w:rsid w:val="00F46B1B"/>
    <w:rsid w:val="00F47226"/>
    <w:rsid w:val="00F47871"/>
    <w:rsid w:val="00F478A5"/>
    <w:rsid w:val="00F4790F"/>
    <w:rsid w:val="00F47B56"/>
    <w:rsid w:val="00F47CD4"/>
    <w:rsid w:val="00F47D88"/>
    <w:rsid w:val="00F47DB8"/>
    <w:rsid w:val="00F5004B"/>
    <w:rsid w:val="00F5027E"/>
    <w:rsid w:val="00F50337"/>
    <w:rsid w:val="00F50405"/>
    <w:rsid w:val="00F50444"/>
    <w:rsid w:val="00F505CB"/>
    <w:rsid w:val="00F50757"/>
    <w:rsid w:val="00F507F5"/>
    <w:rsid w:val="00F50D04"/>
    <w:rsid w:val="00F50D63"/>
    <w:rsid w:val="00F50E47"/>
    <w:rsid w:val="00F50F3D"/>
    <w:rsid w:val="00F51106"/>
    <w:rsid w:val="00F511CA"/>
    <w:rsid w:val="00F511DC"/>
    <w:rsid w:val="00F51575"/>
    <w:rsid w:val="00F51705"/>
    <w:rsid w:val="00F51979"/>
    <w:rsid w:val="00F51BAD"/>
    <w:rsid w:val="00F51D2B"/>
    <w:rsid w:val="00F51DB9"/>
    <w:rsid w:val="00F5208A"/>
    <w:rsid w:val="00F5220B"/>
    <w:rsid w:val="00F5243A"/>
    <w:rsid w:val="00F52988"/>
    <w:rsid w:val="00F52AC1"/>
    <w:rsid w:val="00F52C97"/>
    <w:rsid w:val="00F530A6"/>
    <w:rsid w:val="00F531EC"/>
    <w:rsid w:val="00F532EE"/>
    <w:rsid w:val="00F53556"/>
    <w:rsid w:val="00F538C2"/>
    <w:rsid w:val="00F5469E"/>
    <w:rsid w:val="00F546E2"/>
    <w:rsid w:val="00F54857"/>
    <w:rsid w:val="00F54E64"/>
    <w:rsid w:val="00F54EE3"/>
    <w:rsid w:val="00F55869"/>
    <w:rsid w:val="00F559D2"/>
    <w:rsid w:val="00F55DF1"/>
    <w:rsid w:val="00F55EC0"/>
    <w:rsid w:val="00F564C0"/>
    <w:rsid w:val="00F56516"/>
    <w:rsid w:val="00F565DA"/>
    <w:rsid w:val="00F56E7E"/>
    <w:rsid w:val="00F57409"/>
    <w:rsid w:val="00F57577"/>
    <w:rsid w:val="00F579E9"/>
    <w:rsid w:val="00F57A07"/>
    <w:rsid w:val="00F57A5F"/>
    <w:rsid w:val="00F57CB3"/>
    <w:rsid w:val="00F57D74"/>
    <w:rsid w:val="00F600AF"/>
    <w:rsid w:val="00F6053E"/>
    <w:rsid w:val="00F60E61"/>
    <w:rsid w:val="00F60F21"/>
    <w:rsid w:val="00F615BF"/>
    <w:rsid w:val="00F61621"/>
    <w:rsid w:val="00F61689"/>
    <w:rsid w:val="00F61C22"/>
    <w:rsid w:val="00F6275A"/>
    <w:rsid w:val="00F629B2"/>
    <w:rsid w:val="00F629BF"/>
    <w:rsid w:val="00F62ACF"/>
    <w:rsid w:val="00F62EFD"/>
    <w:rsid w:val="00F634A1"/>
    <w:rsid w:val="00F6395C"/>
    <w:rsid w:val="00F63B72"/>
    <w:rsid w:val="00F63E14"/>
    <w:rsid w:val="00F63FD7"/>
    <w:rsid w:val="00F64519"/>
    <w:rsid w:val="00F64563"/>
    <w:rsid w:val="00F64B96"/>
    <w:rsid w:val="00F6504D"/>
    <w:rsid w:val="00F6505E"/>
    <w:rsid w:val="00F651B9"/>
    <w:rsid w:val="00F65558"/>
    <w:rsid w:val="00F658C1"/>
    <w:rsid w:val="00F65A54"/>
    <w:rsid w:val="00F65AEA"/>
    <w:rsid w:val="00F6683D"/>
    <w:rsid w:val="00F67016"/>
    <w:rsid w:val="00F6756E"/>
    <w:rsid w:val="00F6770C"/>
    <w:rsid w:val="00F679B2"/>
    <w:rsid w:val="00F67C7F"/>
    <w:rsid w:val="00F67FDB"/>
    <w:rsid w:val="00F70192"/>
    <w:rsid w:val="00F7046E"/>
    <w:rsid w:val="00F704A4"/>
    <w:rsid w:val="00F704D4"/>
    <w:rsid w:val="00F70D89"/>
    <w:rsid w:val="00F70E59"/>
    <w:rsid w:val="00F70F77"/>
    <w:rsid w:val="00F71459"/>
    <w:rsid w:val="00F72566"/>
    <w:rsid w:val="00F729B7"/>
    <w:rsid w:val="00F7321F"/>
    <w:rsid w:val="00F73414"/>
    <w:rsid w:val="00F734B1"/>
    <w:rsid w:val="00F73536"/>
    <w:rsid w:val="00F7353C"/>
    <w:rsid w:val="00F737F5"/>
    <w:rsid w:val="00F73D6E"/>
    <w:rsid w:val="00F73E3C"/>
    <w:rsid w:val="00F73E9B"/>
    <w:rsid w:val="00F740B5"/>
    <w:rsid w:val="00F742E8"/>
    <w:rsid w:val="00F74B40"/>
    <w:rsid w:val="00F74B72"/>
    <w:rsid w:val="00F751B4"/>
    <w:rsid w:val="00F7521E"/>
    <w:rsid w:val="00F756DD"/>
    <w:rsid w:val="00F7608C"/>
    <w:rsid w:val="00F761B6"/>
    <w:rsid w:val="00F763C0"/>
    <w:rsid w:val="00F7654D"/>
    <w:rsid w:val="00F77167"/>
    <w:rsid w:val="00F77185"/>
    <w:rsid w:val="00F77787"/>
    <w:rsid w:val="00F779A0"/>
    <w:rsid w:val="00F77C1E"/>
    <w:rsid w:val="00F77F18"/>
    <w:rsid w:val="00F8002A"/>
    <w:rsid w:val="00F80331"/>
    <w:rsid w:val="00F80769"/>
    <w:rsid w:val="00F808B4"/>
    <w:rsid w:val="00F808DA"/>
    <w:rsid w:val="00F80993"/>
    <w:rsid w:val="00F80C39"/>
    <w:rsid w:val="00F80D38"/>
    <w:rsid w:val="00F80E99"/>
    <w:rsid w:val="00F811C0"/>
    <w:rsid w:val="00F81A9F"/>
    <w:rsid w:val="00F81C0E"/>
    <w:rsid w:val="00F81EDD"/>
    <w:rsid w:val="00F82559"/>
    <w:rsid w:val="00F827A4"/>
    <w:rsid w:val="00F829D3"/>
    <w:rsid w:val="00F82B0A"/>
    <w:rsid w:val="00F82B43"/>
    <w:rsid w:val="00F82DB1"/>
    <w:rsid w:val="00F83051"/>
    <w:rsid w:val="00F83AC2"/>
    <w:rsid w:val="00F83B7F"/>
    <w:rsid w:val="00F83ED2"/>
    <w:rsid w:val="00F83EE7"/>
    <w:rsid w:val="00F84697"/>
    <w:rsid w:val="00F846BC"/>
    <w:rsid w:val="00F847D5"/>
    <w:rsid w:val="00F84AE6"/>
    <w:rsid w:val="00F84C30"/>
    <w:rsid w:val="00F84E07"/>
    <w:rsid w:val="00F84E6B"/>
    <w:rsid w:val="00F86463"/>
    <w:rsid w:val="00F864B3"/>
    <w:rsid w:val="00F8680A"/>
    <w:rsid w:val="00F86D00"/>
    <w:rsid w:val="00F86E24"/>
    <w:rsid w:val="00F90100"/>
    <w:rsid w:val="00F904F5"/>
    <w:rsid w:val="00F906D1"/>
    <w:rsid w:val="00F907EA"/>
    <w:rsid w:val="00F9081E"/>
    <w:rsid w:val="00F9099E"/>
    <w:rsid w:val="00F90AFB"/>
    <w:rsid w:val="00F90CD7"/>
    <w:rsid w:val="00F9149A"/>
    <w:rsid w:val="00F919CB"/>
    <w:rsid w:val="00F92513"/>
    <w:rsid w:val="00F92602"/>
    <w:rsid w:val="00F92753"/>
    <w:rsid w:val="00F92809"/>
    <w:rsid w:val="00F92860"/>
    <w:rsid w:val="00F92A8E"/>
    <w:rsid w:val="00F92B42"/>
    <w:rsid w:val="00F93AF7"/>
    <w:rsid w:val="00F943FE"/>
    <w:rsid w:val="00F945E7"/>
    <w:rsid w:val="00F946AE"/>
    <w:rsid w:val="00F947EE"/>
    <w:rsid w:val="00F94AE9"/>
    <w:rsid w:val="00F94C3A"/>
    <w:rsid w:val="00F952AD"/>
    <w:rsid w:val="00F955E4"/>
    <w:rsid w:val="00F95B53"/>
    <w:rsid w:val="00F95BCC"/>
    <w:rsid w:val="00F95BD9"/>
    <w:rsid w:val="00F95F77"/>
    <w:rsid w:val="00F96249"/>
    <w:rsid w:val="00F962AD"/>
    <w:rsid w:val="00F96574"/>
    <w:rsid w:val="00F965EB"/>
    <w:rsid w:val="00F96733"/>
    <w:rsid w:val="00F96ABD"/>
    <w:rsid w:val="00F978AD"/>
    <w:rsid w:val="00F97940"/>
    <w:rsid w:val="00F97974"/>
    <w:rsid w:val="00F97A22"/>
    <w:rsid w:val="00F97AD7"/>
    <w:rsid w:val="00F97F6A"/>
    <w:rsid w:val="00FA0216"/>
    <w:rsid w:val="00FA058A"/>
    <w:rsid w:val="00FA0614"/>
    <w:rsid w:val="00FA06C2"/>
    <w:rsid w:val="00FA0D82"/>
    <w:rsid w:val="00FA0EC8"/>
    <w:rsid w:val="00FA0F92"/>
    <w:rsid w:val="00FA1E1A"/>
    <w:rsid w:val="00FA1E74"/>
    <w:rsid w:val="00FA219B"/>
    <w:rsid w:val="00FA2325"/>
    <w:rsid w:val="00FA29DC"/>
    <w:rsid w:val="00FA29FE"/>
    <w:rsid w:val="00FA2A31"/>
    <w:rsid w:val="00FA2A46"/>
    <w:rsid w:val="00FA3187"/>
    <w:rsid w:val="00FA32DD"/>
    <w:rsid w:val="00FA33A3"/>
    <w:rsid w:val="00FA34FC"/>
    <w:rsid w:val="00FA356E"/>
    <w:rsid w:val="00FA376E"/>
    <w:rsid w:val="00FA384F"/>
    <w:rsid w:val="00FA3E53"/>
    <w:rsid w:val="00FA3EA4"/>
    <w:rsid w:val="00FA403C"/>
    <w:rsid w:val="00FA4088"/>
    <w:rsid w:val="00FA4132"/>
    <w:rsid w:val="00FA4558"/>
    <w:rsid w:val="00FA45AB"/>
    <w:rsid w:val="00FA47BD"/>
    <w:rsid w:val="00FA4828"/>
    <w:rsid w:val="00FA4CCC"/>
    <w:rsid w:val="00FA4EA3"/>
    <w:rsid w:val="00FA5068"/>
    <w:rsid w:val="00FA51FE"/>
    <w:rsid w:val="00FA540C"/>
    <w:rsid w:val="00FA58DC"/>
    <w:rsid w:val="00FA5C75"/>
    <w:rsid w:val="00FA5D3D"/>
    <w:rsid w:val="00FA5F81"/>
    <w:rsid w:val="00FA654D"/>
    <w:rsid w:val="00FA6605"/>
    <w:rsid w:val="00FA7007"/>
    <w:rsid w:val="00FA70AF"/>
    <w:rsid w:val="00FA7733"/>
    <w:rsid w:val="00FA7BEA"/>
    <w:rsid w:val="00FA7DF5"/>
    <w:rsid w:val="00FA7E01"/>
    <w:rsid w:val="00FA7FEE"/>
    <w:rsid w:val="00FB0420"/>
    <w:rsid w:val="00FB0917"/>
    <w:rsid w:val="00FB1290"/>
    <w:rsid w:val="00FB1500"/>
    <w:rsid w:val="00FB1596"/>
    <w:rsid w:val="00FB1646"/>
    <w:rsid w:val="00FB167F"/>
    <w:rsid w:val="00FB1C84"/>
    <w:rsid w:val="00FB2361"/>
    <w:rsid w:val="00FB270F"/>
    <w:rsid w:val="00FB281B"/>
    <w:rsid w:val="00FB284E"/>
    <w:rsid w:val="00FB29D6"/>
    <w:rsid w:val="00FB2D35"/>
    <w:rsid w:val="00FB2E28"/>
    <w:rsid w:val="00FB2E43"/>
    <w:rsid w:val="00FB306B"/>
    <w:rsid w:val="00FB3369"/>
    <w:rsid w:val="00FB3430"/>
    <w:rsid w:val="00FB367B"/>
    <w:rsid w:val="00FB368B"/>
    <w:rsid w:val="00FB396D"/>
    <w:rsid w:val="00FB3C39"/>
    <w:rsid w:val="00FB3C87"/>
    <w:rsid w:val="00FB3CF1"/>
    <w:rsid w:val="00FB3D15"/>
    <w:rsid w:val="00FB3E93"/>
    <w:rsid w:val="00FB44D4"/>
    <w:rsid w:val="00FB4709"/>
    <w:rsid w:val="00FB475C"/>
    <w:rsid w:val="00FB4F74"/>
    <w:rsid w:val="00FB4FE8"/>
    <w:rsid w:val="00FB4FEC"/>
    <w:rsid w:val="00FB569B"/>
    <w:rsid w:val="00FB56C1"/>
    <w:rsid w:val="00FB5B89"/>
    <w:rsid w:val="00FB5E32"/>
    <w:rsid w:val="00FB5F80"/>
    <w:rsid w:val="00FB6715"/>
    <w:rsid w:val="00FB687B"/>
    <w:rsid w:val="00FB6886"/>
    <w:rsid w:val="00FB688A"/>
    <w:rsid w:val="00FB6A0D"/>
    <w:rsid w:val="00FB6A45"/>
    <w:rsid w:val="00FB6A98"/>
    <w:rsid w:val="00FB6ACA"/>
    <w:rsid w:val="00FB70B6"/>
    <w:rsid w:val="00FB74AD"/>
    <w:rsid w:val="00FB769E"/>
    <w:rsid w:val="00FB777D"/>
    <w:rsid w:val="00FB7C2C"/>
    <w:rsid w:val="00FC033C"/>
    <w:rsid w:val="00FC064C"/>
    <w:rsid w:val="00FC09C9"/>
    <w:rsid w:val="00FC0B28"/>
    <w:rsid w:val="00FC0E27"/>
    <w:rsid w:val="00FC139E"/>
    <w:rsid w:val="00FC14AA"/>
    <w:rsid w:val="00FC18EC"/>
    <w:rsid w:val="00FC1A99"/>
    <w:rsid w:val="00FC1B74"/>
    <w:rsid w:val="00FC1DF4"/>
    <w:rsid w:val="00FC1EF2"/>
    <w:rsid w:val="00FC21E6"/>
    <w:rsid w:val="00FC2517"/>
    <w:rsid w:val="00FC2738"/>
    <w:rsid w:val="00FC2B97"/>
    <w:rsid w:val="00FC3157"/>
    <w:rsid w:val="00FC31B5"/>
    <w:rsid w:val="00FC3355"/>
    <w:rsid w:val="00FC3390"/>
    <w:rsid w:val="00FC372F"/>
    <w:rsid w:val="00FC3BF0"/>
    <w:rsid w:val="00FC457C"/>
    <w:rsid w:val="00FC474C"/>
    <w:rsid w:val="00FC4DB2"/>
    <w:rsid w:val="00FC4E5F"/>
    <w:rsid w:val="00FC4E8C"/>
    <w:rsid w:val="00FC4F57"/>
    <w:rsid w:val="00FC4FC9"/>
    <w:rsid w:val="00FC538C"/>
    <w:rsid w:val="00FC5508"/>
    <w:rsid w:val="00FC5AE5"/>
    <w:rsid w:val="00FC5AE8"/>
    <w:rsid w:val="00FC5E9E"/>
    <w:rsid w:val="00FC616A"/>
    <w:rsid w:val="00FC6174"/>
    <w:rsid w:val="00FC656D"/>
    <w:rsid w:val="00FC65DA"/>
    <w:rsid w:val="00FC6730"/>
    <w:rsid w:val="00FC6884"/>
    <w:rsid w:val="00FC69B0"/>
    <w:rsid w:val="00FC69EE"/>
    <w:rsid w:val="00FC7035"/>
    <w:rsid w:val="00FC75C7"/>
    <w:rsid w:val="00FC7736"/>
    <w:rsid w:val="00FC7769"/>
    <w:rsid w:val="00FC78D6"/>
    <w:rsid w:val="00FC78DD"/>
    <w:rsid w:val="00FC7A1A"/>
    <w:rsid w:val="00FC7B5A"/>
    <w:rsid w:val="00FC7C74"/>
    <w:rsid w:val="00FC7E22"/>
    <w:rsid w:val="00FD009D"/>
    <w:rsid w:val="00FD02E5"/>
    <w:rsid w:val="00FD053B"/>
    <w:rsid w:val="00FD06EF"/>
    <w:rsid w:val="00FD0841"/>
    <w:rsid w:val="00FD0EAB"/>
    <w:rsid w:val="00FD145E"/>
    <w:rsid w:val="00FD1713"/>
    <w:rsid w:val="00FD18E4"/>
    <w:rsid w:val="00FD1AC0"/>
    <w:rsid w:val="00FD1B27"/>
    <w:rsid w:val="00FD1B83"/>
    <w:rsid w:val="00FD1DD6"/>
    <w:rsid w:val="00FD1E17"/>
    <w:rsid w:val="00FD206B"/>
    <w:rsid w:val="00FD26F7"/>
    <w:rsid w:val="00FD2714"/>
    <w:rsid w:val="00FD2CA5"/>
    <w:rsid w:val="00FD2D80"/>
    <w:rsid w:val="00FD2E8A"/>
    <w:rsid w:val="00FD3263"/>
    <w:rsid w:val="00FD3915"/>
    <w:rsid w:val="00FD3C05"/>
    <w:rsid w:val="00FD3D6D"/>
    <w:rsid w:val="00FD3DF5"/>
    <w:rsid w:val="00FD3F75"/>
    <w:rsid w:val="00FD42A7"/>
    <w:rsid w:val="00FD4531"/>
    <w:rsid w:val="00FD4551"/>
    <w:rsid w:val="00FD45C9"/>
    <w:rsid w:val="00FD4709"/>
    <w:rsid w:val="00FD490C"/>
    <w:rsid w:val="00FD493D"/>
    <w:rsid w:val="00FD4B31"/>
    <w:rsid w:val="00FD52B0"/>
    <w:rsid w:val="00FD5439"/>
    <w:rsid w:val="00FD5681"/>
    <w:rsid w:val="00FD5A7E"/>
    <w:rsid w:val="00FD5C5E"/>
    <w:rsid w:val="00FD5CC0"/>
    <w:rsid w:val="00FD5F3E"/>
    <w:rsid w:val="00FD5FF3"/>
    <w:rsid w:val="00FD62F0"/>
    <w:rsid w:val="00FD67B4"/>
    <w:rsid w:val="00FD68D4"/>
    <w:rsid w:val="00FD6A39"/>
    <w:rsid w:val="00FD6DEB"/>
    <w:rsid w:val="00FD7023"/>
    <w:rsid w:val="00FD7348"/>
    <w:rsid w:val="00FD7602"/>
    <w:rsid w:val="00FD7BCC"/>
    <w:rsid w:val="00FD7C50"/>
    <w:rsid w:val="00FD7DDF"/>
    <w:rsid w:val="00FE005E"/>
    <w:rsid w:val="00FE03CB"/>
    <w:rsid w:val="00FE0A58"/>
    <w:rsid w:val="00FE0F5E"/>
    <w:rsid w:val="00FE1B26"/>
    <w:rsid w:val="00FE1B4D"/>
    <w:rsid w:val="00FE1B7F"/>
    <w:rsid w:val="00FE1E41"/>
    <w:rsid w:val="00FE1F9D"/>
    <w:rsid w:val="00FE25EA"/>
    <w:rsid w:val="00FE26EF"/>
    <w:rsid w:val="00FE28AA"/>
    <w:rsid w:val="00FE29EE"/>
    <w:rsid w:val="00FE2CE0"/>
    <w:rsid w:val="00FE3324"/>
    <w:rsid w:val="00FE36D7"/>
    <w:rsid w:val="00FE3A6C"/>
    <w:rsid w:val="00FE3C0B"/>
    <w:rsid w:val="00FE3C4C"/>
    <w:rsid w:val="00FE571C"/>
    <w:rsid w:val="00FE57CC"/>
    <w:rsid w:val="00FE5D0F"/>
    <w:rsid w:val="00FE5D90"/>
    <w:rsid w:val="00FE62C1"/>
    <w:rsid w:val="00FE6802"/>
    <w:rsid w:val="00FE6BAB"/>
    <w:rsid w:val="00FE70F4"/>
    <w:rsid w:val="00FE747B"/>
    <w:rsid w:val="00FE75D3"/>
    <w:rsid w:val="00FE7744"/>
    <w:rsid w:val="00FF023D"/>
    <w:rsid w:val="00FF027D"/>
    <w:rsid w:val="00FF0A14"/>
    <w:rsid w:val="00FF0C64"/>
    <w:rsid w:val="00FF0EE2"/>
    <w:rsid w:val="00FF0F14"/>
    <w:rsid w:val="00FF0F3C"/>
    <w:rsid w:val="00FF0F80"/>
    <w:rsid w:val="00FF1343"/>
    <w:rsid w:val="00FF1733"/>
    <w:rsid w:val="00FF17DA"/>
    <w:rsid w:val="00FF17FF"/>
    <w:rsid w:val="00FF19D3"/>
    <w:rsid w:val="00FF1CB9"/>
    <w:rsid w:val="00FF224B"/>
    <w:rsid w:val="00FF2497"/>
    <w:rsid w:val="00FF2683"/>
    <w:rsid w:val="00FF271C"/>
    <w:rsid w:val="00FF281A"/>
    <w:rsid w:val="00FF2899"/>
    <w:rsid w:val="00FF2CE0"/>
    <w:rsid w:val="00FF3312"/>
    <w:rsid w:val="00FF335F"/>
    <w:rsid w:val="00FF3487"/>
    <w:rsid w:val="00FF38C9"/>
    <w:rsid w:val="00FF3B82"/>
    <w:rsid w:val="00FF4331"/>
    <w:rsid w:val="00FF47B5"/>
    <w:rsid w:val="00FF4828"/>
    <w:rsid w:val="00FF4E84"/>
    <w:rsid w:val="00FF4F45"/>
    <w:rsid w:val="00FF5610"/>
    <w:rsid w:val="00FF5744"/>
    <w:rsid w:val="00FF5AC0"/>
    <w:rsid w:val="00FF5BEE"/>
    <w:rsid w:val="00FF5C37"/>
    <w:rsid w:val="00FF5FE5"/>
    <w:rsid w:val="00FF6125"/>
    <w:rsid w:val="00FF6AC8"/>
    <w:rsid w:val="00FF6F10"/>
    <w:rsid w:val="00FF711A"/>
    <w:rsid w:val="00FF734B"/>
    <w:rsid w:val="00FF781D"/>
    <w:rsid w:val="011AD404"/>
    <w:rsid w:val="013306BD"/>
    <w:rsid w:val="01387C88"/>
    <w:rsid w:val="014FE824"/>
    <w:rsid w:val="01511359"/>
    <w:rsid w:val="01537410"/>
    <w:rsid w:val="01585672"/>
    <w:rsid w:val="0164CF3A"/>
    <w:rsid w:val="01660FF1"/>
    <w:rsid w:val="0169B514"/>
    <w:rsid w:val="0171DAA2"/>
    <w:rsid w:val="018B2483"/>
    <w:rsid w:val="0191E67A"/>
    <w:rsid w:val="01A5D7DC"/>
    <w:rsid w:val="01A9E825"/>
    <w:rsid w:val="01B806A9"/>
    <w:rsid w:val="01C1B6ED"/>
    <w:rsid w:val="01D573E5"/>
    <w:rsid w:val="01E4193C"/>
    <w:rsid w:val="01EEC663"/>
    <w:rsid w:val="01F26378"/>
    <w:rsid w:val="01F7BBF3"/>
    <w:rsid w:val="0203631B"/>
    <w:rsid w:val="020F8566"/>
    <w:rsid w:val="020FDF07"/>
    <w:rsid w:val="0213D6B6"/>
    <w:rsid w:val="0218D453"/>
    <w:rsid w:val="021A4EB1"/>
    <w:rsid w:val="021E29B3"/>
    <w:rsid w:val="022A4AD0"/>
    <w:rsid w:val="02332037"/>
    <w:rsid w:val="02386A43"/>
    <w:rsid w:val="023FE41C"/>
    <w:rsid w:val="02748452"/>
    <w:rsid w:val="02825C68"/>
    <w:rsid w:val="028EDEB2"/>
    <w:rsid w:val="029A12B4"/>
    <w:rsid w:val="02AD2D50"/>
    <w:rsid w:val="02BF1834"/>
    <w:rsid w:val="02CA5DA3"/>
    <w:rsid w:val="02D4F08E"/>
    <w:rsid w:val="02DAD3DD"/>
    <w:rsid w:val="02DB101F"/>
    <w:rsid w:val="02E738EB"/>
    <w:rsid w:val="02F6732B"/>
    <w:rsid w:val="02F6B683"/>
    <w:rsid w:val="030DF740"/>
    <w:rsid w:val="031112AB"/>
    <w:rsid w:val="03134530"/>
    <w:rsid w:val="03151E00"/>
    <w:rsid w:val="031B34E9"/>
    <w:rsid w:val="0322485F"/>
    <w:rsid w:val="033E7BA0"/>
    <w:rsid w:val="034560CF"/>
    <w:rsid w:val="034A747D"/>
    <w:rsid w:val="035A1CE8"/>
    <w:rsid w:val="036D8D6E"/>
    <w:rsid w:val="036EDE06"/>
    <w:rsid w:val="0379EBCC"/>
    <w:rsid w:val="037D766C"/>
    <w:rsid w:val="03856F2C"/>
    <w:rsid w:val="03890929"/>
    <w:rsid w:val="03905FC2"/>
    <w:rsid w:val="03BBF256"/>
    <w:rsid w:val="03C00A0C"/>
    <w:rsid w:val="03C6224F"/>
    <w:rsid w:val="03D004A3"/>
    <w:rsid w:val="03D60649"/>
    <w:rsid w:val="03E2B0BC"/>
    <w:rsid w:val="03E9F624"/>
    <w:rsid w:val="03EA5164"/>
    <w:rsid w:val="0419AEA1"/>
    <w:rsid w:val="0427AD19"/>
    <w:rsid w:val="044DBBE7"/>
    <w:rsid w:val="045A0D2B"/>
    <w:rsid w:val="045D6F69"/>
    <w:rsid w:val="0464EE3A"/>
    <w:rsid w:val="04765D4D"/>
    <w:rsid w:val="04886FBA"/>
    <w:rsid w:val="04A29DEC"/>
    <w:rsid w:val="04A994E9"/>
    <w:rsid w:val="04AB65DA"/>
    <w:rsid w:val="04ACAE3D"/>
    <w:rsid w:val="04BF3125"/>
    <w:rsid w:val="04D0954D"/>
    <w:rsid w:val="0505CA17"/>
    <w:rsid w:val="0507FDE1"/>
    <w:rsid w:val="0517C61C"/>
    <w:rsid w:val="051A63A2"/>
    <w:rsid w:val="05423390"/>
    <w:rsid w:val="0551D999"/>
    <w:rsid w:val="0581C864"/>
    <w:rsid w:val="0595C3B5"/>
    <w:rsid w:val="05A5CA6F"/>
    <w:rsid w:val="05A7233B"/>
    <w:rsid w:val="05ABDF31"/>
    <w:rsid w:val="05D1490E"/>
    <w:rsid w:val="05D1CE53"/>
    <w:rsid w:val="05D88D13"/>
    <w:rsid w:val="05DA6E7C"/>
    <w:rsid w:val="05DBBC00"/>
    <w:rsid w:val="05E2CA23"/>
    <w:rsid w:val="05E95721"/>
    <w:rsid w:val="05F11ED7"/>
    <w:rsid w:val="05F941C4"/>
    <w:rsid w:val="060CD9C3"/>
    <w:rsid w:val="06140135"/>
    <w:rsid w:val="061F88F5"/>
    <w:rsid w:val="06222CC9"/>
    <w:rsid w:val="0624BA4F"/>
    <w:rsid w:val="0628E8D2"/>
    <w:rsid w:val="062D0D53"/>
    <w:rsid w:val="063DC1DC"/>
    <w:rsid w:val="066BE4FF"/>
    <w:rsid w:val="0672518C"/>
    <w:rsid w:val="0677CD4F"/>
    <w:rsid w:val="067E92A5"/>
    <w:rsid w:val="06970FAE"/>
    <w:rsid w:val="06A4E20B"/>
    <w:rsid w:val="06BE44E7"/>
    <w:rsid w:val="06DC92BC"/>
    <w:rsid w:val="06E44C88"/>
    <w:rsid w:val="06ED2906"/>
    <w:rsid w:val="06F2435D"/>
    <w:rsid w:val="06FC7CEA"/>
    <w:rsid w:val="07035BBA"/>
    <w:rsid w:val="0713B2E5"/>
    <w:rsid w:val="07275F3E"/>
    <w:rsid w:val="07433FAB"/>
    <w:rsid w:val="074F5C98"/>
    <w:rsid w:val="07551FD1"/>
    <w:rsid w:val="0760228E"/>
    <w:rsid w:val="0765E616"/>
    <w:rsid w:val="0777BFCD"/>
    <w:rsid w:val="0794AE6B"/>
    <w:rsid w:val="079742C1"/>
    <w:rsid w:val="079A151F"/>
    <w:rsid w:val="079B9414"/>
    <w:rsid w:val="079DCE2E"/>
    <w:rsid w:val="07A9EDD5"/>
    <w:rsid w:val="07B80A56"/>
    <w:rsid w:val="07D4EB88"/>
    <w:rsid w:val="07D7F06A"/>
    <w:rsid w:val="07DFA864"/>
    <w:rsid w:val="07E1BD47"/>
    <w:rsid w:val="07E9FA0B"/>
    <w:rsid w:val="07FF44B2"/>
    <w:rsid w:val="08149972"/>
    <w:rsid w:val="081A9E81"/>
    <w:rsid w:val="081E5F84"/>
    <w:rsid w:val="082F84E4"/>
    <w:rsid w:val="086137FC"/>
    <w:rsid w:val="086620FC"/>
    <w:rsid w:val="086EEB25"/>
    <w:rsid w:val="08851F82"/>
    <w:rsid w:val="089BC077"/>
    <w:rsid w:val="08B09874"/>
    <w:rsid w:val="08B1ECC0"/>
    <w:rsid w:val="08BE1B23"/>
    <w:rsid w:val="08D35073"/>
    <w:rsid w:val="08D8847D"/>
    <w:rsid w:val="08D88F55"/>
    <w:rsid w:val="08E28B53"/>
    <w:rsid w:val="08EB2BA0"/>
    <w:rsid w:val="08F7DA20"/>
    <w:rsid w:val="08FEE1CC"/>
    <w:rsid w:val="09051E09"/>
    <w:rsid w:val="091B4A30"/>
    <w:rsid w:val="094E6A64"/>
    <w:rsid w:val="0954112D"/>
    <w:rsid w:val="095D9C66"/>
    <w:rsid w:val="09689A7B"/>
    <w:rsid w:val="096F86AC"/>
    <w:rsid w:val="097C395C"/>
    <w:rsid w:val="098BD5B6"/>
    <w:rsid w:val="09942FEC"/>
    <w:rsid w:val="09B5EB45"/>
    <w:rsid w:val="09C4ED3B"/>
    <w:rsid w:val="09C53999"/>
    <w:rsid w:val="09C8CEE9"/>
    <w:rsid w:val="09C9741C"/>
    <w:rsid w:val="09CC36A5"/>
    <w:rsid w:val="09CE2F1F"/>
    <w:rsid w:val="09CE9946"/>
    <w:rsid w:val="09CEED74"/>
    <w:rsid w:val="09F48BCC"/>
    <w:rsid w:val="09FC9074"/>
    <w:rsid w:val="0A06D595"/>
    <w:rsid w:val="0A1CF72F"/>
    <w:rsid w:val="0A3A99A7"/>
    <w:rsid w:val="0A514837"/>
    <w:rsid w:val="0A66F9C2"/>
    <w:rsid w:val="0A72353D"/>
    <w:rsid w:val="0A77F205"/>
    <w:rsid w:val="0A7EF83D"/>
    <w:rsid w:val="0A85EC13"/>
    <w:rsid w:val="0A85FA1D"/>
    <w:rsid w:val="0A9BDF56"/>
    <w:rsid w:val="0AC4F9F3"/>
    <w:rsid w:val="0AC5F3EE"/>
    <w:rsid w:val="0AC9C72A"/>
    <w:rsid w:val="0ACBC51F"/>
    <w:rsid w:val="0ACF8B91"/>
    <w:rsid w:val="0AEED658"/>
    <w:rsid w:val="0AF02EC6"/>
    <w:rsid w:val="0AF608D1"/>
    <w:rsid w:val="0AFFE8F1"/>
    <w:rsid w:val="0B16C0DA"/>
    <w:rsid w:val="0B18C2A1"/>
    <w:rsid w:val="0B59CCFA"/>
    <w:rsid w:val="0B5B2FBB"/>
    <w:rsid w:val="0B808DFB"/>
    <w:rsid w:val="0B89B242"/>
    <w:rsid w:val="0B8DF3A1"/>
    <w:rsid w:val="0B951110"/>
    <w:rsid w:val="0BBB1DAA"/>
    <w:rsid w:val="0BC26A94"/>
    <w:rsid w:val="0BCD5E65"/>
    <w:rsid w:val="0BE8FF81"/>
    <w:rsid w:val="0C024B03"/>
    <w:rsid w:val="0C0268F7"/>
    <w:rsid w:val="0C036DB9"/>
    <w:rsid w:val="0C36FB69"/>
    <w:rsid w:val="0C5E3266"/>
    <w:rsid w:val="0C60D5D5"/>
    <w:rsid w:val="0C6D06B2"/>
    <w:rsid w:val="0C93D937"/>
    <w:rsid w:val="0C9741D7"/>
    <w:rsid w:val="0CACBA6D"/>
    <w:rsid w:val="0CC308F8"/>
    <w:rsid w:val="0CEBA0AE"/>
    <w:rsid w:val="0CEC574F"/>
    <w:rsid w:val="0CECB410"/>
    <w:rsid w:val="0D276541"/>
    <w:rsid w:val="0D3F23E4"/>
    <w:rsid w:val="0D4518E6"/>
    <w:rsid w:val="0D470D57"/>
    <w:rsid w:val="0D53C44D"/>
    <w:rsid w:val="0D5B3457"/>
    <w:rsid w:val="0D64C93E"/>
    <w:rsid w:val="0D692AC6"/>
    <w:rsid w:val="0D6DBDF0"/>
    <w:rsid w:val="0D75D4E5"/>
    <w:rsid w:val="0D7AC781"/>
    <w:rsid w:val="0D7E9B0D"/>
    <w:rsid w:val="0D93BD60"/>
    <w:rsid w:val="0D982075"/>
    <w:rsid w:val="0D9D5AE3"/>
    <w:rsid w:val="0DA72866"/>
    <w:rsid w:val="0DB62DC9"/>
    <w:rsid w:val="0DC41D35"/>
    <w:rsid w:val="0DCBACC6"/>
    <w:rsid w:val="0DCD36D7"/>
    <w:rsid w:val="0DD9500E"/>
    <w:rsid w:val="0DDACFEA"/>
    <w:rsid w:val="0DDD0563"/>
    <w:rsid w:val="0DE09077"/>
    <w:rsid w:val="0DE1CB78"/>
    <w:rsid w:val="0DE4EC8B"/>
    <w:rsid w:val="0DE512D5"/>
    <w:rsid w:val="0E1545B4"/>
    <w:rsid w:val="0E25B4B0"/>
    <w:rsid w:val="0E2DB7C8"/>
    <w:rsid w:val="0E3DDFC1"/>
    <w:rsid w:val="0E4145BA"/>
    <w:rsid w:val="0E45005A"/>
    <w:rsid w:val="0E45ACD2"/>
    <w:rsid w:val="0E4B830A"/>
    <w:rsid w:val="0E5BA5EA"/>
    <w:rsid w:val="0E79E32C"/>
    <w:rsid w:val="0E869D11"/>
    <w:rsid w:val="0E8BB563"/>
    <w:rsid w:val="0EA1B5B4"/>
    <w:rsid w:val="0EAA686B"/>
    <w:rsid w:val="0EADA31F"/>
    <w:rsid w:val="0EC82341"/>
    <w:rsid w:val="0ED486E3"/>
    <w:rsid w:val="0EE30F2E"/>
    <w:rsid w:val="0EEBB429"/>
    <w:rsid w:val="0EF1496C"/>
    <w:rsid w:val="0F07992E"/>
    <w:rsid w:val="0F2D889E"/>
    <w:rsid w:val="0F3D6E0C"/>
    <w:rsid w:val="0F4F3F24"/>
    <w:rsid w:val="0F6A2A95"/>
    <w:rsid w:val="0F973E29"/>
    <w:rsid w:val="0F9770AE"/>
    <w:rsid w:val="0FA2FFDE"/>
    <w:rsid w:val="0FA83BB0"/>
    <w:rsid w:val="0FBB4B1F"/>
    <w:rsid w:val="0FCDB422"/>
    <w:rsid w:val="0FDBA15E"/>
    <w:rsid w:val="0FE0C86D"/>
    <w:rsid w:val="0FE2E9FE"/>
    <w:rsid w:val="0FE2F169"/>
    <w:rsid w:val="0FED953E"/>
    <w:rsid w:val="0FF63D49"/>
    <w:rsid w:val="1000EF41"/>
    <w:rsid w:val="10168A37"/>
    <w:rsid w:val="10363DAE"/>
    <w:rsid w:val="10415BF2"/>
    <w:rsid w:val="1059F46E"/>
    <w:rsid w:val="10657417"/>
    <w:rsid w:val="10682A88"/>
    <w:rsid w:val="10762DE1"/>
    <w:rsid w:val="10809AD1"/>
    <w:rsid w:val="108566DE"/>
    <w:rsid w:val="10933C2C"/>
    <w:rsid w:val="109B7F9A"/>
    <w:rsid w:val="10A9EA6C"/>
    <w:rsid w:val="10C5037D"/>
    <w:rsid w:val="10CC1A1E"/>
    <w:rsid w:val="10E18407"/>
    <w:rsid w:val="10F05D21"/>
    <w:rsid w:val="10FE8E0A"/>
    <w:rsid w:val="111BE97F"/>
    <w:rsid w:val="112D096A"/>
    <w:rsid w:val="11382488"/>
    <w:rsid w:val="11437D2C"/>
    <w:rsid w:val="1146DC65"/>
    <w:rsid w:val="114E94AB"/>
    <w:rsid w:val="116087C0"/>
    <w:rsid w:val="1162C846"/>
    <w:rsid w:val="11734C59"/>
    <w:rsid w:val="11919C8C"/>
    <w:rsid w:val="11969222"/>
    <w:rsid w:val="11AA4F43"/>
    <w:rsid w:val="11B719EE"/>
    <w:rsid w:val="11C8363F"/>
    <w:rsid w:val="11DDFB38"/>
    <w:rsid w:val="11EE982D"/>
    <w:rsid w:val="11FB90E8"/>
    <w:rsid w:val="120EE188"/>
    <w:rsid w:val="12168B0E"/>
    <w:rsid w:val="121B40EB"/>
    <w:rsid w:val="12205139"/>
    <w:rsid w:val="122084AD"/>
    <w:rsid w:val="12228236"/>
    <w:rsid w:val="122693D8"/>
    <w:rsid w:val="124C9F52"/>
    <w:rsid w:val="127C5573"/>
    <w:rsid w:val="127CB9AD"/>
    <w:rsid w:val="128983EE"/>
    <w:rsid w:val="128D8BBD"/>
    <w:rsid w:val="12907A98"/>
    <w:rsid w:val="129EE506"/>
    <w:rsid w:val="129F19A4"/>
    <w:rsid w:val="12C41D90"/>
    <w:rsid w:val="12CF04F0"/>
    <w:rsid w:val="12D3D79F"/>
    <w:rsid w:val="12D8083B"/>
    <w:rsid w:val="12DAD6F8"/>
    <w:rsid w:val="1300CA6B"/>
    <w:rsid w:val="130D731A"/>
    <w:rsid w:val="1347F32C"/>
    <w:rsid w:val="135ECF2A"/>
    <w:rsid w:val="13621F8E"/>
    <w:rsid w:val="136D29D0"/>
    <w:rsid w:val="1372DEF4"/>
    <w:rsid w:val="138A0298"/>
    <w:rsid w:val="139F4A49"/>
    <w:rsid w:val="13D8DFF0"/>
    <w:rsid w:val="13DD7645"/>
    <w:rsid w:val="13F2C98B"/>
    <w:rsid w:val="1425B30F"/>
    <w:rsid w:val="14396AE3"/>
    <w:rsid w:val="14418E9A"/>
    <w:rsid w:val="14726F2D"/>
    <w:rsid w:val="147A2B74"/>
    <w:rsid w:val="14819794"/>
    <w:rsid w:val="1496EC7C"/>
    <w:rsid w:val="1497E29F"/>
    <w:rsid w:val="149D8DC1"/>
    <w:rsid w:val="14AAA699"/>
    <w:rsid w:val="14AD9634"/>
    <w:rsid w:val="14B23C82"/>
    <w:rsid w:val="14B29455"/>
    <w:rsid w:val="14C329D3"/>
    <w:rsid w:val="14C36C65"/>
    <w:rsid w:val="14C7F920"/>
    <w:rsid w:val="14C80829"/>
    <w:rsid w:val="14E148F3"/>
    <w:rsid w:val="14E29E9E"/>
    <w:rsid w:val="14E5BC1C"/>
    <w:rsid w:val="1505ECA8"/>
    <w:rsid w:val="1508C984"/>
    <w:rsid w:val="1519E195"/>
    <w:rsid w:val="151D8DCD"/>
    <w:rsid w:val="1520E12B"/>
    <w:rsid w:val="1522C96F"/>
    <w:rsid w:val="1532EE70"/>
    <w:rsid w:val="1533B725"/>
    <w:rsid w:val="155F3D4A"/>
    <w:rsid w:val="156F7A4A"/>
    <w:rsid w:val="15807ABA"/>
    <w:rsid w:val="15814EDE"/>
    <w:rsid w:val="15860289"/>
    <w:rsid w:val="15C7495A"/>
    <w:rsid w:val="15D68414"/>
    <w:rsid w:val="15DF749D"/>
    <w:rsid w:val="15EA798C"/>
    <w:rsid w:val="15F7D5DB"/>
    <w:rsid w:val="16018D53"/>
    <w:rsid w:val="1601DBF8"/>
    <w:rsid w:val="16118428"/>
    <w:rsid w:val="16181F34"/>
    <w:rsid w:val="16436316"/>
    <w:rsid w:val="164A6A89"/>
    <w:rsid w:val="1663AEC1"/>
    <w:rsid w:val="1670EDF0"/>
    <w:rsid w:val="167AA22A"/>
    <w:rsid w:val="167B824F"/>
    <w:rsid w:val="1680674C"/>
    <w:rsid w:val="16949C6B"/>
    <w:rsid w:val="1696AD91"/>
    <w:rsid w:val="16974E50"/>
    <w:rsid w:val="16A624C5"/>
    <w:rsid w:val="16D4FB17"/>
    <w:rsid w:val="16DDC217"/>
    <w:rsid w:val="16F1B525"/>
    <w:rsid w:val="17104E4A"/>
    <w:rsid w:val="1724E4E2"/>
    <w:rsid w:val="175695E8"/>
    <w:rsid w:val="175FDA0E"/>
    <w:rsid w:val="1768CDBE"/>
    <w:rsid w:val="177D71E8"/>
    <w:rsid w:val="17ABEB70"/>
    <w:rsid w:val="17E8CE99"/>
    <w:rsid w:val="17EDA284"/>
    <w:rsid w:val="17FBA14B"/>
    <w:rsid w:val="1802F15B"/>
    <w:rsid w:val="18221316"/>
    <w:rsid w:val="18235898"/>
    <w:rsid w:val="182EC9F2"/>
    <w:rsid w:val="1834D3FA"/>
    <w:rsid w:val="1838B08E"/>
    <w:rsid w:val="1853E17C"/>
    <w:rsid w:val="1858D8C9"/>
    <w:rsid w:val="1861164F"/>
    <w:rsid w:val="1863F546"/>
    <w:rsid w:val="1899F936"/>
    <w:rsid w:val="18CA6F94"/>
    <w:rsid w:val="18DA0713"/>
    <w:rsid w:val="18FCF8A8"/>
    <w:rsid w:val="1909A32B"/>
    <w:rsid w:val="190CE306"/>
    <w:rsid w:val="190DF317"/>
    <w:rsid w:val="1917DA23"/>
    <w:rsid w:val="1930A6A6"/>
    <w:rsid w:val="1943E614"/>
    <w:rsid w:val="194ADB57"/>
    <w:rsid w:val="1956A9F7"/>
    <w:rsid w:val="195BA0EB"/>
    <w:rsid w:val="195C8A16"/>
    <w:rsid w:val="1969C601"/>
    <w:rsid w:val="197F8533"/>
    <w:rsid w:val="198413F4"/>
    <w:rsid w:val="198C4CE2"/>
    <w:rsid w:val="198EE79F"/>
    <w:rsid w:val="1991BD80"/>
    <w:rsid w:val="19935874"/>
    <w:rsid w:val="19A72115"/>
    <w:rsid w:val="19B1B36A"/>
    <w:rsid w:val="19C43B5F"/>
    <w:rsid w:val="19CD5FC6"/>
    <w:rsid w:val="19E2899E"/>
    <w:rsid w:val="19EE353E"/>
    <w:rsid w:val="1A0E44C7"/>
    <w:rsid w:val="1A242374"/>
    <w:rsid w:val="1A3FD0EF"/>
    <w:rsid w:val="1A43F11A"/>
    <w:rsid w:val="1A470B61"/>
    <w:rsid w:val="1A616A35"/>
    <w:rsid w:val="1A6E5F51"/>
    <w:rsid w:val="1A70D45A"/>
    <w:rsid w:val="1A78F9BD"/>
    <w:rsid w:val="1A8FE9FD"/>
    <w:rsid w:val="1A921C58"/>
    <w:rsid w:val="1A96CE19"/>
    <w:rsid w:val="1A9BEE4B"/>
    <w:rsid w:val="1AA68461"/>
    <w:rsid w:val="1AAD11C9"/>
    <w:rsid w:val="1AAD8443"/>
    <w:rsid w:val="1ACD026F"/>
    <w:rsid w:val="1AD099BE"/>
    <w:rsid w:val="1AD8E4E9"/>
    <w:rsid w:val="1AE26FFA"/>
    <w:rsid w:val="1AE57D89"/>
    <w:rsid w:val="1AF1441D"/>
    <w:rsid w:val="1AF9AE47"/>
    <w:rsid w:val="1B13F791"/>
    <w:rsid w:val="1B278C26"/>
    <w:rsid w:val="1B2ED709"/>
    <w:rsid w:val="1B321EBA"/>
    <w:rsid w:val="1B5ABEA8"/>
    <w:rsid w:val="1B5B1B51"/>
    <w:rsid w:val="1B63CDDE"/>
    <w:rsid w:val="1B888E1F"/>
    <w:rsid w:val="1B8917C3"/>
    <w:rsid w:val="1B98319E"/>
    <w:rsid w:val="1BC4A1C4"/>
    <w:rsid w:val="1BD5DF84"/>
    <w:rsid w:val="1BD64B85"/>
    <w:rsid w:val="1BD829CC"/>
    <w:rsid w:val="1BE538DE"/>
    <w:rsid w:val="1BEF86A1"/>
    <w:rsid w:val="1BEFD4E4"/>
    <w:rsid w:val="1BF8C8D9"/>
    <w:rsid w:val="1BFB1E98"/>
    <w:rsid w:val="1C1961E8"/>
    <w:rsid w:val="1C1B1C28"/>
    <w:rsid w:val="1C1CE17A"/>
    <w:rsid w:val="1C214C04"/>
    <w:rsid w:val="1C29A60F"/>
    <w:rsid w:val="1C4B94D7"/>
    <w:rsid w:val="1C638F80"/>
    <w:rsid w:val="1C64ACBB"/>
    <w:rsid w:val="1C72E342"/>
    <w:rsid w:val="1C783D74"/>
    <w:rsid w:val="1C87F4DE"/>
    <w:rsid w:val="1C8E9313"/>
    <w:rsid w:val="1C90A28B"/>
    <w:rsid w:val="1C9F5633"/>
    <w:rsid w:val="1CA5C5EE"/>
    <w:rsid w:val="1CABB418"/>
    <w:rsid w:val="1CB0B2AE"/>
    <w:rsid w:val="1CB35C6B"/>
    <w:rsid w:val="1CD43E98"/>
    <w:rsid w:val="1CDD5D45"/>
    <w:rsid w:val="1CE16C18"/>
    <w:rsid w:val="1D116B4C"/>
    <w:rsid w:val="1D37A1E5"/>
    <w:rsid w:val="1D3E2BD1"/>
    <w:rsid w:val="1D4A39D7"/>
    <w:rsid w:val="1D80E004"/>
    <w:rsid w:val="1D90E097"/>
    <w:rsid w:val="1D9F9D30"/>
    <w:rsid w:val="1DA01992"/>
    <w:rsid w:val="1DB55EAD"/>
    <w:rsid w:val="1DB921D2"/>
    <w:rsid w:val="1DC3217F"/>
    <w:rsid w:val="1DDD791E"/>
    <w:rsid w:val="1DEF4EA2"/>
    <w:rsid w:val="1E07FA8E"/>
    <w:rsid w:val="1E40C0B4"/>
    <w:rsid w:val="1E525A9C"/>
    <w:rsid w:val="1E5511A4"/>
    <w:rsid w:val="1E5A2F96"/>
    <w:rsid w:val="1E6CCA9E"/>
    <w:rsid w:val="1E6E0019"/>
    <w:rsid w:val="1E70D0E5"/>
    <w:rsid w:val="1E73856C"/>
    <w:rsid w:val="1EAB59B8"/>
    <w:rsid w:val="1EC59FE6"/>
    <w:rsid w:val="1EC9AEF0"/>
    <w:rsid w:val="1ECD13CB"/>
    <w:rsid w:val="1ECE000F"/>
    <w:rsid w:val="1ED0AACF"/>
    <w:rsid w:val="1EDB122D"/>
    <w:rsid w:val="1EE68BAF"/>
    <w:rsid w:val="1EEFD729"/>
    <w:rsid w:val="1EF3F40F"/>
    <w:rsid w:val="1EFF4E2A"/>
    <w:rsid w:val="1F0C4EB9"/>
    <w:rsid w:val="1F33E83F"/>
    <w:rsid w:val="1F420E7C"/>
    <w:rsid w:val="1F445F01"/>
    <w:rsid w:val="1F48ABF7"/>
    <w:rsid w:val="1F4E2135"/>
    <w:rsid w:val="1F58CA52"/>
    <w:rsid w:val="1F5A7F09"/>
    <w:rsid w:val="1F7541CF"/>
    <w:rsid w:val="1F833901"/>
    <w:rsid w:val="1F8CB834"/>
    <w:rsid w:val="1F927A1B"/>
    <w:rsid w:val="1FA638E1"/>
    <w:rsid w:val="1FB8DD0A"/>
    <w:rsid w:val="1FD3B3B8"/>
    <w:rsid w:val="1FE74C4F"/>
    <w:rsid w:val="1FF3B0C5"/>
    <w:rsid w:val="1FF8B4D3"/>
    <w:rsid w:val="1FFFD3D7"/>
    <w:rsid w:val="200117F7"/>
    <w:rsid w:val="2003E94F"/>
    <w:rsid w:val="200EC4BA"/>
    <w:rsid w:val="202970E7"/>
    <w:rsid w:val="2046FF61"/>
    <w:rsid w:val="206768C5"/>
    <w:rsid w:val="206770A5"/>
    <w:rsid w:val="206DD756"/>
    <w:rsid w:val="20930837"/>
    <w:rsid w:val="20A14F6C"/>
    <w:rsid w:val="20A4903B"/>
    <w:rsid w:val="20A58867"/>
    <w:rsid w:val="20AFFE03"/>
    <w:rsid w:val="20B3662A"/>
    <w:rsid w:val="20D1DCF1"/>
    <w:rsid w:val="20E4FDFF"/>
    <w:rsid w:val="20F0CDAE"/>
    <w:rsid w:val="21158E35"/>
    <w:rsid w:val="21166D40"/>
    <w:rsid w:val="2133F39E"/>
    <w:rsid w:val="213620E1"/>
    <w:rsid w:val="214264EB"/>
    <w:rsid w:val="21540CF0"/>
    <w:rsid w:val="219B55CE"/>
    <w:rsid w:val="219CD156"/>
    <w:rsid w:val="219E478B"/>
    <w:rsid w:val="21ADEB6E"/>
    <w:rsid w:val="21AF10D6"/>
    <w:rsid w:val="21B15AEC"/>
    <w:rsid w:val="21C166AF"/>
    <w:rsid w:val="21C29402"/>
    <w:rsid w:val="21D8796A"/>
    <w:rsid w:val="21E680EC"/>
    <w:rsid w:val="21E94B21"/>
    <w:rsid w:val="21F2AF1A"/>
    <w:rsid w:val="220FFE9C"/>
    <w:rsid w:val="221C52DB"/>
    <w:rsid w:val="222F01BC"/>
    <w:rsid w:val="2248B3CB"/>
    <w:rsid w:val="225BF6C7"/>
    <w:rsid w:val="2269CA2C"/>
    <w:rsid w:val="2276C0EA"/>
    <w:rsid w:val="2294F757"/>
    <w:rsid w:val="22A80D2E"/>
    <w:rsid w:val="22AB083D"/>
    <w:rsid w:val="22AC88CA"/>
    <w:rsid w:val="22B2E059"/>
    <w:rsid w:val="22B6C07B"/>
    <w:rsid w:val="22CA8069"/>
    <w:rsid w:val="22CD4872"/>
    <w:rsid w:val="22CF45AF"/>
    <w:rsid w:val="22D17ADB"/>
    <w:rsid w:val="22E2CC7E"/>
    <w:rsid w:val="22E39BB7"/>
    <w:rsid w:val="22EFF16C"/>
    <w:rsid w:val="22F3B46A"/>
    <w:rsid w:val="22F7625C"/>
    <w:rsid w:val="23127A6E"/>
    <w:rsid w:val="2316D7BB"/>
    <w:rsid w:val="23172A40"/>
    <w:rsid w:val="23298A3C"/>
    <w:rsid w:val="232EDA0C"/>
    <w:rsid w:val="2335BEDD"/>
    <w:rsid w:val="23461FD6"/>
    <w:rsid w:val="2359CD4D"/>
    <w:rsid w:val="235E356C"/>
    <w:rsid w:val="236D3429"/>
    <w:rsid w:val="23724292"/>
    <w:rsid w:val="2379D7C9"/>
    <w:rsid w:val="2389C2F2"/>
    <w:rsid w:val="23A0FC12"/>
    <w:rsid w:val="23A49E84"/>
    <w:rsid w:val="23B5E22A"/>
    <w:rsid w:val="23CA975A"/>
    <w:rsid w:val="23CBE160"/>
    <w:rsid w:val="23D5E9EA"/>
    <w:rsid w:val="23E5653B"/>
    <w:rsid w:val="2406A6EA"/>
    <w:rsid w:val="2411228B"/>
    <w:rsid w:val="2417DD33"/>
    <w:rsid w:val="2421A450"/>
    <w:rsid w:val="24227B82"/>
    <w:rsid w:val="2432EDB2"/>
    <w:rsid w:val="24343BA6"/>
    <w:rsid w:val="244BBED2"/>
    <w:rsid w:val="244E8249"/>
    <w:rsid w:val="246FCC6B"/>
    <w:rsid w:val="247D14E2"/>
    <w:rsid w:val="248A5D0C"/>
    <w:rsid w:val="24B70DF8"/>
    <w:rsid w:val="24BAA506"/>
    <w:rsid w:val="24EA95E3"/>
    <w:rsid w:val="24ED5E82"/>
    <w:rsid w:val="24F3D7AD"/>
    <w:rsid w:val="2500B6AE"/>
    <w:rsid w:val="25023545"/>
    <w:rsid w:val="250AC37C"/>
    <w:rsid w:val="252B3D6E"/>
    <w:rsid w:val="25346747"/>
    <w:rsid w:val="2536C72E"/>
    <w:rsid w:val="254040D0"/>
    <w:rsid w:val="2549AC23"/>
    <w:rsid w:val="2562B854"/>
    <w:rsid w:val="257549C7"/>
    <w:rsid w:val="25767615"/>
    <w:rsid w:val="25B3532F"/>
    <w:rsid w:val="25BAF361"/>
    <w:rsid w:val="25C5CB91"/>
    <w:rsid w:val="25E56262"/>
    <w:rsid w:val="25ECC222"/>
    <w:rsid w:val="25F71CAA"/>
    <w:rsid w:val="26040880"/>
    <w:rsid w:val="260827AE"/>
    <w:rsid w:val="2614D112"/>
    <w:rsid w:val="261D3ED2"/>
    <w:rsid w:val="262B9CA2"/>
    <w:rsid w:val="262E5DE9"/>
    <w:rsid w:val="262F3383"/>
    <w:rsid w:val="264928A8"/>
    <w:rsid w:val="264EB90D"/>
    <w:rsid w:val="2656B222"/>
    <w:rsid w:val="265B2513"/>
    <w:rsid w:val="266A60FB"/>
    <w:rsid w:val="26727A1E"/>
    <w:rsid w:val="26733783"/>
    <w:rsid w:val="268A63AF"/>
    <w:rsid w:val="2691025D"/>
    <w:rsid w:val="269BC837"/>
    <w:rsid w:val="269D750C"/>
    <w:rsid w:val="26AF811C"/>
    <w:rsid w:val="26C6B4B6"/>
    <w:rsid w:val="26D3C922"/>
    <w:rsid w:val="26D63DB8"/>
    <w:rsid w:val="26E60081"/>
    <w:rsid w:val="26F31F9B"/>
    <w:rsid w:val="26F7497E"/>
    <w:rsid w:val="27078D80"/>
    <w:rsid w:val="270A0CED"/>
    <w:rsid w:val="27180935"/>
    <w:rsid w:val="2728F8E9"/>
    <w:rsid w:val="272BC6B3"/>
    <w:rsid w:val="273DF4E9"/>
    <w:rsid w:val="2742FAA9"/>
    <w:rsid w:val="275786B8"/>
    <w:rsid w:val="27606FE6"/>
    <w:rsid w:val="2768B164"/>
    <w:rsid w:val="278E0036"/>
    <w:rsid w:val="27AF26F9"/>
    <w:rsid w:val="27B00EB3"/>
    <w:rsid w:val="27B2961B"/>
    <w:rsid w:val="27BDA783"/>
    <w:rsid w:val="27C443C2"/>
    <w:rsid w:val="27D1B584"/>
    <w:rsid w:val="27EA191E"/>
    <w:rsid w:val="28199289"/>
    <w:rsid w:val="2822E749"/>
    <w:rsid w:val="282B122B"/>
    <w:rsid w:val="283AE767"/>
    <w:rsid w:val="2871F147"/>
    <w:rsid w:val="28751CDA"/>
    <w:rsid w:val="288386F8"/>
    <w:rsid w:val="288FCD34"/>
    <w:rsid w:val="28A26A16"/>
    <w:rsid w:val="28CF253A"/>
    <w:rsid w:val="28D381C1"/>
    <w:rsid w:val="28F8B045"/>
    <w:rsid w:val="28FE1087"/>
    <w:rsid w:val="290165E3"/>
    <w:rsid w:val="29060DB3"/>
    <w:rsid w:val="2911BD4B"/>
    <w:rsid w:val="29149E31"/>
    <w:rsid w:val="2914EC44"/>
    <w:rsid w:val="2919085B"/>
    <w:rsid w:val="291EF13B"/>
    <w:rsid w:val="291F601E"/>
    <w:rsid w:val="2922597E"/>
    <w:rsid w:val="293D0685"/>
    <w:rsid w:val="2945F2E4"/>
    <w:rsid w:val="29598FB8"/>
    <w:rsid w:val="296729E3"/>
    <w:rsid w:val="297BDA23"/>
    <w:rsid w:val="297E33A2"/>
    <w:rsid w:val="298869FD"/>
    <w:rsid w:val="298B3B45"/>
    <w:rsid w:val="2993B40C"/>
    <w:rsid w:val="2999D408"/>
    <w:rsid w:val="299E93BA"/>
    <w:rsid w:val="29A3498F"/>
    <w:rsid w:val="29B2E6EA"/>
    <w:rsid w:val="29B7FF21"/>
    <w:rsid w:val="29CC4AF2"/>
    <w:rsid w:val="29E268A8"/>
    <w:rsid w:val="29E62377"/>
    <w:rsid w:val="29E6E91F"/>
    <w:rsid w:val="29EFFC13"/>
    <w:rsid w:val="29F5F9D5"/>
    <w:rsid w:val="2A178584"/>
    <w:rsid w:val="2A2468C6"/>
    <w:rsid w:val="2A404F74"/>
    <w:rsid w:val="2A477A4B"/>
    <w:rsid w:val="2A5DF115"/>
    <w:rsid w:val="2A7C83F9"/>
    <w:rsid w:val="2A7CCC10"/>
    <w:rsid w:val="2A8347ED"/>
    <w:rsid w:val="2A884612"/>
    <w:rsid w:val="2A88FE16"/>
    <w:rsid w:val="2A95D9E8"/>
    <w:rsid w:val="2AC6C09C"/>
    <w:rsid w:val="2B15DEAE"/>
    <w:rsid w:val="2B2032E5"/>
    <w:rsid w:val="2B3E7A76"/>
    <w:rsid w:val="2B4B4670"/>
    <w:rsid w:val="2B592AB6"/>
    <w:rsid w:val="2B6348CC"/>
    <w:rsid w:val="2B748DE3"/>
    <w:rsid w:val="2B75DD90"/>
    <w:rsid w:val="2B78117E"/>
    <w:rsid w:val="2B7B6003"/>
    <w:rsid w:val="2B851479"/>
    <w:rsid w:val="2B882298"/>
    <w:rsid w:val="2B9A691C"/>
    <w:rsid w:val="2BD7060D"/>
    <w:rsid w:val="2C0B8BAB"/>
    <w:rsid w:val="2C0CB089"/>
    <w:rsid w:val="2C108C62"/>
    <w:rsid w:val="2C26838F"/>
    <w:rsid w:val="2C2984DF"/>
    <w:rsid w:val="2C2EF79C"/>
    <w:rsid w:val="2C33602F"/>
    <w:rsid w:val="2C36BF55"/>
    <w:rsid w:val="2C3CC4FD"/>
    <w:rsid w:val="2C3E8E33"/>
    <w:rsid w:val="2C446FF0"/>
    <w:rsid w:val="2C4D2260"/>
    <w:rsid w:val="2C67D4F0"/>
    <w:rsid w:val="2C6890CF"/>
    <w:rsid w:val="2C71760C"/>
    <w:rsid w:val="2C7857A8"/>
    <w:rsid w:val="2C91C691"/>
    <w:rsid w:val="2C9EE71F"/>
    <w:rsid w:val="2CB1B556"/>
    <w:rsid w:val="2CBEB022"/>
    <w:rsid w:val="2CC6D4E8"/>
    <w:rsid w:val="2CECA2D0"/>
    <w:rsid w:val="2CEE7BE4"/>
    <w:rsid w:val="2CF946AB"/>
    <w:rsid w:val="2CFDD851"/>
    <w:rsid w:val="2D02AB46"/>
    <w:rsid w:val="2D1EC208"/>
    <w:rsid w:val="2D305F1F"/>
    <w:rsid w:val="2D306EA1"/>
    <w:rsid w:val="2D4A4776"/>
    <w:rsid w:val="2D594559"/>
    <w:rsid w:val="2D5C1E14"/>
    <w:rsid w:val="2D65F20E"/>
    <w:rsid w:val="2D6EF20E"/>
    <w:rsid w:val="2D748919"/>
    <w:rsid w:val="2D9988C9"/>
    <w:rsid w:val="2D9B286A"/>
    <w:rsid w:val="2DB8E065"/>
    <w:rsid w:val="2DCCD8C5"/>
    <w:rsid w:val="2DCEDFF3"/>
    <w:rsid w:val="2DD43D0B"/>
    <w:rsid w:val="2DD91032"/>
    <w:rsid w:val="2E2AF5C3"/>
    <w:rsid w:val="2E2E0A1A"/>
    <w:rsid w:val="2E3A9DB8"/>
    <w:rsid w:val="2E3E1C58"/>
    <w:rsid w:val="2E3FBEFE"/>
    <w:rsid w:val="2E3FE59A"/>
    <w:rsid w:val="2E41F953"/>
    <w:rsid w:val="2E4DCF12"/>
    <w:rsid w:val="2E4E9932"/>
    <w:rsid w:val="2E5A5DD8"/>
    <w:rsid w:val="2E66FDA9"/>
    <w:rsid w:val="2E88D68D"/>
    <w:rsid w:val="2E8FF2D3"/>
    <w:rsid w:val="2EC2D36A"/>
    <w:rsid w:val="2EC59CCD"/>
    <w:rsid w:val="2EEDFF64"/>
    <w:rsid w:val="2EEF0459"/>
    <w:rsid w:val="2EF400CD"/>
    <w:rsid w:val="2F0F2FD8"/>
    <w:rsid w:val="2F18B4D2"/>
    <w:rsid w:val="2F29D6DF"/>
    <w:rsid w:val="2F5643D2"/>
    <w:rsid w:val="2F74F203"/>
    <w:rsid w:val="2F7780C4"/>
    <w:rsid w:val="2F7A1CB1"/>
    <w:rsid w:val="2F7DFA53"/>
    <w:rsid w:val="2F926180"/>
    <w:rsid w:val="2F92A075"/>
    <w:rsid w:val="2F9ACBF4"/>
    <w:rsid w:val="2FCC88D5"/>
    <w:rsid w:val="2FD35279"/>
    <w:rsid w:val="2FE54580"/>
    <w:rsid w:val="2FFF42C9"/>
    <w:rsid w:val="300296C4"/>
    <w:rsid w:val="3009A418"/>
    <w:rsid w:val="300D6FC4"/>
    <w:rsid w:val="300FD3BA"/>
    <w:rsid w:val="3013B4A1"/>
    <w:rsid w:val="301F071D"/>
    <w:rsid w:val="3038D298"/>
    <w:rsid w:val="303E7F64"/>
    <w:rsid w:val="3043E93B"/>
    <w:rsid w:val="3044D6EE"/>
    <w:rsid w:val="304BF156"/>
    <w:rsid w:val="30508EEC"/>
    <w:rsid w:val="3067E188"/>
    <w:rsid w:val="306DFB42"/>
    <w:rsid w:val="307ACA36"/>
    <w:rsid w:val="30864A90"/>
    <w:rsid w:val="3097A659"/>
    <w:rsid w:val="30B5814F"/>
    <w:rsid w:val="30B759C4"/>
    <w:rsid w:val="30DE401F"/>
    <w:rsid w:val="30F5DF1D"/>
    <w:rsid w:val="3104DFBA"/>
    <w:rsid w:val="310C7B03"/>
    <w:rsid w:val="31390188"/>
    <w:rsid w:val="3167A765"/>
    <w:rsid w:val="316EE6D9"/>
    <w:rsid w:val="317401DB"/>
    <w:rsid w:val="31BBE51F"/>
    <w:rsid w:val="31D383B8"/>
    <w:rsid w:val="31D8FD85"/>
    <w:rsid w:val="31F937EE"/>
    <w:rsid w:val="32281496"/>
    <w:rsid w:val="32320B74"/>
    <w:rsid w:val="3239D23E"/>
    <w:rsid w:val="32562C4D"/>
    <w:rsid w:val="325BFB43"/>
    <w:rsid w:val="32605AD6"/>
    <w:rsid w:val="3262D7D5"/>
    <w:rsid w:val="327824A6"/>
    <w:rsid w:val="3281C1C4"/>
    <w:rsid w:val="32834380"/>
    <w:rsid w:val="32878D76"/>
    <w:rsid w:val="32880B1F"/>
    <w:rsid w:val="328F6D12"/>
    <w:rsid w:val="32A16631"/>
    <w:rsid w:val="32A5D68E"/>
    <w:rsid w:val="32ABF67A"/>
    <w:rsid w:val="32B73D34"/>
    <w:rsid w:val="32BDD1A6"/>
    <w:rsid w:val="32BE1D71"/>
    <w:rsid w:val="32FFFA7D"/>
    <w:rsid w:val="33034594"/>
    <w:rsid w:val="3346FAEF"/>
    <w:rsid w:val="3349156E"/>
    <w:rsid w:val="334EC45E"/>
    <w:rsid w:val="3359F94F"/>
    <w:rsid w:val="33646F3C"/>
    <w:rsid w:val="33661F4D"/>
    <w:rsid w:val="337B10C1"/>
    <w:rsid w:val="338695E7"/>
    <w:rsid w:val="339B18C2"/>
    <w:rsid w:val="339FAD57"/>
    <w:rsid w:val="33AC5E89"/>
    <w:rsid w:val="33ADD238"/>
    <w:rsid w:val="33B88AA1"/>
    <w:rsid w:val="33DD8753"/>
    <w:rsid w:val="33E5D03C"/>
    <w:rsid w:val="33F257B1"/>
    <w:rsid w:val="33F7E108"/>
    <w:rsid w:val="34122391"/>
    <w:rsid w:val="342293BB"/>
    <w:rsid w:val="3425DAB8"/>
    <w:rsid w:val="34269888"/>
    <w:rsid w:val="34458171"/>
    <w:rsid w:val="3462B577"/>
    <w:rsid w:val="348A4FBA"/>
    <w:rsid w:val="348BE529"/>
    <w:rsid w:val="34D02F57"/>
    <w:rsid w:val="34E657AB"/>
    <w:rsid w:val="34EBD971"/>
    <w:rsid w:val="34F852C1"/>
    <w:rsid w:val="34FEEFB8"/>
    <w:rsid w:val="35098FF8"/>
    <w:rsid w:val="351037E7"/>
    <w:rsid w:val="35212FE1"/>
    <w:rsid w:val="352D6D3F"/>
    <w:rsid w:val="35311AF6"/>
    <w:rsid w:val="35390222"/>
    <w:rsid w:val="353BB372"/>
    <w:rsid w:val="35407C3A"/>
    <w:rsid w:val="354A20A2"/>
    <w:rsid w:val="354A3FA5"/>
    <w:rsid w:val="35646BBD"/>
    <w:rsid w:val="356EBE1F"/>
    <w:rsid w:val="35777CD4"/>
    <w:rsid w:val="3579A0E1"/>
    <w:rsid w:val="357E7542"/>
    <w:rsid w:val="35844851"/>
    <w:rsid w:val="35ACF729"/>
    <w:rsid w:val="35AFF7A2"/>
    <w:rsid w:val="35B47ED1"/>
    <w:rsid w:val="35B516CF"/>
    <w:rsid w:val="35BB8A35"/>
    <w:rsid w:val="35CAC032"/>
    <w:rsid w:val="35CD8DD9"/>
    <w:rsid w:val="35D0E12E"/>
    <w:rsid w:val="35D10733"/>
    <w:rsid w:val="35ED6FE0"/>
    <w:rsid w:val="35FB09D5"/>
    <w:rsid w:val="362CF87E"/>
    <w:rsid w:val="363187DC"/>
    <w:rsid w:val="3649FB5C"/>
    <w:rsid w:val="3650359C"/>
    <w:rsid w:val="366A9ED6"/>
    <w:rsid w:val="366C2EC3"/>
    <w:rsid w:val="366EFFBF"/>
    <w:rsid w:val="367E6C8C"/>
    <w:rsid w:val="369C274F"/>
    <w:rsid w:val="369CC5AE"/>
    <w:rsid w:val="36A708E4"/>
    <w:rsid w:val="36B1F3D3"/>
    <w:rsid w:val="37109779"/>
    <w:rsid w:val="37180D84"/>
    <w:rsid w:val="371CDD19"/>
    <w:rsid w:val="37219127"/>
    <w:rsid w:val="37281BB0"/>
    <w:rsid w:val="37290C98"/>
    <w:rsid w:val="373449AF"/>
    <w:rsid w:val="3744464C"/>
    <w:rsid w:val="37452B0E"/>
    <w:rsid w:val="374CFC8E"/>
    <w:rsid w:val="3752460A"/>
    <w:rsid w:val="3753BB4D"/>
    <w:rsid w:val="376AAFF2"/>
    <w:rsid w:val="376C965E"/>
    <w:rsid w:val="37733B04"/>
    <w:rsid w:val="378FAB28"/>
    <w:rsid w:val="379C6153"/>
    <w:rsid w:val="37A514CD"/>
    <w:rsid w:val="37AAF033"/>
    <w:rsid w:val="37B83284"/>
    <w:rsid w:val="37BDEA58"/>
    <w:rsid w:val="37CB18D7"/>
    <w:rsid w:val="37DE2662"/>
    <w:rsid w:val="37E25D6C"/>
    <w:rsid w:val="380B6EB3"/>
    <w:rsid w:val="380FBB45"/>
    <w:rsid w:val="381055F5"/>
    <w:rsid w:val="38138C04"/>
    <w:rsid w:val="381C8E96"/>
    <w:rsid w:val="382DEBBA"/>
    <w:rsid w:val="382E2D40"/>
    <w:rsid w:val="383006E7"/>
    <w:rsid w:val="38391908"/>
    <w:rsid w:val="3853F3FA"/>
    <w:rsid w:val="385BCB36"/>
    <w:rsid w:val="38631F61"/>
    <w:rsid w:val="38693D2C"/>
    <w:rsid w:val="38786365"/>
    <w:rsid w:val="389CFA29"/>
    <w:rsid w:val="38A6B2B5"/>
    <w:rsid w:val="38AB7669"/>
    <w:rsid w:val="38B2D760"/>
    <w:rsid w:val="38B58A16"/>
    <w:rsid w:val="38C3D8EB"/>
    <w:rsid w:val="38D0D208"/>
    <w:rsid w:val="38D55E7E"/>
    <w:rsid w:val="38EA126F"/>
    <w:rsid w:val="38F6E2C0"/>
    <w:rsid w:val="38FD2E9A"/>
    <w:rsid w:val="3905D8E6"/>
    <w:rsid w:val="3914044B"/>
    <w:rsid w:val="39145E9D"/>
    <w:rsid w:val="391A82AC"/>
    <w:rsid w:val="391BFDFE"/>
    <w:rsid w:val="3935A924"/>
    <w:rsid w:val="396319D7"/>
    <w:rsid w:val="396B3FCB"/>
    <w:rsid w:val="396F91E2"/>
    <w:rsid w:val="39778013"/>
    <w:rsid w:val="39980F23"/>
    <w:rsid w:val="39A918D4"/>
    <w:rsid w:val="39B62FED"/>
    <w:rsid w:val="39BF2D5D"/>
    <w:rsid w:val="39C8B77C"/>
    <w:rsid w:val="39D187DA"/>
    <w:rsid w:val="39D19D8B"/>
    <w:rsid w:val="39EF031B"/>
    <w:rsid w:val="3A13C9D5"/>
    <w:rsid w:val="3A1457F6"/>
    <w:rsid w:val="3A3F2179"/>
    <w:rsid w:val="3A60F061"/>
    <w:rsid w:val="3A8324CC"/>
    <w:rsid w:val="3A98E572"/>
    <w:rsid w:val="3AA5A742"/>
    <w:rsid w:val="3AA7F708"/>
    <w:rsid w:val="3AAC1B27"/>
    <w:rsid w:val="3AAC804A"/>
    <w:rsid w:val="3AC61820"/>
    <w:rsid w:val="3AC7366A"/>
    <w:rsid w:val="3AF85B7B"/>
    <w:rsid w:val="3B0FDA16"/>
    <w:rsid w:val="3B1003CA"/>
    <w:rsid w:val="3B1050F9"/>
    <w:rsid w:val="3B1D8946"/>
    <w:rsid w:val="3B1FCD48"/>
    <w:rsid w:val="3B3F11A0"/>
    <w:rsid w:val="3B48920C"/>
    <w:rsid w:val="3B4CFB97"/>
    <w:rsid w:val="3B620CC0"/>
    <w:rsid w:val="3B677929"/>
    <w:rsid w:val="3B7ABB74"/>
    <w:rsid w:val="3B9B8553"/>
    <w:rsid w:val="3BA1F53D"/>
    <w:rsid w:val="3BAF5BFF"/>
    <w:rsid w:val="3BAF7938"/>
    <w:rsid w:val="3BBAA266"/>
    <w:rsid w:val="3BBD1B37"/>
    <w:rsid w:val="3BCF1EC6"/>
    <w:rsid w:val="3BD26FDC"/>
    <w:rsid w:val="3BFBA0FB"/>
    <w:rsid w:val="3C12C02A"/>
    <w:rsid w:val="3C1383AF"/>
    <w:rsid w:val="3C189C4A"/>
    <w:rsid w:val="3C19E026"/>
    <w:rsid w:val="3C1C5D38"/>
    <w:rsid w:val="3C20586B"/>
    <w:rsid w:val="3C3250EB"/>
    <w:rsid w:val="3C3D96D7"/>
    <w:rsid w:val="3C729102"/>
    <w:rsid w:val="3C75784D"/>
    <w:rsid w:val="3C7759D7"/>
    <w:rsid w:val="3C7A5E7F"/>
    <w:rsid w:val="3CA5B1B2"/>
    <w:rsid w:val="3CD9B5FB"/>
    <w:rsid w:val="3CDF0653"/>
    <w:rsid w:val="3CE4D0A1"/>
    <w:rsid w:val="3CEE7DE2"/>
    <w:rsid w:val="3CFD261B"/>
    <w:rsid w:val="3D1CF381"/>
    <w:rsid w:val="3D63E7BA"/>
    <w:rsid w:val="3D8BF8E0"/>
    <w:rsid w:val="3DA02991"/>
    <w:rsid w:val="3DC0B600"/>
    <w:rsid w:val="3DD4420F"/>
    <w:rsid w:val="3DE422E3"/>
    <w:rsid w:val="3DEEA41D"/>
    <w:rsid w:val="3DEF3911"/>
    <w:rsid w:val="3E4B874C"/>
    <w:rsid w:val="3E5C9CA3"/>
    <w:rsid w:val="3E5EB19F"/>
    <w:rsid w:val="3E64DF63"/>
    <w:rsid w:val="3E7E1A0C"/>
    <w:rsid w:val="3E85CB49"/>
    <w:rsid w:val="3E96A2E1"/>
    <w:rsid w:val="3EBD0FEA"/>
    <w:rsid w:val="3EBDD241"/>
    <w:rsid w:val="3EBDE38F"/>
    <w:rsid w:val="3ED8AA54"/>
    <w:rsid w:val="3EE03FB7"/>
    <w:rsid w:val="3EF9F3B8"/>
    <w:rsid w:val="3F02D237"/>
    <w:rsid w:val="3F41A5E7"/>
    <w:rsid w:val="3F55E178"/>
    <w:rsid w:val="3F692100"/>
    <w:rsid w:val="3F742581"/>
    <w:rsid w:val="3F80978B"/>
    <w:rsid w:val="3F84E45B"/>
    <w:rsid w:val="3F8BBA8F"/>
    <w:rsid w:val="3F91C81F"/>
    <w:rsid w:val="3F9C1B74"/>
    <w:rsid w:val="3FD9D6F2"/>
    <w:rsid w:val="3FDB6CFF"/>
    <w:rsid w:val="3FDC74B3"/>
    <w:rsid w:val="3FF34E65"/>
    <w:rsid w:val="40053A3F"/>
    <w:rsid w:val="402F0F61"/>
    <w:rsid w:val="4039E29D"/>
    <w:rsid w:val="4058F4C1"/>
    <w:rsid w:val="40600EFD"/>
    <w:rsid w:val="406F927A"/>
    <w:rsid w:val="40731763"/>
    <w:rsid w:val="40A03A7E"/>
    <w:rsid w:val="40A161AA"/>
    <w:rsid w:val="40EF11D9"/>
    <w:rsid w:val="41029F9A"/>
    <w:rsid w:val="411CC39B"/>
    <w:rsid w:val="4124F378"/>
    <w:rsid w:val="41274890"/>
    <w:rsid w:val="4134411E"/>
    <w:rsid w:val="413BA245"/>
    <w:rsid w:val="413F1C72"/>
    <w:rsid w:val="414451CF"/>
    <w:rsid w:val="414FA63A"/>
    <w:rsid w:val="4158C534"/>
    <w:rsid w:val="415900D4"/>
    <w:rsid w:val="416E205C"/>
    <w:rsid w:val="417173BA"/>
    <w:rsid w:val="41891325"/>
    <w:rsid w:val="41B43C13"/>
    <w:rsid w:val="41B81A4E"/>
    <w:rsid w:val="41BA8095"/>
    <w:rsid w:val="41C53BD3"/>
    <w:rsid w:val="41D65BD1"/>
    <w:rsid w:val="41EAC356"/>
    <w:rsid w:val="41EAD156"/>
    <w:rsid w:val="41F3FE42"/>
    <w:rsid w:val="420B0710"/>
    <w:rsid w:val="420D9354"/>
    <w:rsid w:val="4216CCBC"/>
    <w:rsid w:val="421EF772"/>
    <w:rsid w:val="422650D3"/>
    <w:rsid w:val="422BFCA9"/>
    <w:rsid w:val="4234568A"/>
    <w:rsid w:val="4256501A"/>
    <w:rsid w:val="426C51CC"/>
    <w:rsid w:val="42727A1D"/>
    <w:rsid w:val="4276EF51"/>
    <w:rsid w:val="427B3707"/>
    <w:rsid w:val="428DABC2"/>
    <w:rsid w:val="429C9ACA"/>
    <w:rsid w:val="42AACFAF"/>
    <w:rsid w:val="42B34C6F"/>
    <w:rsid w:val="42DF1ABF"/>
    <w:rsid w:val="42EE1EBE"/>
    <w:rsid w:val="42F3B7BA"/>
    <w:rsid w:val="42FC4DCB"/>
    <w:rsid w:val="4306D468"/>
    <w:rsid w:val="43077EE6"/>
    <w:rsid w:val="4329DE05"/>
    <w:rsid w:val="43401F41"/>
    <w:rsid w:val="43501C4B"/>
    <w:rsid w:val="4354A868"/>
    <w:rsid w:val="436DFA7D"/>
    <w:rsid w:val="437C94E5"/>
    <w:rsid w:val="439C4203"/>
    <w:rsid w:val="43ADA832"/>
    <w:rsid w:val="43BC37D9"/>
    <w:rsid w:val="43C9B28E"/>
    <w:rsid w:val="43CDE50B"/>
    <w:rsid w:val="43E1AD08"/>
    <w:rsid w:val="43F71B44"/>
    <w:rsid w:val="43F87C57"/>
    <w:rsid w:val="44050B21"/>
    <w:rsid w:val="440B04C6"/>
    <w:rsid w:val="440EC274"/>
    <w:rsid w:val="44202BCA"/>
    <w:rsid w:val="442055EB"/>
    <w:rsid w:val="442D9E8D"/>
    <w:rsid w:val="44412775"/>
    <w:rsid w:val="4457A833"/>
    <w:rsid w:val="4473C7D3"/>
    <w:rsid w:val="44801829"/>
    <w:rsid w:val="44AF0D9C"/>
    <w:rsid w:val="44B47518"/>
    <w:rsid w:val="44D18793"/>
    <w:rsid w:val="44D8DDAB"/>
    <w:rsid w:val="44F11D9E"/>
    <w:rsid w:val="450264BA"/>
    <w:rsid w:val="45058671"/>
    <w:rsid w:val="450E41EC"/>
    <w:rsid w:val="4539A3F8"/>
    <w:rsid w:val="453B659B"/>
    <w:rsid w:val="4545FFB0"/>
    <w:rsid w:val="455546DA"/>
    <w:rsid w:val="455FA865"/>
    <w:rsid w:val="456F2599"/>
    <w:rsid w:val="45783CF4"/>
    <w:rsid w:val="458BD688"/>
    <w:rsid w:val="459241F9"/>
    <w:rsid w:val="45990114"/>
    <w:rsid w:val="459911A4"/>
    <w:rsid w:val="45AB7A6E"/>
    <w:rsid w:val="45AF3999"/>
    <w:rsid w:val="45B19050"/>
    <w:rsid w:val="45BE7E04"/>
    <w:rsid w:val="45C0CD50"/>
    <w:rsid w:val="45F7C4D9"/>
    <w:rsid w:val="46048FBF"/>
    <w:rsid w:val="4605E5F8"/>
    <w:rsid w:val="46077799"/>
    <w:rsid w:val="46086187"/>
    <w:rsid w:val="4612AB85"/>
    <w:rsid w:val="4615B21B"/>
    <w:rsid w:val="464E4A54"/>
    <w:rsid w:val="467B406B"/>
    <w:rsid w:val="46983ADF"/>
    <w:rsid w:val="46989083"/>
    <w:rsid w:val="46996FD2"/>
    <w:rsid w:val="469F0DBF"/>
    <w:rsid w:val="46AA5D23"/>
    <w:rsid w:val="46C13FA0"/>
    <w:rsid w:val="46C24EC3"/>
    <w:rsid w:val="46CA10BF"/>
    <w:rsid w:val="46E7A6BC"/>
    <w:rsid w:val="46E7AB6B"/>
    <w:rsid w:val="4702AF60"/>
    <w:rsid w:val="470E946A"/>
    <w:rsid w:val="47156282"/>
    <w:rsid w:val="471B0267"/>
    <w:rsid w:val="471ECF6B"/>
    <w:rsid w:val="473D315F"/>
    <w:rsid w:val="47521C5C"/>
    <w:rsid w:val="47544E87"/>
    <w:rsid w:val="476C3873"/>
    <w:rsid w:val="4792ED3A"/>
    <w:rsid w:val="4794BED8"/>
    <w:rsid w:val="47B7C106"/>
    <w:rsid w:val="47D38748"/>
    <w:rsid w:val="47D9612B"/>
    <w:rsid w:val="47E9304A"/>
    <w:rsid w:val="4804401E"/>
    <w:rsid w:val="4810AE0C"/>
    <w:rsid w:val="4840A66A"/>
    <w:rsid w:val="4854AF01"/>
    <w:rsid w:val="4854BA29"/>
    <w:rsid w:val="488499B7"/>
    <w:rsid w:val="48B86B03"/>
    <w:rsid w:val="48E4F4E2"/>
    <w:rsid w:val="48FC00A2"/>
    <w:rsid w:val="49051721"/>
    <w:rsid w:val="4908D408"/>
    <w:rsid w:val="491C5B4D"/>
    <w:rsid w:val="491E7AD4"/>
    <w:rsid w:val="49461478"/>
    <w:rsid w:val="49474AAC"/>
    <w:rsid w:val="49490A7D"/>
    <w:rsid w:val="49538CD5"/>
    <w:rsid w:val="49604163"/>
    <w:rsid w:val="497333E2"/>
    <w:rsid w:val="4979847F"/>
    <w:rsid w:val="497B6BD8"/>
    <w:rsid w:val="497C3CC6"/>
    <w:rsid w:val="49804B80"/>
    <w:rsid w:val="4997A3DC"/>
    <w:rsid w:val="49A25F9C"/>
    <w:rsid w:val="49D4C2B1"/>
    <w:rsid w:val="49D90527"/>
    <w:rsid w:val="49F3C2AF"/>
    <w:rsid w:val="49FE9C37"/>
    <w:rsid w:val="4A047EF0"/>
    <w:rsid w:val="4A0939BE"/>
    <w:rsid w:val="4A112EED"/>
    <w:rsid w:val="4A13C1A6"/>
    <w:rsid w:val="4A15F90B"/>
    <w:rsid w:val="4A174151"/>
    <w:rsid w:val="4A1A3FD6"/>
    <w:rsid w:val="4A203A71"/>
    <w:rsid w:val="4A79F852"/>
    <w:rsid w:val="4A7A3BF3"/>
    <w:rsid w:val="4A7E9509"/>
    <w:rsid w:val="4A87C91C"/>
    <w:rsid w:val="4AB028F1"/>
    <w:rsid w:val="4ADB905E"/>
    <w:rsid w:val="4AFFFFEE"/>
    <w:rsid w:val="4B0A5618"/>
    <w:rsid w:val="4B13DB89"/>
    <w:rsid w:val="4B2D48BB"/>
    <w:rsid w:val="4B2FE4D4"/>
    <w:rsid w:val="4B48EA0F"/>
    <w:rsid w:val="4B50AA0C"/>
    <w:rsid w:val="4B5356D7"/>
    <w:rsid w:val="4B5DCA69"/>
    <w:rsid w:val="4B734C53"/>
    <w:rsid w:val="4B809979"/>
    <w:rsid w:val="4B97A8FD"/>
    <w:rsid w:val="4BB9502E"/>
    <w:rsid w:val="4BBD28E5"/>
    <w:rsid w:val="4BC53EAC"/>
    <w:rsid w:val="4BC71708"/>
    <w:rsid w:val="4BD474A6"/>
    <w:rsid w:val="4BD96EF9"/>
    <w:rsid w:val="4BE4438F"/>
    <w:rsid w:val="4BE6013C"/>
    <w:rsid w:val="4BE6E8B7"/>
    <w:rsid w:val="4BE81B4C"/>
    <w:rsid w:val="4BFE967E"/>
    <w:rsid w:val="4BFEDEE5"/>
    <w:rsid w:val="4C0D98B7"/>
    <w:rsid w:val="4C2DE3A0"/>
    <w:rsid w:val="4C4539B7"/>
    <w:rsid w:val="4C4A0207"/>
    <w:rsid w:val="4C4BD504"/>
    <w:rsid w:val="4C5224E5"/>
    <w:rsid w:val="4C6CBCAA"/>
    <w:rsid w:val="4C718BF7"/>
    <w:rsid w:val="4C8FE8DC"/>
    <w:rsid w:val="4C95EACA"/>
    <w:rsid w:val="4CAA202A"/>
    <w:rsid w:val="4CCB8299"/>
    <w:rsid w:val="4CDF3648"/>
    <w:rsid w:val="4CF3D171"/>
    <w:rsid w:val="4D00882E"/>
    <w:rsid w:val="4D03D83D"/>
    <w:rsid w:val="4D1673DF"/>
    <w:rsid w:val="4D1F4482"/>
    <w:rsid w:val="4D20EFB0"/>
    <w:rsid w:val="4D289D21"/>
    <w:rsid w:val="4D290A2F"/>
    <w:rsid w:val="4D3C4F09"/>
    <w:rsid w:val="4D482EFA"/>
    <w:rsid w:val="4D694D04"/>
    <w:rsid w:val="4D78197E"/>
    <w:rsid w:val="4D7E54C6"/>
    <w:rsid w:val="4D969B00"/>
    <w:rsid w:val="4D9764C9"/>
    <w:rsid w:val="4DA37421"/>
    <w:rsid w:val="4DC65E96"/>
    <w:rsid w:val="4DCAE4D5"/>
    <w:rsid w:val="4DD5EBD8"/>
    <w:rsid w:val="4DDBC1D5"/>
    <w:rsid w:val="4DE62FDE"/>
    <w:rsid w:val="4DEA6B20"/>
    <w:rsid w:val="4DEF3D0B"/>
    <w:rsid w:val="4E17507A"/>
    <w:rsid w:val="4E1D769D"/>
    <w:rsid w:val="4E41E09B"/>
    <w:rsid w:val="4E4A7CC4"/>
    <w:rsid w:val="4E59FD99"/>
    <w:rsid w:val="4E721C7D"/>
    <w:rsid w:val="4E8FB05A"/>
    <w:rsid w:val="4EAD5E90"/>
    <w:rsid w:val="4EC08D88"/>
    <w:rsid w:val="4EC18F46"/>
    <w:rsid w:val="4EC7C619"/>
    <w:rsid w:val="4ED2F29D"/>
    <w:rsid w:val="4ED3CD2F"/>
    <w:rsid w:val="4EDC9319"/>
    <w:rsid w:val="4EEBBA0B"/>
    <w:rsid w:val="4EEE2A1A"/>
    <w:rsid w:val="4EF209AC"/>
    <w:rsid w:val="4F083BF5"/>
    <w:rsid w:val="4F149FD2"/>
    <w:rsid w:val="4F2DA9DB"/>
    <w:rsid w:val="4F375C8B"/>
    <w:rsid w:val="4F396C4B"/>
    <w:rsid w:val="4F3C05BF"/>
    <w:rsid w:val="4F40EF85"/>
    <w:rsid w:val="4F4DB5FC"/>
    <w:rsid w:val="4F685970"/>
    <w:rsid w:val="4F919CAF"/>
    <w:rsid w:val="4F9C664E"/>
    <w:rsid w:val="4FB0ADBA"/>
    <w:rsid w:val="4FB27BB5"/>
    <w:rsid w:val="4FFEA4D3"/>
    <w:rsid w:val="5000A33B"/>
    <w:rsid w:val="5008F7F3"/>
    <w:rsid w:val="500E6F33"/>
    <w:rsid w:val="500FED29"/>
    <w:rsid w:val="50265DB2"/>
    <w:rsid w:val="5035C97F"/>
    <w:rsid w:val="503A6677"/>
    <w:rsid w:val="503D82F7"/>
    <w:rsid w:val="503EF17C"/>
    <w:rsid w:val="50820985"/>
    <w:rsid w:val="5082ECB0"/>
    <w:rsid w:val="50843E6E"/>
    <w:rsid w:val="50A800C0"/>
    <w:rsid w:val="50A92DD8"/>
    <w:rsid w:val="50AD800D"/>
    <w:rsid w:val="50B72AD7"/>
    <w:rsid w:val="50DA7B5D"/>
    <w:rsid w:val="5104A3DA"/>
    <w:rsid w:val="510B2141"/>
    <w:rsid w:val="5121682C"/>
    <w:rsid w:val="513E4A14"/>
    <w:rsid w:val="5144149D"/>
    <w:rsid w:val="514EFC6B"/>
    <w:rsid w:val="516A22EA"/>
    <w:rsid w:val="51812F89"/>
    <w:rsid w:val="518EFA36"/>
    <w:rsid w:val="519A8D62"/>
    <w:rsid w:val="51A4AB3E"/>
    <w:rsid w:val="51A525DD"/>
    <w:rsid w:val="51AA7462"/>
    <w:rsid w:val="51C8AA97"/>
    <w:rsid w:val="51CFA19E"/>
    <w:rsid w:val="51D429FE"/>
    <w:rsid w:val="51E0655D"/>
    <w:rsid w:val="51ED8206"/>
    <w:rsid w:val="51EF6713"/>
    <w:rsid w:val="51FCD8A8"/>
    <w:rsid w:val="5222D12F"/>
    <w:rsid w:val="52235318"/>
    <w:rsid w:val="5239D81C"/>
    <w:rsid w:val="523ABD63"/>
    <w:rsid w:val="523D76E4"/>
    <w:rsid w:val="52415672"/>
    <w:rsid w:val="524D0FC2"/>
    <w:rsid w:val="52617740"/>
    <w:rsid w:val="526568D8"/>
    <w:rsid w:val="5282E7EA"/>
    <w:rsid w:val="5284B200"/>
    <w:rsid w:val="528DCB9A"/>
    <w:rsid w:val="529C6B0F"/>
    <w:rsid w:val="529CF8B0"/>
    <w:rsid w:val="529EBF0D"/>
    <w:rsid w:val="52A44D51"/>
    <w:rsid w:val="52B9DA61"/>
    <w:rsid w:val="52BB6678"/>
    <w:rsid w:val="52C2D587"/>
    <w:rsid w:val="52CA8C6E"/>
    <w:rsid w:val="52DBD627"/>
    <w:rsid w:val="52ED1FD4"/>
    <w:rsid w:val="52F2AE3E"/>
    <w:rsid w:val="530CB291"/>
    <w:rsid w:val="5319286B"/>
    <w:rsid w:val="53453F27"/>
    <w:rsid w:val="534D8C66"/>
    <w:rsid w:val="53841A48"/>
    <w:rsid w:val="539711DF"/>
    <w:rsid w:val="53BC23B3"/>
    <w:rsid w:val="53C4B874"/>
    <w:rsid w:val="53EB8910"/>
    <w:rsid w:val="53EF2750"/>
    <w:rsid w:val="5411D0C5"/>
    <w:rsid w:val="5439A116"/>
    <w:rsid w:val="543D3724"/>
    <w:rsid w:val="544A8134"/>
    <w:rsid w:val="547A5A9D"/>
    <w:rsid w:val="549AA76D"/>
    <w:rsid w:val="549E678B"/>
    <w:rsid w:val="54B003C6"/>
    <w:rsid w:val="54B3AE99"/>
    <w:rsid w:val="54BDD1E0"/>
    <w:rsid w:val="54F09DBE"/>
    <w:rsid w:val="54FF888D"/>
    <w:rsid w:val="5517B75E"/>
    <w:rsid w:val="55229BA2"/>
    <w:rsid w:val="5528CCDD"/>
    <w:rsid w:val="554633A6"/>
    <w:rsid w:val="55610D87"/>
    <w:rsid w:val="55684EAC"/>
    <w:rsid w:val="556B7B7A"/>
    <w:rsid w:val="556F1D23"/>
    <w:rsid w:val="5580B46D"/>
    <w:rsid w:val="5591031C"/>
    <w:rsid w:val="559A5D51"/>
    <w:rsid w:val="55A6ED2D"/>
    <w:rsid w:val="55B028FA"/>
    <w:rsid w:val="55DE0268"/>
    <w:rsid w:val="55DEC816"/>
    <w:rsid w:val="55E56D90"/>
    <w:rsid w:val="55EABE2F"/>
    <w:rsid w:val="55F379D5"/>
    <w:rsid w:val="560BC5B0"/>
    <w:rsid w:val="5610BE0C"/>
    <w:rsid w:val="56189E4D"/>
    <w:rsid w:val="561AE163"/>
    <w:rsid w:val="562E0763"/>
    <w:rsid w:val="563112FE"/>
    <w:rsid w:val="5649989A"/>
    <w:rsid w:val="5662B86A"/>
    <w:rsid w:val="56A61E6E"/>
    <w:rsid w:val="56A69059"/>
    <w:rsid w:val="56B2E3B6"/>
    <w:rsid w:val="56C2D5DF"/>
    <w:rsid w:val="56D19E87"/>
    <w:rsid w:val="56DD2E4D"/>
    <w:rsid w:val="56E35F07"/>
    <w:rsid w:val="56FE8138"/>
    <w:rsid w:val="57013D2B"/>
    <w:rsid w:val="570BB7CB"/>
    <w:rsid w:val="570F36A3"/>
    <w:rsid w:val="570F6009"/>
    <w:rsid w:val="571605C8"/>
    <w:rsid w:val="5732293F"/>
    <w:rsid w:val="574A1197"/>
    <w:rsid w:val="575123A3"/>
    <w:rsid w:val="575CB151"/>
    <w:rsid w:val="5793792C"/>
    <w:rsid w:val="579DC425"/>
    <w:rsid w:val="57A07980"/>
    <w:rsid w:val="57A7E489"/>
    <w:rsid w:val="57E223B2"/>
    <w:rsid w:val="58062E59"/>
    <w:rsid w:val="58384907"/>
    <w:rsid w:val="583C089B"/>
    <w:rsid w:val="583CBD01"/>
    <w:rsid w:val="58466F5A"/>
    <w:rsid w:val="5867DA91"/>
    <w:rsid w:val="5884401D"/>
    <w:rsid w:val="588A0B13"/>
    <w:rsid w:val="589D569C"/>
    <w:rsid w:val="58A301A7"/>
    <w:rsid w:val="58C697D5"/>
    <w:rsid w:val="58DBAD72"/>
    <w:rsid w:val="58F80499"/>
    <w:rsid w:val="5903F6A9"/>
    <w:rsid w:val="5910F137"/>
    <w:rsid w:val="5913D0D2"/>
    <w:rsid w:val="5917E07C"/>
    <w:rsid w:val="592BE321"/>
    <w:rsid w:val="5938CEF0"/>
    <w:rsid w:val="593B7E2F"/>
    <w:rsid w:val="5943B442"/>
    <w:rsid w:val="59512672"/>
    <w:rsid w:val="59565580"/>
    <w:rsid w:val="595DDC0F"/>
    <w:rsid w:val="5969ABF6"/>
    <w:rsid w:val="597D3478"/>
    <w:rsid w:val="59B63FD9"/>
    <w:rsid w:val="59BA4322"/>
    <w:rsid w:val="59BC40CC"/>
    <w:rsid w:val="59C378D3"/>
    <w:rsid w:val="59DD7219"/>
    <w:rsid w:val="59E040E4"/>
    <w:rsid w:val="59ECCFAB"/>
    <w:rsid w:val="5A00DE61"/>
    <w:rsid w:val="5A05C74F"/>
    <w:rsid w:val="5A1E6AB2"/>
    <w:rsid w:val="5A2209B5"/>
    <w:rsid w:val="5A2D76F3"/>
    <w:rsid w:val="5A356F98"/>
    <w:rsid w:val="5A41C41C"/>
    <w:rsid w:val="5A62698F"/>
    <w:rsid w:val="5A6FF4B6"/>
    <w:rsid w:val="5A75D293"/>
    <w:rsid w:val="5A85DE94"/>
    <w:rsid w:val="5A90D77E"/>
    <w:rsid w:val="5A96F603"/>
    <w:rsid w:val="5ACF6A1C"/>
    <w:rsid w:val="5ADC6943"/>
    <w:rsid w:val="5AFBC159"/>
    <w:rsid w:val="5B2CA3C1"/>
    <w:rsid w:val="5B33F64F"/>
    <w:rsid w:val="5B3B9BF9"/>
    <w:rsid w:val="5B3D0272"/>
    <w:rsid w:val="5B471411"/>
    <w:rsid w:val="5B5AEC6A"/>
    <w:rsid w:val="5B5C3C92"/>
    <w:rsid w:val="5B884280"/>
    <w:rsid w:val="5B93898B"/>
    <w:rsid w:val="5B9A17B2"/>
    <w:rsid w:val="5BA119EF"/>
    <w:rsid w:val="5BA6F3D5"/>
    <w:rsid w:val="5BBBEFD7"/>
    <w:rsid w:val="5BEE7C3F"/>
    <w:rsid w:val="5C17FDA5"/>
    <w:rsid w:val="5C4ACAB6"/>
    <w:rsid w:val="5C6A898A"/>
    <w:rsid w:val="5C809626"/>
    <w:rsid w:val="5CA94BFE"/>
    <w:rsid w:val="5CBCB379"/>
    <w:rsid w:val="5CDCBC6F"/>
    <w:rsid w:val="5D06DBF4"/>
    <w:rsid w:val="5D161764"/>
    <w:rsid w:val="5D1B849E"/>
    <w:rsid w:val="5D1EB18D"/>
    <w:rsid w:val="5D1F980C"/>
    <w:rsid w:val="5D25407E"/>
    <w:rsid w:val="5D281508"/>
    <w:rsid w:val="5D357F31"/>
    <w:rsid w:val="5D4E2921"/>
    <w:rsid w:val="5D587ABB"/>
    <w:rsid w:val="5D613047"/>
    <w:rsid w:val="5D6B3862"/>
    <w:rsid w:val="5D865DF3"/>
    <w:rsid w:val="5D90C94D"/>
    <w:rsid w:val="5D9A050D"/>
    <w:rsid w:val="5DC78285"/>
    <w:rsid w:val="5DCD0E5E"/>
    <w:rsid w:val="5DDC871C"/>
    <w:rsid w:val="5DE30E47"/>
    <w:rsid w:val="5DF4CD66"/>
    <w:rsid w:val="5DFDAEE5"/>
    <w:rsid w:val="5E1012CB"/>
    <w:rsid w:val="5E11BE76"/>
    <w:rsid w:val="5E14A6AD"/>
    <w:rsid w:val="5E1C4F5F"/>
    <w:rsid w:val="5E20D861"/>
    <w:rsid w:val="5E21C9C3"/>
    <w:rsid w:val="5E432031"/>
    <w:rsid w:val="5E5034EE"/>
    <w:rsid w:val="5E5C8A39"/>
    <w:rsid w:val="5E61530E"/>
    <w:rsid w:val="5E6416D3"/>
    <w:rsid w:val="5E807B6F"/>
    <w:rsid w:val="5E9EC111"/>
    <w:rsid w:val="5EAF8B07"/>
    <w:rsid w:val="5EB454AA"/>
    <w:rsid w:val="5EBE0D9B"/>
    <w:rsid w:val="5EC8FE41"/>
    <w:rsid w:val="5EDB0287"/>
    <w:rsid w:val="5EF2CB81"/>
    <w:rsid w:val="5F0C9EFB"/>
    <w:rsid w:val="5F120478"/>
    <w:rsid w:val="5F1F13D0"/>
    <w:rsid w:val="5F392137"/>
    <w:rsid w:val="5F3BF991"/>
    <w:rsid w:val="5F3C12B5"/>
    <w:rsid w:val="5F3D3914"/>
    <w:rsid w:val="5F416BD6"/>
    <w:rsid w:val="5F4BD7EA"/>
    <w:rsid w:val="5F6DC738"/>
    <w:rsid w:val="5F731B0D"/>
    <w:rsid w:val="5F8382D8"/>
    <w:rsid w:val="5FD43A7C"/>
    <w:rsid w:val="5FDFB6D2"/>
    <w:rsid w:val="5FF29758"/>
    <w:rsid w:val="5FF411D4"/>
    <w:rsid w:val="60553909"/>
    <w:rsid w:val="6057AAE0"/>
    <w:rsid w:val="605F00D2"/>
    <w:rsid w:val="606EBE67"/>
    <w:rsid w:val="60835B10"/>
    <w:rsid w:val="608FA0C4"/>
    <w:rsid w:val="60AE81D2"/>
    <w:rsid w:val="60BA599B"/>
    <w:rsid w:val="60C42038"/>
    <w:rsid w:val="60DFC6ED"/>
    <w:rsid w:val="60E11E4C"/>
    <w:rsid w:val="60E5DF96"/>
    <w:rsid w:val="60E77943"/>
    <w:rsid w:val="60EDCA4F"/>
    <w:rsid w:val="60F226CA"/>
    <w:rsid w:val="60F4CD03"/>
    <w:rsid w:val="60F9FDBC"/>
    <w:rsid w:val="60FD07CD"/>
    <w:rsid w:val="611850CC"/>
    <w:rsid w:val="6135BF21"/>
    <w:rsid w:val="614CE326"/>
    <w:rsid w:val="616604A7"/>
    <w:rsid w:val="616CC0FB"/>
    <w:rsid w:val="618246BF"/>
    <w:rsid w:val="618C1CB2"/>
    <w:rsid w:val="6195F016"/>
    <w:rsid w:val="6196BBAF"/>
    <w:rsid w:val="619A6977"/>
    <w:rsid w:val="61B71896"/>
    <w:rsid w:val="61C62F11"/>
    <w:rsid w:val="61DB3045"/>
    <w:rsid w:val="61DC5BDF"/>
    <w:rsid w:val="61E5279C"/>
    <w:rsid w:val="61E6C420"/>
    <w:rsid w:val="6203543E"/>
    <w:rsid w:val="62241A26"/>
    <w:rsid w:val="62360367"/>
    <w:rsid w:val="6248F0AD"/>
    <w:rsid w:val="62510536"/>
    <w:rsid w:val="627E550E"/>
    <w:rsid w:val="627F26FB"/>
    <w:rsid w:val="6298B932"/>
    <w:rsid w:val="629EB612"/>
    <w:rsid w:val="62A403A5"/>
    <w:rsid w:val="62B0D9C0"/>
    <w:rsid w:val="62C03961"/>
    <w:rsid w:val="62C34D46"/>
    <w:rsid w:val="62C4273A"/>
    <w:rsid w:val="62C78B04"/>
    <w:rsid w:val="6318E25C"/>
    <w:rsid w:val="6338B097"/>
    <w:rsid w:val="634316F6"/>
    <w:rsid w:val="63435EF5"/>
    <w:rsid w:val="63477CC7"/>
    <w:rsid w:val="634A3A28"/>
    <w:rsid w:val="634D29DA"/>
    <w:rsid w:val="63A2AB37"/>
    <w:rsid w:val="63B212C4"/>
    <w:rsid w:val="63BCAA31"/>
    <w:rsid w:val="63D6CDC0"/>
    <w:rsid w:val="63DBC8C6"/>
    <w:rsid w:val="63E6CB37"/>
    <w:rsid w:val="63F6BC14"/>
    <w:rsid w:val="6411BDF5"/>
    <w:rsid w:val="641A6907"/>
    <w:rsid w:val="6428E4EA"/>
    <w:rsid w:val="6431D98E"/>
    <w:rsid w:val="64476C8D"/>
    <w:rsid w:val="6451F25D"/>
    <w:rsid w:val="6467D5B4"/>
    <w:rsid w:val="64747C10"/>
    <w:rsid w:val="647CD44E"/>
    <w:rsid w:val="64A4EE71"/>
    <w:rsid w:val="64B488F7"/>
    <w:rsid w:val="64BD7751"/>
    <w:rsid w:val="64C23C2F"/>
    <w:rsid w:val="64CB37B4"/>
    <w:rsid w:val="64CBACE1"/>
    <w:rsid w:val="64CE9317"/>
    <w:rsid w:val="64E258CD"/>
    <w:rsid w:val="64F41926"/>
    <w:rsid w:val="650F75FD"/>
    <w:rsid w:val="65105EBD"/>
    <w:rsid w:val="653722A5"/>
    <w:rsid w:val="653DABE8"/>
    <w:rsid w:val="653F48F7"/>
    <w:rsid w:val="654C3EED"/>
    <w:rsid w:val="655941A5"/>
    <w:rsid w:val="655A3524"/>
    <w:rsid w:val="6569CF12"/>
    <w:rsid w:val="65767261"/>
    <w:rsid w:val="6587BACA"/>
    <w:rsid w:val="65885BF4"/>
    <w:rsid w:val="65A6996C"/>
    <w:rsid w:val="65ABCFB6"/>
    <w:rsid w:val="65AD4F1E"/>
    <w:rsid w:val="65B92502"/>
    <w:rsid w:val="65C4362D"/>
    <w:rsid w:val="65F88C08"/>
    <w:rsid w:val="660581BE"/>
    <w:rsid w:val="66167113"/>
    <w:rsid w:val="6633C880"/>
    <w:rsid w:val="66344E03"/>
    <w:rsid w:val="66453405"/>
    <w:rsid w:val="665CDBD7"/>
    <w:rsid w:val="6661715F"/>
    <w:rsid w:val="66630987"/>
    <w:rsid w:val="6663EC07"/>
    <w:rsid w:val="666E8135"/>
    <w:rsid w:val="66773C21"/>
    <w:rsid w:val="667E4046"/>
    <w:rsid w:val="6698998E"/>
    <w:rsid w:val="669CCB18"/>
    <w:rsid w:val="66A88761"/>
    <w:rsid w:val="66AC2B87"/>
    <w:rsid w:val="66B6A45A"/>
    <w:rsid w:val="66BEB0AF"/>
    <w:rsid w:val="66D01277"/>
    <w:rsid w:val="66D07BE1"/>
    <w:rsid w:val="66D4B7F3"/>
    <w:rsid w:val="66D842EE"/>
    <w:rsid w:val="66E2FB39"/>
    <w:rsid w:val="66E39D87"/>
    <w:rsid w:val="66E4D035"/>
    <w:rsid w:val="66EC8E82"/>
    <w:rsid w:val="66EE4EC6"/>
    <w:rsid w:val="66F45306"/>
    <w:rsid w:val="67039CAC"/>
    <w:rsid w:val="670A0E8A"/>
    <w:rsid w:val="6715698D"/>
    <w:rsid w:val="6719AA93"/>
    <w:rsid w:val="671E02E2"/>
    <w:rsid w:val="67246E30"/>
    <w:rsid w:val="673474EE"/>
    <w:rsid w:val="6739C9DB"/>
    <w:rsid w:val="673B5629"/>
    <w:rsid w:val="6742ED18"/>
    <w:rsid w:val="67458955"/>
    <w:rsid w:val="67559683"/>
    <w:rsid w:val="67632929"/>
    <w:rsid w:val="677ACC3C"/>
    <w:rsid w:val="6781B4C1"/>
    <w:rsid w:val="67841C8F"/>
    <w:rsid w:val="67A074F3"/>
    <w:rsid w:val="67AF7684"/>
    <w:rsid w:val="67B7BAB3"/>
    <w:rsid w:val="67D0F994"/>
    <w:rsid w:val="67D2CC94"/>
    <w:rsid w:val="67D54585"/>
    <w:rsid w:val="67D62DC3"/>
    <w:rsid w:val="67D86144"/>
    <w:rsid w:val="67E33323"/>
    <w:rsid w:val="67E6DCF5"/>
    <w:rsid w:val="67EE4BF4"/>
    <w:rsid w:val="67F70ADA"/>
    <w:rsid w:val="680E8C58"/>
    <w:rsid w:val="680F4786"/>
    <w:rsid w:val="681D03BB"/>
    <w:rsid w:val="6824DC42"/>
    <w:rsid w:val="68378869"/>
    <w:rsid w:val="683E2118"/>
    <w:rsid w:val="68437C0C"/>
    <w:rsid w:val="684E69DD"/>
    <w:rsid w:val="685B7CB7"/>
    <w:rsid w:val="68611FCF"/>
    <w:rsid w:val="686BFFB0"/>
    <w:rsid w:val="687641AE"/>
    <w:rsid w:val="687CFFB8"/>
    <w:rsid w:val="687D1447"/>
    <w:rsid w:val="6898A159"/>
    <w:rsid w:val="68AC794C"/>
    <w:rsid w:val="68DF0D1E"/>
    <w:rsid w:val="68F5A7E3"/>
    <w:rsid w:val="68FF64C3"/>
    <w:rsid w:val="690604F6"/>
    <w:rsid w:val="691B2CBC"/>
    <w:rsid w:val="69510DF1"/>
    <w:rsid w:val="6953A28D"/>
    <w:rsid w:val="69546461"/>
    <w:rsid w:val="696A040B"/>
    <w:rsid w:val="697E2F57"/>
    <w:rsid w:val="697F6F33"/>
    <w:rsid w:val="698B75E0"/>
    <w:rsid w:val="69907802"/>
    <w:rsid w:val="6997CA7B"/>
    <w:rsid w:val="69CA3D8C"/>
    <w:rsid w:val="69CB605B"/>
    <w:rsid w:val="69D816D7"/>
    <w:rsid w:val="69D8406A"/>
    <w:rsid w:val="69DE9776"/>
    <w:rsid w:val="69E8BE1E"/>
    <w:rsid w:val="69EE3E7B"/>
    <w:rsid w:val="69FAC0B0"/>
    <w:rsid w:val="69FBA17F"/>
    <w:rsid w:val="6A00F151"/>
    <w:rsid w:val="6A3A8609"/>
    <w:rsid w:val="6A44BD9A"/>
    <w:rsid w:val="6A5005A3"/>
    <w:rsid w:val="6A55CE79"/>
    <w:rsid w:val="6A5DE14C"/>
    <w:rsid w:val="6A5EF3BB"/>
    <w:rsid w:val="6A610A2B"/>
    <w:rsid w:val="6A725D2C"/>
    <w:rsid w:val="6A7FA331"/>
    <w:rsid w:val="6AB62D54"/>
    <w:rsid w:val="6ACAFA77"/>
    <w:rsid w:val="6ADF53F5"/>
    <w:rsid w:val="6B19B278"/>
    <w:rsid w:val="6B29ED83"/>
    <w:rsid w:val="6B3B2034"/>
    <w:rsid w:val="6B3E41A7"/>
    <w:rsid w:val="6B46FD40"/>
    <w:rsid w:val="6B4C910B"/>
    <w:rsid w:val="6B5C193F"/>
    <w:rsid w:val="6B602FCB"/>
    <w:rsid w:val="6B6EF0AD"/>
    <w:rsid w:val="6B901922"/>
    <w:rsid w:val="6BABBE41"/>
    <w:rsid w:val="6BEB1576"/>
    <w:rsid w:val="6BEBA2CC"/>
    <w:rsid w:val="6BF18F4B"/>
    <w:rsid w:val="6BF1C0EF"/>
    <w:rsid w:val="6BF2E96D"/>
    <w:rsid w:val="6C211D50"/>
    <w:rsid w:val="6C28FB79"/>
    <w:rsid w:val="6C292F1A"/>
    <w:rsid w:val="6C3587B9"/>
    <w:rsid w:val="6C3FBF45"/>
    <w:rsid w:val="6C48DEE2"/>
    <w:rsid w:val="6C5A90CC"/>
    <w:rsid w:val="6C66CF6D"/>
    <w:rsid w:val="6C79E368"/>
    <w:rsid w:val="6C7B721C"/>
    <w:rsid w:val="6C82414B"/>
    <w:rsid w:val="6C83003B"/>
    <w:rsid w:val="6C987ADD"/>
    <w:rsid w:val="6CA47187"/>
    <w:rsid w:val="6CA4D6B5"/>
    <w:rsid w:val="6CAA942D"/>
    <w:rsid w:val="6CBCB95E"/>
    <w:rsid w:val="6CC65CA6"/>
    <w:rsid w:val="6CDA0FF9"/>
    <w:rsid w:val="6CE194DB"/>
    <w:rsid w:val="6CE46B20"/>
    <w:rsid w:val="6CF61C66"/>
    <w:rsid w:val="6D07C78D"/>
    <w:rsid w:val="6D0F1632"/>
    <w:rsid w:val="6D2CA25A"/>
    <w:rsid w:val="6D33B74D"/>
    <w:rsid w:val="6D594189"/>
    <w:rsid w:val="6D5F3DC9"/>
    <w:rsid w:val="6D9706D8"/>
    <w:rsid w:val="6DA0120E"/>
    <w:rsid w:val="6DA8E218"/>
    <w:rsid w:val="6DB314C5"/>
    <w:rsid w:val="6DCC47F1"/>
    <w:rsid w:val="6DD84FB5"/>
    <w:rsid w:val="6DDB2320"/>
    <w:rsid w:val="6DDEC79D"/>
    <w:rsid w:val="6DE65D10"/>
    <w:rsid w:val="6DEBD62C"/>
    <w:rsid w:val="6DEEB075"/>
    <w:rsid w:val="6E0F4AF6"/>
    <w:rsid w:val="6E237B7F"/>
    <w:rsid w:val="6E238779"/>
    <w:rsid w:val="6E368BB8"/>
    <w:rsid w:val="6E453956"/>
    <w:rsid w:val="6E549996"/>
    <w:rsid w:val="6E8076C3"/>
    <w:rsid w:val="6E812E35"/>
    <w:rsid w:val="6E8FF608"/>
    <w:rsid w:val="6E9B9377"/>
    <w:rsid w:val="6EB534BC"/>
    <w:rsid w:val="6EBCCB64"/>
    <w:rsid w:val="6ECDD842"/>
    <w:rsid w:val="6ED4E161"/>
    <w:rsid w:val="6EE5B517"/>
    <w:rsid w:val="6EE74429"/>
    <w:rsid w:val="6EE9AB52"/>
    <w:rsid w:val="6EFDE336"/>
    <w:rsid w:val="6F16B28D"/>
    <w:rsid w:val="6F1D9035"/>
    <w:rsid w:val="6F264FA6"/>
    <w:rsid w:val="6F425B17"/>
    <w:rsid w:val="6F4317B0"/>
    <w:rsid w:val="6F468594"/>
    <w:rsid w:val="6F5B44BC"/>
    <w:rsid w:val="6F701B8B"/>
    <w:rsid w:val="6F7D53A3"/>
    <w:rsid w:val="6F7DC367"/>
    <w:rsid w:val="6F815D33"/>
    <w:rsid w:val="6FB9999C"/>
    <w:rsid w:val="6FC14936"/>
    <w:rsid w:val="6FDCBEF4"/>
    <w:rsid w:val="6FEA0B0E"/>
    <w:rsid w:val="700A0FDB"/>
    <w:rsid w:val="700A8C18"/>
    <w:rsid w:val="700CE18E"/>
    <w:rsid w:val="70148874"/>
    <w:rsid w:val="701D58C0"/>
    <w:rsid w:val="7029F6CB"/>
    <w:rsid w:val="702F0931"/>
    <w:rsid w:val="7047127F"/>
    <w:rsid w:val="704FDB4D"/>
    <w:rsid w:val="705993CF"/>
    <w:rsid w:val="705CB31E"/>
    <w:rsid w:val="707D22F2"/>
    <w:rsid w:val="709A27A2"/>
    <w:rsid w:val="70A854F3"/>
    <w:rsid w:val="70B1FD23"/>
    <w:rsid w:val="70BB0CA8"/>
    <w:rsid w:val="70CC5CB6"/>
    <w:rsid w:val="70E45EBB"/>
    <w:rsid w:val="71070FC2"/>
    <w:rsid w:val="711279C3"/>
    <w:rsid w:val="7119D524"/>
    <w:rsid w:val="7124A518"/>
    <w:rsid w:val="712B845D"/>
    <w:rsid w:val="712F1545"/>
    <w:rsid w:val="71317672"/>
    <w:rsid w:val="714FCC38"/>
    <w:rsid w:val="717F1C10"/>
    <w:rsid w:val="71910081"/>
    <w:rsid w:val="71C12959"/>
    <w:rsid w:val="71C3E47A"/>
    <w:rsid w:val="71C99FC4"/>
    <w:rsid w:val="71CE4D1C"/>
    <w:rsid w:val="71D2F00E"/>
    <w:rsid w:val="71D948C4"/>
    <w:rsid w:val="71EE74F0"/>
    <w:rsid w:val="71FDB6D8"/>
    <w:rsid w:val="72033092"/>
    <w:rsid w:val="722B511A"/>
    <w:rsid w:val="72355E91"/>
    <w:rsid w:val="72397866"/>
    <w:rsid w:val="72586AF2"/>
    <w:rsid w:val="725A9225"/>
    <w:rsid w:val="725DA754"/>
    <w:rsid w:val="726C4DB4"/>
    <w:rsid w:val="726DC0BA"/>
    <w:rsid w:val="7277BFE4"/>
    <w:rsid w:val="727A7816"/>
    <w:rsid w:val="729D7725"/>
    <w:rsid w:val="72A9C298"/>
    <w:rsid w:val="72ACDEF7"/>
    <w:rsid w:val="72B6417C"/>
    <w:rsid w:val="72DC5421"/>
    <w:rsid w:val="72FB10BE"/>
    <w:rsid w:val="72FE0D54"/>
    <w:rsid w:val="730659A0"/>
    <w:rsid w:val="731A371D"/>
    <w:rsid w:val="732A7642"/>
    <w:rsid w:val="73329469"/>
    <w:rsid w:val="733871DC"/>
    <w:rsid w:val="73578F0F"/>
    <w:rsid w:val="735A1EE3"/>
    <w:rsid w:val="736D9CDE"/>
    <w:rsid w:val="736F91A1"/>
    <w:rsid w:val="7394D64E"/>
    <w:rsid w:val="7395BDA2"/>
    <w:rsid w:val="739C116E"/>
    <w:rsid w:val="73B053BB"/>
    <w:rsid w:val="73C172DA"/>
    <w:rsid w:val="73D4944A"/>
    <w:rsid w:val="73F264D8"/>
    <w:rsid w:val="7401923F"/>
    <w:rsid w:val="74022E73"/>
    <w:rsid w:val="740E9AA5"/>
    <w:rsid w:val="7419E947"/>
    <w:rsid w:val="74485BBA"/>
    <w:rsid w:val="744F053A"/>
    <w:rsid w:val="746F6BC8"/>
    <w:rsid w:val="7472D32C"/>
    <w:rsid w:val="7482E6B6"/>
    <w:rsid w:val="7487D259"/>
    <w:rsid w:val="74A83AFE"/>
    <w:rsid w:val="74AF8CA2"/>
    <w:rsid w:val="74C02D40"/>
    <w:rsid w:val="74C41384"/>
    <w:rsid w:val="74C95EE0"/>
    <w:rsid w:val="74E0ACD0"/>
    <w:rsid w:val="74EDA91B"/>
    <w:rsid w:val="74F1AC05"/>
    <w:rsid w:val="74FE4DE8"/>
    <w:rsid w:val="750B7B84"/>
    <w:rsid w:val="750B9A05"/>
    <w:rsid w:val="750D4F21"/>
    <w:rsid w:val="7523D9F6"/>
    <w:rsid w:val="75285836"/>
    <w:rsid w:val="752D1CD6"/>
    <w:rsid w:val="753FFFF4"/>
    <w:rsid w:val="75504928"/>
    <w:rsid w:val="75570675"/>
    <w:rsid w:val="7569D747"/>
    <w:rsid w:val="757B3EF1"/>
    <w:rsid w:val="75855BB5"/>
    <w:rsid w:val="7595006C"/>
    <w:rsid w:val="7597320F"/>
    <w:rsid w:val="7597D1EC"/>
    <w:rsid w:val="759CD116"/>
    <w:rsid w:val="759D0718"/>
    <w:rsid w:val="75ACDA8F"/>
    <w:rsid w:val="75C555B5"/>
    <w:rsid w:val="75C69BB8"/>
    <w:rsid w:val="75C96315"/>
    <w:rsid w:val="75CC2D3A"/>
    <w:rsid w:val="75D0F840"/>
    <w:rsid w:val="7624D495"/>
    <w:rsid w:val="7626994C"/>
    <w:rsid w:val="76415EB4"/>
    <w:rsid w:val="764A5E4E"/>
    <w:rsid w:val="7661F3C0"/>
    <w:rsid w:val="7661F3F1"/>
    <w:rsid w:val="766A1E5A"/>
    <w:rsid w:val="767A9463"/>
    <w:rsid w:val="7693964E"/>
    <w:rsid w:val="7699AD19"/>
    <w:rsid w:val="76AAAA41"/>
    <w:rsid w:val="76C07EF9"/>
    <w:rsid w:val="76D14ADC"/>
    <w:rsid w:val="76D8A3B5"/>
    <w:rsid w:val="76DDD6A8"/>
    <w:rsid w:val="770559BD"/>
    <w:rsid w:val="771205DC"/>
    <w:rsid w:val="77178D63"/>
    <w:rsid w:val="7731FD69"/>
    <w:rsid w:val="773CC4F1"/>
    <w:rsid w:val="7749DDFF"/>
    <w:rsid w:val="774AF0CD"/>
    <w:rsid w:val="774DDE56"/>
    <w:rsid w:val="774E959B"/>
    <w:rsid w:val="77574B17"/>
    <w:rsid w:val="777871C5"/>
    <w:rsid w:val="777A6598"/>
    <w:rsid w:val="777B396A"/>
    <w:rsid w:val="7790C9EB"/>
    <w:rsid w:val="7794604E"/>
    <w:rsid w:val="779E04C3"/>
    <w:rsid w:val="77A36B9D"/>
    <w:rsid w:val="77AC387E"/>
    <w:rsid w:val="77BBB5EB"/>
    <w:rsid w:val="77C36F0E"/>
    <w:rsid w:val="77C3B5F9"/>
    <w:rsid w:val="77D4A516"/>
    <w:rsid w:val="77D8B553"/>
    <w:rsid w:val="77E52A5C"/>
    <w:rsid w:val="7801BEC1"/>
    <w:rsid w:val="78114254"/>
    <w:rsid w:val="7820D937"/>
    <w:rsid w:val="782553F2"/>
    <w:rsid w:val="782AA1FC"/>
    <w:rsid w:val="7855982D"/>
    <w:rsid w:val="786B9C82"/>
    <w:rsid w:val="787338A3"/>
    <w:rsid w:val="78772737"/>
    <w:rsid w:val="7877EDB6"/>
    <w:rsid w:val="787B2ED5"/>
    <w:rsid w:val="789A8DCC"/>
    <w:rsid w:val="789F4353"/>
    <w:rsid w:val="78A2B167"/>
    <w:rsid w:val="78A2D36D"/>
    <w:rsid w:val="78C9BE06"/>
    <w:rsid w:val="78E24F7A"/>
    <w:rsid w:val="78E3A718"/>
    <w:rsid w:val="78EE9C90"/>
    <w:rsid w:val="790FA1A9"/>
    <w:rsid w:val="79423DAD"/>
    <w:rsid w:val="79510918"/>
    <w:rsid w:val="79597377"/>
    <w:rsid w:val="795ECE33"/>
    <w:rsid w:val="7961617B"/>
    <w:rsid w:val="796F95BD"/>
    <w:rsid w:val="7973F716"/>
    <w:rsid w:val="79800DF2"/>
    <w:rsid w:val="799A6C2C"/>
    <w:rsid w:val="799AF6BD"/>
    <w:rsid w:val="79B35044"/>
    <w:rsid w:val="79B64076"/>
    <w:rsid w:val="79B6BADB"/>
    <w:rsid w:val="79BF5724"/>
    <w:rsid w:val="79C3DA12"/>
    <w:rsid w:val="79C85D7D"/>
    <w:rsid w:val="79CD9FA4"/>
    <w:rsid w:val="79DE3492"/>
    <w:rsid w:val="79E6252D"/>
    <w:rsid w:val="79EB0F2E"/>
    <w:rsid w:val="79F596BE"/>
    <w:rsid w:val="79FE58A5"/>
    <w:rsid w:val="7A401632"/>
    <w:rsid w:val="7A439F94"/>
    <w:rsid w:val="7A45AE67"/>
    <w:rsid w:val="7A547D52"/>
    <w:rsid w:val="7A5820FC"/>
    <w:rsid w:val="7A5D4F10"/>
    <w:rsid w:val="7A6F33CE"/>
    <w:rsid w:val="7A743685"/>
    <w:rsid w:val="7A76D388"/>
    <w:rsid w:val="7A7925D7"/>
    <w:rsid w:val="7A851C33"/>
    <w:rsid w:val="7A94A64E"/>
    <w:rsid w:val="7A972CE3"/>
    <w:rsid w:val="7A9AB842"/>
    <w:rsid w:val="7AA7F61A"/>
    <w:rsid w:val="7AACAEAA"/>
    <w:rsid w:val="7AB79A09"/>
    <w:rsid w:val="7ABF6D61"/>
    <w:rsid w:val="7ACB8311"/>
    <w:rsid w:val="7ACE9D11"/>
    <w:rsid w:val="7AD866B8"/>
    <w:rsid w:val="7AE857C0"/>
    <w:rsid w:val="7AEE040D"/>
    <w:rsid w:val="7AF4C5DF"/>
    <w:rsid w:val="7AFBB1B5"/>
    <w:rsid w:val="7B014788"/>
    <w:rsid w:val="7B295F5C"/>
    <w:rsid w:val="7B299594"/>
    <w:rsid w:val="7B444D81"/>
    <w:rsid w:val="7B77B187"/>
    <w:rsid w:val="7B79AD9F"/>
    <w:rsid w:val="7B7E8484"/>
    <w:rsid w:val="7B8DFF9A"/>
    <w:rsid w:val="7BA2C520"/>
    <w:rsid w:val="7BBF9C7A"/>
    <w:rsid w:val="7BE8014C"/>
    <w:rsid w:val="7C01629F"/>
    <w:rsid w:val="7C023DF2"/>
    <w:rsid w:val="7C168168"/>
    <w:rsid w:val="7C1AFD6B"/>
    <w:rsid w:val="7C3C7397"/>
    <w:rsid w:val="7C510359"/>
    <w:rsid w:val="7C8B4245"/>
    <w:rsid w:val="7CBDCDEF"/>
    <w:rsid w:val="7CC9EBB8"/>
    <w:rsid w:val="7CCB6CA7"/>
    <w:rsid w:val="7CCD1130"/>
    <w:rsid w:val="7CD58947"/>
    <w:rsid w:val="7CF9A240"/>
    <w:rsid w:val="7D3F499F"/>
    <w:rsid w:val="7D40BDCC"/>
    <w:rsid w:val="7D4214E5"/>
    <w:rsid w:val="7D588B8C"/>
    <w:rsid w:val="7D658229"/>
    <w:rsid w:val="7D65FCDA"/>
    <w:rsid w:val="7D71B927"/>
    <w:rsid w:val="7D74AF21"/>
    <w:rsid w:val="7D77A7FB"/>
    <w:rsid w:val="7D847833"/>
    <w:rsid w:val="7D85E8C2"/>
    <w:rsid w:val="7D88560F"/>
    <w:rsid w:val="7D8C430E"/>
    <w:rsid w:val="7D906A54"/>
    <w:rsid w:val="7DCB6381"/>
    <w:rsid w:val="7DCC5B77"/>
    <w:rsid w:val="7DFBF2A4"/>
    <w:rsid w:val="7E00F816"/>
    <w:rsid w:val="7E085564"/>
    <w:rsid w:val="7E1810CF"/>
    <w:rsid w:val="7E219A60"/>
    <w:rsid w:val="7E4BBC23"/>
    <w:rsid w:val="7E52CFB6"/>
    <w:rsid w:val="7E545099"/>
    <w:rsid w:val="7E5BCFB4"/>
    <w:rsid w:val="7E5C3E6B"/>
    <w:rsid w:val="7EA42D7B"/>
    <w:rsid w:val="7EB43062"/>
    <w:rsid w:val="7EBA48D7"/>
    <w:rsid w:val="7EC5DAA4"/>
    <w:rsid w:val="7EE7DA0D"/>
    <w:rsid w:val="7EFED933"/>
    <w:rsid w:val="7F297C21"/>
    <w:rsid w:val="7F422D8D"/>
    <w:rsid w:val="7F487E0F"/>
    <w:rsid w:val="7F4B9241"/>
    <w:rsid w:val="7F52AA48"/>
    <w:rsid w:val="7F63F1E4"/>
    <w:rsid w:val="7F69210A"/>
    <w:rsid w:val="7F7010D4"/>
    <w:rsid w:val="7F798BC3"/>
    <w:rsid w:val="7F7A70DC"/>
    <w:rsid w:val="7FAC2FD8"/>
    <w:rsid w:val="7FB65302"/>
    <w:rsid w:val="7FC3A2CF"/>
    <w:rsid w:val="7FCF847F"/>
    <w:rsid w:val="7FCFD717"/>
    <w:rsid w:val="7FE220C3"/>
    <w:rsid w:val="7FEF412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FD9BD"/>
  <w15:docId w15:val="{148C8BAF-5473-4EC4-90F4-1AB92DE38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algun Gothic" w:hAnsi="Calibri" w:cs="Arial"/>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E5D"/>
    <w:pPr>
      <w:spacing w:before="120"/>
    </w:pPr>
    <w:rPr>
      <w:rFonts w:ascii="Times New Roman" w:eastAsiaTheme="minorEastAsia" w:hAnsi="Times New Roman" w:cs="Times New Roman"/>
      <w:sz w:val="22"/>
      <w:szCs w:val="24"/>
      <w:lang w:val="en-GB" w:eastAsia="ja-JP"/>
    </w:rPr>
  </w:style>
  <w:style w:type="paragraph" w:styleId="Heading1">
    <w:name w:val="heading 1"/>
    <w:basedOn w:val="Normal"/>
    <w:next w:val="Normal"/>
    <w:link w:val="Heading1Char"/>
    <w:uiPriority w:val="9"/>
    <w:qFormat/>
    <w:rsid w:val="00371D53"/>
    <w:pPr>
      <w:numPr>
        <w:numId w:val="14"/>
      </w:numPr>
      <w:contextualSpacing/>
      <w:outlineLvl w:val="0"/>
    </w:pPr>
    <w:rPr>
      <w:rFonts w:eastAsia="Times New Roman"/>
      <w:b/>
      <w:color w:val="000000"/>
      <w:szCs w:val="20"/>
      <w:u w:val="single"/>
      <w:lang w:val="x-none" w:eastAsia="x-none"/>
    </w:rPr>
  </w:style>
  <w:style w:type="paragraph" w:styleId="Heading2">
    <w:name w:val="heading 2"/>
    <w:basedOn w:val="Normal"/>
    <w:next w:val="Normal"/>
    <w:link w:val="Heading2Char"/>
    <w:uiPriority w:val="9"/>
    <w:semiHidden/>
    <w:unhideWhenUsed/>
    <w:qFormat/>
    <w:rsid w:val="00502D6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24096"/>
    <w:pPr>
      <w:keepNext/>
      <w:keepLines/>
      <w:spacing w:before="200"/>
      <w:outlineLvl w:val="2"/>
    </w:pPr>
    <w:rPr>
      <w:rFonts w:ascii="Cambria" w:hAnsi="Cambria"/>
      <w:b/>
      <w:bCs/>
      <w:color w:val="4F81BD"/>
      <w:szCs w:val="20"/>
      <w:lang w:val="x-none" w:eastAsia="x-none"/>
    </w:rPr>
  </w:style>
  <w:style w:type="paragraph" w:styleId="Heading4">
    <w:name w:val="heading 4"/>
    <w:basedOn w:val="Normal"/>
    <w:next w:val="Normal"/>
    <w:link w:val="Heading4Char"/>
    <w:uiPriority w:val="9"/>
    <w:semiHidden/>
    <w:unhideWhenUsed/>
    <w:qFormat/>
    <w:rsid w:val="008E5BDF"/>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7">
    <w:name w:val="heading 7"/>
    <w:basedOn w:val="Normal"/>
    <w:next w:val="Normal"/>
    <w:link w:val="Heading7Char"/>
    <w:uiPriority w:val="9"/>
    <w:semiHidden/>
    <w:unhideWhenUsed/>
    <w:qFormat/>
    <w:rsid w:val="00E555E6"/>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E3719"/>
    <w:rPr>
      <w:rFonts w:ascii="Times New Roman" w:eastAsia="Times New Roman" w:hAnsi="Times New Roman" w:cs="Times New Roman"/>
      <w:b/>
      <w:color w:val="000000"/>
      <w:sz w:val="22"/>
      <w:u w:val="single"/>
      <w:lang w:val="x-none" w:eastAsia="x-none"/>
    </w:rPr>
  </w:style>
  <w:style w:type="character" w:customStyle="1" w:styleId="Heading2Char">
    <w:name w:val="Heading 2 Char"/>
    <w:basedOn w:val="DefaultParagraphFont"/>
    <w:link w:val="Heading2"/>
    <w:uiPriority w:val="9"/>
    <w:semiHidden/>
    <w:rsid w:val="00502D6E"/>
    <w:rPr>
      <w:rFonts w:asciiTheme="majorHAnsi" w:eastAsiaTheme="majorEastAsia" w:hAnsiTheme="majorHAnsi" w:cstheme="majorBidi"/>
      <w:b/>
      <w:bCs/>
      <w:color w:val="4F81BD" w:themeColor="accent1"/>
      <w:sz w:val="26"/>
      <w:szCs w:val="26"/>
      <w:lang w:val="en-GB" w:eastAsia="ja-JP"/>
    </w:rPr>
  </w:style>
  <w:style w:type="character" w:customStyle="1" w:styleId="Heading3Char">
    <w:name w:val="Heading 3 Char"/>
    <w:link w:val="Heading3"/>
    <w:uiPriority w:val="99"/>
    <w:rsid w:val="00624096"/>
    <w:rPr>
      <w:rFonts w:ascii="Cambria" w:eastAsia="Malgun Gothic" w:hAnsi="Cambria" w:cs="Times New Roman"/>
      <w:b/>
      <w:bCs/>
      <w:color w:val="4F81BD"/>
      <w:sz w:val="24"/>
    </w:rPr>
  </w:style>
  <w:style w:type="character" w:styleId="Hyperlink">
    <w:name w:val="Hyperlink"/>
    <w:aliases w:val="超级链接"/>
    <w:basedOn w:val="DefaultParagraphFont"/>
    <w:uiPriority w:val="99"/>
    <w:qFormat/>
    <w:rsid w:val="005C26AA"/>
    <w:rPr>
      <w:rFonts w:ascii="Times New Roman" w:hAnsi="Times New Roman"/>
      <w:color w:val="0000FF"/>
      <w:u w:val="single"/>
    </w:rPr>
  </w:style>
  <w:style w:type="character" w:styleId="FollowedHyperlink">
    <w:name w:val="FollowedHyperlink"/>
    <w:uiPriority w:val="99"/>
    <w:semiHidden/>
    <w:unhideWhenUsed/>
    <w:rsid w:val="00E62164"/>
    <w:rPr>
      <w:color w:val="800080"/>
      <w:u w:val="single"/>
    </w:rPr>
  </w:style>
  <w:style w:type="table" w:styleId="TableGrid">
    <w:name w:val="Table Grid"/>
    <w:basedOn w:val="TableNormal"/>
    <w:rsid w:val="00650162"/>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1164D"/>
    <w:pPr>
      <w:keepNext/>
      <w:keepLines/>
      <w:numPr>
        <w:numId w:val="0"/>
      </w:numPr>
      <w:spacing w:before="480" w:line="276" w:lineRule="auto"/>
      <w:contextualSpacing w:val="0"/>
      <w:outlineLvl w:val="9"/>
    </w:pPr>
    <w:rPr>
      <w:rFonts w:ascii="Cambria" w:eastAsia="Malgun Gothic" w:hAnsi="Cambria"/>
      <w:bCs/>
      <w:color w:val="365F91"/>
      <w:sz w:val="28"/>
      <w:szCs w:val="28"/>
      <w:u w:val="none"/>
      <w:lang w:eastAsia="en-US"/>
    </w:rPr>
  </w:style>
  <w:style w:type="paragraph" w:styleId="TOC1">
    <w:name w:val="toc 1"/>
    <w:basedOn w:val="Normal"/>
    <w:uiPriority w:val="39"/>
    <w:rsid w:val="003E43C3"/>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Date">
    <w:name w:val="Date"/>
    <w:basedOn w:val="Normal"/>
    <w:next w:val="Normal"/>
    <w:link w:val="DateChar"/>
    <w:uiPriority w:val="99"/>
    <w:semiHidden/>
    <w:unhideWhenUsed/>
    <w:rsid w:val="00C1571B"/>
    <w:rPr>
      <w:szCs w:val="20"/>
      <w:lang w:val="x-none" w:eastAsia="x-none"/>
    </w:rPr>
  </w:style>
  <w:style w:type="character" w:customStyle="1" w:styleId="DateChar">
    <w:name w:val="Date Char"/>
    <w:link w:val="Date"/>
    <w:uiPriority w:val="99"/>
    <w:semiHidden/>
    <w:rsid w:val="00C1571B"/>
    <w:rPr>
      <w:rFonts w:ascii="Times New Roman" w:hAnsi="Times New Roman"/>
      <w:sz w:val="24"/>
    </w:rPr>
  </w:style>
  <w:style w:type="paragraph" w:styleId="Header">
    <w:name w:val="header"/>
    <w:aliases w:val="header odd,header entry,HE,h,Header/Footer,页眉"/>
    <w:basedOn w:val="Normal"/>
    <w:link w:val="HeaderChar"/>
    <w:uiPriority w:val="99"/>
    <w:unhideWhenUsed/>
    <w:rsid w:val="00ED7621"/>
    <w:pPr>
      <w:tabs>
        <w:tab w:val="center" w:pos="4680"/>
        <w:tab w:val="right" w:pos="9360"/>
      </w:tabs>
    </w:pPr>
    <w:rPr>
      <w:szCs w:val="20"/>
      <w:lang w:val="x-none" w:eastAsia="x-none"/>
    </w:rPr>
  </w:style>
  <w:style w:type="character" w:customStyle="1" w:styleId="HeaderChar">
    <w:name w:val="Header Char"/>
    <w:aliases w:val="header odd Char,header entry Char,HE Char,h Char,Header/Footer Char,页眉 Char"/>
    <w:link w:val="Header"/>
    <w:uiPriority w:val="99"/>
    <w:rsid w:val="00ED7621"/>
    <w:rPr>
      <w:rFonts w:ascii="Times New Roman" w:hAnsi="Times New Roman"/>
      <w:sz w:val="24"/>
    </w:rPr>
  </w:style>
  <w:style w:type="character" w:customStyle="1" w:styleId="FooterChar">
    <w:name w:val="Footer Char"/>
    <w:link w:val="Footer"/>
    <w:uiPriority w:val="99"/>
    <w:rsid w:val="00ED7621"/>
    <w:rPr>
      <w:rFonts w:ascii="Times New Roman" w:hAnsi="Times New Roman" w:cs="Times New Roman"/>
      <w:sz w:val="24"/>
      <w:lang w:val="x-none" w:eastAsia="x-none"/>
    </w:rPr>
  </w:style>
  <w:style w:type="paragraph" w:styleId="Footer">
    <w:name w:val="footer"/>
    <w:basedOn w:val="Normal"/>
    <w:link w:val="FooterChar"/>
    <w:uiPriority w:val="99"/>
    <w:unhideWhenUsed/>
    <w:rsid w:val="00D0299D"/>
    <w:pPr>
      <w:tabs>
        <w:tab w:val="center" w:pos="4680"/>
        <w:tab w:val="right" w:pos="9360"/>
      </w:tabs>
    </w:pPr>
    <w:rPr>
      <w:szCs w:val="20"/>
      <w:lang w:val="x-none" w:eastAsia="x-none"/>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nhideWhenUsed/>
    <w:rsid w:val="005B02E4"/>
    <w:pPr>
      <w:spacing w:before="0"/>
    </w:pPr>
    <w:rPr>
      <w:sz w:val="20"/>
      <w:szCs w:val="20"/>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rsid w:val="005B02E4"/>
    <w:rPr>
      <w:rFonts w:ascii="Times New Roman" w:eastAsiaTheme="minorEastAsia" w:hAnsi="Times New Roman" w:cs="Times New Roman"/>
      <w:lang w:val="en-GB" w:eastAsia="ja-JP"/>
    </w:rPr>
  </w:style>
  <w:style w:type="paragraph" w:styleId="TOC2">
    <w:name w:val="toc 2"/>
    <w:basedOn w:val="TOC1"/>
    <w:uiPriority w:val="39"/>
    <w:rsid w:val="003E43C3"/>
    <w:pPr>
      <w:tabs>
        <w:tab w:val="clear" w:pos="964"/>
      </w:tabs>
      <w:spacing w:before="80"/>
      <w:ind w:left="1531" w:hanging="851"/>
    </w:pPr>
  </w:style>
  <w:style w:type="paragraph" w:styleId="TOC3">
    <w:name w:val="toc 3"/>
    <w:basedOn w:val="TOC2"/>
    <w:uiPriority w:val="39"/>
    <w:rsid w:val="003E43C3"/>
    <w:pPr>
      <w:ind w:left="2269"/>
    </w:pPr>
  </w:style>
  <w:style w:type="paragraph" w:styleId="BalloonText">
    <w:name w:val="Balloon Text"/>
    <w:basedOn w:val="Normal"/>
    <w:link w:val="BalloonTextChar"/>
    <w:uiPriority w:val="99"/>
    <w:semiHidden/>
    <w:unhideWhenUsed/>
    <w:rsid w:val="001C06C3"/>
    <w:rPr>
      <w:rFonts w:ascii="Tahoma" w:hAnsi="Tahoma"/>
      <w:sz w:val="16"/>
      <w:szCs w:val="16"/>
      <w:lang w:val="x-none" w:eastAsia="x-none"/>
    </w:rPr>
  </w:style>
  <w:style w:type="character" w:customStyle="1" w:styleId="BalloonTextChar">
    <w:name w:val="Balloon Text Char"/>
    <w:link w:val="BalloonText"/>
    <w:uiPriority w:val="99"/>
    <w:semiHidden/>
    <w:rsid w:val="001C06C3"/>
    <w:rPr>
      <w:rFonts w:ascii="Tahoma" w:hAnsi="Tahoma" w:cs="Tahoma"/>
      <w:sz w:val="16"/>
      <w:szCs w:val="16"/>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
    <w:uiPriority w:val="99"/>
    <w:rsid w:val="00A83E73"/>
    <w:rPr>
      <w:rFonts w:cs="Times New Roman"/>
      <w:position w:val="6"/>
      <w:sz w:val="16"/>
    </w:rPr>
  </w:style>
  <w:style w:type="paragraph" w:customStyle="1" w:styleId="Restitle">
    <w:name w:val="Res_title"/>
    <w:basedOn w:val="Normal"/>
    <w:next w:val="Normal"/>
    <w:link w:val="RestitleChar"/>
    <w:uiPriority w:val="99"/>
    <w:rsid w:val="00C42D04"/>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rFonts w:ascii="Times New Roman Bold" w:eastAsia="Times New Roman" w:hAnsi="Times New Roman Bold"/>
      <w:b/>
      <w:sz w:val="28"/>
      <w:szCs w:val="20"/>
      <w:lang w:eastAsia="en-US"/>
    </w:rPr>
  </w:style>
  <w:style w:type="character" w:customStyle="1" w:styleId="RestitleChar">
    <w:name w:val="Res_title Char"/>
    <w:link w:val="Restitle"/>
    <w:uiPriority w:val="99"/>
    <w:locked/>
    <w:rsid w:val="00C42D04"/>
    <w:rPr>
      <w:rFonts w:ascii="Times New Roman Bold" w:eastAsia="Times New Roman" w:hAnsi="Times New Roman Bold" w:cs="Times New Roman"/>
      <w:b/>
      <w:sz w:val="28"/>
      <w:szCs w:val="20"/>
      <w:lang w:val="en-GB" w:eastAsia="en-US"/>
    </w:rPr>
  </w:style>
  <w:style w:type="character" w:styleId="CommentReference">
    <w:name w:val="annotation reference"/>
    <w:uiPriority w:val="99"/>
    <w:semiHidden/>
    <w:unhideWhenUsed/>
    <w:rsid w:val="009E701C"/>
    <w:rPr>
      <w:sz w:val="16"/>
      <w:szCs w:val="16"/>
    </w:rPr>
  </w:style>
  <w:style w:type="paragraph" w:styleId="CommentText">
    <w:name w:val="annotation text"/>
    <w:basedOn w:val="Normal"/>
    <w:link w:val="CommentTextChar"/>
    <w:uiPriority w:val="99"/>
    <w:unhideWhenUsed/>
    <w:rsid w:val="009E701C"/>
    <w:rPr>
      <w:sz w:val="20"/>
      <w:szCs w:val="20"/>
      <w:lang w:val="x-none" w:eastAsia="x-none"/>
    </w:rPr>
  </w:style>
  <w:style w:type="character" w:customStyle="1" w:styleId="CommentTextChar">
    <w:name w:val="Comment Text Char"/>
    <w:link w:val="CommentText"/>
    <w:uiPriority w:val="99"/>
    <w:rsid w:val="009E701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E701C"/>
    <w:rPr>
      <w:b/>
      <w:bCs/>
    </w:rPr>
  </w:style>
  <w:style w:type="character" w:customStyle="1" w:styleId="CommentSubjectChar">
    <w:name w:val="Comment Subject Char"/>
    <w:link w:val="CommentSubject"/>
    <w:uiPriority w:val="99"/>
    <w:semiHidden/>
    <w:rsid w:val="009E701C"/>
    <w:rPr>
      <w:rFonts w:ascii="Times New Roman" w:hAnsi="Times New Roman"/>
      <w:b/>
      <w:bCs/>
      <w:sz w:val="20"/>
      <w:szCs w:val="20"/>
    </w:rPr>
  </w:style>
  <w:style w:type="paragraph" w:styleId="Revision">
    <w:name w:val="Revision"/>
    <w:hidden/>
    <w:uiPriority w:val="99"/>
    <w:semiHidden/>
    <w:rsid w:val="009E701C"/>
    <w:rPr>
      <w:rFonts w:ascii="Times New Roman" w:hAnsi="Times New Roman"/>
      <w:sz w:val="24"/>
      <w:szCs w:val="22"/>
      <w:lang w:eastAsia="ko-KR"/>
    </w:rPr>
  </w:style>
  <w:style w:type="paragraph" w:styleId="z-TopofForm">
    <w:name w:val="HTML Top of Form"/>
    <w:basedOn w:val="Normal"/>
    <w:next w:val="Normal"/>
    <w:link w:val="z-TopofFormChar"/>
    <w:hidden/>
    <w:uiPriority w:val="99"/>
    <w:semiHidden/>
    <w:unhideWhenUsed/>
    <w:rsid w:val="00AE4CE1"/>
    <w:pPr>
      <w:pBdr>
        <w:bottom w:val="single" w:sz="6" w:space="1" w:color="auto"/>
      </w:pBdr>
      <w:jc w:val="center"/>
    </w:pPr>
    <w:rPr>
      <w:rFonts w:ascii="Arial" w:eastAsia="Times New Roman" w:hAnsi="Arial"/>
      <w:vanish/>
      <w:sz w:val="16"/>
      <w:szCs w:val="16"/>
      <w:lang w:val="x-none" w:eastAsia="x-none"/>
    </w:rPr>
  </w:style>
  <w:style w:type="character" w:customStyle="1" w:styleId="z-TopofFormChar">
    <w:name w:val="z-Top of Form Char"/>
    <w:link w:val="z-TopofForm"/>
    <w:uiPriority w:val="99"/>
    <w:semiHidden/>
    <w:rsid w:val="00AE4CE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AE4CE1"/>
    <w:pPr>
      <w:pBdr>
        <w:top w:val="single" w:sz="6" w:space="1" w:color="auto"/>
      </w:pBdr>
      <w:jc w:val="center"/>
    </w:pPr>
    <w:rPr>
      <w:rFonts w:ascii="Arial" w:eastAsia="Times New Roman" w:hAnsi="Arial"/>
      <w:vanish/>
      <w:sz w:val="16"/>
      <w:szCs w:val="16"/>
      <w:lang w:val="x-none" w:eastAsia="x-none"/>
    </w:rPr>
  </w:style>
  <w:style w:type="character" w:customStyle="1" w:styleId="z-BottomofFormChar">
    <w:name w:val="z-Bottom of Form Char"/>
    <w:link w:val="z-BottomofForm"/>
    <w:uiPriority w:val="99"/>
    <w:semiHidden/>
    <w:rsid w:val="00AE4CE1"/>
    <w:rPr>
      <w:rFonts w:ascii="Arial" w:eastAsia="Times New Roman" w:hAnsi="Arial" w:cs="Arial"/>
      <w:vanish/>
      <w:sz w:val="16"/>
      <w:szCs w:val="16"/>
    </w:rPr>
  </w:style>
  <w:style w:type="table" w:customStyle="1" w:styleId="TableGrid1">
    <w:name w:val="Table Grid1"/>
    <w:basedOn w:val="TableNormal"/>
    <w:next w:val="TableGrid"/>
    <w:uiPriority w:val="59"/>
    <w:rsid w:val="00014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basedOn w:val="DefaultParagraphFont"/>
    <w:uiPriority w:val="99"/>
    <w:semiHidden/>
    <w:rsid w:val="00D0299D"/>
    <w:rPr>
      <w:rFonts w:ascii="Times New Roman" w:hAnsi="Times New Roman"/>
      <w:sz w:val="24"/>
      <w:szCs w:val="22"/>
      <w:lang w:eastAsia="ko-KR"/>
    </w:rPr>
  </w:style>
  <w:style w:type="paragraph" w:customStyle="1" w:styleId="enumlev10">
    <w:name w:val="enumlev1"/>
    <w:basedOn w:val="Normal"/>
    <w:link w:val="enumlev1Char"/>
    <w:qFormat/>
    <w:rsid w:val="007D0651"/>
    <w:pPr>
      <w:spacing w:before="80"/>
      <w:ind w:left="794" w:hanging="794"/>
      <w:jc w:val="both"/>
    </w:pPr>
    <w:rPr>
      <w:rFonts w:eastAsia="Times New Roman"/>
      <w:szCs w:val="20"/>
      <w:lang w:eastAsia="en-US"/>
    </w:rPr>
  </w:style>
  <w:style w:type="character" w:customStyle="1" w:styleId="enumlev1Char">
    <w:name w:val="enumlev1 Char"/>
    <w:basedOn w:val="DefaultParagraphFont"/>
    <w:link w:val="enumlev10"/>
    <w:rsid w:val="007D0651"/>
    <w:rPr>
      <w:rFonts w:ascii="Times New Roman" w:eastAsia="Times New Roman" w:hAnsi="Times New Roman" w:cs="Times New Roman"/>
      <w:sz w:val="24"/>
      <w:lang w:val="en-GB" w:eastAsia="en-US"/>
    </w:rPr>
  </w:style>
  <w:style w:type="paragraph" w:customStyle="1" w:styleId="AnnexNotitle">
    <w:name w:val="Annex_No &amp; title"/>
    <w:basedOn w:val="Normal"/>
    <w:next w:val="Normal"/>
    <w:rsid w:val="003E43C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3E43C3"/>
  </w:style>
  <w:style w:type="paragraph" w:customStyle="1" w:styleId="Docnumber">
    <w:name w:val="Docnumber"/>
    <w:basedOn w:val="Normal"/>
    <w:link w:val="DocnumberChar"/>
    <w:rsid w:val="003E43C3"/>
    <w:pPr>
      <w:tabs>
        <w:tab w:val="left" w:pos="794"/>
        <w:tab w:val="left" w:pos="1191"/>
        <w:tab w:val="left" w:pos="1588"/>
        <w:tab w:val="left" w:pos="1985"/>
      </w:tabs>
      <w:overflowPunct w:val="0"/>
      <w:autoSpaceDE w:val="0"/>
      <w:autoSpaceDN w:val="0"/>
      <w:adjustRightInd w:val="0"/>
      <w:jc w:val="right"/>
      <w:textAlignment w:val="baseline"/>
    </w:pPr>
    <w:rPr>
      <w:rFonts w:eastAsia="SimSun"/>
      <w:b/>
      <w:sz w:val="40"/>
      <w:szCs w:val="20"/>
      <w:lang w:eastAsia="en-US"/>
    </w:rPr>
  </w:style>
  <w:style w:type="character" w:customStyle="1" w:styleId="DocnumberChar">
    <w:name w:val="Docnumber Char"/>
    <w:link w:val="Docnumber"/>
    <w:rsid w:val="003E43C3"/>
    <w:rPr>
      <w:rFonts w:ascii="Times New Roman" w:eastAsia="SimSun" w:hAnsi="Times New Roman" w:cs="Times New Roman"/>
      <w:b/>
      <w:sz w:val="40"/>
      <w:lang w:val="en-GB" w:eastAsia="en-US"/>
    </w:rPr>
  </w:style>
  <w:style w:type="paragraph" w:customStyle="1" w:styleId="Figure">
    <w:name w:val="Figure"/>
    <w:basedOn w:val="Normal"/>
    <w:next w:val="Normal"/>
    <w:rsid w:val="003E43C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rsid w:val="003E43C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Headingb">
    <w:name w:val="Heading_b"/>
    <w:basedOn w:val="Normal"/>
    <w:next w:val="Normal"/>
    <w:rsid w:val="003E43C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3E43C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rsid w:val="003E43C3"/>
    <w:rPr>
      <w:b/>
      <w:bCs/>
    </w:rPr>
  </w:style>
  <w:style w:type="paragraph" w:customStyle="1" w:styleId="Normalbeforetable">
    <w:name w:val="Normal before table"/>
    <w:basedOn w:val="Normal"/>
    <w:rsid w:val="003E43C3"/>
    <w:pPr>
      <w:keepNext/>
      <w:spacing w:after="120"/>
    </w:pPr>
    <w:rPr>
      <w:rFonts w:eastAsia="????"/>
      <w:lang w:eastAsia="en-US"/>
    </w:rPr>
  </w:style>
  <w:style w:type="paragraph" w:customStyle="1" w:styleId="RecNo">
    <w:name w:val="Rec_No"/>
    <w:basedOn w:val="Normal"/>
    <w:next w:val="Normal"/>
    <w:rsid w:val="003E43C3"/>
    <w:pPr>
      <w:keepNext/>
      <w:keepLines/>
      <w:tabs>
        <w:tab w:val="left" w:pos="794"/>
        <w:tab w:val="left" w:pos="1191"/>
        <w:tab w:val="left" w:pos="1588"/>
        <w:tab w:val="left" w:pos="1985"/>
      </w:tabs>
      <w:overflowPunct w:val="0"/>
      <w:autoSpaceDE w:val="0"/>
      <w:autoSpaceDN w:val="0"/>
      <w:adjustRightInd w:val="0"/>
      <w:textAlignment w:val="baseline"/>
    </w:pPr>
    <w:rPr>
      <w:b/>
      <w:sz w:val="28"/>
      <w:szCs w:val="20"/>
    </w:rPr>
  </w:style>
  <w:style w:type="paragraph" w:customStyle="1" w:styleId="Rectitle">
    <w:name w:val="Rec_title"/>
    <w:basedOn w:val="Normal"/>
    <w:next w:val="Normal"/>
    <w:rsid w:val="003E43C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E43C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365E5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0"/>
      <w:szCs w:val="20"/>
      <w:lang w:eastAsia="en-US"/>
    </w:rPr>
  </w:style>
  <w:style w:type="paragraph" w:customStyle="1" w:styleId="Tablelegend">
    <w:name w:val="Table_legend"/>
    <w:basedOn w:val="Normal"/>
    <w:rsid w:val="003E43C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Cs w:val="20"/>
      <w:lang w:eastAsia="en-US"/>
    </w:rPr>
  </w:style>
  <w:style w:type="paragraph" w:customStyle="1" w:styleId="TableNotitle">
    <w:name w:val="Table_No &amp; title"/>
    <w:basedOn w:val="Normal"/>
    <w:next w:val="Normal"/>
    <w:rsid w:val="003E43C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AF05C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Cs w:val="20"/>
      <w:lang w:eastAsia="en-US"/>
    </w:rPr>
  </w:style>
  <w:style w:type="paragraph" w:styleId="TableofFigures">
    <w:name w:val="table of figures"/>
    <w:basedOn w:val="Normal"/>
    <w:next w:val="Normal"/>
    <w:uiPriority w:val="99"/>
    <w:rsid w:val="003E43C3"/>
    <w:pPr>
      <w:tabs>
        <w:tab w:val="right" w:leader="dot" w:pos="9639"/>
      </w:tabs>
    </w:pPr>
    <w:rPr>
      <w:rFonts w:eastAsia="MS Mincho"/>
    </w:rPr>
  </w:style>
  <w:style w:type="paragraph" w:customStyle="1" w:styleId="Enumlev1">
    <w:name w:val="Enumlev1"/>
    <w:basedOn w:val="Normal"/>
    <w:qFormat/>
    <w:rsid w:val="00490B7D"/>
    <w:pPr>
      <w:numPr>
        <w:numId w:val="16"/>
      </w:numPr>
      <w:tabs>
        <w:tab w:val="left" w:pos="567"/>
        <w:tab w:val="left" w:pos="1134"/>
        <w:tab w:val="left" w:pos="1701"/>
        <w:tab w:val="left" w:pos="2268"/>
        <w:tab w:val="left" w:pos="2835"/>
      </w:tabs>
      <w:overflowPunct w:val="0"/>
      <w:autoSpaceDE w:val="0"/>
      <w:autoSpaceDN w:val="0"/>
      <w:adjustRightInd w:val="0"/>
      <w:jc w:val="both"/>
      <w:textAlignment w:val="baseline"/>
    </w:pPr>
    <w:rPr>
      <w:rFonts w:ascii="Calibri" w:eastAsia="Times New Roman" w:hAnsi="Calibri"/>
      <w:szCs w:val="20"/>
      <w:lang w:eastAsia="en-US"/>
    </w:rPr>
  </w:style>
  <w:style w:type="paragraph" w:customStyle="1" w:styleId="Default">
    <w:name w:val="Default"/>
    <w:rsid w:val="006710D1"/>
    <w:pPr>
      <w:autoSpaceDE w:val="0"/>
      <w:autoSpaceDN w:val="0"/>
      <w:adjustRightInd w:val="0"/>
    </w:pPr>
    <w:rPr>
      <w:rFonts w:ascii="Times New Roman" w:hAnsi="Times New Roman" w:cs="Times New Roman"/>
      <w:color w:val="000000"/>
      <w:sz w:val="24"/>
      <w:szCs w:val="24"/>
      <w:lang w:eastAsia="ko-KR"/>
    </w:rPr>
  </w:style>
  <w:style w:type="paragraph" w:customStyle="1" w:styleId="Tablete">
    <w:name w:val="Table te"/>
    <w:basedOn w:val="Tabletext"/>
    <w:rsid w:val="00BF04C4"/>
    <w:pPr>
      <w:ind w:left="1168" w:hanging="1168"/>
    </w:pPr>
  </w:style>
  <w:style w:type="paragraph" w:customStyle="1" w:styleId="Call">
    <w:name w:val="Call"/>
    <w:basedOn w:val="Normal"/>
    <w:next w:val="Normal"/>
    <w:link w:val="CallChar"/>
    <w:rsid w:val="00147822"/>
    <w:pPr>
      <w:keepNext/>
      <w:keepLines/>
      <w:tabs>
        <w:tab w:val="left" w:pos="794"/>
        <w:tab w:val="left" w:pos="1191"/>
        <w:tab w:val="left" w:pos="1588"/>
        <w:tab w:val="left" w:pos="1985"/>
      </w:tabs>
      <w:overflowPunct w:val="0"/>
      <w:autoSpaceDE w:val="0"/>
      <w:autoSpaceDN w:val="0"/>
      <w:adjustRightInd w:val="0"/>
      <w:spacing w:before="240" w:line="280" w:lineRule="exact"/>
      <w:ind w:left="794"/>
      <w:textAlignment w:val="baseline"/>
    </w:pPr>
    <w:rPr>
      <w:rFonts w:eastAsia="Times New Roman"/>
      <w:i/>
      <w:szCs w:val="20"/>
      <w:lang w:val="fr-FR" w:eastAsia="en-US"/>
    </w:rPr>
  </w:style>
  <w:style w:type="character" w:customStyle="1" w:styleId="CallChar">
    <w:name w:val="Call Char"/>
    <w:link w:val="Call"/>
    <w:rsid w:val="00147822"/>
    <w:rPr>
      <w:rFonts w:ascii="Times New Roman" w:eastAsia="Times New Roman" w:hAnsi="Times New Roman" w:cs="Times New Roman"/>
      <w:i/>
      <w:sz w:val="22"/>
      <w:lang w:val="fr-FR" w:eastAsia="en-US"/>
    </w:rPr>
  </w:style>
  <w:style w:type="character" w:customStyle="1" w:styleId="hps">
    <w:name w:val="hps"/>
    <w:rsid w:val="00BD52AA"/>
  </w:style>
  <w:style w:type="character" w:styleId="Strong">
    <w:name w:val="Strong"/>
    <w:basedOn w:val="DefaultParagraphFont"/>
    <w:uiPriority w:val="22"/>
    <w:qFormat/>
    <w:rsid w:val="00972011"/>
    <w:rPr>
      <w:b/>
      <w:bCs/>
    </w:rPr>
  </w:style>
  <w:style w:type="character" w:customStyle="1" w:styleId="apple-converted-space">
    <w:name w:val="apple-converted-space"/>
    <w:basedOn w:val="DefaultParagraphFont"/>
    <w:rsid w:val="005139CB"/>
  </w:style>
  <w:style w:type="character" w:styleId="Emphasis">
    <w:name w:val="Emphasis"/>
    <w:basedOn w:val="DefaultParagraphFont"/>
    <w:uiPriority w:val="20"/>
    <w:qFormat/>
    <w:rsid w:val="004D5EFC"/>
    <w:rPr>
      <w:i/>
      <w:iCs/>
    </w:rPr>
  </w:style>
  <w:style w:type="paragraph" w:styleId="ListParagraph">
    <w:name w:val="List Paragraph"/>
    <w:aliases w:val="NUMBERED PARAGRAPH,List Paragraph 1,List Paragraph (numbered (a)),Use Case List Paragraph,References,ReferencesCxSpLast,lp1,Bullets,Numbered List Paragraph,List Paragraph nowy,Liste 1,List_Paragraph,Multilevel para_II,List Paragraph1,Body"/>
    <w:basedOn w:val="Normal"/>
    <w:link w:val="ListParagraphChar"/>
    <w:uiPriority w:val="34"/>
    <w:qFormat/>
    <w:pPr>
      <w:ind w:left="720"/>
      <w:contextualSpacing/>
    </w:pPr>
  </w:style>
  <w:style w:type="paragraph" w:customStyle="1" w:styleId="blanc">
    <w:name w:val="blanc"/>
    <w:basedOn w:val="Normal"/>
    <w:uiPriority w:val="99"/>
    <w:rsid w:val="00473C33"/>
    <w:pPr>
      <w:overflowPunct w:val="0"/>
      <w:autoSpaceDE w:val="0"/>
      <w:autoSpaceDN w:val="0"/>
      <w:adjustRightInd w:val="0"/>
      <w:spacing w:before="0"/>
      <w:textAlignment w:val="baseline"/>
    </w:pPr>
    <w:rPr>
      <w:rFonts w:eastAsia="Times New Roman"/>
      <w:sz w:val="2"/>
      <w:szCs w:val="20"/>
      <w:lang w:val="en-US" w:eastAsia="en-US"/>
    </w:rPr>
  </w:style>
  <w:style w:type="paragraph" w:customStyle="1" w:styleId="Section3">
    <w:name w:val="Section_3"/>
    <w:basedOn w:val="Normal"/>
    <w:rsid w:val="00103280"/>
    <w:pPr>
      <w:tabs>
        <w:tab w:val="center" w:pos="4820"/>
      </w:tabs>
      <w:overflowPunct w:val="0"/>
      <w:autoSpaceDE w:val="0"/>
      <w:autoSpaceDN w:val="0"/>
      <w:adjustRightInd w:val="0"/>
      <w:spacing w:before="360"/>
      <w:jc w:val="center"/>
      <w:textAlignment w:val="baseline"/>
    </w:pPr>
    <w:rPr>
      <w:rFonts w:eastAsia="Times New Roman"/>
      <w:sz w:val="24"/>
      <w:szCs w:val="20"/>
      <w:lang w:eastAsia="en-US"/>
    </w:rPr>
  </w:style>
  <w:style w:type="character" w:customStyle="1" w:styleId="Heading7Char">
    <w:name w:val="Heading 7 Char"/>
    <w:basedOn w:val="DefaultParagraphFont"/>
    <w:link w:val="Heading7"/>
    <w:uiPriority w:val="9"/>
    <w:semiHidden/>
    <w:rsid w:val="00E555E6"/>
    <w:rPr>
      <w:rFonts w:asciiTheme="majorHAnsi" w:eastAsiaTheme="majorEastAsia" w:hAnsiTheme="majorHAnsi" w:cstheme="majorBidi"/>
      <w:i/>
      <w:iCs/>
      <w:color w:val="243F60" w:themeColor="accent1" w:themeShade="7F"/>
      <w:sz w:val="22"/>
      <w:szCs w:val="24"/>
      <w:lang w:val="en-GB" w:eastAsia="ja-JP"/>
    </w:rPr>
  </w:style>
  <w:style w:type="paragraph" w:styleId="NormalWeb">
    <w:name w:val="Normal (Web)"/>
    <w:basedOn w:val="Normal"/>
    <w:link w:val="NormalWebChar"/>
    <w:uiPriority w:val="99"/>
    <w:unhideWhenUsed/>
    <w:rsid w:val="00686137"/>
    <w:pPr>
      <w:spacing w:before="0" w:after="406"/>
    </w:pPr>
    <w:rPr>
      <w:rFonts w:eastAsia="Times New Roman"/>
      <w:sz w:val="24"/>
      <w:lang w:val="en-US" w:eastAsia="zh-CN"/>
    </w:rPr>
  </w:style>
  <w:style w:type="character" w:customStyle="1" w:styleId="NormalWebChar">
    <w:name w:val="Normal (Web) Char"/>
    <w:link w:val="NormalWeb"/>
    <w:uiPriority w:val="99"/>
    <w:locked/>
    <w:rsid w:val="00686137"/>
    <w:rPr>
      <w:rFonts w:ascii="Times New Roman" w:eastAsia="Times New Roman" w:hAnsi="Times New Roman" w:cs="Times New Roman"/>
      <w:sz w:val="24"/>
      <w:szCs w:val="24"/>
    </w:rPr>
  </w:style>
  <w:style w:type="paragraph" w:customStyle="1" w:styleId="LSForAction">
    <w:name w:val="LSForAction"/>
    <w:basedOn w:val="Normal"/>
    <w:rsid w:val="005E1ADD"/>
    <w:pPr>
      <w:tabs>
        <w:tab w:val="left" w:pos="794"/>
        <w:tab w:val="left" w:pos="1191"/>
        <w:tab w:val="left" w:pos="1588"/>
        <w:tab w:val="left" w:pos="1985"/>
      </w:tabs>
      <w:overflowPunct w:val="0"/>
      <w:autoSpaceDE w:val="0"/>
      <w:autoSpaceDN w:val="0"/>
      <w:adjustRightInd w:val="0"/>
      <w:textAlignment w:val="baseline"/>
    </w:pPr>
    <w:rPr>
      <w:rFonts w:eastAsia="Times New Roman"/>
      <w:b/>
      <w:bCs/>
      <w:sz w:val="24"/>
      <w:szCs w:val="20"/>
      <w:lang w:eastAsia="en-US"/>
    </w:rPr>
  </w:style>
  <w:style w:type="character" w:customStyle="1" w:styleId="ListParagraphChar">
    <w:name w:val="List Paragraph Char"/>
    <w:aliases w:val="NUMBERED PARAGRAPH Char,List Paragraph 1 Char,List Paragraph (numbered (a)) Char,Use Case List Paragraph Char,References Char,ReferencesCxSpLast Char,lp1 Char,Bullets Char,Numbered List Paragraph Char,List Paragraph nowy Char"/>
    <w:basedOn w:val="DefaultParagraphFont"/>
    <w:link w:val="ListParagraph"/>
    <w:uiPriority w:val="34"/>
    <w:qFormat/>
    <w:locked/>
    <w:rsid w:val="00FB284E"/>
    <w:rPr>
      <w:rFonts w:ascii="Times New Roman" w:eastAsiaTheme="minorEastAsia" w:hAnsi="Times New Roman" w:cs="Times New Roman"/>
      <w:sz w:val="22"/>
      <w:szCs w:val="24"/>
      <w:lang w:val="en-GB" w:eastAsia="ja-JP"/>
    </w:rPr>
  </w:style>
  <w:style w:type="paragraph" w:styleId="Caption">
    <w:name w:val="caption"/>
    <w:basedOn w:val="Normal"/>
    <w:next w:val="Normal"/>
    <w:uiPriority w:val="35"/>
    <w:unhideWhenUsed/>
    <w:qFormat/>
    <w:rsid w:val="000F0598"/>
    <w:pPr>
      <w:tabs>
        <w:tab w:val="left" w:pos="1134"/>
        <w:tab w:val="left" w:pos="1871"/>
        <w:tab w:val="left" w:pos="2268"/>
      </w:tabs>
      <w:overflowPunct w:val="0"/>
      <w:autoSpaceDE w:val="0"/>
      <w:autoSpaceDN w:val="0"/>
      <w:adjustRightInd w:val="0"/>
      <w:spacing w:before="0" w:after="200"/>
      <w:jc w:val="center"/>
      <w:textAlignment w:val="baseline"/>
    </w:pPr>
    <w:rPr>
      <w:rFonts w:eastAsia="Times New Roman"/>
      <w:i/>
      <w:iCs/>
      <w:color w:val="1F497D" w:themeColor="text2"/>
      <w:sz w:val="24"/>
      <w:szCs w:val="18"/>
      <w:lang w:eastAsia="en-US"/>
    </w:rPr>
  </w:style>
  <w:style w:type="paragraph" w:customStyle="1" w:styleId="normalWSIS">
    <w:name w:val="normal WSIS"/>
    <w:basedOn w:val="ListParagraph"/>
    <w:link w:val="normalWSISChar"/>
    <w:qFormat/>
    <w:rsid w:val="00AE2D3A"/>
    <w:pPr>
      <w:numPr>
        <w:numId w:val="42"/>
      </w:numPr>
      <w:tabs>
        <w:tab w:val="left" w:pos="426"/>
      </w:tabs>
      <w:spacing w:after="200"/>
      <w:contextualSpacing w:val="0"/>
      <w:jc w:val="both"/>
    </w:pPr>
    <w:rPr>
      <w:rFonts w:eastAsia="SimSun"/>
      <w:szCs w:val="22"/>
    </w:rPr>
  </w:style>
  <w:style w:type="character" w:customStyle="1" w:styleId="normalWSISChar">
    <w:name w:val="normal WSIS Char"/>
    <w:basedOn w:val="ListParagraphChar"/>
    <w:link w:val="normalWSIS"/>
    <w:rsid w:val="00AE2D3A"/>
    <w:rPr>
      <w:rFonts w:ascii="Times New Roman" w:eastAsia="SimSun" w:hAnsi="Times New Roman" w:cs="Times New Roman"/>
      <w:sz w:val="22"/>
      <w:szCs w:val="22"/>
      <w:lang w:val="en-GB" w:eastAsia="ja-JP"/>
    </w:rPr>
  </w:style>
  <w:style w:type="paragraph" w:customStyle="1" w:styleId="Recdate">
    <w:name w:val="Rec_date"/>
    <w:basedOn w:val="Normal"/>
    <w:next w:val="Normal"/>
    <w:rsid w:val="00C93D3E"/>
    <w:pPr>
      <w:keepNext/>
      <w:keepLines/>
      <w:overflowPunct w:val="0"/>
      <w:autoSpaceDE w:val="0"/>
      <w:autoSpaceDN w:val="0"/>
      <w:adjustRightInd w:val="0"/>
      <w:jc w:val="right"/>
      <w:textAlignment w:val="baseline"/>
    </w:pPr>
    <w:rPr>
      <w:rFonts w:eastAsia="Times New Roman"/>
      <w:i/>
      <w:szCs w:val="20"/>
      <w:lang w:val="en-US" w:eastAsia="zh-CN"/>
    </w:rPr>
  </w:style>
  <w:style w:type="paragraph" w:customStyle="1" w:styleId="QuestionNoBR">
    <w:name w:val="Question_No_BR"/>
    <w:basedOn w:val="Normal"/>
    <w:next w:val="Normal"/>
    <w:rsid w:val="006141F6"/>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caps/>
      <w:sz w:val="28"/>
      <w:szCs w:val="20"/>
      <w:lang w:val="en-US" w:eastAsia="zh-CN"/>
    </w:rPr>
  </w:style>
  <w:style w:type="character" w:styleId="PageNumber">
    <w:name w:val="page number"/>
    <w:basedOn w:val="DefaultParagraphFont"/>
    <w:rsid w:val="006141F6"/>
    <w:rPr>
      <w:rFonts w:cs="Times New Roman"/>
    </w:rPr>
  </w:style>
  <w:style w:type="character" w:customStyle="1" w:styleId="Heading4Char">
    <w:name w:val="Heading 4 Char"/>
    <w:basedOn w:val="DefaultParagraphFont"/>
    <w:link w:val="Heading4"/>
    <w:uiPriority w:val="9"/>
    <w:semiHidden/>
    <w:rsid w:val="008E5BDF"/>
    <w:rPr>
      <w:rFonts w:asciiTheme="majorHAnsi" w:eastAsiaTheme="majorEastAsia" w:hAnsiTheme="majorHAnsi" w:cstheme="majorBidi"/>
      <w:i/>
      <w:iCs/>
      <w:color w:val="365F91" w:themeColor="accent1" w:themeShade="BF"/>
      <w:sz w:val="22"/>
      <w:szCs w:val="24"/>
      <w:lang w:val="en-GB" w:eastAsia="ja-JP"/>
    </w:rPr>
  </w:style>
  <w:style w:type="character" w:customStyle="1" w:styleId="UnresolvedMention1">
    <w:name w:val="Unresolved Mention1"/>
    <w:basedOn w:val="DefaultParagraphFont"/>
    <w:uiPriority w:val="99"/>
    <w:semiHidden/>
    <w:unhideWhenUsed/>
    <w:rsid w:val="002F351D"/>
    <w:rPr>
      <w:color w:val="605E5C"/>
      <w:shd w:val="clear" w:color="auto" w:fill="E1DFDD"/>
    </w:rPr>
  </w:style>
  <w:style w:type="character" w:customStyle="1" w:styleId="ms-rteforecolor-2">
    <w:name w:val="ms-rteforecolor-2"/>
    <w:basedOn w:val="DefaultParagraphFont"/>
    <w:rsid w:val="00E424AC"/>
  </w:style>
  <w:style w:type="character" w:customStyle="1" w:styleId="ms-rtefontface-13">
    <w:name w:val="ms-rtefontface-13"/>
    <w:basedOn w:val="DefaultParagraphFont"/>
    <w:rsid w:val="00164B30"/>
  </w:style>
  <w:style w:type="character" w:customStyle="1" w:styleId="UnresolvedMention2">
    <w:name w:val="Unresolved Mention2"/>
    <w:basedOn w:val="DefaultParagraphFont"/>
    <w:uiPriority w:val="99"/>
    <w:semiHidden/>
    <w:unhideWhenUsed/>
    <w:rsid w:val="00B262F5"/>
    <w:rPr>
      <w:color w:val="605E5C"/>
      <w:shd w:val="clear" w:color="auto" w:fill="E1DFDD"/>
    </w:rPr>
  </w:style>
  <w:style w:type="character" w:styleId="UnresolvedMention">
    <w:name w:val="Unresolved Mention"/>
    <w:basedOn w:val="DefaultParagraphFont"/>
    <w:uiPriority w:val="99"/>
    <w:semiHidden/>
    <w:unhideWhenUsed/>
    <w:rsid w:val="005E2A98"/>
    <w:rPr>
      <w:color w:val="605E5C"/>
      <w:shd w:val="clear" w:color="auto" w:fill="E1DFDD"/>
    </w:rPr>
  </w:style>
  <w:style w:type="paragraph" w:customStyle="1" w:styleId="xmsolistparagraph">
    <w:name w:val="x_msolistparagraph"/>
    <w:basedOn w:val="Normal"/>
    <w:rsid w:val="002E241A"/>
    <w:pPr>
      <w:spacing w:before="0"/>
      <w:ind w:left="720"/>
    </w:pPr>
    <w:rPr>
      <w:rFonts w:ascii="Calibri" w:eastAsiaTheme="minorHAnsi" w:hAnsi="Calibri" w:cs="Calibri"/>
      <w:szCs w:val="22"/>
      <w:lang w:eastAsia="en-GB"/>
    </w:rPr>
  </w:style>
  <w:style w:type="character" w:customStyle="1" w:styleId="UnresolvedMention3">
    <w:name w:val="Unresolved Mention3"/>
    <w:basedOn w:val="DefaultParagraphFont"/>
    <w:uiPriority w:val="99"/>
    <w:semiHidden/>
    <w:unhideWhenUsed/>
    <w:rsid w:val="00B47FC8"/>
    <w:rPr>
      <w:color w:val="605E5C"/>
      <w:shd w:val="clear" w:color="auto" w:fill="E1DFDD"/>
    </w:rPr>
  </w:style>
  <w:style w:type="character" w:customStyle="1" w:styleId="Mention1">
    <w:name w:val="Mention1"/>
    <w:basedOn w:val="DefaultParagraphFont"/>
    <w:uiPriority w:val="99"/>
    <w:unhideWhenUsed/>
    <w:rsid w:val="00B47FC8"/>
    <w:rPr>
      <w:color w:val="2B579A"/>
      <w:shd w:val="clear" w:color="auto" w:fill="E6E6E6"/>
    </w:rPr>
  </w:style>
  <w:style w:type="character" w:customStyle="1" w:styleId="ms-rtethemeforecolor-2-0">
    <w:name w:val="ms-rtethemeforecolor-2-0"/>
    <w:basedOn w:val="DefaultParagraphFont"/>
    <w:rsid w:val="007C2A64"/>
  </w:style>
  <w:style w:type="character" w:customStyle="1" w:styleId="ms-rtefontsize-1">
    <w:name w:val="ms-rtefontsize-1"/>
    <w:basedOn w:val="DefaultParagraphFont"/>
    <w:rsid w:val="007C2A64"/>
  </w:style>
  <w:style w:type="character" w:customStyle="1" w:styleId="ms-rtethemeforecolor-1-4">
    <w:name w:val="ms-rtethemeforecolor-1-4"/>
    <w:basedOn w:val="DefaultParagraphFont"/>
    <w:rsid w:val="007C2A64"/>
  </w:style>
  <w:style w:type="character" w:styleId="Mention">
    <w:name w:val="Mention"/>
    <w:basedOn w:val="DefaultParagraphFont"/>
    <w:uiPriority w:val="99"/>
    <w:unhideWhenUsed/>
    <w:rsid w:val="009676C1"/>
    <w:rPr>
      <w:color w:val="2B579A"/>
      <w:shd w:val="clear" w:color="auto" w:fill="E1DFDD"/>
    </w:rPr>
  </w:style>
  <w:style w:type="character" w:customStyle="1" w:styleId="NoSpacingChar">
    <w:name w:val="No Spacing Char"/>
    <w:basedOn w:val="DefaultParagraphFont"/>
    <w:link w:val="NoSpacing"/>
    <w:uiPriority w:val="1"/>
    <w:locked/>
    <w:rsid w:val="00A00B3B"/>
    <w:rPr>
      <w:rFonts w:ascii="Calibri Light" w:hAnsi="Calibri Light" w:cs="Calibri Light"/>
    </w:rPr>
  </w:style>
  <w:style w:type="paragraph" w:styleId="NoSpacing">
    <w:name w:val="No Spacing"/>
    <w:basedOn w:val="Normal"/>
    <w:link w:val="NoSpacingChar"/>
    <w:uiPriority w:val="1"/>
    <w:qFormat/>
    <w:rsid w:val="00A00B3B"/>
    <w:pPr>
      <w:spacing w:before="0"/>
    </w:pPr>
    <w:rPr>
      <w:rFonts w:ascii="Calibri Light" w:eastAsia="Malgun Gothic" w:hAnsi="Calibri Light" w:cs="Calibri Light"/>
      <w:sz w:val="20"/>
      <w:szCs w:val="20"/>
      <w:lang w:val="en-US" w:eastAsia="zh-CN"/>
    </w:rPr>
  </w:style>
  <w:style w:type="character" w:customStyle="1" w:styleId="ms-rtethemeforecolor-5-0">
    <w:name w:val="ms-rtethemeforecolor-5-0"/>
    <w:basedOn w:val="DefaultParagraphFont"/>
    <w:rsid w:val="000146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1421">
      <w:bodyDiv w:val="1"/>
      <w:marLeft w:val="0"/>
      <w:marRight w:val="0"/>
      <w:marTop w:val="0"/>
      <w:marBottom w:val="0"/>
      <w:divBdr>
        <w:top w:val="none" w:sz="0" w:space="0" w:color="auto"/>
        <w:left w:val="none" w:sz="0" w:space="0" w:color="auto"/>
        <w:bottom w:val="none" w:sz="0" w:space="0" w:color="auto"/>
        <w:right w:val="none" w:sz="0" w:space="0" w:color="auto"/>
      </w:divBdr>
    </w:div>
    <w:div w:id="17825849">
      <w:bodyDiv w:val="1"/>
      <w:marLeft w:val="0"/>
      <w:marRight w:val="0"/>
      <w:marTop w:val="0"/>
      <w:marBottom w:val="0"/>
      <w:divBdr>
        <w:top w:val="none" w:sz="0" w:space="0" w:color="auto"/>
        <w:left w:val="none" w:sz="0" w:space="0" w:color="auto"/>
        <w:bottom w:val="none" w:sz="0" w:space="0" w:color="auto"/>
        <w:right w:val="none" w:sz="0" w:space="0" w:color="auto"/>
      </w:divBdr>
    </w:div>
    <w:div w:id="25908169">
      <w:bodyDiv w:val="1"/>
      <w:marLeft w:val="0"/>
      <w:marRight w:val="0"/>
      <w:marTop w:val="0"/>
      <w:marBottom w:val="0"/>
      <w:divBdr>
        <w:top w:val="none" w:sz="0" w:space="0" w:color="auto"/>
        <w:left w:val="none" w:sz="0" w:space="0" w:color="auto"/>
        <w:bottom w:val="none" w:sz="0" w:space="0" w:color="auto"/>
        <w:right w:val="none" w:sz="0" w:space="0" w:color="auto"/>
      </w:divBdr>
    </w:div>
    <w:div w:id="30037872">
      <w:bodyDiv w:val="1"/>
      <w:marLeft w:val="0"/>
      <w:marRight w:val="0"/>
      <w:marTop w:val="0"/>
      <w:marBottom w:val="0"/>
      <w:divBdr>
        <w:top w:val="none" w:sz="0" w:space="0" w:color="auto"/>
        <w:left w:val="none" w:sz="0" w:space="0" w:color="auto"/>
        <w:bottom w:val="none" w:sz="0" w:space="0" w:color="auto"/>
        <w:right w:val="none" w:sz="0" w:space="0" w:color="auto"/>
      </w:divBdr>
    </w:div>
    <w:div w:id="32118723">
      <w:bodyDiv w:val="1"/>
      <w:marLeft w:val="0"/>
      <w:marRight w:val="0"/>
      <w:marTop w:val="0"/>
      <w:marBottom w:val="0"/>
      <w:divBdr>
        <w:top w:val="none" w:sz="0" w:space="0" w:color="auto"/>
        <w:left w:val="none" w:sz="0" w:space="0" w:color="auto"/>
        <w:bottom w:val="none" w:sz="0" w:space="0" w:color="auto"/>
        <w:right w:val="none" w:sz="0" w:space="0" w:color="auto"/>
      </w:divBdr>
    </w:div>
    <w:div w:id="39330851">
      <w:bodyDiv w:val="1"/>
      <w:marLeft w:val="0"/>
      <w:marRight w:val="0"/>
      <w:marTop w:val="0"/>
      <w:marBottom w:val="0"/>
      <w:divBdr>
        <w:top w:val="none" w:sz="0" w:space="0" w:color="auto"/>
        <w:left w:val="none" w:sz="0" w:space="0" w:color="auto"/>
        <w:bottom w:val="none" w:sz="0" w:space="0" w:color="auto"/>
        <w:right w:val="none" w:sz="0" w:space="0" w:color="auto"/>
      </w:divBdr>
    </w:div>
    <w:div w:id="41829980">
      <w:bodyDiv w:val="1"/>
      <w:marLeft w:val="0"/>
      <w:marRight w:val="0"/>
      <w:marTop w:val="0"/>
      <w:marBottom w:val="0"/>
      <w:divBdr>
        <w:top w:val="none" w:sz="0" w:space="0" w:color="auto"/>
        <w:left w:val="none" w:sz="0" w:space="0" w:color="auto"/>
        <w:bottom w:val="none" w:sz="0" w:space="0" w:color="auto"/>
        <w:right w:val="none" w:sz="0" w:space="0" w:color="auto"/>
      </w:divBdr>
    </w:div>
    <w:div w:id="54011259">
      <w:bodyDiv w:val="1"/>
      <w:marLeft w:val="0"/>
      <w:marRight w:val="0"/>
      <w:marTop w:val="0"/>
      <w:marBottom w:val="0"/>
      <w:divBdr>
        <w:top w:val="none" w:sz="0" w:space="0" w:color="auto"/>
        <w:left w:val="none" w:sz="0" w:space="0" w:color="auto"/>
        <w:bottom w:val="none" w:sz="0" w:space="0" w:color="auto"/>
        <w:right w:val="none" w:sz="0" w:space="0" w:color="auto"/>
      </w:divBdr>
    </w:div>
    <w:div w:id="54931603">
      <w:bodyDiv w:val="1"/>
      <w:marLeft w:val="0"/>
      <w:marRight w:val="0"/>
      <w:marTop w:val="0"/>
      <w:marBottom w:val="0"/>
      <w:divBdr>
        <w:top w:val="none" w:sz="0" w:space="0" w:color="auto"/>
        <w:left w:val="none" w:sz="0" w:space="0" w:color="auto"/>
        <w:bottom w:val="none" w:sz="0" w:space="0" w:color="auto"/>
        <w:right w:val="none" w:sz="0" w:space="0" w:color="auto"/>
      </w:divBdr>
    </w:div>
    <w:div w:id="57095750">
      <w:bodyDiv w:val="1"/>
      <w:marLeft w:val="0"/>
      <w:marRight w:val="0"/>
      <w:marTop w:val="0"/>
      <w:marBottom w:val="0"/>
      <w:divBdr>
        <w:top w:val="none" w:sz="0" w:space="0" w:color="auto"/>
        <w:left w:val="none" w:sz="0" w:space="0" w:color="auto"/>
        <w:bottom w:val="none" w:sz="0" w:space="0" w:color="auto"/>
        <w:right w:val="none" w:sz="0" w:space="0" w:color="auto"/>
      </w:divBdr>
    </w:div>
    <w:div w:id="60759753">
      <w:bodyDiv w:val="1"/>
      <w:marLeft w:val="0"/>
      <w:marRight w:val="0"/>
      <w:marTop w:val="0"/>
      <w:marBottom w:val="0"/>
      <w:divBdr>
        <w:top w:val="none" w:sz="0" w:space="0" w:color="auto"/>
        <w:left w:val="none" w:sz="0" w:space="0" w:color="auto"/>
        <w:bottom w:val="none" w:sz="0" w:space="0" w:color="auto"/>
        <w:right w:val="none" w:sz="0" w:space="0" w:color="auto"/>
      </w:divBdr>
    </w:div>
    <w:div w:id="64763688">
      <w:bodyDiv w:val="1"/>
      <w:marLeft w:val="0"/>
      <w:marRight w:val="0"/>
      <w:marTop w:val="0"/>
      <w:marBottom w:val="0"/>
      <w:divBdr>
        <w:top w:val="none" w:sz="0" w:space="0" w:color="auto"/>
        <w:left w:val="none" w:sz="0" w:space="0" w:color="auto"/>
        <w:bottom w:val="none" w:sz="0" w:space="0" w:color="auto"/>
        <w:right w:val="none" w:sz="0" w:space="0" w:color="auto"/>
      </w:divBdr>
    </w:div>
    <w:div w:id="70347242">
      <w:bodyDiv w:val="1"/>
      <w:marLeft w:val="0"/>
      <w:marRight w:val="0"/>
      <w:marTop w:val="0"/>
      <w:marBottom w:val="0"/>
      <w:divBdr>
        <w:top w:val="none" w:sz="0" w:space="0" w:color="auto"/>
        <w:left w:val="none" w:sz="0" w:space="0" w:color="auto"/>
        <w:bottom w:val="none" w:sz="0" w:space="0" w:color="auto"/>
        <w:right w:val="none" w:sz="0" w:space="0" w:color="auto"/>
      </w:divBdr>
    </w:div>
    <w:div w:id="73745071">
      <w:bodyDiv w:val="1"/>
      <w:marLeft w:val="0"/>
      <w:marRight w:val="0"/>
      <w:marTop w:val="0"/>
      <w:marBottom w:val="0"/>
      <w:divBdr>
        <w:top w:val="none" w:sz="0" w:space="0" w:color="auto"/>
        <w:left w:val="none" w:sz="0" w:space="0" w:color="auto"/>
        <w:bottom w:val="none" w:sz="0" w:space="0" w:color="auto"/>
        <w:right w:val="none" w:sz="0" w:space="0" w:color="auto"/>
      </w:divBdr>
    </w:div>
    <w:div w:id="78067255">
      <w:bodyDiv w:val="1"/>
      <w:marLeft w:val="0"/>
      <w:marRight w:val="0"/>
      <w:marTop w:val="0"/>
      <w:marBottom w:val="0"/>
      <w:divBdr>
        <w:top w:val="none" w:sz="0" w:space="0" w:color="auto"/>
        <w:left w:val="none" w:sz="0" w:space="0" w:color="auto"/>
        <w:bottom w:val="none" w:sz="0" w:space="0" w:color="auto"/>
        <w:right w:val="none" w:sz="0" w:space="0" w:color="auto"/>
      </w:divBdr>
    </w:div>
    <w:div w:id="89471913">
      <w:bodyDiv w:val="1"/>
      <w:marLeft w:val="0"/>
      <w:marRight w:val="0"/>
      <w:marTop w:val="0"/>
      <w:marBottom w:val="0"/>
      <w:divBdr>
        <w:top w:val="none" w:sz="0" w:space="0" w:color="auto"/>
        <w:left w:val="none" w:sz="0" w:space="0" w:color="auto"/>
        <w:bottom w:val="none" w:sz="0" w:space="0" w:color="auto"/>
        <w:right w:val="none" w:sz="0" w:space="0" w:color="auto"/>
      </w:divBdr>
    </w:div>
    <w:div w:id="92437205">
      <w:bodyDiv w:val="1"/>
      <w:marLeft w:val="0"/>
      <w:marRight w:val="0"/>
      <w:marTop w:val="0"/>
      <w:marBottom w:val="0"/>
      <w:divBdr>
        <w:top w:val="none" w:sz="0" w:space="0" w:color="auto"/>
        <w:left w:val="none" w:sz="0" w:space="0" w:color="auto"/>
        <w:bottom w:val="none" w:sz="0" w:space="0" w:color="auto"/>
        <w:right w:val="none" w:sz="0" w:space="0" w:color="auto"/>
      </w:divBdr>
    </w:div>
    <w:div w:id="99381107">
      <w:bodyDiv w:val="1"/>
      <w:marLeft w:val="0"/>
      <w:marRight w:val="0"/>
      <w:marTop w:val="0"/>
      <w:marBottom w:val="0"/>
      <w:divBdr>
        <w:top w:val="none" w:sz="0" w:space="0" w:color="auto"/>
        <w:left w:val="none" w:sz="0" w:space="0" w:color="auto"/>
        <w:bottom w:val="none" w:sz="0" w:space="0" w:color="auto"/>
        <w:right w:val="none" w:sz="0" w:space="0" w:color="auto"/>
      </w:divBdr>
    </w:div>
    <w:div w:id="101386756">
      <w:bodyDiv w:val="1"/>
      <w:marLeft w:val="0"/>
      <w:marRight w:val="0"/>
      <w:marTop w:val="0"/>
      <w:marBottom w:val="0"/>
      <w:divBdr>
        <w:top w:val="none" w:sz="0" w:space="0" w:color="auto"/>
        <w:left w:val="none" w:sz="0" w:space="0" w:color="auto"/>
        <w:bottom w:val="none" w:sz="0" w:space="0" w:color="auto"/>
        <w:right w:val="none" w:sz="0" w:space="0" w:color="auto"/>
      </w:divBdr>
    </w:div>
    <w:div w:id="103841438">
      <w:bodyDiv w:val="1"/>
      <w:marLeft w:val="0"/>
      <w:marRight w:val="0"/>
      <w:marTop w:val="0"/>
      <w:marBottom w:val="0"/>
      <w:divBdr>
        <w:top w:val="none" w:sz="0" w:space="0" w:color="auto"/>
        <w:left w:val="none" w:sz="0" w:space="0" w:color="auto"/>
        <w:bottom w:val="none" w:sz="0" w:space="0" w:color="auto"/>
        <w:right w:val="none" w:sz="0" w:space="0" w:color="auto"/>
      </w:divBdr>
    </w:div>
    <w:div w:id="111360403">
      <w:bodyDiv w:val="1"/>
      <w:marLeft w:val="0"/>
      <w:marRight w:val="0"/>
      <w:marTop w:val="0"/>
      <w:marBottom w:val="0"/>
      <w:divBdr>
        <w:top w:val="none" w:sz="0" w:space="0" w:color="auto"/>
        <w:left w:val="none" w:sz="0" w:space="0" w:color="auto"/>
        <w:bottom w:val="none" w:sz="0" w:space="0" w:color="auto"/>
        <w:right w:val="none" w:sz="0" w:space="0" w:color="auto"/>
      </w:divBdr>
    </w:div>
    <w:div w:id="120923845">
      <w:bodyDiv w:val="1"/>
      <w:marLeft w:val="0"/>
      <w:marRight w:val="0"/>
      <w:marTop w:val="0"/>
      <w:marBottom w:val="0"/>
      <w:divBdr>
        <w:top w:val="none" w:sz="0" w:space="0" w:color="auto"/>
        <w:left w:val="none" w:sz="0" w:space="0" w:color="auto"/>
        <w:bottom w:val="none" w:sz="0" w:space="0" w:color="auto"/>
        <w:right w:val="none" w:sz="0" w:space="0" w:color="auto"/>
      </w:divBdr>
    </w:div>
    <w:div w:id="131797792">
      <w:bodyDiv w:val="1"/>
      <w:marLeft w:val="0"/>
      <w:marRight w:val="0"/>
      <w:marTop w:val="0"/>
      <w:marBottom w:val="0"/>
      <w:divBdr>
        <w:top w:val="none" w:sz="0" w:space="0" w:color="auto"/>
        <w:left w:val="none" w:sz="0" w:space="0" w:color="auto"/>
        <w:bottom w:val="none" w:sz="0" w:space="0" w:color="auto"/>
        <w:right w:val="none" w:sz="0" w:space="0" w:color="auto"/>
      </w:divBdr>
      <w:divsChild>
        <w:div w:id="603730737">
          <w:marLeft w:val="547"/>
          <w:marRight w:val="0"/>
          <w:marTop w:val="144"/>
          <w:marBottom w:val="0"/>
          <w:divBdr>
            <w:top w:val="none" w:sz="0" w:space="0" w:color="auto"/>
            <w:left w:val="none" w:sz="0" w:space="0" w:color="auto"/>
            <w:bottom w:val="none" w:sz="0" w:space="0" w:color="auto"/>
            <w:right w:val="none" w:sz="0" w:space="0" w:color="auto"/>
          </w:divBdr>
        </w:div>
      </w:divsChild>
    </w:div>
    <w:div w:id="136648299">
      <w:bodyDiv w:val="1"/>
      <w:marLeft w:val="0"/>
      <w:marRight w:val="0"/>
      <w:marTop w:val="0"/>
      <w:marBottom w:val="0"/>
      <w:divBdr>
        <w:top w:val="none" w:sz="0" w:space="0" w:color="auto"/>
        <w:left w:val="none" w:sz="0" w:space="0" w:color="auto"/>
        <w:bottom w:val="none" w:sz="0" w:space="0" w:color="auto"/>
        <w:right w:val="none" w:sz="0" w:space="0" w:color="auto"/>
      </w:divBdr>
    </w:div>
    <w:div w:id="137765901">
      <w:bodyDiv w:val="1"/>
      <w:marLeft w:val="0"/>
      <w:marRight w:val="0"/>
      <w:marTop w:val="0"/>
      <w:marBottom w:val="0"/>
      <w:divBdr>
        <w:top w:val="none" w:sz="0" w:space="0" w:color="auto"/>
        <w:left w:val="none" w:sz="0" w:space="0" w:color="auto"/>
        <w:bottom w:val="none" w:sz="0" w:space="0" w:color="auto"/>
        <w:right w:val="none" w:sz="0" w:space="0" w:color="auto"/>
      </w:divBdr>
      <w:divsChild>
        <w:div w:id="925697288">
          <w:marLeft w:val="0"/>
          <w:marRight w:val="0"/>
          <w:marTop w:val="0"/>
          <w:marBottom w:val="0"/>
          <w:divBdr>
            <w:top w:val="none" w:sz="0" w:space="0" w:color="auto"/>
            <w:left w:val="none" w:sz="0" w:space="0" w:color="auto"/>
            <w:bottom w:val="none" w:sz="0" w:space="0" w:color="auto"/>
            <w:right w:val="none" w:sz="0" w:space="0" w:color="auto"/>
          </w:divBdr>
          <w:divsChild>
            <w:div w:id="256598344">
              <w:marLeft w:val="0"/>
              <w:marRight w:val="0"/>
              <w:marTop w:val="0"/>
              <w:marBottom w:val="0"/>
              <w:divBdr>
                <w:top w:val="none" w:sz="0" w:space="0" w:color="auto"/>
                <w:left w:val="none" w:sz="0" w:space="0" w:color="auto"/>
                <w:bottom w:val="none" w:sz="0" w:space="0" w:color="auto"/>
                <w:right w:val="none" w:sz="0" w:space="0" w:color="auto"/>
              </w:divBdr>
              <w:divsChild>
                <w:div w:id="894194117">
                  <w:marLeft w:val="0"/>
                  <w:marRight w:val="0"/>
                  <w:marTop w:val="0"/>
                  <w:marBottom w:val="0"/>
                  <w:divBdr>
                    <w:top w:val="none" w:sz="0" w:space="0" w:color="auto"/>
                    <w:left w:val="none" w:sz="0" w:space="0" w:color="auto"/>
                    <w:bottom w:val="none" w:sz="0" w:space="0" w:color="auto"/>
                    <w:right w:val="none" w:sz="0" w:space="0" w:color="auto"/>
                  </w:divBdr>
                  <w:divsChild>
                    <w:div w:id="307563946">
                      <w:marLeft w:val="0"/>
                      <w:marRight w:val="0"/>
                      <w:marTop w:val="0"/>
                      <w:marBottom w:val="0"/>
                      <w:divBdr>
                        <w:top w:val="none" w:sz="0" w:space="0" w:color="auto"/>
                        <w:left w:val="none" w:sz="0" w:space="0" w:color="auto"/>
                        <w:bottom w:val="none" w:sz="0" w:space="0" w:color="auto"/>
                        <w:right w:val="none" w:sz="0" w:space="0" w:color="auto"/>
                      </w:divBdr>
                      <w:divsChild>
                        <w:div w:id="934284199">
                          <w:marLeft w:val="0"/>
                          <w:marRight w:val="0"/>
                          <w:marTop w:val="0"/>
                          <w:marBottom w:val="0"/>
                          <w:divBdr>
                            <w:top w:val="none" w:sz="0" w:space="0" w:color="auto"/>
                            <w:left w:val="none" w:sz="0" w:space="0" w:color="auto"/>
                            <w:bottom w:val="none" w:sz="0" w:space="0" w:color="auto"/>
                            <w:right w:val="none" w:sz="0" w:space="0" w:color="auto"/>
                          </w:divBdr>
                          <w:divsChild>
                            <w:div w:id="1010176516">
                              <w:marLeft w:val="0"/>
                              <w:marRight w:val="0"/>
                              <w:marTop w:val="0"/>
                              <w:marBottom w:val="0"/>
                              <w:divBdr>
                                <w:top w:val="none" w:sz="0" w:space="0" w:color="auto"/>
                                <w:left w:val="none" w:sz="0" w:space="0" w:color="auto"/>
                                <w:bottom w:val="none" w:sz="0" w:space="0" w:color="auto"/>
                                <w:right w:val="none" w:sz="0" w:space="0" w:color="auto"/>
                              </w:divBdr>
                              <w:divsChild>
                                <w:div w:id="1326930078">
                                  <w:marLeft w:val="0"/>
                                  <w:marRight w:val="0"/>
                                  <w:marTop w:val="0"/>
                                  <w:marBottom w:val="0"/>
                                  <w:divBdr>
                                    <w:top w:val="none" w:sz="0" w:space="0" w:color="auto"/>
                                    <w:left w:val="none" w:sz="0" w:space="0" w:color="auto"/>
                                    <w:bottom w:val="none" w:sz="0" w:space="0" w:color="auto"/>
                                    <w:right w:val="none" w:sz="0" w:space="0" w:color="auto"/>
                                  </w:divBdr>
                                  <w:divsChild>
                                    <w:div w:id="1735196921">
                                      <w:marLeft w:val="0"/>
                                      <w:marRight w:val="0"/>
                                      <w:marTop w:val="0"/>
                                      <w:marBottom w:val="0"/>
                                      <w:divBdr>
                                        <w:top w:val="none" w:sz="0" w:space="0" w:color="auto"/>
                                        <w:left w:val="none" w:sz="0" w:space="0" w:color="auto"/>
                                        <w:bottom w:val="none" w:sz="0" w:space="0" w:color="auto"/>
                                        <w:right w:val="none" w:sz="0" w:space="0" w:color="auto"/>
                                      </w:divBdr>
                                      <w:divsChild>
                                        <w:div w:id="157113603">
                                          <w:marLeft w:val="0"/>
                                          <w:marRight w:val="0"/>
                                          <w:marTop w:val="0"/>
                                          <w:marBottom w:val="0"/>
                                          <w:divBdr>
                                            <w:top w:val="none" w:sz="0" w:space="0" w:color="auto"/>
                                            <w:left w:val="none" w:sz="0" w:space="0" w:color="auto"/>
                                            <w:bottom w:val="none" w:sz="0" w:space="0" w:color="auto"/>
                                            <w:right w:val="none" w:sz="0" w:space="0" w:color="auto"/>
                                          </w:divBdr>
                                          <w:divsChild>
                                            <w:div w:id="641807410">
                                              <w:marLeft w:val="0"/>
                                              <w:marRight w:val="0"/>
                                              <w:marTop w:val="0"/>
                                              <w:marBottom w:val="0"/>
                                              <w:divBdr>
                                                <w:top w:val="none" w:sz="0" w:space="0" w:color="auto"/>
                                                <w:left w:val="none" w:sz="0" w:space="0" w:color="auto"/>
                                                <w:bottom w:val="none" w:sz="0" w:space="0" w:color="auto"/>
                                                <w:right w:val="none" w:sz="0" w:space="0" w:color="auto"/>
                                              </w:divBdr>
                                              <w:divsChild>
                                                <w:div w:id="146822478">
                                                  <w:marLeft w:val="0"/>
                                                  <w:marRight w:val="0"/>
                                                  <w:marTop w:val="0"/>
                                                  <w:marBottom w:val="0"/>
                                                  <w:divBdr>
                                                    <w:top w:val="none" w:sz="0" w:space="0" w:color="auto"/>
                                                    <w:left w:val="none" w:sz="0" w:space="0" w:color="auto"/>
                                                    <w:bottom w:val="none" w:sz="0" w:space="0" w:color="auto"/>
                                                    <w:right w:val="none" w:sz="0" w:space="0" w:color="auto"/>
                                                  </w:divBdr>
                                                  <w:divsChild>
                                                    <w:div w:id="1640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439626">
      <w:bodyDiv w:val="1"/>
      <w:marLeft w:val="0"/>
      <w:marRight w:val="0"/>
      <w:marTop w:val="0"/>
      <w:marBottom w:val="0"/>
      <w:divBdr>
        <w:top w:val="none" w:sz="0" w:space="0" w:color="auto"/>
        <w:left w:val="none" w:sz="0" w:space="0" w:color="auto"/>
        <w:bottom w:val="none" w:sz="0" w:space="0" w:color="auto"/>
        <w:right w:val="none" w:sz="0" w:space="0" w:color="auto"/>
      </w:divBdr>
    </w:div>
    <w:div w:id="154995578">
      <w:bodyDiv w:val="1"/>
      <w:marLeft w:val="0"/>
      <w:marRight w:val="0"/>
      <w:marTop w:val="0"/>
      <w:marBottom w:val="0"/>
      <w:divBdr>
        <w:top w:val="none" w:sz="0" w:space="0" w:color="auto"/>
        <w:left w:val="none" w:sz="0" w:space="0" w:color="auto"/>
        <w:bottom w:val="none" w:sz="0" w:space="0" w:color="auto"/>
        <w:right w:val="none" w:sz="0" w:space="0" w:color="auto"/>
      </w:divBdr>
    </w:div>
    <w:div w:id="172032428">
      <w:bodyDiv w:val="1"/>
      <w:marLeft w:val="0"/>
      <w:marRight w:val="0"/>
      <w:marTop w:val="0"/>
      <w:marBottom w:val="0"/>
      <w:divBdr>
        <w:top w:val="none" w:sz="0" w:space="0" w:color="auto"/>
        <w:left w:val="none" w:sz="0" w:space="0" w:color="auto"/>
        <w:bottom w:val="none" w:sz="0" w:space="0" w:color="auto"/>
        <w:right w:val="none" w:sz="0" w:space="0" w:color="auto"/>
      </w:divBdr>
    </w:div>
    <w:div w:id="174076018">
      <w:bodyDiv w:val="1"/>
      <w:marLeft w:val="0"/>
      <w:marRight w:val="0"/>
      <w:marTop w:val="0"/>
      <w:marBottom w:val="0"/>
      <w:divBdr>
        <w:top w:val="none" w:sz="0" w:space="0" w:color="auto"/>
        <w:left w:val="none" w:sz="0" w:space="0" w:color="auto"/>
        <w:bottom w:val="none" w:sz="0" w:space="0" w:color="auto"/>
        <w:right w:val="none" w:sz="0" w:space="0" w:color="auto"/>
      </w:divBdr>
    </w:div>
    <w:div w:id="177164670">
      <w:bodyDiv w:val="1"/>
      <w:marLeft w:val="0"/>
      <w:marRight w:val="0"/>
      <w:marTop w:val="0"/>
      <w:marBottom w:val="0"/>
      <w:divBdr>
        <w:top w:val="none" w:sz="0" w:space="0" w:color="auto"/>
        <w:left w:val="none" w:sz="0" w:space="0" w:color="auto"/>
        <w:bottom w:val="none" w:sz="0" w:space="0" w:color="auto"/>
        <w:right w:val="none" w:sz="0" w:space="0" w:color="auto"/>
      </w:divBdr>
    </w:div>
    <w:div w:id="177700847">
      <w:bodyDiv w:val="1"/>
      <w:marLeft w:val="0"/>
      <w:marRight w:val="0"/>
      <w:marTop w:val="0"/>
      <w:marBottom w:val="0"/>
      <w:divBdr>
        <w:top w:val="none" w:sz="0" w:space="0" w:color="auto"/>
        <w:left w:val="none" w:sz="0" w:space="0" w:color="auto"/>
        <w:bottom w:val="none" w:sz="0" w:space="0" w:color="auto"/>
        <w:right w:val="none" w:sz="0" w:space="0" w:color="auto"/>
      </w:divBdr>
    </w:div>
    <w:div w:id="178277283">
      <w:bodyDiv w:val="1"/>
      <w:marLeft w:val="0"/>
      <w:marRight w:val="0"/>
      <w:marTop w:val="0"/>
      <w:marBottom w:val="0"/>
      <w:divBdr>
        <w:top w:val="none" w:sz="0" w:space="0" w:color="auto"/>
        <w:left w:val="none" w:sz="0" w:space="0" w:color="auto"/>
        <w:bottom w:val="none" w:sz="0" w:space="0" w:color="auto"/>
        <w:right w:val="none" w:sz="0" w:space="0" w:color="auto"/>
      </w:divBdr>
    </w:div>
    <w:div w:id="178396429">
      <w:bodyDiv w:val="1"/>
      <w:marLeft w:val="0"/>
      <w:marRight w:val="0"/>
      <w:marTop w:val="0"/>
      <w:marBottom w:val="0"/>
      <w:divBdr>
        <w:top w:val="none" w:sz="0" w:space="0" w:color="auto"/>
        <w:left w:val="none" w:sz="0" w:space="0" w:color="auto"/>
        <w:bottom w:val="none" w:sz="0" w:space="0" w:color="auto"/>
        <w:right w:val="none" w:sz="0" w:space="0" w:color="auto"/>
      </w:divBdr>
    </w:div>
    <w:div w:id="186875583">
      <w:bodyDiv w:val="1"/>
      <w:marLeft w:val="0"/>
      <w:marRight w:val="0"/>
      <w:marTop w:val="0"/>
      <w:marBottom w:val="0"/>
      <w:divBdr>
        <w:top w:val="none" w:sz="0" w:space="0" w:color="auto"/>
        <w:left w:val="none" w:sz="0" w:space="0" w:color="auto"/>
        <w:bottom w:val="none" w:sz="0" w:space="0" w:color="auto"/>
        <w:right w:val="none" w:sz="0" w:space="0" w:color="auto"/>
      </w:divBdr>
    </w:div>
    <w:div w:id="191695522">
      <w:bodyDiv w:val="1"/>
      <w:marLeft w:val="0"/>
      <w:marRight w:val="0"/>
      <w:marTop w:val="0"/>
      <w:marBottom w:val="0"/>
      <w:divBdr>
        <w:top w:val="none" w:sz="0" w:space="0" w:color="auto"/>
        <w:left w:val="none" w:sz="0" w:space="0" w:color="auto"/>
        <w:bottom w:val="none" w:sz="0" w:space="0" w:color="auto"/>
        <w:right w:val="none" w:sz="0" w:space="0" w:color="auto"/>
      </w:divBdr>
    </w:div>
    <w:div w:id="194972743">
      <w:bodyDiv w:val="1"/>
      <w:marLeft w:val="0"/>
      <w:marRight w:val="0"/>
      <w:marTop w:val="0"/>
      <w:marBottom w:val="0"/>
      <w:divBdr>
        <w:top w:val="none" w:sz="0" w:space="0" w:color="auto"/>
        <w:left w:val="none" w:sz="0" w:space="0" w:color="auto"/>
        <w:bottom w:val="none" w:sz="0" w:space="0" w:color="auto"/>
        <w:right w:val="none" w:sz="0" w:space="0" w:color="auto"/>
      </w:divBdr>
    </w:div>
    <w:div w:id="195822310">
      <w:bodyDiv w:val="1"/>
      <w:marLeft w:val="0"/>
      <w:marRight w:val="0"/>
      <w:marTop w:val="0"/>
      <w:marBottom w:val="0"/>
      <w:divBdr>
        <w:top w:val="none" w:sz="0" w:space="0" w:color="auto"/>
        <w:left w:val="none" w:sz="0" w:space="0" w:color="auto"/>
        <w:bottom w:val="none" w:sz="0" w:space="0" w:color="auto"/>
        <w:right w:val="none" w:sz="0" w:space="0" w:color="auto"/>
      </w:divBdr>
    </w:div>
    <w:div w:id="204103959">
      <w:bodyDiv w:val="1"/>
      <w:marLeft w:val="0"/>
      <w:marRight w:val="0"/>
      <w:marTop w:val="0"/>
      <w:marBottom w:val="0"/>
      <w:divBdr>
        <w:top w:val="none" w:sz="0" w:space="0" w:color="auto"/>
        <w:left w:val="none" w:sz="0" w:space="0" w:color="auto"/>
        <w:bottom w:val="none" w:sz="0" w:space="0" w:color="auto"/>
        <w:right w:val="none" w:sz="0" w:space="0" w:color="auto"/>
      </w:divBdr>
    </w:div>
    <w:div w:id="207497166">
      <w:bodyDiv w:val="1"/>
      <w:marLeft w:val="0"/>
      <w:marRight w:val="0"/>
      <w:marTop w:val="0"/>
      <w:marBottom w:val="0"/>
      <w:divBdr>
        <w:top w:val="none" w:sz="0" w:space="0" w:color="auto"/>
        <w:left w:val="none" w:sz="0" w:space="0" w:color="auto"/>
        <w:bottom w:val="none" w:sz="0" w:space="0" w:color="auto"/>
        <w:right w:val="none" w:sz="0" w:space="0" w:color="auto"/>
      </w:divBdr>
    </w:div>
    <w:div w:id="208734655">
      <w:bodyDiv w:val="1"/>
      <w:marLeft w:val="0"/>
      <w:marRight w:val="0"/>
      <w:marTop w:val="0"/>
      <w:marBottom w:val="0"/>
      <w:divBdr>
        <w:top w:val="none" w:sz="0" w:space="0" w:color="auto"/>
        <w:left w:val="none" w:sz="0" w:space="0" w:color="auto"/>
        <w:bottom w:val="none" w:sz="0" w:space="0" w:color="auto"/>
        <w:right w:val="none" w:sz="0" w:space="0" w:color="auto"/>
      </w:divBdr>
    </w:div>
    <w:div w:id="219561591">
      <w:bodyDiv w:val="1"/>
      <w:marLeft w:val="0"/>
      <w:marRight w:val="0"/>
      <w:marTop w:val="0"/>
      <w:marBottom w:val="0"/>
      <w:divBdr>
        <w:top w:val="none" w:sz="0" w:space="0" w:color="auto"/>
        <w:left w:val="none" w:sz="0" w:space="0" w:color="auto"/>
        <w:bottom w:val="none" w:sz="0" w:space="0" w:color="auto"/>
        <w:right w:val="none" w:sz="0" w:space="0" w:color="auto"/>
      </w:divBdr>
    </w:div>
    <w:div w:id="220485589">
      <w:bodyDiv w:val="1"/>
      <w:marLeft w:val="0"/>
      <w:marRight w:val="0"/>
      <w:marTop w:val="0"/>
      <w:marBottom w:val="0"/>
      <w:divBdr>
        <w:top w:val="none" w:sz="0" w:space="0" w:color="auto"/>
        <w:left w:val="none" w:sz="0" w:space="0" w:color="auto"/>
        <w:bottom w:val="none" w:sz="0" w:space="0" w:color="auto"/>
        <w:right w:val="none" w:sz="0" w:space="0" w:color="auto"/>
      </w:divBdr>
    </w:div>
    <w:div w:id="223175706">
      <w:bodyDiv w:val="1"/>
      <w:marLeft w:val="0"/>
      <w:marRight w:val="0"/>
      <w:marTop w:val="0"/>
      <w:marBottom w:val="0"/>
      <w:divBdr>
        <w:top w:val="none" w:sz="0" w:space="0" w:color="auto"/>
        <w:left w:val="none" w:sz="0" w:space="0" w:color="auto"/>
        <w:bottom w:val="none" w:sz="0" w:space="0" w:color="auto"/>
        <w:right w:val="none" w:sz="0" w:space="0" w:color="auto"/>
      </w:divBdr>
    </w:div>
    <w:div w:id="238251684">
      <w:bodyDiv w:val="1"/>
      <w:marLeft w:val="0"/>
      <w:marRight w:val="0"/>
      <w:marTop w:val="0"/>
      <w:marBottom w:val="0"/>
      <w:divBdr>
        <w:top w:val="none" w:sz="0" w:space="0" w:color="auto"/>
        <w:left w:val="none" w:sz="0" w:space="0" w:color="auto"/>
        <w:bottom w:val="none" w:sz="0" w:space="0" w:color="auto"/>
        <w:right w:val="none" w:sz="0" w:space="0" w:color="auto"/>
      </w:divBdr>
    </w:div>
    <w:div w:id="238559977">
      <w:bodyDiv w:val="1"/>
      <w:marLeft w:val="0"/>
      <w:marRight w:val="0"/>
      <w:marTop w:val="0"/>
      <w:marBottom w:val="0"/>
      <w:divBdr>
        <w:top w:val="none" w:sz="0" w:space="0" w:color="auto"/>
        <w:left w:val="none" w:sz="0" w:space="0" w:color="auto"/>
        <w:bottom w:val="none" w:sz="0" w:space="0" w:color="auto"/>
        <w:right w:val="none" w:sz="0" w:space="0" w:color="auto"/>
      </w:divBdr>
    </w:div>
    <w:div w:id="254705204">
      <w:bodyDiv w:val="1"/>
      <w:marLeft w:val="0"/>
      <w:marRight w:val="0"/>
      <w:marTop w:val="0"/>
      <w:marBottom w:val="0"/>
      <w:divBdr>
        <w:top w:val="none" w:sz="0" w:space="0" w:color="auto"/>
        <w:left w:val="none" w:sz="0" w:space="0" w:color="auto"/>
        <w:bottom w:val="none" w:sz="0" w:space="0" w:color="auto"/>
        <w:right w:val="none" w:sz="0" w:space="0" w:color="auto"/>
      </w:divBdr>
    </w:div>
    <w:div w:id="265163376">
      <w:bodyDiv w:val="1"/>
      <w:marLeft w:val="0"/>
      <w:marRight w:val="0"/>
      <w:marTop w:val="0"/>
      <w:marBottom w:val="0"/>
      <w:divBdr>
        <w:top w:val="none" w:sz="0" w:space="0" w:color="auto"/>
        <w:left w:val="none" w:sz="0" w:space="0" w:color="auto"/>
        <w:bottom w:val="none" w:sz="0" w:space="0" w:color="auto"/>
        <w:right w:val="none" w:sz="0" w:space="0" w:color="auto"/>
      </w:divBdr>
    </w:div>
    <w:div w:id="280192678">
      <w:bodyDiv w:val="1"/>
      <w:marLeft w:val="0"/>
      <w:marRight w:val="0"/>
      <w:marTop w:val="0"/>
      <w:marBottom w:val="0"/>
      <w:divBdr>
        <w:top w:val="none" w:sz="0" w:space="0" w:color="auto"/>
        <w:left w:val="none" w:sz="0" w:space="0" w:color="auto"/>
        <w:bottom w:val="none" w:sz="0" w:space="0" w:color="auto"/>
        <w:right w:val="none" w:sz="0" w:space="0" w:color="auto"/>
      </w:divBdr>
    </w:div>
    <w:div w:id="286398046">
      <w:bodyDiv w:val="1"/>
      <w:marLeft w:val="0"/>
      <w:marRight w:val="0"/>
      <w:marTop w:val="0"/>
      <w:marBottom w:val="0"/>
      <w:divBdr>
        <w:top w:val="none" w:sz="0" w:space="0" w:color="auto"/>
        <w:left w:val="none" w:sz="0" w:space="0" w:color="auto"/>
        <w:bottom w:val="none" w:sz="0" w:space="0" w:color="auto"/>
        <w:right w:val="none" w:sz="0" w:space="0" w:color="auto"/>
      </w:divBdr>
    </w:div>
    <w:div w:id="289167042">
      <w:bodyDiv w:val="1"/>
      <w:marLeft w:val="0"/>
      <w:marRight w:val="0"/>
      <w:marTop w:val="0"/>
      <w:marBottom w:val="0"/>
      <w:divBdr>
        <w:top w:val="none" w:sz="0" w:space="0" w:color="auto"/>
        <w:left w:val="none" w:sz="0" w:space="0" w:color="auto"/>
        <w:bottom w:val="none" w:sz="0" w:space="0" w:color="auto"/>
        <w:right w:val="none" w:sz="0" w:space="0" w:color="auto"/>
      </w:divBdr>
    </w:div>
    <w:div w:id="290869632">
      <w:bodyDiv w:val="1"/>
      <w:marLeft w:val="0"/>
      <w:marRight w:val="0"/>
      <w:marTop w:val="0"/>
      <w:marBottom w:val="0"/>
      <w:divBdr>
        <w:top w:val="none" w:sz="0" w:space="0" w:color="auto"/>
        <w:left w:val="none" w:sz="0" w:space="0" w:color="auto"/>
        <w:bottom w:val="none" w:sz="0" w:space="0" w:color="auto"/>
        <w:right w:val="none" w:sz="0" w:space="0" w:color="auto"/>
      </w:divBdr>
    </w:div>
    <w:div w:id="297297921">
      <w:bodyDiv w:val="1"/>
      <w:marLeft w:val="0"/>
      <w:marRight w:val="0"/>
      <w:marTop w:val="0"/>
      <w:marBottom w:val="0"/>
      <w:divBdr>
        <w:top w:val="none" w:sz="0" w:space="0" w:color="auto"/>
        <w:left w:val="none" w:sz="0" w:space="0" w:color="auto"/>
        <w:bottom w:val="none" w:sz="0" w:space="0" w:color="auto"/>
        <w:right w:val="none" w:sz="0" w:space="0" w:color="auto"/>
      </w:divBdr>
    </w:div>
    <w:div w:id="299965316">
      <w:bodyDiv w:val="1"/>
      <w:marLeft w:val="0"/>
      <w:marRight w:val="0"/>
      <w:marTop w:val="0"/>
      <w:marBottom w:val="0"/>
      <w:divBdr>
        <w:top w:val="none" w:sz="0" w:space="0" w:color="auto"/>
        <w:left w:val="none" w:sz="0" w:space="0" w:color="auto"/>
        <w:bottom w:val="none" w:sz="0" w:space="0" w:color="auto"/>
        <w:right w:val="none" w:sz="0" w:space="0" w:color="auto"/>
      </w:divBdr>
    </w:div>
    <w:div w:id="300621001">
      <w:bodyDiv w:val="1"/>
      <w:marLeft w:val="0"/>
      <w:marRight w:val="0"/>
      <w:marTop w:val="0"/>
      <w:marBottom w:val="0"/>
      <w:divBdr>
        <w:top w:val="none" w:sz="0" w:space="0" w:color="auto"/>
        <w:left w:val="none" w:sz="0" w:space="0" w:color="auto"/>
        <w:bottom w:val="none" w:sz="0" w:space="0" w:color="auto"/>
        <w:right w:val="none" w:sz="0" w:space="0" w:color="auto"/>
      </w:divBdr>
    </w:div>
    <w:div w:id="305360048">
      <w:bodyDiv w:val="1"/>
      <w:marLeft w:val="0"/>
      <w:marRight w:val="0"/>
      <w:marTop w:val="0"/>
      <w:marBottom w:val="0"/>
      <w:divBdr>
        <w:top w:val="none" w:sz="0" w:space="0" w:color="auto"/>
        <w:left w:val="none" w:sz="0" w:space="0" w:color="auto"/>
        <w:bottom w:val="none" w:sz="0" w:space="0" w:color="auto"/>
        <w:right w:val="none" w:sz="0" w:space="0" w:color="auto"/>
      </w:divBdr>
    </w:div>
    <w:div w:id="305553663">
      <w:bodyDiv w:val="1"/>
      <w:marLeft w:val="0"/>
      <w:marRight w:val="0"/>
      <w:marTop w:val="0"/>
      <w:marBottom w:val="0"/>
      <w:divBdr>
        <w:top w:val="none" w:sz="0" w:space="0" w:color="auto"/>
        <w:left w:val="none" w:sz="0" w:space="0" w:color="auto"/>
        <w:bottom w:val="none" w:sz="0" w:space="0" w:color="auto"/>
        <w:right w:val="none" w:sz="0" w:space="0" w:color="auto"/>
      </w:divBdr>
    </w:div>
    <w:div w:id="305741132">
      <w:bodyDiv w:val="1"/>
      <w:marLeft w:val="0"/>
      <w:marRight w:val="0"/>
      <w:marTop w:val="0"/>
      <w:marBottom w:val="0"/>
      <w:divBdr>
        <w:top w:val="none" w:sz="0" w:space="0" w:color="auto"/>
        <w:left w:val="none" w:sz="0" w:space="0" w:color="auto"/>
        <w:bottom w:val="none" w:sz="0" w:space="0" w:color="auto"/>
        <w:right w:val="none" w:sz="0" w:space="0" w:color="auto"/>
      </w:divBdr>
    </w:div>
    <w:div w:id="312024884">
      <w:bodyDiv w:val="1"/>
      <w:marLeft w:val="0"/>
      <w:marRight w:val="0"/>
      <w:marTop w:val="0"/>
      <w:marBottom w:val="0"/>
      <w:divBdr>
        <w:top w:val="none" w:sz="0" w:space="0" w:color="auto"/>
        <w:left w:val="none" w:sz="0" w:space="0" w:color="auto"/>
        <w:bottom w:val="none" w:sz="0" w:space="0" w:color="auto"/>
        <w:right w:val="none" w:sz="0" w:space="0" w:color="auto"/>
      </w:divBdr>
    </w:div>
    <w:div w:id="313216025">
      <w:bodyDiv w:val="1"/>
      <w:marLeft w:val="0"/>
      <w:marRight w:val="0"/>
      <w:marTop w:val="0"/>
      <w:marBottom w:val="0"/>
      <w:divBdr>
        <w:top w:val="none" w:sz="0" w:space="0" w:color="auto"/>
        <w:left w:val="none" w:sz="0" w:space="0" w:color="auto"/>
        <w:bottom w:val="none" w:sz="0" w:space="0" w:color="auto"/>
        <w:right w:val="none" w:sz="0" w:space="0" w:color="auto"/>
      </w:divBdr>
    </w:div>
    <w:div w:id="315233565">
      <w:bodyDiv w:val="1"/>
      <w:marLeft w:val="0"/>
      <w:marRight w:val="0"/>
      <w:marTop w:val="0"/>
      <w:marBottom w:val="0"/>
      <w:divBdr>
        <w:top w:val="none" w:sz="0" w:space="0" w:color="auto"/>
        <w:left w:val="none" w:sz="0" w:space="0" w:color="auto"/>
        <w:bottom w:val="none" w:sz="0" w:space="0" w:color="auto"/>
        <w:right w:val="none" w:sz="0" w:space="0" w:color="auto"/>
      </w:divBdr>
    </w:div>
    <w:div w:id="316880411">
      <w:bodyDiv w:val="1"/>
      <w:marLeft w:val="0"/>
      <w:marRight w:val="0"/>
      <w:marTop w:val="0"/>
      <w:marBottom w:val="0"/>
      <w:divBdr>
        <w:top w:val="none" w:sz="0" w:space="0" w:color="auto"/>
        <w:left w:val="none" w:sz="0" w:space="0" w:color="auto"/>
        <w:bottom w:val="none" w:sz="0" w:space="0" w:color="auto"/>
        <w:right w:val="none" w:sz="0" w:space="0" w:color="auto"/>
      </w:divBdr>
    </w:div>
    <w:div w:id="317920574">
      <w:bodyDiv w:val="1"/>
      <w:marLeft w:val="0"/>
      <w:marRight w:val="0"/>
      <w:marTop w:val="0"/>
      <w:marBottom w:val="0"/>
      <w:divBdr>
        <w:top w:val="none" w:sz="0" w:space="0" w:color="auto"/>
        <w:left w:val="none" w:sz="0" w:space="0" w:color="auto"/>
        <w:bottom w:val="none" w:sz="0" w:space="0" w:color="auto"/>
        <w:right w:val="none" w:sz="0" w:space="0" w:color="auto"/>
      </w:divBdr>
    </w:div>
    <w:div w:id="319119216">
      <w:bodyDiv w:val="1"/>
      <w:marLeft w:val="0"/>
      <w:marRight w:val="0"/>
      <w:marTop w:val="0"/>
      <w:marBottom w:val="0"/>
      <w:divBdr>
        <w:top w:val="none" w:sz="0" w:space="0" w:color="auto"/>
        <w:left w:val="none" w:sz="0" w:space="0" w:color="auto"/>
        <w:bottom w:val="none" w:sz="0" w:space="0" w:color="auto"/>
        <w:right w:val="none" w:sz="0" w:space="0" w:color="auto"/>
      </w:divBdr>
    </w:div>
    <w:div w:id="322010433">
      <w:bodyDiv w:val="1"/>
      <w:marLeft w:val="0"/>
      <w:marRight w:val="0"/>
      <w:marTop w:val="0"/>
      <w:marBottom w:val="0"/>
      <w:divBdr>
        <w:top w:val="none" w:sz="0" w:space="0" w:color="auto"/>
        <w:left w:val="none" w:sz="0" w:space="0" w:color="auto"/>
        <w:bottom w:val="none" w:sz="0" w:space="0" w:color="auto"/>
        <w:right w:val="none" w:sz="0" w:space="0" w:color="auto"/>
      </w:divBdr>
    </w:div>
    <w:div w:id="327681915">
      <w:bodyDiv w:val="1"/>
      <w:marLeft w:val="0"/>
      <w:marRight w:val="0"/>
      <w:marTop w:val="0"/>
      <w:marBottom w:val="0"/>
      <w:divBdr>
        <w:top w:val="none" w:sz="0" w:space="0" w:color="auto"/>
        <w:left w:val="none" w:sz="0" w:space="0" w:color="auto"/>
        <w:bottom w:val="none" w:sz="0" w:space="0" w:color="auto"/>
        <w:right w:val="none" w:sz="0" w:space="0" w:color="auto"/>
      </w:divBdr>
    </w:div>
    <w:div w:id="336008458">
      <w:bodyDiv w:val="1"/>
      <w:marLeft w:val="0"/>
      <w:marRight w:val="0"/>
      <w:marTop w:val="0"/>
      <w:marBottom w:val="0"/>
      <w:divBdr>
        <w:top w:val="none" w:sz="0" w:space="0" w:color="auto"/>
        <w:left w:val="none" w:sz="0" w:space="0" w:color="auto"/>
        <w:bottom w:val="none" w:sz="0" w:space="0" w:color="auto"/>
        <w:right w:val="none" w:sz="0" w:space="0" w:color="auto"/>
      </w:divBdr>
      <w:divsChild>
        <w:div w:id="56516226">
          <w:marLeft w:val="274"/>
          <w:marRight w:val="0"/>
          <w:marTop w:val="0"/>
          <w:marBottom w:val="0"/>
          <w:divBdr>
            <w:top w:val="none" w:sz="0" w:space="0" w:color="auto"/>
            <w:left w:val="none" w:sz="0" w:space="0" w:color="auto"/>
            <w:bottom w:val="none" w:sz="0" w:space="0" w:color="auto"/>
            <w:right w:val="none" w:sz="0" w:space="0" w:color="auto"/>
          </w:divBdr>
        </w:div>
        <w:div w:id="202906193">
          <w:marLeft w:val="274"/>
          <w:marRight w:val="0"/>
          <w:marTop w:val="0"/>
          <w:marBottom w:val="0"/>
          <w:divBdr>
            <w:top w:val="none" w:sz="0" w:space="0" w:color="auto"/>
            <w:left w:val="none" w:sz="0" w:space="0" w:color="auto"/>
            <w:bottom w:val="none" w:sz="0" w:space="0" w:color="auto"/>
            <w:right w:val="none" w:sz="0" w:space="0" w:color="auto"/>
          </w:divBdr>
        </w:div>
      </w:divsChild>
    </w:div>
    <w:div w:id="336225721">
      <w:bodyDiv w:val="1"/>
      <w:marLeft w:val="0"/>
      <w:marRight w:val="0"/>
      <w:marTop w:val="0"/>
      <w:marBottom w:val="0"/>
      <w:divBdr>
        <w:top w:val="none" w:sz="0" w:space="0" w:color="auto"/>
        <w:left w:val="none" w:sz="0" w:space="0" w:color="auto"/>
        <w:bottom w:val="none" w:sz="0" w:space="0" w:color="auto"/>
        <w:right w:val="none" w:sz="0" w:space="0" w:color="auto"/>
      </w:divBdr>
    </w:div>
    <w:div w:id="351498610">
      <w:bodyDiv w:val="1"/>
      <w:marLeft w:val="0"/>
      <w:marRight w:val="0"/>
      <w:marTop w:val="0"/>
      <w:marBottom w:val="0"/>
      <w:divBdr>
        <w:top w:val="none" w:sz="0" w:space="0" w:color="auto"/>
        <w:left w:val="none" w:sz="0" w:space="0" w:color="auto"/>
        <w:bottom w:val="none" w:sz="0" w:space="0" w:color="auto"/>
        <w:right w:val="none" w:sz="0" w:space="0" w:color="auto"/>
      </w:divBdr>
    </w:div>
    <w:div w:id="363674467">
      <w:bodyDiv w:val="1"/>
      <w:marLeft w:val="0"/>
      <w:marRight w:val="0"/>
      <w:marTop w:val="0"/>
      <w:marBottom w:val="0"/>
      <w:divBdr>
        <w:top w:val="none" w:sz="0" w:space="0" w:color="auto"/>
        <w:left w:val="none" w:sz="0" w:space="0" w:color="auto"/>
        <w:bottom w:val="none" w:sz="0" w:space="0" w:color="auto"/>
        <w:right w:val="none" w:sz="0" w:space="0" w:color="auto"/>
      </w:divBdr>
    </w:div>
    <w:div w:id="364718106">
      <w:bodyDiv w:val="1"/>
      <w:marLeft w:val="0"/>
      <w:marRight w:val="0"/>
      <w:marTop w:val="0"/>
      <w:marBottom w:val="0"/>
      <w:divBdr>
        <w:top w:val="none" w:sz="0" w:space="0" w:color="auto"/>
        <w:left w:val="none" w:sz="0" w:space="0" w:color="auto"/>
        <w:bottom w:val="none" w:sz="0" w:space="0" w:color="auto"/>
        <w:right w:val="none" w:sz="0" w:space="0" w:color="auto"/>
      </w:divBdr>
    </w:div>
    <w:div w:id="364908029">
      <w:bodyDiv w:val="1"/>
      <w:marLeft w:val="0"/>
      <w:marRight w:val="0"/>
      <w:marTop w:val="0"/>
      <w:marBottom w:val="0"/>
      <w:divBdr>
        <w:top w:val="none" w:sz="0" w:space="0" w:color="auto"/>
        <w:left w:val="none" w:sz="0" w:space="0" w:color="auto"/>
        <w:bottom w:val="none" w:sz="0" w:space="0" w:color="auto"/>
        <w:right w:val="none" w:sz="0" w:space="0" w:color="auto"/>
      </w:divBdr>
    </w:div>
    <w:div w:id="369692756">
      <w:bodyDiv w:val="1"/>
      <w:marLeft w:val="0"/>
      <w:marRight w:val="0"/>
      <w:marTop w:val="0"/>
      <w:marBottom w:val="0"/>
      <w:divBdr>
        <w:top w:val="none" w:sz="0" w:space="0" w:color="auto"/>
        <w:left w:val="none" w:sz="0" w:space="0" w:color="auto"/>
        <w:bottom w:val="none" w:sz="0" w:space="0" w:color="auto"/>
        <w:right w:val="none" w:sz="0" w:space="0" w:color="auto"/>
      </w:divBdr>
    </w:div>
    <w:div w:id="369694688">
      <w:bodyDiv w:val="1"/>
      <w:marLeft w:val="0"/>
      <w:marRight w:val="0"/>
      <w:marTop w:val="0"/>
      <w:marBottom w:val="0"/>
      <w:divBdr>
        <w:top w:val="none" w:sz="0" w:space="0" w:color="auto"/>
        <w:left w:val="none" w:sz="0" w:space="0" w:color="auto"/>
        <w:bottom w:val="none" w:sz="0" w:space="0" w:color="auto"/>
        <w:right w:val="none" w:sz="0" w:space="0" w:color="auto"/>
      </w:divBdr>
    </w:div>
    <w:div w:id="385884418">
      <w:bodyDiv w:val="1"/>
      <w:marLeft w:val="0"/>
      <w:marRight w:val="0"/>
      <w:marTop w:val="0"/>
      <w:marBottom w:val="0"/>
      <w:divBdr>
        <w:top w:val="none" w:sz="0" w:space="0" w:color="auto"/>
        <w:left w:val="none" w:sz="0" w:space="0" w:color="auto"/>
        <w:bottom w:val="none" w:sz="0" w:space="0" w:color="auto"/>
        <w:right w:val="none" w:sz="0" w:space="0" w:color="auto"/>
      </w:divBdr>
    </w:div>
    <w:div w:id="392848715">
      <w:bodyDiv w:val="1"/>
      <w:marLeft w:val="0"/>
      <w:marRight w:val="0"/>
      <w:marTop w:val="0"/>
      <w:marBottom w:val="0"/>
      <w:divBdr>
        <w:top w:val="none" w:sz="0" w:space="0" w:color="auto"/>
        <w:left w:val="none" w:sz="0" w:space="0" w:color="auto"/>
        <w:bottom w:val="none" w:sz="0" w:space="0" w:color="auto"/>
        <w:right w:val="none" w:sz="0" w:space="0" w:color="auto"/>
      </w:divBdr>
    </w:div>
    <w:div w:id="393090197">
      <w:bodyDiv w:val="1"/>
      <w:marLeft w:val="0"/>
      <w:marRight w:val="0"/>
      <w:marTop w:val="0"/>
      <w:marBottom w:val="0"/>
      <w:divBdr>
        <w:top w:val="none" w:sz="0" w:space="0" w:color="auto"/>
        <w:left w:val="none" w:sz="0" w:space="0" w:color="auto"/>
        <w:bottom w:val="none" w:sz="0" w:space="0" w:color="auto"/>
        <w:right w:val="none" w:sz="0" w:space="0" w:color="auto"/>
      </w:divBdr>
      <w:divsChild>
        <w:div w:id="1785541382">
          <w:marLeft w:val="0"/>
          <w:marRight w:val="0"/>
          <w:marTop w:val="0"/>
          <w:marBottom w:val="0"/>
          <w:divBdr>
            <w:top w:val="none" w:sz="0" w:space="0" w:color="auto"/>
            <w:left w:val="none" w:sz="0" w:space="0" w:color="auto"/>
            <w:bottom w:val="none" w:sz="0" w:space="0" w:color="auto"/>
            <w:right w:val="none" w:sz="0" w:space="0" w:color="auto"/>
          </w:divBdr>
          <w:divsChild>
            <w:div w:id="3311080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96322594">
      <w:bodyDiv w:val="1"/>
      <w:marLeft w:val="0"/>
      <w:marRight w:val="0"/>
      <w:marTop w:val="0"/>
      <w:marBottom w:val="0"/>
      <w:divBdr>
        <w:top w:val="none" w:sz="0" w:space="0" w:color="auto"/>
        <w:left w:val="none" w:sz="0" w:space="0" w:color="auto"/>
        <w:bottom w:val="none" w:sz="0" w:space="0" w:color="auto"/>
        <w:right w:val="none" w:sz="0" w:space="0" w:color="auto"/>
      </w:divBdr>
    </w:div>
    <w:div w:id="396974298">
      <w:bodyDiv w:val="1"/>
      <w:marLeft w:val="0"/>
      <w:marRight w:val="0"/>
      <w:marTop w:val="0"/>
      <w:marBottom w:val="0"/>
      <w:divBdr>
        <w:top w:val="none" w:sz="0" w:space="0" w:color="auto"/>
        <w:left w:val="none" w:sz="0" w:space="0" w:color="auto"/>
        <w:bottom w:val="none" w:sz="0" w:space="0" w:color="auto"/>
        <w:right w:val="none" w:sz="0" w:space="0" w:color="auto"/>
      </w:divBdr>
    </w:div>
    <w:div w:id="397284637">
      <w:bodyDiv w:val="1"/>
      <w:marLeft w:val="0"/>
      <w:marRight w:val="0"/>
      <w:marTop w:val="0"/>
      <w:marBottom w:val="0"/>
      <w:divBdr>
        <w:top w:val="none" w:sz="0" w:space="0" w:color="auto"/>
        <w:left w:val="none" w:sz="0" w:space="0" w:color="auto"/>
        <w:bottom w:val="none" w:sz="0" w:space="0" w:color="auto"/>
        <w:right w:val="none" w:sz="0" w:space="0" w:color="auto"/>
      </w:divBdr>
    </w:div>
    <w:div w:id="398409899">
      <w:bodyDiv w:val="1"/>
      <w:marLeft w:val="0"/>
      <w:marRight w:val="0"/>
      <w:marTop w:val="0"/>
      <w:marBottom w:val="0"/>
      <w:divBdr>
        <w:top w:val="none" w:sz="0" w:space="0" w:color="auto"/>
        <w:left w:val="none" w:sz="0" w:space="0" w:color="auto"/>
        <w:bottom w:val="none" w:sz="0" w:space="0" w:color="auto"/>
        <w:right w:val="none" w:sz="0" w:space="0" w:color="auto"/>
      </w:divBdr>
    </w:div>
    <w:div w:id="403111951">
      <w:bodyDiv w:val="1"/>
      <w:marLeft w:val="0"/>
      <w:marRight w:val="0"/>
      <w:marTop w:val="0"/>
      <w:marBottom w:val="0"/>
      <w:divBdr>
        <w:top w:val="none" w:sz="0" w:space="0" w:color="auto"/>
        <w:left w:val="none" w:sz="0" w:space="0" w:color="auto"/>
        <w:bottom w:val="none" w:sz="0" w:space="0" w:color="auto"/>
        <w:right w:val="none" w:sz="0" w:space="0" w:color="auto"/>
      </w:divBdr>
    </w:div>
    <w:div w:id="403340519">
      <w:bodyDiv w:val="1"/>
      <w:marLeft w:val="0"/>
      <w:marRight w:val="0"/>
      <w:marTop w:val="0"/>
      <w:marBottom w:val="0"/>
      <w:divBdr>
        <w:top w:val="none" w:sz="0" w:space="0" w:color="auto"/>
        <w:left w:val="none" w:sz="0" w:space="0" w:color="auto"/>
        <w:bottom w:val="none" w:sz="0" w:space="0" w:color="auto"/>
        <w:right w:val="none" w:sz="0" w:space="0" w:color="auto"/>
      </w:divBdr>
    </w:div>
    <w:div w:id="408625385">
      <w:bodyDiv w:val="1"/>
      <w:marLeft w:val="0"/>
      <w:marRight w:val="0"/>
      <w:marTop w:val="0"/>
      <w:marBottom w:val="0"/>
      <w:divBdr>
        <w:top w:val="none" w:sz="0" w:space="0" w:color="auto"/>
        <w:left w:val="none" w:sz="0" w:space="0" w:color="auto"/>
        <w:bottom w:val="none" w:sz="0" w:space="0" w:color="auto"/>
        <w:right w:val="none" w:sz="0" w:space="0" w:color="auto"/>
      </w:divBdr>
    </w:div>
    <w:div w:id="421993472">
      <w:bodyDiv w:val="1"/>
      <w:marLeft w:val="0"/>
      <w:marRight w:val="0"/>
      <w:marTop w:val="0"/>
      <w:marBottom w:val="0"/>
      <w:divBdr>
        <w:top w:val="none" w:sz="0" w:space="0" w:color="auto"/>
        <w:left w:val="none" w:sz="0" w:space="0" w:color="auto"/>
        <w:bottom w:val="none" w:sz="0" w:space="0" w:color="auto"/>
        <w:right w:val="none" w:sz="0" w:space="0" w:color="auto"/>
      </w:divBdr>
    </w:div>
    <w:div w:id="426780279">
      <w:bodyDiv w:val="1"/>
      <w:marLeft w:val="0"/>
      <w:marRight w:val="0"/>
      <w:marTop w:val="0"/>
      <w:marBottom w:val="0"/>
      <w:divBdr>
        <w:top w:val="none" w:sz="0" w:space="0" w:color="auto"/>
        <w:left w:val="none" w:sz="0" w:space="0" w:color="auto"/>
        <w:bottom w:val="none" w:sz="0" w:space="0" w:color="auto"/>
        <w:right w:val="none" w:sz="0" w:space="0" w:color="auto"/>
      </w:divBdr>
    </w:div>
    <w:div w:id="436172524">
      <w:bodyDiv w:val="1"/>
      <w:marLeft w:val="0"/>
      <w:marRight w:val="0"/>
      <w:marTop w:val="0"/>
      <w:marBottom w:val="0"/>
      <w:divBdr>
        <w:top w:val="none" w:sz="0" w:space="0" w:color="auto"/>
        <w:left w:val="none" w:sz="0" w:space="0" w:color="auto"/>
        <w:bottom w:val="none" w:sz="0" w:space="0" w:color="auto"/>
        <w:right w:val="none" w:sz="0" w:space="0" w:color="auto"/>
      </w:divBdr>
    </w:div>
    <w:div w:id="436872176">
      <w:bodyDiv w:val="1"/>
      <w:marLeft w:val="0"/>
      <w:marRight w:val="0"/>
      <w:marTop w:val="0"/>
      <w:marBottom w:val="0"/>
      <w:divBdr>
        <w:top w:val="none" w:sz="0" w:space="0" w:color="auto"/>
        <w:left w:val="none" w:sz="0" w:space="0" w:color="auto"/>
        <w:bottom w:val="none" w:sz="0" w:space="0" w:color="auto"/>
        <w:right w:val="none" w:sz="0" w:space="0" w:color="auto"/>
      </w:divBdr>
    </w:div>
    <w:div w:id="437261062">
      <w:bodyDiv w:val="1"/>
      <w:marLeft w:val="0"/>
      <w:marRight w:val="0"/>
      <w:marTop w:val="0"/>
      <w:marBottom w:val="0"/>
      <w:divBdr>
        <w:top w:val="none" w:sz="0" w:space="0" w:color="auto"/>
        <w:left w:val="none" w:sz="0" w:space="0" w:color="auto"/>
        <w:bottom w:val="none" w:sz="0" w:space="0" w:color="auto"/>
        <w:right w:val="none" w:sz="0" w:space="0" w:color="auto"/>
      </w:divBdr>
    </w:div>
    <w:div w:id="442266781">
      <w:bodyDiv w:val="1"/>
      <w:marLeft w:val="0"/>
      <w:marRight w:val="0"/>
      <w:marTop w:val="0"/>
      <w:marBottom w:val="0"/>
      <w:divBdr>
        <w:top w:val="none" w:sz="0" w:space="0" w:color="auto"/>
        <w:left w:val="none" w:sz="0" w:space="0" w:color="auto"/>
        <w:bottom w:val="none" w:sz="0" w:space="0" w:color="auto"/>
        <w:right w:val="none" w:sz="0" w:space="0" w:color="auto"/>
      </w:divBdr>
    </w:div>
    <w:div w:id="449250454">
      <w:bodyDiv w:val="1"/>
      <w:marLeft w:val="0"/>
      <w:marRight w:val="0"/>
      <w:marTop w:val="0"/>
      <w:marBottom w:val="0"/>
      <w:divBdr>
        <w:top w:val="none" w:sz="0" w:space="0" w:color="auto"/>
        <w:left w:val="none" w:sz="0" w:space="0" w:color="auto"/>
        <w:bottom w:val="none" w:sz="0" w:space="0" w:color="auto"/>
        <w:right w:val="none" w:sz="0" w:space="0" w:color="auto"/>
      </w:divBdr>
    </w:div>
    <w:div w:id="453864354">
      <w:bodyDiv w:val="1"/>
      <w:marLeft w:val="0"/>
      <w:marRight w:val="0"/>
      <w:marTop w:val="0"/>
      <w:marBottom w:val="0"/>
      <w:divBdr>
        <w:top w:val="none" w:sz="0" w:space="0" w:color="auto"/>
        <w:left w:val="none" w:sz="0" w:space="0" w:color="auto"/>
        <w:bottom w:val="none" w:sz="0" w:space="0" w:color="auto"/>
        <w:right w:val="none" w:sz="0" w:space="0" w:color="auto"/>
      </w:divBdr>
    </w:div>
    <w:div w:id="459298821">
      <w:bodyDiv w:val="1"/>
      <w:marLeft w:val="0"/>
      <w:marRight w:val="0"/>
      <w:marTop w:val="0"/>
      <w:marBottom w:val="0"/>
      <w:divBdr>
        <w:top w:val="none" w:sz="0" w:space="0" w:color="auto"/>
        <w:left w:val="none" w:sz="0" w:space="0" w:color="auto"/>
        <w:bottom w:val="none" w:sz="0" w:space="0" w:color="auto"/>
        <w:right w:val="none" w:sz="0" w:space="0" w:color="auto"/>
      </w:divBdr>
    </w:div>
    <w:div w:id="464323348">
      <w:bodyDiv w:val="1"/>
      <w:marLeft w:val="0"/>
      <w:marRight w:val="0"/>
      <w:marTop w:val="0"/>
      <w:marBottom w:val="0"/>
      <w:divBdr>
        <w:top w:val="none" w:sz="0" w:space="0" w:color="auto"/>
        <w:left w:val="none" w:sz="0" w:space="0" w:color="auto"/>
        <w:bottom w:val="none" w:sz="0" w:space="0" w:color="auto"/>
        <w:right w:val="none" w:sz="0" w:space="0" w:color="auto"/>
      </w:divBdr>
    </w:div>
    <w:div w:id="464785406">
      <w:bodyDiv w:val="1"/>
      <w:marLeft w:val="0"/>
      <w:marRight w:val="0"/>
      <w:marTop w:val="0"/>
      <w:marBottom w:val="0"/>
      <w:divBdr>
        <w:top w:val="none" w:sz="0" w:space="0" w:color="auto"/>
        <w:left w:val="none" w:sz="0" w:space="0" w:color="auto"/>
        <w:bottom w:val="none" w:sz="0" w:space="0" w:color="auto"/>
        <w:right w:val="none" w:sz="0" w:space="0" w:color="auto"/>
      </w:divBdr>
    </w:div>
    <w:div w:id="470904813">
      <w:bodyDiv w:val="1"/>
      <w:marLeft w:val="0"/>
      <w:marRight w:val="0"/>
      <w:marTop w:val="0"/>
      <w:marBottom w:val="0"/>
      <w:divBdr>
        <w:top w:val="none" w:sz="0" w:space="0" w:color="auto"/>
        <w:left w:val="none" w:sz="0" w:space="0" w:color="auto"/>
        <w:bottom w:val="none" w:sz="0" w:space="0" w:color="auto"/>
        <w:right w:val="none" w:sz="0" w:space="0" w:color="auto"/>
      </w:divBdr>
    </w:div>
    <w:div w:id="472531215">
      <w:bodyDiv w:val="1"/>
      <w:marLeft w:val="0"/>
      <w:marRight w:val="0"/>
      <w:marTop w:val="0"/>
      <w:marBottom w:val="0"/>
      <w:divBdr>
        <w:top w:val="none" w:sz="0" w:space="0" w:color="auto"/>
        <w:left w:val="none" w:sz="0" w:space="0" w:color="auto"/>
        <w:bottom w:val="none" w:sz="0" w:space="0" w:color="auto"/>
        <w:right w:val="none" w:sz="0" w:space="0" w:color="auto"/>
      </w:divBdr>
    </w:div>
    <w:div w:id="475495738">
      <w:bodyDiv w:val="1"/>
      <w:marLeft w:val="0"/>
      <w:marRight w:val="0"/>
      <w:marTop w:val="0"/>
      <w:marBottom w:val="0"/>
      <w:divBdr>
        <w:top w:val="none" w:sz="0" w:space="0" w:color="auto"/>
        <w:left w:val="none" w:sz="0" w:space="0" w:color="auto"/>
        <w:bottom w:val="none" w:sz="0" w:space="0" w:color="auto"/>
        <w:right w:val="none" w:sz="0" w:space="0" w:color="auto"/>
      </w:divBdr>
    </w:div>
    <w:div w:id="478152656">
      <w:bodyDiv w:val="1"/>
      <w:marLeft w:val="0"/>
      <w:marRight w:val="0"/>
      <w:marTop w:val="0"/>
      <w:marBottom w:val="0"/>
      <w:divBdr>
        <w:top w:val="none" w:sz="0" w:space="0" w:color="auto"/>
        <w:left w:val="none" w:sz="0" w:space="0" w:color="auto"/>
        <w:bottom w:val="none" w:sz="0" w:space="0" w:color="auto"/>
        <w:right w:val="none" w:sz="0" w:space="0" w:color="auto"/>
      </w:divBdr>
    </w:div>
    <w:div w:id="483088651">
      <w:bodyDiv w:val="1"/>
      <w:marLeft w:val="0"/>
      <w:marRight w:val="0"/>
      <w:marTop w:val="0"/>
      <w:marBottom w:val="0"/>
      <w:divBdr>
        <w:top w:val="none" w:sz="0" w:space="0" w:color="auto"/>
        <w:left w:val="none" w:sz="0" w:space="0" w:color="auto"/>
        <w:bottom w:val="none" w:sz="0" w:space="0" w:color="auto"/>
        <w:right w:val="none" w:sz="0" w:space="0" w:color="auto"/>
      </w:divBdr>
    </w:div>
    <w:div w:id="485897652">
      <w:bodyDiv w:val="1"/>
      <w:marLeft w:val="0"/>
      <w:marRight w:val="0"/>
      <w:marTop w:val="0"/>
      <w:marBottom w:val="0"/>
      <w:divBdr>
        <w:top w:val="none" w:sz="0" w:space="0" w:color="auto"/>
        <w:left w:val="none" w:sz="0" w:space="0" w:color="auto"/>
        <w:bottom w:val="none" w:sz="0" w:space="0" w:color="auto"/>
        <w:right w:val="none" w:sz="0" w:space="0" w:color="auto"/>
      </w:divBdr>
    </w:div>
    <w:div w:id="488903354">
      <w:bodyDiv w:val="1"/>
      <w:marLeft w:val="0"/>
      <w:marRight w:val="0"/>
      <w:marTop w:val="0"/>
      <w:marBottom w:val="0"/>
      <w:divBdr>
        <w:top w:val="none" w:sz="0" w:space="0" w:color="auto"/>
        <w:left w:val="none" w:sz="0" w:space="0" w:color="auto"/>
        <w:bottom w:val="none" w:sz="0" w:space="0" w:color="auto"/>
        <w:right w:val="none" w:sz="0" w:space="0" w:color="auto"/>
      </w:divBdr>
    </w:div>
    <w:div w:id="489292029">
      <w:bodyDiv w:val="1"/>
      <w:marLeft w:val="0"/>
      <w:marRight w:val="0"/>
      <w:marTop w:val="0"/>
      <w:marBottom w:val="0"/>
      <w:divBdr>
        <w:top w:val="none" w:sz="0" w:space="0" w:color="auto"/>
        <w:left w:val="none" w:sz="0" w:space="0" w:color="auto"/>
        <w:bottom w:val="none" w:sz="0" w:space="0" w:color="auto"/>
        <w:right w:val="none" w:sz="0" w:space="0" w:color="auto"/>
      </w:divBdr>
    </w:div>
    <w:div w:id="492374617">
      <w:bodyDiv w:val="1"/>
      <w:marLeft w:val="0"/>
      <w:marRight w:val="0"/>
      <w:marTop w:val="0"/>
      <w:marBottom w:val="0"/>
      <w:divBdr>
        <w:top w:val="none" w:sz="0" w:space="0" w:color="auto"/>
        <w:left w:val="none" w:sz="0" w:space="0" w:color="auto"/>
        <w:bottom w:val="none" w:sz="0" w:space="0" w:color="auto"/>
        <w:right w:val="none" w:sz="0" w:space="0" w:color="auto"/>
      </w:divBdr>
    </w:div>
    <w:div w:id="493493563">
      <w:bodyDiv w:val="1"/>
      <w:marLeft w:val="0"/>
      <w:marRight w:val="0"/>
      <w:marTop w:val="0"/>
      <w:marBottom w:val="0"/>
      <w:divBdr>
        <w:top w:val="none" w:sz="0" w:space="0" w:color="auto"/>
        <w:left w:val="none" w:sz="0" w:space="0" w:color="auto"/>
        <w:bottom w:val="none" w:sz="0" w:space="0" w:color="auto"/>
        <w:right w:val="none" w:sz="0" w:space="0" w:color="auto"/>
      </w:divBdr>
    </w:div>
    <w:div w:id="496113906">
      <w:bodyDiv w:val="1"/>
      <w:marLeft w:val="0"/>
      <w:marRight w:val="0"/>
      <w:marTop w:val="0"/>
      <w:marBottom w:val="0"/>
      <w:divBdr>
        <w:top w:val="none" w:sz="0" w:space="0" w:color="auto"/>
        <w:left w:val="none" w:sz="0" w:space="0" w:color="auto"/>
        <w:bottom w:val="none" w:sz="0" w:space="0" w:color="auto"/>
        <w:right w:val="none" w:sz="0" w:space="0" w:color="auto"/>
      </w:divBdr>
    </w:div>
    <w:div w:id="496262828">
      <w:bodyDiv w:val="1"/>
      <w:marLeft w:val="0"/>
      <w:marRight w:val="0"/>
      <w:marTop w:val="0"/>
      <w:marBottom w:val="0"/>
      <w:divBdr>
        <w:top w:val="none" w:sz="0" w:space="0" w:color="auto"/>
        <w:left w:val="none" w:sz="0" w:space="0" w:color="auto"/>
        <w:bottom w:val="none" w:sz="0" w:space="0" w:color="auto"/>
        <w:right w:val="none" w:sz="0" w:space="0" w:color="auto"/>
      </w:divBdr>
    </w:div>
    <w:div w:id="520319532">
      <w:bodyDiv w:val="1"/>
      <w:marLeft w:val="0"/>
      <w:marRight w:val="0"/>
      <w:marTop w:val="0"/>
      <w:marBottom w:val="0"/>
      <w:divBdr>
        <w:top w:val="none" w:sz="0" w:space="0" w:color="auto"/>
        <w:left w:val="none" w:sz="0" w:space="0" w:color="auto"/>
        <w:bottom w:val="none" w:sz="0" w:space="0" w:color="auto"/>
        <w:right w:val="none" w:sz="0" w:space="0" w:color="auto"/>
      </w:divBdr>
    </w:div>
    <w:div w:id="525601690">
      <w:bodyDiv w:val="1"/>
      <w:marLeft w:val="0"/>
      <w:marRight w:val="0"/>
      <w:marTop w:val="0"/>
      <w:marBottom w:val="0"/>
      <w:divBdr>
        <w:top w:val="none" w:sz="0" w:space="0" w:color="auto"/>
        <w:left w:val="none" w:sz="0" w:space="0" w:color="auto"/>
        <w:bottom w:val="none" w:sz="0" w:space="0" w:color="auto"/>
        <w:right w:val="none" w:sz="0" w:space="0" w:color="auto"/>
      </w:divBdr>
    </w:div>
    <w:div w:id="529536749">
      <w:bodyDiv w:val="1"/>
      <w:marLeft w:val="0"/>
      <w:marRight w:val="0"/>
      <w:marTop w:val="0"/>
      <w:marBottom w:val="0"/>
      <w:divBdr>
        <w:top w:val="none" w:sz="0" w:space="0" w:color="auto"/>
        <w:left w:val="none" w:sz="0" w:space="0" w:color="auto"/>
        <w:bottom w:val="none" w:sz="0" w:space="0" w:color="auto"/>
        <w:right w:val="none" w:sz="0" w:space="0" w:color="auto"/>
      </w:divBdr>
    </w:div>
    <w:div w:id="543174252">
      <w:bodyDiv w:val="1"/>
      <w:marLeft w:val="0"/>
      <w:marRight w:val="0"/>
      <w:marTop w:val="0"/>
      <w:marBottom w:val="0"/>
      <w:divBdr>
        <w:top w:val="none" w:sz="0" w:space="0" w:color="auto"/>
        <w:left w:val="none" w:sz="0" w:space="0" w:color="auto"/>
        <w:bottom w:val="none" w:sz="0" w:space="0" w:color="auto"/>
        <w:right w:val="none" w:sz="0" w:space="0" w:color="auto"/>
      </w:divBdr>
      <w:divsChild>
        <w:div w:id="300817928">
          <w:marLeft w:val="0"/>
          <w:marRight w:val="0"/>
          <w:marTop w:val="0"/>
          <w:marBottom w:val="0"/>
          <w:divBdr>
            <w:top w:val="none" w:sz="0" w:space="0" w:color="auto"/>
            <w:left w:val="none" w:sz="0" w:space="0" w:color="auto"/>
            <w:bottom w:val="none" w:sz="0" w:space="0" w:color="auto"/>
            <w:right w:val="none" w:sz="0" w:space="0" w:color="auto"/>
          </w:divBdr>
          <w:divsChild>
            <w:div w:id="446631354">
              <w:marLeft w:val="0"/>
              <w:marRight w:val="0"/>
              <w:marTop w:val="0"/>
              <w:marBottom w:val="0"/>
              <w:divBdr>
                <w:top w:val="none" w:sz="0" w:space="0" w:color="auto"/>
                <w:left w:val="none" w:sz="0" w:space="0" w:color="auto"/>
                <w:bottom w:val="none" w:sz="0" w:space="0" w:color="auto"/>
                <w:right w:val="none" w:sz="0" w:space="0" w:color="auto"/>
              </w:divBdr>
            </w:div>
          </w:divsChild>
        </w:div>
        <w:div w:id="1570187067">
          <w:marLeft w:val="0"/>
          <w:marRight w:val="0"/>
          <w:marTop w:val="0"/>
          <w:marBottom w:val="0"/>
          <w:divBdr>
            <w:top w:val="none" w:sz="0" w:space="0" w:color="auto"/>
            <w:left w:val="none" w:sz="0" w:space="0" w:color="auto"/>
            <w:bottom w:val="none" w:sz="0" w:space="0" w:color="auto"/>
            <w:right w:val="none" w:sz="0" w:space="0" w:color="auto"/>
          </w:divBdr>
          <w:divsChild>
            <w:div w:id="131078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905904">
      <w:bodyDiv w:val="1"/>
      <w:marLeft w:val="0"/>
      <w:marRight w:val="0"/>
      <w:marTop w:val="0"/>
      <w:marBottom w:val="0"/>
      <w:divBdr>
        <w:top w:val="none" w:sz="0" w:space="0" w:color="auto"/>
        <w:left w:val="none" w:sz="0" w:space="0" w:color="auto"/>
        <w:bottom w:val="none" w:sz="0" w:space="0" w:color="auto"/>
        <w:right w:val="none" w:sz="0" w:space="0" w:color="auto"/>
      </w:divBdr>
      <w:divsChild>
        <w:div w:id="440026698">
          <w:marLeft w:val="1166"/>
          <w:marRight w:val="0"/>
          <w:marTop w:val="0"/>
          <w:marBottom w:val="60"/>
          <w:divBdr>
            <w:top w:val="none" w:sz="0" w:space="0" w:color="auto"/>
            <w:left w:val="none" w:sz="0" w:space="0" w:color="auto"/>
            <w:bottom w:val="none" w:sz="0" w:space="0" w:color="auto"/>
            <w:right w:val="none" w:sz="0" w:space="0" w:color="auto"/>
          </w:divBdr>
        </w:div>
      </w:divsChild>
    </w:div>
    <w:div w:id="545336462">
      <w:bodyDiv w:val="1"/>
      <w:marLeft w:val="0"/>
      <w:marRight w:val="0"/>
      <w:marTop w:val="0"/>
      <w:marBottom w:val="0"/>
      <w:divBdr>
        <w:top w:val="none" w:sz="0" w:space="0" w:color="auto"/>
        <w:left w:val="none" w:sz="0" w:space="0" w:color="auto"/>
        <w:bottom w:val="none" w:sz="0" w:space="0" w:color="auto"/>
        <w:right w:val="none" w:sz="0" w:space="0" w:color="auto"/>
      </w:divBdr>
    </w:div>
    <w:div w:id="545528240">
      <w:bodyDiv w:val="1"/>
      <w:marLeft w:val="0"/>
      <w:marRight w:val="0"/>
      <w:marTop w:val="0"/>
      <w:marBottom w:val="0"/>
      <w:divBdr>
        <w:top w:val="none" w:sz="0" w:space="0" w:color="auto"/>
        <w:left w:val="none" w:sz="0" w:space="0" w:color="auto"/>
        <w:bottom w:val="none" w:sz="0" w:space="0" w:color="auto"/>
        <w:right w:val="none" w:sz="0" w:space="0" w:color="auto"/>
      </w:divBdr>
    </w:div>
    <w:div w:id="548956151">
      <w:bodyDiv w:val="1"/>
      <w:marLeft w:val="0"/>
      <w:marRight w:val="0"/>
      <w:marTop w:val="0"/>
      <w:marBottom w:val="0"/>
      <w:divBdr>
        <w:top w:val="none" w:sz="0" w:space="0" w:color="auto"/>
        <w:left w:val="none" w:sz="0" w:space="0" w:color="auto"/>
        <w:bottom w:val="none" w:sz="0" w:space="0" w:color="auto"/>
        <w:right w:val="none" w:sz="0" w:space="0" w:color="auto"/>
      </w:divBdr>
    </w:div>
    <w:div w:id="588587149">
      <w:bodyDiv w:val="1"/>
      <w:marLeft w:val="0"/>
      <w:marRight w:val="0"/>
      <w:marTop w:val="0"/>
      <w:marBottom w:val="0"/>
      <w:divBdr>
        <w:top w:val="none" w:sz="0" w:space="0" w:color="auto"/>
        <w:left w:val="none" w:sz="0" w:space="0" w:color="auto"/>
        <w:bottom w:val="none" w:sz="0" w:space="0" w:color="auto"/>
        <w:right w:val="none" w:sz="0" w:space="0" w:color="auto"/>
      </w:divBdr>
    </w:div>
    <w:div w:id="589657467">
      <w:bodyDiv w:val="1"/>
      <w:marLeft w:val="0"/>
      <w:marRight w:val="0"/>
      <w:marTop w:val="0"/>
      <w:marBottom w:val="0"/>
      <w:divBdr>
        <w:top w:val="none" w:sz="0" w:space="0" w:color="auto"/>
        <w:left w:val="none" w:sz="0" w:space="0" w:color="auto"/>
        <w:bottom w:val="none" w:sz="0" w:space="0" w:color="auto"/>
        <w:right w:val="none" w:sz="0" w:space="0" w:color="auto"/>
      </w:divBdr>
    </w:div>
    <w:div w:id="594217072">
      <w:bodyDiv w:val="1"/>
      <w:marLeft w:val="0"/>
      <w:marRight w:val="0"/>
      <w:marTop w:val="0"/>
      <w:marBottom w:val="0"/>
      <w:divBdr>
        <w:top w:val="none" w:sz="0" w:space="0" w:color="auto"/>
        <w:left w:val="none" w:sz="0" w:space="0" w:color="auto"/>
        <w:bottom w:val="none" w:sz="0" w:space="0" w:color="auto"/>
        <w:right w:val="none" w:sz="0" w:space="0" w:color="auto"/>
      </w:divBdr>
      <w:divsChild>
        <w:div w:id="34349971">
          <w:marLeft w:val="0"/>
          <w:marRight w:val="0"/>
          <w:marTop w:val="0"/>
          <w:marBottom w:val="0"/>
          <w:divBdr>
            <w:top w:val="none" w:sz="0" w:space="0" w:color="auto"/>
            <w:left w:val="none" w:sz="0" w:space="0" w:color="auto"/>
            <w:bottom w:val="none" w:sz="0" w:space="0" w:color="auto"/>
            <w:right w:val="none" w:sz="0" w:space="0" w:color="auto"/>
          </w:divBdr>
        </w:div>
        <w:div w:id="2010667235">
          <w:marLeft w:val="0"/>
          <w:marRight w:val="0"/>
          <w:marTop w:val="0"/>
          <w:marBottom w:val="0"/>
          <w:divBdr>
            <w:top w:val="none" w:sz="0" w:space="0" w:color="auto"/>
            <w:left w:val="none" w:sz="0" w:space="0" w:color="auto"/>
            <w:bottom w:val="none" w:sz="0" w:space="0" w:color="auto"/>
            <w:right w:val="none" w:sz="0" w:space="0" w:color="auto"/>
          </w:divBdr>
          <w:divsChild>
            <w:div w:id="2014068703">
              <w:marLeft w:val="0"/>
              <w:marRight w:val="0"/>
              <w:marTop w:val="0"/>
              <w:marBottom w:val="0"/>
              <w:divBdr>
                <w:top w:val="none" w:sz="0" w:space="0" w:color="auto"/>
                <w:left w:val="none" w:sz="0" w:space="0" w:color="auto"/>
                <w:bottom w:val="none" w:sz="0" w:space="0" w:color="auto"/>
                <w:right w:val="none" w:sz="0" w:space="0" w:color="auto"/>
              </w:divBdr>
              <w:divsChild>
                <w:div w:id="1085759601">
                  <w:marLeft w:val="0"/>
                  <w:marRight w:val="0"/>
                  <w:marTop w:val="0"/>
                  <w:marBottom w:val="0"/>
                  <w:divBdr>
                    <w:top w:val="none" w:sz="0" w:space="0" w:color="auto"/>
                    <w:left w:val="none" w:sz="0" w:space="0" w:color="auto"/>
                    <w:bottom w:val="none" w:sz="0" w:space="0" w:color="auto"/>
                    <w:right w:val="none" w:sz="0" w:space="0" w:color="auto"/>
                  </w:divBdr>
                </w:div>
                <w:div w:id="214060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09135">
      <w:bodyDiv w:val="1"/>
      <w:marLeft w:val="0"/>
      <w:marRight w:val="0"/>
      <w:marTop w:val="0"/>
      <w:marBottom w:val="0"/>
      <w:divBdr>
        <w:top w:val="none" w:sz="0" w:space="0" w:color="auto"/>
        <w:left w:val="none" w:sz="0" w:space="0" w:color="auto"/>
        <w:bottom w:val="none" w:sz="0" w:space="0" w:color="auto"/>
        <w:right w:val="none" w:sz="0" w:space="0" w:color="auto"/>
      </w:divBdr>
    </w:div>
    <w:div w:id="595552376">
      <w:bodyDiv w:val="1"/>
      <w:marLeft w:val="0"/>
      <w:marRight w:val="0"/>
      <w:marTop w:val="0"/>
      <w:marBottom w:val="0"/>
      <w:divBdr>
        <w:top w:val="none" w:sz="0" w:space="0" w:color="auto"/>
        <w:left w:val="none" w:sz="0" w:space="0" w:color="auto"/>
        <w:bottom w:val="none" w:sz="0" w:space="0" w:color="auto"/>
        <w:right w:val="none" w:sz="0" w:space="0" w:color="auto"/>
      </w:divBdr>
    </w:div>
    <w:div w:id="597056306">
      <w:bodyDiv w:val="1"/>
      <w:marLeft w:val="0"/>
      <w:marRight w:val="0"/>
      <w:marTop w:val="0"/>
      <w:marBottom w:val="0"/>
      <w:divBdr>
        <w:top w:val="none" w:sz="0" w:space="0" w:color="auto"/>
        <w:left w:val="none" w:sz="0" w:space="0" w:color="auto"/>
        <w:bottom w:val="none" w:sz="0" w:space="0" w:color="auto"/>
        <w:right w:val="none" w:sz="0" w:space="0" w:color="auto"/>
      </w:divBdr>
    </w:div>
    <w:div w:id="604315068">
      <w:bodyDiv w:val="1"/>
      <w:marLeft w:val="0"/>
      <w:marRight w:val="0"/>
      <w:marTop w:val="0"/>
      <w:marBottom w:val="0"/>
      <w:divBdr>
        <w:top w:val="none" w:sz="0" w:space="0" w:color="auto"/>
        <w:left w:val="none" w:sz="0" w:space="0" w:color="auto"/>
        <w:bottom w:val="none" w:sz="0" w:space="0" w:color="auto"/>
        <w:right w:val="none" w:sz="0" w:space="0" w:color="auto"/>
      </w:divBdr>
    </w:div>
    <w:div w:id="606960829">
      <w:bodyDiv w:val="1"/>
      <w:marLeft w:val="0"/>
      <w:marRight w:val="0"/>
      <w:marTop w:val="0"/>
      <w:marBottom w:val="0"/>
      <w:divBdr>
        <w:top w:val="none" w:sz="0" w:space="0" w:color="auto"/>
        <w:left w:val="none" w:sz="0" w:space="0" w:color="auto"/>
        <w:bottom w:val="none" w:sz="0" w:space="0" w:color="auto"/>
        <w:right w:val="none" w:sz="0" w:space="0" w:color="auto"/>
      </w:divBdr>
    </w:div>
    <w:div w:id="607585606">
      <w:bodyDiv w:val="1"/>
      <w:marLeft w:val="0"/>
      <w:marRight w:val="0"/>
      <w:marTop w:val="0"/>
      <w:marBottom w:val="0"/>
      <w:divBdr>
        <w:top w:val="none" w:sz="0" w:space="0" w:color="auto"/>
        <w:left w:val="none" w:sz="0" w:space="0" w:color="auto"/>
        <w:bottom w:val="none" w:sz="0" w:space="0" w:color="auto"/>
        <w:right w:val="none" w:sz="0" w:space="0" w:color="auto"/>
      </w:divBdr>
    </w:div>
    <w:div w:id="608122986">
      <w:bodyDiv w:val="1"/>
      <w:marLeft w:val="0"/>
      <w:marRight w:val="0"/>
      <w:marTop w:val="0"/>
      <w:marBottom w:val="0"/>
      <w:divBdr>
        <w:top w:val="none" w:sz="0" w:space="0" w:color="auto"/>
        <w:left w:val="none" w:sz="0" w:space="0" w:color="auto"/>
        <w:bottom w:val="none" w:sz="0" w:space="0" w:color="auto"/>
        <w:right w:val="none" w:sz="0" w:space="0" w:color="auto"/>
      </w:divBdr>
    </w:div>
    <w:div w:id="608661847">
      <w:bodyDiv w:val="1"/>
      <w:marLeft w:val="0"/>
      <w:marRight w:val="0"/>
      <w:marTop w:val="0"/>
      <w:marBottom w:val="0"/>
      <w:divBdr>
        <w:top w:val="none" w:sz="0" w:space="0" w:color="auto"/>
        <w:left w:val="none" w:sz="0" w:space="0" w:color="auto"/>
        <w:bottom w:val="none" w:sz="0" w:space="0" w:color="auto"/>
        <w:right w:val="none" w:sz="0" w:space="0" w:color="auto"/>
      </w:divBdr>
    </w:div>
    <w:div w:id="615985925">
      <w:bodyDiv w:val="1"/>
      <w:marLeft w:val="0"/>
      <w:marRight w:val="0"/>
      <w:marTop w:val="0"/>
      <w:marBottom w:val="0"/>
      <w:divBdr>
        <w:top w:val="none" w:sz="0" w:space="0" w:color="auto"/>
        <w:left w:val="none" w:sz="0" w:space="0" w:color="auto"/>
        <w:bottom w:val="none" w:sz="0" w:space="0" w:color="auto"/>
        <w:right w:val="none" w:sz="0" w:space="0" w:color="auto"/>
      </w:divBdr>
    </w:div>
    <w:div w:id="620956863">
      <w:bodyDiv w:val="1"/>
      <w:marLeft w:val="0"/>
      <w:marRight w:val="0"/>
      <w:marTop w:val="0"/>
      <w:marBottom w:val="0"/>
      <w:divBdr>
        <w:top w:val="none" w:sz="0" w:space="0" w:color="auto"/>
        <w:left w:val="none" w:sz="0" w:space="0" w:color="auto"/>
        <w:bottom w:val="none" w:sz="0" w:space="0" w:color="auto"/>
        <w:right w:val="none" w:sz="0" w:space="0" w:color="auto"/>
      </w:divBdr>
    </w:div>
    <w:div w:id="621422629">
      <w:bodyDiv w:val="1"/>
      <w:marLeft w:val="0"/>
      <w:marRight w:val="0"/>
      <w:marTop w:val="0"/>
      <w:marBottom w:val="0"/>
      <w:divBdr>
        <w:top w:val="none" w:sz="0" w:space="0" w:color="auto"/>
        <w:left w:val="none" w:sz="0" w:space="0" w:color="auto"/>
        <w:bottom w:val="none" w:sz="0" w:space="0" w:color="auto"/>
        <w:right w:val="none" w:sz="0" w:space="0" w:color="auto"/>
      </w:divBdr>
    </w:div>
    <w:div w:id="621888861">
      <w:bodyDiv w:val="1"/>
      <w:marLeft w:val="0"/>
      <w:marRight w:val="0"/>
      <w:marTop w:val="0"/>
      <w:marBottom w:val="0"/>
      <w:divBdr>
        <w:top w:val="none" w:sz="0" w:space="0" w:color="auto"/>
        <w:left w:val="none" w:sz="0" w:space="0" w:color="auto"/>
        <w:bottom w:val="none" w:sz="0" w:space="0" w:color="auto"/>
        <w:right w:val="none" w:sz="0" w:space="0" w:color="auto"/>
      </w:divBdr>
    </w:div>
    <w:div w:id="628972379">
      <w:bodyDiv w:val="1"/>
      <w:marLeft w:val="0"/>
      <w:marRight w:val="0"/>
      <w:marTop w:val="0"/>
      <w:marBottom w:val="0"/>
      <w:divBdr>
        <w:top w:val="none" w:sz="0" w:space="0" w:color="auto"/>
        <w:left w:val="none" w:sz="0" w:space="0" w:color="auto"/>
        <w:bottom w:val="none" w:sz="0" w:space="0" w:color="auto"/>
        <w:right w:val="none" w:sz="0" w:space="0" w:color="auto"/>
      </w:divBdr>
    </w:div>
    <w:div w:id="640115377">
      <w:bodyDiv w:val="1"/>
      <w:marLeft w:val="0"/>
      <w:marRight w:val="0"/>
      <w:marTop w:val="0"/>
      <w:marBottom w:val="0"/>
      <w:divBdr>
        <w:top w:val="none" w:sz="0" w:space="0" w:color="auto"/>
        <w:left w:val="none" w:sz="0" w:space="0" w:color="auto"/>
        <w:bottom w:val="none" w:sz="0" w:space="0" w:color="auto"/>
        <w:right w:val="none" w:sz="0" w:space="0" w:color="auto"/>
      </w:divBdr>
    </w:div>
    <w:div w:id="649099961">
      <w:bodyDiv w:val="1"/>
      <w:marLeft w:val="0"/>
      <w:marRight w:val="0"/>
      <w:marTop w:val="0"/>
      <w:marBottom w:val="0"/>
      <w:divBdr>
        <w:top w:val="none" w:sz="0" w:space="0" w:color="auto"/>
        <w:left w:val="none" w:sz="0" w:space="0" w:color="auto"/>
        <w:bottom w:val="none" w:sz="0" w:space="0" w:color="auto"/>
        <w:right w:val="none" w:sz="0" w:space="0" w:color="auto"/>
      </w:divBdr>
    </w:div>
    <w:div w:id="656374099">
      <w:bodyDiv w:val="1"/>
      <w:marLeft w:val="0"/>
      <w:marRight w:val="0"/>
      <w:marTop w:val="0"/>
      <w:marBottom w:val="0"/>
      <w:divBdr>
        <w:top w:val="none" w:sz="0" w:space="0" w:color="auto"/>
        <w:left w:val="none" w:sz="0" w:space="0" w:color="auto"/>
        <w:bottom w:val="none" w:sz="0" w:space="0" w:color="auto"/>
        <w:right w:val="none" w:sz="0" w:space="0" w:color="auto"/>
      </w:divBdr>
      <w:divsChild>
        <w:div w:id="848301675">
          <w:marLeft w:val="547"/>
          <w:marRight w:val="0"/>
          <w:marTop w:val="154"/>
          <w:marBottom w:val="0"/>
          <w:divBdr>
            <w:top w:val="none" w:sz="0" w:space="0" w:color="auto"/>
            <w:left w:val="none" w:sz="0" w:space="0" w:color="auto"/>
            <w:bottom w:val="none" w:sz="0" w:space="0" w:color="auto"/>
            <w:right w:val="none" w:sz="0" w:space="0" w:color="auto"/>
          </w:divBdr>
        </w:div>
      </w:divsChild>
    </w:div>
    <w:div w:id="660696187">
      <w:bodyDiv w:val="1"/>
      <w:marLeft w:val="0"/>
      <w:marRight w:val="0"/>
      <w:marTop w:val="0"/>
      <w:marBottom w:val="0"/>
      <w:divBdr>
        <w:top w:val="none" w:sz="0" w:space="0" w:color="auto"/>
        <w:left w:val="none" w:sz="0" w:space="0" w:color="auto"/>
        <w:bottom w:val="none" w:sz="0" w:space="0" w:color="auto"/>
        <w:right w:val="none" w:sz="0" w:space="0" w:color="auto"/>
      </w:divBdr>
    </w:div>
    <w:div w:id="668558983">
      <w:bodyDiv w:val="1"/>
      <w:marLeft w:val="0"/>
      <w:marRight w:val="0"/>
      <w:marTop w:val="0"/>
      <w:marBottom w:val="0"/>
      <w:divBdr>
        <w:top w:val="none" w:sz="0" w:space="0" w:color="auto"/>
        <w:left w:val="none" w:sz="0" w:space="0" w:color="auto"/>
        <w:bottom w:val="none" w:sz="0" w:space="0" w:color="auto"/>
        <w:right w:val="none" w:sz="0" w:space="0" w:color="auto"/>
      </w:divBdr>
    </w:div>
    <w:div w:id="673411715">
      <w:bodyDiv w:val="1"/>
      <w:marLeft w:val="0"/>
      <w:marRight w:val="0"/>
      <w:marTop w:val="0"/>
      <w:marBottom w:val="0"/>
      <w:divBdr>
        <w:top w:val="none" w:sz="0" w:space="0" w:color="auto"/>
        <w:left w:val="none" w:sz="0" w:space="0" w:color="auto"/>
        <w:bottom w:val="none" w:sz="0" w:space="0" w:color="auto"/>
        <w:right w:val="none" w:sz="0" w:space="0" w:color="auto"/>
      </w:divBdr>
    </w:div>
    <w:div w:id="705640434">
      <w:bodyDiv w:val="1"/>
      <w:marLeft w:val="0"/>
      <w:marRight w:val="0"/>
      <w:marTop w:val="0"/>
      <w:marBottom w:val="0"/>
      <w:divBdr>
        <w:top w:val="none" w:sz="0" w:space="0" w:color="auto"/>
        <w:left w:val="none" w:sz="0" w:space="0" w:color="auto"/>
        <w:bottom w:val="none" w:sz="0" w:space="0" w:color="auto"/>
        <w:right w:val="none" w:sz="0" w:space="0" w:color="auto"/>
      </w:divBdr>
    </w:div>
    <w:div w:id="709184439">
      <w:bodyDiv w:val="1"/>
      <w:marLeft w:val="0"/>
      <w:marRight w:val="0"/>
      <w:marTop w:val="0"/>
      <w:marBottom w:val="0"/>
      <w:divBdr>
        <w:top w:val="none" w:sz="0" w:space="0" w:color="auto"/>
        <w:left w:val="none" w:sz="0" w:space="0" w:color="auto"/>
        <w:bottom w:val="none" w:sz="0" w:space="0" w:color="auto"/>
        <w:right w:val="none" w:sz="0" w:space="0" w:color="auto"/>
      </w:divBdr>
    </w:div>
    <w:div w:id="711657171">
      <w:bodyDiv w:val="1"/>
      <w:marLeft w:val="0"/>
      <w:marRight w:val="0"/>
      <w:marTop w:val="0"/>
      <w:marBottom w:val="0"/>
      <w:divBdr>
        <w:top w:val="none" w:sz="0" w:space="0" w:color="auto"/>
        <w:left w:val="none" w:sz="0" w:space="0" w:color="auto"/>
        <w:bottom w:val="none" w:sz="0" w:space="0" w:color="auto"/>
        <w:right w:val="none" w:sz="0" w:space="0" w:color="auto"/>
      </w:divBdr>
    </w:div>
    <w:div w:id="726031295">
      <w:bodyDiv w:val="1"/>
      <w:marLeft w:val="0"/>
      <w:marRight w:val="0"/>
      <w:marTop w:val="0"/>
      <w:marBottom w:val="0"/>
      <w:divBdr>
        <w:top w:val="none" w:sz="0" w:space="0" w:color="auto"/>
        <w:left w:val="none" w:sz="0" w:space="0" w:color="auto"/>
        <w:bottom w:val="none" w:sz="0" w:space="0" w:color="auto"/>
        <w:right w:val="none" w:sz="0" w:space="0" w:color="auto"/>
      </w:divBdr>
    </w:div>
    <w:div w:id="727069515">
      <w:bodyDiv w:val="1"/>
      <w:marLeft w:val="0"/>
      <w:marRight w:val="0"/>
      <w:marTop w:val="0"/>
      <w:marBottom w:val="0"/>
      <w:divBdr>
        <w:top w:val="none" w:sz="0" w:space="0" w:color="auto"/>
        <w:left w:val="none" w:sz="0" w:space="0" w:color="auto"/>
        <w:bottom w:val="none" w:sz="0" w:space="0" w:color="auto"/>
        <w:right w:val="none" w:sz="0" w:space="0" w:color="auto"/>
      </w:divBdr>
    </w:div>
    <w:div w:id="729885905">
      <w:bodyDiv w:val="1"/>
      <w:marLeft w:val="0"/>
      <w:marRight w:val="0"/>
      <w:marTop w:val="0"/>
      <w:marBottom w:val="0"/>
      <w:divBdr>
        <w:top w:val="none" w:sz="0" w:space="0" w:color="auto"/>
        <w:left w:val="none" w:sz="0" w:space="0" w:color="auto"/>
        <w:bottom w:val="none" w:sz="0" w:space="0" w:color="auto"/>
        <w:right w:val="none" w:sz="0" w:space="0" w:color="auto"/>
      </w:divBdr>
    </w:div>
    <w:div w:id="743337012">
      <w:bodyDiv w:val="1"/>
      <w:marLeft w:val="0"/>
      <w:marRight w:val="0"/>
      <w:marTop w:val="0"/>
      <w:marBottom w:val="0"/>
      <w:divBdr>
        <w:top w:val="none" w:sz="0" w:space="0" w:color="auto"/>
        <w:left w:val="none" w:sz="0" w:space="0" w:color="auto"/>
        <w:bottom w:val="none" w:sz="0" w:space="0" w:color="auto"/>
        <w:right w:val="none" w:sz="0" w:space="0" w:color="auto"/>
      </w:divBdr>
    </w:div>
    <w:div w:id="754396085">
      <w:bodyDiv w:val="1"/>
      <w:marLeft w:val="0"/>
      <w:marRight w:val="0"/>
      <w:marTop w:val="0"/>
      <w:marBottom w:val="0"/>
      <w:divBdr>
        <w:top w:val="none" w:sz="0" w:space="0" w:color="auto"/>
        <w:left w:val="none" w:sz="0" w:space="0" w:color="auto"/>
        <w:bottom w:val="none" w:sz="0" w:space="0" w:color="auto"/>
        <w:right w:val="none" w:sz="0" w:space="0" w:color="auto"/>
      </w:divBdr>
    </w:div>
    <w:div w:id="756639195">
      <w:bodyDiv w:val="1"/>
      <w:marLeft w:val="0"/>
      <w:marRight w:val="0"/>
      <w:marTop w:val="0"/>
      <w:marBottom w:val="0"/>
      <w:divBdr>
        <w:top w:val="none" w:sz="0" w:space="0" w:color="auto"/>
        <w:left w:val="none" w:sz="0" w:space="0" w:color="auto"/>
        <w:bottom w:val="none" w:sz="0" w:space="0" w:color="auto"/>
        <w:right w:val="none" w:sz="0" w:space="0" w:color="auto"/>
      </w:divBdr>
    </w:div>
    <w:div w:id="758520544">
      <w:bodyDiv w:val="1"/>
      <w:marLeft w:val="0"/>
      <w:marRight w:val="0"/>
      <w:marTop w:val="0"/>
      <w:marBottom w:val="0"/>
      <w:divBdr>
        <w:top w:val="none" w:sz="0" w:space="0" w:color="auto"/>
        <w:left w:val="none" w:sz="0" w:space="0" w:color="auto"/>
        <w:bottom w:val="none" w:sz="0" w:space="0" w:color="auto"/>
        <w:right w:val="none" w:sz="0" w:space="0" w:color="auto"/>
      </w:divBdr>
    </w:div>
    <w:div w:id="768114251">
      <w:bodyDiv w:val="1"/>
      <w:marLeft w:val="0"/>
      <w:marRight w:val="0"/>
      <w:marTop w:val="0"/>
      <w:marBottom w:val="0"/>
      <w:divBdr>
        <w:top w:val="none" w:sz="0" w:space="0" w:color="auto"/>
        <w:left w:val="none" w:sz="0" w:space="0" w:color="auto"/>
        <w:bottom w:val="none" w:sz="0" w:space="0" w:color="auto"/>
        <w:right w:val="none" w:sz="0" w:space="0" w:color="auto"/>
      </w:divBdr>
      <w:divsChild>
        <w:div w:id="461465975">
          <w:marLeft w:val="0"/>
          <w:marRight w:val="0"/>
          <w:marTop w:val="240"/>
          <w:marBottom w:val="0"/>
          <w:divBdr>
            <w:top w:val="single" w:sz="8" w:space="0" w:color="FFFFFF"/>
            <w:left w:val="single" w:sz="8" w:space="0" w:color="FFFFFF"/>
            <w:bottom w:val="single" w:sz="8" w:space="0" w:color="FFFFFF"/>
            <w:right w:val="single" w:sz="8" w:space="0" w:color="FFFFFF"/>
          </w:divBdr>
          <w:divsChild>
            <w:div w:id="1918173815">
              <w:marLeft w:val="3120"/>
              <w:marRight w:val="408"/>
              <w:marTop w:val="0"/>
              <w:marBottom w:val="0"/>
              <w:divBdr>
                <w:top w:val="none" w:sz="0" w:space="0" w:color="auto"/>
                <w:left w:val="none" w:sz="0" w:space="0" w:color="auto"/>
                <w:bottom w:val="none" w:sz="0" w:space="0" w:color="auto"/>
                <w:right w:val="none" w:sz="0" w:space="0" w:color="auto"/>
              </w:divBdr>
            </w:div>
          </w:divsChild>
        </w:div>
      </w:divsChild>
    </w:div>
    <w:div w:id="770511595">
      <w:bodyDiv w:val="1"/>
      <w:marLeft w:val="0"/>
      <w:marRight w:val="0"/>
      <w:marTop w:val="0"/>
      <w:marBottom w:val="0"/>
      <w:divBdr>
        <w:top w:val="none" w:sz="0" w:space="0" w:color="auto"/>
        <w:left w:val="none" w:sz="0" w:space="0" w:color="auto"/>
        <w:bottom w:val="none" w:sz="0" w:space="0" w:color="auto"/>
        <w:right w:val="none" w:sz="0" w:space="0" w:color="auto"/>
      </w:divBdr>
    </w:div>
    <w:div w:id="773205715">
      <w:bodyDiv w:val="1"/>
      <w:marLeft w:val="0"/>
      <w:marRight w:val="0"/>
      <w:marTop w:val="0"/>
      <w:marBottom w:val="0"/>
      <w:divBdr>
        <w:top w:val="none" w:sz="0" w:space="0" w:color="auto"/>
        <w:left w:val="none" w:sz="0" w:space="0" w:color="auto"/>
        <w:bottom w:val="none" w:sz="0" w:space="0" w:color="auto"/>
        <w:right w:val="none" w:sz="0" w:space="0" w:color="auto"/>
      </w:divBdr>
    </w:div>
    <w:div w:id="773475312">
      <w:bodyDiv w:val="1"/>
      <w:marLeft w:val="0"/>
      <w:marRight w:val="0"/>
      <w:marTop w:val="0"/>
      <w:marBottom w:val="0"/>
      <w:divBdr>
        <w:top w:val="none" w:sz="0" w:space="0" w:color="auto"/>
        <w:left w:val="none" w:sz="0" w:space="0" w:color="auto"/>
        <w:bottom w:val="none" w:sz="0" w:space="0" w:color="auto"/>
        <w:right w:val="none" w:sz="0" w:space="0" w:color="auto"/>
      </w:divBdr>
    </w:div>
    <w:div w:id="774248163">
      <w:bodyDiv w:val="1"/>
      <w:marLeft w:val="0"/>
      <w:marRight w:val="0"/>
      <w:marTop w:val="0"/>
      <w:marBottom w:val="0"/>
      <w:divBdr>
        <w:top w:val="none" w:sz="0" w:space="0" w:color="auto"/>
        <w:left w:val="none" w:sz="0" w:space="0" w:color="auto"/>
        <w:bottom w:val="none" w:sz="0" w:space="0" w:color="auto"/>
        <w:right w:val="none" w:sz="0" w:space="0" w:color="auto"/>
      </w:divBdr>
    </w:div>
    <w:div w:id="776603077">
      <w:bodyDiv w:val="1"/>
      <w:marLeft w:val="0"/>
      <w:marRight w:val="0"/>
      <w:marTop w:val="0"/>
      <w:marBottom w:val="0"/>
      <w:divBdr>
        <w:top w:val="none" w:sz="0" w:space="0" w:color="auto"/>
        <w:left w:val="none" w:sz="0" w:space="0" w:color="auto"/>
        <w:bottom w:val="none" w:sz="0" w:space="0" w:color="auto"/>
        <w:right w:val="none" w:sz="0" w:space="0" w:color="auto"/>
      </w:divBdr>
    </w:div>
    <w:div w:id="781345769">
      <w:bodyDiv w:val="1"/>
      <w:marLeft w:val="0"/>
      <w:marRight w:val="0"/>
      <w:marTop w:val="0"/>
      <w:marBottom w:val="0"/>
      <w:divBdr>
        <w:top w:val="none" w:sz="0" w:space="0" w:color="auto"/>
        <w:left w:val="none" w:sz="0" w:space="0" w:color="auto"/>
        <w:bottom w:val="none" w:sz="0" w:space="0" w:color="auto"/>
        <w:right w:val="none" w:sz="0" w:space="0" w:color="auto"/>
      </w:divBdr>
    </w:div>
    <w:div w:id="794564934">
      <w:bodyDiv w:val="1"/>
      <w:marLeft w:val="0"/>
      <w:marRight w:val="0"/>
      <w:marTop w:val="0"/>
      <w:marBottom w:val="0"/>
      <w:divBdr>
        <w:top w:val="none" w:sz="0" w:space="0" w:color="auto"/>
        <w:left w:val="none" w:sz="0" w:space="0" w:color="auto"/>
        <w:bottom w:val="none" w:sz="0" w:space="0" w:color="auto"/>
        <w:right w:val="none" w:sz="0" w:space="0" w:color="auto"/>
      </w:divBdr>
    </w:div>
    <w:div w:id="795678475">
      <w:bodyDiv w:val="1"/>
      <w:marLeft w:val="0"/>
      <w:marRight w:val="0"/>
      <w:marTop w:val="0"/>
      <w:marBottom w:val="0"/>
      <w:divBdr>
        <w:top w:val="none" w:sz="0" w:space="0" w:color="auto"/>
        <w:left w:val="none" w:sz="0" w:space="0" w:color="auto"/>
        <w:bottom w:val="none" w:sz="0" w:space="0" w:color="auto"/>
        <w:right w:val="none" w:sz="0" w:space="0" w:color="auto"/>
      </w:divBdr>
    </w:div>
    <w:div w:id="796408776">
      <w:bodyDiv w:val="1"/>
      <w:marLeft w:val="0"/>
      <w:marRight w:val="0"/>
      <w:marTop w:val="0"/>
      <w:marBottom w:val="0"/>
      <w:divBdr>
        <w:top w:val="none" w:sz="0" w:space="0" w:color="auto"/>
        <w:left w:val="none" w:sz="0" w:space="0" w:color="auto"/>
        <w:bottom w:val="none" w:sz="0" w:space="0" w:color="auto"/>
        <w:right w:val="none" w:sz="0" w:space="0" w:color="auto"/>
      </w:divBdr>
    </w:div>
    <w:div w:id="799035637">
      <w:bodyDiv w:val="1"/>
      <w:marLeft w:val="0"/>
      <w:marRight w:val="0"/>
      <w:marTop w:val="0"/>
      <w:marBottom w:val="0"/>
      <w:divBdr>
        <w:top w:val="none" w:sz="0" w:space="0" w:color="auto"/>
        <w:left w:val="none" w:sz="0" w:space="0" w:color="auto"/>
        <w:bottom w:val="none" w:sz="0" w:space="0" w:color="auto"/>
        <w:right w:val="none" w:sz="0" w:space="0" w:color="auto"/>
      </w:divBdr>
    </w:div>
    <w:div w:id="806238532">
      <w:bodyDiv w:val="1"/>
      <w:marLeft w:val="0"/>
      <w:marRight w:val="0"/>
      <w:marTop w:val="0"/>
      <w:marBottom w:val="0"/>
      <w:divBdr>
        <w:top w:val="none" w:sz="0" w:space="0" w:color="auto"/>
        <w:left w:val="none" w:sz="0" w:space="0" w:color="auto"/>
        <w:bottom w:val="none" w:sz="0" w:space="0" w:color="auto"/>
        <w:right w:val="none" w:sz="0" w:space="0" w:color="auto"/>
      </w:divBdr>
    </w:div>
    <w:div w:id="818305545">
      <w:bodyDiv w:val="1"/>
      <w:marLeft w:val="0"/>
      <w:marRight w:val="0"/>
      <w:marTop w:val="0"/>
      <w:marBottom w:val="0"/>
      <w:divBdr>
        <w:top w:val="none" w:sz="0" w:space="0" w:color="auto"/>
        <w:left w:val="none" w:sz="0" w:space="0" w:color="auto"/>
        <w:bottom w:val="none" w:sz="0" w:space="0" w:color="auto"/>
        <w:right w:val="none" w:sz="0" w:space="0" w:color="auto"/>
      </w:divBdr>
    </w:div>
    <w:div w:id="826438169">
      <w:bodyDiv w:val="1"/>
      <w:marLeft w:val="0"/>
      <w:marRight w:val="0"/>
      <w:marTop w:val="0"/>
      <w:marBottom w:val="0"/>
      <w:divBdr>
        <w:top w:val="none" w:sz="0" w:space="0" w:color="auto"/>
        <w:left w:val="none" w:sz="0" w:space="0" w:color="auto"/>
        <w:bottom w:val="none" w:sz="0" w:space="0" w:color="auto"/>
        <w:right w:val="none" w:sz="0" w:space="0" w:color="auto"/>
      </w:divBdr>
    </w:div>
    <w:div w:id="833835224">
      <w:bodyDiv w:val="1"/>
      <w:marLeft w:val="0"/>
      <w:marRight w:val="0"/>
      <w:marTop w:val="0"/>
      <w:marBottom w:val="0"/>
      <w:divBdr>
        <w:top w:val="none" w:sz="0" w:space="0" w:color="auto"/>
        <w:left w:val="none" w:sz="0" w:space="0" w:color="auto"/>
        <w:bottom w:val="none" w:sz="0" w:space="0" w:color="auto"/>
        <w:right w:val="none" w:sz="0" w:space="0" w:color="auto"/>
      </w:divBdr>
    </w:div>
    <w:div w:id="839467219">
      <w:bodyDiv w:val="1"/>
      <w:marLeft w:val="0"/>
      <w:marRight w:val="0"/>
      <w:marTop w:val="0"/>
      <w:marBottom w:val="0"/>
      <w:divBdr>
        <w:top w:val="none" w:sz="0" w:space="0" w:color="auto"/>
        <w:left w:val="none" w:sz="0" w:space="0" w:color="auto"/>
        <w:bottom w:val="none" w:sz="0" w:space="0" w:color="auto"/>
        <w:right w:val="none" w:sz="0" w:space="0" w:color="auto"/>
      </w:divBdr>
    </w:div>
    <w:div w:id="843857138">
      <w:bodyDiv w:val="1"/>
      <w:marLeft w:val="0"/>
      <w:marRight w:val="0"/>
      <w:marTop w:val="0"/>
      <w:marBottom w:val="0"/>
      <w:divBdr>
        <w:top w:val="none" w:sz="0" w:space="0" w:color="auto"/>
        <w:left w:val="none" w:sz="0" w:space="0" w:color="auto"/>
        <w:bottom w:val="none" w:sz="0" w:space="0" w:color="auto"/>
        <w:right w:val="none" w:sz="0" w:space="0" w:color="auto"/>
      </w:divBdr>
    </w:div>
    <w:div w:id="845167606">
      <w:bodyDiv w:val="1"/>
      <w:marLeft w:val="0"/>
      <w:marRight w:val="0"/>
      <w:marTop w:val="0"/>
      <w:marBottom w:val="0"/>
      <w:divBdr>
        <w:top w:val="none" w:sz="0" w:space="0" w:color="auto"/>
        <w:left w:val="none" w:sz="0" w:space="0" w:color="auto"/>
        <w:bottom w:val="none" w:sz="0" w:space="0" w:color="auto"/>
        <w:right w:val="none" w:sz="0" w:space="0" w:color="auto"/>
      </w:divBdr>
      <w:divsChild>
        <w:div w:id="2095517775">
          <w:marLeft w:val="0"/>
          <w:marRight w:val="0"/>
          <w:marTop w:val="0"/>
          <w:marBottom w:val="0"/>
          <w:divBdr>
            <w:top w:val="none" w:sz="0" w:space="0" w:color="auto"/>
            <w:left w:val="none" w:sz="0" w:space="0" w:color="auto"/>
            <w:bottom w:val="none" w:sz="0" w:space="0" w:color="auto"/>
            <w:right w:val="none" w:sz="0" w:space="0" w:color="auto"/>
          </w:divBdr>
        </w:div>
      </w:divsChild>
    </w:div>
    <w:div w:id="846480440">
      <w:bodyDiv w:val="1"/>
      <w:marLeft w:val="0"/>
      <w:marRight w:val="0"/>
      <w:marTop w:val="0"/>
      <w:marBottom w:val="0"/>
      <w:divBdr>
        <w:top w:val="none" w:sz="0" w:space="0" w:color="auto"/>
        <w:left w:val="none" w:sz="0" w:space="0" w:color="auto"/>
        <w:bottom w:val="none" w:sz="0" w:space="0" w:color="auto"/>
        <w:right w:val="none" w:sz="0" w:space="0" w:color="auto"/>
      </w:divBdr>
    </w:div>
    <w:div w:id="852765665">
      <w:bodyDiv w:val="1"/>
      <w:marLeft w:val="0"/>
      <w:marRight w:val="0"/>
      <w:marTop w:val="0"/>
      <w:marBottom w:val="0"/>
      <w:divBdr>
        <w:top w:val="none" w:sz="0" w:space="0" w:color="auto"/>
        <w:left w:val="none" w:sz="0" w:space="0" w:color="auto"/>
        <w:bottom w:val="none" w:sz="0" w:space="0" w:color="auto"/>
        <w:right w:val="none" w:sz="0" w:space="0" w:color="auto"/>
      </w:divBdr>
    </w:div>
    <w:div w:id="854224841">
      <w:bodyDiv w:val="1"/>
      <w:marLeft w:val="0"/>
      <w:marRight w:val="0"/>
      <w:marTop w:val="0"/>
      <w:marBottom w:val="0"/>
      <w:divBdr>
        <w:top w:val="none" w:sz="0" w:space="0" w:color="auto"/>
        <w:left w:val="none" w:sz="0" w:space="0" w:color="auto"/>
        <w:bottom w:val="none" w:sz="0" w:space="0" w:color="auto"/>
        <w:right w:val="none" w:sz="0" w:space="0" w:color="auto"/>
      </w:divBdr>
    </w:div>
    <w:div w:id="857349797">
      <w:bodyDiv w:val="1"/>
      <w:marLeft w:val="0"/>
      <w:marRight w:val="0"/>
      <w:marTop w:val="0"/>
      <w:marBottom w:val="0"/>
      <w:divBdr>
        <w:top w:val="none" w:sz="0" w:space="0" w:color="auto"/>
        <w:left w:val="none" w:sz="0" w:space="0" w:color="auto"/>
        <w:bottom w:val="none" w:sz="0" w:space="0" w:color="auto"/>
        <w:right w:val="none" w:sz="0" w:space="0" w:color="auto"/>
      </w:divBdr>
    </w:div>
    <w:div w:id="859126561">
      <w:bodyDiv w:val="1"/>
      <w:marLeft w:val="0"/>
      <w:marRight w:val="0"/>
      <w:marTop w:val="0"/>
      <w:marBottom w:val="0"/>
      <w:divBdr>
        <w:top w:val="none" w:sz="0" w:space="0" w:color="auto"/>
        <w:left w:val="none" w:sz="0" w:space="0" w:color="auto"/>
        <w:bottom w:val="none" w:sz="0" w:space="0" w:color="auto"/>
        <w:right w:val="none" w:sz="0" w:space="0" w:color="auto"/>
      </w:divBdr>
    </w:div>
    <w:div w:id="859899839">
      <w:bodyDiv w:val="1"/>
      <w:marLeft w:val="0"/>
      <w:marRight w:val="0"/>
      <w:marTop w:val="0"/>
      <w:marBottom w:val="0"/>
      <w:divBdr>
        <w:top w:val="none" w:sz="0" w:space="0" w:color="auto"/>
        <w:left w:val="none" w:sz="0" w:space="0" w:color="auto"/>
        <w:bottom w:val="none" w:sz="0" w:space="0" w:color="auto"/>
        <w:right w:val="none" w:sz="0" w:space="0" w:color="auto"/>
      </w:divBdr>
    </w:div>
    <w:div w:id="866528826">
      <w:bodyDiv w:val="1"/>
      <w:marLeft w:val="0"/>
      <w:marRight w:val="0"/>
      <w:marTop w:val="0"/>
      <w:marBottom w:val="0"/>
      <w:divBdr>
        <w:top w:val="none" w:sz="0" w:space="0" w:color="auto"/>
        <w:left w:val="none" w:sz="0" w:space="0" w:color="auto"/>
        <w:bottom w:val="none" w:sz="0" w:space="0" w:color="auto"/>
        <w:right w:val="none" w:sz="0" w:space="0" w:color="auto"/>
      </w:divBdr>
    </w:div>
    <w:div w:id="871455673">
      <w:bodyDiv w:val="1"/>
      <w:marLeft w:val="0"/>
      <w:marRight w:val="0"/>
      <w:marTop w:val="0"/>
      <w:marBottom w:val="0"/>
      <w:divBdr>
        <w:top w:val="none" w:sz="0" w:space="0" w:color="auto"/>
        <w:left w:val="none" w:sz="0" w:space="0" w:color="auto"/>
        <w:bottom w:val="none" w:sz="0" w:space="0" w:color="auto"/>
        <w:right w:val="none" w:sz="0" w:space="0" w:color="auto"/>
      </w:divBdr>
    </w:div>
    <w:div w:id="875897693">
      <w:bodyDiv w:val="1"/>
      <w:marLeft w:val="0"/>
      <w:marRight w:val="0"/>
      <w:marTop w:val="0"/>
      <w:marBottom w:val="0"/>
      <w:divBdr>
        <w:top w:val="none" w:sz="0" w:space="0" w:color="auto"/>
        <w:left w:val="none" w:sz="0" w:space="0" w:color="auto"/>
        <w:bottom w:val="none" w:sz="0" w:space="0" w:color="auto"/>
        <w:right w:val="none" w:sz="0" w:space="0" w:color="auto"/>
      </w:divBdr>
    </w:div>
    <w:div w:id="877863687">
      <w:bodyDiv w:val="1"/>
      <w:marLeft w:val="0"/>
      <w:marRight w:val="0"/>
      <w:marTop w:val="0"/>
      <w:marBottom w:val="0"/>
      <w:divBdr>
        <w:top w:val="none" w:sz="0" w:space="0" w:color="auto"/>
        <w:left w:val="none" w:sz="0" w:space="0" w:color="auto"/>
        <w:bottom w:val="none" w:sz="0" w:space="0" w:color="auto"/>
        <w:right w:val="none" w:sz="0" w:space="0" w:color="auto"/>
      </w:divBdr>
    </w:div>
    <w:div w:id="885530345">
      <w:bodyDiv w:val="1"/>
      <w:marLeft w:val="0"/>
      <w:marRight w:val="0"/>
      <w:marTop w:val="0"/>
      <w:marBottom w:val="0"/>
      <w:divBdr>
        <w:top w:val="none" w:sz="0" w:space="0" w:color="auto"/>
        <w:left w:val="none" w:sz="0" w:space="0" w:color="auto"/>
        <w:bottom w:val="none" w:sz="0" w:space="0" w:color="auto"/>
        <w:right w:val="none" w:sz="0" w:space="0" w:color="auto"/>
      </w:divBdr>
    </w:div>
    <w:div w:id="888419384">
      <w:bodyDiv w:val="1"/>
      <w:marLeft w:val="0"/>
      <w:marRight w:val="0"/>
      <w:marTop w:val="0"/>
      <w:marBottom w:val="0"/>
      <w:divBdr>
        <w:top w:val="none" w:sz="0" w:space="0" w:color="auto"/>
        <w:left w:val="none" w:sz="0" w:space="0" w:color="auto"/>
        <w:bottom w:val="none" w:sz="0" w:space="0" w:color="auto"/>
        <w:right w:val="none" w:sz="0" w:space="0" w:color="auto"/>
      </w:divBdr>
    </w:div>
    <w:div w:id="892430106">
      <w:bodyDiv w:val="1"/>
      <w:marLeft w:val="0"/>
      <w:marRight w:val="0"/>
      <w:marTop w:val="0"/>
      <w:marBottom w:val="0"/>
      <w:divBdr>
        <w:top w:val="none" w:sz="0" w:space="0" w:color="auto"/>
        <w:left w:val="none" w:sz="0" w:space="0" w:color="auto"/>
        <w:bottom w:val="none" w:sz="0" w:space="0" w:color="auto"/>
        <w:right w:val="none" w:sz="0" w:space="0" w:color="auto"/>
      </w:divBdr>
    </w:div>
    <w:div w:id="893468163">
      <w:bodyDiv w:val="1"/>
      <w:marLeft w:val="0"/>
      <w:marRight w:val="0"/>
      <w:marTop w:val="0"/>
      <w:marBottom w:val="0"/>
      <w:divBdr>
        <w:top w:val="none" w:sz="0" w:space="0" w:color="auto"/>
        <w:left w:val="none" w:sz="0" w:space="0" w:color="auto"/>
        <w:bottom w:val="none" w:sz="0" w:space="0" w:color="auto"/>
        <w:right w:val="none" w:sz="0" w:space="0" w:color="auto"/>
      </w:divBdr>
    </w:div>
    <w:div w:id="894387266">
      <w:bodyDiv w:val="1"/>
      <w:marLeft w:val="0"/>
      <w:marRight w:val="0"/>
      <w:marTop w:val="0"/>
      <w:marBottom w:val="0"/>
      <w:divBdr>
        <w:top w:val="none" w:sz="0" w:space="0" w:color="auto"/>
        <w:left w:val="none" w:sz="0" w:space="0" w:color="auto"/>
        <w:bottom w:val="none" w:sz="0" w:space="0" w:color="auto"/>
        <w:right w:val="none" w:sz="0" w:space="0" w:color="auto"/>
      </w:divBdr>
    </w:div>
    <w:div w:id="896010779">
      <w:bodyDiv w:val="1"/>
      <w:marLeft w:val="0"/>
      <w:marRight w:val="0"/>
      <w:marTop w:val="0"/>
      <w:marBottom w:val="0"/>
      <w:divBdr>
        <w:top w:val="none" w:sz="0" w:space="0" w:color="auto"/>
        <w:left w:val="none" w:sz="0" w:space="0" w:color="auto"/>
        <w:bottom w:val="none" w:sz="0" w:space="0" w:color="auto"/>
        <w:right w:val="none" w:sz="0" w:space="0" w:color="auto"/>
      </w:divBdr>
    </w:div>
    <w:div w:id="904023766">
      <w:bodyDiv w:val="1"/>
      <w:marLeft w:val="0"/>
      <w:marRight w:val="0"/>
      <w:marTop w:val="0"/>
      <w:marBottom w:val="0"/>
      <w:divBdr>
        <w:top w:val="none" w:sz="0" w:space="0" w:color="auto"/>
        <w:left w:val="none" w:sz="0" w:space="0" w:color="auto"/>
        <w:bottom w:val="none" w:sz="0" w:space="0" w:color="auto"/>
        <w:right w:val="none" w:sz="0" w:space="0" w:color="auto"/>
      </w:divBdr>
    </w:div>
    <w:div w:id="907231355">
      <w:bodyDiv w:val="1"/>
      <w:marLeft w:val="0"/>
      <w:marRight w:val="0"/>
      <w:marTop w:val="0"/>
      <w:marBottom w:val="0"/>
      <w:divBdr>
        <w:top w:val="none" w:sz="0" w:space="0" w:color="auto"/>
        <w:left w:val="none" w:sz="0" w:space="0" w:color="auto"/>
        <w:bottom w:val="none" w:sz="0" w:space="0" w:color="auto"/>
        <w:right w:val="none" w:sz="0" w:space="0" w:color="auto"/>
      </w:divBdr>
    </w:div>
    <w:div w:id="918752477">
      <w:bodyDiv w:val="1"/>
      <w:marLeft w:val="0"/>
      <w:marRight w:val="0"/>
      <w:marTop w:val="0"/>
      <w:marBottom w:val="0"/>
      <w:divBdr>
        <w:top w:val="none" w:sz="0" w:space="0" w:color="auto"/>
        <w:left w:val="none" w:sz="0" w:space="0" w:color="auto"/>
        <w:bottom w:val="none" w:sz="0" w:space="0" w:color="auto"/>
        <w:right w:val="none" w:sz="0" w:space="0" w:color="auto"/>
      </w:divBdr>
    </w:div>
    <w:div w:id="931015244">
      <w:bodyDiv w:val="1"/>
      <w:marLeft w:val="0"/>
      <w:marRight w:val="0"/>
      <w:marTop w:val="0"/>
      <w:marBottom w:val="0"/>
      <w:divBdr>
        <w:top w:val="none" w:sz="0" w:space="0" w:color="auto"/>
        <w:left w:val="none" w:sz="0" w:space="0" w:color="auto"/>
        <w:bottom w:val="none" w:sz="0" w:space="0" w:color="auto"/>
        <w:right w:val="none" w:sz="0" w:space="0" w:color="auto"/>
      </w:divBdr>
      <w:divsChild>
        <w:div w:id="162473688">
          <w:marLeft w:val="0"/>
          <w:marRight w:val="0"/>
          <w:marTop w:val="0"/>
          <w:marBottom w:val="0"/>
          <w:divBdr>
            <w:top w:val="none" w:sz="0" w:space="0" w:color="auto"/>
            <w:left w:val="none" w:sz="0" w:space="0" w:color="auto"/>
            <w:bottom w:val="none" w:sz="0" w:space="0" w:color="auto"/>
            <w:right w:val="none" w:sz="0" w:space="0" w:color="auto"/>
          </w:divBdr>
          <w:divsChild>
            <w:div w:id="88914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77518">
      <w:bodyDiv w:val="1"/>
      <w:marLeft w:val="0"/>
      <w:marRight w:val="0"/>
      <w:marTop w:val="0"/>
      <w:marBottom w:val="0"/>
      <w:divBdr>
        <w:top w:val="none" w:sz="0" w:space="0" w:color="auto"/>
        <w:left w:val="none" w:sz="0" w:space="0" w:color="auto"/>
        <w:bottom w:val="none" w:sz="0" w:space="0" w:color="auto"/>
        <w:right w:val="none" w:sz="0" w:space="0" w:color="auto"/>
      </w:divBdr>
    </w:div>
    <w:div w:id="936716807">
      <w:bodyDiv w:val="1"/>
      <w:marLeft w:val="0"/>
      <w:marRight w:val="0"/>
      <w:marTop w:val="0"/>
      <w:marBottom w:val="0"/>
      <w:divBdr>
        <w:top w:val="none" w:sz="0" w:space="0" w:color="auto"/>
        <w:left w:val="none" w:sz="0" w:space="0" w:color="auto"/>
        <w:bottom w:val="none" w:sz="0" w:space="0" w:color="auto"/>
        <w:right w:val="none" w:sz="0" w:space="0" w:color="auto"/>
      </w:divBdr>
    </w:div>
    <w:div w:id="944457827">
      <w:bodyDiv w:val="1"/>
      <w:marLeft w:val="0"/>
      <w:marRight w:val="0"/>
      <w:marTop w:val="0"/>
      <w:marBottom w:val="0"/>
      <w:divBdr>
        <w:top w:val="none" w:sz="0" w:space="0" w:color="auto"/>
        <w:left w:val="none" w:sz="0" w:space="0" w:color="auto"/>
        <w:bottom w:val="none" w:sz="0" w:space="0" w:color="auto"/>
        <w:right w:val="none" w:sz="0" w:space="0" w:color="auto"/>
      </w:divBdr>
    </w:div>
    <w:div w:id="946699328">
      <w:bodyDiv w:val="1"/>
      <w:marLeft w:val="0"/>
      <w:marRight w:val="0"/>
      <w:marTop w:val="0"/>
      <w:marBottom w:val="0"/>
      <w:divBdr>
        <w:top w:val="none" w:sz="0" w:space="0" w:color="auto"/>
        <w:left w:val="none" w:sz="0" w:space="0" w:color="auto"/>
        <w:bottom w:val="none" w:sz="0" w:space="0" w:color="auto"/>
        <w:right w:val="none" w:sz="0" w:space="0" w:color="auto"/>
      </w:divBdr>
    </w:div>
    <w:div w:id="953368664">
      <w:bodyDiv w:val="1"/>
      <w:marLeft w:val="0"/>
      <w:marRight w:val="0"/>
      <w:marTop w:val="0"/>
      <w:marBottom w:val="0"/>
      <w:divBdr>
        <w:top w:val="none" w:sz="0" w:space="0" w:color="auto"/>
        <w:left w:val="none" w:sz="0" w:space="0" w:color="auto"/>
        <w:bottom w:val="none" w:sz="0" w:space="0" w:color="auto"/>
        <w:right w:val="none" w:sz="0" w:space="0" w:color="auto"/>
      </w:divBdr>
    </w:div>
    <w:div w:id="958298162">
      <w:bodyDiv w:val="1"/>
      <w:marLeft w:val="0"/>
      <w:marRight w:val="0"/>
      <w:marTop w:val="0"/>
      <w:marBottom w:val="0"/>
      <w:divBdr>
        <w:top w:val="none" w:sz="0" w:space="0" w:color="auto"/>
        <w:left w:val="none" w:sz="0" w:space="0" w:color="auto"/>
        <w:bottom w:val="none" w:sz="0" w:space="0" w:color="auto"/>
        <w:right w:val="none" w:sz="0" w:space="0" w:color="auto"/>
      </w:divBdr>
    </w:div>
    <w:div w:id="965743545">
      <w:bodyDiv w:val="1"/>
      <w:marLeft w:val="0"/>
      <w:marRight w:val="0"/>
      <w:marTop w:val="0"/>
      <w:marBottom w:val="0"/>
      <w:divBdr>
        <w:top w:val="none" w:sz="0" w:space="0" w:color="auto"/>
        <w:left w:val="none" w:sz="0" w:space="0" w:color="auto"/>
        <w:bottom w:val="none" w:sz="0" w:space="0" w:color="auto"/>
        <w:right w:val="none" w:sz="0" w:space="0" w:color="auto"/>
      </w:divBdr>
    </w:div>
    <w:div w:id="975990848">
      <w:bodyDiv w:val="1"/>
      <w:marLeft w:val="0"/>
      <w:marRight w:val="0"/>
      <w:marTop w:val="0"/>
      <w:marBottom w:val="0"/>
      <w:divBdr>
        <w:top w:val="none" w:sz="0" w:space="0" w:color="auto"/>
        <w:left w:val="none" w:sz="0" w:space="0" w:color="auto"/>
        <w:bottom w:val="none" w:sz="0" w:space="0" w:color="auto"/>
        <w:right w:val="none" w:sz="0" w:space="0" w:color="auto"/>
      </w:divBdr>
    </w:div>
    <w:div w:id="978268470">
      <w:bodyDiv w:val="1"/>
      <w:marLeft w:val="0"/>
      <w:marRight w:val="0"/>
      <w:marTop w:val="0"/>
      <w:marBottom w:val="0"/>
      <w:divBdr>
        <w:top w:val="none" w:sz="0" w:space="0" w:color="auto"/>
        <w:left w:val="none" w:sz="0" w:space="0" w:color="auto"/>
        <w:bottom w:val="none" w:sz="0" w:space="0" w:color="auto"/>
        <w:right w:val="none" w:sz="0" w:space="0" w:color="auto"/>
      </w:divBdr>
    </w:div>
    <w:div w:id="978388604">
      <w:bodyDiv w:val="1"/>
      <w:marLeft w:val="0"/>
      <w:marRight w:val="0"/>
      <w:marTop w:val="0"/>
      <w:marBottom w:val="0"/>
      <w:divBdr>
        <w:top w:val="none" w:sz="0" w:space="0" w:color="auto"/>
        <w:left w:val="none" w:sz="0" w:space="0" w:color="auto"/>
        <w:bottom w:val="none" w:sz="0" w:space="0" w:color="auto"/>
        <w:right w:val="none" w:sz="0" w:space="0" w:color="auto"/>
      </w:divBdr>
    </w:div>
    <w:div w:id="979306645">
      <w:bodyDiv w:val="1"/>
      <w:marLeft w:val="0"/>
      <w:marRight w:val="0"/>
      <w:marTop w:val="0"/>
      <w:marBottom w:val="0"/>
      <w:divBdr>
        <w:top w:val="none" w:sz="0" w:space="0" w:color="auto"/>
        <w:left w:val="none" w:sz="0" w:space="0" w:color="auto"/>
        <w:bottom w:val="none" w:sz="0" w:space="0" w:color="auto"/>
        <w:right w:val="none" w:sz="0" w:space="0" w:color="auto"/>
      </w:divBdr>
    </w:div>
    <w:div w:id="985473558">
      <w:bodyDiv w:val="1"/>
      <w:marLeft w:val="0"/>
      <w:marRight w:val="0"/>
      <w:marTop w:val="0"/>
      <w:marBottom w:val="0"/>
      <w:divBdr>
        <w:top w:val="none" w:sz="0" w:space="0" w:color="auto"/>
        <w:left w:val="none" w:sz="0" w:space="0" w:color="auto"/>
        <w:bottom w:val="none" w:sz="0" w:space="0" w:color="auto"/>
        <w:right w:val="none" w:sz="0" w:space="0" w:color="auto"/>
      </w:divBdr>
    </w:div>
    <w:div w:id="997419523">
      <w:bodyDiv w:val="1"/>
      <w:marLeft w:val="0"/>
      <w:marRight w:val="0"/>
      <w:marTop w:val="0"/>
      <w:marBottom w:val="0"/>
      <w:divBdr>
        <w:top w:val="none" w:sz="0" w:space="0" w:color="auto"/>
        <w:left w:val="none" w:sz="0" w:space="0" w:color="auto"/>
        <w:bottom w:val="none" w:sz="0" w:space="0" w:color="auto"/>
        <w:right w:val="none" w:sz="0" w:space="0" w:color="auto"/>
      </w:divBdr>
    </w:div>
    <w:div w:id="1008098190">
      <w:bodyDiv w:val="1"/>
      <w:marLeft w:val="0"/>
      <w:marRight w:val="0"/>
      <w:marTop w:val="0"/>
      <w:marBottom w:val="0"/>
      <w:divBdr>
        <w:top w:val="none" w:sz="0" w:space="0" w:color="auto"/>
        <w:left w:val="none" w:sz="0" w:space="0" w:color="auto"/>
        <w:bottom w:val="none" w:sz="0" w:space="0" w:color="auto"/>
        <w:right w:val="none" w:sz="0" w:space="0" w:color="auto"/>
      </w:divBdr>
    </w:div>
    <w:div w:id="1015494042">
      <w:bodyDiv w:val="1"/>
      <w:marLeft w:val="0"/>
      <w:marRight w:val="0"/>
      <w:marTop w:val="0"/>
      <w:marBottom w:val="0"/>
      <w:divBdr>
        <w:top w:val="none" w:sz="0" w:space="0" w:color="auto"/>
        <w:left w:val="none" w:sz="0" w:space="0" w:color="auto"/>
        <w:bottom w:val="none" w:sz="0" w:space="0" w:color="auto"/>
        <w:right w:val="none" w:sz="0" w:space="0" w:color="auto"/>
      </w:divBdr>
    </w:div>
    <w:div w:id="1022708374">
      <w:bodyDiv w:val="1"/>
      <w:marLeft w:val="0"/>
      <w:marRight w:val="0"/>
      <w:marTop w:val="0"/>
      <w:marBottom w:val="0"/>
      <w:divBdr>
        <w:top w:val="none" w:sz="0" w:space="0" w:color="auto"/>
        <w:left w:val="none" w:sz="0" w:space="0" w:color="auto"/>
        <w:bottom w:val="none" w:sz="0" w:space="0" w:color="auto"/>
        <w:right w:val="none" w:sz="0" w:space="0" w:color="auto"/>
      </w:divBdr>
    </w:div>
    <w:div w:id="1026366649">
      <w:bodyDiv w:val="1"/>
      <w:marLeft w:val="0"/>
      <w:marRight w:val="0"/>
      <w:marTop w:val="0"/>
      <w:marBottom w:val="0"/>
      <w:divBdr>
        <w:top w:val="none" w:sz="0" w:space="0" w:color="auto"/>
        <w:left w:val="none" w:sz="0" w:space="0" w:color="auto"/>
        <w:bottom w:val="none" w:sz="0" w:space="0" w:color="auto"/>
        <w:right w:val="none" w:sz="0" w:space="0" w:color="auto"/>
      </w:divBdr>
    </w:div>
    <w:div w:id="1034765525">
      <w:bodyDiv w:val="1"/>
      <w:marLeft w:val="0"/>
      <w:marRight w:val="0"/>
      <w:marTop w:val="0"/>
      <w:marBottom w:val="0"/>
      <w:divBdr>
        <w:top w:val="none" w:sz="0" w:space="0" w:color="auto"/>
        <w:left w:val="none" w:sz="0" w:space="0" w:color="auto"/>
        <w:bottom w:val="none" w:sz="0" w:space="0" w:color="auto"/>
        <w:right w:val="none" w:sz="0" w:space="0" w:color="auto"/>
      </w:divBdr>
    </w:div>
    <w:div w:id="1038893407">
      <w:bodyDiv w:val="1"/>
      <w:marLeft w:val="0"/>
      <w:marRight w:val="0"/>
      <w:marTop w:val="0"/>
      <w:marBottom w:val="0"/>
      <w:divBdr>
        <w:top w:val="none" w:sz="0" w:space="0" w:color="auto"/>
        <w:left w:val="none" w:sz="0" w:space="0" w:color="auto"/>
        <w:bottom w:val="none" w:sz="0" w:space="0" w:color="auto"/>
        <w:right w:val="none" w:sz="0" w:space="0" w:color="auto"/>
      </w:divBdr>
    </w:div>
    <w:div w:id="1041788187">
      <w:bodyDiv w:val="1"/>
      <w:marLeft w:val="0"/>
      <w:marRight w:val="0"/>
      <w:marTop w:val="0"/>
      <w:marBottom w:val="0"/>
      <w:divBdr>
        <w:top w:val="none" w:sz="0" w:space="0" w:color="auto"/>
        <w:left w:val="none" w:sz="0" w:space="0" w:color="auto"/>
        <w:bottom w:val="none" w:sz="0" w:space="0" w:color="auto"/>
        <w:right w:val="none" w:sz="0" w:space="0" w:color="auto"/>
      </w:divBdr>
    </w:div>
    <w:div w:id="1043209781">
      <w:bodyDiv w:val="1"/>
      <w:marLeft w:val="0"/>
      <w:marRight w:val="0"/>
      <w:marTop w:val="0"/>
      <w:marBottom w:val="0"/>
      <w:divBdr>
        <w:top w:val="none" w:sz="0" w:space="0" w:color="auto"/>
        <w:left w:val="none" w:sz="0" w:space="0" w:color="auto"/>
        <w:bottom w:val="none" w:sz="0" w:space="0" w:color="auto"/>
        <w:right w:val="none" w:sz="0" w:space="0" w:color="auto"/>
      </w:divBdr>
    </w:div>
    <w:div w:id="1046753668">
      <w:bodyDiv w:val="1"/>
      <w:marLeft w:val="0"/>
      <w:marRight w:val="0"/>
      <w:marTop w:val="0"/>
      <w:marBottom w:val="0"/>
      <w:divBdr>
        <w:top w:val="none" w:sz="0" w:space="0" w:color="auto"/>
        <w:left w:val="none" w:sz="0" w:space="0" w:color="auto"/>
        <w:bottom w:val="none" w:sz="0" w:space="0" w:color="auto"/>
        <w:right w:val="none" w:sz="0" w:space="0" w:color="auto"/>
      </w:divBdr>
      <w:divsChild>
        <w:div w:id="1140461375">
          <w:marLeft w:val="0"/>
          <w:marRight w:val="0"/>
          <w:marTop w:val="0"/>
          <w:marBottom w:val="0"/>
          <w:divBdr>
            <w:top w:val="none" w:sz="0" w:space="0" w:color="auto"/>
            <w:left w:val="none" w:sz="0" w:space="0" w:color="auto"/>
            <w:bottom w:val="none" w:sz="0" w:space="0" w:color="auto"/>
            <w:right w:val="none" w:sz="0" w:space="0" w:color="auto"/>
          </w:divBdr>
        </w:div>
      </w:divsChild>
    </w:div>
    <w:div w:id="1047142737">
      <w:bodyDiv w:val="1"/>
      <w:marLeft w:val="0"/>
      <w:marRight w:val="0"/>
      <w:marTop w:val="0"/>
      <w:marBottom w:val="0"/>
      <w:divBdr>
        <w:top w:val="none" w:sz="0" w:space="0" w:color="auto"/>
        <w:left w:val="none" w:sz="0" w:space="0" w:color="auto"/>
        <w:bottom w:val="none" w:sz="0" w:space="0" w:color="auto"/>
        <w:right w:val="none" w:sz="0" w:space="0" w:color="auto"/>
      </w:divBdr>
    </w:div>
    <w:div w:id="1051421086">
      <w:bodyDiv w:val="1"/>
      <w:marLeft w:val="0"/>
      <w:marRight w:val="0"/>
      <w:marTop w:val="0"/>
      <w:marBottom w:val="0"/>
      <w:divBdr>
        <w:top w:val="none" w:sz="0" w:space="0" w:color="auto"/>
        <w:left w:val="none" w:sz="0" w:space="0" w:color="auto"/>
        <w:bottom w:val="none" w:sz="0" w:space="0" w:color="auto"/>
        <w:right w:val="none" w:sz="0" w:space="0" w:color="auto"/>
      </w:divBdr>
    </w:div>
    <w:div w:id="1063523460">
      <w:bodyDiv w:val="1"/>
      <w:marLeft w:val="0"/>
      <w:marRight w:val="0"/>
      <w:marTop w:val="0"/>
      <w:marBottom w:val="0"/>
      <w:divBdr>
        <w:top w:val="none" w:sz="0" w:space="0" w:color="auto"/>
        <w:left w:val="none" w:sz="0" w:space="0" w:color="auto"/>
        <w:bottom w:val="none" w:sz="0" w:space="0" w:color="auto"/>
        <w:right w:val="none" w:sz="0" w:space="0" w:color="auto"/>
      </w:divBdr>
    </w:div>
    <w:div w:id="1065182823">
      <w:bodyDiv w:val="1"/>
      <w:marLeft w:val="0"/>
      <w:marRight w:val="0"/>
      <w:marTop w:val="0"/>
      <w:marBottom w:val="0"/>
      <w:divBdr>
        <w:top w:val="none" w:sz="0" w:space="0" w:color="auto"/>
        <w:left w:val="none" w:sz="0" w:space="0" w:color="auto"/>
        <w:bottom w:val="none" w:sz="0" w:space="0" w:color="auto"/>
        <w:right w:val="none" w:sz="0" w:space="0" w:color="auto"/>
      </w:divBdr>
    </w:div>
    <w:div w:id="1066489723">
      <w:bodyDiv w:val="1"/>
      <w:marLeft w:val="0"/>
      <w:marRight w:val="0"/>
      <w:marTop w:val="0"/>
      <w:marBottom w:val="0"/>
      <w:divBdr>
        <w:top w:val="none" w:sz="0" w:space="0" w:color="auto"/>
        <w:left w:val="none" w:sz="0" w:space="0" w:color="auto"/>
        <w:bottom w:val="none" w:sz="0" w:space="0" w:color="auto"/>
        <w:right w:val="none" w:sz="0" w:space="0" w:color="auto"/>
      </w:divBdr>
    </w:div>
    <w:div w:id="1069497249">
      <w:bodyDiv w:val="1"/>
      <w:marLeft w:val="0"/>
      <w:marRight w:val="0"/>
      <w:marTop w:val="0"/>
      <w:marBottom w:val="0"/>
      <w:divBdr>
        <w:top w:val="none" w:sz="0" w:space="0" w:color="auto"/>
        <w:left w:val="none" w:sz="0" w:space="0" w:color="auto"/>
        <w:bottom w:val="none" w:sz="0" w:space="0" w:color="auto"/>
        <w:right w:val="none" w:sz="0" w:space="0" w:color="auto"/>
      </w:divBdr>
    </w:div>
    <w:div w:id="1072847184">
      <w:bodyDiv w:val="1"/>
      <w:marLeft w:val="0"/>
      <w:marRight w:val="0"/>
      <w:marTop w:val="0"/>
      <w:marBottom w:val="0"/>
      <w:divBdr>
        <w:top w:val="none" w:sz="0" w:space="0" w:color="auto"/>
        <w:left w:val="none" w:sz="0" w:space="0" w:color="auto"/>
        <w:bottom w:val="none" w:sz="0" w:space="0" w:color="auto"/>
        <w:right w:val="none" w:sz="0" w:space="0" w:color="auto"/>
      </w:divBdr>
    </w:div>
    <w:div w:id="1077753554">
      <w:bodyDiv w:val="1"/>
      <w:marLeft w:val="0"/>
      <w:marRight w:val="0"/>
      <w:marTop w:val="0"/>
      <w:marBottom w:val="0"/>
      <w:divBdr>
        <w:top w:val="none" w:sz="0" w:space="0" w:color="auto"/>
        <w:left w:val="none" w:sz="0" w:space="0" w:color="auto"/>
        <w:bottom w:val="none" w:sz="0" w:space="0" w:color="auto"/>
        <w:right w:val="none" w:sz="0" w:space="0" w:color="auto"/>
      </w:divBdr>
    </w:div>
    <w:div w:id="1079330451">
      <w:bodyDiv w:val="1"/>
      <w:marLeft w:val="0"/>
      <w:marRight w:val="0"/>
      <w:marTop w:val="0"/>
      <w:marBottom w:val="0"/>
      <w:divBdr>
        <w:top w:val="none" w:sz="0" w:space="0" w:color="auto"/>
        <w:left w:val="none" w:sz="0" w:space="0" w:color="auto"/>
        <w:bottom w:val="none" w:sz="0" w:space="0" w:color="auto"/>
        <w:right w:val="none" w:sz="0" w:space="0" w:color="auto"/>
      </w:divBdr>
    </w:div>
    <w:div w:id="1084034411">
      <w:bodyDiv w:val="1"/>
      <w:marLeft w:val="0"/>
      <w:marRight w:val="0"/>
      <w:marTop w:val="0"/>
      <w:marBottom w:val="0"/>
      <w:divBdr>
        <w:top w:val="none" w:sz="0" w:space="0" w:color="auto"/>
        <w:left w:val="none" w:sz="0" w:space="0" w:color="auto"/>
        <w:bottom w:val="none" w:sz="0" w:space="0" w:color="auto"/>
        <w:right w:val="none" w:sz="0" w:space="0" w:color="auto"/>
      </w:divBdr>
    </w:div>
    <w:div w:id="1087727050">
      <w:bodyDiv w:val="1"/>
      <w:marLeft w:val="0"/>
      <w:marRight w:val="0"/>
      <w:marTop w:val="0"/>
      <w:marBottom w:val="0"/>
      <w:divBdr>
        <w:top w:val="none" w:sz="0" w:space="0" w:color="auto"/>
        <w:left w:val="none" w:sz="0" w:space="0" w:color="auto"/>
        <w:bottom w:val="none" w:sz="0" w:space="0" w:color="auto"/>
        <w:right w:val="none" w:sz="0" w:space="0" w:color="auto"/>
      </w:divBdr>
    </w:div>
    <w:div w:id="1100176049">
      <w:bodyDiv w:val="1"/>
      <w:marLeft w:val="0"/>
      <w:marRight w:val="0"/>
      <w:marTop w:val="0"/>
      <w:marBottom w:val="0"/>
      <w:divBdr>
        <w:top w:val="none" w:sz="0" w:space="0" w:color="auto"/>
        <w:left w:val="none" w:sz="0" w:space="0" w:color="auto"/>
        <w:bottom w:val="none" w:sz="0" w:space="0" w:color="auto"/>
        <w:right w:val="none" w:sz="0" w:space="0" w:color="auto"/>
      </w:divBdr>
    </w:div>
    <w:div w:id="1100301588">
      <w:bodyDiv w:val="1"/>
      <w:marLeft w:val="0"/>
      <w:marRight w:val="0"/>
      <w:marTop w:val="0"/>
      <w:marBottom w:val="0"/>
      <w:divBdr>
        <w:top w:val="none" w:sz="0" w:space="0" w:color="auto"/>
        <w:left w:val="none" w:sz="0" w:space="0" w:color="auto"/>
        <w:bottom w:val="none" w:sz="0" w:space="0" w:color="auto"/>
        <w:right w:val="none" w:sz="0" w:space="0" w:color="auto"/>
      </w:divBdr>
    </w:div>
    <w:div w:id="1114520167">
      <w:bodyDiv w:val="1"/>
      <w:marLeft w:val="0"/>
      <w:marRight w:val="0"/>
      <w:marTop w:val="0"/>
      <w:marBottom w:val="0"/>
      <w:divBdr>
        <w:top w:val="none" w:sz="0" w:space="0" w:color="auto"/>
        <w:left w:val="none" w:sz="0" w:space="0" w:color="auto"/>
        <w:bottom w:val="none" w:sz="0" w:space="0" w:color="auto"/>
        <w:right w:val="none" w:sz="0" w:space="0" w:color="auto"/>
      </w:divBdr>
    </w:div>
    <w:div w:id="1117212757">
      <w:bodyDiv w:val="1"/>
      <w:marLeft w:val="0"/>
      <w:marRight w:val="0"/>
      <w:marTop w:val="0"/>
      <w:marBottom w:val="0"/>
      <w:divBdr>
        <w:top w:val="none" w:sz="0" w:space="0" w:color="auto"/>
        <w:left w:val="none" w:sz="0" w:space="0" w:color="auto"/>
        <w:bottom w:val="none" w:sz="0" w:space="0" w:color="auto"/>
        <w:right w:val="none" w:sz="0" w:space="0" w:color="auto"/>
      </w:divBdr>
    </w:div>
    <w:div w:id="1119297398">
      <w:bodyDiv w:val="1"/>
      <w:marLeft w:val="0"/>
      <w:marRight w:val="0"/>
      <w:marTop w:val="0"/>
      <w:marBottom w:val="0"/>
      <w:divBdr>
        <w:top w:val="none" w:sz="0" w:space="0" w:color="auto"/>
        <w:left w:val="none" w:sz="0" w:space="0" w:color="auto"/>
        <w:bottom w:val="none" w:sz="0" w:space="0" w:color="auto"/>
        <w:right w:val="none" w:sz="0" w:space="0" w:color="auto"/>
      </w:divBdr>
    </w:div>
    <w:div w:id="1123577817">
      <w:bodyDiv w:val="1"/>
      <w:marLeft w:val="0"/>
      <w:marRight w:val="0"/>
      <w:marTop w:val="0"/>
      <w:marBottom w:val="0"/>
      <w:divBdr>
        <w:top w:val="none" w:sz="0" w:space="0" w:color="auto"/>
        <w:left w:val="none" w:sz="0" w:space="0" w:color="auto"/>
        <w:bottom w:val="none" w:sz="0" w:space="0" w:color="auto"/>
        <w:right w:val="none" w:sz="0" w:space="0" w:color="auto"/>
      </w:divBdr>
    </w:div>
    <w:div w:id="1130517850">
      <w:bodyDiv w:val="1"/>
      <w:marLeft w:val="0"/>
      <w:marRight w:val="0"/>
      <w:marTop w:val="0"/>
      <w:marBottom w:val="0"/>
      <w:divBdr>
        <w:top w:val="none" w:sz="0" w:space="0" w:color="auto"/>
        <w:left w:val="none" w:sz="0" w:space="0" w:color="auto"/>
        <w:bottom w:val="none" w:sz="0" w:space="0" w:color="auto"/>
        <w:right w:val="none" w:sz="0" w:space="0" w:color="auto"/>
      </w:divBdr>
    </w:div>
    <w:div w:id="1131557303">
      <w:bodyDiv w:val="1"/>
      <w:marLeft w:val="0"/>
      <w:marRight w:val="0"/>
      <w:marTop w:val="0"/>
      <w:marBottom w:val="0"/>
      <w:divBdr>
        <w:top w:val="none" w:sz="0" w:space="0" w:color="auto"/>
        <w:left w:val="none" w:sz="0" w:space="0" w:color="auto"/>
        <w:bottom w:val="none" w:sz="0" w:space="0" w:color="auto"/>
        <w:right w:val="none" w:sz="0" w:space="0" w:color="auto"/>
      </w:divBdr>
    </w:div>
    <w:div w:id="1131939726">
      <w:bodyDiv w:val="1"/>
      <w:marLeft w:val="0"/>
      <w:marRight w:val="0"/>
      <w:marTop w:val="0"/>
      <w:marBottom w:val="0"/>
      <w:divBdr>
        <w:top w:val="none" w:sz="0" w:space="0" w:color="auto"/>
        <w:left w:val="none" w:sz="0" w:space="0" w:color="auto"/>
        <w:bottom w:val="none" w:sz="0" w:space="0" w:color="auto"/>
        <w:right w:val="none" w:sz="0" w:space="0" w:color="auto"/>
      </w:divBdr>
    </w:div>
    <w:div w:id="1135027763">
      <w:bodyDiv w:val="1"/>
      <w:marLeft w:val="0"/>
      <w:marRight w:val="0"/>
      <w:marTop w:val="0"/>
      <w:marBottom w:val="0"/>
      <w:divBdr>
        <w:top w:val="none" w:sz="0" w:space="0" w:color="auto"/>
        <w:left w:val="none" w:sz="0" w:space="0" w:color="auto"/>
        <w:bottom w:val="none" w:sz="0" w:space="0" w:color="auto"/>
        <w:right w:val="none" w:sz="0" w:space="0" w:color="auto"/>
      </w:divBdr>
    </w:div>
    <w:div w:id="1136678577">
      <w:bodyDiv w:val="1"/>
      <w:marLeft w:val="0"/>
      <w:marRight w:val="0"/>
      <w:marTop w:val="0"/>
      <w:marBottom w:val="0"/>
      <w:divBdr>
        <w:top w:val="none" w:sz="0" w:space="0" w:color="auto"/>
        <w:left w:val="none" w:sz="0" w:space="0" w:color="auto"/>
        <w:bottom w:val="none" w:sz="0" w:space="0" w:color="auto"/>
        <w:right w:val="none" w:sz="0" w:space="0" w:color="auto"/>
      </w:divBdr>
    </w:div>
    <w:div w:id="1150899651">
      <w:bodyDiv w:val="1"/>
      <w:marLeft w:val="0"/>
      <w:marRight w:val="0"/>
      <w:marTop w:val="0"/>
      <w:marBottom w:val="0"/>
      <w:divBdr>
        <w:top w:val="none" w:sz="0" w:space="0" w:color="auto"/>
        <w:left w:val="none" w:sz="0" w:space="0" w:color="auto"/>
        <w:bottom w:val="none" w:sz="0" w:space="0" w:color="auto"/>
        <w:right w:val="none" w:sz="0" w:space="0" w:color="auto"/>
      </w:divBdr>
    </w:div>
    <w:div w:id="1153448553">
      <w:bodyDiv w:val="1"/>
      <w:marLeft w:val="0"/>
      <w:marRight w:val="0"/>
      <w:marTop w:val="0"/>
      <w:marBottom w:val="0"/>
      <w:divBdr>
        <w:top w:val="none" w:sz="0" w:space="0" w:color="auto"/>
        <w:left w:val="none" w:sz="0" w:space="0" w:color="auto"/>
        <w:bottom w:val="none" w:sz="0" w:space="0" w:color="auto"/>
        <w:right w:val="none" w:sz="0" w:space="0" w:color="auto"/>
      </w:divBdr>
    </w:div>
    <w:div w:id="1154486829">
      <w:bodyDiv w:val="1"/>
      <w:marLeft w:val="0"/>
      <w:marRight w:val="0"/>
      <w:marTop w:val="0"/>
      <w:marBottom w:val="0"/>
      <w:divBdr>
        <w:top w:val="none" w:sz="0" w:space="0" w:color="auto"/>
        <w:left w:val="none" w:sz="0" w:space="0" w:color="auto"/>
        <w:bottom w:val="none" w:sz="0" w:space="0" w:color="auto"/>
        <w:right w:val="none" w:sz="0" w:space="0" w:color="auto"/>
      </w:divBdr>
      <w:divsChild>
        <w:div w:id="235013762">
          <w:marLeft w:val="0"/>
          <w:marRight w:val="0"/>
          <w:marTop w:val="0"/>
          <w:marBottom w:val="0"/>
          <w:divBdr>
            <w:top w:val="none" w:sz="0" w:space="0" w:color="auto"/>
            <w:left w:val="none" w:sz="0" w:space="0" w:color="auto"/>
            <w:bottom w:val="none" w:sz="0" w:space="0" w:color="auto"/>
            <w:right w:val="none" w:sz="0" w:space="0" w:color="auto"/>
          </w:divBdr>
        </w:div>
      </w:divsChild>
    </w:div>
    <w:div w:id="1155759491">
      <w:bodyDiv w:val="1"/>
      <w:marLeft w:val="0"/>
      <w:marRight w:val="0"/>
      <w:marTop w:val="0"/>
      <w:marBottom w:val="0"/>
      <w:divBdr>
        <w:top w:val="none" w:sz="0" w:space="0" w:color="auto"/>
        <w:left w:val="none" w:sz="0" w:space="0" w:color="auto"/>
        <w:bottom w:val="none" w:sz="0" w:space="0" w:color="auto"/>
        <w:right w:val="none" w:sz="0" w:space="0" w:color="auto"/>
      </w:divBdr>
    </w:div>
    <w:div w:id="1157263114">
      <w:bodyDiv w:val="1"/>
      <w:marLeft w:val="0"/>
      <w:marRight w:val="0"/>
      <w:marTop w:val="0"/>
      <w:marBottom w:val="0"/>
      <w:divBdr>
        <w:top w:val="none" w:sz="0" w:space="0" w:color="auto"/>
        <w:left w:val="none" w:sz="0" w:space="0" w:color="auto"/>
        <w:bottom w:val="none" w:sz="0" w:space="0" w:color="auto"/>
        <w:right w:val="none" w:sz="0" w:space="0" w:color="auto"/>
      </w:divBdr>
    </w:div>
    <w:div w:id="1159158067">
      <w:bodyDiv w:val="1"/>
      <w:marLeft w:val="0"/>
      <w:marRight w:val="0"/>
      <w:marTop w:val="0"/>
      <w:marBottom w:val="0"/>
      <w:divBdr>
        <w:top w:val="none" w:sz="0" w:space="0" w:color="auto"/>
        <w:left w:val="none" w:sz="0" w:space="0" w:color="auto"/>
        <w:bottom w:val="none" w:sz="0" w:space="0" w:color="auto"/>
        <w:right w:val="none" w:sz="0" w:space="0" w:color="auto"/>
      </w:divBdr>
    </w:div>
    <w:div w:id="1159616380">
      <w:bodyDiv w:val="1"/>
      <w:marLeft w:val="0"/>
      <w:marRight w:val="0"/>
      <w:marTop w:val="0"/>
      <w:marBottom w:val="0"/>
      <w:divBdr>
        <w:top w:val="none" w:sz="0" w:space="0" w:color="auto"/>
        <w:left w:val="none" w:sz="0" w:space="0" w:color="auto"/>
        <w:bottom w:val="none" w:sz="0" w:space="0" w:color="auto"/>
        <w:right w:val="none" w:sz="0" w:space="0" w:color="auto"/>
      </w:divBdr>
    </w:div>
    <w:div w:id="1162282560">
      <w:bodyDiv w:val="1"/>
      <w:marLeft w:val="0"/>
      <w:marRight w:val="0"/>
      <w:marTop w:val="0"/>
      <w:marBottom w:val="0"/>
      <w:divBdr>
        <w:top w:val="none" w:sz="0" w:space="0" w:color="auto"/>
        <w:left w:val="none" w:sz="0" w:space="0" w:color="auto"/>
        <w:bottom w:val="none" w:sz="0" w:space="0" w:color="auto"/>
        <w:right w:val="none" w:sz="0" w:space="0" w:color="auto"/>
      </w:divBdr>
    </w:div>
    <w:div w:id="1172139039">
      <w:bodyDiv w:val="1"/>
      <w:marLeft w:val="0"/>
      <w:marRight w:val="0"/>
      <w:marTop w:val="0"/>
      <w:marBottom w:val="0"/>
      <w:divBdr>
        <w:top w:val="none" w:sz="0" w:space="0" w:color="auto"/>
        <w:left w:val="none" w:sz="0" w:space="0" w:color="auto"/>
        <w:bottom w:val="none" w:sz="0" w:space="0" w:color="auto"/>
        <w:right w:val="none" w:sz="0" w:space="0" w:color="auto"/>
      </w:divBdr>
    </w:div>
    <w:div w:id="1177502076">
      <w:bodyDiv w:val="1"/>
      <w:marLeft w:val="0"/>
      <w:marRight w:val="0"/>
      <w:marTop w:val="0"/>
      <w:marBottom w:val="0"/>
      <w:divBdr>
        <w:top w:val="none" w:sz="0" w:space="0" w:color="auto"/>
        <w:left w:val="none" w:sz="0" w:space="0" w:color="auto"/>
        <w:bottom w:val="none" w:sz="0" w:space="0" w:color="auto"/>
        <w:right w:val="none" w:sz="0" w:space="0" w:color="auto"/>
      </w:divBdr>
    </w:div>
    <w:div w:id="1180002056">
      <w:bodyDiv w:val="1"/>
      <w:marLeft w:val="0"/>
      <w:marRight w:val="0"/>
      <w:marTop w:val="0"/>
      <w:marBottom w:val="0"/>
      <w:divBdr>
        <w:top w:val="none" w:sz="0" w:space="0" w:color="auto"/>
        <w:left w:val="none" w:sz="0" w:space="0" w:color="auto"/>
        <w:bottom w:val="none" w:sz="0" w:space="0" w:color="auto"/>
        <w:right w:val="none" w:sz="0" w:space="0" w:color="auto"/>
      </w:divBdr>
    </w:div>
    <w:div w:id="1181160871">
      <w:bodyDiv w:val="1"/>
      <w:marLeft w:val="0"/>
      <w:marRight w:val="0"/>
      <w:marTop w:val="0"/>
      <w:marBottom w:val="0"/>
      <w:divBdr>
        <w:top w:val="none" w:sz="0" w:space="0" w:color="auto"/>
        <w:left w:val="none" w:sz="0" w:space="0" w:color="auto"/>
        <w:bottom w:val="none" w:sz="0" w:space="0" w:color="auto"/>
        <w:right w:val="none" w:sz="0" w:space="0" w:color="auto"/>
      </w:divBdr>
    </w:div>
    <w:div w:id="1181823805">
      <w:bodyDiv w:val="1"/>
      <w:marLeft w:val="0"/>
      <w:marRight w:val="0"/>
      <w:marTop w:val="0"/>
      <w:marBottom w:val="0"/>
      <w:divBdr>
        <w:top w:val="none" w:sz="0" w:space="0" w:color="auto"/>
        <w:left w:val="none" w:sz="0" w:space="0" w:color="auto"/>
        <w:bottom w:val="none" w:sz="0" w:space="0" w:color="auto"/>
        <w:right w:val="none" w:sz="0" w:space="0" w:color="auto"/>
      </w:divBdr>
    </w:div>
    <w:div w:id="1197232263">
      <w:bodyDiv w:val="1"/>
      <w:marLeft w:val="0"/>
      <w:marRight w:val="0"/>
      <w:marTop w:val="0"/>
      <w:marBottom w:val="0"/>
      <w:divBdr>
        <w:top w:val="none" w:sz="0" w:space="0" w:color="auto"/>
        <w:left w:val="none" w:sz="0" w:space="0" w:color="auto"/>
        <w:bottom w:val="none" w:sz="0" w:space="0" w:color="auto"/>
        <w:right w:val="none" w:sz="0" w:space="0" w:color="auto"/>
      </w:divBdr>
    </w:div>
    <w:div w:id="1202983200">
      <w:bodyDiv w:val="1"/>
      <w:marLeft w:val="0"/>
      <w:marRight w:val="0"/>
      <w:marTop w:val="0"/>
      <w:marBottom w:val="0"/>
      <w:divBdr>
        <w:top w:val="none" w:sz="0" w:space="0" w:color="auto"/>
        <w:left w:val="none" w:sz="0" w:space="0" w:color="auto"/>
        <w:bottom w:val="none" w:sz="0" w:space="0" w:color="auto"/>
        <w:right w:val="none" w:sz="0" w:space="0" w:color="auto"/>
      </w:divBdr>
    </w:div>
    <w:div w:id="1203008876">
      <w:bodyDiv w:val="1"/>
      <w:marLeft w:val="0"/>
      <w:marRight w:val="0"/>
      <w:marTop w:val="0"/>
      <w:marBottom w:val="0"/>
      <w:divBdr>
        <w:top w:val="none" w:sz="0" w:space="0" w:color="auto"/>
        <w:left w:val="none" w:sz="0" w:space="0" w:color="auto"/>
        <w:bottom w:val="none" w:sz="0" w:space="0" w:color="auto"/>
        <w:right w:val="none" w:sz="0" w:space="0" w:color="auto"/>
      </w:divBdr>
    </w:div>
    <w:div w:id="1209031261">
      <w:bodyDiv w:val="1"/>
      <w:marLeft w:val="0"/>
      <w:marRight w:val="0"/>
      <w:marTop w:val="0"/>
      <w:marBottom w:val="0"/>
      <w:divBdr>
        <w:top w:val="none" w:sz="0" w:space="0" w:color="auto"/>
        <w:left w:val="none" w:sz="0" w:space="0" w:color="auto"/>
        <w:bottom w:val="none" w:sz="0" w:space="0" w:color="auto"/>
        <w:right w:val="none" w:sz="0" w:space="0" w:color="auto"/>
      </w:divBdr>
    </w:div>
    <w:div w:id="1213496610">
      <w:bodyDiv w:val="1"/>
      <w:marLeft w:val="0"/>
      <w:marRight w:val="0"/>
      <w:marTop w:val="0"/>
      <w:marBottom w:val="0"/>
      <w:divBdr>
        <w:top w:val="none" w:sz="0" w:space="0" w:color="auto"/>
        <w:left w:val="none" w:sz="0" w:space="0" w:color="auto"/>
        <w:bottom w:val="none" w:sz="0" w:space="0" w:color="auto"/>
        <w:right w:val="none" w:sz="0" w:space="0" w:color="auto"/>
      </w:divBdr>
    </w:div>
    <w:div w:id="1226994167">
      <w:bodyDiv w:val="1"/>
      <w:marLeft w:val="0"/>
      <w:marRight w:val="0"/>
      <w:marTop w:val="0"/>
      <w:marBottom w:val="0"/>
      <w:divBdr>
        <w:top w:val="none" w:sz="0" w:space="0" w:color="auto"/>
        <w:left w:val="none" w:sz="0" w:space="0" w:color="auto"/>
        <w:bottom w:val="none" w:sz="0" w:space="0" w:color="auto"/>
        <w:right w:val="none" w:sz="0" w:space="0" w:color="auto"/>
      </w:divBdr>
    </w:div>
    <w:div w:id="1230459506">
      <w:bodyDiv w:val="1"/>
      <w:marLeft w:val="0"/>
      <w:marRight w:val="0"/>
      <w:marTop w:val="0"/>
      <w:marBottom w:val="0"/>
      <w:divBdr>
        <w:top w:val="none" w:sz="0" w:space="0" w:color="auto"/>
        <w:left w:val="none" w:sz="0" w:space="0" w:color="auto"/>
        <w:bottom w:val="none" w:sz="0" w:space="0" w:color="auto"/>
        <w:right w:val="none" w:sz="0" w:space="0" w:color="auto"/>
      </w:divBdr>
    </w:div>
    <w:div w:id="1233388521">
      <w:bodyDiv w:val="1"/>
      <w:marLeft w:val="0"/>
      <w:marRight w:val="0"/>
      <w:marTop w:val="0"/>
      <w:marBottom w:val="0"/>
      <w:divBdr>
        <w:top w:val="none" w:sz="0" w:space="0" w:color="auto"/>
        <w:left w:val="none" w:sz="0" w:space="0" w:color="auto"/>
        <w:bottom w:val="none" w:sz="0" w:space="0" w:color="auto"/>
        <w:right w:val="none" w:sz="0" w:space="0" w:color="auto"/>
      </w:divBdr>
    </w:div>
    <w:div w:id="1239903751">
      <w:bodyDiv w:val="1"/>
      <w:marLeft w:val="0"/>
      <w:marRight w:val="0"/>
      <w:marTop w:val="0"/>
      <w:marBottom w:val="0"/>
      <w:divBdr>
        <w:top w:val="none" w:sz="0" w:space="0" w:color="auto"/>
        <w:left w:val="none" w:sz="0" w:space="0" w:color="auto"/>
        <w:bottom w:val="none" w:sz="0" w:space="0" w:color="auto"/>
        <w:right w:val="none" w:sz="0" w:space="0" w:color="auto"/>
      </w:divBdr>
    </w:div>
    <w:div w:id="1241981243">
      <w:bodyDiv w:val="1"/>
      <w:marLeft w:val="0"/>
      <w:marRight w:val="0"/>
      <w:marTop w:val="0"/>
      <w:marBottom w:val="0"/>
      <w:divBdr>
        <w:top w:val="none" w:sz="0" w:space="0" w:color="auto"/>
        <w:left w:val="none" w:sz="0" w:space="0" w:color="auto"/>
        <w:bottom w:val="none" w:sz="0" w:space="0" w:color="auto"/>
        <w:right w:val="none" w:sz="0" w:space="0" w:color="auto"/>
      </w:divBdr>
      <w:divsChild>
        <w:div w:id="1697920643">
          <w:marLeft w:val="0"/>
          <w:marRight w:val="0"/>
          <w:marTop w:val="0"/>
          <w:marBottom w:val="0"/>
          <w:divBdr>
            <w:top w:val="none" w:sz="0" w:space="0" w:color="auto"/>
            <w:left w:val="none" w:sz="0" w:space="0" w:color="auto"/>
            <w:bottom w:val="none" w:sz="0" w:space="0" w:color="auto"/>
            <w:right w:val="none" w:sz="0" w:space="0" w:color="auto"/>
          </w:divBdr>
          <w:divsChild>
            <w:div w:id="35358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10866">
      <w:bodyDiv w:val="1"/>
      <w:marLeft w:val="0"/>
      <w:marRight w:val="0"/>
      <w:marTop w:val="0"/>
      <w:marBottom w:val="0"/>
      <w:divBdr>
        <w:top w:val="none" w:sz="0" w:space="0" w:color="auto"/>
        <w:left w:val="none" w:sz="0" w:space="0" w:color="auto"/>
        <w:bottom w:val="none" w:sz="0" w:space="0" w:color="auto"/>
        <w:right w:val="none" w:sz="0" w:space="0" w:color="auto"/>
      </w:divBdr>
    </w:div>
    <w:div w:id="1257252715">
      <w:bodyDiv w:val="1"/>
      <w:marLeft w:val="0"/>
      <w:marRight w:val="0"/>
      <w:marTop w:val="0"/>
      <w:marBottom w:val="0"/>
      <w:divBdr>
        <w:top w:val="none" w:sz="0" w:space="0" w:color="auto"/>
        <w:left w:val="none" w:sz="0" w:space="0" w:color="auto"/>
        <w:bottom w:val="none" w:sz="0" w:space="0" w:color="auto"/>
        <w:right w:val="none" w:sz="0" w:space="0" w:color="auto"/>
      </w:divBdr>
    </w:div>
    <w:div w:id="1259169373">
      <w:bodyDiv w:val="1"/>
      <w:marLeft w:val="0"/>
      <w:marRight w:val="0"/>
      <w:marTop w:val="0"/>
      <w:marBottom w:val="0"/>
      <w:divBdr>
        <w:top w:val="none" w:sz="0" w:space="0" w:color="auto"/>
        <w:left w:val="none" w:sz="0" w:space="0" w:color="auto"/>
        <w:bottom w:val="none" w:sz="0" w:space="0" w:color="auto"/>
        <w:right w:val="none" w:sz="0" w:space="0" w:color="auto"/>
      </w:divBdr>
    </w:div>
    <w:div w:id="1259561871">
      <w:bodyDiv w:val="1"/>
      <w:marLeft w:val="0"/>
      <w:marRight w:val="0"/>
      <w:marTop w:val="0"/>
      <w:marBottom w:val="0"/>
      <w:divBdr>
        <w:top w:val="none" w:sz="0" w:space="0" w:color="auto"/>
        <w:left w:val="none" w:sz="0" w:space="0" w:color="auto"/>
        <w:bottom w:val="none" w:sz="0" w:space="0" w:color="auto"/>
        <w:right w:val="none" w:sz="0" w:space="0" w:color="auto"/>
      </w:divBdr>
    </w:div>
    <w:div w:id="1260605631">
      <w:bodyDiv w:val="1"/>
      <w:marLeft w:val="0"/>
      <w:marRight w:val="0"/>
      <w:marTop w:val="0"/>
      <w:marBottom w:val="0"/>
      <w:divBdr>
        <w:top w:val="none" w:sz="0" w:space="0" w:color="auto"/>
        <w:left w:val="none" w:sz="0" w:space="0" w:color="auto"/>
        <w:bottom w:val="none" w:sz="0" w:space="0" w:color="auto"/>
        <w:right w:val="none" w:sz="0" w:space="0" w:color="auto"/>
      </w:divBdr>
    </w:div>
    <w:div w:id="1265304320">
      <w:bodyDiv w:val="1"/>
      <w:marLeft w:val="0"/>
      <w:marRight w:val="0"/>
      <w:marTop w:val="0"/>
      <w:marBottom w:val="0"/>
      <w:divBdr>
        <w:top w:val="none" w:sz="0" w:space="0" w:color="auto"/>
        <w:left w:val="none" w:sz="0" w:space="0" w:color="auto"/>
        <w:bottom w:val="none" w:sz="0" w:space="0" w:color="auto"/>
        <w:right w:val="none" w:sz="0" w:space="0" w:color="auto"/>
      </w:divBdr>
    </w:div>
    <w:div w:id="1267539654">
      <w:bodyDiv w:val="1"/>
      <w:marLeft w:val="0"/>
      <w:marRight w:val="0"/>
      <w:marTop w:val="0"/>
      <w:marBottom w:val="0"/>
      <w:divBdr>
        <w:top w:val="none" w:sz="0" w:space="0" w:color="auto"/>
        <w:left w:val="none" w:sz="0" w:space="0" w:color="auto"/>
        <w:bottom w:val="none" w:sz="0" w:space="0" w:color="auto"/>
        <w:right w:val="none" w:sz="0" w:space="0" w:color="auto"/>
      </w:divBdr>
    </w:div>
    <w:div w:id="1270968225">
      <w:bodyDiv w:val="1"/>
      <w:marLeft w:val="0"/>
      <w:marRight w:val="0"/>
      <w:marTop w:val="0"/>
      <w:marBottom w:val="0"/>
      <w:divBdr>
        <w:top w:val="none" w:sz="0" w:space="0" w:color="auto"/>
        <w:left w:val="none" w:sz="0" w:space="0" w:color="auto"/>
        <w:bottom w:val="none" w:sz="0" w:space="0" w:color="auto"/>
        <w:right w:val="none" w:sz="0" w:space="0" w:color="auto"/>
      </w:divBdr>
    </w:div>
    <w:div w:id="1276861097">
      <w:bodyDiv w:val="1"/>
      <w:marLeft w:val="0"/>
      <w:marRight w:val="0"/>
      <w:marTop w:val="0"/>
      <w:marBottom w:val="0"/>
      <w:divBdr>
        <w:top w:val="none" w:sz="0" w:space="0" w:color="auto"/>
        <w:left w:val="none" w:sz="0" w:space="0" w:color="auto"/>
        <w:bottom w:val="none" w:sz="0" w:space="0" w:color="auto"/>
        <w:right w:val="none" w:sz="0" w:space="0" w:color="auto"/>
      </w:divBdr>
    </w:div>
    <w:div w:id="1279609257">
      <w:bodyDiv w:val="1"/>
      <w:marLeft w:val="0"/>
      <w:marRight w:val="0"/>
      <w:marTop w:val="0"/>
      <w:marBottom w:val="0"/>
      <w:divBdr>
        <w:top w:val="none" w:sz="0" w:space="0" w:color="auto"/>
        <w:left w:val="none" w:sz="0" w:space="0" w:color="auto"/>
        <w:bottom w:val="none" w:sz="0" w:space="0" w:color="auto"/>
        <w:right w:val="none" w:sz="0" w:space="0" w:color="auto"/>
      </w:divBdr>
    </w:div>
    <w:div w:id="1288582678">
      <w:bodyDiv w:val="1"/>
      <w:marLeft w:val="0"/>
      <w:marRight w:val="0"/>
      <w:marTop w:val="0"/>
      <w:marBottom w:val="0"/>
      <w:divBdr>
        <w:top w:val="none" w:sz="0" w:space="0" w:color="auto"/>
        <w:left w:val="none" w:sz="0" w:space="0" w:color="auto"/>
        <w:bottom w:val="none" w:sz="0" w:space="0" w:color="auto"/>
        <w:right w:val="none" w:sz="0" w:space="0" w:color="auto"/>
      </w:divBdr>
    </w:div>
    <w:div w:id="1292327121">
      <w:bodyDiv w:val="1"/>
      <w:marLeft w:val="0"/>
      <w:marRight w:val="0"/>
      <w:marTop w:val="0"/>
      <w:marBottom w:val="0"/>
      <w:divBdr>
        <w:top w:val="none" w:sz="0" w:space="0" w:color="auto"/>
        <w:left w:val="none" w:sz="0" w:space="0" w:color="auto"/>
        <w:bottom w:val="none" w:sz="0" w:space="0" w:color="auto"/>
        <w:right w:val="none" w:sz="0" w:space="0" w:color="auto"/>
      </w:divBdr>
    </w:div>
    <w:div w:id="1301302716">
      <w:bodyDiv w:val="1"/>
      <w:marLeft w:val="0"/>
      <w:marRight w:val="0"/>
      <w:marTop w:val="0"/>
      <w:marBottom w:val="0"/>
      <w:divBdr>
        <w:top w:val="none" w:sz="0" w:space="0" w:color="auto"/>
        <w:left w:val="none" w:sz="0" w:space="0" w:color="auto"/>
        <w:bottom w:val="none" w:sz="0" w:space="0" w:color="auto"/>
        <w:right w:val="none" w:sz="0" w:space="0" w:color="auto"/>
      </w:divBdr>
      <w:divsChild>
        <w:div w:id="542248993">
          <w:marLeft w:val="0"/>
          <w:marRight w:val="0"/>
          <w:marTop w:val="0"/>
          <w:marBottom w:val="0"/>
          <w:divBdr>
            <w:top w:val="none" w:sz="0" w:space="0" w:color="auto"/>
            <w:left w:val="none" w:sz="0" w:space="0" w:color="auto"/>
            <w:bottom w:val="none" w:sz="0" w:space="0" w:color="auto"/>
            <w:right w:val="none" w:sz="0" w:space="0" w:color="auto"/>
          </w:divBdr>
        </w:div>
        <w:div w:id="653608664">
          <w:marLeft w:val="0"/>
          <w:marRight w:val="0"/>
          <w:marTop w:val="0"/>
          <w:marBottom w:val="0"/>
          <w:divBdr>
            <w:top w:val="none" w:sz="0" w:space="0" w:color="auto"/>
            <w:left w:val="none" w:sz="0" w:space="0" w:color="auto"/>
            <w:bottom w:val="none" w:sz="0" w:space="0" w:color="auto"/>
            <w:right w:val="none" w:sz="0" w:space="0" w:color="auto"/>
          </w:divBdr>
        </w:div>
        <w:div w:id="689111147">
          <w:marLeft w:val="0"/>
          <w:marRight w:val="0"/>
          <w:marTop w:val="0"/>
          <w:marBottom w:val="0"/>
          <w:divBdr>
            <w:top w:val="none" w:sz="0" w:space="0" w:color="auto"/>
            <w:left w:val="none" w:sz="0" w:space="0" w:color="auto"/>
            <w:bottom w:val="none" w:sz="0" w:space="0" w:color="auto"/>
            <w:right w:val="none" w:sz="0" w:space="0" w:color="auto"/>
          </w:divBdr>
        </w:div>
        <w:div w:id="1134524651">
          <w:marLeft w:val="0"/>
          <w:marRight w:val="0"/>
          <w:marTop w:val="0"/>
          <w:marBottom w:val="0"/>
          <w:divBdr>
            <w:top w:val="none" w:sz="0" w:space="0" w:color="auto"/>
            <w:left w:val="none" w:sz="0" w:space="0" w:color="auto"/>
            <w:bottom w:val="none" w:sz="0" w:space="0" w:color="auto"/>
            <w:right w:val="none" w:sz="0" w:space="0" w:color="auto"/>
          </w:divBdr>
        </w:div>
        <w:div w:id="1141113271">
          <w:marLeft w:val="0"/>
          <w:marRight w:val="0"/>
          <w:marTop w:val="0"/>
          <w:marBottom w:val="0"/>
          <w:divBdr>
            <w:top w:val="none" w:sz="0" w:space="0" w:color="auto"/>
            <w:left w:val="none" w:sz="0" w:space="0" w:color="auto"/>
            <w:bottom w:val="none" w:sz="0" w:space="0" w:color="auto"/>
            <w:right w:val="none" w:sz="0" w:space="0" w:color="auto"/>
          </w:divBdr>
        </w:div>
        <w:div w:id="1264994573">
          <w:marLeft w:val="0"/>
          <w:marRight w:val="0"/>
          <w:marTop w:val="0"/>
          <w:marBottom w:val="0"/>
          <w:divBdr>
            <w:top w:val="none" w:sz="0" w:space="0" w:color="auto"/>
            <w:left w:val="none" w:sz="0" w:space="0" w:color="auto"/>
            <w:bottom w:val="none" w:sz="0" w:space="0" w:color="auto"/>
            <w:right w:val="none" w:sz="0" w:space="0" w:color="auto"/>
          </w:divBdr>
        </w:div>
        <w:div w:id="1994094405">
          <w:marLeft w:val="0"/>
          <w:marRight w:val="0"/>
          <w:marTop w:val="0"/>
          <w:marBottom w:val="0"/>
          <w:divBdr>
            <w:top w:val="none" w:sz="0" w:space="0" w:color="auto"/>
            <w:left w:val="none" w:sz="0" w:space="0" w:color="auto"/>
            <w:bottom w:val="none" w:sz="0" w:space="0" w:color="auto"/>
            <w:right w:val="none" w:sz="0" w:space="0" w:color="auto"/>
          </w:divBdr>
        </w:div>
        <w:div w:id="2074426574">
          <w:marLeft w:val="0"/>
          <w:marRight w:val="0"/>
          <w:marTop w:val="0"/>
          <w:marBottom w:val="0"/>
          <w:divBdr>
            <w:top w:val="none" w:sz="0" w:space="0" w:color="auto"/>
            <w:left w:val="none" w:sz="0" w:space="0" w:color="auto"/>
            <w:bottom w:val="none" w:sz="0" w:space="0" w:color="auto"/>
            <w:right w:val="none" w:sz="0" w:space="0" w:color="auto"/>
          </w:divBdr>
        </w:div>
      </w:divsChild>
    </w:div>
    <w:div w:id="1308820585">
      <w:bodyDiv w:val="1"/>
      <w:marLeft w:val="0"/>
      <w:marRight w:val="0"/>
      <w:marTop w:val="0"/>
      <w:marBottom w:val="0"/>
      <w:divBdr>
        <w:top w:val="none" w:sz="0" w:space="0" w:color="auto"/>
        <w:left w:val="none" w:sz="0" w:space="0" w:color="auto"/>
        <w:bottom w:val="none" w:sz="0" w:space="0" w:color="auto"/>
        <w:right w:val="none" w:sz="0" w:space="0" w:color="auto"/>
      </w:divBdr>
    </w:div>
    <w:div w:id="1319069032">
      <w:bodyDiv w:val="1"/>
      <w:marLeft w:val="0"/>
      <w:marRight w:val="0"/>
      <w:marTop w:val="0"/>
      <w:marBottom w:val="0"/>
      <w:divBdr>
        <w:top w:val="none" w:sz="0" w:space="0" w:color="auto"/>
        <w:left w:val="none" w:sz="0" w:space="0" w:color="auto"/>
        <w:bottom w:val="none" w:sz="0" w:space="0" w:color="auto"/>
        <w:right w:val="none" w:sz="0" w:space="0" w:color="auto"/>
      </w:divBdr>
    </w:div>
    <w:div w:id="1324161487">
      <w:bodyDiv w:val="1"/>
      <w:marLeft w:val="0"/>
      <w:marRight w:val="0"/>
      <w:marTop w:val="0"/>
      <w:marBottom w:val="0"/>
      <w:divBdr>
        <w:top w:val="none" w:sz="0" w:space="0" w:color="auto"/>
        <w:left w:val="none" w:sz="0" w:space="0" w:color="auto"/>
        <w:bottom w:val="none" w:sz="0" w:space="0" w:color="auto"/>
        <w:right w:val="none" w:sz="0" w:space="0" w:color="auto"/>
      </w:divBdr>
    </w:div>
    <w:div w:id="1339849724">
      <w:bodyDiv w:val="1"/>
      <w:marLeft w:val="0"/>
      <w:marRight w:val="0"/>
      <w:marTop w:val="0"/>
      <w:marBottom w:val="0"/>
      <w:divBdr>
        <w:top w:val="none" w:sz="0" w:space="0" w:color="auto"/>
        <w:left w:val="none" w:sz="0" w:space="0" w:color="auto"/>
        <w:bottom w:val="none" w:sz="0" w:space="0" w:color="auto"/>
        <w:right w:val="none" w:sz="0" w:space="0" w:color="auto"/>
      </w:divBdr>
    </w:div>
    <w:div w:id="1341661854">
      <w:bodyDiv w:val="1"/>
      <w:marLeft w:val="0"/>
      <w:marRight w:val="0"/>
      <w:marTop w:val="0"/>
      <w:marBottom w:val="0"/>
      <w:divBdr>
        <w:top w:val="none" w:sz="0" w:space="0" w:color="auto"/>
        <w:left w:val="none" w:sz="0" w:space="0" w:color="auto"/>
        <w:bottom w:val="none" w:sz="0" w:space="0" w:color="auto"/>
        <w:right w:val="none" w:sz="0" w:space="0" w:color="auto"/>
      </w:divBdr>
    </w:div>
    <w:div w:id="1344019120">
      <w:bodyDiv w:val="1"/>
      <w:marLeft w:val="0"/>
      <w:marRight w:val="0"/>
      <w:marTop w:val="0"/>
      <w:marBottom w:val="0"/>
      <w:divBdr>
        <w:top w:val="none" w:sz="0" w:space="0" w:color="auto"/>
        <w:left w:val="none" w:sz="0" w:space="0" w:color="auto"/>
        <w:bottom w:val="none" w:sz="0" w:space="0" w:color="auto"/>
        <w:right w:val="none" w:sz="0" w:space="0" w:color="auto"/>
      </w:divBdr>
    </w:div>
    <w:div w:id="1365250066">
      <w:bodyDiv w:val="1"/>
      <w:marLeft w:val="0"/>
      <w:marRight w:val="0"/>
      <w:marTop w:val="0"/>
      <w:marBottom w:val="0"/>
      <w:divBdr>
        <w:top w:val="none" w:sz="0" w:space="0" w:color="auto"/>
        <w:left w:val="none" w:sz="0" w:space="0" w:color="auto"/>
        <w:bottom w:val="none" w:sz="0" w:space="0" w:color="auto"/>
        <w:right w:val="none" w:sz="0" w:space="0" w:color="auto"/>
      </w:divBdr>
    </w:div>
    <w:div w:id="1371295844">
      <w:bodyDiv w:val="1"/>
      <w:marLeft w:val="0"/>
      <w:marRight w:val="0"/>
      <w:marTop w:val="0"/>
      <w:marBottom w:val="0"/>
      <w:divBdr>
        <w:top w:val="none" w:sz="0" w:space="0" w:color="auto"/>
        <w:left w:val="none" w:sz="0" w:space="0" w:color="auto"/>
        <w:bottom w:val="none" w:sz="0" w:space="0" w:color="auto"/>
        <w:right w:val="none" w:sz="0" w:space="0" w:color="auto"/>
      </w:divBdr>
    </w:div>
    <w:div w:id="1373114369">
      <w:bodyDiv w:val="1"/>
      <w:marLeft w:val="0"/>
      <w:marRight w:val="0"/>
      <w:marTop w:val="0"/>
      <w:marBottom w:val="0"/>
      <w:divBdr>
        <w:top w:val="none" w:sz="0" w:space="0" w:color="auto"/>
        <w:left w:val="none" w:sz="0" w:space="0" w:color="auto"/>
        <w:bottom w:val="none" w:sz="0" w:space="0" w:color="auto"/>
        <w:right w:val="none" w:sz="0" w:space="0" w:color="auto"/>
      </w:divBdr>
    </w:div>
    <w:div w:id="1373726610">
      <w:bodyDiv w:val="1"/>
      <w:marLeft w:val="0"/>
      <w:marRight w:val="0"/>
      <w:marTop w:val="0"/>
      <w:marBottom w:val="0"/>
      <w:divBdr>
        <w:top w:val="none" w:sz="0" w:space="0" w:color="auto"/>
        <w:left w:val="none" w:sz="0" w:space="0" w:color="auto"/>
        <w:bottom w:val="none" w:sz="0" w:space="0" w:color="auto"/>
        <w:right w:val="none" w:sz="0" w:space="0" w:color="auto"/>
      </w:divBdr>
    </w:div>
    <w:div w:id="1419713564">
      <w:bodyDiv w:val="1"/>
      <w:marLeft w:val="0"/>
      <w:marRight w:val="0"/>
      <w:marTop w:val="0"/>
      <w:marBottom w:val="0"/>
      <w:divBdr>
        <w:top w:val="none" w:sz="0" w:space="0" w:color="auto"/>
        <w:left w:val="none" w:sz="0" w:space="0" w:color="auto"/>
        <w:bottom w:val="none" w:sz="0" w:space="0" w:color="auto"/>
        <w:right w:val="none" w:sz="0" w:space="0" w:color="auto"/>
      </w:divBdr>
    </w:div>
    <w:div w:id="1427073459">
      <w:bodyDiv w:val="1"/>
      <w:marLeft w:val="0"/>
      <w:marRight w:val="0"/>
      <w:marTop w:val="0"/>
      <w:marBottom w:val="0"/>
      <w:divBdr>
        <w:top w:val="none" w:sz="0" w:space="0" w:color="auto"/>
        <w:left w:val="none" w:sz="0" w:space="0" w:color="auto"/>
        <w:bottom w:val="none" w:sz="0" w:space="0" w:color="auto"/>
        <w:right w:val="none" w:sz="0" w:space="0" w:color="auto"/>
      </w:divBdr>
    </w:div>
    <w:div w:id="1446461396">
      <w:bodyDiv w:val="1"/>
      <w:marLeft w:val="0"/>
      <w:marRight w:val="0"/>
      <w:marTop w:val="0"/>
      <w:marBottom w:val="0"/>
      <w:divBdr>
        <w:top w:val="none" w:sz="0" w:space="0" w:color="auto"/>
        <w:left w:val="none" w:sz="0" w:space="0" w:color="auto"/>
        <w:bottom w:val="none" w:sz="0" w:space="0" w:color="auto"/>
        <w:right w:val="none" w:sz="0" w:space="0" w:color="auto"/>
      </w:divBdr>
    </w:div>
    <w:div w:id="1446538570">
      <w:bodyDiv w:val="1"/>
      <w:marLeft w:val="0"/>
      <w:marRight w:val="0"/>
      <w:marTop w:val="0"/>
      <w:marBottom w:val="0"/>
      <w:divBdr>
        <w:top w:val="none" w:sz="0" w:space="0" w:color="auto"/>
        <w:left w:val="none" w:sz="0" w:space="0" w:color="auto"/>
        <w:bottom w:val="none" w:sz="0" w:space="0" w:color="auto"/>
        <w:right w:val="none" w:sz="0" w:space="0" w:color="auto"/>
      </w:divBdr>
    </w:div>
    <w:div w:id="1452898965">
      <w:bodyDiv w:val="1"/>
      <w:marLeft w:val="0"/>
      <w:marRight w:val="0"/>
      <w:marTop w:val="0"/>
      <w:marBottom w:val="0"/>
      <w:divBdr>
        <w:top w:val="none" w:sz="0" w:space="0" w:color="auto"/>
        <w:left w:val="none" w:sz="0" w:space="0" w:color="auto"/>
        <w:bottom w:val="none" w:sz="0" w:space="0" w:color="auto"/>
        <w:right w:val="none" w:sz="0" w:space="0" w:color="auto"/>
      </w:divBdr>
    </w:div>
    <w:div w:id="1467356880">
      <w:bodyDiv w:val="1"/>
      <w:marLeft w:val="0"/>
      <w:marRight w:val="0"/>
      <w:marTop w:val="0"/>
      <w:marBottom w:val="0"/>
      <w:divBdr>
        <w:top w:val="none" w:sz="0" w:space="0" w:color="auto"/>
        <w:left w:val="none" w:sz="0" w:space="0" w:color="auto"/>
        <w:bottom w:val="none" w:sz="0" w:space="0" w:color="auto"/>
        <w:right w:val="none" w:sz="0" w:space="0" w:color="auto"/>
      </w:divBdr>
    </w:div>
    <w:div w:id="1490176953">
      <w:bodyDiv w:val="1"/>
      <w:marLeft w:val="0"/>
      <w:marRight w:val="0"/>
      <w:marTop w:val="0"/>
      <w:marBottom w:val="0"/>
      <w:divBdr>
        <w:top w:val="none" w:sz="0" w:space="0" w:color="auto"/>
        <w:left w:val="none" w:sz="0" w:space="0" w:color="auto"/>
        <w:bottom w:val="none" w:sz="0" w:space="0" w:color="auto"/>
        <w:right w:val="none" w:sz="0" w:space="0" w:color="auto"/>
      </w:divBdr>
    </w:div>
    <w:div w:id="1498299400">
      <w:bodyDiv w:val="1"/>
      <w:marLeft w:val="0"/>
      <w:marRight w:val="0"/>
      <w:marTop w:val="0"/>
      <w:marBottom w:val="0"/>
      <w:divBdr>
        <w:top w:val="none" w:sz="0" w:space="0" w:color="auto"/>
        <w:left w:val="none" w:sz="0" w:space="0" w:color="auto"/>
        <w:bottom w:val="none" w:sz="0" w:space="0" w:color="auto"/>
        <w:right w:val="none" w:sz="0" w:space="0" w:color="auto"/>
      </w:divBdr>
    </w:div>
    <w:div w:id="1500729806">
      <w:bodyDiv w:val="1"/>
      <w:marLeft w:val="0"/>
      <w:marRight w:val="0"/>
      <w:marTop w:val="0"/>
      <w:marBottom w:val="0"/>
      <w:divBdr>
        <w:top w:val="none" w:sz="0" w:space="0" w:color="auto"/>
        <w:left w:val="none" w:sz="0" w:space="0" w:color="auto"/>
        <w:bottom w:val="none" w:sz="0" w:space="0" w:color="auto"/>
        <w:right w:val="none" w:sz="0" w:space="0" w:color="auto"/>
      </w:divBdr>
    </w:div>
    <w:div w:id="1507356382">
      <w:bodyDiv w:val="1"/>
      <w:marLeft w:val="0"/>
      <w:marRight w:val="0"/>
      <w:marTop w:val="0"/>
      <w:marBottom w:val="0"/>
      <w:divBdr>
        <w:top w:val="none" w:sz="0" w:space="0" w:color="auto"/>
        <w:left w:val="none" w:sz="0" w:space="0" w:color="auto"/>
        <w:bottom w:val="none" w:sz="0" w:space="0" w:color="auto"/>
        <w:right w:val="none" w:sz="0" w:space="0" w:color="auto"/>
      </w:divBdr>
      <w:divsChild>
        <w:div w:id="1450514543">
          <w:marLeft w:val="0"/>
          <w:marRight w:val="0"/>
          <w:marTop w:val="0"/>
          <w:marBottom w:val="0"/>
          <w:divBdr>
            <w:top w:val="none" w:sz="0" w:space="0" w:color="auto"/>
            <w:left w:val="none" w:sz="0" w:space="0" w:color="auto"/>
            <w:bottom w:val="none" w:sz="0" w:space="0" w:color="auto"/>
            <w:right w:val="none" w:sz="0" w:space="0" w:color="auto"/>
          </w:divBdr>
          <w:divsChild>
            <w:div w:id="793210496">
              <w:marLeft w:val="0"/>
              <w:marRight w:val="0"/>
              <w:marTop w:val="0"/>
              <w:marBottom w:val="0"/>
              <w:divBdr>
                <w:top w:val="none" w:sz="0" w:space="0" w:color="auto"/>
                <w:left w:val="none" w:sz="0" w:space="0" w:color="auto"/>
                <w:bottom w:val="none" w:sz="0" w:space="0" w:color="auto"/>
                <w:right w:val="none" w:sz="0" w:space="0" w:color="auto"/>
              </w:divBdr>
              <w:divsChild>
                <w:div w:id="951211552">
                  <w:marLeft w:val="0"/>
                  <w:marRight w:val="0"/>
                  <w:marTop w:val="0"/>
                  <w:marBottom w:val="0"/>
                  <w:divBdr>
                    <w:top w:val="none" w:sz="0" w:space="0" w:color="auto"/>
                    <w:left w:val="none" w:sz="0" w:space="0" w:color="auto"/>
                    <w:bottom w:val="none" w:sz="0" w:space="0" w:color="auto"/>
                    <w:right w:val="none" w:sz="0" w:space="0" w:color="auto"/>
                  </w:divBdr>
                  <w:divsChild>
                    <w:div w:id="1445534259">
                      <w:marLeft w:val="0"/>
                      <w:marRight w:val="0"/>
                      <w:marTop w:val="0"/>
                      <w:marBottom w:val="0"/>
                      <w:divBdr>
                        <w:top w:val="none" w:sz="0" w:space="0" w:color="auto"/>
                        <w:left w:val="none" w:sz="0" w:space="0" w:color="auto"/>
                        <w:bottom w:val="none" w:sz="0" w:space="0" w:color="auto"/>
                        <w:right w:val="none" w:sz="0" w:space="0" w:color="auto"/>
                      </w:divBdr>
                      <w:divsChild>
                        <w:div w:id="1559436732">
                          <w:marLeft w:val="0"/>
                          <w:marRight w:val="0"/>
                          <w:marTop w:val="0"/>
                          <w:marBottom w:val="0"/>
                          <w:divBdr>
                            <w:top w:val="none" w:sz="0" w:space="0" w:color="auto"/>
                            <w:left w:val="none" w:sz="0" w:space="0" w:color="auto"/>
                            <w:bottom w:val="none" w:sz="0" w:space="0" w:color="auto"/>
                            <w:right w:val="none" w:sz="0" w:space="0" w:color="auto"/>
                          </w:divBdr>
                          <w:divsChild>
                            <w:div w:id="1281910380">
                              <w:marLeft w:val="0"/>
                              <w:marRight w:val="0"/>
                              <w:marTop w:val="0"/>
                              <w:marBottom w:val="0"/>
                              <w:divBdr>
                                <w:top w:val="none" w:sz="0" w:space="0" w:color="auto"/>
                                <w:left w:val="none" w:sz="0" w:space="0" w:color="auto"/>
                                <w:bottom w:val="none" w:sz="0" w:space="0" w:color="auto"/>
                                <w:right w:val="none" w:sz="0" w:space="0" w:color="auto"/>
                              </w:divBdr>
                              <w:divsChild>
                                <w:div w:id="208610652">
                                  <w:marLeft w:val="0"/>
                                  <w:marRight w:val="0"/>
                                  <w:marTop w:val="0"/>
                                  <w:marBottom w:val="0"/>
                                  <w:divBdr>
                                    <w:top w:val="none" w:sz="0" w:space="0" w:color="auto"/>
                                    <w:left w:val="none" w:sz="0" w:space="0" w:color="auto"/>
                                    <w:bottom w:val="none" w:sz="0" w:space="0" w:color="auto"/>
                                    <w:right w:val="none" w:sz="0" w:space="0" w:color="auto"/>
                                  </w:divBdr>
                                  <w:divsChild>
                                    <w:div w:id="2105373294">
                                      <w:marLeft w:val="0"/>
                                      <w:marRight w:val="0"/>
                                      <w:marTop w:val="0"/>
                                      <w:marBottom w:val="0"/>
                                      <w:divBdr>
                                        <w:top w:val="none" w:sz="0" w:space="0" w:color="auto"/>
                                        <w:left w:val="none" w:sz="0" w:space="0" w:color="auto"/>
                                        <w:bottom w:val="none" w:sz="0" w:space="0" w:color="auto"/>
                                        <w:right w:val="none" w:sz="0" w:space="0" w:color="auto"/>
                                      </w:divBdr>
                                      <w:divsChild>
                                        <w:div w:id="94188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8711566">
      <w:bodyDiv w:val="1"/>
      <w:marLeft w:val="0"/>
      <w:marRight w:val="0"/>
      <w:marTop w:val="0"/>
      <w:marBottom w:val="0"/>
      <w:divBdr>
        <w:top w:val="none" w:sz="0" w:space="0" w:color="auto"/>
        <w:left w:val="none" w:sz="0" w:space="0" w:color="auto"/>
        <w:bottom w:val="none" w:sz="0" w:space="0" w:color="auto"/>
        <w:right w:val="none" w:sz="0" w:space="0" w:color="auto"/>
      </w:divBdr>
    </w:div>
    <w:div w:id="1514807902">
      <w:bodyDiv w:val="1"/>
      <w:marLeft w:val="0"/>
      <w:marRight w:val="0"/>
      <w:marTop w:val="0"/>
      <w:marBottom w:val="0"/>
      <w:divBdr>
        <w:top w:val="none" w:sz="0" w:space="0" w:color="auto"/>
        <w:left w:val="none" w:sz="0" w:space="0" w:color="auto"/>
        <w:bottom w:val="none" w:sz="0" w:space="0" w:color="auto"/>
        <w:right w:val="none" w:sz="0" w:space="0" w:color="auto"/>
      </w:divBdr>
    </w:div>
    <w:div w:id="1515804696">
      <w:bodyDiv w:val="1"/>
      <w:marLeft w:val="0"/>
      <w:marRight w:val="0"/>
      <w:marTop w:val="0"/>
      <w:marBottom w:val="0"/>
      <w:divBdr>
        <w:top w:val="none" w:sz="0" w:space="0" w:color="auto"/>
        <w:left w:val="none" w:sz="0" w:space="0" w:color="auto"/>
        <w:bottom w:val="none" w:sz="0" w:space="0" w:color="auto"/>
        <w:right w:val="none" w:sz="0" w:space="0" w:color="auto"/>
      </w:divBdr>
    </w:div>
    <w:div w:id="1520729326">
      <w:bodyDiv w:val="1"/>
      <w:marLeft w:val="0"/>
      <w:marRight w:val="0"/>
      <w:marTop w:val="0"/>
      <w:marBottom w:val="0"/>
      <w:divBdr>
        <w:top w:val="none" w:sz="0" w:space="0" w:color="auto"/>
        <w:left w:val="none" w:sz="0" w:space="0" w:color="auto"/>
        <w:bottom w:val="none" w:sz="0" w:space="0" w:color="auto"/>
        <w:right w:val="none" w:sz="0" w:space="0" w:color="auto"/>
      </w:divBdr>
    </w:div>
    <w:div w:id="1533497139">
      <w:bodyDiv w:val="1"/>
      <w:marLeft w:val="0"/>
      <w:marRight w:val="0"/>
      <w:marTop w:val="0"/>
      <w:marBottom w:val="0"/>
      <w:divBdr>
        <w:top w:val="none" w:sz="0" w:space="0" w:color="auto"/>
        <w:left w:val="none" w:sz="0" w:space="0" w:color="auto"/>
        <w:bottom w:val="none" w:sz="0" w:space="0" w:color="auto"/>
        <w:right w:val="none" w:sz="0" w:space="0" w:color="auto"/>
      </w:divBdr>
    </w:div>
    <w:div w:id="1538931172">
      <w:bodyDiv w:val="1"/>
      <w:marLeft w:val="0"/>
      <w:marRight w:val="0"/>
      <w:marTop w:val="0"/>
      <w:marBottom w:val="0"/>
      <w:divBdr>
        <w:top w:val="none" w:sz="0" w:space="0" w:color="auto"/>
        <w:left w:val="none" w:sz="0" w:space="0" w:color="auto"/>
        <w:bottom w:val="none" w:sz="0" w:space="0" w:color="auto"/>
        <w:right w:val="none" w:sz="0" w:space="0" w:color="auto"/>
      </w:divBdr>
    </w:div>
    <w:div w:id="1547179366">
      <w:bodyDiv w:val="1"/>
      <w:marLeft w:val="0"/>
      <w:marRight w:val="0"/>
      <w:marTop w:val="0"/>
      <w:marBottom w:val="0"/>
      <w:divBdr>
        <w:top w:val="none" w:sz="0" w:space="0" w:color="auto"/>
        <w:left w:val="none" w:sz="0" w:space="0" w:color="auto"/>
        <w:bottom w:val="none" w:sz="0" w:space="0" w:color="auto"/>
        <w:right w:val="none" w:sz="0" w:space="0" w:color="auto"/>
      </w:divBdr>
    </w:div>
    <w:div w:id="1554463158">
      <w:bodyDiv w:val="1"/>
      <w:marLeft w:val="0"/>
      <w:marRight w:val="0"/>
      <w:marTop w:val="0"/>
      <w:marBottom w:val="0"/>
      <w:divBdr>
        <w:top w:val="none" w:sz="0" w:space="0" w:color="auto"/>
        <w:left w:val="none" w:sz="0" w:space="0" w:color="auto"/>
        <w:bottom w:val="none" w:sz="0" w:space="0" w:color="auto"/>
        <w:right w:val="none" w:sz="0" w:space="0" w:color="auto"/>
      </w:divBdr>
    </w:div>
    <w:div w:id="1554728853">
      <w:bodyDiv w:val="1"/>
      <w:marLeft w:val="0"/>
      <w:marRight w:val="0"/>
      <w:marTop w:val="0"/>
      <w:marBottom w:val="0"/>
      <w:divBdr>
        <w:top w:val="none" w:sz="0" w:space="0" w:color="auto"/>
        <w:left w:val="none" w:sz="0" w:space="0" w:color="auto"/>
        <w:bottom w:val="none" w:sz="0" w:space="0" w:color="auto"/>
        <w:right w:val="none" w:sz="0" w:space="0" w:color="auto"/>
      </w:divBdr>
    </w:div>
    <w:div w:id="1556550550">
      <w:bodyDiv w:val="1"/>
      <w:marLeft w:val="0"/>
      <w:marRight w:val="0"/>
      <w:marTop w:val="0"/>
      <w:marBottom w:val="0"/>
      <w:divBdr>
        <w:top w:val="none" w:sz="0" w:space="0" w:color="auto"/>
        <w:left w:val="none" w:sz="0" w:space="0" w:color="auto"/>
        <w:bottom w:val="none" w:sz="0" w:space="0" w:color="auto"/>
        <w:right w:val="none" w:sz="0" w:space="0" w:color="auto"/>
      </w:divBdr>
      <w:divsChild>
        <w:div w:id="777525202">
          <w:marLeft w:val="0"/>
          <w:marRight w:val="0"/>
          <w:marTop w:val="0"/>
          <w:marBottom w:val="0"/>
          <w:divBdr>
            <w:top w:val="none" w:sz="0" w:space="0" w:color="auto"/>
            <w:left w:val="none" w:sz="0" w:space="0" w:color="auto"/>
            <w:bottom w:val="none" w:sz="0" w:space="0" w:color="auto"/>
            <w:right w:val="none" w:sz="0" w:space="0" w:color="auto"/>
          </w:divBdr>
        </w:div>
      </w:divsChild>
    </w:div>
    <w:div w:id="1571236747">
      <w:bodyDiv w:val="1"/>
      <w:marLeft w:val="0"/>
      <w:marRight w:val="0"/>
      <w:marTop w:val="0"/>
      <w:marBottom w:val="0"/>
      <w:divBdr>
        <w:top w:val="none" w:sz="0" w:space="0" w:color="auto"/>
        <w:left w:val="none" w:sz="0" w:space="0" w:color="auto"/>
        <w:bottom w:val="none" w:sz="0" w:space="0" w:color="auto"/>
        <w:right w:val="none" w:sz="0" w:space="0" w:color="auto"/>
      </w:divBdr>
    </w:div>
    <w:div w:id="1579169077">
      <w:bodyDiv w:val="1"/>
      <w:marLeft w:val="0"/>
      <w:marRight w:val="0"/>
      <w:marTop w:val="0"/>
      <w:marBottom w:val="0"/>
      <w:divBdr>
        <w:top w:val="none" w:sz="0" w:space="0" w:color="auto"/>
        <w:left w:val="none" w:sz="0" w:space="0" w:color="auto"/>
        <w:bottom w:val="none" w:sz="0" w:space="0" w:color="auto"/>
        <w:right w:val="none" w:sz="0" w:space="0" w:color="auto"/>
      </w:divBdr>
    </w:div>
    <w:div w:id="1581257874">
      <w:bodyDiv w:val="1"/>
      <w:marLeft w:val="0"/>
      <w:marRight w:val="0"/>
      <w:marTop w:val="0"/>
      <w:marBottom w:val="0"/>
      <w:divBdr>
        <w:top w:val="none" w:sz="0" w:space="0" w:color="auto"/>
        <w:left w:val="none" w:sz="0" w:space="0" w:color="auto"/>
        <w:bottom w:val="none" w:sz="0" w:space="0" w:color="auto"/>
        <w:right w:val="none" w:sz="0" w:space="0" w:color="auto"/>
      </w:divBdr>
    </w:div>
    <w:div w:id="1582595338">
      <w:bodyDiv w:val="1"/>
      <w:marLeft w:val="0"/>
      <w:marRight w:val="0"/>
      <w:marTop w:val="0"/>
      <w:marBottom w:val="0"/>
      <w:divBdr>
        <w:top w:val="none" w:sz="0" w:space="0" w:color="auto"/>
        <w:left w:val="none" w:sz="0" w:space="0" w:color="auto"/>
        <w:bottom w:val="none" w:sz="0" w:space="0" w:color="auto"/>
        <w:right w:val="none" w:sz="0" w:space="0" w:color="auto"/>
      </w:divBdr>
      <w:divsChild>
        <w:div w:id="719745965">
          <w:marLeft w:val="0"/>
          <w:marRight w:val="0"/>
          <w:marTop w:val="0"/>
          <w:marBottom w:val="0"/>
          <w:divBdr>
            <w:top w:val="none" w:sz="0" w:space="0" w:color="auto"/>
            <w:left w:val="none" w:sz="0" w:space="0" w:color="auto"/>
            <w:bottom w:val="none" w:sz="0" w:space="0" w:color="auto"/>
            <w:right w:val="none" w:sz="0" w:space="0" w:color="auto"/>
          </w:divBdr>
        </w:div>
      </w:divsChild>
    </w:div>
    <w:div w:id="1594237242">
      <w:bodyDiv w:val="1"/>
      <w:marLeft w:val="0"/>
      <w:marRight w:val="0"/>
      <w:marTop w:val="0"/>
      <w:marBottom w:val="0"/>
      <w:divBdr>
        <w:top w:val="none" w:sz="0" w:space="0" w:color="auto"/>
        <w:left w:val="none" w:sz="0" w:space="0" w:color="auto"/>
        <w:bottom w:val="none" w:sz="0" w:space="0" w:color="auto"/>
        <w:right w:val="none" w:sz="0" w:space="0" w:color="auto"/>
      </w:divBdr>
    </w:div>
    <w:div w:id="1595553447">
      <w:bodyDiv w:val="1"/>
      <w:marLeft w:val="0"/>
      <w:marRight w:val="0"/>
      <w:marTop w:val="0"/>
      <w:marBottom w:val="0"/>
      <w:divBdr>
        <w:top w:val="none" w:sz="0" w:space="0" w:color="auto"/>
        <w:left w:val="none" w:sz="0" w:space="0" w:color="auto"/>
        <w:bottom w:val="none" w:sz="0" w:space="0" w:color="auto"/>
        <w:right w:val="none" w:sz="0" w:space="0" w:color="auto"/>
      </w:divBdr>
      <w:divsChild>
        <w:div w:id="1492451934">
          <w:marLeft w:val="547"/>
          <w:marRight w:val="0"/>
          <w:marTop w:val="154"/>
          <w:marBottom w:val="0"/>
          <w:divBdr>
            <w:top w:val="none" w:sz="0" w:space="0" w:color="auto"/>
            <w:left w:val="none" w:sz="0" w:space="0" w:color="auto"/>
            <w:bottom w:val="none" w:sz="0" w:space="0" w:color="auto"/>
            <w:right w:val="none" w:sz="0" w:space="0" w:color="auto"/>
          </w:divBdr>
        </w:div>
      </w:divsChild>
    </w:div>
    <w:div w:id="1596130932">
      <w:bodyDiv w:val="1"/>
      <w:marLeft w:val="0"/>
      <w:marRight w:val="0"/>
      <w:marTop w:val="0"/>
      <w:marBottom w:val="0"/>
      <w:divBdr>
        <w:top w:val="none" w:sz="0" w:space="0" w:color="auto"/>
        <w:left w:val="none" w:sz="0" w:space="0" w:color="auto"/>
        <w:bottom w:val="none" w:sz="0" w:space="0" w:color="auto"/>
        <w:right w:val="none" w:sz="0" w:space="0" w:color="auto"/>
      </w:divBdr>
    </w:div>
    <w:div w:id="1599486747">
      <w:bodyDiv w:val="1"/>
      <w:marLeft w:val="0"/>
      <w:marRight w:val="0"/>
      <w:marTop w:val="0"/>
      <w:marBottom w:val="0"/>
      <w:divBdr>
        <w:top w:val="none" w:sz="0" w:space="0" w:color="auto"/>
        <w:left w:val="none" w:sz="0" w:space="0" w:color="auto"/>
        <w:bottom w:val="none" w:sz="0" w:space="0" w:color="auto"/>
        <w:right w:val="none" w:sz="0" w:space="0" w:color="auto"/>
      </w:divBdr>
    </w:div>
    <w:div w:id="1639264159">
      <w:bodyDiv w:val="1"/>
      <w:marLeft w:val="0"/>
      <w:marRight w:val="0"/>
      <w:marTop w:val="0"/>
      <w:marBottom w:val="0"/>
      <w:divBdr>
        <w:top w:val="none" w:sz="0" w:space="0" w:color="auto"/>
        <w:left w:val="none" w:sz="0" w:space="0" w:color="auto"/>
        <w:bottom w:val="none" w:sz="0" w:space="0" w:color="auto"/>
        <w:right w:val="none" w:sz="0" w:space="0" w:color="auto"/>
      </w:divBdr>
    </w:div>
    <w:div w:id="1641612399">
      <w:bodyDiv w:val="1"/>
      <w:marLeft w:val="0"/>
      <w:marRight w:val="0"/>
      <w:marTop w:val="0"/>
      <w:marBottom w:val="0"/>
      <w:divBdr>
        <w:top w:val="none" w:sz="0" w:space="0" w:color="auto"/>
        <w:left w:val="none" w:sz="0" w:space="0" w:color="auto"/>
        <w:bottom w:val="none" w:sz="0" w:space="0" w:color="auto"/>
        <w:right w:val="none" w:sz="0" w:space="0" w:color="auto"/>
      </w:divBdr>
    </w:div>
    <w:div w:id="1642686894">
      <w:bodyDiv w:val="1"/>
      <w:marLeft w:val="0"/>
      <w:marRight w:val="0"/>
      <w:marTop w:val="0"/>
      <w:marBottom w:val="0"/>
      <w:divBdr>
        <w:top w:val="none" w:sz="0" w:space="0" w:color="auto"/>
        <w:left w:val="none" w:sz="0" w:space="0" w:color="auto"/>
        <w:bottom w:val="none" w:sz="0" w:space="0" w:color="auto"/>
        <w:right w:val="none" w:sz="0" w:space="0" w:color="auto"/>
      </w:divBdr>
    </w:div>
    <w:div w:id="1644968280">
      <w:bodyDiv w:val="1"/>
      <w:marLeft w:val="0"/>
      <w:marRight w:val="0"/>
      <w:marTop w:val="0"/>
      <w:marBottom w:val="0"/>
      <w:divBdr>
        <w:top w:val="none" w:sz="0" w:space="0" w:color="auto"/>
        <w:left w:val="none" w:sz="0" w:space="0" w:color="auto"/>
        <w:bottom w:val="none" w:sz="0" w:space="0" w:color="auto"/>
        <w:right w:val="none" w:sz="0" w:space="0" w:color="auto"/>
      </w:divBdr>
    </w:div>
    <w:div w:id="1651866233">
      <w:bodyDiv w:val="1"/>
      <w:marLeft w:val="0"/>
      <w:marRight w:val="0"/>
      <w:marTop w:val="0"/>
      <w:marBottom w:val="0"/>
      <w:divBdr>
        <w:top w:val="none" w:sz="0" w:space="0" w:color="auto"/>
        <w:left w:val="none" w:sz="0" w:space="0" w:color="auto"/>
        <w:bottom w:val="none" w:sz="0" w:space="0" w:color="auto"/>
        <w:right w:val="none" w:sz="0" w:space="0" w:color="auto"/>
      </w:divBdr>
    </w:div>
    <w:div w:id="1659770032">
      <w:bodyDiv w:val="1"/>
      <w:marLeft w:val="0"/>
      <w:marRight w:val="0"/>
      <w:marTop w:val="0"/>
      <w:marBottom w:val="0"/>
      <w:divBdr>
        <w:top w:val="none" w:sz="0" w:space="0" w:color="auto"/>
        <w:left w:val="none" w:sz="0" w:space="0" w:color="auto"/>
        <w:bottom w:val="none" w:sz="0" w:space="0" w:color="auto"/>
        <w:right w:val="none" w:sz="0" w:space="0" w:color="auto"/>
      </w:divBdr>
    </w:div>
    <w:div w:id="1662465081">
      <w:bodyDiv w:val="1"/>
      <w:marLeft w:val="0"/>
      <w:marRight w:val="0"/>
      <w:marTop w:val="0"/>
      <w:marBottom w:val="0"/>
      <w:divBdr>
        <w:top w:val="none" w:sz="0" w:space="0" w:color="auto"/>
        <w:left w:val="none" w:sz="0" w:space="0" w:color="auto"/>
        <w:bottom w:val="none" w:sz="0" w:space="0" w:color="auto"/>
        <w:right w:val="none" w:sz="0" w:space="0" w:color="auto"/>
      </w:divBdr>
    </w:div>
    <w:div w:id="1668940085">
      <w:bodyDiv w:val="1"/>
      <w:marLeft w:val="0"/>
      <w:marRight w:val="0"/>
      <w:marTop w:val="0"/>
      <w:marBottom w:val="0"/>
      <w:divBdr>
        <w:top w:val="none" w:sz="0" w:space="0" w:color="auto"/>
        <w:left w:val="none" w:sz="0" w:space="0" w:color="auto"/>
        <w:bottom w:val="none" w:sz="0" w:space="0" w:color="auto"/>
        <w:right w:val="none" w:sz="0" w:space="0" w:color="auto"/>
      </w:divBdr>
    </w:div>
    <w:div w:id="1670448377">
      <w:bodyDiv w:val="1"/>
      <w:marLeft w:val="0"/>
      <w:marRight w:val="0"/>
      <w:marTop w:val="0"/>
      <w:marBottom w:val="0"/>
      <w:divBdr>
        <w:top w:val="none" w:sz="0" w:space="0" w:color="auto"/>
        <w:left w:val="none" w:sz="0" w:space="0" w:color="auto"/>
        <w:bottom w:val="none" w:sz="0" w:space="0" w:color="auto"/>
        <w:right w:val="none" w:sz="0" w:space="0" w:color="auto"/>
      </w:divBdr>
    </w:div>
    <w:div w:id="1672683797">
      <w:bodyDiv w:val="1"/>
      <w:marLeft w:val="0"/>
      <w:marRight w:val="0"/>
      <w:marTop w:val="0"/>
      <w:marBottom w:val="0"/>
      <w:divBdr>
        <w:top w:val="none" w:sz="0" w:space="0" w:color="auto"/>
        <w:left w:val="none" w:sz="0" w:space="0" w:color="auto"/>
        <w:bottom w:val="none" w:sz="0" w:space="0" w:color="auto"/>
        <w:right w:val="none" w:sz="0" w:space="0" w:color="auto"/>
      </w:divBdr>
    </w:div>
    <w:div w:id="1674332810">
      <w:bodyDiv w:val="1"/>
      <w:marLeft w:val="0"/>
      <w:marRight w:val="0"/>
      <w:marTop w:val="0"/>
      <w:marBottom w:val="0"/>
      <w:divBdr>
        <w:top w:val="none" w:sz="0" w:space="0" w:color="auto"/>
        <w:left w:val="none" w:sz="0" w:space="0" w:color="auto"/>
        <w:bottom w:val="none" w:sz="0" w:space="0" w:color="auto"/>
        <w:right w:val="none" w:sz="0" w:space="0" w:color="auto"/>
      </w:divBdr>
    </w:div>
    <w:div w:id="1680808723">
      <w:bodyDiv w:val="1"/>
      <w:marLeft w:val="0"/>
      <w:marRight w:val="0"/>
      <w:marTop w:val="0"/>
      <w:marBottom w:val="0"/>
      <w:divBdr>
        <w:top w:val="none" w:sz="0" w:space="0" w:color="auto"/>
        <w:left w:val="none" w:sz="0" w:space="0" w:color="auto"/>
        <w:bottom w:val="none" w:sz="0" w:space="0" w:color="auto"/>
        <w:right w:val="none" w:sz="0" w:space="0" w:color="auto"/>
      </w:divBdr>
    </w:div>
    <w:div w:id="1682857108">
      <w:bodyDiv w:val="1"/>
      <w:marLeft w:val="0"/>
      <w:marRight w:val="0"/>
      <w:marTop w:val="0"/>
      <w:marBottom w:val="0"/>
      <w:divBdr>
        <w:top w:val="none" w:sz="0" w:space="0" w:color="auto"/>
        <w:left w:val="none" w:sz="0" w:space="0" w:color="auto"/>
        <w:bottom w:val="none" w:sz="0" w:space="0" w:color="auto"/>
        <w:right w:val="none" w:sz="0" w:space="0" w:color="auto"/>
      </w:divBdr>
    </w:div>
    <w:div w:id="1696925119">
      <w:bodyDiv w:val="1"/>
      <w:marLeft w:val="0"/>
      <w:marRight w:val="0"/>
      <w:marTop w:val="0"/>
      <w:marBottom w:val="0"/>
      <w:divBdr>
        <w:top w:val="none" w:sz="0" w:space="0" w:color="auto"/>
        <w:left w:val="none" w:sz="0" w:space="0" w:color="auto"/>
        <w:bottom w:val="none" w:sz="0" w:space="0" w:color="auto"/>
        <w:right w:val="none" w:sz="0" w:space="0" w:color="auto"/>
      </w:divBdr>
    </w:div>
    <w:div w:id="1698042006">
      <w:bodyDiv w:val="1"/>
      <w:marLeft w:val="0"/>
      <w:marRight w:val="0"/>
      <w:marTop w:val="0"/>
      <w:marBottom w:val="0"/>
      <w:divBdr>
        <w:top w:val="none" w:sz="0" w:space="0" w:color="auto"/>
        <w:left w:val="none" w:sz="0" w:space="0" w:color="auto"/>
        <w:bottom w:val="none" w:sz="0" w:space="0" w:color="auto"/>
        <w:right w:val="none" w:sz="0" w:space="0" w:color="auto"/>
      </w:divBdr>
    </w:div>
    <w:div w:id="1712413077">
      <w:bodyDiv w:val="1"/>
      <w:marLeft w:val="0"/>
      <w:marRight w:val="0"/>
      <w:marTop w:val="0"/>
      <w:marBottom w:val="0"/>
      <w:divBdr>
        <w:top w:val="none" w:sz="0" w:space="0" w:color="auto"/>
        <w:left w:val="none" w:sz="0" w:space="0" w:color="auto"/>
        <w:bottom w:val="none" w:sz="0" w:space="0" w:color="auto"/>
        <w:right w:val="none" w:sz="0" w:space="0" w:color="auto"/>
      </w:divBdr>
      <w:divsChild>
        <w:div w:id="1745763862">
          <w:marLeft w:val="0"/>
          <w:marRight w:val="0"/>
          <w:marTop w:val="0"/>
          <w:marBottom w:val="0"/>
          <w:divBdr>
            <w:top w:val="none" w:sz="0" w:space="0" w:color="auto"/>
            <w:left w:val="none" w:sz="0" w:space="0" w:color="auto"/>
            <w:bottom w:val="none" w:sz="0" w:space="0" w:color="auto"/>
            <w:right w:val="none" w:sz="0" w:space="0" w:color="auto"/>
          </w:divBdr>
        </w:div>
      </w:divsChild>
    </w:div>
    <w:div w:id="1716201055">
      <w:bodyDiv w:val="1"/>
      <w:marLeft w:val="0"/>
      <w:marRight w:val="0"/>
      <w:marTop w:val="0"/>
      <w:marBottom w:val="0"/>
      <w:divBdr>
        <w:top w:val="none" w:sz="0" w:space="0" w:color="auto"/>
        <w:left w:val="none" w:sz="0" w:space="0" w:color="auto"/>
        <w:bottom w:val="none" w:sz="0" w:space="0" w:color="auto"/>
        <w:right w:val="none" w:sz="0" w:space="0" w:color="auto"/>
      </w:divBdr>
    </w:div>
    <w:div w:id="1717578484">
      <w:bodyDiv w:val="1"/>
      <w:marLeft w:val="0"/>
      <w:marRight w:val="0"/>
      <w:marTop w:val="0"/>
      <w:marBottom w:val="0"/>
      <w:divBdr>
        <w:top w:val="none" w:sz="0" w:space="0" w:color="auto"/>
        <w:left w:val="none" w:sz="0" w:space="0" w:color="auto"/>
        <w:bottom w:val="none" w:sz="0" w:space="0" w:color="auto"/>
        <w:right w:val="none" w:sz="0" w:space="0" w:color="auto"/>
      </w:divBdr>
    </w:div>
    <w:div w:id="1739278772">
      <w:bodyDiv w:val="1"/>
      <w:marLeft w:val="0"/>
      <w:marRight w:val="0"/>
      <w:marTop w:val="0"/>
      <w:marBottom w:val="0"/>
      <w:divBdr>
        <w:top w:val="none" w:sz="0" w:space="0" w:color="auto"/>
        <w:left w:val="none" w:sz="0" w:space="0" w:color="auto"/>
        <w:bottom w:val="none" w:sz="0" w:space="0" w:color="auto"/>
        <w:right w:val="none" w:sz="0" w:space="0" w:color="auto"/>
      </w:divBdr>
    </w:div>
    <w:div w:id="1748914663">
      <w:bodyDiv w:val="1"/>
      <w:marLeft w:val="0"/>
      <w:marRight w:val="0"/>
      <w:marTop w:val="0"/>
      <w:marBottom w:val="0"/>
      <w:divBdr>
        <w:top w:val="none" w:sz="0" w:space="0" w:color="auto"/>
        <w:left w:val="none" w:sz="0" w:space="0" w:color="auto"/>
        <w:bottom w:val="none" w:sz="0" w:space="0" w:color="auto"/>
        <w:right w:val="none" w:sz="0" w:space="0" w:color="auto"/>
      </w:divBdr>
      <w:divsChild>
        <w:div w:id="1055350923">
          <w:marLeft w:val="331"/>
          <w:marRight w:val="0"/>
          <w:marTop w:val="0"/>
          <w:marBottom w:val="0"/>
          <w:divBdr>
            <w:top w:val="none" w:sz="0" w:space="0" w:color="auto"/>
            <w:left w:val="none" w:sz="0" w:space="0" w:color="auto"/>
            <w:bottom w:val="none" w:sz="0" w:space="0" w:color="auto"/>
            <w:right w:val="none" w:sz="0" w:space="0" w:color="auto"/>
          </w:divBdr>
        </w:div>
      </w:divsChild>
    </w:div>
    <w:div w:id="1750730767">
      <w:bodyDiv w:val="1"/>
      <w:marLeft w:val="0"/>
      <w:marRight w:val="0"/>
      <w:marTop w:val="0"/>
      <w:marBottom w:val="0"/>
      <w:divBdr>
        <w:top w:val="none" w:sz="0" w:space="0" w:color="auto"/>
        <w:left w:val="none" w:sz="0" w:space="0" w:color="auto"/>
        <w:bottom w:val="none" w:sz="0" w:space="0" w:color="auto"/>
        <w:right w:val="none" w:sz="0" w:space="0" w:color="auto"/>
      </w:divBdr>
    </w:div>
    <w:div w:id="1756632624">
      <w:bodyDiv w:val="1"/>
      <w:marLeft w:val="0"/>
      <w:marRight w:val="0"/>
      <w:marTop w:val="0"/>
      <w:marBottom w:val="0"/>
      <w:divBdr>
        <w:top w:val="none" w:sz="0" w:space="0" w:color="auto"/>
        <w:left w:val="none" w:sz="0" w:space="0" w:color="auto"/>
        <w:bottom w:val="none" w:sz="0" w:space="0" w:color="auto"/>
        <w:right w:val="none" w:sz="0" w:space="0" w:color="auto"/>
      </w:divBdr>
    </w:div>
    <w:div w:id="1762676496">
      <w:bodyDiv w:val="1"/>
      <w:marLeft w:val="0"/>
      <w:marRight w:val="0"/>
      <w:marTop w:val="0"/>
      <w:marBottom w:val="0"/>
      <w:divBdr>
        <w:top w:val="none" w:sz="0" w:space="0" w:color="auto"/>
        <w:left w:val="none" w:sz="0" w:space="0" w:color="auto"/>
        <w:bottom w:val="none" w:sz="0" w:space="0" w:color="auto"/>
        <w:right w:val="none" w:sz="0" w:space="0" w:color="auto"/>
      </w:divBdr>
    </w:div>
    <w:div w:id="1773823319">
      <w:bodyDiv w:val="1"/>
      <w:marLeft w:val="0"/>
      <w:marRight w:val="0"/>
      <w:marTop w:val="0"/>
      <w:marBottom w:val="0"/>
      <w:divBdr>
        <w:top w:val="none" w:sz="0" w:space="0" w:color="auto"/>
        <w:left w:val="none" w:sz="0" w:space="0" w:color="auto"/>
        <w:bottom w:val="none" w:sz="0" w:space="0" w:color="auto"/>
        <w:right w:val="none" w:sz="0" w:space="0" w:color="auto"/>
      </w:divBdr>
    </w:div>
    <w:div w:id="1777097343">
      <w:bodyDiv w:val="1"/>
      <w:marLeft w:val="0"/>
      <w:marRight w:val="0"/>
      <w:marTop w:val="0"/>
      <w:marBottom w:val="0"/>
      <w:divBdr>
        <w:top w:val="none" w:sz="0" w:space="0" w:color="auto"/>
        <w:left w:val="none" w:sz="0" w:space="0" w:color="auto"/>
        <w:bottom w:val="none" w:sz="0" w:space="0" w:color="auto"/>
        <w:right w:val="none" w:sz="0" w:space="0" w:color="auto"/>
      </w:divBdr>
      <w:divsChild>
        <w:div w:id="1946234025">
          <w:marLeft w:val="0"/>
          <w:marRight w:val="0"/>
          <w:marTop w:val="0"/>
          <w:marBottom w:val="0"/>
          <w:divBdr>
            <w:top w:val="none" w:sz="0" w:space="0" w:color="auto"/>
            <w:left w:val="none" w:sz="0" w:space="0" w:color="auto"/>
            <w:bottom w:val="none" w:sz="0" w:space="0" w:color="auto"/>
            <w:right w:val="none" w:sz="0" w:space="0" w:color="auto"/>
          </w:divBdr>
          <w:divsChild>
            <w:div w:id="1212571985">
              <w:marLeft w:val="0"/>
              <w:marRight w:val="0"/>
              <w:marTop w:val="0"/>
              <w:marBottom w:val="0"/>
              <w:divBdr>
                <w:top w:val="none" w:sz="0" w:space="0" w:color="auto"/>
                <w:left w:val="none" w:sz="0" w:space="0" w:color="auto"/>
                <w:bottom w:val="none" w:sz="0" w:space="0" w:color="auto"/>
                <w:right w:val="none" w:sz="0" w:space="0" w:color="auto"/>
              </w:divBdr>
              <w:divsChild>
                <w:div w:id="16796963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811633721">
      <w:bodyDiv w:val="1"/>
      <w:marLeft w:val="0"/>
      <w:marRight w:val="0"/>
      <w:marTop w:val="0"/>
      <w:marBottom w:val="0"/>
      <w:divBdr>
        <w:top w:val="none" w:sz="0" w:space="0" w:color="auto"/>
        <w:left w:val="none" w:sz="0" w:space="0" w:color="auto"/>
        <w:bottom w:val="none" w:sz="0" w:space="0" w:color="auto"/>
        <w:right w:val="none" w:sz="0" w:space="0" w:color="auto"/>
      </w:divBdr>
    </w:div>
    <w:div w:id="1820271115">
      <w:bodyDiv w:val="1"/>
      <w:marLeft w:val="0"/>
      <w:marRight w:val="0"/>
      <w:marTop w:val="0"/>
      <w:marBottom w:val="0"/>
      <w:divBdr>
        <w:top w:val="none" w:sz="0" w:space="0" w:color="auto"/>
        <w:left w:val="none" w:sz="0" w:space="0" w:color="auto"/>
        <w:bottom w:val="none" w:sz="0" w:space="0" w:color="auto"/>
        <w:right w:val="none" w:sz="0" w:space="0" w:color="auto"/>
      </w:divBdr>
    </w:div>
    <w:div w:id="1828591440">
      <w:bodyDiv w:val="1"/>
      <w:marLeft w:val="0"/>
      <w:marRight w:val="0"/>
      <w:marTop w:val="0"/>
      <w:marBottom w:val="0"/>
      <w:divBdr>
        <w:top w:val="none" w:sz="0" w:space="0" w:color="auto"/>
        <w:left w:val="none" w:sz="0" w:space="0" w:color="auto"/>
        <w:bottom w:val="none" w:sz="0" w:space="0" w:color="auto"/>
        <w:right w:val="none" w:sz="0" w:space="0" w:color="auto"/>
      </w:divBdr>
    </w:div>
    <w:div w:id="1833058933">
      <w:bodyDiv w:val="1"/>
      <w:marLeft w:val="0"/>
      <w:marRight w:val="0"/>
      <w:marTop w:val="0"/>
      <w:marBottom w:val="0"/>
      <w:divBdr>
        <w:top w:val="none" w:sz="0" w:space="0" w:color="auto"/>
        <w:left w:val="none" w:sz="0" w:space="0" w:color="auto"/>
        <w:bottom w:val="none" w:sz="0" w:space="0" w:color="auto"/>
        <w:right w:val="none" w:sz="0" w:space="0" w:color="auto"/>
      </w:divBdr>
    </w:div>
    <w:div w:id="1833787537">
      <w:bodyDiv w:val="1"/>
      <w:marLeft w:val="0"/>
      <w:marRight w:val="0"/>
      <w:marTop w:val="0"/>
      <w:marBottom w:val="0"/>
      <w:divBdr>
        <w:top w:val="none" w:sz="0" w:space="0" w:color="auto"/>
        <w:left w:val="none" w:sz="0" w:space="0" w:color="auto"/>
        <w:bottom w:val="none" w:sz="0" w:space="0" w:color="auto"/>
        <w:right w:val="none" w:sz="0" w:space="0" w:color="auto"/>
      </w:divBdr>
    </w:div>
    <w:div w:id="1838033325">
      <w:bodyDiv w:val="1"/>
      <w:marLeft w:val="0"/>
      <w:marRight w:val="0"/>
      <w:marTop w:val="0"/>
      <w:marBottom w:val="0"/>
      <w:divBdr>
        <w:top w:val="none" w:sz="0" w:space="0" w:color="auto"/>
        <w:left w:val="none" w:sz="0" w:space="0" w:color="auto"/>
        <w:bottom w:val="none" w:sz="0" w:space="0" w:color="auto"/>
        <w:right w:val="none" w:sz="0" w:space="0" w:color="auto"/>
      </w:divBdr>
    </w:div>
    <w:div w:id="1845046480">
      <w:bodyDiv w:val="1"/>
      <w:marLeft w:val="0"/>
      <w:marRight w:val="0"/>
      <w:marTop w:val="0"/>
      <w:marBottom w:val="0"/>
      <w:divBdr>
        <w:top w:val="none" w:sz="0" w:space="0" w:color="auto"/>
        <w:left w:val="none" w:sz="0" w:space="0" w:color="auto"/>
        <w:bottom w:val="none" w:sz="0" w:space="0" w:color="auto"/>
        <w:right w:val="none" w:sz="0" w:space="0" w:color="auto"/>
      </w:divBdr>
    </w:div>
    <w:div w:id="1847283870">
      <w:bodyDiv w:val="1"/>
      <w:marLeft w:val="0"/>
      <w:marRight w:val="0"/>
      <w:marTop w:val="0"/>
      <w:marBottom w:val="0"/>
      <w:divBdr>
        <w:top w:val="none" w:sz="0" w:space="0" w:color="auto"/>
        <w:left w:val="none" w:sz="0" w:space="0" w:color="auto"/>
        <w:bottom w:val="none" w:sz="0" w:space="0" w:color="auto"/>
        <w:right w:val="none" w:sz="0" w:space="0" w:color="auto"/>
      </w:divBdr>
    </w:div>
    <w:div w:id="1849179224">
      <w:bodyDiv w:val="1"/>
      <w:marLeft w:val="0"/>
      <w:marRight w:val="0"/>
      <w:marTop w:val="0"/>
      <w:marBottom w:val="0"/>
      <w:divBdr>
        <w:top w:val="none" w:sz="0" w:space="0" w:color="auto"/>
        <w:left w:val="none" w:sz="0" w:space="0" w:color="auto"/>
        <w:bottom w:val="none" w:sz="0" w:space="0" w:color="auto"/>
        <w:right w:val="none" w:sz="0" w:space="0" w:color="auto"/>
      </w:divBdr>
    </w:div>
    <w:div w:id="1850024409">
      <w:bodyDiv w:val="1"/>
      <w:marLeft w:val="0"/>
      <w:marRight w:val="0"/>
      <w:marTop w:val="0"/>
      <w:marBottom w:val="0"/>
      <w:divBdr>
        <w:top w:val="none" w:sz="0" w:space="0" w:color="auto"/>
        <w:left w:val="none" w:sz="0" w:space="0" w:color="auto"/>
        <w:bottom w:val="none" w:sz="0" w:space="0" w:color="auto"/>
        <w:right w:val="none" w:sz="0" w:space="0" w:color="auto"/>
      </w:divBdr>
    </w:div>
    <w:div w:id="1864440367">
      <w:bodyDiv w:val="1"/>
      <w:marLeft w:val="0"/>
      <w:marRight w:val="0"/>
      <w:marTop w:val="0"/>
      <w:marBottom w:val="0"/>
      <w:divBdr>
        <w:top w:val="none" w:sz="0" w:space="0" w:color="auto"/>
        <w:left w:val="none" w:sz="0" w:space="0" w:color="auto"/>
        <w:bottom w:val="none" w:sz="0" w:space="0" w:color="auto"/>
        <w:right w:val="none" w:sz="0" w:space="0" w:color="auto"/>
      </w:divBdr>
    </w:div>
    <w:div w:id="1872304199">
      <w:bodyDiv w:val="1"/>
      <w:marLeft w:val="0"/>
      <w:marRight w:val="0"/>
      <w:marTop w:val="0"/>
      <w:marBottom w:val="0"/>
      <w:divBdr>
        <w:top w:val="none" w:sz="0" w:space="0" w:color="auto"/>
        <w:left w:val="none" w:sz="0" w:space="0" w:color="auto"/>
        <w:bottom w:val="none" w:sz="0" w:space="0" w:color="auto"/>
        <w:right w:val="none" w:sz="0" w:space="0" w:color="auto"/>
      </w:divBdr>
    </w:div>
    <w:div w:id="1872836436">
      <w:bodyDiv w:val="1"/>
      <w:marLeft w:val="0"/>
      <w:marRight w:val="0"/>
      <w:marTop w:val="0"/>
      <w:marBottom w:val="0"/>
      <w:divBdr>
        <w:top w:val="none" w:sz="0" w:space="0" w:color="auto"/>
        <w:left w:val="none" w:sz="0" w:space="0" w:color="auto"/>
        <w:bottom w:val="none" w:sz="0" w:space="0" w:color="auto"/>
        <w:right w:val="none" w:sz="0" w:space="0" w:color="auto"/>
      </w:divBdr>
    </w:div>
    <w:div w:id="1879472107">
      <w:bodyDiv w:val="1"/>
      <w:marLeft w:val="0"/>
      <w:marRight w:val="0"/>
      <w:marTop w:val="0"/>
      <w:marBottom w:val="0"/>
      <w:divBdr>
        <w:top w:val="none" w:sz="0" w:space="0" w:color="auto"/>
        <w:left w:val="none" w:sz="0" w:space="0" w:color="auto"/>
        <w:bottom w:val="none" w:sz="0" w:space="0" w:color="auto"/>
        <w:right w:val="none" w:sz="0" w:space="0" w:color="auto"/>
      </w:divBdr>
    </w:div>
    <w:div w:id="1884319681">
      <w:bodyDiv w:val="1"/>
      <w:marLeft w:val="0"/>
      <w:marRight w:val="0"/>
      <w:marTop w:val="0"/>
      <w:marBottom w:val="0"/>
      <w:divBdr>
        <w:top w:val="none" w:sz="0" w:space="0" w:color="auto"/>
        <w:left w:val="none" w:sz="0" w:space="0" w:color="auto"/>
        <w:bottom w:val="none" w:sz="0" w:space="0" w:color="auto"/>
        <w:right w:val="none" w:sz="0" w:space="0" w:color="auto"/>
      </w:divBdr>
    </w:div>
    <w:div w:id="1885288474">
      <w:bodyDiv w:val="1"/>
      <w:marLeft w:val="0"/>
      <w:marRight w:val="0"/>
      <w:marTop w:val="0"/>
      <w:marBottom w:val="0"/>
      <w:divBdr>
        <w:top w:val="none" w:sz="0" w:space="0" w:color="auto"/>
        <w:left w:val="none" w:sz="0" w:space="0" w:color="auto"/>
        <w:bottom w:val="none" w:sz="0" w:space="0" w:color="auto"/>
        <w:right w:val="none" w:sz="0" w:space="0" w:color="auto"/>
      </w:divBdr>
    </w:div>
    <w:div w:id="1889025409">
      <w:bodyDiv w:val="1"/>
      <w:marLeft w:val="0"/>
      <w:marRight w:val="0"/>
      <w:marTop w:val="0"/>
      <w:marBottom w:val="0"/>
      <w:divBdr>
        <w:top w:val="none" w:sz="0" w:space="0" w:color="auto"/>
        <w:left w:val="none" w:sz="0" w:space="0" w:color="auto"/>
        <w:bottom w:val="none" w:sz="0" w:space="0" w:color="auto"/>
        <w:right w:val="none" w:sz="0" w:space="0" w:color="auto"/>
      </w:divBdr>
    </w:div>
    <w:div w:id="1895895119">
      <w:bodyDiv w:val="1"/>
      <w:marLeft w:val="0"/>
      <w:marRight w:val="0"/>
      <w:marTop w:val="0"/>
      <w:marBottom w:val="0"/>
      <w:divBdr>
        <w:top w:val="none" w:sz="0" w:space="0" w:color="auto"/>
        <w:left w:val="none" w:sz="0" w:space="0" w:color="auto"/>
        <w:bottom w:val="none" w:sz="0" w:space="0" w:color="auto"/>
        <w:right w:val="none" w:sz="0" w:space="0" w:color="auto"/>
      </w:divBdr>
    </w:div>
    <w:div w:id="1898281116">
      <w:bodyDiv w:val="1"/>
      <w:marLeft w:val="0"/>
      <w:marRight w:val="0"/>
      <w:marTop w:val="0"/>
      <w:marBottom w:val="0"/>
      <w:divBdr>
        <w:top w:val="none" w:sz="0" w:space="0" w:color="auto"/>
        <w:left w:val="none" w:sz="0" w:space="0" w:color="auto"/>
        <w:bottom w:val="none" w:sz="0" w:space="0" w:color="auto"/>
        <w:right w:val="none" w:sz="0" w:space="0" w:color="auto"/>
      </w:divBdr>
    </w:div>
    <w:div w:id="1898474263">
      <w:bodyDiv w:val="1"/>
      <w:marLeft w:val="0"/>
      <w:marRight w:val="0"/>
      <w:marTop w:val="0"/>
      <w:marBottom w:val="0"/>
      <w:divBdr>
        <w:top w:val="none" w:sz="0" w:space="0" w:color="auto"/>
        <w:left w:val="none" w:sz="0" w:space="0" w:color="auto"/>
        <w:bottom w:val="none" w:sz="0" w:space="0" w:color="auto"/>
        <w:right w:val="none" w:sz="0" w:space="0" w:color="auto"/>
      </w:divBdr>
    </w:div>
    <w:div w:id="1901012049">
      <w:bodyDiv w:val="1"/>
      <w:marLeft w:val="0"/>
      <w:marRight w:val="0"/>
      <w:marTop w:val="0"/>
      <w:marBottom w:val="0"/>
      <w:divBdr>
        <w:top w:val="none" w:sz="0" w:space="0" w:color="auto"/>
        <w:left w:val="none" w:sz="0" w:space="0" w:color="auto"/>
        <w:bottom w:val="none" w:sz="0" w:space="0" w:color="auto"/>
        <w:right w:val="none" w:sz="0" w:space="0" w:color="auto"/>
      </w:divBdr>
    </w:div>
    <w:div w:id="1905143775">
      <w:bodyDiv w:val="1"/>
      <w:marLeft w:val="0"/>
      <w:marRight w:val="0"/>
      <w:marTop w:val="0"/>
      <w:marBottom w:val="0"/>
      <w:divBdr>
        <w:top w:val="none" w:sz="0" w:space="0" w:color="auto"/>
        <w:left w:val="none" w:sz="0" w:space="0" w:color="auto"/>
        <w:bottom w:val="none" w:sz="0" w:space="0" w:color="auto"/>
        <w:right w:val="none" w:sz="0" w:space="0" w:color="auto"/>
      </w:divBdr>
    </w:div>
    <w:div w:id="1922443834">
      <w:bodyDiv w:val="1"/>
      <w:marLeft w:val="0"/>
      <w:marRight w:val="0"/>
      <w:marTop w:val="0"/>
      <w:marBottom w:val="0"/>
      <w:divBdr>
        <w:top w:val="none" w:sz="0" w:space="0" w:color="auto"/>
        <w:left w:val="none" w:sz="0" w:space="0" w:color="auto"/>
        <w:bottom w:val="none" w:sz="0" w:space="0" w:color="auto"/>
        <w:right w:val="none" w:sz="0" w:space="0" w:color="auto"/>
      </w:divBdr>
    </w:div>
    <w:div w:id="1927422489">
      <w:bodyDiv w:val="1"/>
      <w:marLeft w:val="0"/>
      <w:marRight w:val="0"/>
      <w:marTop w:val="0"/>
      <w:marBottom w:val="0"/>
      <w:divBdr>
        <w:top w:val="none" w:sz="0" w:space="0" w:color="auto"/>
        <w:left w:val="none" w:sz="0" w:space="0" w:color="auto"/>
        <w:bottom w:val="none" w:sz="0" w:space="0" w:color="auto"/>
        <w:right w:val="none" w:sz="0" w:space="0" w:color="auto"/>
      </w:divBdr>
    </w:div>
    <w:div w:id="1929461026">
      <w:bodyDiv w:val="1"/>
      <w:marLeft w:val="0"/>
      <w:marRight w:val="0"/>
      <w:marTop w:val="0"/>
      <w:marBottom w:val="0"/>
      <w:divBdr>
        <w:top w:val="none" w:sz="0" w:space="0" w:color="auto"/>
        <w:left w:val="none" w:sz="0" w:space="0" w:color="auto"/>
        <w:bottom w:val="none" w:sz="0" w:space="0" w:color="auto"/>
        <w:right w:val="none" w:sz="0" w:space="0" w:color="auto"/>
      </w:divBdr>
    </w:div>
    <w:div w:id="1929800382">
      <w:bodyDiv w:val="1"/>
      <w:marLeft w:val="0"/>
      <w:marRight w:val="0"/>
      <w:marTop w:val="0"/>
      <w:marBottom w:val="0"/>
      <w:divBdr>
        <w:top w:val="none" w:sz="0" w:space="0" w:color="auto"/>
        <w:left w:val="none" w:sz="0" w:space="0" w:color="auto"/>
        <w:bottom w:val="none" w:sz="0" w:space="0" w:color="auto"/>
        <w:right w:val="none" w:sz="0" w:space="0" w:color="auto"/>
      </w:divBdr>
      <w:divsChild>
        <w:div w:id="1828669024">
          <w:marLeft w:val="0"/>
          <w:marRight w:val="0"/>
          <w:marTop w:val="0"/>
          <w:marBottom w:val="0"/>
          <w:divBdr>
            <w:top w:val="none" w:sz="0" w:space="0" w:color="auto"/>
            <w:left w:val="single" w:sz="12" w:space="0" w:color="F1F1F1"/>
            <w:bottom w:val="none" w:sz="0" w:space="0" w:color="auto"/>
            <w:right w:val="single" w:sz="12" w:space="0" w:color="F1F1F1"/>
          </w:divBdr>
          <w:divsChild>
            <w:div w:id="217281323">
              <w:marLeft w:val="0"/>
              <w:marRight w:val="0"/>
              <w:marTop w:val="0"/>
              <w:marBottom w:val="0"/>
              <w:divBdr>
                <w:top w:val="none" w:sz="0" w:space="0" w:color="auto"/>
                <w:left w:val="none" w:sz="0" w:space="0" w:color="auto"/>
                <w:bottom w:val="none" w:sz="0" w:space="0" w:color="auto"/>
                <w:right w:val="none" w:sz="0" w:space="0" w:color="auto"/>
              </w:divBdr>
              <w:divsChild>
                <w:div w:id="1667055821">
                  <w:marLeft w:val="0"/>
                  <w:marRight w:val="0"/>
                  <w:marTop w:val="0"/>
                  <w:marBottom w:val="0"/>
                  <w:divBdr>
                    <w:top w:val="none" w:sz="0" w:space="0" w:color="auto"/>
                    <w:left w:val="none" w:sz="0" w:space="0" w:color="auto"/>
                    <w:bottom w:val="none" w:sz="0" w:space="0" w:color="auto"/>
                    <w:right w:val="none" w:sz="0" w:space="0" w:color="auto"/>
                  </w:divBdr>
                  <w:divsChild>
                    <w:div w:id="1072241892">
                      <w:marLeft w:val="0"/>
                      <w:marRight w:val="0"/>
                      <w:marTop w:val="0"/>
                      <w:marBottom w:val="0"/>
                      <w:divBdr>
                        <w:top w:val="none" w:sz="0" w:space="0" w:color="auto"/>
                        <w:left w:val="none" w:sz="0" w:space="0" w:color="auto"/>
                        <w:bottom w:val="none" w:sz="0" w:space="0" w:color="auto"/>
                        <w:right w:val="none" w:sz="0" w:space="0" w:color="auto"/>
                      </w:divBdr>
                      <w:divsChild>
                        <w:div w:id="2071806171">
                          <w:marLeft w:val="0"/>
                          <w:marRight w:val="0"/>
                          <w:marTop w:val="0"/>
                          <w:marBottom w:val="0"/>
                          <w:divBdr>
                            <w:top w:val="none" w:sz="0" w:space="0" w:color="auto"/>
                            <w:left w:val="none" w:sz="0" w:space="0" w:color="auto"/>
                            <w:bottom w:val="none" w:sz="0" w:space="0" w:color="auto"/>
                            <w:right w:val="none" w:sz="0" w:space="0" w:color="auto"/>
                          </w:divBdr>
                          <w:divsChild>
                            <w:div w:id="209284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1885656">
      <w:bodyDiv w:val="1"/>
      <w:marLeft w:val="0"/>
      <w:marRight w:val="0"/>
      <w:marTop w:val="0"/>
      <w:marBottom w:val="0"/>
      <w:divBdr>
        <w:top w:val="none" w:sz="0" w:space="0" w:color="auto"/>
        <w:left w:val="none" w:sz="0" w:space="0" w:color="auto"/>
        <w:bottom w:val="none" w:sz="0" w:space="0" w:color="auto"/>
        <w:right w:val="none" w:sz="0" w:space="0" w:color="auto"/>
      </w:divBdr>
    </w:div>
    <w:div w:id="1935430688">
      <w:bodyDiv w:val="1"/>
      <w:marLeft w:val="0"/>
      <w:marRight w:val="0"/>
      <w:marTop w:val="0"/>
      <w:marBottom w:val="0"/>
      <w:divBdr>
        <w:top w:val="none" w:sz="0" w:space="0" w:color="auto"/>
        <w:left w:val="none" w:sz="0" w:space="0" w:color="auto"/>
        <w:bottom w:val="none" w:sz="0" w:space="0" w:color="auto"/>
        <w:right w:val="none" w:sz="0" w:space="0" w:color="auto"/>
      </w:divBdr>
    </w:div>
    <w:div w:id="1937245213">
      <w:bodyDiv w:val="1"/>
      <w:marLeft w:val="0"/>
      <w:marRight w:val="0"/>
      <w:marTop w:val="0"/>
      <w:marBottom w:val="0"/>
      <w:divBdr>
        <w:top w:val="none" w:sz="0" w:space="0" w:color="auto"/>
        <w:left w:val="none" w:sz="0" w:space="0" w:color="auto"/>
        <w:bottom w:val="none" w:sz="0" w:space="0" w:color="auto"/>
        <w:right w:val="none" w:sz="0" w:space="0" w:color="auto"/>
      </w:divBdr>
    </w:div>
    <w:div w:id="1938446367">
      <w:bodyDiv w:val="1"/>
      <w:marLeft w:val="0"/>
      <w:marRight w:val="0"/>
      <w:marTop w:val="0"/>
      <w:marBottom w:val="0"/>
      <w:divBdr>
        <w:top w:val="none" w:sz="0" w:space="0" w:color="auto"/>
        <w:left w:val="none" w:sz="0" w:space="0" w:color="auto"/>
        <w:bottom w:val="none" w:sz="0" w:space="0" w:color="auto"/>
        <w:right w:val="none" w:sz="0" w:space="0" w:color="auto"/>
      </w:divBdr>
    </w:div>
    <w:div w:id="1939171487">
      <w:bodyDiv w:val="1"/>
      <w:marLeft w:val="0"/>
      <w:marRight w:val="0"/>
      <w:marTop w:val="0"/>
      <w:marBottom w:val="0"/>
      <w:divBdr>
        <w:top w:val="none" w:sz="0" w:space="0" w:color="auto"/>
        <w:left w:val="none" w:sz="0" w:space="0" w:color="auto"/>
        <w:bottom w:val="none" w:sz="0" w:space="0" w:color="auto"/>
        <w:right w:val="none" w:sz="0" w:space="0" w:color="auto"/>
      </w:divBdr>
    </w:div>
    <w:div w:id="1944990743">
      <w:bodyDiv w:val="1"/>
      <w:marLeft w:val="0"/>
      <w:marRight w:val="0"/>
      <w:marTop w:val="0"/>
      <w:marBottom w:val="0"/>
      <w:divBdr>
        <w:top w:val="none" w:sz="0" w:space="0" w:color="auto"/>
        <w:left w:val="none" w:sz="0" w:space="0" w:color="auto"/>
        <w:bottom w:val="none" w:sz="0" w:space="0" w:color="auto"/>
        <w:right w:val="none" w:sz="0" w:space="0" w:color="auto"/>
      </w:divBdr>
    </w:div>
    <w:div w:id="1959488188">
      <w:bodyDiv w:val="1"/>
      <w:marLeft w:val="0"/>
      <w:marRight w:val="0"/>
      <w:marTop w:val="0"/>
      <w:marBottom w:val="0"/>
      <w:divBdr>
        <w:top w:val="none" w:sz="0" w:space="0" w:color="auto"/>
        <w:left w:val="none" w:sz="0" w:space="0" w:color="auto"/>
        <w:bottom w:val="none" w:sz="0" w:space="0" w:color="auto"/>
        <w:right w:val="none" w:sz="0" w:space="0" w:color="auto"/>
      </w:divBdr>
    </w:div>
    <w:div w:id="1960529351">
      <w:bodyDiv w:val="1"/>
      <w:marLeft w:val="0"/>
      <w:marRight w:val="0"/>
      <w:marTop w:val="0"/>
      <w:marBottom w:val="0"/>
      <w:divBdr>
        <w:top w:val="none" w:sz="0" w:space="0" w:color="auto"/>
        <w:left w:val="none" w:sz="0" w:space="0" w:color="auto"/>
        <w:bottom w:val="none" w:sz="0" w:space="0" w:color="auto"/>
        <w:right w:val="none" w:sz="0" w:space="0" w:color="auto"/>
      </w:divBdr>
    </w:div>
    <w:div w:id="1962959064">
      <w:bodyDiv w:val="1"/>
      <w:marLeft w:val="0"/>
      <w:marRight w:val="0"/>
      <w:marTop w:val="0"/>
      <w:marBottom w:val="0"/>
      <w:divBdr>
        <w:top w:val="none" w:sz="0" w:space="0" w:color="auto"/>
        <w:left w:val="none" w:sz="0" w:space="0" w:color="auto"/>
        <w:bottom w:val="none" w:sz="0" w:space="0" w:color="auto"/>
        <w:right w:val="none" w:sz="0" w:space="0" w:color="auto"/>
      </w:divBdr>
    </w:div>
    <w:div w:id="1964313254">
      <w:bodyDiv w:val="1"/>
      <w:marLeft w:val="0"/>
      <w:marRight w:val="0"/>
      <w:marTop w:val="0"/>
      <w:marBottom w:val="0"/>
      <w:divBdr>
        <w:top w:val="none" w:sz="0" w:space="0" w:color="auto"/>
        <w:left w:val="none" w:sz="0" w:space="0" w:color="auto"/>
        <w:bottom w:val="none" w:sz="0" w:space="0" w:color="auto"/>
        <w:right w:val="none" w:sz="0" w:space="0" w:color="auto"/>
      </w:divBdr>
    </w:div>
    <w:div w:id="1964535954">
      <w:bodyDiv w:val="1"/>
      <w:marLeft w:val="0"/>
      <w:marRight w:val="0"/>
      <w:marTop w:val="0"/>
      <w:marBottom w:val="0"/>
      <w:divBdr>
        <w:top w:val="none" w:sz="0" w:space="0" w:color="auto"/>
        <w:left w:val="none" w:sz="0" w:space="0" w:color="auto"/>
        <w:bottom w:val="none" w:sz="0" w:space="0" w:color="auto"/>
        <w:right w:val="none" w:sz="0" w:space="0" w:color="auto"/>
      </w:divBdr>
    </w:div>
    <w:div w:id="1969237545">
      <w:bodyDiv w:val="1"/>
      <w:marLeft w:val="0"/>
      <w:marRight w:val="0"/>
      <w:marTop w:val="0"/>
      <w:marBottom w:val="0"/>
      <w:divBdr>
        <w:top w:val="none" w:sz="0" w:space="0" w:color="auto"/>
        <w:left w:val="none" w:sz="0" w:space="0" w:color="auto"/>
        <w:bottom w:val="none" w:sz="0" w:space="0" w:color="auto"/>
        <w:right w:val="none" w:sz="0" w:space="0" w:color="auto"/>
      </w:divBdr>
    </w:div>
    <w:div w:id="1970089675">
      <w:bodyDiv w:val="1"/>
      <w:marLeft w:val="0"/>
      <w:marRight w:val="0"/>
      <w:marTop w:val="0"/>
      <w:marBottom w:val="0"/>
      <w:divBdr>
        <w:top w:val="none" w:sz="0" w:space="0" w:color="auto"/>
        <w:left w:val="none" w:sz="0" w:space="0" w:color="auto"/>
        <w:bottom w:val="none" w:sz="0" w:space="0" w:color="auto"/>
        <w:right w:val="none" w:sz="0" w:space="0" w:color="auto"/>
      </w:divBdr>
    </w:div>
    <w:div w:id="1971400535">
      <w:bodyDiv w:val="1"/>
      <w:marLeft w:val="0"/>
      <w:marRight w:val="0"/>
      <w:marTop w:val="0"/>
      <w:marBottom w:val="0"/>
      <w:divBdr>
        <w:top w:val="none" w:sz="0" w:space="0" w:color="auto"/>
        <w:left w:val="none" w:sz="0" w:space="0" w:color="auto"/>
        <w:bottom w:val="none" w:sz="0" w:space="0" w:color="auto"/>
        <w:right w:val="none" w:sz="0" w:space="0" w:color="auto"/>
      </w:divBdr>
    </w:div>
    <w:div w:id="1973367012">
      <w:bodyDiv w:val="1"/>
      <w:marLeft w:val="0"/>
      <w:marRight w:val="0"/>
      <w:marTop w:val="0"/>
      <w:marBottom w:val="0"/>
      <w:divBdr>
        <w:top w:val="none" w:sz="0" w:space="0" w:color="auto"/>
        <w:left w:val="none" w:sz="0" w:space="0" w:color="auto"/>
        <w:bottom w:val="none" w:sz="0" w:space="0" w:color="auto"/>
        <w:right w:val="none" w:sz="0" w:space="0" w:color="auto"/>
      </w:divBdr>
    </w:div>
    <w:div w:id="1976987009">
      <w:bodyDiv w:val="1"/>
      <w:marLeft w:val="0"/>
      <w:marRight w:val="0"/>
      <w:marTop w:val="0"/>
      <w:marBottom w:val="0"/>
      <w:divBdr>
        <w:top w:val="none" w:sz="0" w:space="0" w:color="auto"/>
        <w:left w:val="none" w:sz="0" w:space="0" w:color="auto"/>
        <w:bottom w:val="none" w:sz="0" w:space="0" w:color="auto"/>
        <w:right w:val="none" w:sz="0" w:space="0" w:color="auto"/>
      </w:divBdr>
      <w:divsChild>
        <w:div w:id="1152331822">
          <w:marLeft w:val="547"/>
          <w:marRight w:val="0"/>
          <w:marTop w:val="154"/>
          <w:marBottom w:val="0"/>
          <w:divBdr>
            <w:top w:val="none" w:sz="0" w:space="0" w:color="auto"/>
            <w:left w:val="none" w:sz="0" w:space="0" w:color="auto"/>
            <w:bottom w:val="none" w:sz="0" w:space="0" w:color="auto"/>
            <w:right w:val="none" w:sz="0" w:space="0" w:color="auto"/>
          </w:divBdr>
        </w:div>
      </w:divsChild>
    </w:div>
    <w:div w:id="1991208279">
      <w:bodyDiv w:val="1"/>
      <w:marLeft w:val="0"/>
      <w:marRight w:val="0"/>
      <w:marTop w:val="0"/>
      <w:marBottom w:val="0"/>
      <w:divBdr>
        <w:top w:val="none" w:sz="0" w:space="0" w:color="auto"/>
        <w:left w:val="none" w:sz="0" w:space="0" w:color="auto"/>
        <w:bottom w:val="none" w:sz="0" w:space="0" w:color="auto"/>
        <w:right w:val="none" w:sz="0" w:space="0" w:color="auto"/>
      </w:divBdr>
    </w:div>
    <w:div w:id="1992101511">
      <w:bodyDiv w:val="1"/>
      <w:marLeft w:val="0"/>
      <w:marRight w:val="0"/>
      <w:marTop w:val="0"/>
      <w:marBottom w:val="0"/>
      <w:divBdr>
        <w:top w:val="none" w:sz="0" w:space="0" w:color="auto"/>
        <w:left w:val="none" w:sz="0" w:space="0" w:color="auto"/>
        <w:bottom w:val="none" w:sz="0" w:space="0" w:color="auto"/>
        <w:right w:val="none" w:sz="0" w:space="0" w:color="auto"/>
      </w:divBdr>
    </w:div>
    <w:div w:id="1994679565">
      <w:bodyDiv w:val="1"/>
      <w:marLeft w:val="0"/>
      <w:marRight w:val="0"/>
      <w:marTop w:val="0"/>
      <w:marBottom w:val="0"/>
      <w:divBdr>
        <w:top w:val="none" w:sz="0" w:space="0" w:color="auto"/>
        <w:left w:val="none" w:sz="0" w:space="0" w:color="auto"/>
        <w:bottom w:val="none" w:sz="0" w:space="0" w:color="auto"/>
        <w:right w:val="none" w:sz="0" w:space="0" w:color="auto"/>
      </w:divBdr>
    </w:div>
    <w:div w:id="2014062986">
      <w:bodyDiv w:val="1"/>
      <w:marLeft w:val="0"/>
      <w:marRight w:val="0"/>
      <w:marTop w:val="0"/>
      <w:marBottom w:val="0"/>
      <w:divBdr>
        <w:top w:val="none" w:sz="0" w:space="0" w:color="auto"/>
        <w:left w:val="none" w:sz="0" w:space="0" w:color="auto"/>
        <w:bottom w:val="none" w:sz="0" w:space="0" w:color="auto"/>
        <w:right w:val="none" w:sz="0" w:space="0" w:color="auto"/>
      </w:divBdr>
    </w:div>
    <w:div w:id="2014987135">
      <w:bodyDiv w:val="1"/>
      <w:marLeft w:val="0"/>
      <w:marRight w:val="0"/>
      <w:marTop w:val="0"/>
      <w:marBottom w:val="0"/>
      <w:divBdr>
        <w:top w:val="none" w:sz="0" w:space="0" w:color="auto"/>
        <w:left w:val="none" w:sz="0" w:space="0" w:color="auto"/>
        <w:bottom w:val="none" w:sz="0" w:space="0" w:color="auto"/>
        <w:right w:val="none" w:sz="0" w:space="0" w:color="auto"/>
      </w:divBdr>
    </w:div>
    <w:div w:id="2020305007">
      <w:bodyDiv w:val="1"/>
      <w:marLeft w:val="0"/>
      <w:marRight w:val="0"/>
      <w:marTop w:val="0"/>
      <w:marBottom w:val="0"/>
      <w:divBdr>
        <w:top w:val="none" w:sz="0" w:space="0" w:color="auto"/>
        <w:left w:val="none" w:sz="0" w:space="0" w:color="auto"/>
        <w:bottom w:val="none" w:sz="0" w:space="0" w:color="auto"/>
        <w:right w:val="none" w:sz="0" w:space="0" w:color="auto"/>
      </w:divBdr>
    </w:div>
    <w:div w:id="2029021337">
      <w:bodyDiv w:val="1"/>
      <w:marLeft w:val="0"/>
      <w:marRight w:val="0"/>
      <w:marTop w:val="0"/>
      <w:marBottom w:val="0"/>
      <w:divBdr>
        <w:top w:val="none" w:sz="0" w:space="0" w:color="auto"/>
        <w:left w:val="none" w:sz="0" w:space="0" w:color="auto"/>
        <w:bottom w:val="none" w:sz="0" w:space="0" w:color="auto"/>
        <w:right w:val="none" w:sz="0" w:space="0" w:color="auto"/>
      </w:divBdr>
    </w:div>
    <w:div w:id="2030061111">
      <w:bodyDiv w:val="1"/>
      <w:marLeft w:val="0"/>
      <w:marRight w:val="0"/>
      <w:marTop w:val="0"/>
      <w:marBottom w:val="0"/>
      <w:divBdr>
        <w:top w:val="none" w:sz="0" w:space="0" w:color="auto"/>
        <w:left w:val="none" w:sz="0" w:space="0" w:color="auto"/>
        <w:bottom w:val="none" w:sz="0" w:space="0" w:color="auto"/>
        <w:right w:val="none" w:sz="0" w:space="0" w:color="auto"/>
      </w:divBdr>
    </w:div>
    <w:div w:id="2032754566">
      <w:bodyDiv w:val="1"/>
      <w:marLeft w:val="0"/>
      <w:marRight w:val="0"/>
      <w:marTop w:val="0"/>
      <w:marBottom w:val="0"/>
      <w:divBdr>
        <w:top w:val="none" w:sz="0" w:space="0" w:color="auto"/>
        <w:left w:val="none" w:sz="0" w:space="0" w:color="auto"/>
        <w:bottom w:val="none" w:sz="0" w:space="0" w:color="auto"/>
        <w:right w:val="none" w:sz="0" w:space="0" w:color="auto"/>
      </w:divBdr>
    </w:div>
    <w:div w:id="2035186194">
      <w:bodyDiv w:val="1"/>
      <w:marLeft w:val="0"/>
      <w:marRight w:val="0"/>
      <w:marTop w:val="0"/>
      <w:marBottom w:val="0"/>
      <w:divBdr>
        <w:top w:val="none" w:sz="0" w:space="0" w:color="auto"/>
        <w:left w:val="none" w:sz="0" w:space="0" w:color="auto"/>
        <w:bottom w:val="none" w:sz="0" w:space="0" w:color="auto"/>
        <w:right w:val="none" w:sz="0" w:space="0" w:color="auto"/>
      </w:divBdr>
    </w:div>
    <w:div w:id="2035374763">
      <w:bodyDiv w:val="1"/>
      <w:marLeft w:val="0"/>
      <w:marRight w:val="0"/>
      <w:marTop w:val="0"/>
      <w:marBottom w:val="0"/>
      <w:divBdr>
        <w:top w:val="none" w:sz="0" w:space="0" w:color="auto"/>
        <w:left w:val="none" w:sz="0" w:space="0" w:color="auto"/>
        <w:bottom w:val="none" w:sz="0" w:space="0" w:color="auto"/>
        <w:right w:val="none" w:sz="0" w:space="0" w:color="auto"/>
      </w:divBdr>
    </w:div>
    <w:div w:id="2037465944">
      <w:bodyDiv w:val="1"/>
      <w:marLeft w:val="0"/>
      <w:marRight w:val="0"/>
      <w:marTop w:val="0"/>
      <w:marBottom w:val="0"/>
      <w:divBdr>
        <w:top w:val="none" w:sz="0" w:space="0" w:color="auto"/>
        <w:left w:val="none" w:sz="0" w:space="0" w:color="auto"/>
        <w:bottom w:val="none" w:sz="0" w:space="0" w:color="auto"/>
        <w:right w:val="none" w:sz="0" w:space="0" w:color="auto"/>
      </w:divBdr>
    </w:div>
    <w:div w:id="2040424751">
      <w:bodyDiv w:val="1"/>
      <w:marLeft w:val="0"/>
      <w:marRight w:val="0"/>
      <w:marTop w:val="0"/>
      <w:marBottom w:val="0"/>
      <w:divBdr>
        <w:top w:val="none" w:sz="0" w:space="0" w:color="auto"/>
        <w:left w:val="none" w:sz="0" w:space="0" w:color="auto"/>
        <w:bottom w:val="none" w:sz="0" w:space="0" w:color="auto"/>
        <w:right w:val="none" w:sz="0" w:space="0" w:color="auto"/>
      </w:divBdr>
    </w:div>
    <w:div w:id="2052920446">
      <w:bodyDiv w:val="1"/>
      <w:marLeft w:val="0"/>
      <w:marRight w:val="0"/>
      <w:marTop w:val="0"/>
      <w:marBottom w:val="0"/>
      <w:divBdr>
        <w:top w:val="none" w:sz="0" w:space="0" w:color="auto"/>
        <w:left w:val="none" w:sz="0" w:space="0" w:color="auto"/>
        <w:bottom w:val="none" w:sz="0" w:space="0" w:color="auto"/>
        <w:right w:val="none" w:sz="0" w:space="0" w:color="auto"/>
      </w:divBdr>
    </w:div>
    <w:div w:id="2053571104">
      <w:bodyDiv w:val="1"/>
      <w:marLeft w:val="0"/>
      <w:marRight w:val="0"/>
      <w:marTop w:val="0"/>
      <w:marBottom w:val="0"/>
      <w:divBdr>
        <w:top w:val="none" w:sz="0" w:space="0" w:color="auto"/>
        <w:left w:val="none" w:sz="0" w:space="0" w:color="auto"/>
        <w:bottom w:val="none" w:sz="0" w:space="0" w:color="auto"/>
        <w:right w:val="none" w:sz="0" w:space="0" w:color="auto"/>
      </w:divBdr>
    </w:div>
    <w:div w:id="2055426242">
      <w:bodyDiv w:val="1"/>
      <w:marLeft w:val="0"/>
      <w:marRight w:val="0"/>
      <w:marTop w:val="0"/>
      <w:marBottom w:val="0"/>
      <w:divBdr>
        <w:top w:val="none" w:sz="0" w:space="0" w:color="auto"/>
        <w:left w:val="none" w:sz="0" w:space="0" w:color="auto"/>
        <w:bottom w:val="none" w:sz="0" w:space="0" w:color="auto"/>
        <w:right w:val="none" w:sz="0" w:space="0" w:color="auto"/>
      </w:divBdr>
    </w:div>
    <w:div w:id="2058622581">
      <w:bodyDiv w:val="1"/>
      <w:marLeft w:val="0"/>
      <w:marRight w:val="0"/>
      <w:marTop w:val="0"/>
      <w:marBottom w:val="0"/>
      <w:divBdr>
        <w:top w:val="none" w:sz="0" w:space="0" w:color="auto"/>
        <w:left w:val="none" w:sz="0" w:space="0" w:color="auto"/>
        <w:bottom w:val="none" w:sz="0" w:space="0" w:color="auto"/>
        <w:right w:val="none" w:sz="0" w:space="0" w:color="auto"/>
      </w:divBdr>
    </w:div>
    <w:div w:id="2059821050">
      <w:bodyDiv w:val="1"/>
      <w:marLeft w:val="0"/>
      <w:marRight w:val="0"/>
      <w:marTop w:val="0"/>
      <w:marBottom w:val="0"/>
      <w:divBdr>
        <w:top w:val="none" w:sz="0" w:space="0" w:color="auto"/>
        <w:left w:val="none" w:sz="0" w:space="0" w:color="auto"/>
        <w:bottom w:val="none" w:sz="0" w:space="0" w:color="auto"/>
        <w:right w:val="none" w:sz="0" w:space="0" w:color="auto"/>
      </w:divBdr>
    </w:div>
    <w:div w:id="2060861220">
      <w:bodyDiv w:val="1"/>
      <w:marLeft w:val="0"/>
      <w:marRight w:val="0"/>
      <w:marTop w:val="0"/>
      <w:marBottom w:val="0"/>
      <w:divBdr>
        <w:top w:val="none" w:sz="0" w:space="0" w:color="auto"/>
        <w:left w:val="none" w:sz="0" w:space="0" w:color="auto"/>
        <w:bottom w:val="none" w:sz="0" w:space="0" w:color="auto"/>
        <w:right w:val="none" w:sz="0" w:space="0" w:color="auto"/>
      </w:divBdr>
    </w:div>
    <w:div w:id="2062513012">
      <w:bodyDiv w:val="1"/>
      <w:marLeft w:val="0"/>
      <w:marRight w:val="0"/>
      <w:marTop w:val="0"/>
      <w:marBottom w:val="0"/>
      <w:divBdr>
        <w:top w:val="none" w:sz="0" w:space="0" w:color="auto"/>
        <w:left w:val="none" w:sz="0" w:space="0" w:color="auto"/>
        <w:bottom w:val="none" w:sz="0" w:space="0" w:color="auto"/>
        <w:right w:val="none" w:sz="0" w:space="0" w:color="auto"/>
      </w:divBdr>
    </w:div>
    <w:div w:id="2067291566">
      <w:bodyDiv w:val="1"/>
      <w:marLeft w:val="0"/>
      <w:marRight w:val="0"/>
      <w:marTop w:val="0"/>
      <w:marBottom w:val="0"/>
      <w:divBdr>
        <w:top w:val="none" w:sz="0" w:space="0" w:color="auto"/>
        <w:left w:val="none" w:sz="0" w:space="0" w:color="auto"/>
        <w:bottom w:val="none" w:sz="0" w:space="0" w:color="auto"/>
        <w:right w:val="none" w:sz="0" w:space="0" w:color="auto"/>
      </w:divBdr>
    </w:div>
    <w:div w:id="2082285736">
      <w:bodyDiv w:val="1"/>
      <w:marLeft w:val="0"/>
      <w:marRight w:val="0"/>
      <w:marTop w:val="0"/>
      <w:marBottom w:val="0"/>
      <w:divBdr>
        <w:top w:val="none" w:sz="0" w:space="0" w:color="auto"/>
        <w:left w:val="none" w:sz="0" w:space="0" w:color="auto"/>
        <w:bottom w:val="none" w:sz="0" w:space="0" w:color="auto"/>
        <w:right w:val="none" w:sz="0" w:space="0" w:color="auto"/>
      </w:divBdr>
      <w:divsChild>
        <w:div w:id="1788622805">
          <w:marLeft w:val="0"/>
          <w:marRight w:val="0"/>
          <w:marTop w:val="0"/>
          <w:marBottom w:val="0"/>
          <w:divBdr>
            <w:top w:val="none" w:sz="0" w:space="0" w:color="auto"/>
            <w:left w:val="none" w:sz="0" w:space="0" w:color="auto"/>
            <w:bottom w:val="none" w:sz="0" w:space="0" w:color="auto"/>
            <w:right w:val="none" w:sz="0" w:space="0" w:color="auto"/>
          </w:divBdr>
        </w:div>
      </w:divsChild>
    </w:div>
    <w:div w:id="2083092508">
      <w:bodyDiv w:val="1"/>
      <w:marLeft w:val="0"/>
      <w:marRight w:val="0"/>
      <w:marTop w:val="0"/>
      <w:marBottom w:val="0"/>
      <w:divBdr>
        <w:top w:val="none" w:sz="0" w:space="0" w:color="auto"/>
        <w:left w:val="none" w:sz="0" w:space="0" w:color="auto"/>
        <w:bottom w:val="none" w:sz="0" w:space="0" w:color="auto"/>
        <w:right w:val="none" w:sz="0" w:space="0" w:color="auto"/>
      </w:divBdr>
    </w:div>
    <w:div w:id="2083137066">
      <w:bodyDiv w:val="1"/>
      <w:marLeft w:val="0"/>
      <w:marRight w:val="0"/>
      <w:marTop w:val="0"/>
      <w:marBottom w:val="0"/>
      <w:divBdr>
        <w:top w:val="none" w:sz="0" w:space="0" w:color="auto"/>
        <w:left w:val="none" w:sz="0" w:space="0" w:color="auto"/>
        <w:bottom w:val="none" w:sz="0" w:space="0" w:color="auto"/>
        <w:right w:val="none" w:sz="0" w:space="0" w:color="auto"/>
      </w:divBdr>
    </w:div>
    <w:div w:id="2085101507">
      <w:bodyDiv w:val="1"/>
      <w:marLeft w:val="0"/>
      <w:marRight w:val="0"/>
      <w:marTop w:val="0"/>
      <w:marBottom w:val="0"/>
      <w:divBdr>
        <w:top w:val="none" w:sz="0" w:space="0" w:color="auto"/>
        <w:left w:val="none" w:sz="0" w:space="0" w:color="auto"/>
        <w:bottom w:val="none" w:sz="0" w:space="0" w:color="auto"/>
        <w:right w:val="none" w:sz="0" w:space="0" w:color="auto"/>
      </w:divBdr>
    </w:div>
    <w:div w:id="2094550873">
      <w:bodyDiv w:val="1"/>
      <w:marLeft w:val="0"/>
      <w:marRight w:val="0"/>
      <w:marTop w:val="0"/>
      <w:marBottom w:val="0"/>
      <w:divBdr>
        <w:top w:val="none" w:sz="0" w:space="0" w:color="auto"/>
        <w:left w:val="none" w:sz="0" w:space="0" w:color="auto"/>
        <w:bottom w:val="none" w:sz="0" w:space="0" w:color="auto"/>
        <w:right w:val="none" w:sz="0" w:space="0" w:color="auto"/>
      </w:divBdr>
    </w:div>
    <w:div w:id="2113234934">
      <w:bodyDiv w:val="1"/>
      <w:marLeft w:val="0"/>
      <w:marRight w:val="0"/>
      <w:marTop w:val="0"/>
      <w:marBottom w:val="0"/>
      <w:divBdr>
        <w:top w:val="none" w:sz="0" w:space="0" w:color="auto"/>
        <w:left w:val="none" w:sz="0" w:space="0" w:color="auto"/>
        <w:bottom w:val="none" w:sz="0" w:space="0" w:color="auto"/>
        <w:right w:val="none" w:sz="0" w:space="0" w:color="auto"/>
      </w:divBdr>
    </w:div>
    <w:div w:id="2138522320">
      <w:bodyDiv w:val="1"/>
      <w:marLeft w:val="0"/>
      <w:marRight w:val="0"/>
      <w:marTop w:val="0"/>
      <w:marBottom w:val="0"/>
      <w:divBdr>
        <w:top w:val="none" w:sz="0" w:space="0" w:color="auto"/>
        <w:left w:val="none" w:sz="0" w:space="0" w:color="auto"/>
        <w:bottom w:val="none" w:sz="0" w:space="0" w:color="auto"/>
        <w:right w:val="none" w:sz="0" w:space="0" w:color="auto"/>
      </w:divBdr>
    </w:div>
    <w:div w:id="214415615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md/T17-TSAG-210111-TD-GEN-0947" TargetMode="External"/><Relationship Id="rId671" Type="http://schemas.openxmlformats.org/officeDocument/2006/relationships/hyperlink" Target="https://www.itu.int/net4/ITU-T/landscape" TargetMode="External"/><Relationship Id="rId769" Type="http://schemas.openxmlformats.org/officeDocument/2006/relationships/hyperlink" Target="https://www.itu.int/en/ITU-T/focusgroups/dfc/Pages/default.aspx" TargetMode="External"/><Relationship Id="rId976" Type="http://schemas.openxmlformats.org/officeDocument/2006/relationships/hyperlink" Target="https://www.itu.int/en/ITU-T/climatechange/dpm/05/Pages/default.aspx" TargetMode="External"/><Relationship Id="rId21" Type="http://schemas.openxmlformats.org/officeDocument/2006/relationships/hyperlink" Target="https://www.itu.int/md/S21-SG-CIR-0003/en" TargetMode="External"/><Relationship Id="rId324" Type="http://schemas.openxmlformats.org/officeDocument/2006/relationships/hyperlink" Target="https://www.itu.int/en/ITU-T/Workshops-and-Seminars/bsg/201712/Pages/default.aspx" TargetMode="External"/><Relationship Id="rId531" Type="http://schemas.openxmlformats.org/officeDocument/2006/relationships/hyperlink" Target="https://www.itu.int/en/ITU-T/emf/Pages/default.aspx" TargetMode="External"/><Relationship Id="rId629" Type="http://schemas.openxmlformats.org/officeDocument/2006/relationships/hyperlink" Target="https://www.itu.int/md/meetingdoc.asp?lang=en&amp;parent=S19-CWGWSIS33-C-0007" TargetMode="External"/><Relationship Id="rId170" Type="http://schemas.openxmlformats.org/officeDocument/2006/relationships/hyperlink" Target="http://www.itu.int/en/irg/avqa/Pages/default.aspx" TargetMode="External"/><Relationship Id="rId836" Type="http://schemas.openxmlformats.org/officeDocument/2006/relationships/hyperlink" Target="https://www.itu.int/en/ITU-T/Workshops-and-Seminars/20180604/Pages/default.aspx" TargetMode="External"/><Relationship Id="rId268" Type="http://schemas.openxmlformats.org/officeDocument/2006/relationships/hyperlink" Target="https://www.itu.int/en/ITU-T/inr/Pages/default.aspx" TargetMode="External"/><Relationship Id="rId475" Type="http://schemas.openxmlformats.org/officeDocument/2006/relationships/hyperlink" Target="http://www.itu.int/en/ITU-T/wtsa16/Pages/default.aspx" TargetMode="External"/><Relationship Id="rId682" Type="http://schemas.openxmlformats.org/officeDocument/2006/relationships/hyperlink" Target="https://www.itu.int/rec/T-REC-H.870/en" TargetMode="External"/><Relationship Id="rId903" Type="http://schemas.openxmlformats.org/officeDocument/2006/relationships/hyperlink" Target="https://www.itu.int/en/publications/Documents/tsb/2017-U4SSC-Enhancing-innovation/index.html" TargetMode="External"/><Relationship Id="rId32" Type="http://schemas.openxmlformats.org/officeDocument/2006/relationships/hyperlink" Target="https://www.itu.int/md/meetingdoc.asp?lang=en&amp;parent=T17-TSAG-170501-TD-GEN-0067" TargetMode="External"/><Relationship Id="rId128" Type="http://schemas.openxmlformats.org/officeDocument/2006/relationships/hyperlink" Target="https://www.itu.int/md/T17-TSAG-200210-TD-GEN-0666" TargetMode="External"/><Relationship Id="rId335" Type="http://schemas.openxmlformats.org/officeDocument/2006/relationships/hyperlink" Target="https://www.itu.int/en/ITU-T/Workshops-and-Seminars/gsw/201704/Pages/default.aspx" TargetMode="External"/><Relationship Id="rId542" Type="http://schemas.openxmlformats.org/officeDocument/2006/relationships/hyperlink" Target="mailto:https://www.itu.int/en/publications/Documents/tsb/2020-U4SSC-The-9th-Green-Standards-Week/index.html" TargetMode="External"/><Relationship Id="rId987" Type="http://schemas.openxmlformats.org/officeDocument/2006/relationships/hyperlink" Target="https://www.itu.int/en/ITU-T/webinars/20210908/Pages/default.aspx" TargetMode="External"/><Relationship Id="rId181" Type="http://schemas.openxmlformats.org/officeDocument/2006/relationships/hyperlink" Target="https://www.itu.int/md/meetingdoc.asp?lang=en&amp;parent=T17-TSAG-220110-TD-GEN-1208" TargetMode="External"/><Relationship Id="rId402" Type="http://schemas.openxmlformats.org/officeDocument/2006/relationships/hyperlink" Target="https://www.itu.int/en/ITU-T/studygroups/2017-2020/13/sg13rgafr/Pages/default.aspx" TargetMode="External"/><Relationship Id="rId847" Type="http://schemas.openxmlformats.org/officeDocument/2006/relationships/hyperlink" Target="https://academy.itu.int/index.php?option=com_content&amp;view=article&amp;id=101&amp;Itemid=642&amp;lang=en" TargetMode="External"/><Relationship Id="rId279" Type="http://schemas.openxmlformats.org/officeDocument/2006/relationships/hyperlink" Target="http://www.itu.int/md/T17-TSB-CIR-0202" TargetMode="External"/><Relationship Id="rId486" Type="http://schemas.openxmlformats.org/officeDocument/2006/relationships/hyperlink" Target="https://www.itu.int/en/ITU-T/studygroups/2017-2020/16/Pages/q26.aspx" TargetMode="External"/><Relationship Id="rId693" Type="http://schemas.openxmlformats.org/officeDocument/2006/relationships/hyperlink" Target="https://www.itu.int/net4/wsis/forum/2019/Agenda/ViewSession/240" TargetMode="External"/><Relationship Id="rId707" Type="http://schemas.openxmlformats.org/officeDocument/2006/relationships/hyperlink" Target="https://www.itu.int/md/T17-TSAG-190923-TD-GEN-0467" TargetMode="External"/><Relationship Id="rId914" Type="http://schemas.openxmlformats.org/officeDocument/2006/relationships/hyperlink" Target="https://www.itu.int/en/publications/Documents/tsb/2019-U4SSC-Unlocking-the-potential-of-trust-based-AI-for-city-science-and-smarter-cities/index.html" TargetMode="External"/><Relationship Id="rId43" Type="http://schemas.openxmlformats.org/officeDocument/2006/relationships/hyperlink" Target="https://www.itu.int/md/T17-TSAG-181210-TD-GEN-0301" TargetMode="External"/><Relationship Id="rId139" Type="http://schemas.openxmlformats.org/officeDocument/2006/relationships/hyperlink" Target="https://www.itu.int/md/meetingdoc.asp?lang=en&amp;parent=T17-WTSA.20-C-0032" TargetMode="External"/><Relationship Id="rId346" Type="http://schemas.openxmlformats.org/officeDocument/2006/relationships/hyperlink" Target="https://www.itu.int/en/ITU-T/webinars/20210920/Pages/default.aspx" TargetMode="External"/><Relationship Id="rId553" Type="http://schemas.openxmlformats.org/officeDocument/2006/relationships/hyperlink" Target="https://www.itu.int/en/ITU-T/climatechange/Pages/publications.aspx" TargetMode="External"/><Relationship Id="rId760" Type="http://schemas.openxmlformats.org/officeDocument/2006/relationships/hyperlink" Target="https://www.itu.int/md/meetingdoc.asp?lang=en&amp;parent=T17-TSAG-190923-TD-GEN-0476" TargetMode="External"/><Relationship Id="rId998" Type="http://schemas.openxmlformats.org/officeDocument/2006/relationships/hyperlink" Target="https://www.itu.int/net4/wsis/forum/2022/Agenda/Session/109" TargetMode="External"/><Relationship Id="rId192" Type="http://schemas.openxmlformats.org/officeDocument/2006/relationships/hyperlink" Target="https://www.itu.int/md/meetingdoc.asp?lang=en&amp;parent=T17-TSAG-170501-TD-GEN-0025" TargetMode="External"/><Relationship Id="rId206" Type="http://schemas.openxmlformats.org/officeDocument/2006/relationships/hyperlink" Target="https://www.itu.int/md/meetingdoc.asp?lang=en&amp;parent=T17-TSAG-211025-TD-GEN-1052" TargetMode="External"/><Relationship Id="rId413" Type="http://schemas.openxmlformats.org/officeDocument/2006/relationships/hyperlink" Target="https://www.itu.int/en/ITU-T/Workshops-and-Seminars/bsg/201710/Pages/default.aspx" TargetMode="External"/><Relationship Id="rId858" Type="http://schemas.openxmlformats.org/officeDocument/2006/relationships/hyperlink" Target="https://www.itu.int/md/meetingdoc.asp?lang=en&amp;parent=S20-CL-C-0035" TargetMode="External"/><Relationship Id="rId497" Type="http://schemas.openxmlformats.org/officeDocument/2006/relationships/hyperlink" Target="https://www.itu.int/net4/wsis/forum/2018/Pages/Agenda" TargetMode="External"/><Relationship Id="rId620" Type="http://schemas.openxmlformats.org/officeDocument/2006/relationships/hyperlink" Target="https://www.itu.int/net4/wsis/forum/2022/Agenda/Session/109" TargetMode="External"/><Relationship Id="rId718" Type="http://schemas.openxmlformats.org/officeDocument/2006/relationships/hyperlink" Target="https://www.itu.int/en/ITU-T/focusgroups/ai4ndm/Pages/default.aspx" TargetMode="External"/><Relationship Id="rId925" Type="http://schemas.openxmlformats.org/officeDocument/2006/relationships/hyperlink" Target="https://www.itu.int/en/publications/Documents/tsb/2020-U4SSC-Deliverable-Accelerating-city-transformation/index.html" TargetMode="External"/><Relationship Id="rId357" Type="http://schemas.openxmlformats.org/officeDocument/2006/relationships/hyperlink" Target="https://www.itu.int/en/ITU-T/webinars/Pages/dt4cc.aspx" TargetMode="External"/><Relationship Id="rId54" Type="http://schemas.openxmlformats.org/officeDocument/2006/relationships/hyperlink" Target="https://www.itu.int/md/T17-TSAG-211025-TD-GEN-1041" TargetMode="External"/><Relationship Id="rId217" Type="http://schemas.openxmlformats.org/officeDocument/2006/relationships/hyperlink" Target="https://www.itu.int/md/T17-TSAG-211025-TD-GEN-1031" TargetMode="External"/><Relationship Id="rId564" Type="http://schemas.openxmlformats.org/officeDocument/2006/relationships/hyperlink" Target="https://www.itu.int/en/ITU-T/climatechange/symposia/201905/Documents/Call_for_Action.pdf" TargetMode="External"/><Relationship Id="rId771" Type="http://schemas.openxmlformats.org/officeDocument/2006/relationships/hyperlink" Target="https://www.iso.org/committee/6534796.html" TargetMode="External"/><Relationship Id="rId869" Type="http://schemas.openxmlformats.org/officeDocument/2006/relationships/hyperlink" Target="https://www.itu.int/ITU-T/workprog/wp_search.aspx?sg=20" TargetMode="External"/><Relationship Id="rId424" Type="http://schemas.openxmlformats.org/officeDocument/2006/relationships/hyperlink" Target="https://www.itu.int/en/ITU-D/Regional-Presence/CIS/Pages/Events/2018/10_Samarkand/10_Samarkand.aspx" TargetMode="External"/><Relationship Id="rId631" Type="http://schemas.openxmlformats.org/officeDocument/2006/relationships/hyperlink" Target="https://www.itu.int/md/meetingdoc.asp?lang=en&amp;parent=S21-CWGWSIS37-C-0007" TargetMode="External"/><Relationship Id="rId729" Type="http://schemas.openxmlformats.org/officeDocument/2006/relationships/hyperlink" Target="https://www.itu.int/en/ITU-T/Workshops-and-Seminars/sg05rg/sdtd/Pages/default.aspx" TargetMode="External"/><Relationship Id="rId270" Type="http://schemas.openxmlformats.org/officeDocument/2006/relationships/hyperlink" Target="https://www.itu.int/en/ITU-T/studygroups/2017-2020/09/Pages/workshops.aspx" TargetMode="External"/><Relationship Id="rId936" Type="http://schemas.openxmlformats.org/officeDocument/2006/relationships/hyperlink" Target="https://www.itu.int/en/ITU-T/ssc/united/Documents/U4SSC-Snapshots/City_Snapshot_Moscow_Russia.pdf" TargetMode="External"/><Relationship Id="rId65" Type="http://schemas.openxmlformats.org/officeDocument/2006/relationships/hyperlink" Target="https://www.itu.int/md/meetingdoc.asp?lang=en&amp;parent=T17-TSAG-180226-TD-GEN-0221" TargetMode="External"/><Relationship Id="rId130" Type="http://schemas.openxmlformats.org/officeDocument/2006/relationships/hyperlink" Target="https://www.itu.int/md/meetingdoc.asp?lang=en&amp;parent=T17-TSAG-180226-TD-GEN-0239" TargetMode="External"/><Relationship Id="rId368" Type="http://schemas.openxmlformats.org/officeDocument/2006/relationships/hyperlink" Target="https://www.itu.int/en/publications/Documents/tsb/2017-Trust-in-ICT-2017/index.html" TargetMode="External"/><Relationship Id="rId575" Type="http://schemas.openxmlformats.org/officeDocument/2006/relationships/hyperlink" Target="https://www.itu.int/en/ITU-T/Workshops-and-Seminars/gsw/201910/Pages/programme-03.aspx" TargetMode="External"/><Relationship Id="rId782" Type="http://schemas.openxmlformats.org/officeDocument/2006/relationships/hyperlink" Target="https://figi.itu.int/programme/" TargetMode="External"/><Relationship Id="rId228" Type="http://schemas.openxmlformats.org/officeDocument/2006/relationships/hyperlink" Target="https://www.itu.int/md/meetingdoc.asp?lang=en&amp;parent=T17-TSAG-220110-TD-GEN-1191" TargetMode="External"/><Relationship Id="rId435" Type="http://schemas.openxmlformats.org/officeDocument/2006/relationships/hyperlink" Target="https://www.itu.int/en/ITU-T/Workshops-and-Seminars/20190903/Pages/default.aspx" TargetMode="External"/><Relationship Id="rId642" Type="http://schemas.openxmlformats.org/officeDocument/2006/relationships/hyperlink" Target="https://www.itu.int/md/meetingdoc.asp?lang=en&amp;parent=S17-CL-C-0024" TargetMode="External"/><Relationship Id="rId281" Type="http://schemas.openxmlformats.org/officeDocument/2006/relationships/hyperlink" Target="https://www.itu.int/en/ITU-T/wtsa20/irc/Pages/default.aspx" TargetMode="External"/><Relationship Id="rId502" Type="http://schemas.openxmlformats.org/officeDocument/2006/relationships/hyperlink" Target="https://www.itu.int/en/ITU-D/Regional-Presence/Europe/Pages/Events/2019/eServices/Enhancing-Human-Life-Using-e-Services.aspx" TargetMode="External"/><Relationship Id="rId947" Type="http://schemas.openxmlformats.org/officeDocument/2006/relationships/hyperlink" Target="https://www.itu.int/en/ITU-T/Workshops-and-Seminars/gsw/201804/Pages/default.aspx" TargetMode="External"/><Relationship Id="rId76" Type="http://schemas.openxmlformats.org/officeDocument/2006/relationships/hyperlink" Target="https://www.itu.int/md/T17-TSAG-190923-TD-GEN-0482" TargetMode="External"/><Relationship Id="rId141" Type="http://schemas.openxmlformats.org/officeDocument/2006/relationships/hyperlink" Target="https://www.itu.int/en/ITU-T/studygroups/2017-2020/05/Pages/event-20190515.aspx" TargetMode="External"/><Relationship Id="rId379" Type="http://schemas.openxmlformats.org/officeDocument/2006/relationships/hyperlink" Target="https://www.itu.int/itu-t/workprog/wp_search.aspx?isn_sp=3925&amp;isn_sg=3935&amp;isn_qu=4215&amp;isn_status=-1,1,3&amp;details=0&amp;field=acdefghijo" TargetMode="External"/><Relationship Id="rId586" Type="http://schemas.openxmlformats.org/officeDocument/2006/relationships/hyperlink" Target="https://www.itu.int/en/ITU-T/Workshops-and-Seminars/gsw/201910/Documents/9thGSW2019-Valencia-CalltoAction-CH.pdf" TargetMode="External"/><Relationship Id="rId793" Type="http://schemas.openxmlformats.org/officeDocument/2006/relationships/hyperlink" Target="https://www.itu.int/md/T17-TSAG-190923-TD-GEN-0601" TargetMode="External"/><Relationship Id="rId807" Type="http://schemas.openxmlformats.org/officeDocument/2006/relationships/hyperlink" Target="http://www.itu.int/en/ITU-T/Workshops-and-Seminars/itu-ngmn/Pages/20170111.aspx" TargetMode="External"/><Relationship Id="rId7" Type="http://schemas.openxmlformats.org/officeDocument/2006/relationships/customXml" Target="../customXml/item7.xml"/><Relationship Id="rId239" Type="http://schemas.openxmlformats.org/officeDocument/2006/relationships/hyperlink" Target="https://www.itu.int/myworkspace/" TargetMode="External"/><Relationship Id="rId446" Type="http://schemas.openxmlformats.org/officeDocument/2006/relationships/hyperlink" Target="https://www.itu.int/md/meetingdoc.asp?lang=en&amp;parent=S17-RCLINTPOL10-C-0002" TargetMode="External"/><Relationship Id="rId653" Type="http://schemas.openxmlformats.org/officeDocument/2006/relationships/hyperlink" Target="https://www.itu.int/md/S19-CL-C-0035/en" TargetMode="External"/><Relationship Id="rId292" Type="http://schemas.openxmlformats.org/officeDocument/2006/relationships/hyperlink" Target="https://www.itu.int/md/meetingdoc.asp?lang=en&amp;parent=T17-SG13-200720-TD-PLEN-0306" TargetMode="External"/><Relationship Id="rId306" Type="http://schemas.openxmlformats.org/officeDocument/2006/relationships/hyperlink" Target="https://www.itu.int/en/ITU-T/Workshops-and-Seminars/bsg/20181217/Pages/default.aspx" TargetMode="External"/><Relationship Id="rId860" Type="http://schemas.openxmlformats.org/officeDocument/2006/relationships/hyperlink" Target="http://www.itu.int/en/ITU-T/Workshops-and-Seminars/20170405/Pages/default.aspx" TargetMode="External"/><Relationship Id="rId958" Type="http://schemas.openxmlformats.org/officeDocument/2006/relationships/hyperlink" Target="https://www.itu.int/en/ITU-T/Workshops-and-Seminars/201812/Pages/default.aspx" TargetMode="External"/><Relationship Id="rId87" Type="http://schemas.openxmlformats.org/officeDocument/2006/relationships/hyperlink" Target="https://www.itu.int/md/T17-TSAG-210111-TD-GEN-0946" TargetMode="External"/><Relationship Id="rId513" Type="http://schemas.openxmlformats.org/officeDocument/2006/relationships/hyperlink" Target="http://www.itu.int/en/ITU-T/jca/ahf/Pages/default.aspx" TargetMode="External"/><Relationship Id="rId597" Type="http://schemas.openxmlformats.org/officeDocument/2006/relationships/hyperlink" Target="http://www.itu.int/en/ITU-T/climatechange/task-force-sc/Pages/default.aspx" TargetMode="External"/><Relationship Id="rId720" Type="http://schemas.openxmlformats.org/officeDocument/2006/relationships/hyperlink" Target="https://www.itu.int/ITU-T/workprog/wp_search.aspx?isn_sp=3925&amp;isn_sg=3929&amp;isn_qu=4134&amp;isn_status=-1,1,3,7,2&amp;details=0&amp;field=acdefghijo" TargetMode="External"/><Relationship Id="rId818" Type="http://schemas.openxmlformats.org/officeDocument/2006/relationships/hyperlink" Target="https://www.itu.int/en/ITU-T/Workshops-and-Seminars/itu-ngmn/Pages/20170111.aspx" TargetMode="External"/><Relationship Id="rId152" Type="http://schemas.openxmlformats.org/officeDocument/2006/relationships/hyperlink" Target="http://www.itu.int/en/ITU-T/extcoop/Pages/wsc-academia-16.aspx" TargetMode="External"/><Relationship Id="rId457" Type="http://schemas.openxmlformats.org/officeDocument/2006/relationships/hyperlink" Target="https://www.itu.int/md/meetingdoc.asp?lang=en&amp;parent=S21-CL-C-0033" TargetMode="External"/><Relationship Id="rId1003" Type="http://schemas.openxmlformats.org/officeDocument/2006/relationships/header" Target="header2.xml"/><Relationship Id="rId664" Type="http://schemas.openxmlformats.org/officeDocument/2006/relationships/hyperlink" Target="https://www.itu.int/md/T13-SG11-160627-TD-GEN-1306/en" TargetMode="External"/><Relationship Id="rId871" Type="http://schemas.openxmlformats.org/officeDocument/2006/relationships/hyperlink" Target="https://www.itu.int/itu-t/workprog/wp_search.aspx?isn_sp=3925&amp;isn_sg=3935&amp;isn_status=-1,1,3&amp;sum=IoT&amp;details=0&amp;field=acdefghijo" TargetMode="External"/><Relationship Id="rId969" Type="http://schemas.openxmlformats.org/officeDocument/2006/relationships/hyperlink" Target="https://www.itu.int/en/ITU-T/Workshops-and-Seminars/gsw/201910/Pages/programme-08.aspx" TargetMode="External"/><Relationship Id="rId14" Type="http://schemas.openxmlformats.org/officeDocument/2006/relationships/webSettings" Target="webSettings.xml"/><Relationship Id="rId317" Type="http://schemas.openxmlformats.org/officeDocument/2006/relationships/hyperlink" Target="https://www.itu.int/en/ITU-T/Workshops-and-Seminars/bsg/112017/Pages/default.aspx" TargetMode="External"/><Relationship Id="rId524" Type="http://schemas.openxmlformats.org/officeDocument/2006/relationships/hyperlink" Target="https://www.itu.int/en/ITU-T/climatechange/Pages/1st-Digital-African-Week.aspx" TargetMode="External"/><Relationship Id="rId731" Type="http://schemas.openxmlformats.org/officeDocument/2006/relationships/hyperlink" Target="https://www.itu.int/md/meetingdoc.asp?lang=en&amp;parent=S17-CL-C-0026" TargetMode="External"/><Relationship Id="rId98" Type="http://schemas.openxmlformats.org/officeDocument/2006/relationships/hyperlink" Target="https://www.itu.int/md/meetingdoc.asp?lang=en&amp;parent=T17-TSAG-190923-TD-GEN-0569" TargetMode="External"/><Relationship Id="rId163" Type="http://schemas.openxmlformats.org/officeDocument/2006/relationships/hyperlink" Target="https://www.itu.int/ifa/t/2017/ls/tsag/sp16-tsag-oLS-00001.zip" TargetMode="External"/><Relationship Id="rId370" Type="http://schemas.openxmlformats.org/officeDocument/2006/relationships/hyperlink" Target="https://www.itu.int/md/meetingdoc.asp?lang=en&amp;parent=T17-TSAG-170501-TD-GEN-0093" TargetMode="External"/><Relationship Id="rId829" Type="http://schemas.openxmlformats.org/officeDocument/2006/relationships/hyperlink" Target="http://www.itu.int/itu-t/workprog/wp_item.aspx?isn=14070" TargetMode="External"/><Relationship Id="rId230" Type="http://schemas.openxmlformats.org/officeDocument/2006/relationships/hyperlink" Target="https://extranet.itu.int/sites/ITU-T" TargetMode="External"/><Relationship Id="rId468" Type="http://schemas.openxmlformats.org/officeDocument/2006/relationships/hyperlink" Target="https://www.itu.int/dms_pub/itu-t/md/17/tsag/td/181210/GEN/T17-TSAG-181210-TD-GEN-0360!!PDF-E.pdf" TargetMode="External"/><Relationship Id="rId675" Type="http://schemas.openxmlformats.org/officeDocument/2006/relationships/hyperlink" Target="https://www.itu.int/md/meetingdoc.asp?lang=en&amp;parent=T17-TSAG-170501-TD-GEN-0055" TargetMode="External"/><Relationship Id="rId882" Type="http://schemas.openxmlformats.org/officeDocument/2006/relationships/hyperlink" Target="https://www.worldsmartcity.org/" TargetMode="External"/><Relationship Id="rId25" Type="http://schemas.openxmlformats.org/officeDocument/2006/relationships/hyperlink" Target="https://www.itu.int/md/S21-DM-CIR-01020" TargetMode="External"/><Relationship Id="rId328" Type="http://schemas.openxmlformats.org/officeDocument/2006/relationships/hyperlink" Target="https://www.itu.int/en/ITU-D/Regional-Presence/CIS/Pages/EVENTS/2019/02_Minsk/02_Minsk.aspx" TargetMode="External"/><Relationship Id="rId535" Type="http://schemas.openxmlformats.org/officeDocument/2006/relationships/hyperlink" Target="https://www.itu.int/en/ITU-T/climatechange/resources/Pages/env-and-ssc.aspx" TargetMode="External"/><Relationship Id="rId742" Type="http://schemas.openxmlformats.org/officeDocument/2006/relationships/hyperlink" Target="http://www.itu.int/itu-t/workprog/wp_item.aspx?isn=14071" TargetMode="External"/><Relationship Id="rId174" Type="http://schemas.openxmlformats.org/officeDocument/2006/relationships/hyperlink" Target="https://www.itu.int/md/meetingdoc.asp?lang=en&amp;parent=T17-TSAG-170501-TD-GEN-0058" TargetMode="External"/><Relationship Id="rId381" Type="http://schemas.openxmlformats.org/officeDocument/2006/relationships/hyperlink" Target="https://www.itu.int/md/T17-TSAG-181210-TD-GEN-0309" TargetMode="External"/><Relationship Id="rId602" Type="http://schemas.openxmlformats.org/officeDocument/2006/relationships/hyperlink" Target="https://www.itu.int/en/ITU-T/Workshops-and-Seminars/sg05rg/sdtd/Pages/default.aspx" TargetMode="External"/><Relationship Id="rId241" Type="http://schemas.openxmlformats.org/officeDocument/2006/relationships/hyperlink" Target="https://www.itu.int/myworkspace/" TargetMode="External"/><Relationship Id="rId479" Type="http://schemas.openxmlformats.org/officeDocument/2006/relationships/hyperlink" Target="https://www.itu.int/en/ITU-T/tsbdir/CxO/Documents/CxO_Communique_7Dec.pdf" TargetMode="External"/><Relationship Id="rId686" Type="http://schemas.openxmlformats.org/officeDocument/2006/relationships/hyperlink" Target="https://www.itu.int/rec/T-REC-H.870-201808-I/en" TargetMode="External"/><Relationship Id="rId893" Type="http://schemas.openxmlformats.org/officeDocument/2006/relationships/hyperlink" Target="https://www.itu.int/en/publications/Documents/tsb/2021-U4SSC-Digital-solutions-for-integrated-city-management-and-use-cases/index.html" TargetMode="External"/><Relationship Id="rId907" Type="http://schemas.openxmlformats.org/officeDocument/2006/relationships/hyperlink" Target="https://www.itu.int/en/publications/Documents/tsb/2019-U4SSC-Air-quality-management-in-Southern-California-USA/index.html" TargetMode="External"/><Relationship Id="rId36" Type="http://schemas.openxmlformats.org/officeDocument/2006/relationships/hyperlink" Target="https://www.itu.int/md/T17-TSAG-190923-TD-GEN-0477" TargetMode="External"/><Relationship Id="rId339" Type="http://schemas.openxmlformats.org/officeDocument/2006/relationships/hyperlink" Target="https://www.itu.int/en/ITU-T/Workshops-and-Seminars/gsw/201910/Documents/9thGSW2019-Valencia-CalltoAction-EN.pdf" TargetMode="External"/><Relationship Id="rId546" Type="http://schemas.openxmlformats.org/officeDocument/2006/relationships/hyperlink" Target="mailto:http://www.basel.int/Implementation/TechnicalAssistance/MOOC/tabid/4966/Default.aspx" TargetMode="External"/><Relationship Id="rId753" Type="http://schemas.openxmlformats.org/officeDocument/2006/relationships/hyperlink" Target="https://www.itu.int/md/meetingdoc.asp?lang=en&amp;parent=S17-CL-C-0068" TargetMode="External"/><Relationship Id="rId101" Type="http://schemas.openxmlformats.org/officeDocument/2006/relationships/hyperlink" Target="https://www.itu.int/md/T17-TSAG-211025-TD-GEN-1046" TargetMode="External"/><Relationship Id="rId185" Type="http://schemas.openxmlformats.org/officeDocument/2006/relationships/hyperlink" Target="https://www.itu.int/md/meetingdoc.asp?lang=en&amp;parent=T17-WTSA.20-C-0026" TargetMode="External"/><Relationship Id="rId406" Type="http://schemas.openxmlformats.org/officeDocument/2006/relationships/hyperlink" Target="https://www.itu.int/en/ITU-T/Workshops-and-Seminars/bsg/201703/Pages/default.aspx" TargetMode="External"/><Relationship Id="rId960" Type="http://schemas.openxmlformats.org/officeDocument/2006/relationships/hyperlink" Target="https://www.itu.int/en/ITU-D/Regional-Presence/CIS/Pages/EVENTS/2019/02_Minsk/02_Minsk.aspx" TargetMode="External"/><Relationship Id="rId392" Type="http://schemas.openxmlformats.org/officeDocument/2006/relationships/hyperlink" Target="https://www.etis.org/page/Anti_Abuse" TargetMode="External"/><Relationship Id="rId613" Type="http://schemas.openxmlformats.org/officeDocument/2006/relationships/hyperlink" Target="https://www.itu.int/en/ITU-T/focusgroups/net2030/Documents/White_Paper.pdf" TargetMode="External"/><Relationship Id="rId697" Type="http://schemas.openxmlformats.org/officeDocument/2006/relationships/hyperlink" Target="https://www.itu.int/en/ITU-T/Workshops-and-Seminars/gsw/202112/Pages/day-02.aspx" TargetMode="External"/><Relationship Id="rId820" Type="http://schemas.openxmlformats.org/officeDocument/2006/relationships/hyperlink" Target="https://www.itu.int/en/ITU-T/Workshops-and-Seminars/20180807/Pages/default.aspx" TargetMode="External"/><Relationship Id="rId918" Type="http://schemas.openxmlformats.org/officeDocument/2006/relationships/hyperlink" Target="https://www.itu.int/en/publications/Documents/tsb/2020-U4SSC-Case-study-City-solid-waste-management/index.html" TargetMode="External"/><Relationship Id="rId252" Type="http://schemas.openxmlformats.org/officeDocument/2006/relationships/hyperlink" Target="https://www.itu.int/search" TargetMode="External"/><Relationship Id="rId47" Type="http://schemas.openxmlformats.org/officeDocument/2006/relationships/hyperlink" Target="https://www.itu.int/md/meetingdoc.asp?lang=en&amp;parent=T17-TSAG-220110-TD-GEN-1194" TargetMode="External"/><Relationship Id="rId112" Type="http://schemas.openxmlformats.org/officeDocument/2006/relationships/hyperlink" Target="https://www.itu.int/md/T17-TSAG-180226-TD-GEN-0237" TargetMode="External"/><Relationship Id="rId557" Type="http://schemas.openxmlformats.org/officeDocument/2006/relationships/hyperlink" Target="http://www.itu.int/en/sustainable-world/Pages/default.aspx" TargetMode="External"/><Relationship Id="rId764" Type="http://schemas.openxmlformats.org/officeDocument/2006/relationships/hyperlink" Target="https://www.itu.int/en/ITU-T/extcoop/figisymposium/Documents/20-00382_Consumer%20Competency%20Framework.pdf" TargetMode="External"/><Relationship Id="rId971" Type="http://schemas.openxmlformats.org/officeDocument/2006/relationships/hyperlink" Target="https://www.itu.int/en/ITU-T/Workshops-and-Seminars/gsw/201910/Documents/9thGSW2019-Valencia-CalltoAction-ES.pdf" TargetMode="External"/><Relationship Id="rId196" Type="http://schemas.openxmlformats.org/officeDocument/2006/relationships/hyperlink" Target="https://www.itu.int/md/T17-TSAG-200210-TD-GEN-0657" TargetMode="External"/><Relationship Id="rId417" Type="http://schemas.openxmlformats.org/officeDocument/2006/relationships/hyperlink" Target="https://www.itu.int/en/ITU-T/Workshops-and-Seminars/bsg/112017/Pages/default.aspx" TargetMode="External"/><Relationship Id="rId624" Type="http://schemas.openxmlformats.org/officeDocument/2006/relationships/hyperlink" Target="https://www.itu.int/md/meetingdoc.asp?lang=en&amp;parent=S18-CL-C-0008" TargetMode="External"/><Relationship Id="rId831" Type="http://schemas.openxmlformats.org/officeDocument/2006/relationships/hyperlink" Target="https://www.itu.int/en/ITU-T/climatechange/dpm/05/Pages/default.aspx" TargetMode="External"/><Relationship Id="rId263" Type="http://schemas.openxmlformats.org/officeDocument/2006/relationships/hyperlink" Target="https://www.itu.int/en/ITU-T/emf/Pages/default.aspx" TargetMode="External"/><Relationship Id="rId470" Type="http://schemas.openxmlformats.org/officeDocument/2006/relationships/hyperlink" Target="https://www.itu.int/md/T17-TSAG-200921-TD-GEN-0818" TargetMode="External"/><Relationship Id="rId929" Type="http://schemas.openxmlformats.org/officeDocument/2006/relationships/hyperlink" Target="https://www.itu.int/en/publications/Documents/tsb/2021-U4SSC-Digital-solutions-for-integrated-city-management-and-use-cases/index.html" TargetMode="External"/><Relationship Id="rId58" Type="http://schemas.openxmlformats.org/officeDocument/2006/relationships/hyperlink" Target="https://www.itu.int/md/T17-TSAG-190923-TD-GEN-0480" TargetMode="External"/><Relationship Id="rId123" Type="http://schemas.openxmlformats.org/officeDocument/2006/relationships/hyperlink" Target="https://www.itu.int/md/T17-TSAG-200921-TD-GEN-0807" TargetMode="External"/><Relationship Id="rId330" Type="http://schemas.openxmlformats.org/officeDocument/2006/relationships/hyperlink" Target="https://www.itu.int/md/meetingdoc.asp?lang=en&amp;parent=T17-TSAG-180226-TD-GEN-0123" TargetMode="External"/><Relationship Id="rId568" Type="http://schemas.openxmlformats.org/officeDocument/2006/relationships/hyperlink" Target="https://www.itu.int/en/ITU-T/climatechange/symposia/201905/Documents/Call_for_Action_RU.pdf" TargetMode="External"/><Relationship Id="rId775" Type="http://schemas.openxmlformats.org/officeDocument/2006/relationships/hyperlink" Target="https://www.itu.int/en/ITU-T/extcoop/figisymposium/2017/Pages/default.aspx" TargetMode="External"/><Relationship Id="rId982" Type="http://schemas.openxmlformats.org/officeDocument/2006/relationships/hyperlink" Target="https://www.itu.int/en/ITU-T/climatechange/Pages/20210422.aspx" TargetMode="External"/><Relationship Id="rId428" Type="http://schemas.openxmlformats.org/officeDocument/2006/relationships/hyperlink" Target="https://www.itu.int/en/ITU-D/Regional-Presence/CIS/Pages/Events/2017/06_Saint_Petersburg/06_Saint_Petersburg.aspx" TargetMode="External"/><Relationship Id="rId635" Type="http://schemas.openxmlformats.org/officeDocument/2006/relationships/hyperlink" Target="https://extranet.itu.int/sites/itu-t/studygroups/2017-2020/tsag/strategy/_layouts/15/WopiFrame.aspx?sourcedoc=%7B59852BF8-2C3C-4E31-928F-0C9EC71C7A11%7D&amp;file=TD070%20Assignments%20of%20the%20ITU-T%20study%20group%20Questions%20to%20the%20WSIS%20Action%20Lines,%20and%20to%20the%20UN%20Sustainable%20Development%20Goals.docx&amp;action=default" TargetMode="External"/><Relationship Id="rId842" Type="http://schemas.openxmlformats.org/officeDocument/2006/relationships/hyperlink" Target="https://www.itu.int/en/ITU-T/studygroups/2017-2020/12/Pages/1811-summary.aspx" TargetMode="External"/><Relationship Id="rId274" Type="http://schemas.openxmlformats.org/officeDocument/2006/relationships/hyperlink" Target="https://www.itu.int/en/ITU-T/studygroups/2017-2020/13/Pages/CB-Future-Networks.aspx" TargetMode="External"/><Relationship Id="rId481" Type="http://schemas.openxmlformats.org/officeDocument/2006/relationships/hyperlink" Target="https://www.itu.int/en/ITU-T/tsbdir/cto/Documents/Communique_ITU_CxO_07.12.2021_f.pdf" TargetMode="External"/><Relationship Id="rId702" Type="http://schemas.openxmlformats.org/officeDocument/2006/relationships/hyperlink" Target="https://www.itu.int/en/ITU-T/academia/kaleidoscope/Pages/default.aspx" TargetMode="External"/><Relationship Id="rId69" Type="http://schemas.openxmlformats.org/officeDocument/2006/relationships/hyperlink" Target="https://www.itu.int/md/T17-TSAG-200210-TD-GEN-0667" TargetMode="External"/><Relationship Id="rId134" Type="http://schemas.openxmlformats.org/officeDocument/2006/relationships/hyperlink" Target="https://www.itu.int/md/meetingdoc.asp?lang=en&amp;parent=T17-TSAG-190923-TD-GEN-0549" TargetMode="External"/><Relationship Id="rId579" Type="http://schemas.openxmlformats.org/officeDocument/2006/relationships/hyperlink" Target="https://www.itu.int/en/ITU-T/Workshops-and-Seminars/gsw/201910/Pages/programme-05.aspx" TargetMode="External"/><Relationship Id="rId786" Type="http://schemas.openxmlformats.org/officeDocument/2006/relationships/hyperlink" Target="https://figi.itu.int/event/gender-equity/" TargetMode="External"/><Relationship Id="rId993" Type="http://schemas.openxmlformats.org/officeDocument/2006/relationships/hyperlink" Target="https://www.itu.int/en/ITU-T/webinars/20211102/Pages/default.aspx" TargetMode="External"/><Relationship Id="rId341" Type="http://schemas.openxmlformats.org/officeDocument/2006/relationships/hyperlink" Target="https://www.itu.int/en/ITU-T/Workshops-and-Seminars/gsw/201910/Documents/9thGSW2019-Valencia-CalltoAction-FR.pdf" TargetMode="External"/><Relationship Id="rId439" Type="http://schemas.openxmlformats.org/officeDocument/2006/relationships/hyperlink" Target="https://www.research.net/r/ITUTSG17CDCX1060" TargetMode="External"/><Relationship Id="rId646" Type="http://schemas.openxmlformats.org/officeDocument/2006/relationships/hyperlink" Target="https://www.itu.int/md/meetingdoc.asp?lang=en&amp;parent=S21-CL-C-0035" TargetMode="External"/><Relationship Id="rId201" Type="http://schemas.openxmlformats.org/officeDocument/2006/relationships/hyperlink" Target="https://www.itu.int/md/meetingdoc.asp?lang=en&amp;parent=T17-TSAG-181210-TD-GEN-0315" TargetMode="External"/><Relationship Id="rId285" Type="http://schemas.openxmlformats.org/officeDocument/2006/relationships/hyperlink" Target="https://www.itu.int/ITU-T/recommendations/rec.aspx?rec=325" TargetMode="External"/><Relationship Id="rId506" Type="http://schemas.openxmlformats.org/officeDocument/2006/relationships/hyperlink" Target="https://www.itu.int/en/ITU-D/Regional-Presence/Europe/Pages/Events/2019/AE/AccessibleEurope.aspx" TargetMode="External"/><Relationship Id="rId853" Type="http://schemas.openxmlformats.org/officeDocument/2006/relationships/hyperlink" Target="https://www.itu.int/en/ITU-T/Workshops-and-Seminars/20180723/Pages/default.aspx" TargetMode="External"/><Relationship Id="rId492" Type="http://schemas.openxmlformats.org/officeDocument/2006/relationships/hyperlink" Target="https://www.itu.int/ITU-T/workprog/wp_item.aspx?isn=14438" TargetMode="External"/><Relationship Id="rId713" Type="http://schemas.openxmlformats.org/officeDocument/2006/relationships/hyperlink" Target="https://www.itu.int/md/meetingdoc.asp?lang=en&amp;parent=S17-CL-C-0043" TargetMode="External"/><Relationship Id="rId797" Type="http://schemas.openxmlformats.org/officeDocument/2006/relationships/hyperlink" Target="https://www.itu.int/md/meetingdoc.asp?lang=en&amp;parent=T17-TSAG-180226-TD-GEN-0220" TargetMode="External"/><Relationship Id="rId920" Type="http://schemas.openxmlformats.org/officeDocument/2006/relationships/hyperlink" Target="https://www.itu.int/en/publications/Documents/tsb/2020-U4SSC-Case-study-Urban-mobility/index.html" TargetMode="External"/><Relationship Id="rId145" Type="http://schemas.openxmlformats.org/officeDocument/2006/relationships/hyperlink" Target="https://www.etis.org/page/Anti_Abuse" TargetMode="External"/><Relationship Id="rId352" Type="http://schemas.openxmlformats.org/officeDocument/2006/relationships/hyperlink" Target="https://www.itu.int/ifa/t/2017/ls/tsag/sp16-tsag-oLS-00031.zip" TargetMode="External"/><Relationship Id="rId212" Type="http://schemas.openxmlformats.org/officeDocument/2006/relationships/hyperlink" Target="https://www.itu.int/md/meetingdoc.asp?lang=en&amp;parent=T17-TSAG-180226-TD-GEN-0139" TargetMode="External"/><Relationship Id="rId657" Type="http://schemas.openxmlformats.org/officeDocument/2006/relationships/hyperlink" Target="https://www.itu.int/en/ITU-T/C-I/Pages/HFT-mobile-tests/HFT_testing.aspx" TargetMode="External"/><Relationship Id="rId864" Type="http://schemas.openxmlformats.org/officeDocument/2006/relationships/hyperlink" Target="https://www.itu.int/md/T17-SG11RG.AFR-R-0002/en" TargetMode="External"/><Relationship Id="rId296" Type="http://schemas.openxmlformats.org/officeDocument/2006/relationships/hyperlink" Target="https://www.itu.int/dms_pub/itu-t/opb/tut/T-TUT-SEC-2015-PDF-E.pdf" TargetMode="External"/><Relationship Id="rId517" Type="http://schemas.openxmlformats.org/officeDocument/2006/relationships/hyperlink" Target="https://www.itu.int/en/ITU-T/ebusiness" TargetMode="External"/><Relationship Id="rId724" Type="http://schemas.openxmlformats.org/officeDocument/2006/relationships/hyperlink" Target="https://www.itu.int/en/ITU-T/climatechange/Pages/20210602.aspx" TargetMode="External"/><Relationship Id="rId931" Type="http://schemas.openxmlformats.org/officeDocument/2006/relationships/hyperlink" Target="https://www.itu.int/en/ITU-T/ssc/united/Pages/publications-U4SSC.aspx" TargetMode="External"/><Relationship Id="rId60" Type="http://schemas.openxmlformats.org/officeDocument/2006/relationships/hyperlink" Target="https://www.itu.int/md/T17-TSAG-200921-TD-GEN-0800" TargetMode="External"/><Relationship Id="rId156" Type="http://schemas.openxmlformats.org/officeDocument/2006/relationships/hyperlink" Target="https://www.itu.int/ITU-T/workprog/wp_item.aspx?isn=14440" TargetMode="External"/><Relationship Id="rId363" Type="http://schemas.openxmlformats.org/officeDocument/2006/relationships/hyperlink" Target="https://www.itu.int/md/meetingdoc.asp?lang=en&amp;parent=S20-CL-C-0018" TargetMode="External"/><Relationship Id="rId570" Type="http://schemas.openxmlformats.org/officeDocument/2006/relationships/hyperlink" Target="https://www.itu.int/en/ITU-T/studygroups/2017-2020/05/Pages/event-20190514.aspx" TargetMode="External"/><Relationship Id="rId1007" Type="http://schemas.openxmlformats.org/officeDocument/2006/relationships/fontTable" Target="fontTable.xml"/><Relationship Id="rId223" Type="http://schemas.openxmlformats.org/officeDocument/2006/relationships/hyperlink" Target="https://www.itu.int/md/T17-TSAG-200921-TD-GEN-0792" TargetMode="External"/><Relationship Id="rId430" Type="http://schemas.openxmlformats.org/officeDocument/2006/relationships/hyperlink" Target="https://www.itu.int/en/ITU-T/Workshops-and-Seminars/20180423/Pages/default.aspx" TargetMode="External"/><Relationship Id="rId668" Type="http://schemas.openxmlformats.org/officeDocument/2006/relationships/hyperlink" Target="http://www.itu.int/go/fgtbf" TargetMode="External"/><Relationship Id="rId875" Type="http://schemas.openxmlformats.org/officeDocument/2006/relationships/hyperlink" Target="https://www.itu.int/ITU-T/recommendations/rec.aspx?rec=14176" TargetMode="External"/><Relationship Id="rId18" Type="http://schemas.openxmlformats.org/officeDocument/2006/relationships/footer" Target="footer1.xml"/><Relationship Id="rId528" Type="http://schemas.openxmlformats.org/officeDocument/2006/relationships/hyperlink" Target="https://www.itu.int/en/ITU-T/studygroups/2017-2020/05/sg5rgafr/20190829/Pages/default.aspx" TargetMode="External"/><Relationship Id="rId735" Type="http://schemas.openxmlformats.org/officeDocument/2006/relationships/hyperlink" Target="https://www.itu.int/net4/roamingtool" TargetMode="External"/><Relationship Id="rId942" Type="http://schemas.openxmlformats.org/officeDocument/2006/relationships/hyperlink" Target="https://www.itu.int/en/ITU-T/Workshops-and-Seminars/iot/201703/Pages/default.aspx" TargetMode="External"/><Relationship Id="rId167" Type="http://schemas.openxmlformats.org/officeDocument/2006/relationships/hyperlink" Target="https://www.itu.int/ifa/t/2017/ls/tsag/sp16-tsag-oLS-00031.zip" TargetMode="External"/><Relationship Id="rId374" Type="http://schemas.openxmlformats.org/officeDocument/2006/relationships/hyperlink" Target="https://www.itu.int/md/T17-TSAG-200921-TD-GEN-0806" TargetMode="External"/><Relationship Id="rId581" Type="http://schemas.openxmlformats.org/officeDocument/2006/relationships/hyperlink" Target="https://www.itu.int/en/ITU-T/Workshops-and-Seminars/gsw/201910/Documents/9thGSW2019-Valencia-CalltoAction-EN.pdf" TargetMode="External"/><Relationship Id="rId71" Type="http://schemas.openxmlformats.org/officeDocument/2006/relationships/hyperlink" Target="https://www.itu.int/md/T17-TSAG-210111-TD-GEN-0944" TargetMode="External"/><Relationship Id="rId234" Type="http://schemas.openxmlformats.org/officeDocument/2006/relationships/hyperlink" Target="https://www.itu.int/myworkspace/" TargetMode="External"/><Relationship Id="rId679" Type="http://schemas.openxmlformats.org/officeDocument/2006/relationships/hyperlink" Target="https://www.itu.int/en/ITU-T/focusgroups/ai4h/Pages/default.aspx" TargetMode="External"/><Relationship Id="rId802" Type="http://schemas.openxmlformats.org/officeDocument/2006/relationships/hyperlink" Target="https://www.itu.int/md/T17-TSAG-180226-TD-GEN-0212/en" TargetMode="External"/><Relationship Id="rId886" Type="http://schemas.openxmlformats.org/officeDocument/2006/relationships/hyperlink" Target="https://www.itu.int/en/ITU-T/ssc/united/Pages/publication-U4SSC-KPIs.aspx" TargetMode="External"/><Relationship Id="rId2" Type="http://schemas.openxmlformats.org/officeDocument/2006/relationships/customXml" Target="../customXml/item2.xml"/><Relationship Id="rId29" Type="http://schemas.openxmlformats.org/officeDocument/2006/relationships/hyperlink" Target="https://www.itu.int/md/meetingdoc.asp?lang=en&amp;parent=T17-WTSA.20-C-0023" TargetMode="External"/><Relationship Id="rId441" Type="http://schemas.openxmlformats.org/officeDocument/2006/relationships/hyperlink" Target="https://www.itu.int/md/T17-SG02-180704-TD-GEN-0458/en" TargetMode="External"/><Relationship Id="rId539" Type="http://schemas.openxmlformats.org/officeDocument/2006/relationships/hyperlink" Target="https://www.itu.int/en/ITU-T/Workshops-and-Seminars/sg05rg/sdtd/20210929/Pages/default.aspx" TargetMode="External"/><Relationship Id="rId746" Type="http://schemas.openxmlformats.org/officeDocument/2006/relationships/hyperlink" Target="http://www.itu.int/itu-t/workprog/wp_item.aspx?isn=15071" TargetMode="External"/><Relationship Id="rId178" Type="http://schemas.openxmlformats.org/officeDocument/2006/relationships/hyperlink" Target="https://www.itu.int/ifa/t/2017/ls/tsag/sp16-tsag-oLS-00023.zip" TargetMode="External"/><Relationship Id="rId301" Type="http://schemas.openxmlformats.org/officeDocument/2006/relationships/hyperlink" Target="https://www.itu.int/en/ITU-D/Regional-Presence/CIS/Pages/EVENTS/2020/03_Minsk/03_Minsk.aspx" TargetMode="External"/><Relationship Id="rId953" Type="http://schemas.openxmlformats.org/officeDocument/2006/relationships/hyperlink" Target="https://www.itu.int/en/ITU-T/Workshops-and-Seminars/20180604/Pages/default.aspx" TargetMode="External"/><Relationship Id="rId82" Type="http://schemas.openxmlformats.org/officeDocument/2006/relationships/hyperlink" Target="https://www.itu.int/md/meetingdoc.asp?lang=en&amp;parent=T17-TSAG-180226-TD-GEN-0155" TargetMode="External"/><Relationship Id="rId385" Type="http://schemas.openxmlformats.org/officeDocument/2006/relationships/hyperlink" Target="https://www.itu.int/md/T17-TSAG-211025-TD-GEN-1048" TargetMode="External"/><Relationship Id="rId592" Type="http://schemas.openxmlformats.org/officeDocument/2006/relationships/hyperlink" Target="https://www.itu.int/en/ITU-T/Workshops-and-Seminars/sg05rg/sdtd/20210929/Pages/default.aspx" TargetMode="External"/><Relationship Id="rId606" Type="http://schemas.openxmlformats.org/officeDocument/2006/relationships/hyperlink" Target="https://www.itu.int/en/ITU-T/Workshops-and-Seminars/gsw/201804/Pages/default.aspx" TargetMode="External"/><Relationship Id="rId813" Type="http://schemas.openxmlformats.org/officeDocument/2006/relationships/hyperlink" Target="https://www.itu.int/en/ITU-T/Workshops-and-Seminars/201711/Pages/default.aspx" TargetMode="External"/><Relationship Id="rId245" Type="http://schemas.openxmlformats.org/officeDocument/2006/relationships/hyperlink" Target="https://www.itu.int/md/meetingdoc.asp?lang=en&amp;parent=T17-TSAG-170501-TD-GEN-0053" TargetMode="External"/><Relationship Id="rId452" Type="http://schemas.openxmlformats.org/officeDocument/2006/relationships/hyperlink" Target="https://www.itu.int/md/meetingdoc.asp?lang=en&amp;parent=S21-RCLINTPOL16-C-0002" TargetMode="External"/><Relationship Id="rId897" Type="http://schemas.openxmlformats.org/officeDocument/2006/relationships/hyperlink" Target="https://www.itu.int/en/publications/Documents/tsb/2017-U4SSC-Collection-Methodology/index.html" TargetMode="External"/><Relationship Id="rId105" Type="http://schemas.openxmlformats.org/officeDocument/2006/relationships/hyperlink" Target="https://www.itu.int/md/T17-TSAG-200210-TD-GEN-0671" TargetMode="External"/><Relationship Id="rId312" Type="http://schemas.openxmlformats.org/officeDocument/2006/relationships/hyperlink" Target="https://www.itu.int/en/ITU-T/Workshops-and-Seminars/bsg/201703/Pages/default.aspx" TargetMode="External"/><Relationship Id="rId757" Type="http://schemas.openxmlformats.org/officeDocument/2006/relationships/hyperlink" Target="https://www.itu.int/en/ITU-T/extcoop/dcgi/Pages/default.aspx" TargetMode="External"/><Relationship Id="rId964" Type="http://schemas.openxmlformats.org/officeDocument/2006/relationships/hyperlink" Target="https://www.itu.int/en/ITU-T/Workshops-and-Seminars/gsw/201910/Pages/programme-03.aspx" TargetMode="External"/><Relationship Id="rId93" Type="http://schemas.openxmlformats.org/officeDocument/2006/relationships/hyperlink" Target="https://www.itu.int/md/T17-TSAG-170501-TD-GEN-0009" TargetMode="External"/><Relationship Id="rId189" Type="http://schemas.openxmlformats.org/officeDocument/2006/relationships/hyperlink" Target="https://www.itu.int/md/T17-TSAG-190923-TD-GEN-0469" TargetMode="External"/><Relationship Id="rId396" Type="http://schemas.openxmlformats.org/officeDocument/2006/relationships/hyperlink" Target="https://www.itu.int/en/ITU-D/Regional-Presence/CIS/Pages/Events/2021/SPB-Oct.aspx" TargetMode="External"/><Relationship Id="rId617" Type="http://schemas.openxmlformats.org/officeDocument/2006/relationships/hyperlink" Target="https://www.itu.int/en/publications/Documents/tsb/2020-U4SSC-Blockchain-for-smart-sustainable-cities/index.html" TargetMode="External"/><Relationship Id="rId824" Type="http://schemas.openxmlformats.org/officeDocument/2006/relationships/hyperlink" Target="https://www.itu.int/md/meetingdoc.asp?lang=en&amp;parent=S17-RCLINTPOL10-C-0002" TargetMode="External"/><Relationship Id="rId256" Type="http://schemas.openxmlformats.org/officeDocument/2006/relationships/hyperlink" Target="https://www.itu.int/net4/ITU-T/landscape" TargetMode="External"/><Relationship Id="rId463" Type="http://schemas.openxmlformats.org/officeDocument/2006/relationships/hyperlink" Target="https://www.itu.int/md/meetingdoc.asp?lang=en&amp;parent=S19-CL-C-0033" TargetMode="External"/><Relationship Id="rId670" Type="http://schemas.openxmlformats.org/officeDocument/2006/relationships/hyperlink" Target="https://www.itu.int/en/ITU-T/jca/imt2020/Pages/default.aspx" TargetMode="External"/><Relationship Id="rId116" Type="http://schemas.openxmlformats.org/officeDocument/2006/relationships/hyperlink" Target="https://www.itu.int/md/T17-TSAG-200921-TD-GEN-0806" TargetMode="External"/><Relationship Id="rId323" Type="http://schemas.openxmlformats.org/officeDocument/2006/relationships/hyperlink" Target="https://www.itu.int/en/ITU-T/Workshops-and-Seminars/bsg/201712/Pages/default.aspx" TargetMode="External"/><Relationship Id="rId530" Type="http://schemas.openxmlformats.org/officeDocument/2006/relationships/hyperlink" Target="https://www.itu.int/en/ITU-T/Workshops-and-Seminars/20171205/Pages/default.aspx" TargetMode="External"/><Relationship Id="rId768" Type="http://schemas.openxmlformats.org/officeDocument/2006/relationships/hyperlink" Target="https://figi.itu.int/wp-content/uploads/2021/05/Security-audit-of-various-DFS-applications.pdf" TargetMode="External"/><Relationship Id="rId975" Type="http://schemas.openxmlformats.org/officeDocument/2006/relationships/hyperlink" Target="https://www.itu.int/en/ITU-T/Workshops-and-Seminars/gsw/201910/Documents/9thGSW2019-Valencia-CalltoAction-CH.pdf" TargetMode="External"/><Relationship Id="rId20" Type="http://schemas.openxmlformats.org/officeDocument/2006/relationships/hyperlink" Target="https://www.itu.int/dms_pub/itu-s/md/20/sg/cir/S20-SG-CIR-0051!!PDF-E.pdf" TargetMode="External"/><Relationship Id="rId628" Type="http://schemas.openxmlformats.org/officeDocument/2006/relationships/hyperlink" Target="https://intranet.itu.int/sites/itu-t/Collaborative%20documents/WTSA-16_ActionPlan/WG-WSIS-32-03" TargetMode="External"/><Relationship Id="rId835" Type="http://schemas.openxmlformats.org/officeDocument/2006/relationships/hyperlink" Target="https://www.itu.int/en/ITU-T/Workshops-and-Seminars/20180219/Pages/default.aspx" TargetMode="External"/><Relationship Id="rId267" Type="http://schemas.openxmlformats.org/officeDocument/2006/relationships/hyperlink" Target="http://www.itu.int/go/citest" TargetMode="External"/><Relationship Id="rId474" Type="http://schemas.openxmlformats.org/officeDocument/2006/relationships/hyperlink" Target="file:///C:/_Euchner/_ITU-T/ITU-T%20A.series/2017_05_TSAG/TSBDir%20report/v" TargetMode="External"/><Relationship Id="rId127" Type="http://schemas.openxmlformats.org/officeDocument/2006/relationships/hyperlink" Target="https://www.itu.int/md/meetingdoc.asp?lang=en&amp;parent=T17-TSAG-181210-TD-GEN-0302" TargetMode="External"/><Relationship Id="rId681" Type="http://schemas.openxmlformats.org/officeDocument/2006/relationships/hyperlink" Target="https://www.itu.int/net4/wsis/forum/2018/Pages/Agenda" TargetMode="External"/><Relationship Id="rId779" Type="http://schemas.openxmlformats.org/officeDocument/2006/relationships/hyperlink" Target="https://www.itu.int/en/ITU-T/extcoop/figisymposium/2019/Pages/hackathon.aspx" TargetMode="External"/><Relationship Id="rId902" Type="http://schemas.openxmlformats.org/officeDocument/2006/relationships/hyperlink" Target="https://www.itu.int/en/publications/Documents/tsb/2017-U4SSC-Deliverable-Connecting-Cities/index.html" TargetMode="External"/><Relationship Id="rId986" Type="http://schemas.openxmlformats.org/officeDocument/2006/relationships/hyperlink" Target="https://www.itu.int/en/ITU-T/Workshops-and-Seminars/2021/0621/Pages/default.aspx" TargetMode="External"/><Relationship Id="rId31" Type="http://schemas.openxmlformats.org/officeDocument/2006/relationships/hyperlink" Target="https://www.itu.int/md/meetingdoc.asp?lang=en&amp;parent=T17-TSAG-170501-TD-GEN-0064" TargetMode="External"/><Relationship Id="rId334" Type="http://schemas.openxmlformats.org/officeDocument/2006/relationships/hyperlink" Target="https://www.itu.int/en/ITU-T/Workshops-and-Seminars/20210601/Documents/Workshop%20Outcomes.pdf?csf=1&amp;e=QbeOMC" TargetMode="External"/><Relationship Id="rId541" Type="http://schemas.openxmlformats.org/officeDocument/2006/relationships/hyperlink" Target="https://www.itu.int/en/ITU-T/Workshops-and-Seminars/gsw/201910/Pages/default.aspx" TargetMode="External"/><Relationship Id="rId639" Type="http://schemas.openxmlformats.org/officeDocument/2006/relationships/hyperlink" Target="http://www.itu.int/pub/T-TUT-IPTV-2015-H721" TargetMode="External"/><Relationship Id="rId180" Type="http://schemas.openxmlformats.org/officeDocument/2006/relationships/hyperlink" Target="https://www.itu.int/md/T17-TSAG-200210-TD-GEN-0694" TargetMode="External"/><Relationship Id="rId278" Type="http://schemas.openxmlformats.org/officeDocument/2006/relationships/hyperlink" Target="https://www.itu.int/ifa/t/2017/tsag/exchange/AHG-GME/" TargetMode="External"/><Relationship Id="rId401" Type="http://schemas.openxmlformats.org/officeDocument/2006/relationships/hyperlink" Target="https://www.itu.int/en/ITU-D/Regional-Presence/CIS/Pages/EVENTS/2020/03_Minsk/03_Minsk.aspx" TargetMode="External"/><Relationship Id="rId846" Type="http://schemas.openxmlformats.org/officeDocument/2006/relationships/hyperlink" Target="https://www.itu.int/pub/D-PREF-BB.QOS_REG01-2017" TargetMode="External"/><Relationship Id="rId485" Type="http://schemas.openxmlformats.org/officeDocument/2006/relationships/hyperlink" Target="https://www.itu.int/en/ITU-T/studygroups/2017-2020/16/Pages/q24.aspx" TargetMode="External"/><Relationship Id="rId692" Type="http://schemas.openxmlformats.org/officeDocument/2006/relationships/hyperlink" Target="https://www.itu.int/en/ITU-T/climatechange/Pages/default.aspx" TargetMode="External"/><Relationship Id="rId706" Type="http://schemas.openxmlformats.org/officeDocument/2006/relationships/hyperlink" Target="https://www.itu.int/md/meetingdoc.asp?lang=en&amp;parent=T17-TSAG-181210-TD-GEN-0292" TargetMode="External"/><Relationship Id="rId913" Type="http://schemas.openxmlformats.org/officeDocument/2006/relationships/hyperlink" Target="https://www.itu.int/en/publications/Documents/tsb/2019-U4SSC-Identifying-the-cascading-effects-on-vital-objects-during-flooding/index.html" TargetMode="External"/><Relationship Id="rId42" Type="http://schemas.openxmlformats.org/officeDocument/2006/relationships/hyperlink" Target="https://www.itu.int/md/meetingdoc.asp?lang=en&amp;parent=T17-TSAG-180226-TD-GEN-0148" TargetMode="External"/><Relationship Id="rId138" Type="http://schemas.openxmlformats.org/officeDocument/2006/relationships/hyperlink" Target="https://www.itu.int/md/meetingdoc.asp?lang=en&amp;parent=T17-WTSA.20-C-0031" TargetMode="External"/><Relationship Id="rId345" Type="http://schemas.openxmlformats.org/officeDocument/2006/relationships/hyperlink" Target="https://www.itu.int/en/ITU-T/climatechange/Pages/20210602.aspx" TargetMode="External"/><Relationship Id="rId552" Type="http://schemas.openxmlformats.org/officeDocument/2006/relationships/hyperlink" Target="https://www.itu.int/en/publications/Documents/tsb/2019-Turning-digital-technology-innovation-into-climate-action/index.html" TargetMode="External"/><Relationship Id="rId997" Type="http://schemas.openxmlformats.org/officeDocument/2006/relationships/hyperlink" Target="https://www.itu.int/en/ITU-T/webinars/20211214/Pages/default.aspx" TargetMode="External"/><Relationship Id="rId191" Type="http://schemas.openxmlformats.org/officeDocument/2006/relationships/hyperlink" Target="https://www.itu.int/md/meetingdoc.asp?lang=en&amp;parent=T17-TSAG-220110-TD-GEN-1187" TargetMode="External"/><Relationship Id="rId205" Type="http://schemas.openxmlformats.org/officeDocument/2006/relationships/hyperlink" Target="https://www.itu.int/md/meetingdoc.asp?lang=en&amp;parent=T17-TSAG-210111-TD-GEN-0951" TargetMode="External"/><Relationship Id="rId412" Type="http://schemas.openxmlformats.org/officeDocument/2006/relationships/hyperlink" Target="https://www.itu.int/en/ITU-T/Workshops-and-Seminars/bsg/201710/Pages/default.aspx" TargetMode="External"/><Relationship Id="rId857" Type="http://schemas.openxmlformats.org/officeDocument/2006/relationships/hyperlink" Target="https://www.itu.int/md/S19-CL-C-0035/en" TargetMode="External"/><Relationship Id="rId289" Type="http://schemas.openxmlformats.org/officeDocument/2006/relationships/hyperlink" Target="https://www.itu.int/en/ITU-T/studygroups/2017-2020/20/sg20rgafr/Pages/default.aspx" TargetMode="External"/><Relationship Id="rId496" Type="http://schemas.openxmlformats.org/officeDocument/2006/relationships/hyperlink" Target="https://www.itu.int/net4/wsis/forum/2018/Pages/Agenda/Session/283" TargetMode="External"/><Relationship Id="rId717" Type="http://schemas.openxmlformats.org/officeDocument/2006/relationships/hyperlink" Target="https://www.itu.int/md/meetingdoc.asp?lang=en&amp;parent=S21-CL-C-0047" TargetMode="External"/><Relationship Id="rId924" Type="http://schemas.openxmlformats.org/officeDocument/2006/relationships/hyperlink" Target="https://www.itu.int/en/publications/Documents/tsb/2020-U4SSC-Case-study-Circularity-to-promote-local-businesses-and-digitization/index.html" TargetMode="External"/><Relationship Id="rId53" Type="http://schemas.openxmlformats.org/officeDocument/2006/relationships/hyperlink" Target="https://www.itu.int/md/T17-TSAG-210111-TD-GEN-0943" TargetMode="External"/><Relationship Id="rId149" Type="http://schemas.openxmlformats.org/officeDocument/2006/relationships/hyperlink" Target="https://www.itu.int/en/ITU-T/climatechange/Pages/202006.aspx" TargetMode="External"/><Relationship Id="rId356" Type="http://schemas.openxmlformats.org/officeDocument/2006/relationships/hyperlink" Target="https://www.itu.int/en/ITU-T/Workshops-and-Seminars/201708/Pages/default.aspx" TargetMode="External"/><Relationship Id="rId563" Type="http://schemas.openxmlformats.org/officeDocument/2006/relationships/hyperlink" Target="https://www.itu.int/en/ITU-T/climatechange/symposia/201905/Pages/default.aspx" TargetMode="External"/><Relationship Id="rId770" Type="http://schemas.openxmlformats.org/officeDocument/2006/relationships/hyperlink" Target="https://www.iso.org/committee/49670.html" TargetMode="External"/><Relationship Id="rId216" Type="http://schemas.openxmlformats.org/officeDocument/2006/relationships/hyperlink" Target="https://www.itu.int/md/T17-TSAG-200921-TD-GEN-0789" TargetMode="External"/><Relationship Id="rId423" Type="http://schemas.openxmlformats.org/officeDocument/2006/relationships/hyperlink" Target="https://www.itu.int/en/ITU-T/Workshops-and-Seminars/bsg/201712/Pages/default.aspx" TargetMode="External"/><Relationship Id="rId868" Type="http://schemas.openxmlformats.org/officeDocument/2006/relationships/hyperlink" Target="https://www.itu.int/ITU-T/recommendations/index_sg.aspx?sg=20" TargetMode="External"/><Relationship Id="rId630" Type="http://schemas.openxmlformats.org/officeDocument/2006/relationships/hyperlink" Target="https://www.itu.int/md/meetingdoc.asp?lang=en&amp;parent=S19-CWGWSIS34-C-0002" TargetMode="External"/><Relationship Id="rId728" Type="http://schemas.openxmlformats.org/officeDocument/2006/relationships/hyperlink" Target="https://www.itu.int/en/ITU-T/Workshops-and-Seminars/sg05rg/sdtd/20210928/Pages/default.aspx" TargetMode="External"/><Relationship Id="rId935" Type="http://schemas.openxmlformats.org/officeDocument/2006/relationships/hyperlink" Target="https://www.itu.int/en/ITU-T/ssc/united/Documents/U4SSC-Snapshots/City_Snapshot_Bizerte_Tunisia.pdf" TargetMode="External"/><Relationship Id="rId64" Type="http://schemas.openxmlformats.org/officeDocument/2006/relationships/hyperlink" Target="https://www.itu.int/md/T17-TSAG-170501-TD-GEN-0060" TargetMode="External"/><Relationship Id="rId367" Type="http://schemas.openxmlformats.org/officeDocument/2006/relationships/hyperlink" Target="https://www.itu.int/itu-t/workprog/wp_item.aspx?isn=17189" TargetMode="External"/><Relationship Id="rId574" Type="http://schemas.openxmlformats.org/officeDocument/2006/relationships/hyperlink" Target="https://www.itu.int/en/ITU-T/Workshops-and-Seminars/gsw/201910/Pages/programme-02.aspx" TargetMode="External"/><Relationship Id="rId227" Type="http://schemas.openxmlformats.org/officeDocument/2006/relationships/hyperlink" Target="https://www.itu.int/en/myitu/Membership/ITU-Members/SMEs/Associates" TargetMode="External"/><Relationship Id="rId781" Type="http://schemas.openxmlformats.org/officeDocument/2006/relationships/hyperlink" Target="https://figi.itu.int/" TargetMode="External"/><Relationship Id="rId879" Type="http://schemas.openxmlformats.org/officeDocument/2006/relationships/hyperlink" Target="https://www.itu.int/ITU-T/workprog/wp_item.aspx?isn=17210" TargetMode="External"/><Relationship Id="rId434" Type="http://schemas.openxmlformats.org/officeDocument/2006/relationships/hyperlink" Target="https://www.itu.int/en/ITU-T/studygroups/2017-2020/09/Wuhan-WSP/Pages/default.aspx" TargetMode="External"/><Relationship Id="rId641" Type="http://schemas.openxmlformats.org/officeDocument/2006/relationships/hyperlink" Target="https://www.itu.int/pub/T-TUT-IPTV-2017-H702" TargetMode="External"/><Relationship Id="rId739" Type="http://schemas.openxmlformats.org/officeDocument/2006/relationships/hyperlink" Target="https://www.itu.int/en/ITU-T/focusgroups/dlt/Pages/default.aspx" TargetMode="External"/><Relationship Id="rId280" Type="http://schemas.openxmlformats.org/officeDocument/2006/relationships/hyperlink" Target="https://www.itu.int/en/ITU-T/wtsa20/prepmeet/Pages/default.aspx" TargetMode="External"/><Relationship Id="rId501" Type="http://schemas.openxmlformats.org/officeDocument/2006/relationships/hyperlink" Target="https://www.itu.int/en/ITU-D/Regional-Presence/Europe/Pages/Events/2018/AE/AccessibleEurope.aspx" TargetMode="External"/><Relationship Id="rId946" Type="http://schemas.openxmlformats.org/officeDocument/2006/relationships/hyperlink" Target="https://www.itu.int/en/ITU-T/Workshops-and-Seminars/20180219/Pages/default.aspx" TargetMode="External"/><Relationship Id="rId75" Type="http://schemas.openxmlformats.org/officeDocument/2006/relationships/hyperlink" Target="https://www.itu.int/md/T17-TSAG-181210-TD-GEN-0305" TargetMode="External"/><Relationship Id="rId140" Type="http://schemas.openxmlformats.org/officeDocument/2006/relationships/hyperlink" Target="https://www.itu.int/en/ITU-T/climatechange/symposia/201905/Documents/Call_for_Action.pdf" TargetMode="External"/><Relationship Id="rId378" Type="http://schemas.openxmlformats.org/officeDocument/2006/relationships/hyperlink" Target="https://www.itu.int/itu-t/workprog/wp_search.aspx?isn_sp=3925&amp;isn_sg=3935&amp;isn_qu=4215&amp;isn_status=-1,2&amp;details=0&amp;field=acdefghijo" TargetMode="External"/><Relationship Id="rId585" Type="http://schemas.openxmlformats.org/officeDocument/2006/relationships/hyperlink" Target="https://www.itu.int/en/ITU-T/Workshops-and-Seminars/gsw/201910/Documents/9thGSW2019-Valencia-CalltoAction-FR.pdf" TargetMode="External"/><Relationship Id="rId792" Type="http://schemas.openxmlformats.org/officeDocument/2006/relationships/hyperlink" Target="https://www.itu.int/ifa/t/2017/ls/tsag/sp16-tsag-oLS-00004.docx" TargetMode="External"/><Relationship Id="rId806" Type="http://schemas.openxmlformats.org/officeDocument/2006/relationships/hyperlink" Target="https://www.itu.int/md/T17-TSAG-180226-TD-GEN-0212/en" TargetMode="External"/><Relationship Id="rId6" Type="http://schemas.openxmlformats.org/officeDocument/2006/relationships/customXml" Target="../customXml/item6.xml"/><Relationship Id="rId238" Type="http://schemas.openxmlformats.org/officeDocument/2006/relationships/hyperlink" Target="https://www.itu.int/myworkspace/" TargetMode="External"/><Relationship Id="rId445" Type="http://schemas.openxmlformats.org/officeDocument/2006/relationships/hyperlink" Target="https://www.itu.int/md/meetingdoc.asp?lang=en&amp;parent=S17-RCLINTPOL9-C-0002" TargetMode="External"/><Relationship Id="rId652" Type="http://schemas.openxmlformats.org/officeDocument/2006/relationships/hyperlink" Target="https://www.itu.int/dms_pub/itu-s/md/18/cl/c/S18-CL-C-0035!!PDF-E.pdf" TargetMode="External"/><Relationship Id="rId291" Type="http://schemas.openxmlformats.org/officeDocument/2006/relationships/hyperlink" Target="https://www.itu.int/ITU-T/recommendations/index_sg.aspx?sg=9" TargetMode="External"/><Relationship Id="rId305" Type="http://schemas.openxmlformats.org/officeDocument/2006/relationships/hyperlink" Target="https://www.itu.int/en/ITU-T/Workshops-and-Seminars/bsg/20191022/Pages/default.aspx" TargetMode="External"/><Relationship Id="rId512" Type="http://schemas.openxmlformats.org/officeDocument/2006/relationships/hyperlink" Target="https://www.itu.int/md/meetingdoc.asp?lang=en&amp;parent=S18-CL-C-0054" TargetMode="External"/><Relationship Id="rId957" Type="http://schemas.openxmlformats.org/officeDocument/2006/relationships/hyperlink" Target="https://www.itu.int/en/ITU-T/Workshops-and-Seminars/20180917/Pages/default.aspx" TargetMode="External"/><Relationship Id="rId86" Type="http://schemas.openxmlformats.org/officeDocument/2006/relationships/hyperlink" Target="https://www.itu.int/md/T17-TSAG-200921-TD-GEN-0803" TargetMode="External"/><Relationship Id="rId151" Type="http://schemas.openxmlformats.org/officeDocument/2006/relationships/hyperlink" Target="mailto:http://www.worldstandardscooperation.org/" TargetMode="External"/><Relationship Id="rId389" Type="http://schemas.openxmlformats.org/officeDocument/2006/relationships/hyperlink" Target="https://www.itu.int/md/meetingdoc.asp?lang=en&amp;parent=S19-CL-C-0033" TargetMode="External"/><Relationship Id="rId596" Type="http://schemas.openxmlformats.org/officeDocument/2006/relationships/hyperlink" Target="https://www.itu.int/en/ITU-T/Workshops-and-Seminars/gsw/202112/Pages/day-03.aspx" TargetMode="External"/><Relationship Id="rId817" Type="http://schemas.openxmlformats.org/officeDocument/2006/relationships/hyperlink" Target="https://www.itu.int/en/ITU-T/Workshops-and-Seminars/201707/Pages/default.aspx" TargetMode="External"/><Relationship Id="rId1002" Type="http://schemas.openxmlformats.org/officeDocument/2006/relationships/hyperlink" Target="https://www.itu.int/en/ITU-T/climatechange/Pages/publications.aspx" TargetMode="External"/><Relationship Id="rId249" Type="http://schemas.openxmlformats.org/officeDocument/2006/relationships/hyperlink" Target="https://www.itu.int/search" TargetMode="External"/><Relationship Id="rId456" Type="http://schemas.openxmlformats.org/officeDocument/2006/relationships/hyperlink" Target="https://www.itu.int/md/meetingdoc.asp?lang=en&amp;parent=S20-CL-C-0033" TargetMode="External"/><Relationship Id="rId663" Type="http://schemas.openxmlformats.org/officeDocument/2006/relationships/hyperlink" Target="https://www.itu.int/en/ITU-D/Regional-Presence/CIS/Pages/Events/2021/SPB-Oct.aspx" TargetMode="External"/><Relationship Id="rId870" Type="http://schemas.openxmlformats.org/officeDocument/2006/relationships/hyperlink" Target="https://www.itu.int/itu-t/workprog/wp_search.aspx?isn_sp=3925&amp;isn_sg=3935&amp;isn_status=-1,2&amp;sum=IoT&amp;details=0&amp;field=acdefghijo" TargetMode="External"/><Relationship Id="rId13" Type="http://schemas.openxmlformats.org/officeDocument/2006/relationships/settings" Target="settings.xml"/><Relationship Id="rId109" Type="http://schemas.openxmlformats.org/officeDocument/2006/relationships/hyperlink" Target="https://www.itu.int/md/meetingdoc.asp?lang=en&amp;parent=T17-TSAG-170501-TD-GEN-0094" TargetMode="External"/><Relationship Id="rId316" Type="http://schemas.openxmlformats.org/officeDocument/2006/relationships/hyperlink" Target="https://www.itu.int/en/ITU-T/Workshops-and-Seminars/bsg/201710/Pages/default.aspx" TargetMode="External"/><Relationship Id="rId523" Type="http://schemas.openxmlformats.org/officeDocument/2006/relationships/hyperlink" Target="https://www.itu.int/en/ITU-T/studygroups/2017-2020/05/sg5rgafr/20190829/Pages/default.aspx" TargetMode="External"/><Relationship Id="rId968" Type="http://schemas.openxmlformats.org/officeDocument/2006/relationships/hyperlink" Target="https://www.itu.int/en/ITU-T/Workshops-and-Seminars/gsw/201910/Pages/programme-05.aspx" TargetMode="External"/><Relationship Id="rId97" Type="http://schemas.openxmlformats.org/officeDocument/2006/relationships/hyperlink" Target="https://www.itu.int/md/meetingdoc.asp?lang=en&amp;parent=T17-TSAG-190923-TD-GEN-0568" TargetMode="External"/><Relationship Id="rId730" Type="http://schemas.openxmlformats.org/officeDocument/2006/relationships/hyperlink" Target="https://www.itu.int/md/S21-EGITR5-INF-0001" TargetMode="External"/><Relationship Id="rId828" Type="http://schemas.openxmlformats.org/officeDocument/2006/relationships/hyperlink" Target="http://www.itu.int/en/ITU-T/Workshops-and-Seminars/conformity-interoperability/20150112/Pages/default.aspx" TargetMode="External"/><Relationship Id="rId162" Type="http://schemas.openxmlformats.org/officeDocument/2006/relationships/hyperlink" Target="http://www.itu.int/itu-t/workprog/wp_item.aspx?isn=16372" TargetMode="External"/><Relationship Id="rId467" Type="http://schemas.openxmlformats.org/officeDocument/2006/relationships/hyperlink" Target="https://www.itu.int/md/T17-SG11-211201-TD-GEN-1874/en" TargetMode="External"/><Relationship Id="rId674" Type="http://schemas.openxmlformats.org/officeDocument/2006/relationships/hyperlink" Target="https://www.itu.int/en/ITU-T/Workshops-and-Seminars/standardization/20180326/Pages/default.aspx" TargetMode="External"/><Relationship Id="rId881" Type="http://schemas.openxmlformats.org/officeDocument/2006/relationships/hyperlink" Target="https://www.worldsmartcity.org/2017event/" TargetMode="External"/><Relationship Id="rId979" Type="http://schemas.openxmlformats.org/officeDocument/2006/relationships/hyperlink" Target="https://www.itu.int/en/ITU-T/climatechange/Pages/20201207.aspx" TargetMode="External"/><Relationship Id="rId24" Type="http://schemas.openxmlformats.org/officeDocument/2006/relationships/hyperlink" Target="https://www.itu.int/md/S21-DM-CIR-01019" TargetMode="External"/><Relationship Id="rId327" Type="http://schemas.openxmlformats.org/officeDocument/2006/relationships/hyperlink" Target="https://www.itu.int/en/ITU-T/Workshops-and-Seminars/bsg/20180506/Pages/default.aspx" TargetMode="External"/><Relationship Id="rId534" Type="http://schemas.openxmlformats.org/officeDocument/2006/relationships/hyperlink" Target="https://www.itu.int/en/ITU-T/climatechange/resources/Pages/env-and-ssc.aspx" TargetMode="External"/><Relationship Id="rId741" Type="http://schemas.openxmlformats.org/officeDocument/2006/relationships/hyperlink" Target="http://www.itu.int/itu-t/workprog/wp_item.aspx?isn=16353" TargetMode="External"/><Relationship Id="rId839" Type="http://schemas.openxmlformats.org/officeDocument/2006/relationships/hyperlink" Target="https://www.itu.int/md/T17-TSB-CIR-0062/en" TargetMode="External"/><Relationship Id="rId173" Type="http://schemas.openxmlformats.org/officeDocument/2006/relationships/hyperlink" Target="https://www.itu.int/net/ITU-T/misuse/table.aspx" TargetMode="External"/><Relationship Id="rId380" Type="http://schemas.openxmlformats.org/officeDocument/2006/relationships/hyperlink" Target="https://www.itu.int/md/meetingdoc.asp?lang=en&amp;parent=T17-TSAG-170501-TD-GEN-0093" TargetMode="External"/><Relationship Id="rId601" Type="http://schemas.openxmlformats.org/officeDocument/2006/relationships/hyperlink" Target="http://www.itu.int/en/ITU-T/climatechange/task-force-sc/Pages/default.aspx" TargetMode="External"/><Relationship Id="rId240" Type="http://schemas.openxmlformats.org/officeDocument/2006/relationships/hyperlink" Target="https://www.itu.int/myworkspace/" TargetMode="External"/><Relationship Id="rId478" Type="http://schemas.openxmlformats.org/officeDocument/2006/relationships/hyperlink" Target="http://www.itu.int/en/ITU-T/tsbdir/cto/Documents/final_communique.pdf" TargetMode="External"/><Relationship Id="rId685" Type="http://schemas.openxmlformats.org/officeDocument/2006/relationships/hyperlink" Target="https://www.itu.int/en/ITU-T/webinars/Pages/dt4cc.aspx" TargetMode="External"/><Relationship Id="rId892" Type="http://schemas.openxmlformats.org/officeDocument/2006/relationships/hyperlink" Target="https://www.itu.int/en/ITU-T/webinars/20211208/Pages/default.aspx" TargetMode="External"/><Relationship Id="rId906" Type="http://schemas.openxmlformats.org/officeDocument/2006/relationships/hyperlink" Target="https://www.itu.int/en/ITU-T/ssc/united/Pages/city-science-case-studies.aspx" TargetMode="External"/><Relationship Id="rId35" Type="http://schemas.openxmlformats.org/officeDocument/2006/relationships/hyperlink" Target="https://www.itu.int/md/T17-TSAG-181210-TD-GEN-0365" TargetMode="External"/><Relationship Id="rId100" Type="http://schemas.openxmlformats.org/officeDocument/2006/relationships/hyperlink" Target="https://www.itu.int/md/T17-TSAG-200921-TD-GEN-0804" TargetMode="External"/><Relationship Id="rId338" Type="http://schemas.openxmlformats.org/officeDocument/2006/relationships/hyperlink" Target="https://www.itu.int/en/ITU-T/Workshops-and-Seminars/gsw/201910/Pages/default.aspx" TargetMode="External"/><Relationship Id="rId545" Type="http://schemas.openxmlformats.org/officeDocument/2006/relationships/hyperlink" Target="https://www.itu.int/en/ITU-T/studygroups/2017-2020/20/sg20rgafr/Pages/default.aspx" TargetMode="External"/><Relationship Id="rId752" Type="http://schemas.openxmlformats.org/officeDocument/2006/relationships/hyperlink" Target="https://itu.int/ITU-T/workprog/wp_search.aspx?sg=16&amp;q=22" TargetMode="External"/><Relationship Id="rId184" Type="http://schemas.openxmlformats.org/officeDocument/2006/relationships/hyperlink" Target="https://www.itu.int/md/meetingdoc.asp?lang=en&amp;parent=T17-WTSA.20-C-0025" TargetMode="External"/><Relationship Id="rId391" Type="http://schemas.openxmlformats.org/officeDocument/2006/relationships/hyperlink" Target="https://www.itu.int/md/meetingdoc.asp?lang=en&amp;parent=S21-CL-C-0018" TargetMode="External"/><Relationship Id="rId405" Type="http://schemas.openxmlformats.org/officeDocument/2006/relationships/hyperlink" Target="https://www.itu.int/en/ITU-T/Workshops-and-Seminars/bsg/2019040405/Pages/default.aspx" TargetMode="External"/><Relationship Id="rId612" Type="http://schemas.openxmlformats.org/officeDocument/2006/relationships/hyperlink" Target="https://www.itu.int/en/ITU-T/Workshops-and-Seminars/iot/201703/Documents/Presentations/S5-1-Gyu%20Myoung%20Lee-Trust-in-IoT.pdf" TargetMode="External"/><Relationship Id="rId251" Type="http://schemas.openxmlformats.org/officeDocument/2006/relationships/hyperlink" Target="https://www.itu.int/search" TargetMode="External"/><Relationship Id="rId489" Type="http://schemas.openxmlformats.org/officeDocument/2006/relationships/hyperlink" Target="https://www.itu.int/rec/T-REC-F.921" TargetMode="External"/><Relationship Id="rId696" Type="http://schemas.openxmlformats.org/officeDocument/2006/relationships/hyperlink" Target="https://www.itu.int/en/ITU-T/Workshops-and-Seminars/gsw/202112/Pages/day-01.aspx" TargetMode="External"/><Relationship Id="rId917" Type="http://schemas.openxmlformats.org/officeDocument/2006/relationships/hyperlink" Target="https://www.itu.int/en/publications/Documents/tsb/2020-U4SSC-Case-study-Energy-efficiency-in-buildings/index.html" TargetMode="External"/><Relationship Id="rId46" Type="http://schemas.openxmlformats.org/officeDocument/2006/relationships/hyperlink" Target="https://www.itu.int/md/T17-TSAG-211025-TD-GEN-1040" TargetMode="External"/><Relationship Id="rId349" Type="http://schemas.openxmlformats.org/officeDocument/2006/relationships/hyperlink" Target="https://www.itu.int/ifa/t/2017/ls/tsag/sp16-tsag-oLS-00011.zip" TargetMode="External"/><Relationship Id="rId556" Type="http://schemas.openxmlformats.org/officeDocument/2006/relationships/hyperlink" Target="http://www.un.org/sustainabledevelopment/blog/2016/10/newurbanagenda/" TargetMode="External"/><Relationship Id="rId763" Type="http://schemas.openxmlformats.org/officeDocument/2006/relationships/hyperlink" Target="https://www.itu.int/en/ITU-T/extcoop/figisymposium/Documents/Methodology%20for%20inter-operator%20and%20cross-border%20P2P%20money%20transfers.pdf" TargetMode="External"/><Relationship Id="rId111" Type="http://schemas.openxmlformats.org/officeDocument/2006/relationships/hyperlink" Target="https://www.itu.int/md/T17-TSAG-180226-TD-GEN-0236" TargetMode="External"/><Relationship Id="rId195" Type="http://schemas.openxmlformats.org/officeDocument/2006/relationships/hyperlink" Target="https://www.itu.int/md/T17-TSAG-190923-TD-GEN-0467" TargetMode="External"/><Relationship Id="rId209" Type="http://schemas.openxmlformats.org/officeDocument/2006/relationships/hyperlink" Target="https://www.itu.int/ifa/t/2017/ls/tsag/sp16-tsag-oLS-00023.zip" TargetMode="External"/><Relationship Id="rId416" Type="http://schemas.openxmlformats.org/officeDocument/2006/relationships/hyperlink" Target="https://www.itu.int/en/ITU-T/Workshops-and-Seminars/bsg/112017/Pages/default.aspx" TargetMode="External"/><Relationship Id="rId970" Type="http://schemas.openxmlformats.org/officeDocument/2006/relationships/hyperlink" Target="https://www.itu.int/en/ITU-T/Workshops-and-Seminars/gsw/201910/Documents/9thGSW2019-Valencia-CalltoAction-EN.pdf" TargetMode="External"/><Relationship Id="rId623" Type="http://schemas.openxmlformats.org/officeDocument/2006/relationships/hyperlink" Target="https://www.itu.int/md/meetingdoc.asp?lang=en&amp;parent=S17-CL-C-0047" TargetMode="External"/><Relationship Id="rId830" Type="http://schemas.openxmlformats.org/officeDocument/2006/relationships/hyperlink" Target="https://www.itu.int/md/T17-TSAG-180226-TD-GEN-0235/en" TargetMode="External"/><Relationship Id="rId928" Type="http://schemas.openxmlformats.org/officeDocument/2006/relationships/hyperlink" Target="https://www.itu.int/en/publications/Documents/tsb/2021-A-U4SSC-deliverable-Guidelines-on-tools-and-mechanisms-to-finance-SSC-projects/index.html" TargetMode="External"/><Relationship Id="rId57" Type="http://schemas.openxmlformats.org/officeDocument/2006/relationships/hyperlink" Target="https://www.itu.int/md/T17-TSAG-181210-TD-GEN-0303" TargetMode="External"/><Relationship Id="rId262" Type="http://schemas.openxmlformats.org/officeDocument/2006/relationships/hyperlink" Target="https://www.itu.int/en/ITU-T/climatechange" TargetMode="External"/><Relationship Id="rId567" Type="http://schemas.openxmlformats.org/officeDocument/2006/relationships/hyperlink" Target="https://www.itu.int/en/ITU-T/climatechange/symposia/201905/Documents/Call_for_Action_CH.pdf" TargetMode="External"/><Relationship Id="rId122" Type="http://schemas.openxmlformats.org/officeDocument/2006/relationships/hyperlink" Target="https://www.itu.int/md/T17-TSAG-200210-TD-GEN-0672" TargetMode="External"/><Relationship Id="rId774" Type="http://schemas.openxmlformats.org/officeDocument/2006/relationships/hyperlink" Target="https://www.itu.int/en/ITU-T/extcoop/dcgi/Pages/default.aspx" TargetMode="External"/><Relationship Id="rId981" Type="http://schemas.openxmlformats.org/officeDocument/2006/relationships/hyperlink" Target="https://www.itu.int/net4/wsis/forum/2021/Agenda/Session/249" TargetMode="External"/><Relationship Id="rId427" Type="http://schemas.openxmlformats.org/officeDocument/2006/relationships/hyperlink" Target="https://www.itu.int/en/ITU-T/Workshops-and-Seminars/20180604/Pages/default.aspx" TargetMode="External"/><Relationship Id="rId634" Type="http://schemas.openxmlformats.org/officeDocument/2006/relationships/hyperlink" Target="https://www.itu.int/md/T17-TSAG-170501-TD-GEN-0041" TargetMode="External"/><Relationship Id="rId841" Type="http://schemas.openxmlformats.org/officeDocument/2006/relationships/hyperlink" Target="https://www.itu.int/en/ITU-T/studygroups/2017-2020/12/Pages/1805-summary.aspx" TargetMode="External"/><Relationship Id="rId273" Type="http://schemas.openxmlformats.org/officeDocument/2006/relationships/hyperlink" Target="https://www.itu.int/en/ITU-T/studygroups/2017-2020/12/Pages/resolution95.aspx" TargetMode="External"/><Relationship Id="rId480" Type="http://schemas.openxmlformats.org/officeDocument/2006/relationships/hyperlink" Target="https://www.itu.int/en/ITU-T/tsbdir/cto/Documents/Communique_CTO_.pdf" TargetMode="External"/><Relationship Id="rId701" Type="http://schemas.openxmlformats.org/officeDocument/2006/relationships/hyperlink" Target="https://www.itu.int/md/T13-WTSA.16-C-0059/en" TargetMode="External"/><Relationship Id="rId939" Type="http://schemas.openxmlformats.org/officeDocument/2006/relationships/hyperlink" Target="https://www.itu.int/en/ITU-T/ssc/united/Documents/pully-under-the-microscope-u4ssc-E.pdf" TargetMode="External"/><Relationship Id="rId68" Type="http://schemas.openxmlformats.org/officeDocument/2006/relationships/hyperlink" Target="https://www.itu.int/md/T17-TSAG-190923-TD-GEN-0481" TargetMode="External"/><Relationship Id="rId133" Type="http://schemas.openxmlformats.org/officeDocument/2006/relationships/hyperlink" Target="https://www.itu.int/md/T17-TSAG-200210-TD-GEN-0672" TargetMode="External"/><Relationship Id="rId340" Type="http://schemas.openxmlformats.org/officeDocument/2006/relationships/hyperlink" Target="https://www.itu.int/en/ITU-T/Workshops-and-Seminars/gsw/201910/Documents/9thGSW2019-Valencia-CalltoAction-AR.pdf" TargetMode="External"/><Relationship Id="rId578" Type="http://schemas.openxmlformats.org/officeDocument/2006/relationships/hyperlink" Target="https://www.itu.int/en/ITU-T/Workshops-and-Seminars/gsw/201910/Pages/programme-07.aspx" TargetMode="External"/><Relationship Id="rId785" Type="http://schemas.openxmlformats.org/officeDocument/2006/relationships/hyperlink" Target="https://figi.itu.int/event/cybersecurity-and-trust/" TargetMode="External"/><Relationship Id="rId992" Type="http://schemas.openxmlformats.org/officeDocument/2006/relationships/hyperlink" Target="https://www.itu.int/en/ITU-T/webinars/20210924/Pages/default.aspx" TargetMode="External"/><Relationship Id="rId200" Type="http://schemas.openxmlformats.org/officeDocument/2006/relationships/hyperlink" Target="https://www.itu.int/md/meetingdoc.asp?lang=en&amp;parent=T17-TSAG-180226-TD-GEN-0133" TargetMode="External"/><Relationship Id="rId438" Type="http://schemas.openxmlformats.org/officeDocument/2006/relationships/hyperlink" Target="http://www.itu.int/ITU-T/studygroups/com17/nfvo/index.html" TargetMode="External"/><Relationship Id="rId645" Type="http://schemas.openxmlformats.org/officeDocument/2006/relationships/hyperlink" Target="https://www.itu.int/md/meetingdoc.asp?lang=en&amp;parent=S20-CL-C-0035" TargetMode="External"/><Relationship Id="rId852" Type="http://schemas.openxmlformats.org/officeDocument/2006/relationships/hyperlink" Target="https://www.itu.int/md/T17-SG11RG.AFR-R-0002/en" TargetMode="External"/><Relationship Id="rId284" Type="http://schemas.openxmlformats.org/officeDocument/2006/relationships/hyperlink" Target="https://www.itu.int/en/ITU-T/gap/Documents/nss-rep-may.pdf" TargetMode="External"/><Relationship Id="rId491" Type="http://schemas.openxmlformats.org/officeDocument/2006/relationships/hyperlink" Target="https://itu.int/pub/T-TUT-FSTP" TargetMode="External"/><Relationship Id="rId505" Type="http://schemas.openxmlformats.org/officeDocument/2006/relationships/hyperlink" Target="https://www.itu.int/en/ITU-D/Regional-Presence/Americas/Pages/EVENTS/2019/23940.aspx" TargetMode="External"/><Relationship Id="rId712" Type="http://schemas.openxmlformats.org/officeDocument/2006/relationships/hyperlink" Target="https://www.itu.int/md/meetingdoc.asp?lang=en&amp;parent=T17-TSAG-220110-TD-GEN-1186" TargetMode="External"/><Relationship Id="rId79" Type="http://schemas.openxmlformats.org/officeDocument/2006/relationships/hyperlink" Target="https://www.itu.int/md/T17-TSAG-210111-TD-GEN-0945" TargetMode="External"/><Relationship Id="rId144" Type="http://schemas.openxmlformats.org/officeDocument/2006/relationships/hyperlink" Target="https://www.itu.int/en/ITU-T/studygroups/2017-2020/16/Pages/video/jctvc.aspx" TargetMode="External"/><Relationship Id="rId589" Type="http://schemas.openxmlformats.org/officeDocument/2006/relationships/hyperlink" Target="https://www.itu.int/en/ITU-T/studygroups/2017-2020/05/Pages/ITU-T-SG5-side-event-on-Vienna-Energy-Forum.aspx" TargetMode="External"/><Relationship Id="rId796" Type="http://schemas.openxmlformats.org/officeDocument/2006/relationships/hyperlink" Target="https://www.itu.int/md/meetingdoc.asp?lang=en&amp;parent=T17-TSAG-180226-TD-GEN-0180" TargetMode="External"/><Relationship Id="rId351" Type="http://schemas.openxmlformats.org/officeDocument/2006/relationships/hyperlink" Target="https://www.itu.int/ifa/t/2017/ls/tsag/sp16-tsag-oLS-00022.zip" TargetMode="External"/><Relationship Id="rId449" Type="http://schemas.openxmlformats.org/officeDocument/2006/relationships/hyperlink" Target="https://www.itu.int/md/meetingdoc.asp?lang=en&amp;parent=S19-RCLINTPOL13-C-0003" TargetMode="External"/><Relationship Id="rId656" Type="http://schemas.openxmlformats.org/officeDocument/2006/relationships/hyperlink" Target="http://www.itu.int/net/itu-t/cdb/ConformityDB.aspx" TargetMode="External"/><Relationship Id="rId863" Type="http://schemas.openxmlformats.org/officeDocument/2006/relationships/hyperlink" Target="https://www.itu.int/en/ITU-T/Workshops-and-Seminars/20180423/Pages/default.aspx" TargetMode="External"/><Relationship Id="rId211" Type="http://schemas.openxmlformats.org/officeDocument/2006/relationships/hyperlink" Target="https://www.itu.int/md/meetingdoc.asp?lang=en&amp;parent=T17-TSAG-170501-TD-GEN-0025" TargetMode="External"/><Relationship Id="rId295" Type="http://schemas.openxmlformats.org/officeDocument/2006/relationships/hyperlink" Target="http://www.itu.int/pub/publications.aspx?lang=en&amp;parent=T-TUT-SEC-2016" TargetMode="External"/><Relationship Id="rId309" Type="http://schemas.openxmlformats.org/officeDocument/2006/relationships/hyperlink" Target="https://www.itu.int/en/ITU-T/Workshops-and-Seminars/bsg/201703/Pages/default.aspx" TargetMode="External"/><Relationship Id="rId516" Type="http://schemas.openxmlformats.org/officeDocument/2006/relationships/hyperlink" Target="https://www.itu.int/en/general-secretariat/Pages/intersectoral-coordination.aspx" TargetMode="External"/><Relationship Id="rId723" Type="http://schemas.openxmlformats.org/officeDocument/2006/relationships/hyperlink" Target="https://itu.int/go/fgai4a" TargetMode="External"/><Relationship Id="rId930" Type="http://schemas.openxmlformats.org/officeDocument/2006/relationships/hyperlink" Target="https://www.itu.int/en/publications/Documents/tsb/2021-U4SSC-Compendium-of-survey-results/index.html" TargetMode="External"/><Relationship Id="rId1006" Type="http://schemas.openxmlformats.org/officeDocument/2006/relationships/footer" Target="footer3.xml"/><Relationship Id="rId155" Type="http://schemas.openxmlformats.org/officeDocument/2006/relationships/hyperlink" Target="https://www.itu.int/ITU-T/workprog/wp_item.aspx?isn=14438" TargetMode="External"/><Relationship Id="rId362" Type="http://schemas.openxmlformats.org/officeDocument/2006/relationships/hyperlink" Target="https://www.itu.int/md/meetingdoc.asp?lang=en&amp;parent=S19-CL-C-0018" TargetMode="External"/><Relationship Id="rId222" Type="http://schemas.openxmlformats.org/officeDocument/2006/relationships/hyperlink" Target="https://www.itu.int/md/T17-TSAG-200921-TD-GEN-0792" TargetMode="External"/><Relationship Id="rId667" Type="http://schemas.openxmlformats.org/officeDocument/2006/relationships/hyperlink" Target="https://www.itu.int/en/ITU-T/studygroups/2013-2016/11/Pages/CASC.aspx" TargetMode="External"/><Relationship Id="rId874" Type="http://schemas.openxmlformats.org/officeDocument/2006/relationships/hyperlink" Target="https://www.itu.int/net4/itu-t/landscape" TargetMode="External"/><Relationship Id="rId17" Type="http://schemas.openxmlformats.org/officeDocument/2006/relationships/header" Target="header1.xml"/><Relationship Id="rId527" Type="http://schemas.openxmlformats.org/officeDocument/2006/relationships/hyperlink" Target="https://www.itu.int/rec/T-REC-K.Sup14-201909-I" TargetMode="External"/><Relationship Id="rId734" Type="http://schemas.openxmlformats.org/officeDocument/2006/relationships/hyperlink" Target="https://www.itu.int/ifa/t/2017/ls/tsag/sp16-tsag-oLS-00008.docx" TargetMode="External"/><Relationship Id="rId941" Type="http://schemas.openxmlformats.org/officeDocument/2006/relationships/hyperlink" Target="https://www.itu.int/en/ITU-T/climatechange/resources/Pages/env-and-ssc.aspx" TargetMode="External"/><Relationship Id="rId70" Type="http://schemas.openxmlformats.org/officeDocument/2006/relationships/hyperlink" Target="https://www.itu.int/md/T17-TSAG-200921-TD-GEN-0801" TargetMode="External"/><Relationship Id="rId166" Type="http://schemas.openxmlformats.org/officeDocument/2006/relationships/hyperlink" Target="https://www.itu.int/ifa/t/2017/ls/tsag/sp16-tsag-oLS-00022.zip" TargetMode="External"/><Relationship Id="rId373" Type="http://schemas.openxmlformats.org/officeDocument/2006/relationships/hyperlink" Target="https://www.itu.int/md/T17-TSAG-190923-TD-GEN-0485" TargetMode="External"/><Relationship Id="rId580" Type="http://schemas.openxmlformats.org/officeDocument/2006/relationships/hyperlink" Target="https://www.itu.int/en/ITU-T/Workshops-and-Seminars/gsw/201910/Pages/programme-08.aspx" TargetMode="External"/><Relationship Id="rId801" Type="http://schemas.openxmlformats.org/officeDocument/2006/relationships/hyperlink" Target="https://www.itu.int/md/meetingdoc.asp?lang=en&amp;parent=T17-TSAG-180226-TD-GEN-0189" TargetMode="External"/><Relationship Id="rId1" Type="http://schemas.openxmlformats.org/officeDocument/2006/relationships/customXml" Target="../customXml/item1.xml"/><Relationship Id="rId233" Type="http://schemas.openxmlformats.org/officeDocument/2006/relationships/hyperlink" Target="https://www.itu.int/myworkspace/" TargetMode="External"/><Relationship Id="rId440" Type="http://schemas.openxmlformats.org/officeDocument/2006/relationships/hyperlink" Target="https://www.itu.int/md/T17-SG02-180704-TD-GEN-0398/en" TargetMode="External"/><Relationship Id="rId678" Type="http://schemas.openxmlformats.org/officeDocument/2006/relationships/hyperlink" Target="https://www.itu.int/en/ITU-T/studygroups/2017-2020/16/Pages/workshops.aspx" TargetMode="External"/><Relationship Id="rId885" Type="http://schemas.openxmlformats.org/officeDocument/2006/relationships/hyperlink" Target="https://www.itu.int/en/publications/Documents/tsb/2016-DubaiCase/index.html" TargetMode="External"/><Relationship Id="rId28" Type="http://schemas.openxmlformats.org/officeDocument/2006/relationships/hyperlink" Target="https://www.itu.int/md/meetingdoc.asp?lang=en&amp;parent=T17-WTSA.20-C-0028" TargetMode="External"/><Relationship Id="rId300" Type="http://schemas.openxmlformats.org/officeDocument/2006/relationships/hyperlink" Target="https://www.itu.int/en/ITU-T/Workshops-and-Seminars/bsg" TargetMode="External"/><Relationship Id="rId538" Type="http://schemas.openxmlformats.org/officeDocument/2006/relationships/hyperlink" Target="https://www.itu.int/en/ITU-T/Workshops-and-Seminars/sg05rg/sdtd/20210928/Pages/default.aspx" TargetMode="External"/><Relationship Id="rId745" Type="http://schemas.openxmlformats.org/officeDocument/2006/relationships/hyperlink" Target="http://www.itu.int/itu-t/workprog/wp_item.aspx?isn=16656" TargetMode="External"/><Relationship Id="rId952" Type="http://schemas.openxmlformats.org/officeDocument/2006/relationships/hyperlink" Target="https://www.itu.int/en/ITU-T/Workshops-and-Seminars/20180531/Pages/Programme.aspx" TargetMode="External"/><Relationship Id="rId81" Type="http://schemas.openxmlformats.org/officeDocument/2006/relationships/hyperlink" Target="https://www.itu.int/md/T17-TSAG-170501-TD-GEN-0052" TargetMode="External"/><Relationship Id="rId177" Type="http://schemas.openxmlformats.org/officeDocument/2006/relationships/hyperlink" Target="https://www.itu.int/ifa/t/2017/ls/tsag/sp16-tsag-oLS-00032.zip" TargetMode="External"/><Relationship Id="rId384" Type="http://schemas.openxmlformats.org/officeDocument/2006/relationships/hyperlink" Target="https://www.itu.int/md/T17-TSAG-210111-TD-GEN-0947" TargetMode="External"/><Relationship Id="rId591" Type="http://schemas.openxmlformats.org/officeDocument/2006/relationships/hyperlink" Target="https://www.itu.int/en/ITU-T/Workshops-and-Seminars/sg05rg/sdtd/20210928/Pages/default.aspx" TargetMode="External"/><Relationship Id="rId605" Type="http://schemas.openxmlformats.org/officeDocument/2006/relationships/hyperlink" Target="http://newslog.itu.int/archives/1493" TargetMode="External"/><Relationship Id="rId812" Type="http://schemas.openxmlformats.org/officeDocument/2006/relationships/hyperlink" Target="https://www.itu.int/en/ITU-T/focusgroups/net2030/Documents/White_Paper.pdf" TargetMode="External"/><Relationship Id="rId244" Type="http://schemas.openxmlformats.org/officeDocument/2006/relationships/hyperlink" Target="https://www.itu.int/md/meetingdoc.asp?lang=en&amp;parent=S17-CL-C-0029" TargetMode="External"/><Relationship Id="rId689" Type="http://schemas.openxmlformats.org/officeDocument/2006/relationships/hyperlink" Target="https://www.itu.int/dms_pub/itu-d/opb/phcb/D-PHCB-SAFE_LIS.01-2019-PDF-E.pdf" TargetMode="External"/><Relationship Id="rId896" Type="http://schemas.openxmlformats.org/officeDocument/2006/relationships/hyperlink" Target="https://www.itu.int/en/ITU-T/climatechange/Pages/events.aspx" TargetMode="External"/><Relationship Id="rId39" Type="http://schemas.openxmlformats.org/officeDocument/2006/relationships/hyperlink" Target="https://www.itu.int/md/T17-TSAG-210111-TD-GEN-0942" TargetMode="External"/><Relationship Id="rId451" Type="http://schemas.openxmlformats.org/officeDocument/2006/relationships/hyperlink" Target="https://www.itu.int/md/meetingdoc.asp?lang=en&amp;parent=S21-RCLINTPOL15-C-0002" TargetMode="External"/><Relationship Id="rId549" Type="http://schemas.openxmlformats.org/officeDocument/2006/relationships/hyperlink" Target="https://www.itu.int/en/ITU-T/climatechange/resources/Pages/env-and-ssc.aspx" TargetMode="External"/><Relationship Id="rId756" Type="http://schemas.openxmlformats.org/officeDocument/2006/relationships/hyperlink" Target="https://figi.itu.int/working-group-reports/" TargetMode="External"/><Relationship Id="rId104" Type="http://schemas.openxmlformats.org/officeDocument/2006/relationships/hyperlink" Target="https://www.itu.int/md/T17-TSAG-190923-TD-GEN-0484" TargetMode="External"/><Relationship Id="rId188" Type="http://schemas.openxmlformats.org/officeDocument/2006/relationships/hyperlink" Target="https://www.itu.int/md/meetingdoc.asp?lang=en&amp;parent=T17-TSAG-181210-TD-GEN-0293" TargetMode="External"/><Relationship Id="rId311" Type="http://schemas.openxmlformats.org/officeDocument/2006/relationships/hyperlink" Target="https://www.itu.int/en/ITU-T/Workshops-and-Seminars/bsg/201703/Pages/default.aspx" TargetMode="External"/><Relationship Id="rId395" Type="http://schemas.openxmlformats.org/officeDocument/2006/relationships/hyperlink" Target="https://www.itu.int/en/ITU-D/Regional-Presence/CIS/Pages/EVENTS/2020/03_Minsk/03_Minsk.aspx" TargetMode="External"/><Relationship Id="rId409" Type="http://schemas.openxmlformats.org/officeDocument/2006/relationships/hyperlink" Target="https://www.itu.int/en/ITU-T/Workshops-and-Seminars/bsg/201703/Pages/default.aspx" TargetMode="External"/><Relationship Id="rId963" Type="http://schemas.openxmlformats.org/officeDocument/2006/relationships/hyperlink" Target="https://www.itu.int/en/ITU-T/Workshops-and-Seminars/gsw/201910/Pages/programme-02.aspx" TargetMode="External"/><Relationship Id="rId92" Type="http://schemas.openxmlformats.org/officeDocument/2006/relationships/hyperlink" Target="https://www.itu.int/md/T17-TSAG-170501-TD-GEN-0008" TargetMode="External"/><Relationship Id="rId616" Type="http://schemas.openxmlformats.org/officeDocument/2006/relationships/hyperlink" Target="https://www.itu.int/net4/wsis/forum/2021/Agenda/Session/249" TargetMode="External"/><Relationship Id="rId823" Type="http://schemas.openxmlformats.org/officeDocument/2006/relationships/hyperlink" Target="https://www.itu.int/en/ITU-D/Regional-Presence/CIS/Pages/EVENTS/2018/10_Samarkand/10_Samarkand.aspx" TargetMode="External"/><Relationship Id="rId255" Type="http://schemas.openxmlformats.org/officeDocument/2006/relationships/hyperlink" Target="https://www.itu.int/myworkspace/" TargetMode="External"/><Relationship Id="rId462" Type="http://schemas.openxmlformats.org/officeDocument/2006/relationships/hyperlink" Target="https://www.itu.int/md/S18-CL-C-0033/en" TargetMode="External"/><Relationship Id="rId115" Type="http://schemas.openxmlformats.org/officeDocument/2006/relationships/hyperlink" Target="https://www.itu.int/md/T17-TSAG-181210-TD-GEN-0309" TargetMode="External"/><Relationship Id="rId322" Type="http://schemas.openxmlformats.org/officeDocument/2006/relationships/hyperlink" Target="https://www.itu.int/en/ITU-T/Workshops-and-Seminars/bsg/201712/Pages/default.aspx" TargetMode="External"/><Relationship Id="rId767" Type="http://schemas.openxmlformats.org/officeDocument/2006/relationships/hyperlink" Target="https://figi.itu.int/figi-resources/dfs-security-lab/" TargetMode="External"/><Relationship Id="rId974" Type="http://schemas.openxmlformats.org/officeDocument/2006/relationships/hyperlink" Target="https://www.itu.int/en/ITU-T/Workshops-and-Seminars/gsw/201910/Documents/9thGSW2019-Valencia-CalltoAction-FR.pdf" TargetMode="External"/><Relationship Id="rId199" Type="http://schemas.openxmlformats.org/officeDocument/2006/relationships/hyperlink" Target="https://www.itu.int/md/meetingdoc.asp?lang=en&amp;parent=T17-TSAG-180226-TD-GEN-0215" TargetMode="External"/><Relationship Id="rId627" Type="http://schemas.openxmlformats.org/officeDocument/2006/relationships/hyperlink" Target="https://www.itu.int/md/S17-WSIS31-C-0007" TargetMode="External"/><Relationship Id="rId834" Type="http://schemas.openxmlformats.org/officeDocument/2006/relationships/hyperlink" Target="https://www.itu.int/en/ITU-T/Workshops-and-Seminars/20180917/Pages/default.aspx" TargetMode="External"/><Relationship Id="rId266" Type="http://schemas.openxmlformats.org/officeDocument/2006/relationships/hyperlink" Target="https://www.itu.int/en/ITU-T/ssc/united/Pages/publication-U4SSC-KPIs.aspx" TargetMode="External"/><Relationship Id="rId473" Type="http://schemas.openxmlformats.org/officeDocument/2006/relationships/hyperlink" Target="http://www.itu.int/en/ITU-T/tsbdir/cto/Documents/170330/communique-170330.pdf" TargetMode="External"/><Relationship Id="rId680" Type="http://schemas.openxmlformats.org/officeDocument/2006/relationships/hyperlink" Target="https://www.itu.int/net4/wsis/forum/2018/Pages/Agenda/Session/243" TargetMode="External"/><Relationship Id="rId901" Type="http://schemas.openxmlformats.org/officeDocument/2006/relationships/hyperlink" Target="https://www.itu.int/en/publications/Documents/tsb/2017-U4SSC-Collection-Methodology/mobile/index.html" TargetMode="External"/><Relationship Id="rId30" Type="http://schemas.openxmlformats.org/officeDocument/2006/relationships/hyperlink" Target="https://www.itu.int/md/T17-TSAG-170501-TD-GEN-0007" TargetMode="External"/><Relationship Id="rId126" Type="http://schemas.openxmlformats.org/officeDocument/2006/relationships/hyperlink" Target="https://www.itu.int/md/meetingdoc.asp?lang=en&amp;parent=T17-TSAG-220110-TD-GEN-1200" TargetMode="External"/><Relationship Id="rId333" Type="http://schemas.openxmlformats.org/officeDocument/2006/relationships/hyperlink" Target="https://www.itu.int/en/ITU-T/Workshops-and-Seminars/201811/Pages/default.aspx" TargetMode="External"/><Relationship Id="rId540" Type="http://schemas.openxmlformats.org/officeDocument/2006/relationships/hyperlink" Target="https://www.itu.int/en/ITU-T/Workshops-and-Seminars/sg05rg/sdtd/20210930/Pages/default.aspx" TargetMode="External"/><Relationship Id="rId778" Type="http://schemas.openxmlformats.org/officeDocument/2006/relationships/hyperlink" Target="https://www.itu.int/en/ITU-T/extcoop/figisymposium/2019/Pages/default.aspx" TargetMode="External"/><Relationship Id="rId985" Type="http://schemas.openxmlformats.org/officeDocument/2006/relationships/hyperlink" Target="https://www.iso.org/home.html" TargetMode="External"/><Relationship Id="rId638" Type="http://schemas.openxmlformats.org/officeDocument/2006/relationships/hyperlink" Target="http://www.itu.int/go/pilot-projects" TargetMode="External"/><Relationship Id="rId845" Type="http://schemas.openxmlformats.org/officeDocument/2006/relationships/hyperlink" Target="https://www.itu.int/md/T17-TSB-CIR-0062/en" TargetMode="External"/><Relationship Id="rId277" Type="http://schemas.openxmlformats.org/officeDocument/2006/relationships/hyperlink" Target="https://www.itu.int/en/ITU-T/studygroups/2017-2020/17/Pages/default.aspx" TargetMode="External"/><Relationship Id="rId400" Type="http://schemas.openxmlformats.org/officeDocument/2006/relationships/hyperlink" Target="https://www.itu.int/en/ITU-T/Workshops-and-Seminars/bsg" TargetMode="External"/><Relationship Id="rId484" Type="http://schemas.openxmlformats.org/officeDocument/2006/relationships/hyperlink" Target="https://www.itu.int/net/ITU-T/res69/secured/notifications.aspx" TargetMode="External"/><Relationship Id="rId705" Type="http://schemas.openxmlformats.org/officeDocument/2006/relationships/hyperlink" Target="https://www.itu.int/md/meetingdoc.asp?lang=en&amp;parent=T17-TSAG-180226-TD-GEN-0139" TargetMode="External"/><Relationship Id="rId137" Type="http://schemas.openxmlformats.org/officeDocument/2006/relationships/hyperlink" Target="https://www.itu.int/md/meetingdoc.asp?lang=en&amp;parent=T17-WTSA.20-C-0029" TargetMode="External"/><Relationship Id="rId344" Type="http://schemas.openxmlformats.org/officeDocument/2006/relationships/hyperlink" Target="https://www.itu.int/en/ITU-T/Workshops-and-Seminars/gsw/201910/Documents/9thGSW2019-Valencia-CalltoAction-ES.pdf" TargetMode="External"/><Relationship Id="rId691" Type="http://schemas.openxmlformats.org/officeDocument/2006/relationships/hyperlink" Target="https://www.itu.int/en/ITU-T/jca/mmes/Pages/default.aspx" TargetMode="External"/><Relationship Id="rId789" Type="http://schemas.openxmlformats.org/officeDocument/2006/relationships/hyperlink" Target="https://www.itu.int/en/ITU-T/Workshops-and-Seminars/201912/Pages/default.aspx" TargetMode="External"/><Relationship Id="rId912" Type="http://schemas.openxmlformats.org/officeDocument/2006/relationships/hyperlink" Target="https://www.itu.int/en/publications/Documents/tsb/2019-U4SSC-Smart-Dubai-Rashid-City-Concierge/index.html" TargetMode="External"/><Relationship Id="rId996" Type="http://schemas.openxmlformats.org/officeDocument/2006/relationships/hyperlink" Target="https://www.itu.int/en/ITU-T/webinars/20211208/Pages/default.aspx" TargetMode="External"/><Relationship Id="rId41" Type="http://schemas.openxmlformats.org/officeDocument/2006/relationships/hyperlink" Target="https://www.itu.int/md/meetingdoc.asp?lang=en&amp;parent=T17-TSAG-220110-TD-GEN-1193" TargetMode="External"/><Relationship Id="rId551" Type="http://schemas.openxmlformats.org/officeDocument/2006/relationships/hyperlink" Target="https://www.itu.int/en/ITU-T/climatechange/resources/Pages/env-and-ssc.aspx" TargetMode="External"/><Relationship Id="rId649" Type="http://schemas.openxmlformats.org/officeDocument/2006/relationships/hyperlink" Target="http://www.itu.int/go/citest" TargetMode="External"/><Relationship Id="rId856" Type="http://schemas.openxmlformats.org/officeDocument/2006/relationships/hyperlink" Target="https://www.itu.int/md/meetingdoc.asp?lang=en&amp;parent=S17-CL-C-0024" TargetMode="External"/><Relationship Id="rId190" Type="http://schemas.openxmlformats.org/officeDocument/2006/relationships/hyperlink" Target="https://www.itu.int/md/T17-TSAG-200210-TD-GEN-0659" TargetMode="External"/><Relationship Id="rId204" Type="http://schemas.openxmlformats.org/officeDocument/2006/relationships/hyperlink" Target="https://www.itu.int/md/meetingdoc.asp?lang=en&amp;parent=T17-TSAG-200921-TD-GEN-0810" TargetMode="External"/><Relationship Id="rId246" Type="http://schemas.openxmlformats.org/officeDocument/2006/relationships/hyperlink" Target="https://extranet.itu.int/ITU-T/support/" TargetMode="External"/><Relationship Id="rId288" Type="http://schemas.openxmlformats.org/officeDocument/2006/relationships/hyperlink" Target="https://www.itu.int/en/ITU-T/climatechange/Pages/1st-Digital-African-Week.aspx" TargetMode="External"/><Relationship Id="rId411" Type="http://schemas.openxmlformats.org/officeDocument/2006/relationships/hyperlink" Target="https://www.itu.int/en/ITU-T/Workshops-and-Seminars/bsg/201710/Pages/default.aspx" TargetMode="External"/><Relationship Id="rId453" Type="http://schemas.openxmlformats.org/officeDocument/2006/relationships/hyperlink" Target="https://www.itu.int/md/meetingdoc.asp?lang=en&amp;parent=S17-CL-C-0033" TargetMode="External"/><Relationship Id="rId509" Type="http://schemas.openxmlformats.org/officeDocument/2006/relationships/hyperlink" Target="https://www.itu.int/net4/wsis/forum/2020/Agenda/Session/141" TargetMode="External"/><Relationship Id="rId660" Type="http://schemas.openxmlformats.org/officeDocument/2006/relationships/hyperlink" Target="http://www.itu.int/go/citest" TargetMode="External"/><Relationship Id="rId898" Type="http://schemas.openxmlformats.org/officeDocument/2006/relationships/hyperlink" Target="https://www.itu.int/en/ITU-T/ssc/united/Pages/publication-U4SSC-KPIs.aspx" TargetMode="External"/><Relationship Id="rId106" Type="http://schemas.openxmlformats.org/officeDocument/2006/relationships/hyperlink" Target="https://www.itu.int/md/T17-TSAG-200921-TD-GEN-0805" TargetMode="External"/><Relationship Id="rId313" Type="http://schemas.openxmlformats.org/officeDocument/2006/relationships/hyperlink" Target="https://www.itu.int/en/ITU-T/Workshops-and-Seminars/bsg/201710/Pages/default.aspx" TargetMode="External"/><Relationship Id="rId495" Type="http://schemas.openxmlformats.org/officeDocument/2006/relationships/hyperlink" Target="http://www.itu.int/net4/wsis/forum/2017/Agenda/Session/229" TargetMode="External"/><Relationship Id="rId716" Type="http://schemas.openxmlformats.org/officeDocument/2006/relationships/hyperlink" Target="https://www.itu.int/md/meetingdoc.asp?lang=en&amp;parent=S20-CL-C-0047" TargetMode="External"/><Relationship Id="rId758" Type="http://schemas.openxmlformats.org/officeDocument/2006/relationships/hyperlink" Target="https://www.itu.int/md/meetingdoc.asp?lang=en&amp;parent=T17-TSAG-170501-TD-GEN-0036" TargetMode="External"/><Relationship Id="rId923" Type="http://schemas.openxmlformats.org/officeDocument/2006/relationships/hyperlink" Target="https://www.itu.int/en/publications/Documents/tsb/2020-U4SSC-Case-study-Participatory-urban-planning/index.html" TargetMode="External"/><Relationship Id="rId965" Type="http://schemas.openxmlformats.org/officeDocument/2006/relationships/hyperlink" Target="https://www.itu.int/en/ITU-T/Workshops-and-Seminars/gsw/201910/Pages/programme-04.aspx" TargetMode="External"/><Relationship Id="rId10" Type="http://schemas.openxmlformats.org/officeDocument/2006/relationships/customXml" Target="../customXml/item10.xml"/><Relationship Id="rId52" Type="http://schemas.openxmlformats.org/officeDocument/2006/relationships/hyperlink" Target="https://www.itu.int/md/T17-TSAG-200921-TD-GEN-0799" TargetMode="External"/><Relationship Id="rId94" Type="http://schemas.openxmlformats.org/officeDocument/2006/relationships/hyperlink" Target="https://www.itu.int/md/T17-TSAG-170501-TD-GEN-0010" TargetMode="External"/><Relationship Id="rId148" Type="http://schemas.openxmlformats.org/officeDocument/2006/relationships/hyperlink" Target="https://www.itu.int/en/ITU-T/climatechange/dpm/05/Pages/default.aspx" TargetMode="External"/><Relationship Id="rId355" Type="http://schemas.openxmlformats.org/officeDocument/2006/relationships/hyperlink" Target="http://www.itu.int/en/ITU-T/Workshops-and-Seminars/201703/Pages/default.aspx" TargetMode="External"/><Relationship Id="rId397" Type="http://schemas.openxmlformats.org/officeDocument/2006/relationships/hyperlink" Target="https://www.itu.int/en/ITU-T/webinars/20210920/Pages/default.aspx" TargetMode="External"/><Relationship Id="rId520" Type="http://schemas.openxmlformats.org/officeDocument/2006/relationships/hyperlink" Target="https://www.itu.int/rec/T-REC-Y.4204-201902-I/en" TargetMode="External"/><Relationship Id="rId562" Type="http://schemas.openxmlformats.org/officeDocument/2006/relationships/hyperlink" Target="https://www.itu.int/net4/wsis/forum/2019/Agenda/ViewSession/240" TargetMode="External"/><Relationship Id="rId618" Type="http://schemas.openxmlformats.org/officeDocument/2006/relationships/hyperlink" Target="https://www.itu.int/en/publications/Documents/tsb/2021-U4SSC-Simple-ways-to-be-smart/index.html" TargetMode="External"/><Relationship Id="rId825" Type="http://schemas.openxmlformats.org/officeDocument/2006/relationships/hyperlink" Target="https://www.itu.int/md/meetingdoc.asp?lang=en&amp;parent=S18-RCLINTPOL11-C-0002" TargetMode="External"/><Relationship Id="rId215" Type="http://schemas.openxmlformats.org/officeDocument/2006/relationships/hyperlink" Target="https://www.itu.int/md/T17-TSAG-200210-TD-GEN-0657" TargetMode="External"/><Relationship Id="rId257" Type="http://schemas.openxmlformats.org/officeDocument/2006/relationships/hyperlink" Target="https://www.itu.int/net4/ITU-T/nnp" TargetMode="External"/><Relationship Id="rId422" Type="http://schemas.openxmlformats.org/officeDocument/2006/relationships/hyperlink" Target="https://www.itu.int/en/ITU-T/Workshops-and-Seminars/bsg/201712/Pages/default.aspx" TargetMode="External"/><Relationship Id="rId464" Type="http://schemas.openxmlformats.org/officeDocument/2006/relationships/hyperlink" Target="https://www.itu.int/md/meetingdoc.asp?lang=en&amp;parent=S20-CL-C-0033" TargetMode="External"/><Relationship Id="rId867" Type="http://schemas.openxmlformats.org/officeDocument/2006/relationships/hyperlink" Target="http://www.itu.int/en/ITU-T/about/groups/Pages/sg20.aspx" TargetMode="External"/><Relationship Id="rId299" Type="http://schemas.openxmlformats.org/officeDocument/2006/relationships/hyperlink" Target="https://www.itu.int/md/meetingdoc.asp?lang=en&amp;parent=S17-CL-C-0025" TargetMode="External"/><Relationship Id="rId727" Type="http://schemas.openxmlformats.org/officeDocument/2006/relationships/hyperlink" Target="https://www.itu.int/en/ITU-T/studygroups/2017-2020/20/sg20rgafr/Pages/default.aspx" TargetMode="External"/><Relationship Id="rId934" Type="http://schemas.openxmlformats.org/officeDocument/2006/relationships/hyperlink" Target="https://www.itu.int/en/ITU-T/ssc/united/Documents/U4SSC-Snapshots/City_Snapshot_Alesund_Norway.pdf" TargetMode="External"/><Relationship Id="rId63" Type="http://schemas.openxmlformats.org/officeDocument/2006/relationships/hyperlink" Target="https://www.itu.int/md/meetingdoc.asp?lang=en&amp;parent=T17-TSAG-220110-TD-GEN-1196" TargetMode="External"/><Relationship Id="rId159" Type="http://schemas.openxmlformats.org/officeDocument/2006/relationships/hyperlink" Target="http://www.itu.int/itu-t/workprog/wp_item.aspx?isn=16373" TargetMode="External"/><Relationship Id="rId366" Type="http://schemas.openxmlformats.org/officeDocument/2006/relationships/hyperlink" Target="https://www.itu.int/itu-t/workprog/wp_item.aspx?isn=16495" TargetMode="External"/><Relationship Id="rId573" Type="http://schemas.openxmlformats.org/officeDocument/2006/relationships/hyperlink" Target="https://www.itu.int/en/ITU-T/climatechange/Pages/1st-Digital-African-Week.aspx" TargetMode="External"/><Relationship Id="rId780" Type="http://schemas.openxmlformats.org/officeDocument/2006/relationships/hyperlink" Target="https://trello.com/b/nkUZjYO4/figi-symposium-digital-media-kit" TargetMode="External"/><Relationship Id="rId226" Type="http://schemas.openxmlformats.org/officeDocument/2006/relationships/hyperlink" Target="https://www.itu.int/md/meetingdoc.asp?lang=en&amp;parent=T17-TSAG-220110-TD-GEN-1188" TargetMode="External"/><Relationship Id="rId433" Type="http://schemas.openxmlformats.org/officeDocument/2006/relationships/hyperlink" Target="https://www.itu.int/en/ITU-T/Workshops-and-Seminars/201811/Pages/default.aspx" TargetMode="External"/><Relationship Id="rId878" Type="http://schemas.openxmlformats.org/officeDocument/2006/relationships/hyperlink" Target="https://www.itu.int/ITU-T/recommendations/rec.aspx?rec=14176" TargetMode="External"/><Relationship Id="rId640" Type="http://schemas.openxmlformats.org/officeDocument/2006/relationships/hyperlink" Target="https://www.itu.int/pub/T-TUT-FSTP-2018-CONF.F921" TargetMode="External"/><Relationship Id="rId738" Type="http://schemas.openxmlformats.org/officeDocument/2006/relationships/hyperlink" Target="http://itu.int/en/ITU-T/studygroups/2017-2020/16/Pages/q22.aspx" TargetMode="External"/><Relationship Id="rId945" Type="http://schemas.openxmlformats.org/officeDocument/2006/relationships/hyperlink" Target="https://www.itu.int/en/ITU-D/Regional-Presence/CIS/Pages/EVENTS/2017/06_Saint_Petersburg/06_Saint_Petersburg.aspx" TargetMode="External"/><Relationship Id="rId74" Type="http://schemas.openxmlformats.org/officeDocument/2006/relationships/hyperlink" Target="https://www.itu.int/md/T17-TSAG-170501-TD-GEN-0035" TargetMode="External"/><Relationship Id="rId377" Type="http://schemas.openxmlformats.org/officeDocument/2006/relationships/hyperlink" Target="https://www.itu.int/en/ITU-T/studygroups/com17/ict/Pages/default.aspx" TargetMode="External"/><Relationship Id="rId500" Type="http://schemas.openxmlformats.org/officeDocument/2006/relationships/hyperlink" Target="https://www.itu.int/rec/T-REC-H.702" TargetMode="External"/><Relationship Id="rId584" Type="http://schemas.openxmlformats.org/officeDocument/2006/relationships/hyperlink" Target="https://www.itu.int/en/ITU-T/Workshops-and-Seminars/gsw/201910/Documents/9thGSW2019-Valencia-CalltoAction-AR.pdf" TargetMode="External"/><Relationship Id="rId805" Type="http://schemas.openxmlformats.org/officeDocument/2006/relationships/hyperlink" Target="https://www.itu.int/md/T17-TSAG-180226-TD-GEN-0212/en" TargetMode="External"/><Relationship Id="rId5" Type="http://schemas.openxmlformats.org/officeDocument/2006/relationships/customXml" Target="../customXml/item5.xml"/><Relationship Id="rId237" Type="http://schemas.openxmlformats.org/officeDocument/2006/relationships/hyperlink" Target="https://www.itu.int/myworkspace/" TargetMode="External"/><Relationship Id="rId791" Type="http://schemas.openxmlformats.org/officeDocument/2006/relationships/hyperlink" Target="https://www.itu.int/en/ITU-T/webinars/Pages/dfs.aspx" TargetMode="External"/><Relationship Id="rId889" Type="http://schemas.openxmlformats.org/officeDocument/2006/relationships/hyperlink" Target="https://www.itu.int/pub/T-FG-DPM" TargetMode="External"/><Relationship Id="rId444" Type="http://schemas.openxmlformats.org/officeDocument/2006/relationships/hyperlink" Target="https://www.itu.int/md/T17-SG02-180704-TD-GEN-0427/en" TargetMode="External"/><Relationship Id="rId651" Type="http://schemas.openxmlformats.org/officeDocument/2006/relationships/hyperlink" Target="https://www.itu.int/md/meetingdoc.asp?lang=en&amp;parent=S17-CL-C-0024" TargetMode="External"/><Relationship Id="rId749" Type="http://schemas.openxmlformats.org/officeDocument/2006/relationships/hyperlink" Target="http://www.itu.int/itu-t/workprog/wp_item.aspx?isn=16368" TargetMode="External"/><Relationship Id="rId290" Type="http://schemas.openxmlformats.org/officeDocument/2006/relationships/hyperlink" Target="https://www.itu.int/en/ITU-T/climatechange/Pages/20210602.aspx" TargetMode="External"/><Relationship Id="rId304" Type="http://schemas.openxmlformats.org/officeDocument/2006/relationships/hyperlink" Target="https://www.itu.int/en/ITU-T/Workshops-and-Seminars/bsg/20190218/Pages/default.aspx" TargetMode="External"/><Relationship Id="rId388" Type="http://schemas.openxmlformats.org/officeDocument/2006/relationships/hyperlink" Target="https://www.itu.int/md/meetingdoc.asp?lang=en&amp;parent=S19-CL-C-0018" TargetMode="External"/><Relationship Id="rId511" Type="http://schemas.openxmlformats.org/officeDocument/2006/relationships/hyperlink" Target="https://www.itu.int/net4/wsis/forum/2021/Agenda/Session/414" TargetMode="External"/><Relationship Id="rId609" Type="http://schemas.openxmlformats.org/officeDocument/2006/relationships/hyperlink" Target="https://www.itu.int/en/ITU-T/climatechange/resources/Pages/env-and-ssc.aspx" TargetMode="External"/><Relationship Id="rId956" Type="http://schemas.openxmlformats.org/officeDocument/2006/relationships/hyperlink" Target="https://www.itu.int/en/ITU-T/Workshops-and-Seminars/20180712/Pages/default.aspx" TargetMode="External"/><Relationship Id="rId85" Type="http://schemas.openxmlformats.org/officeDocument/2006/relationships/hyperlink" Target="https://www.itu.int/md/T17-TSAG-200210-TD-GEN-0669" TargetMode="External"/><Relationship Id="rId150" Type="http://schemas.openxmlformats.org/officeDocument/2006/relationships/hyperlink" Target="https://www.itu.int/en/ITU-T/climatechange/Pages/20210422.aspx" TargetMode="External"/><Relationship Id="rId595" Type="http://schemas.openxmlformats.org/officeDocument/2006/relationships/hyperlink" Target="https://www.itu.int/en/ITU-T/Workshops-and-Seminars/gsw/202112/Pages/day-02.aspx" TargetMode="External"/><Relationship Id="rId816" Type="http://schemas.openxmlformats.org/officeDocument/2006/relationships/hyperlink" Target="https://www.itu.int/en/ITU-T/Workshops-and-Seminars/20180319/Pages/default.aspx" TargetMode="External"/><Relationship Id="rId1001" Type="http://schemas.openxmlformats.org/officeDocument/2006/relationships/hyperlink" Target="https://www.itu.int/en/ITU-T/climatechange/Pages/events.aspx" TargetMode="External"/><Relationship Id="rId248" Type="http://schemas.openxmlformats.org/officeDocument/2006/relationships/hyperlink" Target="https://www.itu.int/en/ITU-T/ewm" TargetMode="External"/><Relationship Id="rId455" Type="http://schemas.openxmlformats.org/officeDocument/2006/relationships/hyperlink" Target="https://www.itu.int/md/meetingdoc.asp?lang=en&amp;parent=S19-CL-C-0033" TargetMode="External"/><Relationship Id="rId662" Type="http://schemas.openxmlformats.org/officeDocument/2006/relationships/hyperlink" Target="http://www.itu.int/go/citest" TargetMode="External"/><Relationship Id="rId12" Type="http://schemas.openxmlformats.org/officeDocument/2006/relationships/styles" Target="styles.xml"/><Relationship Id="rId108" Type="http://schemas.openxmlformats.org/officeDocument/2006/relationships/hyperlink" Target="https://www.itu.int/md/meetingdoc.asp?lang=en&amp;parent=T17-TSAG-170501-TD-GEN-0093" TargetMode="External"/><Relationship Id="rId315" Type="http://schemas.openxmlformats.org/officeDocument/2006/relationships/hyperlink" Target="https://www.itu.int/en/ITU-T/Workshops-and-Seminars/bsg/201710/Pages/default.aspx" TargetMode="External"/><Relationship Id="rId522" Type="http://schemas.openxmlformats.org/officeDocument/2006/relationships/hyperlink" Target="https://www.itu.int/en/ITU-T/Workshops-and-Seminars/20171205/Pages/default.aspx" TargetMode="External"/><Relationship Id="rId967" Type="http://schemas.openxmlformats.org/officeDocument/2006/relationships/hyperlink" Target="https://www.itu.int/en/ITU-T/Workshops-and-Seminars/gsw/201910/Pages/programme-07.aspx" TargetMode="External"/><Relationship Id="rId96" Type="http://schemas.openxmlformats.org/officeDocument/2006/relationships/hyperlink" Target="https://www.itu.int/md/T17-TSAG-190923-TD-GEN-0483" TargetMode="External"/><Relationship Id="rId161" Type="http://schemas.openxmlformats.org/officeDocument/2006/relationships/hyperlink" Target="http://www.itu.int/itu-t/workprog/wp_item.aspx?isn=16375" TargetMode="External"/><Relationship Id="rId399" Type="http://schemas.openxmlformats.org/officeDocument/2006/relationships/hyperlink" Target="https://www.itu.int/en/ITU-T/climatechange/Pages/20210602.aspx" TargetMode="External"/><Relationship Id="rId827" Type="http://schemas.openxmlformats.org/officeDocument/2006/relationships/hyperlink" Target="https://www.itu.int/md/meetingdoc.asp?lang=en&amp;parent=S19-RCLINTPOL13-C-0003" TargetMode="External"/><Relationship Id="rId259" Type="http://schemas.openxmlformats.org/officeDocument/2006/relationships/hyperlink" Target="http://www.itu.int/myworkspace/" TargetMode="External"/><Relationship Id="rId466" Type="http://schemas.openxmlformats.org/officeDocument/2006/relationships/hyperlink" Target="https://www.itu.int/md/T17-TSAG-211025-TD-GEN-1032" TargetMode="External"/><Relationship Id="rId673" Type="http://schemas.openxmlformats.org/officeDocument/2006/relationships/hyperlink" Target="https://www.itu.int/en/ITU-T/Workshops-and-Seminars/201807/Pages/Programme.aspx" TargetMode="External"/><Relationship Id="rId880" Type="http://schemas.openxmlformats.org/officeDocument/2006/relationships/hyperlink" Target="https://www.worldsmartcity.org/2016event/" TargetMode="External"/><Relationship Id="rId23" Type="http://schemas.openxmlformats.org/officeDocument/2006/relationships/hyperlink" Target="https://www.itu.int/md/S21-DM-CIR-01018" TargetMode="External"/><Relationship Id="rId119" Type="http://schemas.openxmlformats.org/officeDocument/2006/relationships/hyperlink" Target="https://www.itu.int/md/T17-TSAG-180226-TD-GEN-0157/en" TargetMode="External"/><Relationship Id="rId326" Type="http://schemas.openxmlformats.org/officeDocument/2006/relationships/hyperlink" Target="https://www.itu.int/en/ITU-T/Workshops-and-Seminars/bsg/20180506/Pages/default.aspx" TargetMode="External"/><Relationship Id="rId533" Type="http://schemas.openxmlformats.org/officeDocument/2006/relationships/hyperlink" Target="https://www.itu.int/en/ITU-T/climatechange/resources/Pages/env-and-ssc.aspx" TargetMode="External"/><Relationship Id="rId978" Type="http://schemas.openxmlformats.org/officeDocument/2006/relationships/hyperlink" Target="https://www.itu.int/en/ITU-T/climatechange/Pages/202006.aspx" TargetMode="External"/><Relationship Id="rId740" Type="http://schemas.openxmlformats.org/officeDocument/2006/relationships/hyperlink" Target="http://www.itu.int/itu-t/workprog/wp_item.aspx?isn=16354" TargetMode="External"/><Relationship Id="rId838" Type="http://schemas.openxmlformats.org/officeDocument/2006/relationships/hyperlink" Target="https://www.itu.int/en/ITU-T/studygroups/2017-2020/12/Pages/resolution95.aspx" TargetMode="External"/><Relationship Id="rId172" Type="http://schemas.openxmlformats.org/officeDocument/2006/relationships/hyperlink" Target="https://www.itu.int/en/ITU-D/Regional-Presence/CIS/Pages/EVENTS/2019/02_Minsk/02_Minsk.aspx" TargetMode="External"/><Relationship Id="rId477" Type="http://schemas.openxmlformats.org/officeDocument/2006/relationships/hyperlink" Target="http://newslog.itu.int/archives/1520" TargetMode="External"/><Relationship Id="rId600" Type="http://schemas.openxmlformats.org/officeDocument/2006/relationships/hyperlink" Target="https://www.itu.int/md/meetingdoc.asp?lang=en&amp;parent=S18-CL-C-0035" TargetMode="External"/><Relationship Id="rId684" Type="http://schemas.openxmlformats.org/officeDocument/2006/relationships/hyperlink" Target="https://www.itu.int/en/ITU-T/webinars/20211207/Pages/default.aspx" TargetMode="External"/><Relationship Id="rId337" Type="http://schemas.openxmlformats.org/officeDocument/2006/relationships/hyperlink" Target="https://www.itu.int/en/ITU-T/climatechange/Pages/1st-Digital-African-Week.aspx" TargetMode="External"/><Relationship Id="rId891" Type="http://schemas.openxmlformats.org/officeDocument/2006/relationships/hyperlink" Target="https://www.itu.int/en/ITU-T/webinars/20211101/Pages/default.aspx" TargetMode="External"/><Relationship Id="rId905" Type="http://schemas.openxmlformats.org/officeDocument/2006/relationships/hyperlink" Target="https://www.itu.int/en/publications/Documents/tsb/2019-U4SSC-City-Science-Application-Framework/index.html" TargetMode="External"/><Relationship Id="rId989" Type="http://schemas.openxmlformats.org/officeDocument/2006/relationships/hyperlink" Target="https://www.itu.int/en/ITU-T/webinars/202109/Pages/default.aspx" TargetMode="External"/><Relationship Id="rId34" Type="http://schemas.openxmlformats.org/officeDocument/2006/relationships/hyperlink" Target="https://www.itu.int/md/meetingdoc.asp?lang=en&amp;parent=T17-TSAG-180226-TD-GEN-0264" TargetMode="External"/><Relationship Id="rId544" Type="http://schemas.openxmlformats.org/officeDocument/2006/relationships/hyperlink" Target="https://www.itu.int/en/ITU-T/studygroups/2017-2020/05/sg5rgafr/Pages/default.aspx" TargetMode="External"/><Relationship Id="rId751" Type="http://schemas.openxmlformats.org/officeDocument/2006/relationships/hyperlink" Target="http://www.itu.int/itu-t/workprog/wp_item.aspx?isn=16658" TargetMode="External"/><Relationship Id="rId849" Type="http://schemas.openxmlformats.org/officeDocument/2006/relationships/hyperlink" Target="https://www.itu.int/ITU-T/workprog/wp_item.aspx?isn=13312" TargetMode="External"/><Relationship Id="rId183" Type="http://schemas.openxmlformats.org/officeDocument/2006/relationships/hyperlink" Target="https://www.itu.int/md/meetingdoc.asp?lang=en&amp;parent=T17-WTSA.20-C-0024" TargetMode="External"/><Relationship Id="rId390" Type="http://schemas.openxmlformats.org/officeDocument/2006/relationships/hyperlink" Target="https://www.itu.int/md/meetingdoc.asp?lang=en&amp;parent=S20-CL-C-0018" TargetMode="External"/><Relationship Id="rId404" Type="http://schemas.openxmlformats.org/officeDocument/2006/relationships/hyperlink" Target="https://www.itu.int/en/ITU-T/Workshops-and-Seminars/bsg/20191022/Pages/default.aspx" TargetMode="External"/><Relationship Id="rId611" Type="http://schemas.openxmlformats.org/officeDocument/2006/relationships/hyperlink" Target="http://www.itu.int/ITU-T/aap/aapid/7857/show.aspx" TargetMode="External"/><Relationship Id="rId250" Type="http://schemas.openxmlformats.org/officeDocument/2006/relationships/hyperlink" Target="https://www.itu.int/search" TargetMode="External"/><Relationship Id="rId488" Type="http://schemas.openxmlformats.org/officeDocument/2006/relationships/hyperlink" Target="https://www.itu.int/rec/T-REC-F.791" TargetMode="External"/><Relationship Id="rId695" Type="http://schemas.openxmlformats.org/officeDocument/2006/relationships/hyperlink" Target="https://www.itu.int/en/ITU-T/climatechange/Pages/20201015.aspx" TargetMode="External"/><Relationship Id="rId709" Type="http://schemas.openxmlformats.org/officeDocument/2006/relationships/hyperlink" Target="https://www.itu.int/md/T17-TSAG-200921-TD-GEN-0789" TargetMode="External"/><Relationship Id="rId916" Type="http://schemas.openxmlformats.org/officeDocument/2006/relationships/hyperlink" Target="https://www.itu.int/en/ITU-T/ssc/united/Pages/publications-U4SSC.aspx" TargetMode="External"/><Relationship Id="rId45" Type="http://schemas.openxmlformats.org/officeDocument/2006/relationships/hyperlink" Target="https://www.itu.int/md/T17-TSAG-200921-TD-GEN-0798" TargetMode="External"/><Relationship Id="rId110" Type="http://schemas.openxmlformats.org/officeDocument/2006/relationships/hyperlink" Target="https://www.itu.int/md/meetingdoc.asp?lang=en&amp;parent=T17-TSAG-170501-TD-GEN-0095" TargetMode="External"/><Relationship Id="rId348" Type="http://schemas.openxmlformats.org/officeDocument/2006/relationships/hyperlink" Target="https://www.itu.int/ifa/t/2017/ls/tsag/sp16-tsag-oLS-00001.zip" TargetMode="External"/><Relationship Id="rId555" Type="http://schemas.openxmlformats.org/officeDocument/2006/relationships/hyperlink" Target="http://www.itu.int/en/ITU-T/Workshops-and-Seminars/gsw/201704/Documents/Manifesto-Manizales-05-04-2017-Eng-Final.pdf" TargetMode="External"/><Relationship Id="rId762" Type="http://schemas.openxmlformats.org/officeDocument/2006/relationships/hyperlink" Target="https://www.itu.int/en/ITU-T/extcoop/figisymposium/Documents/20-00383%20Security%20testing%20for%20USSD%20and%20STK%20based%20Digital%20Financial%20Services%20applications.pdf" TargetMode="External"/><Relationship Id="rId194" Type="http://schemas.openxmlformats.org/officeDocument/2006/relationships/hyperlink" Target="https://www.itu.int/md/meetingdoc.asp?lang=en&amp;parent=T17-TSAG-181210-TD-GEN-0292" TargetMode="External"/><Relationship Id="rId208" Type="http://schemas.openxmlformats.org/officeDocument/2006/relationships/hyperlink" Target="https://www.itu.int/ifa/t/2017/ls/tsag/sp16-tsag-oLS-00016.doc" TargetMode="External"/><Relationship Id="rId415" Type="http://schemas.openxmlformats.org/officeDocument/2006/relationships/hyperlink" Target="https://www.itu.int/en/ITU-T/Workshops-and-Seminars/bsg/112017/Pages/default.aspx" TargetMode="External"/><Relationship Id="rId622" Type="http://schemas.openxmlformats.org/officeDocument/2006/relationships/hyperlink" Target="https://extranet.itu.int/sites/itu-t/studygroups/2017-2020/tsag/strategy/_layouts/15/WopiFrame.aspx?sourcedoc=%7B59852BF8-2C3C-4E31-928F-0C9EC71C7A11%7D&amp;file=TD070%20Assignments%20of%20the%20ITU-T%20study%20group%20Questions%20to%20the%20WSIS%20Action%20Lines,%20and%20to%20the%20UN%20Sustainable%20Development%20Goals.docx&amp;action=default" TargetMode="External"/><Relationship Id="rId261" Type="http://schemas.openxmlformats.org/officeDocument/2006/relationships/hyperlink" Target="https://www.itu.int/en/ITU-T/ssc/united/Pages/reports-SSC.aspx" TargetMode="External"/><Relationship Id="rId499" Type="http://schemas.openxmlformats.org/officeDocument/2006/relationships/hyperlink" Target="https://www.itu.int/rec/T-REC-F.930" TargetMode="External"/><Relationship Id="rId927" Type="http://schemas.openxmlformats.org/officeDocument/2006/relationships/hyperlink" Target="https://www.itu.int/en/publications/Documents/tsb/2021-U4SSC-Simple-ways-to-be-smart/index.html" TargetMode="External"/><Relationship Id="rId56" Type="http://schemas.openxmlformats.org/officeDocument/2006/relationships/hyperlink" Target="https://www.itu.int/md/meetingdoc.asp?lang=en&amp;parent=T17-TSAG-180226-TD-GEN-0150" TargetMode="External"/><Relationship Id="rId359" Type="http://schemas.openxmlformats.org/officeDocument/2006/relationships/hyperlink" Target="http://www.itu.int/en/ITU-T/studygroups/2017-2020/17/Pages/nfvo.aspx" TargetMode="External"/><Relationship Id="rId566" Type="http://schemas.openxmlformats.org/officeDocument/2006/relationships/hyperlink" Target="https://www.itu.int/en/ITU-T/climatechange/symposia/201905/Documents/Call_for_Action_FR.pdf" TargetMode="External"/><Relationship Id="rId773" Type="http://schemas.openxmlformats.org/officeDocument/2006/relationships/hyperlink" Target="https://www.itu.int/en/ITU-T/focusgroups/dfc/Pages/default.aspx" TargetMode="External"/><Relationship Id="rId121" Type="http://schemas.openxmlformats.org/officeDocument/2006/relationships/hyperlink" Target="https://www.itu.int/md/T17-TSAG-190923-TD-GEN-0487" TargetMode="External"/><Relationship Id="rId219" Type="http://schemas.openxmlformats.org/officeDocument/2006/relationships/hyperlink" Target="https://www.itu.int/ifa/t/2017/ls/tsag/sp16-tsag-oLS-00006.zip" TargetMode="External"/><Relationship Id="rId426" Type="http://schemas.openxmlformats.org/officeDocument/2006/relationships/hyperlink" Target="https://www.itu.int/en/ITU-T/Workshops-and-Seminars/bsg/20180205/Pages/default.aspx" TargetMode="External"/><Relationship Id="rId633" Type="http://schemas.openxmlformats.org/officeDocument/2006/relationships/hyperlink" Target="https://www.itu.int/en/ITU-T/webinars/Pages/dt4cc.aspx" TargetMode="External"/><Relationship Id="rId980" Type="http://schemas.openxmlformats.org/officeDocument/2006/relationships/hyperlink" Target="https://www.itu.int/en/ITU-T/climatechange/Pages/202012.aspx" TargetMode="External"/><Relationship Id="rId840" Type="http://schemas.openxmlformats.org/officeDocument/2006/relationships/hyperlink" Target="https://www.itu.int/md/T17-TSB-CIR-0062/en" TargetMode="External"/><Relationship Id="rId938" Type="http://schemas.openxmlformats.org/officeDocument/2006/relationships/hyperlink" Target="https://www.itu.int/en/ITU-T/ssc/united/Documents/U4SSC-Snapshots/City_Snapshot_Pully_Switzerland.pdf" TargetMode="External"/><Relationship Id="rId67" Type="http://schemas.openxmlformats.org/officeDocument/2006/relationships/hyperlink" Target="https://www.itu.int/md/T17-TSAG-181210-TD-GEN-0304" TargetMode="External"/><Relationship Id="rId272" Type="http://schemas.openxmlformats.org/officeDocument/2006/relationships/hyperlink" Target="https://www.itu.int/en/ITU-T/studygroups/2017-2020/11/Pages/counterfeit.aspx" TargetMode="External"/><Relationship Id="rId577" Type="http://schemas.openxmlformats.org/officeDocument/2006/relationships/hyperlink" Target="https://www.itu.int/en/ITU-T/Workshops-and-Seminars/gsw/201910/Pages/programme-06.aspx" TargetMode="External"/><Relationship Id="rId700" Type="http://schemas.openxmlformats.org/officeDocument/2006/relationships/hyperlink" Target="http://www.itu.int/md/T13-SG09-160121-TD-GEN-0899/en" TargetMode="External"/><Relationship Id="rId132" Type="http://schemas.openxmlformats.org/officeDocument/2006/relationships/hyperlink" Target="https://www.itu.int/md/T17-TSAG-200210-TD-GEN-0672" TargetMode="External"/><Relationship Id="rId784" Type="http://schemas.openxmlformats.org/officeDocument/2006/relationships/hyperlink" Target="https://figi.itu.int/event/protecting-consumers/" TargetMode="External"/><Relationship Id="rId991" Type="http://schemas.openxmlformats.org/officeDocument/2006/relationships/hyperlink" Target="https://www.itu.int/en/ITU-T/webinars/20210920/Pages/default.aspx" TargetMode="External"/><Relationship Id="rId437" Type="http://schemas.openxmlformats.org/officeDocument/2006/relationships/hyperlink" Target="http://www.itu.int/en/ITU-T/wise/Pages/default.aspx" TargetMode="External"/><Relationship Id="rId644" Type="http://schemas.openxmlformats.org/officeDocument/2006/relationships/hyperlink" Target="https://www.itu.int/md/S19-CL-C-0035/en" TargetMode="External"/><Relationship Id="rId851" Type="http://schemas.openxmlformats.org/officeDocument/2006/relationships/hyperlink" Target="https://www.itu.int/en/ITU-T/Workshops-and-Seminars/20180423/Pages/default.aspx" TargetMode="External"/><Relationship Id="rId283" Type="http://schemas.openxmlformats.org/officeDocument/2006/relationships/hyperlink" Target="https://www.itu.int/md/T17-TSAG-200210-TD-GEN-0727" TargetMode="External"/><Relationship Id="rId490" Type="http://schemas.openxmlformats.org/officeDocument/2006/relationships/hyperlink" Target="https://www.itu.int/rec/T-REC-H.871-201907-P" TargetMode="External"/><Relationship Id="rId504" Type="http://schemas.openxmlformats.org/officeDocument/2006/relationships/hyperlink" Target="https://www.itu.int/net4/wsis/forum/2019/Agenda/ViewSession/171" TargetMode="External"/><Relationship Id="rId711" Type="http://schemas.openxmlformats.org/officeDocument/2006/relationships/hyperlink" Target="https://www.itu.int/md/T17-TSAG-211025-TD-GEN-1031" TargetMode="External"/><Relationship Id="rId949" Type="http://schemas.openxmlformats.org/officeDocument/2006/relationships/hyperlink" Target="https://www.itu.int/en/ITU-T/Workshops-and-Seminars/20180506/Pages/default.aspx" TargetMode="External"/><Relationship Id="rId78" Type="http://schemas.openxmlformats.org/officeDocument/2006/relationships/hyperlink" Target="https://www.itu.int/md/T17-TSAG-200921-TD-GEN-0802" TargetMode="External"/><Relationship Id="rId143" Type="http://schemas.openxmlformats.org/officeDocument/2006/relationships/hyperlink" Target="https://www.itu.int/en/ITU-T/studygroups/2017-2020/16/Pages/video/jvet.aspx" TargetMode="External"/><Relationship Id="rId350" Type="http://schemas.openxmlformats.org/officeDocument/2006/relationships/hyperlink" Target="https://www.itu.int/net/itu-t/ls/ls.aspx?isn=21665" TargetMode="External"/><Relationship Id="rId588" Type="http://schemas.openxmlformats.org/officeDocument/2006/relationships/hyperlink" Target="https://www.itu.int/en/ITU-T/climatechange/Pages/20201015.aspx" TargetMode="External"/><Relationship Id="rId795" Type="http://schemas.openxmlformats.org/officeDocument/2006/relationships/hyperlink" Target="https://www.itu.int/md/meetingdoc.asp?lang=en&amp;parent=T17-TSAG-180226-TD-GEN-0175" TargetMode="External"/><Relationship Id="rId809" Type="http://schemas.openxmlformats.org/officeDocument/2006/relationships/hyperlink" Target="https://www.itu.int/net4/itu-t/nnp" TargetMode="External"/><Relationship Id="rId9" Type="http://schemas.openxmlformats.org/officeDocument/2006/relationships/customXml" Target="../customXml/item9.xml"/><Relationship Id="rId210" Type="http://schemas.openxmlformats.org/officeDocument/2006/relationships/hyperlink" Target="https://www.itu.int/ifa/t/2017/ls/tsag/sp16-tsag-oLS-00032.zip" TargetMode="External"/><Relationship Id="rId448" Type="http://schemas.openxmlformats.org/officeDocument/2006/relationships/hyperlink" Target="https://www.itu.int/md/meetingdoc.asp?lang=en&amp;parent=S19-RCLINTPOL12-C-0002" TargetMode="External"/><Relationship Id="rId655" Type="http://schemas.openxmlformats.org/officeDocument/2006/relationships/hyperlink" Target="https://www.itu.int/md/meetingdoc.asp?lang=en&amp;parent=S21-CL-C-0035" TargetMode="External"/><Relationship Id="rId862" Type="http://schemas.openxmlformats.org/officeDocument/2006/relationships/hyperlink" Target="https://www.itu.int/md/S18-CLCWGFHRM8-C-0019" TargetMode="External"/><Relationship Id="rId294" Type="http://schemas.openxmlformats.org/officeDocument/2006/relationships/hyperlink" Target="https://www.itu.int/pub/T-TUT-IPTV-2017-GUIDE.1" TargetMode="External"/><Relationship Id="rId308" Type="http://schemas.openxmlformats.org/officeDocument/2006/relationships/hyperlink" Target="https://www.itu.int/en/ITU-T/Workshops-and-Seminars/bsg/20180205/Pages/default.aspx" TargetMode="External"/><Relationship Id="rId515" Type="http://schemas.openxmlformats.org/officeDocument/2006/relationships/hyperlink" Target="https://www.itu.int/en/irg/ava/Pages/default.aspx" TargetMode="External"/><Relationship Id="rId722" Type="http://schemas.openxmlformats.org/officeDocument/2006/relationships/hyperlink" Target="https://www.itu.int/ITU-T/workprog/wp_item.aspx?isn=14081" TargetMode="External"/><Relationship Id="rId89" Type="http://schemas.openxmlformats.org/officeDocument/2006/relationships/hyperlink" Target="https://www.itu.int/md/meetingdoc.asp?lang=en&amp;parent=T17-TSAG-220110-TD-GEN-1198" TargetMode="External"/><Relationship Id="rId154" Type="http://schemas.openxmlformats.org/officeDocument/2006/relationships/hyperlink" Target="https://www.itu.int/ITU-T/recommendations/rec.aspx?rec=14176" TargetMode="External"/><Relationship Id="rId361" Type="http://schemas.openxmlformats.org/officeDocument/2006/relationships/hyperlink" Target="https://www.itu.int/md/meetingdoc.asp?lang=en&amp;parent=S18-CL-C-0018" TargetMode="External"/><Relationship Id="rId599" Type="http://schemas.openxmlformats.org/officeDocument/2006/relationships/hyperlink" Target="http://www.itu.int/en/ITU-T/climatechange/task-force-sc/Pages/default.aspx" TargetMode="External"/><Relationship Id="rId1005" Type="http://schemas.openxmlformats.org/officeDocument/2006/relationships/header" Target="header3.xml"/><Relationship Id="rId459" Type="http://schemas.openxmlformats.org/officeDocument/2006/relationships/hyperlink" Target="https://www.itu.int/en/ITU-D/Regional-Presence/CIS/Pages/EVENTS/2019/02_Minsk/02_Minsk.aspx" TargetMode="External"/><Relationship Id="rId666" Type="http://schemas.openxmlformats.org/officeDocument/2006/relationships/hyperlink" Target="http://www.itu.int/go/citest" TargetMode="External"/><Relationship Id="rId873" Type="http://schemas.openxmlformats.org/officeDocument/2006/relationships/hyperlink" Target="http://www.itu.int/en/ITU-T/jca/iot/Pages/default.aspx" TargetMode="External"/><Relationship Id="rId16" Type="http://schemas.openxmlformats.org/officeDocument/2006/relationships/endnotes" Target="endnotes.xml"/><Relationship Id="rId221" Type="http://schemas.openxmlformats.org/officeDocument/2006/relationships/hyperlink" Target="https://www.itu.int/md/meetingdoc.asp?lang=en&amp;parent=T17-TSAG-180226-TD-GEN-0142" TargetMode="External"/><Relationship Id="rId319" Type="http://schemas.openxmlformats.org/officeDocument/2006/relationships/hyperlink" Target="https://www.itu.int/en/ITU-T/Workshops-and-Seminars/bsg/112017/Pages/default.aspx" TargetMode="External"/><Relationship Id="rId526" Type="http://schemas.openxmlformats.org/officeDocument/2006/relationships/hyperlink" Target="https://www.itu.int/en/ITU-T/climatechange/Pages/publications.aspx" TargetMode="External"/><Relationship Id="rId733" Type="http://schemas.openxmlformats.org/officeDocument/2006/relationships/hyperlink" Target="https://www.itu.int/md/S21-EGITR5-INF-0001" TargetMode="External"/><Relationship Id="rId940" Type="http://schemas.openxmlformats.org/officeDocument/2006/relationships/hyperlink" Target="https://www.itu.int/en/ITU-T/ssc/united/Documents/pully-%C3%A0-la-loupe-indicateurs-u4ssc-F.pdf" TargetMode="External"/><Relationship Id="rId165" Type="http://schemas.openxmlformats.org/officeDocument/2006/relationships/hyperlink" Target="https://www.itu.int/net/itu-t/ls/ls.aspx?isn=21665" TargetMode="External"/><Relationship Id="rId372" Type="http://schemas.openxmlformats.org/officeDocument/2006/relationships/hyperlink" Target="https://www.itu.int/md/meetingdoc.asp?lang=en&amp;parent=T17-TSAG-181210-TD-GEN-0309" TargetMode="External"/><Relationship Id="rId677" Type="http://schemas.openxmlformats.org/officeDocument/2006/relationships/hyperlink" Target="https://www.itu.int/en/ITU-T/gsi/iptv/Pages/201609WSbrain.aspx" TargetMode="External"/><Relationship Id="rId800" Type="http://schemas.openxmlformats.org/officeDocument/2006/relationships/hyperlink" Target="https://www.itu.int/md/meetingdoc.asp?lang=en&amp;parent=T17-TSAG-170501-TD-GEN-0055https://www.itu.int/md/meetingdoc.asp?lang=en&amp;parent=T17-TSAG-170501-TD-GEN-0032" TargetMode="External"/><Relationship Id="rId232" Type="http://schemas.openxmlformats.org/officeDocument/2006/relationships/hyperlink" Target="https://www.itu.int/myworkspace/" TargetMode="External"/><Relationship Id="rId884" Type="http://schemas.openxmlformats.org/officeDocument/2006/relationships/hyperlink" Target="https://www.itu.int/en/publications/Documents/tsb/2017-Implementing-ITU-T-International-Standards-to-Shape-Smart-Sustainable-Cities-The-Case-of-Singapore/index.html" TargetMode="External"/><Relationship Id="rId27" Type="http://schemas.openxmlformats.org/officeDocument/2006/relationships/hyperlink" Target="https://www.itu.int/md/meetingdoc.asp?lang=en&amp;parent=T17-TSAG-220110-TD-GEN-1292" TargetMode="External"/><Relationship Id="rId537" Type="http://schemas.openxmlformats.org/officeDocument/2006/relationships/hyperlink" Target="https://www.itu.int/en/ITU-T/Workshops-and-Seminars/sg05rg/sdtd/Pages/default.aspx" TargetMode="External"/><Relationship Id="rId744" Type="http://schemas.openxmlformats.org/officeDocument/2006/relationships/hyperlink" Target="http://www.itu.int/itu-t/workprog/wp_item.aspx?isn=14706" TargetMode="External"/><Relationship Id="rId951" Type="http://schemas.openxmlformats.org/officeDocument/2006/relationships/hyperlink" Target="https://www.itu.int/en/ITU-T/Workshops-and-Seminars/20180530/Pages/default.aspx" TargetMode="External"/><Relationship Id="rId80" Type="http://schemas.openxmlformats.org/officeDocument/2006/relationships/hyperlink" Target="https://www.itu.int/md/T17-TSAG-211025-TD-GEN-1044" TargetMode="External"/><Relationship Id="rId176" Type="http://schemas.openxmlformats.org/officeDocument/2006/relationships/hyperlink" Target="https://www.itu.int/ifa/t/2017/ls/tsag/sp16-tsag-oLS-00016.doc" TargetMode="External"/><Relationship Id="rId383" Type="http://schemas.openxmlformats.org/officeDocument/2006/relationships/hyperlink" Target="https://www.itu.int/md/meetingdoc.asp?lang=en&amp;parent=T17-TSAG-200921-TD-GEN-0806" TargetMode="External"/><Relationship Id="rId590" Type="http://schemas.openxmlformats.org/officeDocument/2006/relationships/hyperlink" Target="https://www.itu.int/en/ITU-D/Conferences/ET/2021/Pages/Programme.aspx" TargetMode="External"/><Relationship Id="rId604" Type="http://schemas.openxmlformats.org/officeDocument/2006/relationships/hyperlink" Target="https://www.itu.int/en/ITU-T/climatechange/Pages/1st-Digital-African-Week.aspx" TargetMode="External"/><Relationship Id="rId811" Type="http://schemas.openxmlformats.org/officeDocument/2006/relationships/hyperlink" Target="https://www.itu.int/en/ITU-T/Workshops-and-Seminars/201707/Pages/default.aspx" TargetMode="External"/><Relationship Id="rId243" Type="http://schemas.openxmlformats.org/officeDocument/2006/relationships/hyperlink" Target="https://www.itu.int/br_tsb_terms" TargetMode="External"/><Relationship Id="rId450" Type="http://schemas.openxmlformats.org/officeDocument/2006/relationships/hyperlink" Target="https://www.itu.int/md/S20-RCLINTPOL14-C-0002" TargetMode="External"/><Relationship Id="rId688" Type="http://schemas.openxmlformats.org/officeDocument/2006/relationships/hyperlink" Target="https://www.itu.int/ITU-T/workprog/wp_item.aspx?isn=13679" TargetMode="External"/><Relationship Id="rId895" Type="http://schemas.openxmlformats.org/officeDocument/2006/relationships/hyperlink" Target="https://www.itu.int/en/ITU-T/climatechange/resources/Pages/env-and-ssc.aspx" TargetMode="External"/><Relationship Id="rId909" Type="http://schemas.openxmlformats.org/officeDocument/2006/relationships/hyperlink" Target="https://www.itu.int/en/publications/Documents/tsb/2019-U4SSC-Crime-prediction-for-more-agile-policing-in-cities-Rio-de-Janeiro-Brazil/index.html" TargetMode="External"/><Relationship Id="rId38" Type="http://schemas.openxmlformats.org/officeDocument/2006/relationships/hyperlink" Target="https://www.itu.int/md/T17-TSAG-200921-TD-GEN-0797" TargetMode="External"/><Relationship Id="rId103" Type="http://schemas.openxmlformats.org/officeDocument/2006/relationships/hyperlink" Target="https://www.itu.int/md/T17-TSAG-181210-TD-GEN-0308" TargetMode="External"/><Relationship Id="rId310" Type="http://schemas.openxmlformats.org/officeDocument/2006/relationships/hyperlink" Target="https://www.itu.int/en/ITU-T/Workshops-and-Seminars/bsg/201703/Pages/default.aspx" TargetMode="External"/><Relationship Id="rId548" Type="http://schemas.openxmlformats.org/officeDocument/2006/relationships/hyperlink" Target="https://staging.itu.int/en/publications/Documents/tsb/2021-Economia-Circular-Costa-Rica/index.html" TargetMode="External"/><Relationship Id="rId755" Type="http://schemas.openxmlformats.org/officeDocument/2006/relationships/hyperlink" Target="https://www.itu.int/dms_pub/itu-t/opb/res/T-RES-T.89-2016-PDF-E.pdf" TargetMode="External"/><Relationship Id="rId962" Type="http://schemas.openxmlformats.org/officeDocument/2006/relationships/hyperlink" Target="https://iotweek.org/iot-week-bilbao/" TargetMode="External"/><Relationship Id="rId91" Type="http://schemas.openxmlformats.org/officeDocument/2006/relationships/hyperlink" Target="https://www.itu.int/md/meetingdoc.asp?lang=en&amp;parent=T17-TSAG-180226-TD-GEN-0234" TargetMode="External"/><Relationship Id="rId187" Type="http://schemas.openxmlformats.org/officeDocument/2006/relationships/hyperlink" Target="https://www.itu.int/md/meetingdoc.asp?lang=en&amp;parent=T17-TSAG-180226-TD-GEN-0141" TargetMode="External"/><Relationship Id="rId394" Type="http://schemas.openxmlformats.org/officeDocument/2006/relationships/hyperlink" Target="https://www.itu.int/en/ITU-D/Regional-Presence/CIS/Pages/EVENTS/2019/02_Minsk/02_Minsk.aspx" TargetMode="External"/><Relationship Id="rId408" Type="http://schemas.openxmlformats.org/officeDocument/2006/relationships/hyperlink" Target="https://www.itu.int/en/ITU-T/Workshops-and-Seminars/bsg/201703/Pages/default.aspx" TargetMode="External"/><Relationship Id="rId615" Type="http://schemas.openxmlformats.org/officeDocument/2006/relationships/hyperlink" Target="https://www.itu.int/net4/wsis/forum/2018/Pages/Agenda" TargetMode="External"/><Relationship Id="rId822" Type="http://schemas.openxmlformats.org/officeDocument/2006/relationships/hyperlink" Target="http://www.itu.int/en/ITU-R/study-groups/rsg5/rwp5d/imt-2020/Pages/default.aspx" TargetMode="External"/><Relationship Id="rId254" Type="http://schemas.openxmlformats.org/officeDocument/2006/relationships/hyperlink" Target="https://www.itu.int/search" TargetMode="External"/><Relationship Id="rId699" Type="http://schemas.openxmlformats.org/officeDocument/2006/relationships/hyperlink" Target="https://www.itu.int/itu-t/workprog/wp_search.aspx?isn_sp=3925&amp;isn_sg=3928&amp;isn_qu=4120&amp;isn_status=-1,1,3,7&amp;details=0&amp;field=acdefghijo" TargetMode="External"/><Relationship Id="rId49" Type="http://schemas.openxmlformats.org/officeDocument/2006/relationships/hyperlink" Target="https://www.itu.int/md/meetingdoc.asp?lang=en&amp;parent=T17-TSAG-181210-TD-GEN-0302" TargetMode="External"/><Relationship Id="rId114" Type="http://schemas.openxmlformats.org/officeDocument/2006/relationships/hyperlink" Target="https://www.itu.int/md/T17-TSAG-181210-TD-GEN-0309" TargetMode="External"/><Relationship Id="rId461" Type="http://schemas.openxmlformats.org/officeDocument/2006/relationships/hyperlink" Target="https://www.itu.int/md/meetingdoc.asp?lang=en&amp;parent=S17-CL-C-0033" TargetMode="External"/><Relationship Id="rId559" Type="http://schemas.openxmlformats.org/officeDocument/2006/relationships/hyperlink" Target="http://www.etsi.org/news-events/events/1217-towards-setting-environmental-requirements-for-5g" TargetMode="External"/><Relationship Id="rId766" Type="http://schemas.openxmlformats.org/officeDocument/2006/relationships/hyperlink" Target="https://www.itu.int/pub/T-TUT-DFS-2021-5" TargetMode="External"/><Relationship Id="rId198" Type="http://schemas.openxmlformats.org/officeDocument/2006/relationships/hyperlink" Target="https://www.itu.int/md/T17-TSAG-200921-TD-GEN-0791" TargetMode="External"/><Relationship Id="rId321" Type="http://schemas.openxmlformats.org/officeDocument/2006/relationships/hyperlink" Target="https://www.itu.int/en/ITU-T/Workshops-and-Seminars/bsg/201712/Pages/default.aspx" TargetMode="External"/><Relationship Id="rId419" Type="http://schemas.openxmlformats.org/officeDocument/2006/relationships/hyperlink" Target="https://www.itu.int/en/ITU-T/Workshops-and-Seminars/bsg/201712/Pages/default.aspx" TargetMode="External"/><Relationship Id="rId626" Type="http://schemas.openxmlformats.org/officeDocument/2006/relationships/hyperlink" Target="https://www.itu.int/md/S17-WSIS30-C-0002" TargetMode="External"/><Relationship Id="rId973" Type="http://schemas.openxmlformats.org/officeDocument/2006/relationships/hyperlink" Target="https://www.itu.int/en/ITU-T/Workshops-and-Seminars/gsw/201910/Documents/9thGSW2019-Valencia-CalltoAction-AR.pdf" TargetMode="External"/><Relationship Id="rId833" Type="http://schemas.openxmlformats.org/officeDocument/2006/relationships/hyperlink" Target="https://www.itu.int/en/ITU-T/Workshops-and-Seminars/201901/Pages/default.aspx" TargetMode="External"/><Relationship Id="rId265" Type="http://schemas.openxmlformats.org/officeDocument/2006/relationships/hyperlink" Target="https://www.itu.int/en/ITU-T/ssc/united/Pages/publications-U4SSC.aspx" TargetMode="External"/><Relationship Id="rId472" Type="http://schemas.openxmlformats.org/officeDocument/2006/relationships/hyperlink" Target="http://www.itu.int/md/T13-WTSA.16-INF-0009/en" TargetMode="External"/><Relationship Id="rId900" Type="http://schemas.openxmlformats.org/officeDocument/2006/relationships/hyperlink" Target="https://www.itu.int/en/ITU-T/ssc/united/" TargetMode="External"/><Relationship Id="rId125" Type="http://schemas.openxmlformats.org/officeDocument/2006/relationships/hyperlink" Target="https://www.itu.int/md/T17-TSAG-211025-TD-GEN-1049" TargetMode="External"/><Relationship Id="rId332" Type="http://schemas.openxmlformats.org/officeDocument/2006/relationships/hyperlink" Target="http://www.itu.int/en/ITU-T/Workshops-and-Seminars/201705/Pages/default.aspx" TargetMode="External"/><Relationship Id="rId777" Type="http://schemas.openxmlformats.org/officeDocument/2006/relationships/hyperlink" Target="https://www.itu.int/en/ITU-T/extcoop/figisymposium/2019/Pages/default.aspx" TargetMode="External"/><Relationship Id="rId984" Type="http://schemas.openxmlformats.org/officeDocument/2006/relationships/hyperlink" Target="https://www.iec.ch/homepage" TargetMode="External"/><Relationship Id="rId637" Type="http://schemas.openxmlformats.org/officeDocument/2006/relationships/hyperlink" Target="https://www.itu.int/en/ITU-T/Workshops-and-Seminars" TargetMode="External"/><Relationship Id="rId844" Type="http://schemas.openxmlformats.org/officeDocument/2006/relationships/hyperlink" Target="https://www.itu.int/en/ITU-T/Workshops-and-Seminars/qos/Pages/default.aspx" TargetMode="External"/><Relationship Id="rId276" Type="http://schemas.openxmlformats.org/officeDocument/2006/relationships/hyperlink" Target="https://www.itu.int/en/ITU-T/studygroups/2017-2020/17/Pages/mandate.aspx" TargetMode="External"/><Relationship Id="rId483" Type="http://schemas.openxmlformats.org/officeDocument/2006/relationships/hyperlink" Target="https://www.itu.int/net/ITU-T/res69/secured/notifications.aspx" TargetMode="External"/><Relationship Id="rId690" Type="http://schemas.openxmlformats.org/officeDocument/2006/relationships/hyperlink" Target="https://www.itu.int/itu-t/workprog/wp_search.aspx?isn_sp=3925&amp;isn_sg=3934&amp;isn_qu=4208&amp;isn_status=-1,1,3,7&amp;pg_size=100&amp;details=0&amp;field=acdefghijo" TargetMode="External"/><Relationship Id="rId704" Type="http://schemas.openxmlformats.org/officeDocument/2006/relationships/hyperlink" Target="https://www.itu.int/md/meetingdoc.asp?lang=en&amp;parent=T17-TSAG-170501-TD-GEN-0025" TargetMode="External"/><Relationship Id="rId911" Type="http://schemas.openxmlformats.org/officeDocument/2006/relationships/hyperlink" Target="https://www.itu.int/en/publications/Documents/tsb/2019-U4SSC-Fine-dust-filtration-in-Stuttgart-Germany/index.html" TargetMode="External"/><Relationship Id="rId40" Type="http://schemas.openxmlformats.org/officeDocument/2006/relationships/hyperlink" Target="https://www.itu.int/md/T17-TSAG-211025-TD-GEN-1039" TargetMode="External"/><Relationship Id="rId136" Type="http://schemas.openxmlformats.org/officeDocument/2006/relationships/hyperlink" Target="https://www.itu.int/md/meetingdoc.asp?lang=en&amp;parent=T17-TSAG-211025-TD-GEN-1105" TargetMode="External"/><Relationship Id="rId343" Type="http://schemas.openxmlformats.org/officeDocument/2006/relationships/hyperlink" Target="https://www.itu.int/en/ITU-T/Workshops-and-Seminars/gsw/201910/Documents/9thGSW2019-Valencia-CalltoAction-RU.pdf" TargetMode="External"/><Relationship Id="rId550" Type="http://schemas.openxmlformats.org/officeDocument/2006/relationships/hyperlink" Target="https://www.itu.int/en/ITU-T/focusgroups/ai4ee/Pages/default.aspx" TargetMode="External"/><Relationship Id="rId788" Type="http://schemas.openxmlformats.org/officeDocument/2006/relationships/hyperlink" Target="https://figi.itu.int/event/electronic-payments-acceptance/" TargetMode="External"/><Relationship Id="rId995" Type="http://schemas.openxmlformats.org/officeDocument/2006/relationships/hyperlink" Target="https://www.itu.int/en/ITU-T/webinars/20211207/Pages/default.aspx" TargetMode="External"/><Relationship Id="rId203" Type="http://schemas.openxmlformats.org/officeDocument/2006/relationships/hyperlink" Target="https://www.itu.int/md/T17-TSAG-200210-TD-GEN-0675" TargetMode="External"/><Relationship Id="rId648" Type="http://schemas.openxmlformats.org/officeDocument/2006/relationships/hyperlink" Target="https://www.itu.int/md/T13-SG11-151202-TD-GEN-0913/en" TargetMode="External"/><Relationship Id="rId855" Type="http://schemas.openxmlformats.org/officeDocument/2006/relationships/hyperlink" Target="https://www.itu.int/net/itu-t/cdb/ConformityDB.aspx" TargetMode="External"/><Relationship Id="rId287" Type="http://schemas.openxmlformats.org/officeDocument/2006/relationships/hyperlink" Target="https://www.itu.int/net4/wsis/forum/2020/Agenda/Session/267" TargetMode="External"/><Relationship Id="rId410" Type="http://schemas.openxmlformats.org/officeDocument/2006/relationships/hyperlink" Target="https://www.itu.int/en/ITU-T/Workshops-and-Seminars/bsg/201710/Pages/default.aspx" TargetMode="External"/><Relationship Id="rId494" Type="http://schemas.openxmlformats.org/officeDocument/2006/relationships/hyperlink" Target="https://www.itu.int/ITU-T/workprog/wp_item.aspx?isn=14439" TargetMode="External"/><Relationship Id="rId508" Type="http://schemas.openxmlformats.org/officeDocument/2006/relationships/hyperlink" Target="https://www.itu.int/net4/wsis/forum/2020/Agenda/Session/132" TargetMode="External"/><Relationship Id="rId715" Type="http://schemas.openxmlformats.org/officeDocument/2006/relationships/hyperlink" Target="https://www.itu.int/md/meetingdoc.asp?lang=en&amp;parent=S19-CL-C-0047" TargetMode="External"/><Relationship Id="rId922" Type="http://schemas.openxmlformats.org/officeDocument/2006/relationships/hyperlink" Target="https://www.itu.int/en/publications/Documents/tsb/2020-U4SSC-Case-study-Reducing-food-waste/index.html" TargetMode="External"/><Relationship Id="rId147" Type="http://schemas.openxmlformats.org/officeDocument/2006/relationships/hyperlink" Target="https://www.itu.int/en/ITU-T/Workshops-and-Seminars/201812/Pages/default.aspx" TargetMode="External"/><Relationship Id="rId354" Type="http://schemas.openxmlformats.org/officeDocument/2006/relationships/hyperlink" Target="https://www.itu.int/md/S18-CL-C-0033/en" TargetMode="External"/><Relationship Id="rId799" Type="http://schemas.openxmlformats.org/officeDocument/2006/relationships/hyperlink" Target="https://www.itu.int/md/meetingdoc.asp?lang=en&amp;parent=T17-TSAG-180226-TD-GEN-0205" TargetMode="External"/><Relationship Id="rId51" Type="http://schemas.openxmlformats.org/officeDocument/2006/relationships/hyperlink" Target="https://www.itu.int/md/T17-TSAG-200210-TD-GEN-0666" TargetMode="External"/><Relationship Id="rId561" Type="http://schemas.openxmlformats.org/officeDocument/2006/relationships/hyperlink" Target="https://www.itu.int/en/ITU-T/Workshops-and-Seminars/gsw/201804/Pages/Programme09.aspx" TargetMode="External"/><Relationship Id="rId659" Type="http://schemas.openxmlformats.org/officeDocument/2006/relationships/hyperlink" Target="https://www.itu.int/net/itu-t/cdb/secured/Register16.aspx" TargetMode="External"/><Relationship Id="rId866" Type="http://schemas.openxmlformats.org/officeDocument/2006/relationships/hyperlink" Target="https://www.itu.int/md/meetingdoc.asp?lang=en&amp;parent=T17-SG11-R-0011" TargetMode="External"/><Relationship Id="rId214" Type="http://schemas.openxmlformats.org/officeDocument/2006/relationships/hyperlink" Target="https://www.itu.int/md/T17-TSAG-190923-TD-GEN-0467" TargetMode="External"/><Relationship Id="rId298" Type="http://schemas.openxmlformats.org/officeDocument/2006/relationships/hyperlink" Target="http://academy.itu.int" TargetMode="External"/><Relationship Id="rId421" Type="http://schemas.openxmlformats.org/officeDocument/2006/relationships/hyperlink" Target="https://www.itu.int/en/ITU-T/Workshops-and-Seminars/bsg/201712/Pages/default.aspx" TargetMode="External"/><Relationship Id="rId519" Type="http://schemas.openxmlformats.org/officeDocument/2006/relationships/hyperlink" Target="https://www.itu.int/ITU-T/workprog/wp_item.aspx?isn=14774" TargetMode="External"/><Relationship Id="rId158" Type="http://schemas.openxmlformats.org/officeDocument/2006/relationships/hyperlink" Target="http://www.itu.int/itu-t/workprog/wp_item.aspx?isn=16371" TargetMode="External"/><Relationship Id="rId726" Type="http://schemas.openxmlformats.org/officeDocument/2006/relationships/hyperlink" Target="https://www.itu.int/en/ITU-T/studygroups/2017-2020/05/sg5rgafr/Pages/default.aspx" TargetMode="External"/><Relationship Id="rId933" Type="http://schemas.openxmlformats.org/officeDocument/2006/relationships/hyperlink" Target="https://www.itu.int/en/publications/Documents/tsb/2017-U4SSC-Collection-Methodology/index.html" TargetMode="External"/><Relationship Id="rId62" Type="http://schemas.openxmlformats.org/officeDocument/2006/relationships/hyperlink" Target="https://www.itu.int/md/T17-TSAG-211025-TD-GEN-1042" TargetMode="External"/><Relationship Id="rId365" Type="http://schemas.openxmlformats.org/officeDocument/2006/relationships/hyperlink" Target="https://www.itu.int/ITU-T/workprog/wp_search.aspx?isn_sp=3925&amp;isn_sg=3929&amp;isn_qu=4126&amp;isn_status=-1,1,3,7,2&amp;details=0&amp;field=acdefghijo" TargetMode="External"/><Relationship Id="rId572" Type="http://schemas.openxmlformats.org/officeDocument/2006/relationships/hyperlink" Target="https://www.itu.int/en/ITU-T/climatechange/Pages/20190709.aspx" TargetMode="External"/><Relationship Id="rId225" Type="http://schemas.openxmlformats.org/officeDocument/2006/relationships/hyperlink" Target="https://www.itu.int/md/T17-TSAG-211025-TD-GEN-1034" TargetMode="External"/><Relationship Id="rId432" Type="http://schemas.openxmlformats.org/officeDocument/2006/relationships/hyperlink" Target="https://www.itu.int/en/ITU-T/Workshops-and-Seminars/201705/Pages/default.aspx" TargetMode="External"/><Relationship Id="rId877" Type="http://schemas.openxmlformats.org/officeDocument/2006/relationships/hyperlink" Target="https://www.itu.int/net4/itu-t/landscape" TargetMode="External"/><Relationship Id="rId737" Type="http://schemas.openxmlformats.org/officeDocument/2006/relationships/hyperlink" Target="https://www.itu.int/ITU-T/workprog/wp_item.aspx?isn=14770" TargetMode="External"/><Relationship Id="rId944" Type="http://schemas.openxmlformats.org/officeDocument/2006/relationships/hyperlink" Target="https://www.itu.int/en/ITU-T/Workshops-and-Seminars/gsw/201704/Pages/default.aspx" TargetMode="External"/><Relationship Id="rId73" Type="http://schemas.openxmlformats.org/officeDocument/2006/relationships/hyperlink" Target="https://www.itu.int/md/meetingdoc.asp?lang=en&amp;parent=T17-TSAG-220110-TD-GEN-1197" TargetMode="External"/><Relationship Id="rId169" Type="http://schemas.openxmlformats.org/officeDocument/2006/relationships/hyperlink" Target="https://www.itu.int/en/irg/ava/Pages/default.aspx" TargetMode="External"/><Relationship Id="rId376" Type="http://schemas.openxmlformats.org/officeDocument/2006/relationships/hyperlink" Target="https://www.itu.int/md/T17-TSAG-211025-TD-GEN-1048" TargetMode="External"/><Relationship Id="rId583" Type="http://schemas.openxmlformats.org/officeDocument/2006/relationships/hyperlink" Target="https://www.itu.int/en/ITU-T/Workshops-and-Seminars/gsw/201910/Documents/9thGSW2019-Valencia-CalltoAction-RU.pdf" TargetMode="External"/><Relationship Id="rId790" Type="http://schemas.openxmlformats.org/officeDocument/2006/relationships/hyperlink" Target="https://www.itu.int/rec/T-REC-X.1277-201811-I" TargetMode="External"/><Relationship Id="rId804" Type="http://schemas.openxmlformats.org/officeDocument/2006/relationships/hyperlink" Target="https://www.itu.int/md/meetingdoc.asp?lang=en&amp;parent=T17-TSAG-180226-TD-GEN-0200" TargetMode="External"/><Relationship Id="rId4" Type="http://schemas.openxmlformats.org/officeDocument/2006/relationships/customXml" Target="../customXml/item4.xml"/><Relationship Id="rId236" Type="http://schemas.openxmlformats.org/officeDocument/2006/relationships/hyperlink" Target="https://tsbcloud.itu.int/" TargetMode="External"/><Relationship Id="rId443" Type="http://schemas.openxmlformats.org/officeDocument/2006/relationships/hyperlink" Target="https://www.itu.int/md/T17-SG02-190219-TD-GEN-0612/en" TargetMode="External"/><Relationship Id="rId650" Type="http://schemas.openxmlformats.org/officeDocument/2006/relationships/hyperlink" Target="https://ilac.org/signatory-search/" TargetMode="External"/><Relationship Id="rId888" Type="http://schemas.openxmlformats.org/officeDocument/2006/relationships/hyperlink" Target="https://www.itu.int/en/ITU-T/Workshops-and-Seminars/iot/201703/Documents/FORUMOUTCOME-Final-12March2017.docx" TargetMode="External"/><Relationship Id="rId303" Type="http://schemas.openxmlformats.org/officeDocument/2006/relationships/hyperlink" Target="https://www.itu.int/en/ITU-T/Workshops-and-Seminars/bsg/201910/Pages/default.aspx" TargetMode="External"/><Relationship Id="rId748" Type="http://schemas.openxmlformats.org/officeDocument/2006/relationships/hyperlink" Target="http://www.itu.int/itu-t/workprog/wp_item.aspx?isn=16367" TargetMode="External"/><Relationship Id="rId955" Type="http://schemas.openxmlformats.org/officeDocument/2006/relationships/hyperlink" Target="https://www.itu.int/en/ITU-D/Regional-Presence/AsiaPacific/Pages/Events/2018/ssceg2018/home.aspx" TargetMode="External"/><Relationship Id="rId84" Type="http://schemas.openxmlformats.org/officeDocument/2006/relationships/hyperlink" Target="https://www.itu.int/md/T17-TSAG-190923-TD-GEN-0508" TargetMode="External"/><Relationship Id="rId387" Type="http://schemas.openxmlformats.org/officeDocument/2006/relationships/hyperlink" Target="https://www.itu.int/md/meetingdoc.asp?lang=en&amp;parent=S18-CL-C-0018" TargetMode="External"/><Relationship Id="rId510" Type="http://schemas.openxmlformats.org/officeDocument/2006/relationships/hyperlink" Target="https://www.itu.int/net4/wsis/forum/2021/Agenda/Session/322" TargetMode="External"/><Relationship Id="rId594" Type="http://schemas.openxmlformats.org/officeDocument/2006/relationships/hyperlink" Target="https://www.itu.int/en/ITU-T/Workshops-and-Seminars/gsw/202112/Pages/day-01.aspx" TargetMode="External"/><Relationship Id="rId608" Type="http://schemas.openxmlformats.org/officeDocument/2006/relationships/hyperlink" Target="https://www.itu.int/en/ITU-T/climatechange/resources/Pages/env-and-ssc.aspx" TargetMode="External"/><Relationship Id="rId815" Type="http://schemas.openxmlformats.org/officeDocument/2006/relationships/hyperlink" Target="https://www.itu.int/en/ITU-T/Workshops-and-Seminars/qos/201707/Pages/default.aspx" TargetMode="External"/><Relationship Id="rId247" Type="http://schemas.openxmlformats.org/officeDocument/2006/relationships/hyperlink" Target="http://itu.int/go/itu-t/rgm-guide" TargetMode="External"/><Relationship Id="rId899" Type="http://schemas.openxmlformats.org/officeDocument/2006/relationships/hyperlink" Target="https://www.itu.int/en/ITU-T/ssc/united/Pages/default.aspx" TargetMode="External"/><Relationship Id="rId1000" Type="http://schemas.openxmlformats.org/officeDocument/2006/relationships/hyperlink" Target="https://www.itu.int/en/ITU-T/webinars/20220203/Pages/default.aspx" TargetMode="External"/><Relationship Id="rId107" Type="http://schemas.openxmlformats.org/officeDocument/2006/relationships/hyperlink" Target="https://www.itu.int/md/T17-TSAG-211025-TD-GEN-1047" TargetMode="External"/><Relationship Id="rId454" Type="http://schemas.openxmlformats.org/officeDocument/2006/relationships/hyperlink" Target="https://www.itu.int/md/meetingdoc.asp?lang=en&amp;parent=S18-CL-C-0033" TargetMode="External"/><Relationship Id="rId661" Type="http://schemas.openxmlformats.org/officeDocument/2006/relationships/hyperlink" Target="https://www.itu.int/net/itu-t/cdb/secured/reg-tldb.aspx" TargetMode="External"/><Relationship Id="rId759" Type="http://schemas.openxmlformats.org/officeDocument/2006/relationships/hyperlink" Target="https://www.itu.int/rec/T-REC-G.1033-201910-I/en" TargetMode="External"/><Relationship Id="rId966" Type="http://schemas.openxmlformats.org/officeDocument/2006/relationships/hyperlink" Target="https://www.itu.int/en/ITU-T/Workshops-and-Seminars/gsw/201910/Pages/programme-06.aspx" TargetMode="External"/><Relationship Id="rId11" Type="http://schemas.openxmlformats.org/officeDocument/2006/relationships/numbering" Target="numbering.xml"/><Relationship Id="rId314" Type="http://schemas.openxmlformats.org/officeDocument/2006/relationships/hyperlink" Target="https://www.itu.int/en/ITU-T/Workshops-and-Seminars/bsg/201710/Pages/default.aspx" TargetMode="External"/><Relationship Id="rId398" Type="http://schemas.openxmlformats.org/officeDocument/2006/relationships/hyperlink" Target="https://www.itu.int/en/ITU-T/webinars/Pages/dt4cc.aspx" TargetMode="External"/><Relationship Id="rId521" Type="http://schemas.openxmlformats.org/officeDocument/2006/relationships/hyperlink" Target="https://www.itu.int/itu-t/recommendations/rec.aspx?rec=14577" TargetMode="External"/><Relationship Id="rId619" Type="http://schemas.openxmlformats.org/officeDocument/2006/relationships/hyperlink" Target="https://www.itu.int/en/publications/Documents/tsb/2021-A-U4SSC-deliverable-Guidelines-on-tools-and-mechanisms-to-finance-SSC-projects/index.html" TargetMode="External"/><Relationship Id="rId95" Type="http://schemas.openxmlformats.org/officeDocument/2006/relationships/hyperlink" Target="https://www.itu.int/md/meetingdoc.asp?lang=en&amp;parent=T17-TSAG-181210-TD-GEN-0417" TargetMode="External"/><Relationship Id="rId160" Type="http://schemas.openxmlformats.org/officeDocument/2006/relationships/hyperlink" Target="http://www.itu.int/itu-t/workprog/wp_item.aspx?isn=16374" TargetMode="External"/><Relationship Id="rId826" Type="http://schemas.openxmlformats.org/officeDocument/2006/relationships/hyperlink" Target="https://www.itu.int/md/meetingdoc.asp?lang=en&amp;parent=S19-RCLINTPOL12-C-0002" TargetMode="External"/><Relationship Id="rId258" Type="http://schemas.openxmlformats.org/officeDocument/2006/relationships/hyperlink" Target="https://bigbluebutton.org/" TargetMode="External"/><Relationship Id="rId465" Type="http://schemas.openxmlformats.org/officeDocument/2006/relationships/hyperlink" Target="https://www.itu.int/md/meetingdoc.asp?lang=en&amp;parent=S21-CL-C-0033" TargetMode="External"/><Relationship Id="rId672" Type="http://schemas.openxmlformats.org/officeDocument/2006/relationships/hyperlink" Target="https://www.itu.int/net4/ITU-T/landscape" TargetMode="External"/><Relationship Id="rId22" Type="http://schemas.openxmlformats.org/officeDocument/2006/relationships/hyperlink" Target="https://www.itu.int/dms_pub/itu-s/md/21/sg/cir/S21-SG-CIR-0039!!PDF-E.pdf" TargetMode="External"/><Relationship Id="rId118" Type="http://schemas.openxmlformats.org/officeDocument/2006/relationships/hyperlink" Target="https://www.itu.int/md/T17-TSAG-211025-TD-GEN-1048" TargetMode="External"/><Relationship Id="rId325" Type="http://schemas.openxmlformats.org/officeDocument/2006/relationships/hyperlink" Target="https://www.itu.int/en/ITU-D/Regulatory-Market/Pages/Events2017/Zimbabwe/home.aspx" TargetMode="External"/><Relationship Id="rId532" Type="http://schemas.openxmlformats.org/officeDocument/2006/relationships/hyperlink" Target="https://www.itu.int/en/ITU-T/emf/Pages/activities.aspx" TargetMode="External"/><Relationship Id="rId977" Type="http://schemas.openxmlformats.org/officeDocument/2006/relationships/hyperlink" Target="https://www.itu.int/en/ITU-T/climatechange/Pages/20191014-meeting.aspx" TargetMode="External"/><Relationship Id="rId171" Type="http://schemas.openxmlformats.org/officeDocument/2006/relationships/hyperlink" Target="https://www.itu.int/en/irg/ibb/Pages/default.aspx" TargetMode="External"/><Relationship Id="rId837" Type="http://schemas.openxmlformats.org/officeDocument/2006/relationships/hyperlink" Target="https://www.itu.int/md/T17-SG12-211012-TD-GEN-1630/en" TargetMode="External"/><Relationship Id="rId269" Type="http://schemas.openxmlformats.org/officeDocument/2006/relationships/hyperlink" Target="https://extranet.itu.int/sites/itu-t/studygroups/2017-2020/sg2/SitePages/Numbering%20Applications%20Monitor.aspx" TargetMode="External"/><Relationship Id="rId476" Type="http://schemas.openxmlformats.org/officeDocument/2006/relationships/hyperlink" Target="http://www.itu.int/pub/T-RES-T.92-2016" TargetMode="External"/><Relationship Id="rId683" Type="http://schemas.openxmlformats.org/officeDocument/2006/relationships/hyperlink" Target="https://itu.int/go/safelistening/toolkit" TargetMode="External"/><Relationship Id="rId890" Type="http://schemas.openxmlformats.org/officeDocument/2006/relationships/hyperlink" Target="https://www.itu.int/en/ITU-T/webinars/Pages/dt4cc.aspx" TargetMode="External"/><Relationship Id="rId904" Type="http://schemas.openxmlformats.org/officeDocument/2006/relationships/hyperlink" Target="https://www.itu.int/en/publications/Documents/tsb/2017-U4SSC-Implementing-sustainable-devt/index.html" TargetMode="External"/><Relationship Id="rId33" Type="http://schemas.openxmlformats.org/officeDocument/2006/relationships/hyperlink" Target="https://www.itu.int/md/meetingdoc.asp?lang=en&amp;parent=T17-TSAG-180226-TD-GEN-0226" TargetMode="External"/><Relationship Id="rId129" Type="http://schemas.openxmlformats.org/officeDocument/2006/relationships/hyperlink" Target="https://www.itu.int/md/meetingdoc.asp?lang=en&amp;parent=T17-TSAG-200921-TD-GEN-0799" TargetMode="External"/><Relationship Id="rId336" Type="http://schemas.openxmlformats.org/officeDocument/2006/relationships/hyperlink" Target="https://www.itu.int/en/ITU-T/Workshops-and-Seminars/gsw/201704/Documents/Manifesto-Manizales-05-04-2017-Eng-Final.pdf" TargetMode="External"/><Relationship Id="rId543" Type="http://schemas.openxmlformats.org/officeDocument/2006/relationships/hyperlink" Target="https://www.itu.int/en/ITU-T/climatechange/Pages/1st-Digital-African-Week.aspx" TargetMode="External"/><Relationship Id="rId988" Type="http://schemas.openxmlformats.org/officeDocument/2006/relationships/hyperlink" Target="https://www.itu.int/en/ITU-T/webinars/Pages/dt4cc.aspx" TargetMode="External"/><Relationship Id="rId182" Type="http://schemas.openxmlformats.org/officeDocument/2006/relationships/hyperlink" Target="https://www.itu.int/md/meetingdoc.asp?lang=en&amp;parent=T17-WTSA.20-C-0023" TargetMode="External"/><Relationship Id="rId403" Type="http://schemas.openxmlformats.org/officeDocument/2006/relationships/hyperlink" Target="https://www.itu.int/en/ITU-T/Workshops-and-Seminars/bsg/201910/Pages/default.aspx" TargetMode="External"/><Relationship Id="rId750" Type="http://schemas.openxmlformats.org/officeDocument/2006/relationships/hyperlink" Target="http://www.itu.int/itu-t/workprog/wp_item.aspx?isn=16366" TargetMode="External"/><Relationship Id="rId848" Type="http://schemas.openxmlformats.org/officeDocument/2006/relationships/hyperlink" Target="https://www.itu.int/md/meetingdoc.asp?lang=en&amp;parent=T17-SG03-180409-TD-PLEN-0087" TargetMode="External"/><Relationship Id="rId487" Type="http://schemas.openxmlformats.org/officeDocument/2006/relationships/hyperlink" Target="https://www.itu.int/rec/T-REC-F.930-201803-I" TargetMode="External"/><Relationship Id="rId610" Type="http://schemas.openxmlformats.org/officeDocument/2006/relationships/hyperlink" Target="https://www.itu.int/en/itu-wsis/Pages/Contribution.aspx" TargetMode="External"/><Relationship Id="rId694" Type="http://schemas.openxmlformats.org/officeDocument/2006/relationships/hyperlink" Target="https://www.itu.int/en/ITU-T/Workshops-and-Seminars/gsw/201910/Pages/programme-04.aspx" TargetMode="External"/><Relationship Id="rId708" Type="http://schemas.openxmlformats.org/officeDocument/2006/relationships/hyperlink" Target="https://www.itu.int/md/T17-TSAG-200210-TD-GEN-0657" TargetMode="External"/><Relationship Id="rId915" Type="http://schemas.openxmlformats.org/officeDocument/2006/relationships/hyperlink" Target="https://www.itu.int/en/publications/Documents/tsb/2020-U4SSC-A-guide-to-circular-cities/index.html" TargetMode="External"/><Relationship Id="rId347" Type="http://schemas.openxmlformats.org/officeDocument/2006/relationships/hyperlink" Target="https://www.itu.int/md/meetingdoc.asp?lang=en&amp;parent=S18-CL-C-0035" TargetMode="External"/><Relationship Id="rId999" Type="http://schemas.openxmlformats.org/officeDocument/2006/relationships/hyperlink" Target="https://www.itu.int/en/ITU-T/webinars/Pages/dt4cc.aspx" TargetMode="External"/><Relationship Id="rId44" Type="http://schemas.openxmlformats.org/officeDocument/2006/relationships/hyperlink" Target="https://www.itu.int/md/T17-TSAG-190923-TD-GEN-0478" TargetMode="External"/><Relationship Id="rId554" Type="http://schemas.openxmlformats.org/officeDocument/2006/relationships/hyperlink" Target="http://newslog.itu.int/archives/1493" TargetMode="External"/><Relationship Id="rId761" Type="http://schemas.openxmlformats.org/officeDocument/2006/relationships/hyperlink" Target="https://figi.itu.int/figi-resources/working-groups/" TargetMode="External"/><Relationship Id="rId859" Type="http://schemas.openxmlformats.org/officeDocument/2006/relationships/hyperlink" Target="https://www.itu.int/md/meetingdoc.asp?lang=en&amp;parent=S21-CL-C-0035" TargetMode="External"/><Relationship Id="rId193" Type="http://schemas.openxmlformats.org/officeDocument/2006/relationships/hyperlink" Target="https://www.itu.int/md/meetingdoc.asp?lang=en&amp;parent=T17-TSAG-180226-TD-GEN-0139" TargetMode="External"/><Relationship Id="rId207" Type="http://schemas.openxmlformats.org/officeDocument/2006/relationships/hyperlink" Target="https://www.itu.int/ifa/t/2017/ls/tsag/sp16-tsag-oLS-00010.doc" TargetMode="External"/><Relationship Id="rId414" Type="http://schemas.openxmlformats.org/officeDocument/2006/relationships/hyperlink" Target="https://www.itu.int/en/ITU-T/Workshops-and-Seminars/bsg/201710/Pages/default.aspx" TargetMode="External"/><Relationship Id="rId498" Type="http://schemas.openxmlformats.org/officeDocument/2006/relationships/hyperlink" Target="https://www.itu.int/rec/T-REC-F.921" TargetMode="External"/><Relationship Id="rId621" Type="http://schemas.openxmlformats.org/officeDocument/2006/relationships/hyperlink" Target="https://www.itu.int/net4/CRM/SDG" TargetMode="External"/><Relationship Id="rId260" Type="http://schemas.openxmlformats.org/officeDocument/2006/relationships/hyperlink" Target="https://www.itu.int/en/ITU-T/ssc" TargetMode="External"/><Relationship Id="rId719" Type="http://schemas.openxmlformats.org/officeDocument/2006/relationships/hyperlink" Target="https://www.itu.int/ITU-T/workprog/wp_item.aspx?isn=14182" TargetMode="External"/><Relationship Id="rId926" Type="http://schemas.openxmlformats.org/officeDocument/2006/relationships/hyperlink" Target="https://www.itu.int/en/publications/Documents/tsb/2020-U4SSC-Blockchain-for-smart-sustainable-cities/index.html" TargetMode="External"/><Relationship Id="rId55" Type="http://schemas.openxmlformats.org/officeDocument/2006/relationships/hyperlink" Target="https://www.itu.int/md/meetingdoc.asp?lang=en&amp;parent=T17-TSAG-220110-TD-GEN-1195" TargetMode="External"/><Relationship Id="rId120" Type="http://schemas.openxmlformats.org/officeDocument/2006/relationships/hyperlink" Target="https://www.itu.int/md/meetingdoc.asp?lang=en&amp;parent=T17-TSAG-181210-TD-GEN-0312" TargetMode="External"/><Relationship Id="rId358" Type="http://schemas.openxmlformats.org/officeDocument/2006/relationships/hyperlink" Target="https://www.itu.int/en/ITU-T/webinars/20211206/Pages/default.aspx" TargetMode="External"/><Relationship Id="rId565" Type="http://schemas.openxmlformats.org/officeDocument/2006/relationships/hyperlink" Target="https://www.itu.int/en/ITU-T/climatechange/symposia/201905/Documents/Call_for_Action_AR.pdf" TargetMode="External"/><Relationship Id="rId772" Type="http://schemas.openxmlformats.org/officeDocument/2006/relationships/hyperlink" Target="https://www.iso.org/committee/6266604.html" TargetMode="External"/><Relationship Id="rId218" Type="http://schemas.openxmlformats.org/officeDocument/2006/relationships/hyperlink" Target="https://www.itu.int/md/meetingdoc.asp?lang=en&amp;parent=T17-TSAG-220110-TD-GEN-1186" TargetMode="External"/><Relationship Id="rId425" Type="http://schemas.openxmlformats.org/officeDocument/2006/relationships/hyperlink" Target="https://www.itu.int/en/ITU-T/Workshops-and-Seminars/bsg/201806/Pages/default.aspx" TargetMode="External"/><Relationship Id="rId632" Type="http://schemas.openxmlformats.org/officeDocument/2006/relationships/hyperlink" Target="https://www.itu.int/en/itu-wsis/Pages/Contribution.aspx" TargetMode="External"/><Relationship Id="rId271" Type="http://schemas.openxmlformats.org/officeDocument/2006/relationships/hyperlink" Target="https://www.itu.int/en/irg/Pages/default.aspx" TargetMode="External"/><Relationship Id="rId937" Type="http://schemas.openxmlformats.org/officeDocument/2006/relationships/hyperlink" Target="https://www.itu.int/en/ITU-T/ssc/united/Documents/U4SSC-Snapshots/City_Snapshot_Riyadh_Saudi-Arabia.pdf" TargetMode="External"/><Relationship Id="rId66" Type="http://schemas.openxmlformats.org/officeDocument/2006/relationships/hyperlink" Target="https://www.itu.int/md/meetingdoc.asp?lang=en&amp;parent=T17-TSAG-180226-TD-GEN-0151" TargetMode="External"/><Relationship Id="rId131" Type="http://schemas.openxmlformats.org/officeDocument/2006/relationships/hyperlink" Target="https://www.itu.int/md/meetingdoc.asp?lang=en&amp;parent=T17-TSAG-181210-TD-GEN-0312" TargetMode="External"/><Relationship Id="rId369" Type="http://schemas.openxmlformats.org/officeDocument/2006/relationships/hyperlink" Target="https://www.itu.int/en/ITU-T/studygroups/com17/ict/Pages/default.aspx" TargetMode="External"/><Relationship Id="rId576" Type="http://schemas.openxmlformats.org/officeDocument/2006/relationships/hyperlink" Target="https://www.itu.int/en/ITU-T/Workshops-and-Seminars/gsw/201910/Pages/programme-04.aspx" TargetMode="External"/><Relationship Id="rId783" Type="http://schemas.openxmlformats.org/officeDocument/2006/relationships/hyperlink" Target="https://figi.itu.int/event/fintech-for-inclusion/" TargetMode="External"/><Relationship Id="rId990" Type="http://schemas.openxmlformats.org/officeDocument/2006/relationships/hyperlink" Target="https://www.itu.int/en/ITU-T/webinars/20210914/Pages/default.aspx" TargetMode="External"/><Relationship Id="rId229" Type="http://schemas.openxmlformats.org/officeDocument/2006/relationships/hyperlink" Target="http://itu.int/go/itu-t/rgm" TargetMode="External"/><Relationship Id="rId436" Type="http://schemas.openxmlformats.org/officeDocument/2006/relationships/hyperlink" Target="https://www.itu.int/md/meetingdoc.asp?lang=en&amp;parent=T17-TSAG-181210-TD-GEN-0324" TargetMode="External"/><Relationship Id="rId643" Type="http://schemas.openxmlformats.org/officeDocument/2006/relationships/hyperlink" Target="https://www.itu.int/dms_pub/itu-s/md/18/cl/c/S18-CL-C-0035!!PDF-E.pdf" TargetMode="External"/><Relationship Id="rId850" Type="http://schemas.openxmlformats.org/officeDocument/2006/relationships/hyperlink" Target="http://www.itu.int/en/ITU-T/Workshops-and-Seminars/20170405/Pages/default.aspx" TargetMode="External"/><Relationship Id="rId948" Type="http://schemas.openxmlformats.org/officeDocument/2006/relationships/hyperlink" Target="https://www.itu.int/en/ITU-T/Workshops-and-Seminars/gsw/201804/Pages/Programme11.aspx" TargetMode="External"/><Relationship Id="rId77" Type="http://schemas.openxmlformats.org/officeDocument/2006/relationships/hyperlink" Target="https://www.itu.int/md/T17-TSAG-200210-TD-GEN-0668" TargetMode="External"/><Relationship Id="rId282" Type="http://schemas.openxmlformats.org/officeDocument/2006/relationships/hyperlink" Target="https://www.itu.int/md/T17-TSAG-190923-TD-GEN-0610" TargetMode="External"/><Relationship Id="rId503" Type="http://schemas.openxmlformats.org/officeDocument/2006/relationships/hyperlink" Target="https://www.itu.int/net4/wsis/forum/2019/Agenda/ViewSession/147" TargetMode="External"/><Relationship Id="rId587" Type="http://schemas.openxmlformats.org/officeDocument/2006/relationships/hyperlink" Target="https://www.itu.int/en/ITU-T/climatechange/Documents/Events/Webinar_%20using_%20international_%20standards_to_tackle_the_e-waste_challenge.pdf" TargetMode="External"/><Relationship Id="rId710" Type="http://schemas.openxmlformats.org/officeDocument/2006/relationships/hyperlink" Target="https://www.itu.int/md/T17-TSAG-210111-TD-GEN-0932" TargetMode="External"/><Relationship Id="rId808" Type="http://schemas.openxmlformats.org/officeDocument/2006/relationships/hyperlink" Target="https://www.itu.int/net4/ITU-T/nnp/" TargetMode="External"/><Relationship Id="rId8" Type="http://schemas.openxmlformats.org/officeDocument/2006/relationships/customXml" Target="../customXml/item8.xml"/><Relationship Id="rId142" Type="http://schemas.openxmlformats.org/officeDocument/2006/relationships/hyperlink" Target="https://www.itu.int/en/ITU-T/studygroups/2017-2020/05/Pages/event-20190520.aspx" TargetMode="External"/><Relationship Id="rId447" Type="http://schemas.openxmlformats.org/officeDocument/2006/relationships/hyperlink" Target="https://www.itu.int/md/S18-RCLINTPOL11-C-0002" TargetMode="External"/><Relationship Id="rId794" Type="http://schemas.openxmlformats.org/officeDocument/2006/relationships/hyperlink" Target="https://www.itu.int/md/meetingdoc.asp?lang=en&amp;parent=T17-TSAG-180226-TD-GEN-0229" TargetMode="External"/><Relationship Id="rId654" Type="http://schemas.openxmlformats.org/officeDocument/2006/relationships/hyperlink" Target="https://www.itu.int/md/meetingdoc.asp?lang=en&amp;parent=S20-CL-C-0035" TargetMode="External"/><Relationship Id="rId861" Type="http://schemas.openxmlformats.org/officeDocument/2006/relationships/hyperlink" Target="https://www.itu.int/en/ITU-T/Workshops-and-Seminars/20180723/Pages/default.aspx" TargetMode="External"/><Relationship Id="rId959" Type="http://schemas.openxmlformats.org/officeDocument/2006/relationships/hyperlink" Target="https://www.itu.int/en/ITU-T/Workshops-and-Seminars/201901/Pages/default.aspx" TargetMode="External"/><Relationship Id="rId293" Type="http://schemas.openxmlformats.org/officeDocument/2006/relationships/hyperlink" Target="https://www.itu.int/ITU-T/workprog/wp_item.aspx?isn=14423" TargetMode="External"/><Relationship Id="rId307" Type="http://schemas.openxmlformats.org/officeDocument/2006/relationships/hyperlink" Target="https://www.itu.int/en/ITU-T/Workshops-and-Seminars/bsg/201806/Pages/default.aspx" TargetMode="External"/><Relationship Id="rId514" Type="http://schemas.openxmlformats.org/officeDocument/2006/relationships/hyperlink" Target="http://www.itu.int/en/ITU-T/jca/ahf/Pages/default.aspx" TargetMode="External"/><Relationship Id="rId721" Type="http://schemas.openxmlformats.org/officeDocument/2006/relationships/hyperlink" Target="https://www.itu.int/net4/wsis/forum/2020/Agenda/Session/267" TargetMode="External"/><Relationship Id="rId88" Type="http://schemas.openxmlformats.org/officeDocument/2006/relationships/hyperlink" Target="https://www.itu.int/md/T17-TSAG-211025-TD-GEN-1045" TargetMode="External"/><Relationship Id="rId153" Type="http://schemas.openxmlformats.org/officeDocument/2006/relationships/hyperlink" Target="https://www.itu.int/net4/itu-t/landscape" TargetMode="External"/><Relationship Id="rId360" Type="http://schemas.openxmlformats.org/officeDocument/2006/relationships/hyperlink" Target="https://www.itu.int/md/meetingdoc.asp?lang=en&amp;parent=S17-CL-C-0018" TargetMode="External"/><Relationship Id="rId598" Type="http://schemas.openxmlformats.org/officeDocument/2006/relationships/hyperlink" Target="https://www.itu.int/en/ITU-D/Study-Groups/2018-2021/Pages/meetings/session-Q6-2-oct19.aspx" TargetMode="External"/><Relationship Id="rId819" Type="http://schemas.openxmlformats.org/officeDocument/2006/relationships/hyperlink" Target="https://www.itu.int/en/ITU-T/Workshops-and-Seminars/20180129/Pages/default.aspx" TargetMode="External"/><Relationship Id="rId1004" Type="http://schemas.openxmlformats.org/officeDocument/2006/relationships/footer" Target="footer2.xml"/><Relationship Id="rId220" Type="http://schemas.openxmlformats.org/officeDocument/2006/relationships/hyperlink" Target="https://www.itu.int/md/meetingdoc.asp?lang=en&amp;parent=T17-TSAG-170501-TD-GEN-0111" TargetMode="External"/><Relationship Id="rId458" Type="http://schemas.openxmlformats.org/officeDocument/2006/relationships/hyperlink" Target="https://www.itu.int/en/ITU-T/ipv6/Pages/default.aspx" TargetMode="External"/><Relationship Id="rId665" Type="http://schemas.openxmlformats.org/officeDocument/2006/relationships/hyperlink" Target="https://www.itu.int/net/itu-t/cdb/secured/reg-tldb.aspx" TargetMode="External"/><Relationship Id="rId872" Type="http://schemas.openxmlformats.org/officeDocument/2006/relationships/hyperlink" Target="https://www.itu.int/net4/itu-t/roadmap" TargetMode="External"/><Relationship Id="rId15" Type="http://schemas.openxmlformats.org/officeDocument/2006/relationships/footnotes" Target="footnotes.xml"/><Relationship Id="rId318" Type="http://schemas.openxmlformats.org/officeDocument/2006/relationships/hyperlink" Target="https://www.itu.int/en/ITU-T/Workshops-and-Seminars/bsg/112017/Pages/default.aspx" TargetMode="External"/><Relationship Id="rId525" Type="http://schemas.openxmlformats.org/officeDocument/2006/relationships/hyperlink" Target="https://www.itu.int/en/ITU-T/Workshops-and-Seminars/2021/0510/Pages/default.aspx" TargetMode="External"/><Relationship Id="rId732" Type="http://schemas.openxmlformats.org/officeDocument/2006/relationships/hyperlink" Target="https://www.itu.int/md/S18-CLEGITR3-C-0005/en" TargetMode="External"/><Relationship Id="rId99" Type="http://schemas.openxmlformats.org/officeDocument/2006/relationships/hyperlink" Target="https://www.itu.int/md/T17-TSAG-200210-TD-GEN-0670" TargetMode="External"/><Relationship Id="rId164" Type="http://schemas.openxmlformats.org/officeDocument/2006/relationships/hyperlink" Target="https://www.itu.int/ifa/t/2017/ls/tsag/sp16-tsag-oLS-00011.zip" TargetMode="External"/><Relationship Id="rId371" Type="http://schemas.openxmlformats.org/officeDocument/2006/relationships/hyperlink" Target="https://www.itu.int/md/meetingdoc.asp?lang=en&amp;parent=T17-TSAG-180226-TD-GEN-0236" TargetMode="External"/><Relationship Id="rId469" Type="http://schemas.openxmlformats.org/officeDocument/2006/relationships/hyperlink" Target="https://www.itu.int/md/T17-TSAG-190923-TD-GEN-0496" TargetMode="External"/><Relationship Id="rId676" Type="http://schemas.openxmlformats.org/officeDocument/2006/relationships/hyperlink" Target="https://www.itu.int/dms_pub/itu-t/opb/tut/T-TUT-IMT-2017-PDF-E.pdf" TargetMode="External"/><Relationship Id="rId883" Type="http://schemas.openxmlformats.org/officeDocument/2006/relationships/hyperlink" Target="https://www.itu.int/en/publications/Documents/tsb/2018-U4SSC-Case-of-Moscow/index.html" TargetMode="External"/><Relationship Id="rId26" Type="http://schemas.openxmlformats.org/officeDocument/2006/relationships/hyperlink" Target="https://www.itu.int/md/meetingdoc.asp?lang=en&amp;parent=T17-TSAG-220110-TD-GEN-1187" TargetMode="External"/><Relationship Id="rId231" Type="http://schemas.openxmlformats.org/officeDocument/2006/relationships/hyperlink" Target="https://www.itu.int/myworkspace" TargetMode="External"/><Relationship Id="rId329" Type="http://schemas.openxmlformats.org/officeDocument/2006/relationships/hyperlink" Target="https://www.itu.int/md/meetingdoc.asp?lang=en&amp;parent=T17-TSAG-170501-TD-GEN-0024" TargetMode="External"/><Relationship Id="rId536" Type="http://schemas.openxmlformats.org/officeDocument/2006/relationships/hyperlink" Target="https://www.itu.int/en/publications/Documents/tsb/2020-Frontier-Technologies-to-Protect-the-Environment-and-Tackle-Climate-Change/index.html" TargetMode="External"/><Relationship Id="rId175" Type="http://schemas.openxmlformats.org/officeDocument/2006/relationships/hyperlink" Target="https://www.itu.int/ifa/t/2017/ls/tsag/sp16-tsag-oLS-00010.doc" TargetMode="External"/><Relationship Id="rId743" Type="http://schemas.openxmlformats.org/officeDocument/2006/relationships/hyperlink" Target="http://www.itu.int/itu-t/workprog/wp_item.aspx?isn=14705" TargetMode="External"/><Relationship Id="rId950" Type="http://schemas.openxmlformats.org/officeDocument/2006/relationships/hyperlink" Target="https://www.itu.int/en/ITU-T/Workshops-and-Seminars/bsg/20180506/Pages/default.aspx" TargetMode="External"/><Relationship Id="rId382" Type="http://schemas.openxmlformats.org/officeDocument/2006/relationships/hyperlink" Target="https://www.itu.int/md/T17-TSAG-181210-TD-GEN-0309" TargetMode="External"/><Relationship Id="rId603" Type="http://schemas.openxmlformats.org/officeDocument/2006/relationships/hyperlink" Target="mailto:http://www.basel.int/Implementation/TechnicalAssistance/MOOC/tabid/4966/Default.aspx" TargetMode="External"/><Relationship Id="rId687" Type="http://schemas.openxmlformats.org/officeDocument/2006/relationships/hyperlink" Target="https://www.itu.int/rec/T-REC-F.780.1" TargetMode="External"/><Relationship Id="rId810" Type="http://schemas.openxmlformats.org/officeDocument/2006/relationships/hyperlink" Target="https://www.itu.int/en/ITU-T/Workshops-and-Seminars/201707/Pages/default.aspx" TargetMode="External"/><Relationship Id="rId908" Type="http://schemas.openxmlformats.org/officeDocument/2006/relationships/hyperlink" Target="https://www.itu.int/en/publications/Documents/tsb/2019-U4SSC-Smart-Dubai-Happiness-Meter-in-Dubai-United-Arab-Emirates/index.html" TargetMode="External"/><Relationship Id="rId242" Type="http://schemas.openxmlformats.org/officeDocument/2006/relationships/hyperlink" Target="https://www.itu.int/net4/ipr/search.aspx?sector=ITU&amp;class=PS" TargetMode="External"/><Relationship Id="rId894" Type="http://schemas.openxmlformats.org/officeDocument/2006/relationships/hyperlink" Target="https://www.itu.int/en/publications/Documents/tsb/2021-U4SSC-Compendium-of-survey-results/index.html" TargetMode="External"/><Relationship Id="rId37" Type="http://schemas.openxmlformats.org/officeDocument/2006/relationships/hyperlink" Target="https://www.itu.int/md/T17-TSAG-200210-TD-GEN-0665" TargetMode="External"/><Relationship Id="rId102" Type="http://schemas.openxmlformats.org/officeDocument/2006/relationships/hyperlink" Target="https://www.itu.int/md/meetingdoc.asp?lang=en&amp;parent=T17-TSAG-220110-TD-GEN-1199" TargetMode="External"/><Relationship Id="rId547" Type="http://schemas.openxmlformats.org/officeDocument/2006/relationships/hyperlink" Target="mailto:https://www.itu.int/en/action/environment-and-climate-change/Pages/ewaste.aspx" TargetMode="External"/><Relationship Id="rId754" Type="http://schemas.openxmlformats.org/officeDocument/2006/relationships/hyperlink" Target="https://www.itu.int/md/meetingdoc.asp?lang=en&amp;parent=S20-CL-C-0035" TargetMode="External"/><Relationship Id="rId961" Type="http://schemas.openxmlformats.org/officeDocument/2006/relationships/hyperlink" Target="https://www.itu.int/en/ITU-T/Workshops-and-Seminars/201905/Pages/default.aspx" TargetMode="External"/><Relationship Id="rId90" Type="http://schemas.openxmlformats.org/officeDocument/2006/relationships/hyperlink" Target="https://www.itu.int/md/meetingdoc.asp?lang=en&amp;parent=T17-TSAG-170501-TD-GEN-0032" TargetMode="External"/><Relationship Id="rId186" Type="http://schemas.openxmlformats.org/officeDocument/2006/relationships/hyperlink" Target="https://www.itu.int/md/meetingdoc.asp?lang=en&amp;parent=T17-TSAG-170501-TD-GEN-0053" TargetMode="External"/><Relationship Id="rId393" Type="http://schemas.openxmlformats.org/officeDocument/2006/relationships/hyperlink" Target="https://www.research.net/r/ITUTSG17CDCX1060" TargetMode="External"/><Relationship Id="rId407" Type="http://schemas.openxmlformats.org/officeDocument/2006/relationships/hyperlink" Target="https://www.itu.int/en/ITU-T/Workshops-and-Seminars/bsg/201703/Pages/default.aspx" TargetMode="External"/><Relationship Id="rId614" Type="http://schemas.openxmlformats.org/officeDocument/2006/relationships/hyperlink" Target="https://www.itu.int/net4/wsis/forum/2018/Pages/Agenda/Session/283" TargetMode="External"/><Relationship Id="rId821" Type="http://schemas.openxmlformats.org/officeDocument/2006/relationships/hyperlink" Target="http://www.ngmn.org/home.html" TargetMode="External"/><Relationship Id="rId253" Type="http://schemas.openxmlformats.org/officeDocument/2006/relationships/hyperlink" Target="https://www.itu.int/search" TargetMode="External"/><Relationship Id="rId460" Type="http://schemas.openxmlformats.org/officeDocument/2006/relationships/hyperlink" Target="https://www.itu.int/en/ITU-D/Regional-Presence/AsiaPacific/Pages/Events/2018/ssceg2018/home.aspx" TargetMode="External"/><Relationship Id="rId698" Type="http://schemas.openxmlformats.org/officeDocument/2006/relationships/hyperlink" Target="https://www.itu.int/en/ITU-T/Workshops-and-Seminars/gsw/202112/Pages/day-03.aspx" TargetMode="External"/><Relationship Id="rId919" Type="http://schemas.openxmlformats.org/officeDocument/2006/relationships/hyperlink" Target="https://www.itu.int/en/publications/Documents/tsb/2020-U4SSC-Case-study-Affordable-housing-and-social-inclusion/index.html" TargetMode="External"/><Relationship Id="rId48" Type="http://schemas.openxmlformats.org/officeDocument/2006/relationships/hyperlink" Target="https://www.itu.int/md/meetingdoc.asp?lang=en&amp;parent=T17-TSAG-180226-TD-GEN-0149" TargetMode="External"/><Relationship Id="rId113" Type="http://schemas.openxmlformats.org/officeDocument/2006/relationships/hyperlink" Target="https://www.itu.int/md/T17-TSAG-180226-TD-GEN-0238" TargetMode="External"/><Relationship Id="rId320" Type="http://schemas.openxmlformats.org/officeDocument/2006/relationships/hyperlink" Target="https://www.itu.int/en/ITU-T/Workshops-and-Seminars/bsg/201712/Pages/default.aspx" TargetMode="External"/><Relationship Id="rId558" Type="http://schemas.openxmlformats.org/officeDocument/2006/relationships/hyperlink" Target="https://www.itu.int/en/ITU-T/about/groups/Pages/sg05.aspx" TargetMode="External"/><Relationship Id="rId765" Type="http://schemas.openxmlformats.org/officeDocument/2006/relationships/hyperlink" Target="https://figi.itu.int/wp-content/uploads/2021/05/Security-audit-of-various-DFS-applications.pdf" TargetMode="External"/><Relationship Id="rId972" Type="http://schemas.openxmlformats.org/officeDocument/2006/relationships/hyperlink" Target="https://www.itu.int/en/ITU-T/Workshops-and-Seminars/gsw/201910/Documents/9thGSW2019-Valencia-CalltoAction-RU.pdf" TargetMode="External"/><Relationship Id="rId197" Type="http://schemas.openxmlformats.org/officeDocument/2006/relationships/hyperlink" Target="https://www.itu.int/md/meetingdoc.asp?lang=en&amp;parent=T17-TSAG-220110-TD-GEN-1186" TargetMode="External"/><Relationship Id="rId418" Type="http://schemas.openxmlformats.org/officeDocument/2006/relationships/hyperlink" Target="https://www.itu.int/en/ITU-T/Workshops-and-Seminars/bsg/201712/Pages/default.aspx" TargetMode="External"/><Relationship Id="rId625" Type="http://schemas.openxmlformats.org/officeDocument/2006/relationships/hyperlink" Target="https://www.itu.int/md/meetingdoc.asp?lang=en&amp;parent=S19-CL-C-0053" TargetMode="External"/><Relationship Id="rId832" Type="http://schemas.openxmlformats.org/officeDocument/2006/relationships/hyperlink" Target="https://www.itu.int/en/ITU-T/Workshops-and-Seminars/20190719/Pages/default.aspx" TargetMode="External"/><Relationship Id="rId264" Type="http://schemas.openxmlformats.org/officeDocument/2006/relationships/hyperlink" Target="https://www.itu.int/en/ITU-T/ssc/united/" TargetMode="External"/><Relationship Id="rId471" Type="http://schemas.openxmlformats.org/officeDocument/2006/relationships/hyperlink" Target="https://www.itu.int/md/T17-TSAG-210111-TD-GEN-0961" TargetMode="External"/><Relationship Id="rId59" Type="http://schemas.openxmlformats.org/officeDocument/2006/relationships/hyperlink" Target="https://www.itu.int/md/T17-TSAG-200210-TD-GEN-0719" TargetMode="External"/><Relationship Id="rId124" Type="http://schemas.openxmlformats.org/officeDocument/2006/relationships/hyperlink" Target="https://www.itu.int/md/T17-TSAG-210111-TD-GEN-0948" TargetMode="External"/><Relationship Id="rId569" Type="http://schemas.openxmlformats.org/officeDocument/2006/relationships/hyperlink" Target="https://www.itu.int/en/ITU-T/climatechange/symposia/201905/Documents/Call_for_Action_SPA.pdf" TargetMode="External"/><Relationship Id="rId776" Type="http://schemas.openxmlformats.org/officeDocument/2006/relationships/hyperlink" Target="https://www.itu.int/en/ITU-T/Workshops-and-Seminars/dfc/201710/Pages/default.aspx" TargetMode="External"/><Relationship Id="rId983" Type="http://schemas.openxmlformats.org/officeDocument/2006/relationships/hyperlink" Target="https://www.itu.int/en/ITU-T/climatechange/Pages/20210602.aspx" TargetMode="External"/><Relationship Id="rId331" Type="http://schemas.openxmlformats.org/officeDocument/2006/relationships/hyperlink" Target="https://www.itu.int/md/meetingdoc.asp?lang=en&amp;parent=T17-TSAG-181210-TD-GEN-0291" TargetMode="External"/><Relationship Id="rId429" Type="http://schemas.openxmlformats.org/officeDocument/2006/relationships/hyperlink" Target="https://www.itu.int/en/ITU-T/Workshops-and-Seminars/201909/Pages/default.aspx" TargetMode="External"/><Relationship Id="rId636" Type="http://schemas.openxmlformats.org/officeDocument/2006/relationships/hyperlink" Target="https://itu.int/go/SDTD" TargetMode="External"/><Relationship Id="rId843" Type="http://schemas.openxmlformats.org/officeDocument/2006/relationships/hyperlink" Target="https://www.itu.int/en/ITU-T/studygroups/2017-2020/12/Pages/1905-summary.aspx" TargetMode="External"/><Relationship Id="rId275" Type="http://schemas.openxmlformats.org/officeDocument/2006/relationships/hyperlink" Target="https://www.itu.int/en/ITU-T/studygroups/2017-2020/13/Pages/Tutorial-on-QKD.aspx" TargetMode="External"/><Relationship Id="rId482" Type="http://schemas.openxmlformats.org/officeDocument/2006/relationships/hyperlink" Target="https://www.itu.int/en/ITU-T/tsbdir/cto/Pages/default.aspx" TargetMode="External"/><Relationship Id="rId703" Type="http://schemas.openxmlformats.org/officeDocument/2006/relationships/hyperlink" Target="https://www.itu.int/en/journal/j-fet/Pages/default.aspx" TargetMode="External"/><Relationship Id="rId910" Type="http://schemas.openxmlformats.org/officeDocument/2006/relationships/hyperlink" Target="https://www.itu.int/en/publications/Documents/tsb/2019-U4SSC-Data-driven-energy-savings-in-the-Hyperdome-shopping-centre-in-Queensland-Australia/index.html" TargetMode="External"/><Relationship Id="rId135" Type="http://schemas.openxmlformats.org/officeDocument/2006/relationships/hyperlink" Target="https://www.itu.int/md/meetingdoc.asp?lang=en&amp;parent=T17-TSAG-200921-TD-GEN-0882" TargetMode="External"/><Relationship Id="rId342" Type="http://schemas.openxmlformats.org/officeDocument/2006/relationships/hyperlink" Target="https://www.itu.int/en/ITU-T/Workshops-and-Seminars/gsw/201910/Documents/9thGSW2019-Valencia-CalltoAction-CH.pdf" TargetMode="External"/><Relationship Id="rId787" Type="http://schemas.openxmlformats.org/officeDocument/2006/relationships/hyperlink" Target="https://figi.itu.int/event/digital-id/" TargetMode="External"/><Relationship Id="rId994" Type="http://schemas.openxmlformats.org/officeDocument/2006/relationships/hyperlink" Target="https://www.itu.int/en/ITU-T/webinars/20211206/Pages/default.aspx" TargetMode="External"/><Relationship Id="rId202" Type="http://schemas.openxmlformats.org/officeDocument/2006/relationships/hyperlink" Target="https://www.itu.int/md/T17-TSAG-190923-TD-GEN-0489" TargetMode="External"/><Relationship Id="rId647" Type="http://schemas.openxmlformats.org/officeDocument/2006/relationships/hyperlink" Target="http://www.itu.int/net/itu-t/cdb/ConformityDB.aspx" TargetMode="External"/><Relationship Id="rId854" Type="http://schemas.openxmlformats.org/officeDocument/2006/relationships/hyperlink" Target="https://www.itu.int/md/meetingdoc.asp?lang=en&amp;parent=T17-SG11-R-0011" TargetMode="External"/><Relationship Id="rId286" Type="http://schemas.openxmlformats.org/officeDocument/2006/relationships/hyperlink" Target="https://www.itu.int/ITU-T/recommendations/rec.aspx?rec=14367" TargetMode="External"/><Relationship Id="rId493" Type="http://schemas.openxmlformats.org/officeDocument/2006/relationships/hyperlink" Target="https://www.itu.int/ITU-T/workprog/wp_item.aspx?isn=14440" TargetMode="External"/><Relationship Id="rId507" Type="http://schemas.openxmlformats.org/officeDocument/2006/relationships/hyperlink" Target="https://www.itu.int/net4/wsis/forum/2020/Agenda/Session/124" TargetMode="External"/><Relationship Id="rId714" Type="http://schemas.openxmlformats.org/officeDocument/2006/relationships/hyperlink" Target="https://www.itu.int/md/S18-CLCWGFHRM8-C-0018" TargetMode="External"/><Relationship Id="rId921" Type="http://schemas.openxmlformats.org/officeDocument/2006/relationships/hyperlink" Target="https://www.itu.int/en/publications/Documents/tsb/2020-U4SSC-Case-study-Re-use-of-consumer-goods-and-tools-loaning/index.html" TargetMode="External"/><Relationship Id="rId50" Type="http://schemas.openxmlformats.org/officeDocument/2006/relationships/hyperlink" Target="https://www.itu.int/md/T17-TSAG-190923-TD-GEN-0479" TargetMode="External"/><Relationship Id="rId146" Type="http://schemas.openxmlformats.org/officeDocument/2006/relationships/hyperlink" Target="https://www.itu.int/en/ITU-T/Workshops-and-Seminars/20180506/Pages/default.aspx" TargetMode="External"/><Relationship Id="rId353" Type="http://schemas.openxmlformats.org/officeDocument/2006/relationships/hyperlink" Target="https://www.itu.int/md/S17-CL-C-0033/en" TargetMode="External"/><Relationship Id="rId560" Type="http://schemas.openxmlformats.org/officeDocument/2006/relationships/hyperlink" Target="https://www.itu.int/en/ITU-T/Workshops-and-Seminars/gsw/201804/Pages/default.aspx" TargetMode="External"/><Relationship Id="rId798" Type="http://schemas.openxmlformats.org/officeDocument/2006/relationships/hyperlink" Target="https://www.itu.int/md/meetingdoc.asp?lang=en&amp;parent=T17-TSAG-180226-TD-GEN-0202" TargetMode="External"/><Relationship Id="rId213" Type="http://schemas.openxmlformats.org/officeDocument/2006/relationships/hyperlink" Target="https://www.itu.int/md/meetingdoc.asp?lang=en&amp;parent=T17-TSAG-181210-TD-GEN-0292" TargetMode="External"/><Relationship Id="rId420" Type="http://schemas.openxmlformats.org/officeDocument/2006/relationships/hyperlink" Target="https://www.itu.int/en/ITU-T/Workshops-and-Seminars/bsg/201712/Pages/default.aspx" TargetMode="External"/><Relationship Id="rId658" Type="http://schemas.openxmlformats.org/officeDocument/2006/relationships/hyperlink" Target="https://www.itu.int/net/itu-t/cdb/ConformityDB.aspx" TargetMode="External"/><Relationship Id="rId865" Type="http://schemas.openxmlformats.org/officeDocument/2006/relationships/hyperlink" Target="https://www.itu.int/en/ITU-T/Workshops-and-Seminars/20180723/Pages/default.aspx" TargetMode="External"/><Relationship Id="rId297" Type="http://schemas.openxmlformats.org/officeDocument/2006/relationships/hyperlink" Target="http://www.itu.int/go/bridging" TargetMode="External"/><Relationship Id="rId518" Type="http://schemas.openxmlformats.org/officeDocument/2006/relationships/hyperlink" Target="https://www.itu.int/ITU-T/workprog/wp_item.aspx?isn=14773" TargetMode="External"/><Relationship Id="rId725" Type="http://schemas.openxmlformats.org/officeDocument/2006/relationships/hyperlink" Target="https://www.itu.int/en/ITU-T/climatechange/Pages/1st-Digital-African-Week.aspx" TargetMode="External"/><Relationship Id="rId932" Type="http://schemas.openxmlformats.org/officeDocument/2006/relationships/hyperlink" Target="https://www.itu.int/en/publications/Documents/tsb/2019-U4SSC-City-Science-Application-Framework/index.html" TargetMode="External"/><Relationship Id="rId157" Type="http://schemas.openxmlformats.org/officeDocument/2006/relationships/hyperlink" Target="https://www.itu.int/ITU-T/workprog/wp_item.aspx?isn=14439" TargetMode="External"/><Relationship Id="rId364" Type="http://schemas.openxmlformats.org/officeDocument/2006/relationships/hyperlink" Target="https://www.itu.int/md/meetingdoc.asp?lang=en&amp;parent=S21-CL-C-0018" TargetMode="External"/><Relationship Id="rId1008" Type="http://schemas.openxmlformats.org/officeDocument/2006/relationships/theme" Target="theme/theme1.xml"/><Relationship Id="rId61" Type="http://schemas.openxmlformats.org/officeDocument/2006/relationships/hyperlink" Target="https://www.itu.int/md/T17-TSAG-210111-TD-GEN-0923" TargetMode="External"/><Relationship Id="rId571" Type="http://schemas.openxmlformats.org/officeDocument/2006/relationships/hyperlink" Target="https://www.itu.int/en/ITU-T/studygroups/2017-2020/05/Pages/event-20190515.aspx" TargetMode="External"/><Relationship Id="rId669" Type="http://schemas.openxmlformats.org/officeDocument/2006/relationships/hyperlink" Target="https://www.itu.int/en/ITU-T/jca/sdn/Pages/default.aspx" TargetMode="External"/><Relationship Id="rId876" Type="http://schemas.openxmlformats.org/officeDocument/2006/relationships/hyperlink" Target="http://www.itu.int/en/ITU-T/jca/iot/Pages/default.aspx" TargetMode="External"/><Relationship Id="rId19" Type="http://schemas.openxmlformats.org/officeDocument/2006/relationships/hyperlink" Target="https://www.itu.int/dms_pub/itu-s/md/19/sg/cir/S19-SG-CIR-0045!!PDF-E.pdf" TargetMode="External"/><Relationship Id="rId224" Type="http://schemas.openxmlformats.org/officeDocument/2006/relationships/hyperlink" Target="https://www.itu.int/md/T17-TSAG-210111-TD-GEN-0935" TargetMode="External"/><Relationship Id="rId431" Type="http://schemas.openxmlformats.org/officeDocument/2006/relationships/hyperlink" Target="https://www.itu.int/en/ITU-T/Workshops-and-Seminars/20170405/Pages/default.aspx" TargetMode="External"/><Relationship Id="rId529" Type="http://schemas.openxmlformats.org/officeDocument/2006/relationships/hyperlink" Target="https://www.itu.int/en/ITU-T/Workshops-and-Seminars/gsw/201804/Pages/programme10.aspx" TargetMode="External"/><Relationship Id="rId736" Type="http://schemas.openxmlformats.org/officeDocument/2006/relationships/hyperlink" Target="https://www.itu.int/rec/T-REC-Y.Sup40/en" TargetMode="External"/><Relationship Id="rId168" Type="http://schemas.openxmlformats.org/officeDocument/2006/relationships/hyperlink" Target="https://www.itu.int/net/itu-t/ls/ls.aspx?isn=21666" TargetMode="External"/><Relationship Id="rId943" Type="http://schemas.openxmlformats.org/officeDocument/2006/relationships/hyperlink" Target="https://www.itu.int/en/ITU-T/Workshops-and-Seminars/iot/201703/Documents/FORUMOUTCOME-Final-12March2017.docx" TargetMode="External"/><Relationship Id="rId72" Type="http://schemas.openxmlformats.org/officeDocument/2006/relationships/hyperlink" Target="https://www.itu.int/md/T17-TSAG-211025-TD-GEN-1043" TargetMode="External"/><Relationship Id="rId375" Type="http://schemas.openxmlformats.org/officeDocument/2006/relationships/hyperlink" Target="https://www.itu.int/md/T17-TSAG-210111-TD-GEN-0947" TargetMode="External"/><Relationship Id="rId582" Type="http://schemas.openxmlformats.org/officeDocument/2006/relationships/hyperlink" Target="https://www.itu.int/en/ITU-T/Workshops-and-Seminars/gsw/201910/Documents/9thGSW2019-Valencia-CalltoAction-ES.pdf" TargetMode="External"/><Relationship Id="rId803" Type="http://schemas.openxmlformats.org/officeDocument/2006/relationships/hyperlink" Target="https://www.itu.int/md/meetingdoc.asp?lang=en&amp;parent=T17-TSAG-180226-TD-GEN-0195" TargetMode="External"/><Relationship Id="rId3" Type="http://schemas.openxmlformats.org/officeDocument/2006/relationships/customXml" Target="../customXml/item3.xml"/><Relationship Id="rId235" Type="http://schemas.openxmlformats.org/officeDocument/2006/relationships/hyperlink" Target="https://www.itu.int/myworkspace/" TargetMode="External"/><Relationship Id="rId442" Type="http://schemas.openxmlformats.org/officeDocument/2006/relationships/hyperlink" Target="https://www.itu.int/md/T17-SG02-180704-TD-GEN-0519/en" TargetMode="External"/><Relationship Id="rId887" Type="http://schemas.openxmlformats.org/officeDocument/2006/relationships/hyperlink" Target="https://www.itu.int/en/ITU-T/Workshops-and-Seminars/iot/201703/Pages/default.aspx" TargetMode="External"/><Relationship Id="rId302" Type="http://schemas.openxmlformats.org/officeDocument/2006/relationships/hyperlink" Target="https://www.itu.int/en/ITU-T/studygroups/2017-2020/13/sg13rgafr/Pages/default.aspx" TargetMode="External"/><Relationship Id="rId747" Type="http://schemas.openxmlformats.org/officeDocument/2006/relationships/hyperlink" Target="http://www.itu.int/itu-t/workprog/wp_item.aspx?isn=16653" TargetMode="External"/><Relationship Id="rId954" Type="http://schemas.openxmlformats.org/officeDocument/2006/relationships/hyperlink" Target="https://iotweek.org/iot-week-bilbao/" TargetMode="External"/><Relationship Id="rId83" Type="http://schemas.openxmlformats.org/officeDocument/2006/relationships/hyperlink" Target="https://www.itu.int/md/T17-TSAG-181210-TD-GEN-0306" TargetMode="External"/><Relationship Id="rId179" Type="http://schemas.openxmlformats.org/officeDocument/2006/relationships/hyperlink" Target="https://www.itu.int/ifa/t/2017/ls/tsag/sp16-tsag-oLS-00036.zip" TargetMode="External"/><Relationship Id="rId386" Type="http://schemas.openxmlformats.org/officeDocument/2006/relationships/hyperlink" Target="https://www.itu.int/md/meetingdoc.asp?lang=en&amp;parent=S17-CL-C-0018" TargetMode="External"/><Relationship Id="rId593" Type="http://schemas.openxmlformats.org/officeDocument/2006/relationships/hyperlink" Target="https://www.itu.int/en/ITU-T/Workshops-and-Seminars/sg05rg/sdtd/20210930/Pages/default.aspx" TargetMode="External"/><Relationship Id="rId607" Type="http://schemas.openxmlformats.org/officeDocument/2006/relationships/hyperlink" Target="https://www.itu.int/en/ITU-T/Workshops-and-Seminars/gsw/201804/Pages/Programme09.aspx" TargetMode="External"/><Relationship Id="rId814" Type="http://schemas.openxmlformats.org/officeDocument/2006/relationships/hyperlink" Target="http://www.itu.int/en/ITU-T/focusgroups/ml5g/Pages/default.aspx"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itu.int/ITU-T/worksem/climatechange/200907/index.html" TargetMode="External"/><Relationship Id="rId1" Type="http://schemas.openxmlformats.org/officeDocument/2006/relationships/hyperlink" Target="http://itu.int/ITU-T/inr/en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714706B5C8C0E7438BEF2951889CCA4F" ma:contentTypeVersion="1" ma:contentTypeDescription="Create a new document." ma:contentTypeScope="" ma:versionID="b61bf29a59bf658147a73706e998063f">
  <xsd:schema xmlns:xsd="http://www.w3.org/2001/XMLSchema" xmlns:xs="http://www.w3.org/2001/XMLSchema" xmlns:p="http://schemas.microsoft.com/office/2006/metadata/properties" xmlns:ns2="0d1600e8-004f-4c6f-afe8-0c63f3945779" targetNamespace="http://schemas.microsoft.com/office/2006/metadata/properties" ma:root="true" ma:fieldsID="dd1bcb1da1bc5c328eb547e2d10c4e77" ns2:_="">
    <xsd:import namespace="0d1600e8-004f-4c6f-afe8-0c63f394577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600e8-004f-4c6f-afe8-0c63f394577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FEA4A-A593-4F72-B795-E60828DBE906}">
  <ds:schemaRefs>
    <ds:schemaRef ds:uri="http://schemas.microsoft.com/office/2006/metadata/properties"/>
    <ds:schemaRef ds:uri="http://schemas.microsoft.com/office/infopath/2007/PartnerControls"/>
  </ds:schemaRefs>
</ds:datastoreItem>
</file>

<file path=customXml/itemProps10.xml><?xml version="1.0" encoding="utf-8"?>
<ds:datastoreItem xmlns:ds="http://schemas.openxmlformats.org/officeDocument/2006/customXml" ds:itemID="{6A3BDB64-770A-4545-828B-2D3BDB4F9922}">
  <ds:schemaRefs>
    <ds:schemaRef ds:uri="http://schemas.openxmlformats.org/officeDocument/2006/bibliography"/>
  </ds:schemaRefs>
</ds:datastoreItem>
</file>

<file path=customXml/itemProps2.xml><?xml version="1.0" encoding="utf-8"?>
<ds:datastoreItem xmlns:ds="http://schemas.openxmlformats.org/officeDocument/2006/customXml" ds:itemID="{4E665D23-3096-4854-BDBA-56640B40F908}">
  <ds:schemaRefs>
    <ds:schemaRef ds:uri="http://schemas.openxmlformats.org/officeDocument/2006/bibliography"/>
  </ds:schemaRefs>
</ds:datastoreItem>
</file>

<file path=customXml/itemProps3.xml><?xml version="1.0" encoding="utf-8"?>
<ds:datastoreItem xmlns:ds="http://schemas.openxmlformats.org/officeDocument/2006/customXml" ds:itemID="{333CDECB-F5BB-4290-9E61-5058DFCA2A3A}">
  <ds:schemaRefs>
    <ds:schemaRef ds:uri="http://schemas.microsoft.com/sharepoint/v3/contenttype/forms"/>
  </ds:schemaRefs>
</ds:datastoreItem>
</file>

<file path=customXml/itemProps4.xml><?xml version="1.0" encoding="utf-8"?>
<ds:datastoreItem xmlns:ds="http://schemas.openxmlformats.org/officeDocument/2006/customXml" ds:itemID="{B7E597FA-3F13-41F7-875A-E0F0E21B2EA2}">
  <ds:schemaRefs>
    <ds:schemaRef ds:uri="http://schemas.openxmlformats.org/officeDocument/2006/bibliography"/>
  </ds:schemaRefs>
</ds:datastoreItem>
</file>

<file path=customXml/itemProps5.xml><?xml version="1.0" encoding="utf-8"?>
<ds:datastoreItem xmlns:ds="http://schemas.openxmlformats.org/officeDocument/2006/customXml" ds:itemID="{0CB5817F-539F-41C7-B176-5C2C0E755E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1600e8-004f-4c6f-afe8-0c63f3945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82D41C2-E6CE-4B55-ACF3-4F7A583CBAE4}">
  <ds:schemaRefs>
    <ds:schemaRef ds:uri="http://schemas.openxmlformats.org/officeDocument/2006/bibliography"/>
  </ds:schemaRefs>
</ds:datastoreItem>
</file>

<file path=customXml/itemProps7.xml><?xml version="1.0" encoding="utf-8"?>
<ds:datastoreItem xmlns:ds="http://schemas.openxmlformats.org/officeDocument/2006/customXml" ds:itemID="{E6011E48-2937-4DBE-8F4F-4605BD9D79EB}">
  <ds:schemaRefs>
    <ds:schemaRef ds:uri="http://schemas.openxmlformats.org/officeDocument/2006/bibliography"/>
  </ds:schemaRefs>
</ds:datastoreItem>
</file>

<file path=customXml/itemProps8.xml><?xml version="1.0" encoding="utf-8"?>
<ds:datastoreItem xmlns:ds="http://schemas.openxmlformats.org/officeDocument/2006/customXml" ds:itemID="{F9C56627-2931-4A9C-B150-AAC7544ECC69}">
  <ds:schemaRefs>
    <ds:schemaRef ds:uri="http://schemas.openxmlformats.org/officeDocument/2006/bibliography"/>
  </ds:schemaRefs>
</ds:datastoreItem>
</file>

<file path=customXml/itemProps9.xml><?xml version="1.0" encoding="utf-8"?>
<ds:datastoreItem xmlns:ds="http://schemas.openxmlformats.org/officeDocument/2006/customXml" ds:itemID="{ADE25789-FB2C-4615-B44B-830074548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4880</TotalTime>
  <Pages>294</Pages>
  <Words>129156</Words>
  <Characters>736195</Characters>
  <Application>Microsoft Office Word</Application>
  <DocSecurity>0</DocSecurity>
  <Lines>6134</Lines>
  <Paragraphs>1727</Paragraphs>
  <ScaleCrop>false</ScaleCrop>
  <HeadingPairs>
    <vt:vector size="2" baseType="variant">
      <vt:variant>
        <vt:lpstr>Title</vt:lpstr>
      </vt:variant>
      <vt:variant>
        <vt:i4>1</vt:i4>
      </vt:variant>
    </vt:vector>
  </HeadingPairs>
  <TitlesOfParts>
    <vt:vector size="1" baseType="lpstr">
      <vt:lpstr>WTSA-16 Action Plan (2019)</vt:lpstr>
    </vt:vector>
  </TitlesOfParts>
  <Manager>ITU-T</Manager>
  <Company>International Telecommunication Union (ITU)</Company>
  <LinksUpToDate>false</LinksUpToDate>
  <CharactersWithSpaces>863624</CharactersWithSpaces>
  <SharedDoc>false</SharedDoc>
  <HLinks>
    <vt:vector size="7098" baseType="variant">
      <vt:variant>
        <vt:i4>7274612</vt:i4>
      </vt:variant>
      <vt:variant>
        <vt:i4>3885</vt:i4>
      </vt:variant>
      <vt:variant>
        <vt:i4>0</vt:i4>
      </vt:variant>
      <vt:variant>
        <vt:i4>5</vt:i4>
      </vt:variant>
      <vt:variant>
        <vt:lpwstr/>
      </vt:variant>
      <vt:variant>
        <vt:lpwstr>Top</vt:lpwstr>
      </vt:variant>
      <vt:variant>
        <vt:i4>7274612</vt:i4>
      </vt:variant>
      <vt:variant>
        <vt:i4>3882</vt:i4>
      </vt:variant>
      <vt:variant>
        <vt:i4>0</vt:i4>
      </vt:variant>
      <vt:variant>
        <vt:i4>5</vt:i4>
      </vt:variant>
      <vt:variant>
        <vt:lpwstr/>
      </vt:variant>
      <vt:variant>
        <vt:lpwstr>Top</vt:lpwstr>
      </vt:variant>
      <vt:variant>
        <vt:i4>6553706</vt:i4>
      </vt:variant>
      <vt:variant>
        <vt:i4>3879</vt:i4>
      </vt:variant>
      <vt:variant>
        <vt:i4>0</vt:i4>
      </vt:variant>
      <vt:variant>
        <vt:i4>5</vt:i4>
      </vt:variant>
      <vt:variant>
        <vt:lpwstr>https://www.itu.int/en/ITU-T/climatechange/Pages/publications.aspx</vt:lpwstr>
      </vt:variant>
      <vt:variant>
        <vt:lpwstr/>
      </vt:variant>
      <vt:variant>
        <vt:i4>851987</vt:i4>
      </vt:variant>
      <vt:variant>
        <vt:i4>3876</vt:i4>
      </vt:variant>
      <vt:variant>
        <vt:i4>0</vt:i4>
      </vt:variant>
      <vt:variant>
        <vt:i4>5</vt:i4>
      </vt:variant>
      <vt:variant>
        <vt:lpwstr>https://www.itu.int/en/ITU-T/climatechange/Pages/events.aspx</vt:lpwstr>
      </vt:variant>
      <vt:variant>
        <vt:lpwstr/>
      </vt:variant>
      <vt:variant>
        <vt:i4>393298</vt:i4>
      </vt:variant>
      <vt:variant>
        <vt:i4>3864</vt:i4>
      </vt:variant>
      <vt:variant>
        <vt:i4>0</vt:i4>
      </vt:variant>
      <vt:variant>
        <vt:i4>5</vt:i4>
      </vt:variant>
      <vt:variant>
        <vt:lpwstr>https://www.itu.int/en/ITU-T/webinars/20220203/Pages/default.aspx</vt:lpwstr>
      </vt:variant>
      <vt:variant>
        <vt:lpwstr/>
      </vt:variant>
      <vt:variant>
        <vt:i4>6946853</vt:i4>
      </vt:variant>
      <vt:variant>
        <vt:i4>3861</vt:i4>
      </vt:variant>
      <vt:variant>
        <vt:i4>0</vt:i4>
      </vt:variant>
      <vt:variant>
        <vt:i4>5</vt:i4>
      </vt:variant>
      <vt:variant>
        <vt:lpwstr>https://www.itu.int/en/ITU-T/webinars/Pages/dt4cc.aspx</vt:lpwstr>
      </vt:variant>
      <vt:variant>
        <vt:lpwstr/>
      </vt:variant>
      <vt:variant>
        <vt:i4>2949244</vt:i4>
      </vt:variant>
      <vt:variant>
        <vt:i4>3855</vt:i4>
      </vt:variant>
      <vt:variant>
        <vt:i4>0</vt:i4>
      </vt:variant>
      <vt:variant>
        <vt:i4>5</vt:i4>
      </vt:variant>
      <vt:variant>
        <vt:lpwstr>https://www.itu.int/net4/wsis/forum/2022/Agenda/Session/109</vt:lpwstr>
      </vt:variant>
      <vt:variant>
        <vt:lpwstr/>
      </vt:variant>
      <vt:variant>
        <vt:i4>131154</vt:i4>
      </vt:variant>
      <vt:variant>
        <vt:i4>3852</vt:i4>
      </vt:variant>
      <vt:variant>
        <vt:i4>0</vt:i4>
      </vt:variant>
      <vt:variant>
        <vt:i4>5</vt:i4>
      </vt:variant>
      <vt:variant>
        <vt:lpwstr>https://www.itu.int/en/ITU-T/webinars/20211214/Pages/default.aspx</vt:lpwstr>
      </vt:variant>
      <vt:variant>
        <vt:lpwstr/>
      </vt:variant>
      <vt:variant>
        <vt:i4>917587</vt:i4>
      </vt:variant>
      <vt:variant>
        <vt:i4>3849</vt:i4>
      </vt:variant>
      <vt:variant>
        <vt:i4>0</vt:i4>
      </vt:variant>
      <vt:variant>
        <vt:i4>5</vt:i4>
      </vt:variant>
      <vt:variant>
        <vt:lpwstr>https://www.itu.int/en/ITU-T/webinars/20211208/Pages/default.aspx</vt:lpwstr>
      </vt:variant>
      <vt:variant>
        <vt:lpwstr/>
      </vt:variant>
      <vt:variant>
        <vt:i4>65619</vt:i4>
      </vt:variant>
      <vt:variant>
        <vt:i4>3846</vt:i4>
      </vt:variant>
      <vt:variant>
        <vt:i4>0</vt:i4>
      </vt:variant>
      <vt:variant>
        <vt:i4>5</vt:i4>
      </vt:variant>
      <vt:variant>
        <vt:lpwstr>https://www.itu.int/en/ITU-T/webinars/20211207/Pages/default.aspx</vt:lpwstr>
      </vt:variant>
      <vt:variant>
        <vt:lpwstr/>
      </vt:variant>
      <vt:variant>
        <vt:i4>83</vt:i4>
      </vt:variant>
      <vt:variant>
        <vt:i4>3843</vt:i4>
      </vt:variant>
      <vt:variant>
        <vt:i4>0</vt:i4>
      </vt:variant>
      <vt:variant>
        <vt:i4>5</vt:i4>
      </vt:variant>
      <vt:variant>
        <vt:lpwstr>https://www.itu.int/en/ITU-T/webinars/20211206/Pages/default.aspx</vt:lpwstr>
      </vt:variant>
      <vt:variant>
        <vt:lpwstr/>
      </vt:variant>
      <vt:variant>
        <vt:i4>458835</vt:i4>
      </vt:variant>
      <vt:variant>
        <vt:i4>3840</vt:i4>
      </vt:variant>
      <vt:variant>
        <vt:i4>0</vt:i4>
      </vt:variant>
      <vt:variant>
        <vt:i4>5</vt:i4>
      </vt:variant>
      <vt:variant>
        <vt:lpwstr>https://www.itu.int/en/ITU-T/webinars/20211102/Pages/default.aspx</vt:lpwstr>
      </vt:variant>
      <vt:variant>
        <vt:lpwstr/>
      </vt:variant>
      <vt:variant>
        <vt:i4>589904</vt:i4>
      </vt:variant>
      <vt:variant>
        <vt:i4>3837</vt:i4>
      </vt:variant>
      <vt:variant>
        <vt:i4>0</vt:i4>
      </vt:variant>
      <vt:variant>
        <vt:i4>5</vt:i4>
      </vt:variant>
      <vt:variant>
        <vt:lpwstr>https://www.itu.int/en/ITU-T/webinars/20210924/Pages/default.aspx</vt:lpwstr>
      </vt:variant>
      <vt:variant>
        <vt:lpwstr/>
      </vt:variant>
      <vt:variant>
        <vt:i4>852048</vt:i4>
      </vt:variant>
      <vt:variant>
        <vt:i4>3834</vt:i4>
      </vt:variant>
      <vt:variant>
        <vt:i4>0</vt:i4>
      </vt:variant>
      <vt:variant>
        <vt:i4>5</vt:i4>
      </vt:variant>
      <vt:variant>
        <vt:lpwstr>https://www.itu.int/en/ITU-T/webinars/20210920/Pages/default.aspx</vt:lpwstr>
      </vt:variant>
      <vt:variant>
        <vt:lpwstr/>
      </vt:variant>
      <vt:variant>
        <vt:i4>589907</vt:i4>
      </vt:variant>
      <vt:variant>
        <vt:i4>3831</vt:i4>
      </vt:variant>
      <vt:variant>
        <vt:i4>0</vt:i4>
      </vt:variant>
      <vt:variant>
        <vt:i4>5</vt:i4>
      </vt:variant>
      <vt:variant>
        <vt:lpwstr>https://www.itu.int/en/ITU-T/webinars/20210914/Pages/default.aspx</vt:lpwstr>
      </vt:variant>
      <vt:variant>
        <vt:lpwstr/>
      </vt:variant>
      <vt:variant>
        <vt:i4>3997794</vt:i4>
      </vt:variant>
      <vt:variant>
        <vt:i4>3828</vt:i4>
      </vt:variant>
      <vt:variant>
        <vt:i4>0</vt:i4>
      </vt:variant>
      <vt:variant>
        <vt:i4>5</vt:i4>
      </vt:variant>
      <vt:variant>
        <vt:lpwstr>https://www.itu.int/en/ITU-T/webinars/202109/Pages/default.aspx</vt:lpwstr>
      </vt:variant>
      <vt:variant>
        <vt:lpwstr/>
      </vt:variant>
      <vt:variant>
        <vt:i4>6946853</vt:i4>
      </vt:variant>
      <vt:variant>
        <vt:i4>3825</vt:i4>
      </vt:variant>
      <vt:variant>
        <vt:i4>0</vt:i4>
      </vt:variant>
      <vt:variant>
        <vt:i4>5</vt:i4>
      </vt:variant>
      <vt:variant>
        <vt:lpwstr>https://www.itu.int/en/ITU-T/webinars/Pages/dt4cc.aspx</vt:lpwstr>
      </vt:variant>
      <vt:variant>
        <vt:lpwstr/>
      </vt:variant>
      <vt:variant>
        <vt:i4>327762</vt:i4>
      </vt:variant>
      <vt:variant>
        <vt:i4>3822</vt:i4>
      </vt:variant>
      <vt:variant>
        <vt:i4>0</vt:i4>
      </vt:variant>
      <vt:variant>
        <vt:i4>5</vt:i4>
      </vt:variant>
      <vt:variant>
        <vt:lpwstr>https://www.itu.int/en/ITU-T/webinars/20210908/Pages/default.aspx</vt:lpwstr>
      </vt:variant>
      <vt:variant>
        <vt:lpwstr/>
      </vt:variant>
      <vt:variant>
        <vt:i4>6094927</vt:i4>
      </vt:variant>
      <vt:variant>
        <vt:i4>3819</vt:i4>
      </vt:variant>
      <vt:variant>
        <vt:i4>0</vt:i4>
      </vt:variant>
      <vt:variant>
        <vt:i4>5</vt:i4>
      </vt:variant>
      <vt:variant>
        <vt:lpwstr>https://www.itu.int/en/ITU-T/Workshops-and-Seminars/2021/0621/Pages/default.aspx</vt:lpwstr>
      </vt:variant>
      <vt:variant>
        <vt:lpwstr/>
      </vt:variant>
      <vt:variant>
        <vt:i4>4653073</vt:i4>
      </vt:variant>
      <vt:variant>
        <vt:i4>3816</vt:i4>
      </vt:variant>
      <vt:variant>
        <vt:i4>0</vt:i4>
      </vt:variant>
      <vt:variant>
        <vt:i4>5</vt:i4>
      </vt:variant>
      <vt:variant>
        <vt:lpwstr>https://www.iso.org/home.html</vt:lpwstr>
      </vt:variant>
      <vt:variant>
        <vt:lpwstr/>
      </vt:variant>
      <vt:variant>
        <vt:i4>7929965</vt:i4>
      </vt:variant>
      <vt:variant>
        <vt:i4>3813</vt:i4>
      </vt:variant>
      <vt:variant>
        <vt:i4>0</vt:i4>
      </vt:variant>
      <vt:variant>
        <vt:i4>5</vt:i4>
      </vt:variant>
      <vt:variant>
        <vt:lpwstr>https://www.iec.ch/homepage</vt:lpwstr>
      </vt:variant>
      <vt:variant>
        <vt:lpwstr/>
      </vt:variant>
      <vt:variant>
        <vt:i4>7929981</vt:i4>
      </vt:variant>
      <vt:variant>
        <vt:i4>3810</vt:i4>
      </vt:variant>
      <vt:variant>
        <vt:i4>0</vt:i4>
      </vt:variant>
      <vt:variant>
        <vt:i4>5</vt:i4>
      </vt:variant>
      <vt:variant>
        <vt:lpwstr>https://www.itu.int/en/ITU-T/climatechange/Pages/20210602.aspx</vt:lpwstr>
      </vt:variant>
      <vt:variant>
        <vt:lpwstr/>
      </vt:variant>
      <vt:variant>
        <vt:i4>8061055</vt:i4>
      </vt:variant>
      <vt:variant>
        <vt:i4>3807</vt:i4>
      </vt:variant>
      <vt:variant>
        <vt:i4>0</vt:i4>
      </vt:variant>
      <vt:variant>
        <vt:i4>5</vt:i4>
      </vt:variant>
      <vt:variant>
        <vt:lpwstr>https://www.itu.int/en/ITU-T/climatechange/Pages/20210422.aspx</vt:lpwstr>
      </vt:variant>
      <vt:variant>
        <vt:lpwstr/>
      </vt:variant>
      <vt:variant>
        <vt:i4>2752639</vt:i4>
      </vt:variant>
      <vt:variant>
        <vt:i4>3804</vt:i4>
      </vt:variant>
      <vt:variant>
        <vt:i4>0</vt:i4>
      </vt:variant>
      <vt:variant>
        <vt:i4>5</vt:i4>
      </vt:variant>
      <vt:variant>
        <vt:lpwstr>https://www.itu.int/net4/wsis/forum/2021/Agenda/Session/249</vt:lpwstr>
      </vt:variant>
      <vt:variant>
        <vt:lpwstr/>
      </vt:variant>
      <vt:variant>
        <vt:i4>4718666</vt:i4>
      </vt:variant>
      <vt:variant>
        <vt:i4>3801</vt:i4>
      </vt:variant>
      <vt:variant>
        <vt:i4>0</vt:i4>
      </vt:variant>
      <vt:variant>
        <vt:i4>5</vt:i4>
      </vt:variant>
      <vt:variant>
        <vt:lpwstr>https://www.itu.int/en/ITU-T/climatechange/Pages/202012.aspx</vt:lpwstr>
      </vt:variant>
      <vt:variant>
        <vt:lpwstr/>
      </vt:variant>
      <vt:variant>
        <vt:i4>7864445</vt:i4>
      </vt:variant>
      <vt:variant>
        <vt:i4>3798</vt:i4>
      </vt:variant>
      <vt:variant>
        <vt:i4>0</vt:i4>
      </vt:variant>
      <vt:variant>
        <vt:i4>5</vt:i4>
      </vt:variant>
      <vt:variant>
        <vt:lpwstr>https://www.itu.int/en/ITU-T/climatechange/Pages/20201207.aspx</vt:lpwstr>
      </vt:variant>
      <vt:variant>
        <vt:lpwstr/>
      </vt:variant>
      <vt:variant>
        <vt:i4>4784206</vt:i4>
      </vt:variant>
      <vt:variant>
        <vt:i4>3795</vt:i4>
      </vt:variant>
      <vt:variant>
        <vt:i4>0</vt:i4>
      </vt:variant>
      <vt:variant>
        <vt:i4>5</vt:i4>
      </vt:variant>
      <vt:variant>
        <vt:lpwstr>https://www.itu.int/en/ITU-T/climatechange/Pages/202006.aspx</vt:lpwstr>
      </vt:variant>
      <vt:variant>
        <vt:lpwstr/>
      </vt:variant>
      <vt:variant>
        <vt:i4>2621555</vt:i4>
      </vt:variant>
      <vt:variant>
        <vt:i4>3792</vt:i4>
      </vt:variant>
      <vt:variant>
        <vt:i4>0</vt:i4>
      </vt:variant>
      <vt:variant>
        <vt:i4>5</vt:i4>
      </vt:variant>
      <vt:variant>
        <vt:lpwstr>https://www.itu.int/en/ITU-T/climatechange/Pages/20191014-meeting.aspx</vt:lpwstr>
      </vt:variant>
      <vt:variant>
        <vt:lpwstr/>
      </vt:variant>
      <vt:variant>
        <vt:i4>4718686</vt:i4>
      </vt:variant>
      <vt:variant>
        <vt:i4>3789</vt:i4>
      </vt:variant>
      <vt:variant>
        <vt:i4>0</vt:i4>
      </vt:variant>
      <vt:variant>
        <vt:i4>5</vt:i4>
      </vt:variant>
      <vt:variant>
        <vt:lpwstr>https://www.itu.int/en/ITU-T/climatechange/dpm/05/Pages/default.aspx</vt:lpwstr>
      </vt:variant>
      <vt:variant>
        <vt:lpwstr/>
      </vt:variant>
      <vt:variant>
        <vt:i4>6094922</vt:i4>
      </vt:variant>
      <vt:variant>
        <vt:i4>3786</vt:i4>
      </vt:variant>
      <vt:variant>
        <vt:i4>0</vt:i4>
      </vt:variant>
      <vt:variant>
        <vt:i4>5</vt:i4>
      </vt:variant>
      <vt:variant>
        <vt:lpwstr>https://www.itu.int/en/ITU-T/Workshops-and-Seminars/gsw/201910/Documents/9thGSW2019-Valencia-CalltoAction-CH.pdf</vt:lpwstr>
      </vt:variant>
      <vt:variant>
        <vt:lpwstr/>
      </vt:variant>
      <vt:variant>
        <vt:i4>4653135</vt:i4>
      </vt:variant>
      <vt:variant>
        <vt:i4>3783</vt:i4>
      </vt:variant>
      <vt:variant>
        <vt:i4>0</vt:i4>
      </vt:variant>
      <vt:variant>
        <vt:i4>5</vt:i4>
      </vt:variant>
      <vt:variant>
        <vt:lpwstr>https://www.itu.int/en/ITU-T/Workshops-and-Seminars/gsw/201910/Documents/9thGSW2019-Valencia-CalltoAction-FR.pdf</vt:lpwstr>
      </vt:variant>
      <vt:variant>
        <vt:lpwstr/>
      </vt:variant>
      <vt:variant>
        <vt:i4>4653128</vt:i4>
      </vt:variant>
      <vt:variant>
        <vt:i4>3780</vt:i4>
      </vt:variant>
      <vt:variant>
        <vt:i4>0</vt:i4>
      </vt:variant>
      <vt:variant>
        <vt:i4>5</vt:i4>
      </vt:variant>
      <vt:variant>
        <vt:lpwstr>https://www.itu.int/en/ITU-T/Workshops-and-Seminars/gsw/201910/Documents/9thGSW2019-Valencia-CalltoAction-AR.pdf</vt:lpwstr>
      </vt:variant>
      <vt:variant>
        <vt:lpwstr/>
      </vt:variant>
      <vt:variant>
        <vt:i4>4194395</vt:i4>
      </vt:variant>
      <vt:variant>
        <vt:i4>3777</vt:i4>
      </vt:variant>
      <vt:variant>
        <vt:i4>0</vt:i4>
      </vt:variant>
      <vt:variant>
        <vt:i4>5</vt:i4>
      </vt:variant>
      <vt:variant>
        <vt:lpwstr>https://www.itu.int/en/ITU-T/Workshops-and-Seminars/gsw/201910/Documents/9thGSW2019-Valencia-CalltoAction-RU.pdf</vt:lpwstr>
      </vt:variant>
      <vt:variant>
        <vt:lpwstr/>
      </vt:variant>
      <vt:variant>
        <vt:i4>4587596</vt:i4>
      </vt:variant>
      <vt:variant>
        <vt:i4>3774</vt:i4>
      </vt:variant>
      <vt:variant>
        <vt:i4>0</vt:i4>
      </vt:variant>
      <vt:variant>
        <vt:i4>5</vt:i4>
      </vt:variant>
      <vt:variant>
        <vt:lpwstr>https://www.itu.int/en/ITU-T/Workshops-and-Seminars/gsw/201910/Documents/9thGSW2019-Valencia-CalltoAction-ES.pdf</vt:lpwstr>
      </vt:variant>
      <vt:variant>
        <vt:lpwstr/>
      </vt:variant>
      <vt:variant>
        <vt:i4>5963852</vt:i4>
      </vt:variant>
      <vt:variant>
        <vt:i4>3771</vt:i4>
      </vt:variant>
      <vt:variant>
        <vt:i4>0</vt:i4>
      </vt:variant>
      <vt:variant>
        <vt:i4>5</vt:i4>
      </vt:variant>
      <vt:variant>
        <vt:lpwstr>https://www.itu.int/en/ITU-T/Workshops-and-Seminars/gsw/201910/Documents/9thGSW2019-Valencia-CalltoAction-EN.pdf</vt:lpwstr>
      </vt:variant>
      <vt:variant>
        <vt:lpwstr/>
      </vt:variant>
      <vt:variant>
        <vt:i4>6684714</vt:i4>
      </vt:variant>
      <vt:variant>
        <vt:i4>3768</vt:i4>
      </vt:variant>
      <vt:variant>
        <vt:i4>0</vt:i4>
      </vt:variant>
      <vt:variant>
        <vt:i4>5</vt:i4>
      </vt:variant>
      <vt:variant>
        <vt:lpwstr>https://www.itu.int/en/ITU-T/Workshops-and-Seminars/gsw/201910/Pages/programme-08.aspx</vt:lpwstr>
      </vt:variant>
      <vt:variant>
        <vt:lpwstr/>
      </vt:variant>
      <vt:variant>
        <vt:i4>6684711</vt:i4>
      </vt:variant>
      <vt:variant>
        <vt:i4>3765</vt:i4>
      </vt:variant>
      <vt:variant>
        <vt:i4>0</vt:i4>
      </vt:variant>
      <vt:variant>
        <vt:i4>5</vt:i4>
      </vt:variant>
      <vt:variant>
        <vt:lpwstr>https://www.itu.int/en/ITU-T/Workshops-and-Seminars/gsw/201910/Pages/programme-05.aspx</vt:lpwstr>
      </vt:variant>
      <vt:variant>
        <vt:lpwstr/>
      </vt:variant>
      <vt:variant>
        <vt:i4>6684709</vt:i4>
      </vt:variant>
      <vt:variant>
        <vt:i4>3762</vt:i4>
      </vt:variant>
      <vt:variant>
        <vt:i4>0</vt:i4>
      </vt:variant>
      <vt:variant>
        <vt:i4>5</vt:i4>
      </vt:variant>
      <vt:variant>
        <vt:lpwstr>https://www.itu.int/en/ITU-T/Workshops-and-Seminars/gsw/201910/Pages/programme-07.aspx</vt:lpwstr>
      </vt:variant>
      <vt:variant>
        <vt:lpwstr/>
      </vt:variant>
      <vt:variant>
        <vt:i4>6684708</vt:i4>
      </vt:variant>
      <vt:variant>
        <vt:i4>3759</vt:i4>
      </vt:variant>
      <vt:variant>
        <vt:i4>0</vt:i4>
      </vt:variant>
      <vt:variant>
        <vt:i4>5</vt:i4>
      </vt:variant>
      <vt:variant>
        <vt:lpwstr>https://www.itu.int/en/ITU-T/Workshops-and-Seminars/gsw/201910/Pages/programme-06.aspx</vt:lpwstr>
      </vt:variant>
      <vt:variant>
        <vt:lpwstr/>
      </vt:variant>
      <vt:variant>
        <vt:i4>6684710</vt:i4>
      </vt:variant>
      <vt:variant>
        <vt:i4>3756</vt:i4>
      </vt:variant>
      <vt:variant>
        <vt:i4>0</vt:i4>
      </vt:variant>
      <vt:variant>
        <vt:i4>5</vt:i4>
      </vt:variant>
      <vt:variant>
        <vt:lpwstr>https://www.itu.int/en/ITU-T/Workshops-and-Seminars/gsw/201910/Pages/programme-04.aspx</vt:lpwstr>
      </vt:variant>
      <vt:variant>
        <vt:lpwstr/>
      </vt:variant>
      <vt:variant>
        <vt:i4>6684705</vt:i4>
      </vt:variant>
      <vt:variant>
        <vt:i4>3753</vt:i4>
      </vt:variant>
      <vt:variant>
        <vt:i4>0</vt:i4>
      </vt:variant>
      <vt:variant>
        <vt:i4>5</vt:i4>
      </vt:variant>
      <vt:variant>
        <vt:lpwstr>https://www.itu.int/en/ITU-T/Workshops-and-Seminars/gsw/201910/Pages/programme-03.aspx</vt:lpwstr>
      </vt:variant>
      <vt:variant>
        <vt:lpwstr/>
      </vt:variant>
      <vt:variant>
        <vt:i4>6684704</vt:i4>
      </vt:variant>
      <vt:variant>
        <vt:i4>3750</vt:i4>
      </vt:variant>
      <vt:variant>
        <vt:i4>0</vt:i4>
      </vt:variant>
      <vt:variant>
        <vt:i4>5</vt:i4>
      </vt:variant>
      <vt:variant>
        <vt:lpwstr>https://www.itu.int/en/ITU-T/Workshops-and-Seminars/gsw/201910/Pages/programme-02.aspx</vt:lpwstr>
      </vt:variant>
      <vt:variant>
        <vt:lpwstr/>
      </vt:variant>
      <vt:variant>
        <vt:i4>1245213</vt:i4>
      </vt:variant>
      <vt:variant>
        <vt:i4>3747</vt:i4>
      </vt:variant>
      <vt:variant>
        <vt:i4>0</vt:i4>
      </vt:variant>
      <vt:variant>
        <vt:i4>5</vt:i4>
      </vt:variant>
      <vt:variant>
        <vt:lpwstr>https://iotweek.org/iot-week-bilbao/</vt:lpwstr>
      </vt:variant>
      <vt:variant>
        <vt:lpwstr/>
      </vt:variant>
      <vt:variant>
        <vt:i4>6094867</vt:i4>
      </vt:variant>
      <vt:variant>
        <vt:i4>3744</vt:i4>
      </vt:variant>
      <vt:variant>
        <vt:i4>0</vt:i4>
      </vt:variant>
      <vt:variant>
        <vt:i4>5</vt:i4>
      </vt:variant>
      <vt:variant>
        <vt:lpwstr>https://www.itu.int/en/ITU-T/Workshops-and-Seminars/201905/Pages/default.aspx</vt:lpwstr>
      </vt:variant>
      <vt:variant>
        <vt:lpwstr/>
      </vt:variant>
      <vt:variant>
        <vt:i4>5111831</vt:i4>
      </vt:variant>
      <vt:variant>
        <vt:i4>3741</vt:i4>
      </vt:variant>
      <vt:variant>
        <vt:i4>0</vt:i4>
      </vt:variant>
      <vt:variant>
        <vt:i4>5</vt:i4>
      </vt:variant>
      <vt:variant>
        <vt:lpwstr>https://www.itu.int/en/ITU-D/Regional-Presence/CIS/Pages/EVENTS/2019/02_Minsk/02_Minsk.aspx</vt:lpwstr>
      </vt:variant>
      <vt:variant>
        <vt:lpwstr/>
      </vt:variant>
      <vt:variant>
        <vt:i4>5832723</vt:i4>
      </vt:variant>
      <vt:variant>
        <vt:i4>3738</vt:i4>
      </vt:variant>
      <vt:variant>
        <vt:i4>0</vt:i4>
      </vt:variant>
      <vt:variant>
        <vt:i4>5</vt:i4>
      </vt:variant>
      <vt:variant>
        <vt:lpwstr>https://www.itu.int/en/ITU-T/Workshops-and-Seminars/201901/Pages/default.aspx</vt:lpwstr>
      </vt:variant>
      <vt:variant>
        <vt:lpwstr/>
      </vt:variant>
      <vt:variant>
        <vt:i4>5963794</vt:i4>
      </vt:variant>
      <vt:variant>
        <vt:i4>3735</vt:i4>
      </vt:variant>
      <vt:variant>
        <vt:i4>0</vt:i4>
      </vt:variant>
      <vt:variant>
        <vt:i4>5</vt:i4>
      </vt:variant>
      <vt:variant>
        <vt:lpwstr>https://www.itu.int/en/ITU-T/Workshops-and-Seminars/201812/Pages/default.aspx</vt:lpwstr>
      </vt:variant>
      <vt:variant>
        <vt:lpwstr/>
      </vt:variant>
      <vt:variant>
        <vt:i4>6750242</vt:i4>
      </vt:variant>
      <vt:variant>
        <vt:i4>3732</vt:i4>
      </vt:variant>
      <vt:variant>
        <vt:i4>0</vt:i4>
      </vt:variant>
      <vt:variant>
        <vt:i4>5</vt:i4>
      </vt:variant>
      <vt:variant>
        <vt:lpwstr>https://www.itu.int/en/ITU-T/Workshops-and-Seminars/20180917/Pages/default.aspx</vt:lpwstr>
      </vt:variant>
      <vt:variant>
        <vt:lpwstr/>
      </vt:variant>
      <vt:variant>
        <vt:i4>7077922</vt:i4>
      </vt:variant>
      <vt:variant>
        <vt:i4>3729</vt:i4>
      </vt:variant>
      <vt:variant>
        <vt:i4>0</vt:i4>
      </vt:variant>
      <vt:variant>
        <vt:i4>5</vt:i4>
      </vt:variant>
      <vt:variant>
        <vt:lpwstr>https://www.itu.int/en/ITU-T/Workshops-and-Seminars/20180712/Pages/default.aspx</vt:lpwstr>
      </vt:variant>
      <vt:variant>
        <vt:lpwstr/>
      </vt:variant>
      <vt:variant>
        <vt:i4>983134</vt:i4>
      </vt:variant>
      <vt:variant>
        <vt:i4>3726</vt:i4>
      </vt:variant>
      <vt:variant>
        <vt:i4>0</vt:i4>
      </vt:variant>
      <vt:variant>
        <vt:i4>5</vt:i4>
      </vt:variant>
      <vt:variant>
        <vt:lpwstr>https://www.itu.int/en/ITU-D/Regional-Presence/AsiaPacific/Pages/Events/2018/ssceg2018/home.aspx</vt:lpwstr>
      </vt:variant>
      <vt:variant>
        <vt:lpwstr/>
      </vt:variant>
      <vt:variant>
        <vt:i4>1245213</vt:i4>
      </vt:variant>
      <vt:variant>
        <vt:i4>3723</vt:i4>
      </vt:variant>
      <vt:variant>
        <vt:i4>0</vt:i4>
      </vt:variant>
      <vt:variant>
        <vt:i4>5</vt:i4>
      </vt:variant>
      <vt:variant>
        <vt:lpwstr>https://iotweek.org/iot-week-bilbao/</vt:lpwstr>
      </vt:variant>
      <vt:variant>
        <vt:lpwstr/>
      </vt:variant>
      <vt:variant>
        <vt:i4>7012387</vt:i4>
      </vt:variant>
      <vt:variant>
        <vt:i4>3720</vt:i4>
      </vt:variant>
      <vt:variant>
        <vt:i4>0</vt:i4>
      </vt:variant>
      <vt:variant>
        <vt:i4>5</vt:i4>
      </vt:variant>
      <vt:variant>
        <vt:lpwstr>https://www.itu.int/en/ITU-T/Workshops-and-Seminars/20180604/Pages/default.aspx</vt:lpwstr>
      </vt:variant>
      <vt:variant>
        <vt:lpwstr/>
      </vt:variant>
      <vt:variant>
        <vt:i4>720977</vt:i4>
      </vt:variant>
      <vt:variant>
        <vt:i4>3717</vt:i4>
      </vt:variant>
      <vt:variant>
        <vt:i4>0</vt:i4>
      </vt:variant>
      <vt:variant>
        <vt:i4>5</vt:i4>
      </vt:variant>
      <vt:variant>
        <vt:lpwstr>https://www.itu.int/en/ITU-T/Workshops-and-Seminars/20180531/Pages/Programme.aspx</vt:lpwstr>
      </vt:variant>
      <vt:variant>
        <vt:lpwstr/>
      </vt:variant>
      <vt:variant>
        <vt:i4>7077920</vt:i4>
      </vt:variant>
      <vt:variant>
        <vt:i4>3714</vt:i4>
      </vt:variant>
      <vt:variant>
        <vt:i4>0</vt:i4>
      </vt:variant>
      <vt:variant>
        <vt:i4>5</vt:i4>
      </vt:variant>
      <vt:variant>
        <vt:lpwstr>https://www.itu.int/en/ITU-T/Workshops-and-Seminars/20180530/Pages/default.aspx</vt:lpwstr>
      </vt:variant>
      <vt:variant>
        <vt:lpwstr/>
      </vt:variant>
      <vt:variant>
        <vt:i4>3538982</vt:i4>
      </vt:variant>
      <vt:variant>
        <vt:i4>3711</vt:i4>
      </vt:variant>
      <vt:variant>
        <vt:i4>0</vt:i4>
      </vt:variant>
      <vt:variant>
        <vt:i4>5</vt:i4>
      </vt:variant>
      <vt:variant>
        <vt:lpwstr>https://www.itu.int/en/ITU-T/Workshops-and-Seminars/bsg/20180506/Pages/default.aspx</vt:lpwstr>
      </vt:variant>
      <vt:variant>
        <vt:lpwstr/>
      </vt:variant>
      <vt:variant>
        <vt:i4>6946851</vt:i4>
      </vt:variant>
      <vt:variant>
        <vt:i4>3708</vt:i4>
      </vt:variant>
      <vt:variant>
        <vt:i4>0</vt:i4>
      </vt:variant>
      <vt:variant>
        <vt:i4>5</vt:i4>
      </vt:variant>
      <vt:variant>
        <vt:lpwstr>https://www.itu.int/en/ITU-T/Workshops-and-Seminars/20180506/Pages/default.aspx</vt:lpwstr>
      </vt:variant>
      <vt:variant>
        <vt:lpwstr/>
      </vt:variant>
      <vt:variant>
        <vt:i4>5636163</vt:i4>
      </vt:variant>
      <vt:variant>
        <vt:i4>3705</vt:i4>
      </vt:variant>
      <vt:variant>
        <vt:i4>0</vt:i4>
      </vt:variant>
      <vt:variant>
        <vt:i4>5</vt:i4>
      </vt:variant>
      <vt:variant>
        <vt:lpwstr>https://www.itu.int/en/ITU-T/Workshops-and-Seminars/gsw/201804/Pages/Programme11.aspx</vt:lpwstr>
      </vt:variant>
      <vt:variant>
        <vt:lpwstr/>
      </vt:variant>
      <vt:variant>
        <vt:i4>65539</vt:i4>
      </vt:variant>
      <vt:variant>
        <vt:i4>3702</vt:i4>
      </vt:variant>
      <vt:variant>
        <vt:i4>0</vt:i4>
      </vt:variant>
      <vt:variant>
        <vt:i4>5</vt:i4>
      </vt:variant>
      <vt:variant>
        <vt:lpwstr>https://www.itu.int/en/ITU-T/Workshops-and-Seminars/gsw/201804/Pages/default.aspx</vt:lpwstr>
      </vt:variant>
      <vt:variant>
        <vt:lpwstr/>
      </vt:variant>
      <vt:variant>
        <vt:i4>6422562</vt:i4>
      </vt:variant>
      <vt:variant>
        <vt:i4>3699</vt:i4>
      </vt:variant>
      <vt:variant>
        <vt:i4>0</vt:i4>
      </vt:variant>
      <vt:variant>
        <vt:i4>5</vt:i4>
      </vt:variant>
      <vt:variant>
        <vt:lpwstr>https://www.itu.int/en/ITU-T/Workshops-and-Seminars/20180219/Pages/default.aspx</vt:lpwstr>
      </vt:variant>
      <vt:variant>
        <vt:lpwstr/>
      </vt:variant>
      <vt:variant>
        <vt:i4>4194327</vt:i4>
      </vt:variant>
      <vt:variant>
        <vt:i4>3696</vt:i4>
      </vt:variant>
      <vt:variant>
        <vt:i4>0</vt:i4>
      </vt:variant>
      <vt:variant>
        <vt:i4>5</vt:i4>
      </vt:variant>
      <vt:variant>
        <vt:lpwstr>https://www.itu.int/en/ITU-D/Regional-Presence/CIS/Pages/EVENTS/2017/06_Saint_Petersburg/06_Saint_Petersburg.aspx</vt:lpwstr>
      </vt:variant>
      <vt:variant>
        <vt:lpwstr/>
      </vt:variant>
      <vt:variant>
        <vt:i4>917507</vt:i4>
      </vt:variant>
      <vt:variant>
        <vt:i4>3693</vt:i4>
      </vt:variant>
      <vt:variant>
        <vt:i4>0</vt:i4>
      </vt:variant>
      <vt:variant>
        <vt:i4>5</vt:i4>
      </vt:variant>
      <vt:variant>
        <vt:lpwstr>https://www.itu.int/en/ITU-T/Workshops-and-Seminars/gsw/201704/Pages/default.aspx</vt:lpwstr>
      </vt:variant>
      <vt:variant>
        <vt:lpwstr/>
      </vt:variant>
      <vt:variant>
        <vt:i4>1310749</vt:i4>
      </vt:variant>
      <vt:variant>
        <vt:i4>3690</vt:i4>
      </vt:variant>
      <vt:variant>
        <vt:i4>0</vt:i4>
      </vt:variant>
      <vt:variant>
        <vt:i4>5</vt:i4>
      </vt:variant>
      <vt:variant>
        <vt:lpwstr>https://www.itu.int/en/ITU-T/Workshops-and-Seminars/iot/201703/Documents/FORUMOUTCOME-Final-12March2017.docx</vt:lpwstr>
      </vt:variant>
      <vt:variant>
        <vt:lpwstr/>
      </vt:variant>
      <vt:variant>
        <vt:i4>1376270</vt:i4>
      </vt:variant>
      <vt:variant>
        <vt:i4>3687</vt:i4>
      </vt:variant>
      <vt:variant>
        <vt:i4>0</vt:i4>
      </vt:variant>
      <vt:variant>
        <vt:i4>5</vt:i4>
      </vt:variant>
      <vt:variant>
        <vt:lpwstr>https://www.itu.int/en/ITU-T/Workshops-and-Seminars/iot/201703/Pages/default.aspx</vt:lpwstr>
      </vt:variant>
      <vt:variant>
        <vt:lpwstr/>
      </vt:variant>
      <vt:variant>
        <vt:i4>3080309</vt:i4>
      </vt:variant>
      <vt:variant>
        <vt:i4>3684</vt:i4>
      </vt:variant>
      <vt:variant>
        <vt:i4>0</vt:i4>
      </vt:variant>
      <vt:variant>
        <vt:i4>5</vt:i4>
      </vt:variant>
      <vt:variant>
        <vt:lpwstr>https://www.itu.int/en/ITU-T/climatechange/resources/Pages/env-and-ssc.aspx</vt:lpwstr>
      </vt:variant>
      <vt:variant>
        <vt:lpwstr/>
      </vt:variant>
      <vt:variant>
        <vt:i4>7995493</vt:i4>
      </vt:variant>
      <vt:variant>
        <vt:i4>3681</vt:i4>
      </vt:variant>
      <vt:variant>
        <vt:i4>0</vt:i4>
      </vt:variant>
      <vt:variant>
        <vt:i4>5</vt:i4>
      </vt:variant>
      <vt:variant>
        <vt:lpwstr>https://www.itu.int/en/ITU-T/ssc/united/Documents/pully-%C3%A0-la-loupe-indicateurs-u4ssc-F.pdf</vt:lpwstr>
      </vt:variant>
      <vt:variant>
        <vt:lpwstr/>
      </vt:variant>
      <vt:variant>
        <vt:i4>1310784</vt:i4>
      </vt:variant>
      <vt:variant>
        <vt:i4>3678</vt:i4>
      </vt:variant>
      <vt:variant>
        <vt:i4>0</vt:i4>
      </vt:variant>
      <vt:variant>
        <vt:i4>5</vt:i4>
      </vt:variant>
      <vt:variant>
        <vt:lpwstr>https://www.itu.int/en/ITU-T/ssc/united/Documents/pully-under-the-microscope-u4ssc-E.pdf</vt:lpwstr>
      </vt:variant>
      <vt:variant>
        <vt:lpwstr/>
      </vt:variant>
      <vt:variant>
        <vt:i4>5832824</vt:i4>
      </vt:variant>
      <vt:variant>
        <vt:i4>3675</vt:i4>
      </vt:variant>
      <vt:variant>
        <vt:i4>0</vt:i4>
      </vt:variant>
      <vt:variant>
        <vt:i4>5</vt:i4>
      </vt:variant>
      <vt:variant>
        <vt:lpwstr>https://www.itu.int/en/ITU-T/ssc/united/Documents/U4SSC-Snapshots/City_Snapshot_Pully_Switzerland.pdf</vt:lpwstr>
      </vt:variant>
      <vt:variant>
        <vt:lpwstr/>
      </vt:variant>
      <vt:variant>
        <vt:i4>1900643</vt:i4>
      </vt:variant>
      <vt:variant>
        <vt:i4>3672</vt:i4>
      </vt:variant>
      <vt:variant>
        <vt:i4>0</vt:i4>
      </vt:variant>
      <vt:variant>
        <vt:i4>5</vt:i4>
      </vt:variant>
      <vt:variant>
        <vt:lpwstr>https://www.itu.int/en/ITU-T/ssc/united/Documents/U4SSC-Snapshots/City_Snapshot_Riyadh_Saudi-Arabia.pdf</vt:lpwstr>
      </vt:variant>
      <vt:variant>
        <vt:lpwstr/>
      </vt:variant>
      <vt:variant>
        <vt:i4>6815811</vt:i4>
      </vt:variant>
      <vt:variant>
        <vt:i4>3669</vt:i4>
      </vt:variant>
      <vt:variant>
        <vt:i4>0</vt:i4>
      </vt:variant>
      <vt:variant>
        <vt:i4>5</vt:i4>
      </vt:variant>
      <vt:variant>
        <vt:lpwstr>https://www.itu.int/en/ITU-T/ssc/united/Documents/U4SSC-Snapshots/City_Snapshot_Moscow_Russia.pdf</vt:lpwstr>
      </vt:variant>
      <vt:variant>
        <vt:lpwstr/>
      </vt:variant>
      <vt:variant>
        <vt:i4>2686989</vt:i4>
      </vt:variant>
      <vt:variant>
        <vt:i4>3666</vt:i4>
      </vt:variant>
      <vt:variant>
        <vt:i4>0</vt:i4>
      </vt:variant>
      <vt:variant>
        <vt:i4>5</vt:i4>
      </vt:variant>
      <vt:variant>
        <vt:lpwstr>https://www.itu.int/en/ITU-T/ssc/united/Documents/U4SSC-Snapshots/City_Snapshot_Bizerte_Tunisia.pdf</vt:lpwstr>
      </vt:variant>
      <vt:variant>
        <vt:lpwstr/>
      </vt:variant>
      <vt:variant>
        <vt:i4>6815832</vt:i4>
      </vt:variant>
      <vt:variant>
        <vt:i4>3663</vt:i4>
      </vt:variant>
      <vt:variant>
        <vt:i4>0</vt:i4>
      </vt:variant>
      <vt:variant>
        <vt:i4>5</vt:i4>
      </vt:variant>
      <vt:variant>
        <vt:lpwstr>https://www.itu.int/en/ITU-T/ssc/united/Documents/U4SSC-Snapshots/City_Snapshot_Alesund_Norway.pdf</vt:lpwstr>
      </vt:variant>
      <vt:variant>
        <vt:lpwstr/>
      </vt:variant>
      <vt:variant>
        <vt:i4>3735588</vt:i4>
      </vt:variant>
      <vt:variant>
        <vt:i4>3660</vt:i4>
      </vt:variant>
      <vt:variant>
        <vt:i4>0</vt:i4>
      </vt:variant>
      <vt:variant>
        <vt:i4>5</vt:i4>
      </vt:variant>
      <vt:variant>
        <vt:lpwstr>https://www.itu.int/en/publications/Documents/tsb/2017-U4SSC-Collection-Methodology/index.html</vt:lpwstr>
      </vt:variant>
      <vt:variant>
        <vt:lpwstr/>
      </vt:variant>
      <vt:variant>
        <vt:i4>2621493</vt:i4>
      </vt:variant>
      <vt:variant>
        <vt:i4>3657</vt:i4>
      </vt:variant>
      <vt:variant>
        <vt:i4>0</vt:i4>
      </vt:variant>
      <vt:variant>
        <vt:i4>5</vt:i4>
      </vt:variant>
      <vt:variant>
        <vt:lpwstr>https://www.itu.int/en/publications/Documents/tsb/2019-U4SSC-City-Science-Application-Framework/index.html</vt:lpwstr>
      </vt:variant>
      <vt:variant>
        <vt:lpwstr/>
      </vt:variant>
      <vt:variant>
        <vt:i4>6160401</vt:i4>
      </vt:variant>
      <vt:variant>
        <vt:i4>3654</vt:i4>
      </vt:variant>
      <vt:variant>
        <vt:i4>0</vt:i4>
      </vt:variant>
      <vt:variant>
        <vt:i4>5</vt:i4>
      </vt:variant>
      <vt:variant>
        <vt:lpwstr>https://www.itu.int/en/ITU-T/ssc/united/Pages/publications-U4SSC.aspx</vt:lpwstr>
      </vt:variant>
      <vt:variant>
        <vt:lpwstr/>
      </vt:variant>
      <vt:variant>
        <vt:i4>2097260</vt:i4>
      </vt:variant>
      <vt:variant>
        <vt:i4>3651</vt:i4>
      </vt:variant>
      <vt:variant>
        <vt:i4>0</vt:i4>
      </vt:variant>
      <vt:variant>
        <vt:i4>5</vt:i4>
      </vt:variant>
      <vt:variant>
        <vt:lpwstr>https://www.itu.int/en/publications/Documents/tsb/2021-U4SSC-Compendium-of-survey-results/index.html</vt:lpwstr>
      </vt:variant>
      <vt:variant>
        <vt:lpwstr>p=1</vt:lpwstr>
      </vt:variant>
      <vt:variant>
        <vt:i4>5505104</vt:i4>
      </vt:variant>
      <vt:variant>
        <vt:i4>3648</vt:i4>
      </vt:variant>
      <vt:variant>
        <vt:i4>0</vt:i4>
      </vt:variant>
      <vt:variant>
        <vt:i4>5</vt:i4>
      </vt:variant>
      <vt:variant>
        <vt:lpwstr>https://www.itu.int/en/publications/Documents/tsb/2021-U4SSC-Digital-solutions-for-integrated-city-management-and-use-cases/index.html</vt:lpwstr>
      </vt:variant>
      <vt:variant>
        <vt:lpwstr>p=1</vt:lpwstr>
      </vt:variant>
      <vt:variant>
        <vt:i4>1441870</vt:i4>
      </vt:variant>
      <vt:variant>
        <vt:i4>3645</vt:i4>
      </vt:variant>
      <vt:variant>
        <vt:i4>0</vt:i4>
      </vt:variant>
      <vt:variant>
        <vt:i4>5</vt:i4>
      </vt:variant>
      <vt:variant>
        <vt:lpwstr>https://www.itu.int/en/publications/Documents/tsb/2021-A-U4SSC-deliverable-Guidelines-on-tools-and-mechanisms-to-finance-SSC-projects/index.html</vt:lpwstr>
      </vt:variant>
      <vt:variant>
        <vt:lpwstr/>
      </vt:variant>
      <vt:variant>
        <vt:i4>7602209</vt:i4>
      </vt:variant>
      <vt:variant>
        <vt:i4>3642</vt:i4>
      </vt:variant>
      <vt:variant>
        <vt:i4>0</vt:i4>
      </vt:variant>
      <vt:variant>
        <vt:i4>5</vt:i4>
      </vt:variant>
      <vt:variant>
        <vt:lpwstr>https://www.itu.int/en/publications/Documents/tsb/2021-U4SSC-Simple-ways-to-be-smart/index.html</vt:lpwstr>
      </vt:variant>
      <vt:variant>
        <vt:lpwstr/>
      </vt:variant>
      <vt:variant>
        <vt:i4>6488106</vt:i4>
      </vt:variant>
      <vt:variant>
        <vt:i4>3639</vt:i4>
      </vt:variant>
      <vt:variant>
        <vt:i4>0</vt:i4>
      </vt:variant>
      <vt:variant>
        <vt:i4>5</vt:i4>
      </vt:variant>
      <vt:variant>
        <vt:lpwstr>https://www.itu.int/en/publications/Documents/tsb/2020-U4SSC-Blockchain-for-smart-sustainable-cities/index.html</vt:lpwstr>
      </vt:variant>
      <vt:variant>
        <vt:lpwstr/>
      </vt:variant>
      <vt:variant>
        <vt:i4>5177438</vt:i4>
      </vt:variant>
      <vt:variant>
        <vt:i4>3636</vt:i4>
      </vt:variant>
      <vt:variant>
        <vt:i4>0</vt:i4>
      </vt:variant>
      <vt:variant>
        <vt:i4>5</vt:i4>
      </vt:variant>
      <vt:variant>
        <vt:lpwstr>https://www.itu.int/en/publications/Documents/tsb/2020-U4SSC-Deliverable-Accelerating-city-transformation/index.html</vt:lpwstr>
      </vt:variant>
      <vt:variant>
        <vt:lpwstr/>
      </vt:variant>
      <vt:variant>
        <vt:i4>4063353</vt:i4>
      </vt:variant>
      <vt:variant>
        <vt:i4>3633</vt:i4>
      </vt:variant>
      <vt:variant>
        <vt:i4>0</vt:i4>
      </vt:variant>
      <vt:variant>
        <vt:i4>5</vt:i4>
      </vt:variant>
      <vt:variant>
        <vt:lpwstr>https://www.itu.int/en/publications/Documents/tsb/2020-U4SSC-Case-study-Circularity-to-promote-local-businesses-and-digitization/index.html</vt:lpwstr>
      </vt:variant>
      <vt:variant>
        <vt:lpwstr/>
      </vt:variant>
      <vt:variant>
        <vt:i4>8192039</vt:i4>
      </vt:variant>
      <vt:variant>
        <vt:i4>3630</vt:i4>
      </vt:variant>
      <vt:variant>
        <vt:i4>0</vt:i4>
      </vt:variant>
      <vt:variant>
        <vt:i4>5</vt:i4>
      </vt:variant>
      <vt:variant>
        <vt:lpwstr>https://www.itu.int/en/publications/Documents/tsb/2020-U4SSC-Case-study-Participatory-urban-planning/index.html</vt:lpwstr>
      </vt:variant>
      <vt:variant>
        <vt:lpwstr/>
      </vt:variant>
      <vt:variant>
        <vt:i4>3080296</vt:i4>
      </vt:variant>
      <vt:variant>
        <vt:i4>3627</vt:i4>
      </vt:variant>
      <vt:variant>
        <vt:i4>0</vt:i4>
      </vt:variant>
      <vt:variant>
        <vt:i4>5</vt:i4>
      </vt:variant>
      <vt:variant>
        <vt:lpwstr>https://www.itu.int/en/publications/Documents/tsb/2020-U4SSC-Case-study-Reducing-food-waste/index.html</vt:lpwstr>
      </vt:variant>
      <vt:variant>
        <vt:lpwstr/>
      </vt:variant>
      <vt:variant>
        <vt:i4>4390985</vt:i4>
      </vt:variant>
      <vt:variant>
        <vt:i4>3624</vt:i4>
      </vt:variant>
      <vt:variant>
        <vt:i4>0</vt:i4>
      </vt:variant>
      <vt:variant>
        <vt:i4>5</vt:i4>
      </vt:variant>
      <vt:variant>
        <vt:lpwstr>https://www.itu.int/en/publications/Documents/tsb/2020-U4SSC-Case-study-Re-use-of-consumer-goods-and-tools-loaning/index.html</vt:lpwstr>
      </vt:variant>
      <vt:variant>
        <vt:lpwstr/>
      </vt:variant>
      <vt:variant>
        <vt:i4>4849748</vt:i4>
      </vt:variant>
      <vt:variant>
        <vt:i4>3621</vt:i4>
      </vt:variant>
      <vt:variant>
        <vt:i4>0</vt:i4>
      </vt:variant>
      <vt:variant>
        <vt:i4>5</vt:i4>
      </vt:variant>
      <vt:variant>
        <vt:lpwstr>https://www.itu.int/en/publications/Documents/tsb/2020-U4SSC-Case-study-Urban-mobility/index.html</vt:lpwstr>
      </vt:variant>
      <vt:variant>
        <vt:lpwstr/>
      </vt:variant>
      <vt:variant>
        <vt:i4>4063343</vt:i4>
      </vt:variant>
      <vt:variant>
        <vt:i4>3618</vt:i4>
      </vt:variant>
      <vt:variant>
        <vt:i4>0</vt:i4>
      </vt:variant>
      <vt:variant>
        <vt:i4>5</vt:i4>
      </vt:variant>
      <vt:variant>
        <vt:lpwstr>https://www.itu.int/en/publications/Documents/tsb/2020-U4SSC-Case-study-Affordable-housing-and-social-inclusion/index.html</vt:lpwstr>
      </vt:variant>
      <vt:variant>
        <vt:lpwstr/>
      </vt:variant>
      <vt:variant>
        <vt:i4>7143529</vt:i4>
      </vt:variant>
      <vt:variant>
        <vt:i4>3615</vt:i4>
      </vt:variant>
      <vt:variant>
        <vt:i4>0</vt:i4>
      </vt:variant>
      <vt:variant>
        <vt:i4>5</vt:i4>
      </vt:variant>
      <vt:variant>
        <vt:lpwstr>https://www.itu.int/en/publications/Documents/tsb/2020-U4SSC-Case-study-City-solid-waste-management/index.html</vt:lpwstr>
      </vt:variant>
      <vt:variant>
        <vt:lpwstr/>
      </vt:variant>
      <vt:variant>
        <vt:i4>5242962</vt:i4>
      </vt:variant>
      <vt:variant>
        <vt:i4>3612</vt:i4>
      </vt:variant>
      <vt:variant>
        <vt:i4>0</vt:i4>
      </vt:variant>
      <vt:variant>
        <vt:i4>5</vt:i4>
      </vt:variant>
      <vt:variant>
        <vt:lpwstr>https://www.itu.int/en/publications/Documents/tsb/2020-U4SSC-Case-study-Energy-efficiency-in-buildings/index.html</vt:lpwstr>
      </vt:variant>
      <vt:variant>
        <vt:lpwstr/>
      </vt:variant>
      <vt:variant>
        <vt:i4>6160401</vt:i4>
      </vt:variant>
      <vt:variant>
        <vt:i4>3609</vt:i4>
      </vt:variant>
      <vt:variant>
        <vt:i4>0</vt:i4>
      </vt:variant>
      <vt:variant>
        <vt:i4>5</vt:i4>
      </vt:variant>
      <vt:variant>
        <vt:lpwstr>https://www.itu.int/en/ITU-T/ssc/united/Pages/publications-U4SSC.aspx</vt:lpwstr>
      </vt:variant>
      <vt:variant>
        <vt:lpwstr/>
      </vt:variant>
      <vt:variant>
        <vt:i4>3473514</vt:i4>
      </vt:variant>
      <vt:variant>
        <vt:i4>3606</vt:i4>
      </vt:variant>
      <vt:variant>
        <vt:i4>0</vt:i4>
      </vt:variant>
      <vt:variant>
        <vt:i4>5</vt:i4>
      </vt:variant>
      <vt:variant>
        <vt:lpwstr>https://www.itu.int/en/publications/Documents/tsb/2020-U4SSC-A-guide-to-circular-cities/index.html</vt:lpwstr>
      </vt:variant>
      <vt:variant>
        <vt:lpwstr/>
      </vt:variant>
      <vt:variant>
        <vt:i4>5111830</vt:i4>
      </vt:variant>
      <vt:variant>
        <vt:i4>3603</vt:i4>
      </vt:variant>
      <vt:variant>
        <vt:i4>0</vt:i4>
      </vt:variant>
      <vt:variant>
        <vt:i4>5</vt:i4>
      </vt:variant>
      <vt:variant>
        <vt:lpwstr>https://www.itu.int/en/publications/Documents/tsb/2019-U4SSC-Unlocking-the-potential-of-trust-based-AI-for-city-science-and-smarter-cities/index.html</vt:lpwstr>
      </vt:variant>
      <vt:variant>
        <vt:lpwstr/>
      </vt:variant>
      <vt:variant>
        <vt:i4>2424930</vt:i4>
      </vt:variant>
      <vt:variant>
        <vt:i4>3600</vt:i4>
      </vt:variant>
      <vt:variant>
        <vt:i4>0</vt:i4>
      </vt:variant>
      <vt:variant>
        <vt:i4>5</vt:i4>
      </vt:variant>
      <vt:variant>
        <vt:lpwstr>https://www.itu.int/en/publications/Documents/tsb/2019-U4SSC-Identifying-the-cascading-effects-on-vital-objects-during-flooding/index.html</vt:lpwstr>
      </vt:variant>
      <vt:variant>
        <vt:lpwstr/>
      </vt:variant>
      <vt:variant>
        <vt:i4>4456464</vt:i4>
      </vt:variant>
      <vt:variant>
        <vt:i4>3597</vt:i4>
      </vt:variant>
      <vt:variant>
        <vt:i4>0</vt:i4>
      </vt:variant>
      <vt:variant>
        <vt:i4>5</vt:i4>
      </vt:variant>
      <vt:variant>
        <vt:lpwstr>https://www.itu.int/en/publications/Documents/tsb/2019-U4SSC-Smart-Dubai-Rashid-City-Concierge/index.html</vt:lpwstr>
      </vt:variant>
      <vt:variant>
        <vt:lpwstr/>
      </vt:variant>
      <vt:variant>
        <vt:i4>327701</vt:i4>
      </vt:variant>
      <vt:variant>
        <vt:i4>3594</vt:i4>
      </vt:variant>
      <vt:variant>
        <vt:i4>0</vt:i4>
      </vt:variant>
      <vt:variant>
        <vt:i4>5</vt:i4>
      </vt:variant>
      <vt:variant>
        <vt:lpwstr>https://www.itu.int/en/publications/Documents/tsb/2019-U4SSC-Fine-dust-filtration-in-Stuttgart-Germany/index.html</vt:lpwstr>
      </vt:variant>
      <vt:variant>
        <vt:lpwstr/>
      </vt:variant>
      <vt:variant>
        <vt:i4>4128821</vt:i4>
      </vt:variant>
      <vt:variant>
        <vt:i4>3591</vt:i4>
      </vt:variant>
      <vt:variant>
        <vt:i4>0</vt:i4>
      </vt:variant>
      <vt:variant>
        <vt:i4>5</vt:i4>
      </vt:variant>
      <vt:variant>
        <vt:lpwstr>https://www.itu.int/en/publications/Documents/tsb/2019-U4SSC-Data-driven-energy-savings-in-the-Hyperdome-shopping-centre-in-Queensland-Australia/index.html</vt:lpwstr>
      </vt:variant>
      <vt:variant>
        <vt:lpwstr/>
      </vt:variant>
      <vt:variant>
        <vt:i4>5046360</vt:i4>
      </vt:variant>
      <vt:variant>
        <vt:i4>3588</vt:i4>
      </vt:variant>
      <vt:variant>
        <vt:i4>0</vt:i4>
      </vt:variant>
      <vt:variant>
        <vt:i4>5</vt:i4>
      </vt:variant>
      <vt:variant>
        <vt:lpwstr>https://www.itu.int/en/publications/Documents/tsb/2019-U4SSC-Crime-prediction-for-more-agile-policing-in-cities-Rio-de-Janeiro-Brazil/index.html</vt:lpwstr>
      </vt:variant>
      <vt:variant>
        <vt:lpwstr/>
      </vt:variant>
      <vt:variant>
        <vt:i4>5767176</vt:i4>
      </vt:variant>
      <vt:variant>
        <vt:i4>3585</vt:i4>
      </vt:variant>
      <vt:variant>
        <vt:i4>0</vt:i4>
      </vt:variant>
      <vt:variant>
        <vt:i4>5</vt:i4>
      </vt:variant>
      <vt:variant>
        <vt:lpwstr>https://www.itu.int/en/publications/Documents/tsb/2019-U4SSC-Smart-Dubai-Happiness-Meter-in-Dubai-United-Arab-Emirates/index.html</vt:lpwstr>
      </vt:variant>
      <vt:variant>
        <vt:lpwstr/>
      </vt:variant>
      <vt:variant>
        <vt:i4>1114186</vt:i4>
      </vt:variant>
      <vt:variant>
        <vt:i4>3582</vt:i4>
      </vt:variant>
      <vt:variant>
        <vt:i4>0</vt:i4>
      </vt:variant>
      <vt:variant>
        <vt:i4>5</vt:i4>
      </vt:variant>
      <vt:variant>
        <vt:lpwstr>https://www.itu.int/en/publications/Documents/tsb/2019-U4SSC-Air-quality-management-in-Southern-California-USA/index.html</vt:lpwstr>
      </vt:variant>
      <vt:variant>
        <vt:lpwstr/>
      </vt:variant>
      <vt:variant>
        <vt:i4>5505088</vt:i4>
      </vt:variant>
      <vt:variant>
        <vt:i4>3579</vt:i4>
      </vt:variant>
      <vt:variant>
        <vt:i4>0</vt:i4>
      </vt:variant>
      <vt:variant>
        <vt:i4>5</vt:i4>
      </vt:variant>
      <vt:variant>
        <vt:lpwstr>https://www.itu.int/en/ITU-T/ssc/united/Pages/city-science-case-studies.aspx</vt:lpwstr>
      </vt:variant>
      <vt:variant>
        <vt:lpwstr/>
      </vt:variant>
      <vt:variant>
        <vt:i4>2621493</vt:i4>
      </vt:variant>
      <vt:variant>
        <vt:i4>3576</vt:i4>
      </vt:variant>
      <vt:variant>
        <vt:i4>0</vt:i4>
      </vt:variant>
      <vt:variant>
        <vt:i4>5</vt:i4>
      </vt:variant>
      <vt:variant>
        <vt:lpwstr>https://www.itu.int/en/publications/Documents/tsb/2019-U4SSC-City-Science-Application-Framework/index.html</vt:lpwstr>
      </vt:variant>
      <vt:variant>
        <vt:lpwstr/>
      </vt:variant>
      <vt:variant>
        <vt:i4>1179732</vt:i4>
      </vt:variant>
      <vt:variant>
        <vt:i4>3573</vt:i4>
      </vt:variant>
      <vt:variant>
        <vt:i4>0</vt:i4>
      </vt:variant>
      <vt:variant>
        <vt:i4>5</vt:i4>
      </vt:variant>
      <vt:variant>
        <vt:lpwstr>https://www.itu.int/en/publications/Documents/tsb/2017-U4SSC-Implementing-sustainable-devt/index.html</vt:lpwstr>
      </vt:variant>
      <vt:variant>
        <vt:lpwstr/>
      </vt:variant>
      <vt:variant>
        <vt:i4>4</vt:i4>
      </vt:variant>
      <vt:variant>
        <vt:i4>3570</vt:i4>
      </vt:variant>
      <vt:variant>
        <vt:i4>0</vt:i4>
      </vt:variant>
      <vt:variant>
        <vt:i4>5</vt:i4>
      </vt:variant>
      <vt:variant>
        <vt:lpwstr>https://www.itu.int/en/publications/Documents/tsb/2017-U4SSC-Enhancing-innovation/index.html</vt:lpwstr>
      </vt:variant>
      <vt:variant>
        <vt:lpwstr/>
      </vt:variant>
      <vt:variant>
        <vt:i4>4325397</vt:i4>
      </vt:variant>
      <vt:variant>
        <vt:i4>3567</vt:i4>
      </vt:variant>
      <vt:variant>
        <vt:i4>0</vt:i4>
      </vt:variant>
      <vt:variant>
        <vt:i4>5</vt:i4>
      </vt:variant>
      <vt:variant>
        <vt:lpwstr>https://www.itu.int/en/publications/Documents/tsb/2017-U4SSC-Deliverable-Connecting-Cities/index.html</vt:lpwstr>
      </vt:variant>
      <vt:variant>
        <vt:lpwstr/>
      </vt:variant>
      <vt:variant>
        <vt:i4>1507401</vt:i4>
      </vt:variant>
      <vt:variant>
        <vt:i4>3564</vt:i4>
      </vt:variant>
      <vt:variant>
        <vt:i4>0</vt:i4>
      </vt:variant>
      <vt:variant>
        <vt:i4>5</vt:i4>
      </vt:variant>
      <vt:variant>
        <vt:lpwstr>https://www.itu.int/en/publications/Documents/tsb/2017-U4SSC-Collection-Methodology/mobile/index.html</vt:lpwstr>
      </vt:variant>
      <vt:variant>
        <vt:lpwstr/>
      </vt:variant>
      <vt:variant>
        <vt:i4>1245279</vt:i4>
      </vt:variant>
      <vt:variant>
        <vt:i4>3561</vt:i4>
      </vt:variant>
      <vt:variant>
        <vt:i4>0</vt:i4>
      </vt:variant>
      <vt:variant>
        <vt:i4>5</vt:i4>
      </vt:variant>
      <vt:variant>
        <vt:lpwstr>https://www.itu.int/en/ITU-T/ssc/united/</vt:lpwstr>
      </vt:variant>
      <vt:variant>
        <vt:lpwstr/>
      </vt:variant>
      <vt:variant>
        <vt:i4>7667753</vt:i4>
      </vt:variant>
      <vt:variant>
        <vt:i4>3558</vt:i4>
      </vt:variant>
      <vt:variant>
        <vt:i4>0</vt:i4>
      </vt:variant>
      <vt:variant>
        <vt:i4>5</vt:i4>
      </vt:variant>
      <vt:variant>
        <vt:lpwstr>https://www.itu.int/en/ITU-T/ssc/united/Pages/default.aspx</vt:lpwstr>
      </vt:variant>
      <vt:variant>
        <vt:lpwstr/>
      </vt:variant>
      <vt:variant>
        <vt:i4>786460</vt:i4>
      </vt:variant>
      <vt:variant>
        <vt:i4>3555</vt:i4>
      </vt:variant>
      <vt:variant>
        <vt:i4>0</vt:i4>
      </vt:variant>
      <vt:variant>
        <vt:i4>5</vt:i4>
      </vt:variant>
      <vt:variant>
        <vt:lpwstr>https://www.itu.int/en/ITU-T/ssc/united/Pages/publication-U4SSC-KPIs.aspx</vt:lpwstr>
      </vt:variant>
      <vt:variant>
        <vt:lpwstr/>
      </vt:variant>
      <vt:variant>
        <vt:i4>3735588</vt:i4>
      </vt:variant>
      <vt:variant>
        <vt:i4>3552</vt:i4>
      </vt:variant>
      <vt:variant>
        <vt:i4>0</vt:i4>
      </vt:variant>
      <vt:variant>
        <vt:i4>5</vt:i4>
      </vt:variant>
      <vt:variant>
        <vt:lpwstr>https://www.itu.int/en/publications/Documents/tsb/2017-U4SSC-Collection-Methodology/index.html</vt:lpwstr>
      </vt:variant>
      <vt:variant>
        <vt:lpwstr/>
      </vt:variant>
      <vt:variant>
        <vt:i4>851987</vt:i4>
      </vt:variant>
      <vt:variant>
        <vt:i4>3549</vt:i4>
      </vt:variant>
      <vt:variant>
        <vt:i4>0</vt:i4>
      </vt:variant>
      <vt:variant>
        <vt:i4>5</vt:i4>
      </vt:variant>
      <vt:variant>
        <vt:lpwstr>https://www.itu.int/en/ITU-T/climatechange/Pages/events.aspx</vt:lpwstr>
      </vt:variant>
      <vt:variant>
        <vt:lpwstr/>
      </vt:variant>
      <vt:variant>
        <vt:i4>3080309</vt:i4>
      </vt:variant>
      <vt:variant>
        <vt:i4>3546</vt:i4>
      </vt:variant>
      <vt:variant>
        <vt:i4>0</vt:i4>
      </vt:variant>
      <vt:variant>
        <vt:i4>5</vt:i4>
      </vt:variant>
      <vt:variant>
        <vt:lpwstr>https://www.itu.int/en/ITU-T/climatechange/resources/Pages/env-and-ssc.aspx</vt:lpwstr>
      </vt:variant>
      <vt:variant>
        <vt:lpwstr/>
      </vt:variant>
      <vt:variant>
        <vt:i4>2097260</vt:i4>
      </vt:variant>
      <vt:variant>
        <vt:i4>3543</vt:i4>
      </vt:variant>
      <vt:variant>
        <vt:i4>0</vt:i4>
      </vt:variant>
      <vt:variant>
        <vt:i4>5</vt:i4>
      </vt:variant>
      <vt:variant>
        <vt:lpwstr>https://www.itu.int/en/publications/Documents/tsb/2021-U4SSC-Compendium-of-survey-results/index.html</vt:lpwstr>
      </vt:variant>
      <vt:variant>
        <vt:lpwstr>p=1</vt:lpwstr>
      </vt:variant>
      <vt:variant>
        <vt:i4>5505104</vt:i4>
      </vt:variant>
      <vt:variant>
        <vt:i4>3540</vt:i4>
      </vt:variant>
      <vt:variant>
        <vt:i4>0</vt:i4>
      </vt:variant>
      <vt:variant>
        <vt:i4>5</vt:i4>
      </vt:variant>
      <vt:variant>
        <vt:lpwstr>https://www.itu.int/en/publications/Documents/tsb/2021-U4SSC-Digital-solutions-for-integrated-city-management-and-use-cases/index.html</vt:lpwstr>
      </vt:variant>
      <vt:variant>
        <vt:lpwstr>p=1</vt:lpwstr>
      </vt:variant>
      <vt:variant>
        <vt:i4>917587</vt:i4>
      </vt:variant>
      <vt:variant>
        <vt:i4>3537</vt:i4>
      </vt:variant>
      <vt:variant>
        <vt:i4>0</vt:i4>
      </vt:variant>
      <vt:variant>
        <vt:i4>5</vt:i4>
      </vt:variant>
      <vt:variant>
        <vt:lpwstr>https://www.itu.int/en/ITU-T/webinars/20211208/Pages/default.aspx</vt:lpwstr>
      </vt:variant>
      <vt:variant>
        <vt:lpwstr/>
      </vt:variant>
      <vt:variant>
        <vt:i4>262227</vt:i4>
      </vt:variant>
      <vt:variant>
        <vt:i4>3534</vt:i4>
      </vt:variant>
      <vt:variant>
        <vt:i4>0</vt:i4>
      </vt:variant>
      <vt:variant>
        <vt:i4>5</vt:i4>
      </vt:variant>
      <vt:variant>
        <vt:lpwstr>https://www.itu.int/en/ITU-T/webinars/20211101/Pages/default.aspx</vt:lpwstr>
      </vt:variant>
      <vt:variant>
        <vt:lpwstr/>
      </vt:variant>
      <vt:variant>
        <vt:i4>6946853</vt:i4>
      </vt:variant>
      <vt:variant>
        <vt:i4>3531</vt:i4>
      </vt:variant>
      <vt:variant>
        <vt:i4>0</vt:i4>
      </vt:variant>
      <vt:variant>
        <vt:i4>5</vt:i4>
      </vt:variant>
      <vt:variant>
        <vt:lpwstr>https://www.itu.int/en/ITU-T/webinars/Pages/dt4cc.aspx</vt:lpwstr>
      </vt:variant>
      <vt:variant>
        <vt:lpwstr/>
      </vt:variant>
      <vt:variant>
        <vt:i4>4849692</vt:i4>
      </vt:variant>
      <vt:variant>
        <vt:i4>3528</vt:i4>
      </vt:variant>
      <vt:variant>
        <vt:i4>0</vt:i4>
      </vt:variant>
      <vt:variant>
        <vt:i4>5</vt:i4>
      </vt:variant>
      <vt:variant>
        <vt:lpwstr>https://www.itu.int/pub/T-FG-DPM</vt:lpwstr>
      </vt:variant>
      <vt:variant>
        <vt:lpwstr/>
      </vt:variant>
      <vt:variant>
        <vt:i4>1310749</vt:i4>
      </vt:variant>
      <vt:variant>
        <vt:i4>3525</vt:i4>
      </vt:variant>
      <vt:variant>
        <vt:i4>0</vt:i4>
      </vt:variant>
      <vt:variant>
        <vt:i4>5</vt:i4>
      </vt:variant>
      <vt:variant>
        <vt:lpwstr>https://www.itu.int/en/ITU-T/Workshops-and-Seminars/iot/201703/Documents/FORUMOUTCOME-Final-12March2017.docx</vt:lpwstr>
      </vt:variant>
      <vt:variant>
        <vt:lpwstr/>
      </vt:variant>
      <vt:variant>
        <vt:i4>1376270</vt:i4>
      </vt:variant>
      <vt:variant>
        <vt:i4>3522</vt:i4>
      </vt:variant>
      <vt:variant>
        <vt:i4>0</vt:i4>
      </vt:variant>
      <vt:variant>
        <vt:i4>5</vt:i4>
      </vt:variant>
      <vt:variant>
        <vt:lpwstr>https://www.itu.int/en/ITU-T/Workshops-and-Seminars/iot/201703/Pages/default.aspx</vt:lpwstr>
      </vt:variant>
      <vt:variant>
        <vt:lpwstr/>
      </vt:variant>
      <vt:variant>
        <vt:i4>786460</vt:i4>
      </vt:variant>
      <vt:variant>
        <vt:i4>3519</vt:i4>
      </vt:variant>
      <vt:variant>
        <vt:i4>0</vt:i4>
      </vt:variant>
      <vt:variant>
        <vt:i4>5</vt:i4>
      </vt:variant>
      <vt:variant>
        <vt:lpwstr>https://www.itu.int/en/ITU-T/ssc/united/Pages/publication-U4SSC-KPIs.aspx</vt:lpwstr>
      </vt:variant>
      <vt:variant>
        <vt:lpwstr/>
      </vt:variant>
      <vt:variant>
        <vt:i4>5701724</vt:i4>
      </vt:variant>
      <vt:variant>
        <vt:i4>3516</vt:i4>
      </vt:variant>
      <vt:variant>
        <vt:i4>0</vt:i4>
      </vt:variant>
      <vt:variant>
        <vt:i4>5</vt:i4>
      </vt:variant>
      <vt:variant>
        <vt:lpwstr>https://www.itu.int/en/publications/Documents/tsb/2016-DubaiCase/index.html</vt:lpwstr>
      </vt:variant>
      <vt:variant>
        <vt:lpwstr>p=1</vt:lpwstr>
      </vt:variant>
      <vt:variant>
        <vt:i4>2293881</vt:i4>
      </vt:variant>
      <vt:variant>
        <vt:i4>3513</vt:i4>
      </vt:variant>
      <vt:variant>
        <vt:i4>0</vt:i4>
      </vt:variant>
      <vt:variant>
        <vt:i4>5</vt:i4>
      </vt:variant>
      <vt:variant>
        <vt:lpwstr>https://www.itu.int/en/publications/Documents/tsb/2017-Implementing-ITU-T-International-Standards-to-Shape-Smart-Sustainable-Cities-The-Case-of-Singapore/index.html</vt:lpwstr>
      </vt:variant>
      <vt:variant>
        <vt:lpwstr>p=1</vt:lpwstr>
      </vt:variant>
      <vt:variant>
        <vt:i4>2031617</vt:i4>
      </vt:variant>
      <vt:variant>
        <vt:i4>3510</vt:i4>
      </vt:variant>
      <vt:variant>
        <vt:i4>0</vt:i4>
      </vt:variant>
      <vt:variant>
        <vt:i4>5</vt:i4>
      </vt:variant>
      <vt:variant>
        <vt:lpwstr>https://www.itu.int/en/publications/Documents/tsb/2018-U4SSC-Case-of-Moscow/index.html</vt:lpwstr>
      </vt:variant>
      <vt:variant>
        <vt:lpwstr>p=1</vt:lpwstr>
      </vt:variant>
      <vt:variant>
        <vt:i4>3473525</vt:i4>
      </vt:variant>
      <vt:variant>
        <vt:i4>3507</vt:i4>
      </vt:variant>
      <vt:variant>
        <vt:i4>0</vt:i4>
      </vt:variant>
      <vt:variant>
        <vt:i4>5</vt:i4>
      </vt:variant>
      <vt:variant>
        <vt:lpwstr>https://www.worldsmartcity.org/</vt:lpwstr>
      </vt:variant>
      <vt:variant>
        <vt:lpwstr/>
      </vt:variant>
      <vt:variant>
        <vt:i4>4325445</vt:i4>
      </vt:variant>
      <vt:variant>
        <vt:i4>3504</vt:i4>
      </vt:variant>
      <vt:variant>
        <vt:i4>0</vt:i4>
      </vt:variant>
      <vt:variant>
        <vt:i4>5</vt:i4>
      </vt:variant>
      <vt:variant>
        <vt:lpwstr>https://www.worldsmartcity.org/2017event/</vt:lpwstr>
      </vt:variant>
      <vt:variant>
        <vt:lpwstr/>
      </vt:variant>
      <vt:variant>
        <vt:i4>4325444</vt:i4>
      </vt:variant>
      <vt:variant>
        <vt:i4>3501</vt:i4>
      </vt:variant>
      <vt:variant>
        <vt:i4>0</vt:i4>
      </vt:variant>
      <vt:variant>
        <vt:i4>5</vt:i4>
      </vt:variant>
      <vt:variant>
        <vt:lpwstr>https://www.worldsmartcity.org/2016event/</vt:lpwstr>
      </vt:variant>
      <vt:variant>
        <vt:lpwstr/>
      </vt:variant>
      <vt:variant>
        <vt:i4>6488129</vt:i4>
      </vt:variant>
      <vt:variant>
        <vt:i4>3498</vt:i4>
      </vt:variant>
      <vt:variant>
        <vt:i4>0</vt:i4>
      </vt:variant>
      <vt:variant>
        <vt:i4>5</vt:i4>
      </vt:variant>
      <vt:variant>
        <vt:lpwstr>https://www.itu.int/ITU-T/workprog/wp_item.aspx?isn=17210</vt:lpwstr>
      </vt:variant>
      <vt:variant>
        <vt:lpwstr/>
      </vt:variant>
      <vt:variant>
        <vt:i4>131160</vt:i4>
      </vt:variant>
      <vt:variant>
        <vt:i4>3495</vt:i4>
      </vt:variant>
      <vt:variant>
        <vt:i4>0</vt:i4>
      </vt:variant>
      <vt:variant>
        <vt:i4>5</vt:i4>
      </vt:variant>
      <vt:variant>
        <vt:lpwstr>https://www.itu.int/ITU-T/recommendations/rec.aspx?rec=14176</vt:lpwstr>
      </vt:variant>
      <vt:variant>
        <vt:lpwstr/>
      </vt:variant>
      <vt:variant>
        <vt:i4>6488169</vt:i4>
      </vt:variant>
      <vt:variant>
        <vt:i4>3492</vt:i4>
      </vt:variant>
      <vt:variant>
        <vt:i4>0</vt:i4>
      </vt:variant>
      <vt:variant>
        <vt:i4>5</vt:i4>
      </vt:variant>
      <vt:variant>
        <vt:lpwstr>https://www.itu.int/net4/itu-t/landscape</vt:lpwstr>
      </vt:variant>
      <vt:variant>
        <vt:lpwstr>?topic=0.78&amp;workgroup=1&amp;searchValue=&amp;page=1&amp;sort=Revelance</vt:lpwstr>
      </vt:variant>
      <vt:variant>
        <vt:i4>8126509</vt:i4>
      </vt:variant>
      <vt:variant>
        <vt:i4>3489</vt:i4>
      </vt:variant>
      <vt:variant>
        <vt:i4>0</vt:i4>
      </vt:variant>
      <vt:variant>
        <vt:i4>5</vt:i4>
      </vt:variant>
      <vt:variant>
        <vt:lpwstr>http://www.itu.int/en/ITU-T/jca/iot/Pages/default.aspx</vt:lpwstr>
      </vt:variant>
      <vt:variant>
        <vt:lpwstr/>
      </vt:variant>
      <vt:variant>
        <vt:i4>131160</vt:i4>
      </vt:variant>
      <vt:variant>
        <vt:i4>3486</vt:i4>
      </vt:variant>
      <vt:variant>
        <vt:i4>0</vt:i4>
      </vt:variant>
      <vt:variant>
        <vt:i4>5</vt:i4>
      </vt:variant>
      <vt:variant>
        <vt:lpwstr>https://www.itu.int/ITU-T/recommendations/rec.aspx?rec=14176</vt:lpwstr>
      </vt:variant>
      <vt:variant>
        <vt:lpwstr/>
      </vt:variant>
      <vt:variant>
        <vt:i4>6488169</vt:i4>
      </vt:variant>
      <vt:variant>
        <vt:i4>3483</vt:i4>
      </vt:variant>
      <vt:variant>
        <vt:i4>0</vt:i4>
      </vt:variant>
      <vt:variant>
        <vt:i4>5</vt:i4>
      </vt:variant>
      <vt:variant>
        <vt:lpwstr>https://www.itu.int/net4/itu-t/landscape</vt:lpwstr>
      </vt:variant>
      <vt:variant>
        <vt:lpwstr>?topic=0.78&amp;workgroup=1&amp;searchValue=&amp;page=1&amp;sort=Revelance</vt:lpwstr>
      </vt:variant>
      <vt:variant>
        <vt:i4>8126509</vt:i4>
      </vt:variant>
      <vt:variant>
        <vt:i4>3480</vt:i4>
      </vt:variant>
      <vt:variant>
        <vt:i4>0</vt:i4>
      </vt:variant>
      <vt:variant>
        <vt:i4>5</vt:i4>
      </vt:variant>
      <vt:variant>
        <vt:lpwstr>http://www.itu.int/en/ITU-T/jca/iot/Pages/default.aspx</vt:lpwstr>
      </vt:variant>
      <vt:variant>
        <vt:lpwstr/>
      </vt:variant>
      <vt:variant>
        <vt:i4>6029333</vt:i4>
      </vt:variant>
      <vt:variant>
        <vt:i4>3477</vt:i4>
      </vt:variant>
      <vt:variant>
        <vt:i4>0</vt:i4>
      </vt:variant>
      <vt:variant>
        <vt:i4>5</vt:i4>
      </vt:variant>
      <vt:variant>
        <vt:lpwstr>https://www.itu.int/net4/itu-t/roadmap</vt:lpwstr>
      </vt:variant>
      <vt:variant>
        <vt:lpwstr>?topic=0&amp;workgroup=1&amp;searchValue=&amp;page=1&amp;sort=Revelance</vt:lpwstr>
      </vt:variant>
      <vt:variant>
        <vt:i4>2228329</vt:i4>
      </vt:variant>
      <vt:variant>
        <vt:i4>3474</vt:i4>
      </vt:variant>
      <vt:variant>
        <vt:i4>0</vt:i4>
      </vt:variant>
      <vt:variant>
        <vt:i4>5</vt:i4>
      </vt:variant>
      <vt:variant>
        <vt:lpwstr>https://www.itu.int/itu-t/workprog/wp_search.aspx?isn_sp=3925&amp;isn_sg=3935&amp;isn_status=-1,1,3&amp;sum=IoT&amp;details=0&amp;field=acdefghijo</vt:lpwstr>
      </vt:variant>
      <vt:variant>
        <vt:lpwstr/>
      </vt:variant>
      <vt:variant>
        <vt:i4>917593</vt:i4>
      </vt:variant>
      <vt:variant>
        <vt:i4>3471</vt:i4>
      </vt:variant>
      <vt:variant>
        <vt:i4>0</vt:i4>
      </vt:variant>
      <vt:variant>
        <vt:i4>5</vt:i4>
      </vt:variant>
      <vt:variant>
        <vt:lpwstr>https://www.itu.int/itu-t/workprog/wp_search.aspx?isn_sp=3925&amp;isn_sg=3935&amp;isn_status=-1,2&amp;sum=IoT&amp;details=0&amp;field=acdefghijo</vt:lpwstr>
      </vt:variant>
      <vt:variant>
        <vt:lpwstr/>
      </vt:variant>
      <vt:variant>
        <vt:i4>1572982</vt:i4>
      </vt:variant>
      <vt:variant>
        <vt:i4>3468</vt:i4>
      </vt:variant>
      <vt:variant>
        <vt:i4>0</vt:i4>
      </vt:variant>
      <vt:variant>
        <vt:i4>5</vt:i4>
      </vt:variant>
      <vt:variant>
        <vt:lpwstr>https://www.itu.int/ITU-T/workprog/wp_search.aspx?sg=20</vt:lpwstr>
      </vt:variant>
      <vt:variant>
        <vt:lpwstr/>
      </vt:variant>
      <vt:variant>
        <vt:i4>2949201</vt:i4>
      </vt:variant>
      <vt:variant>
        <vt:i4>3465</vt:i4>
      </vt:variant>
      <vt:variant>
        <vt:i4>0</vt:i4>
      </vt:variant>
      <vt:variant>
        <vt:i4>5</vt:i4>
      </vt:variant>
      <vt:variant>
        <vt:lpwstr>https://www.itu.int/ITU-T/recommendations/index_sg.aspx?sg=20</vt:lpwstr>
      </vt:variant>
      <vt:variant>
        <vt:lpwstr/>
      </vt:variant>
      <vt:variant>
        <vt:i4>5898253</vt:i4>
      </vt:variant>
      <vt:variant>
        <vt:i4>3462</vt:i4>
      </vt:variant>
      <vt:variant>
        <vt:i4>0</vt:i4>
      </vt:variant>
      <vt:variant>
        <vt:i4>5</vt:i4>
      </vt:variant>
      <vt:variant>
        <vt:lpwstr>http://www.itu.int/en/ITU-T/about/groups/Pages/sg20.aspx</vt:lpwstr>
      </vt:variant>
      <vt:variant>
        <vt:lpwstr/>
      </vt:variant>
      <vt:variant>
        <vt:i4>7274612</vt:i4>
      </vt:variant>
      <vt:variant>
        <vt:i4>3459</vt:i4>
      </vt:variant>
      <vt:variant>
        <vt:i4>0</vt:i4>
      </vt:variant>
      <vt:variant>
        <vt:i4>5</vt:i4>
      </vt:variant>
      <vt:variant>
        <vt:lpwstr/>
      </vt:variant>
      <vt:variant>
        <vt:lpwstr>Top</vt:lpwstr>
      </vt:variant>
      <vt:variant>
        <vt:i4>589907</vt:i4>
      </vt:variant>
      <vt:variant>
        <vt:i4>3456</vt:i4>
      </vt:variant>
      <vt:variant>
        <vt:i4>0</vt:i4>
      </vt:variant>
      <vt:variant>
        <vt:i4>5</vt:i4>
      </vt:variant>
      <vt:variant>
        <vt:lpwstr>https://www.itu.int/md/meetingdoc.asp?lang=en&amp;parent=T17-SG11-R-0011</vt:lpwstr>
      </vt:variant>
      <vt:variant>
        <vt:lpwstr/>
      </vt:variant>
      <vt:variant>
        <vt:i4>7143457</vt:i4>
      </vt:variant>
      <vt:variant>
        <vt:i4>3453</vt:i4>
      </vt:variant>
      <vt:variant>
        <vt:i4>0</vt:i4>
      </vt:variant>
      <vt:variant>
        <vt:i4>5</vt:i4>
      </vt:variant>
      <vt:variant>
        <vt:lpwstr>https://www.itu.int/en/ITU-T/Workshops-and-Seminars/20180723/Pages/default.aspx</vt:lpwstr>
      </vt:variant>
      <vt:variant>
        <vt:lpwstr/>
      </vt:variant>
      <vt:variant>
        <vt:i4>7012448</vt:i4>
      </vt:variant>
      <vt:variant>
        <vt:i4>3450</vt:i4>
      </vt:variant>
      <vt:variant>
        <vt:i4>0</vt:i4>
      </vt:variant>
      <vt:variant>
        <vt:i4>5</vt:i4>
      </vt:variant>
      <vt:variant>
        <vt:lpwstr>https://www.itu.int/md/T17-SG11RG.AFR-R-0002/en</vt:lpwstr>
      </vt:variant>
      <vt:variant>
        <vt:lpwstr/>
      </vt:variant>
      <vt:variant>
        <vt:i4>7208993</vt:i4>
      </vt:variant>
      <vt:variant>
        <vt:i4>3447</vt:i4>
      </vt:variant>
      <vt:variant>
        <vt:i4>0</vt:i4>
      </vt:variant>
      <vt:variant>
        <vt:i4>5</vt:i4>
      </vt:variant>
      <vt:variant>
        <vt:lpwstr>https://www.itu.int/en/ITU-T/Workshops-and-Seminars/20180423/Pages/default.aspx</vt:lpwstr>
      </vt:variant>
      <vt:variant>
        <vt:lpwstr/>
      </vt:variant>
      <vt:variant>
        <vt:i4>1507402</vt:i4>
      </vt:variant>
      <vt:variant>
        <vt:i4>3444</vt:i4>
      </vt:variant>
      <vt:variant>
        <vt:i4>0</vt:i4>
      </vt:variant>
      <vt:variant>
        <vt:i4>5</vt:i4>
      </vt:variant>
      <vt:variant>
        <vt:lpwstr>https://www.itu.int/md/S18-CLCWGFHRM8-C-0019</vt:lpwstr>
      </vt:variant>
      <vt:variant>
        <vt:lpwstr/>
      </vt:variant>
      <vt:variant>
        <vt:i4>7274612</vt:i4>
      </vt:variant>
      <vt:variant>
        <vt:i4>3441</vt:i4>
      </vt:variant>
      <vt:variant>
        <vt:i4>0</vt:i4>
      </vt:variant>
      <vt:variant>
        <vt:i4>5</vt:i4>
      </vt:variant>
      <vt:variant>
        <vt:lpwstr/>
      </vt:variant>
      <vt:variant>
        <vt:lpwstr>Top</vt:lpwstr>
      </vt:variant>
      <vt:variant>
        <vt:i4>7143457</vt:i4>
      </vt:variant>
      <vt:variant>
        <vt:i4>3438</vt:i4>
      </vt:variant>
      <vt:variant>
        <vt:i4>0</vt:i4>
      </vt:variant>
      <vt:variant>
        <vt:i4>5</vt:i4>
      </vt:variant>
      <vt:variant>
        <vt:lpwstr>https://www.itu.int/en/ITU-T/Workshops-and-Seminars/20180723/Pages/default.aspx</vt:lpwstr>
      </vt:variant>
      <vt:variant>
        <vt:lpwstr/>
      </vt:variant>
      <vt:variant>
        <vt:i4>3145855</vt:i4>
      </vt:variant>
      <vt:variant>
        <vt:i4>3435</vt:i4>
      </vt:variant>
      <vt:variant>
        <vt:i4>0</vt:i4>
      </vt:variant>
      <vt:variant>
        <vt:i4>5</vt:i4>
      </vt:variant>
      <vt:variant>
        <vt:lpwstr>http://www.itu.int/en/ITU-T/Workshops-and-Seminars/20170405/Pages/default.aspx</vt:lpwstr>
      </vt:variant>
      <vt:variant>
        <vt:lpwstr/>
      </vt:variant>
      <vt:variant>
        <vt:i4>2949241</vt:i4>
      </vt:variant>
      <vt:variant>
        <vt:i4>3432</vt:i4>
      </vt:variant>
      <vt:variant>
        <vt:i4>0</vt:i4>
      </vt:variant>
      <vt:variant>
        <vt:i4>5</vt:i4>
      </vt:variant>
      <vt:variant>
        <vt:lpwstr>https://www.itu.int/md/meetingdoc.asp?lang=en&amp;parent=S21-CL-C-0035</vt:lpwstr>
      </vt:variant>
      <vt:variant>
        <vt:lpwstr/>
      </vt:variant>
      <vt:variant>
        <vt:i4>2883705</vt:i4>
      </vt:variant>
      <vt:variant>
        <vt:i4>3429</vt:i4>
      </vt:variant>
      <vt:variant>
        <vt:i4>0</vt:i4>
      </vt:variant>
      <vt:variant>
        <vt:i4>5</vt:i4>
      </vt:variant>
      <vt:variant>
        <vt:lpwstr>https://www.itu.int/md/meetingdoc.asp?lang=en&amp;parent=S20-CL-C-0035</vt:lpwstr>
      </vt:variant>
      <vt:variant>
        <vt:lpwstr/>
      </vt:variant>
      <vt:variant>
        <vt:i4>8257596</vt:i4>
      </vt:variant>
      <vt:variant>
        <vt:i4>3426</vt:i4>
      </vt:variant>
      <vt:variant>
        <vt:i4>0</vt:i4>
      </vt:variant>
      <vt:variant>
        <vt:i4>5</vt:i4>
      </vt:variant>
      <vt:variant>
        <vt:lpwstr>https://www.itu.int/md/S19-CL-C-0035/en</vt:lpwstr>
      </vt:variant>
      <vt:variant>
        <vt:lpwstr/>
      </vt:variant>
      <vt:variant>
        <vt:i4>2752635</vt:i4>
      </vt:variant>
      <vt:variant>
        <vt:i4>3423</vt:i4>
      </vt:variant>
      <vt:variant>
        <vt:i4>0</vt:i4>
      </vt:variant>
      <vt:variant>
        <vt:i4>5</vt:i4>
      </vt:variant>
      <vt:variant>
        <vt:lpwstr>https://www.itu.int/md/meetingdoc.asp?lang=en&amp;parent=S17-CL-C-0024</vt:lpwstr>
      </vt:variant>
      <vt:variant>
        <vt:lpwstr/>
      </vt:variant>
      <vt:variant>
        <vt:i4>3932272</vt:i4>
      </vt:variant>
      <vt:variant>
        <vt:i4>3420</vt:i4>
      </vt:variant>
      <vt:variant>
        <vt:i4>0</vt:i4>
      </vt:variant>
      <vt:variant>
        <vt:i4>5</vt:i4>
      </vt:variant>
      <vt:variant>
        <vt:lpwstr>https://www.itu.int/net/itu-t/cdb/ConformityDB.aspx</vt:lpwstr>
      </vt:variant>
      <vt:variant>
        <vt:lpwstr/>
      </vt:variant>
      <vt:variant>
        <vt:i4>589907</vt:i4>
      </vt:variant>
      <vt:variant>
        <vt:i4>3417</vt:i4>
      </vt:variant>
      <vt:variant>
        <vt:i4>0</vt:i4>
      </vt:variant>
      <vt:variant>
        <vt:i4>5</vt:i4>
      </vt:variant>
      <vt:variant>
        <vt:lpwstr>https://www.itu.int/md/meetingdoc.asp?lang=en&amp;parent=T17-SG11-R-0011</vt:lpwstr>
      </vt:variant>
      <vt:variant>
        <vt:lpwstr/>
      </vt:variant>
      <vt:variant>
        <vt:i4>7143457</vt:i4>
      </vt:variant>
      <vt:variant>
        <vt:i4>3414</vt:i4>
      </vt:variant>
      <vt:variant>
        <vt:i4>0</vt:i4>
      </vt:variant>
      <vt:variant>
        <vt:i4>5</vt:i4>
      </vt:variant>
      <vt:variant>
        <vt:lpwstr>https://www.itu.int/en/ITU-T/Workshops-and-Seminars/20180723/Pages/default.aspx</vt:lpwstr>
      </vt:variant>
      <vt:variant>
        <vt:lpwstr/>
      </vt:variant>
      <vt:variant>
        <vt:i4>7012448</vt:i4>
      </vt:variant>
      <vt:variant>
        <vt:i4>3411</vt:i4>
      </vt:variant>
      <vt:variant>
        <vt:i4>0</vt:i4>
      </vt:variant>
      <vt:variant>
        <vt:i4>5</vt:i4>
      </vt:variant>
      <vt:variant>
        <vt:lpwstr>https://www.itu.int/md/T17-SG11RG.AFR-R-0002/en</vt:lpwstr>
      </vt:variant>
      <vt:variant>
        <vt:lpwstr/>
      </vt:variant>
      <vt:variant>
        <vt:i4>7208993</vt:i4>
      </vt:variant>
      <vt:variant>
        <vt:i4>3408</vt:i4>
      </vt:variant>
      <vt:variant>
        <vt:i4>0</vt:i4>
      </vt:variant>
      <vt:variant>
        <vt:i4>5</vt:i4>
      </vt:variant>
      <vt:variant>
        <vt:lpwstr>https://www.itu.int/en/ITU-T/Workshops-and-Seminars/20180423/Pages/default.aspx</vt:lpwstr>
      </vt:variant>
      <vt:variant>
        <vt:lpwstr/>
      </vt:variant>
      <vt:variant>
        <vt:i4>3145855</vt:i4>
      </vt:variant>
      <vt:variant>
        <vt:i4>3405</vt:i4>
      </vt:variant>
      <vt:variant>
        <vt:i4>0</vt:i4>
      </vt:variant>
      <vt:variant>
        <vt:i4>5</vt:i4>
      </vt:variant>
      <vt:variant>
        <vt:lpwstr>http://www.itu.int/en/ITU-T/Workshops-and-Seminars/20170405/Pages/default.aspx</vt:lpwstr>
      </vt:variant>
      <vt:variant>
        <vt:lpwstr/>
      </vt:variant>
      <vt:variant>
        <vt:i4>7274612</vt:i4>
      </vt:variant>
      <vt:variant>
        <vt:i4>3402</vt:i4>
      </vt:variant>
      <vt:variant>
        <vt:i4>0</vt:i4>
      </vt:variant>
      <vt:variant>
        <vt:i4>5</vt:i4>
      </vt:variant>
      <vt:variant>
        <vt:lpwstr/>
      </vt:variant>
      <vt:variant>
        <vt:lpwstr>Top</vt:lpwstr>
      </vt:variant>
      <vt:variant>
        <vt:i4>6750272</vt:i4>
      </vt:variant>
      <vt:variant>
        <vt:i4>3399</vt:i4>
      </vt:variant>
      <vt:variant>
        <vt:i4>0</vt:i4>
      </vt:variant>
      <vt:variant>
        <vt:i4>5</vt:i4>
      </vt:variant>
      <vt:variant>
        <vt:lpwstr>https://www.itu.int/ITU-T/workprog/wp_item.aspx?isn=13312</vt:lpwstr>
      </vt:variant>
      <vt:variant>
        <vt:lpwstr/>
      </vt:variant>
      <vt:variant>
        <vt:i4>4325458</vt:i4>
      </vt:variant>
      <vt:variant>
        <vt:i4>3396</vt:i4>
      </vt:variant>
      <vt:variant>
        <vt:i4>0</vt:i4>
      </vt:variant>
      <vt:variant>
        <vt:i4>5</vt:i4>
      </vt:variant>
      <vt:variant>
        <vt:lpwstr>https://www.itu.int/md/meetingdoc.asp?lang=en&amp;parent=T17-SG03-180409-TD-PLEN-0087</vt:lpwstr>
      </vt:variant>
      <vt:variant>
        <vt:lpwstr/>
      </vt:variant>
      <vt:variant>
        <vt:i4>7012363</vt:i4>
      </vt:variant>
      <vt:variant>
        <vt:i4>3393</vt:i4>
      </vt:variant>
      <vt:variant>
        <vt:i4>0</vt:i4>
      </vt:variant>
      <vt:variant>
        <vt:i4>5</vt:i4>
      </vt:variant>
      <vt:variant>
        <vt:lpwstr>https://academy.itu.int/index.php?option=com_content&amp;view=article&amp;id=101&amp;Itemid=642&amp;lang=en</vt:lpwstr>
      </vt:variant>
      <vt:variant>
        <vt:lpwstr/>
      </vt:variant>
      <vt:variant>
        <vt:i4>3342408</vt:i4>
      </vt:variant>
      <vt:variant>
        <vt:i4>3390</vt:i4>
      </vt:variant>
      <vt:variant>
        <vt:i4>0</vt:i4>
      </vt:variant>
      <vt:variant>
        <vt:i4>5</vt:i4>
      </vt:variant>
      <vt:variant>
        <vt:lpwstr>https://www.itu.int/pub/D-PREF-BB.QOS_REG01-2017</vt:lpwstr>
      </vt:variant>
      <vt:variant>
        <vt:lpwstr/>
      </vt:variant>
      <vt:variant>
        <vt:i4>3407970</vt:i4>
      </vt:variant>
      <vt:variant>
        <vt:i4>3387</vt:i4>
      </vt:variant>
      <vt:variant>
        <vt:i4>0</vt:i4>
      </vt:variant>
      <vt:variant>
        <vt:i4>5</vt:i4>
      </vt:variant>
      <vt:variant>
        <vt:lpwstr>https://www.itu.int/md/T17-TSB-CIR-0062/en</vt:lpwstr>
      </vt:variant>
      <vt:variant>
        <vt:lpwstr/>
      </vt:variant>
      <vt:variant>
        <vt:i4>3211365</vt:i4>
      </vt:variant>
      <vt:variant>
        <vt:i4>3384</vt:i4>
      </vt:variant>
      <vt:variant>
        <vt:i4>0</vt:i4>
      </vt:variant>
      <vt:variant>
        <vt:i4>5</vt:i4>
      </vt:variant>
      <vt:variant>
        <vt:lpwstr>https://www.itu.int/en/ITU-T/Workshops-and-Seminars/qos/Pages/default.aspx</vt:lpwstr>
      </vt:variant>
      <vt:variant>
        <vt:lpwstr/>
      </vt:variant>
      <vt:variant>
        <vt:i4>6160479</vt:i4>
      </vt:variant>
      <vt:variant>
        <vt:i4>3381</vt:i4>
      </vt:variant>
      <vt:variant>
        <vt:i4>0</vt:i4>
      </vt:variant>
      <vt:variant>
        <vt:i4>5</vt:i4>
      </vt:variant>
      <vt:variant>
        <vt:lpwstr>https://www.itu.int/en/ITU-T/studygroups/2017-2020/12/Pages/1905-summary.aspx</vt:lpwstr>
      </vt:variant>
      <vt:variant>
        <vt:lpwstr/>
      </vt:variant>
      <vt:variant>
        <vt:i4>5963870</vt:i4>
      </vt:variant>
      <vt:variant>
        <vt:i4>3378</vt:i4>
      </vt:variant>
      <vt:variant>
        <vt:i4>0</vt:i4>
      </vt:variant>
      <vt:variant>
        <vt:i4>5</vt:i4>
      </vt:variant>
      <vt:variant>
        <vt:lpwstr>https://www.itu.int/en/ITU-T/studygroups/2017-2020/12/Pages/1811-summary.aspx</vt:lpwstr>
      </vt:variant>
      <vt:variant>
        <vt:lpwstr/>
      </vt:variant>
      <vt:variant>
        <vt:i4>6226015</vt:i4>
      </vt:variant>
      <vt:variant>
        <vt:i4>3375</vt:i4>
      </vt:variant>
      <vt:variant>
        <vt:i4>0</vt:i4>
      </vt:variant>
      <vt:variant>
        <vt:i4>5</vt:i4>
      </vt:variant>
      <vt:variant>
        <vt:lpwstr>https://www.itu.int/en/ITU-T/studygroups/2017-2020/12/Pages/1805-summary.aspx</vt:lpwstr>
      </vt:variant>
      <vt:variant>
        <vt:lpwstr/>
      </vt:variant>
      <vt:variant>
        <vt:i4>3407970</vt:i4>
      </vt:variant>
      <vt:variant>
        <vt:i4>3372</vt:i4>
      </vt:variant>
      <vt:variant>
        <vt:i4>0</vt:i4>
      </vt:variant>
      <vt:variant>
        <vt:i4>5</vt:i4>
      </vt:variant>
      <vt:variant>
        <vt:lpwstr>https://www.itu.int/md/T17-TSB-CIR-0062/en</vt:lpwstr>
      </vt:variant>
      <vt:variant>
        <vt:lpwstr/>
      </vt:variant>
      <vt:variant>
        <vt:i4>3407970</vt:i4>
      </vt:variant>
      <vt:variant>
        <vt:i4>3369</vt:i4>
      </vt:variant>
      <vt:variant>
        <vt:i4>0</vt:i4>
      </vt:variant>
      <vt:variant>
        <vt:i4>5</vt:i4>
      </vt:variant>
      <vt:variant>
        <vt:lpwstr>https://www.itu.int/md/T17-TSB-CIR-0062/en</vt:lpwstr>
      </vt:variant>
      <vt:variant>
        <vt:lpwstr/>
      </vt:variant>
      <vt:variant>
        <vt:i4>1638486</vt:i4>
      </vt:variant>
      <vt:variant>
        <vt:i4>3366</vt:i4>
      </vt:variant>
      <vt:variant>
        <vt:i4>0</vt:i4>
      </vt:variant>
      <vt:variant>
        <vt:i4>5</vt:i4>
      </vt:variant>
      <vt:variant>
        <vt:lpwstr>https://www.itu.int/en/ITU-T/studygroups/2017-2020/12/Pages/resolution95.aspx</vt:lpwstr>
      </vt:variant>
      <vt:variant>
        <vt:lpwstr/>
      </vt:variant>
      <vt:variant>
        <vt:i4>5898261</vt:i4>
      </vt:variant>
      <vt:variant>
        <vt:i4>3363</vt:i4>
      </vt:variant>
      <vt:variant>
        <vt:i4>0</vt:i4>
      </vt:variant>
      <vt:variant>
        <vt:i4>5</vt:i4>
      </vt:variant>
      <vt:variant>
        <vt:lpwstr>https://www.itu.int/md/T17-SG12-211012-TD-GEN-1630/en</vt:lpwstr>
      </vt:variant>
      <vt:variant>
        <vt:lpwstr/>
      </vt:variant>
      <vt:variant>
        <vt:i4>5570576</vt:i4>
      </vt:variant>
      <vt:variant>
        <vt:i4>3360</vt:i4>
      </vt:variant>
      <vt:variant>
        <vt:i4>0</vt:i4>
      </vt:variant>
      <vt:variant>
        <vt:i4>5</vt:i4>
      </vt:variant>
      <vt:variant>
        <vt:lpwstr>https://www.itu.int/md/T17-SG12-191126-TD-GEN-1064/en</vt:lpwstr>
      </vt:variant>
      <vt:variant>
        <vt:lpwstr/>
      </vt:variant>
      <vt:variant>
        <vt:i4>7274612</vt:i4>
      </vt:variant>
      <vt:variant>
        <vt:i4>3357</vt:i4>
      </vt:variant>
      <vt:variant>
        <vt:i4>0</vt:i4>
      </vt:variant>
      <vt:variant>
        <vt:i4>5</vt:i4>
      </vt:variant>
      <vt:variant>
        <vt:lpwstr/>
      </vt:variant>
      <vt:variant>
        <vt:lpwstr>Top</vt:lpwstr>
      </vt:variant>
      <vt:variant>
        <vt:i4>7012387</vt:i4>
      </vt:variant>
      <vt:variant>
        <vt:i4>3354</vt:i4>
      </vt:variant>
      <vt:variant>
        <vt:i4>0</vt:i4>
      </vt:variant>
      <vt:variant>
        <vt:i4>5</vt:i4>
      </vt:variant>
      <vt:variant>
        <vt:lpwstr>https://www.itu.int/en/ITU-T/Workshops-and-Seminars/20180604/Pages/default.aspx</vt:lpwstr>
      </vt:variant>
      <vt:variant>
        <vt:lpwstr/>
      </vt:variant>
      <vt:variant>
        <vt:i4>6422562</vt:i4>
      </vt:variant>
      <vt:variant>
        <vt:i4>3351</vt:i4>
      </vt:variant>
      <vt:variant>
        <vt:i4>0</vt:i4>
      </vt:variant>
      <vt:variant>
        <vt:i4>5</vt:i4>
      </vt:variant>
      <vt:variant>
        <vt:lpwstr>https://www.itu.int/en/ITU-T/Workshops-and-Seminars/20180219/Pages/default.aspx</vt:lpwstr>
      </vt:variant>
      <vt:variant>
        <vt:lpwstr/>
      </vt:variant>
      <vt:variant>
        <vt:i4>6750242</vt:i4>
      </vt:variant>
      <vt:variant>
        <vt:i4>3348</vt:i4>
      </vt:variant>
      <vt:variant>
        <vt:i4>0</vt:i4>
      </vt:variant>
      <vt:variant>
        <vt:i4>5</vt:i4>
      </vt:variant>
      <vt:variant>
        <vt:lpwstr>https://www.itu.int/en/ITU-T/Workshops-and-Seminars/20180917/Pages/default.aspx</vt:lpwstr>
      </vt:variant>
      <vt:variant>
        <vt:lpwstr/>
      </vt:variant>
      <vt:variant>
        <vt:i4>5832723</vt:i4>
      </vt:variant>
      <vt:variant>
        <vt:i4>3345</vt:i4>
      </vt:variant>
      <vt:variant>
        <vt:i4>0</vt:i4>
      </vt:variant>
      <vt:variant>
        <vt:i4>5</vt:i4>
      </vt:variant>
      <vt:variant>
        <vt:lpwstr>https://www.itu.int/en/ITU-T/Workshops-and-Seminars/201901/Pages/default.aspx</vt:lpwstr>
      </vt:variant>
      <vt:variant>
        <vt:lpwstr/>
      </vt:variant>
      <vt:variant>
        <vt:i4>6684706</vt:i4>
      </vt:variant>
      <vt:variant>
        <vt:i4>3342</vt:i4>
      </vt:variant>
      <vt:variant>
        <vt:i4>0</vt:i4>
      </vt:variant>
      <vt:variant>
        <vt:i4>5</vt:i4>
      </vt:variant>
      <vt:variant>
        <vt:lpwstr>https://www.itu.int/en/ITU-T/Workshops-and-Seminars/20190719/Pages/default.aspx</vt:lpwstr>
      </vt:variant>
      <vt:variant>
        <vt:lpwstr/>
      </vt:variant>
      <vt:variant>
        <vt:i4>4718686</vt:i4>
      </vt:variant>
      <vt:variant>
        <vt:i4>3339</vt:i4>
      </vt:variant>
      <vt:variant>
        <vt:i4>0</vt:i4>
      </vt:variant>
      <vt:variant>
        <vt:i4>5</vt:i4>
      </vt:variant>
      <vt:variant>
        <vt:lpwstr>https://www.itu.int/en/ITU-T/climatechange/dpm/05/Pages/default.aspx</vt:lpwstr>
      </vt:variant>
      <vt:variant>
        <vt:lpwstr/>
      </vt:variant>
      <vt:variant>
        <vt:i4>196692</vt:i4>
      </vt:variant>
      <vt:variant>
        <vt:i4>3336</vt:i4>
      </vt:variant>
      <vt:variant>
        <vt:i4>0</vt:i4>
      </vt:variant>
      <vt:variant>
        <vt:i4>5</vt:i4>
      </vt:variant>
      <vt:variant>
        <vt:lpwstr>https://www.itu.int/md/T17-TSAG-180226-TD-GEN-0235/en</vt:lpwstr>
      </vt:variant>
      <vt:variant>
        <vt:lpwstr/>
      </vt:variant>
      <vt:variant>
        <vt:i4>1572990</vt:i4>
      </vt:variant>
      <vt:variant>
        <vt:i4>3333</vt:i4>
      </vt:variant>
      <vt:variant>
        <vt:i4>0</vt:i4>
      </vt:variant>
      <vt:variant>
        <vt:i4>5</vt:i4>
      </vt:variant>
      <vt:variant>
        <vt:lpwstr>http://www.itu.int/itu-t/workprog/wp_item.aspx?isn=14070</vt:lpwstr>
      </vt:variant>
      <vt:variant>
        <vt:lpwstr/>
      </vt:variant>
      <vt:variant>
        <vt:i4>7274612</vt:i4>
      </vt:variant>
      <vt:variant>
        <vt:i4>3330</vt:i4>
      </vt:variant>
      <vt:variant>
        <vt:i4>0</vt:i4>
      </vt:variant>
      <vt:variant>
        <vt:i4>5</vt:i4>
      </vt:variant>
      <vt:variant>
        <vt:lpwstr/>
      </vt:variant>
      <vt:variant>
        <vt:lpwstr>Top</vt:lpwstr>
      </vt:variant>
      <vt:variant>
        <vt:i4>8257580</vt:i4>
      </vt:variant>
      <vt:variant>
        <vt:i4>3327</vt:i4>
      </vt:variant>
      <vt:variant>
        <vt:i4>0</vt:i4>
      </vt:variant>
      <vt:variant>
        <vt:i4>5</vt:i4>
      </vt:variant>
      <vt:variant>
        <vt:lpwstr>http://www.itu.int/en/ITU-T/Workshops-and-Seminars/conformity-interoperability/20150112/Pages/default.aspx</vt:lpwstr>
      </vt:variant>
      <vt:variant>
        <vt:lpwstr/>
      </vt:variant>
      <vt:variant>
        <vt:i4>8323174</vt:i4>
      </vt:variant>
      <vt:variant>
        <vt:i4>3324</vt:i4>
      </vt:variant>
      <vt:variant>
        <vt:i4>0</vt:i4>
      </vt:variant>
      <vt:variant>
        <vt:i4>5</vt:i4>
      </vt:variant>
      <vt:variant>
        <vt:lpwstr>https://www.itu.int/md/meetingdoc.asp?lang=en&amp;parent=S19-RCLINTPOL13-C-0003</vt:lpwstr>
      </vt:variant>
      <vt:variant>
        <vt:lpwstr/>
      </vt:variant>
      <vt:variant>
        <vt:i4>8257638</vt:i4>
      </vt:variant>
      <vt:variant>
        <vt:i4>3321</vt:i4>
      </vt:variant>
      <vt:variant>
        <vt:i4>0</vt:i4>
      </vt:variant>
      <vt:variant>
        <vt:i4>5</vt:i4>
      </vt:variant>
      <vt:variant>
        <vt:lpwstr>https://www.itu.int/md/meetingdoc.asp?lang=en&amp;parent=S19-RCLINTPOL12-C-0002</vt:lpwstr>
      </vt:variant>
      <vt:variant>
        <vt:lpwstr/>
      </vt:variant>
      <vt:variant>
        <vt:i4>8126566</vt:i4>
      </vt:variant>
      <vt:variant>
        <vt:i4>3318</vt:i4>
      </vt:variant>
      <vt:variant>
        <vt:i4>0</vt:i4>
      </vt:variant>
      <vt:variant>
        <vt:i4>5</vt:i4>
      </vt:variant>
      <vt:variant>
        <vt:lpwstr>https://www.itu.int/md/meetingdoc.asp?lang=en&amp;parent=S18-RCLINTPOL11-C-0002</vt:lpwstr>
      </vt:variant>
      <vt:variant>
        <vt:lpwstr/>
      </vt:variant>
      <vt:variant>
        <vt:i4>7471206</vt:i4>
      </vt:variant>
      <vt:variant>
        <vt:i4>3315</vt:i4>
      </vt:variant>
      <vt:variant>
        <vt:i4>0</vt:i4>
      </vt:variant>
      <vt:variant>
        <vt:i4>5</vt:i4>
      </vt:variant>
      <vt:variant>
        <vt:lpwstr>https://www.itu.int/md/meetingdoc.asp?lang=en&amp;parent=S17-RCLINTPOL10-C-0002</vt:lpwstr>
      </vt:variant>
      <vt:variant>
        <vt:lpwstr/>
      </vt:variant>
      <vt:variant>
        <vt:i4>5373962</vt:i4>
      </vt:variant>
      <vt:variant>
        <vt:i4>3312</vt:i4>
      </vt:variant>
      <vt:variant>
        <vt:i4>0</vt:i4>
      </vt:variant>
      <vt:variant>
        <vt:i4>5</vt:i4>
      </vt:variant>
      <vt:variant>
        <vt:lpwstr>https://www.itu.int/en/ITU-D/Regional-Presence/CIS/Pages/EVENTS/2018/10_Samarkand/10_Samarkand.aspx</vt:lpwstr>
      </vt:variant>
      <vt:variant>
        <vt:lpwstr/>
      </vt:variant>
      <vt:variant>
        <vt:i4>4063343</vt:i4>
      </vt:variant>
      <vt:variant>
        <vt:i4>3309</vt:i4>
      </vt:variant>
      <vt:variant>
        <vt:i4>0</vt:i4>
      </vt:variant>
      <vt:variant>
        <vt:i4>5</vt:i4>
      </vt:variant>
      <vt:variant>
        <vt:lpwstr>http://www.itu.int/en/ITU-R/study-groups/rsg5/rwp5d/imt-2020/Pages/default.aspx</vt:lpwstr>
      </vt:variant>
      <vt:variant>
        <vt:lpwstr/>
      </vt:variant>
      <vt:variant>
        <vt:i4>7274612</vt:i4>
      </vt:variant>
      <vt:variant>
        <vt:i4>3306</vt:i4>
      </vt:variant>
      <vt:variant>
        <vt:i4>0</vt:i4>
      </vt:variant>
      <vt:variant>
        <vt:i4>5</vt:i4>
      </vt:variant>
      <vt:variant>
        <vt:lpwstr/>
      </vt:variant>
      <vt:variant>
        <vt:lpwstr>Top</vt:lpwstr>
      </vt:variant>
      <vt:variant>
        <vt:i4>5505038</vt:i4>
      </vt:variant>
      <vt:variant>
        <vt:i4>3303</vt:i4>
      </vt:variant>
      <vt:variant>
        <vt:i4>0</vt:i4>
      </vt:variant>
      <vt:variant>
        <vt:i4>5</vt:i4>
      </vt:variant>
      <vt:variant>
        <vt:lpwstr>http://www.ngmn.org/home.html</vt:lpwstr>
      </vt:variant>
      <vt:variant>
        <vt:lpwstr/>
      </vt:variant>
      <vt:variant>
        <vt:i4>6684707</vt:i4>
      </vt:variant>
      <vt:variant>
        <vt:i4>3300</vt:i4>
      </vt:variant>
      <vt:variant>
        <vt:i4>0</vt:i4>
      </vt:variant>
      <vt:variant>
        <vt:i4>5</vt:i4>
      </vt:variant>
      <vt:variant>
        <vt:lpwstr>https://www.itu.int/en/ITU-T/Workshops-and-Seminars/20180807/Pages/default.aspx</vt:lpwstr>
      </vt:variant>
      <vt:variant>
        <vt:lpwstr/>
      </vt:variant>
      <vt:variant>
        <vt:i4>6357025</vt:i4>
      </vt:variant>
      <vt:variant>
        <vt:i4>3297</vt:i4>
      </vt:variant>
      <vt:variant>
        <vt:i4>0</vt:i4>
      </vt:variant>
      <vt:variant>
        <vt:i4>5</vt:i4>
      </vt:variant>
      <vt:variant>
        <vt:lpwstr>https://www.itu.int/en/ITU-T/Workshops-and-Seminars/20180129/Pages/default.aspx</vt:lpwstr>
      </vt:variant>
      <vt:variant>
        <vt:lpwstr/>
      </vt:variant>
      <vt:variant>
        <vt:i4>262172</vt:i4>
      </vt:variant>
      <vt:variant>
        <vt:i4>3294</vt:i4>
      </vt:variant>
      <vt:variant>
        <vt:i4>0</vt:i4>
      </vt:variant>
      <vt:variant>
        <vt:i4>5</vt:i4>
      </vt:variant>
      <vt:variant>
        <vt:lpwstr>https://www.itu.int/en/ITU-T/Workshops-and-Seminars/itu-ngmn/Pages/20170111.aspx</vt:lpwstr>
      </vt:variant>
      <vt:variant>
        <vt:lpwstr/>
      </vt:variant>
      <vt:variant>
        <vt:i4>5308435</vt:i4>
      </vt:variant>
      <vt:variant>
        <vt:i4>3291</vt:i4>
      </vt:variant>
      <vt:variant>
        <vt:i4>0</vt:i4>
      </vt:variant>
      <vt:variant>
        <vt:i4>5</vt:i4>
      </vt:variant>
      <vt:variant>
        <vt:lpwstr>https://www.itu.int/en/ITU-T/Workshops-and-Seminars/201707/Pages/default.aspx</vt:lpwstr>
      </vt:variant>
      <vt:variant>
        <vt:lpwstr/>
      </vt:variant>
      <vt:variant>
        <vt:i4>6488098</vt:i4>
      </vt:variant>
      <vt:variant>
        <vt:i4>3285</vt:i4>
      </vt:variant>
      <vt:variant>
        <vt:i4>0</vt:i4>
      </vt:variant>
      <vt:variant>
        <vt:i4>5</vt:i4>
      </vt:variant>
      <vt:variant>
        <vt:lpwstr>https://www.itu.int/en/ITU-T/Workshops-and-Seminars/20180319/Pages/default.aspx</vt:lpwstr>
      </vt:variant>
      <vt:variant>
        <vt:lpwstr/>
      </vt:variant>
      <vt:variant>
        <vt:i4>1114129</vt:i4>
      </vt:variant>
      <vt:variant>
        <vt:i4>3282</vt:i4>
      </vt:variant>
      <vt:variant>
        <vt:i4>0</vt:i4>
      </vt:variant>
      <vt:variant>
        <vt:i4>5</vt:i4>
      </vt:variant>
      <vt:variant>
        <vt:lpwstr>https://www.itu.int/en/ITU-T/Workshops-and-Seminars/qos/201707/Pages/default.aspx</vt:lpwstr>
      </vt:variant>
      <vt:variant>
        <vt:lpwstr/>
      </vt:variant>
      <vt:variant>
        <vt:i4>2490406</vt:i4>
      </vt:variant>
      <vt:variant>
        <vt:i4>3279</vt:i4>
      </vt:variant>
      <vt:variant>
        <vt:i4>0</vt:i4>
      </vt:variant>
      <vt:variant>
        <vt:i4>5</vt:i4>
      </vt:variant>
      <vt:variant>
        <vt:lpwstr>http://www.itu.int/en/ITU-T/focusgroups/ml5g/Pages/default.aspx</vt:lpwstr>
      </vt:variant>
      <vt:variant>
        <vt:lpwstr/>
      </vt:variant>
      <vt:variant>
        <vt:i4>5701650</vt:i4>
      </vt:variant>
      <vt:variant>
        <vt:i4>3276</vt:i4>
      </vt:variant>
      <vt:variant>
        <vt:i4>0</vt:i4>
      </vt:variant>
      <vt:variant>
        <vt:i4>5</vt:i4>
      </vt:variant>
      <vt:variant>
        <vt:lpwstr>https://www.itu.int/en/ITU-T/Workshops-and-Seminars/201711/Pages/default.aspx</vt:lpwstr>
      </vt:variant>
      <vt:variant>
        <vt:lpwstr/>
      </vt:variant>
      <vt:variant>
        <vt:i4>2424914</vt:i4>
      </vt:variant>
      <vt:variant>
        <vt:i4>3273</vt:i4>
      </vt:variant>
      <vt:variant>
        <vt:i4>0</vt:i4>
      </vt:variant>
      <vt:variant>
        <vt:i4>5</vt:i4>
      </vt:variant>
      <vt:variant>
        <vt:lpwstr>https://www.itu.int/en/ITU-T/focusgroups/net2030/Documents/White_Paper.pdf</vt:lpwstr>
      </vt:variant>
      <vt:variant>
        <vt:lpwstr/>
      </vt:variant>
      <vt:variant>
        <vt:i4>5308435</vt:i4>
      </vt:variant>
      <vt:variant>
        <vt:i4>3270</vt:i4>
      </vt:variant>
      <vt:variant>
        <vt:i4>0</vt:i4>
      </vt:variant>
      <vt:variant>
        <vt:i4>5</vt:i4>
      </vt:variant>
      <vt:variant>
        <vt:lpwstr>https://www.itu.int/en/ITU-T/Workshops-and-Seminars/201707/Pages/default.aspx</vt:lpwstr>
      </vt:variant>
      <vt:variant>
        <vt:lpwstr/>
      </vt:variant>
      <vt:variant>
        <vt:i4>5308435</vt:i4>
      </vt:variant>
      <vt:variant>
        <vt:i4>3267</vt:i4>
      </vt:variant>
      <vt:variant>
        <vt:i4>0</vt:i4>
      </vt:variant>
      <vt:variant>
        <vt:i4>5</vt:i4>
      </vt:variant>
      <vt:variant>
        <vt:lpwstr>https://www.itu.int/en/ITU-T/Workshops-and-Seminars/201707/Pages/default.aspx</vt:lpwstr>
      </vt:variant>
      <vt:variant>
        <vt:lpwstr/>
      </vt:variant>
      <vt:variant>
        <vt:i4>7274612</vt:i4>
      </vt:variant>
      <vt:variant>
        <vt:i4>3264</vt:i4>
      </vt:variant>
      <vt:variant>
        <vt:i4>0</vt:i4>
      </vt:variant>
      <vt:variant>
        <vt:i4>5</vt:i4>
      </vt:variant>
      <vt:variant>
        <vt:lpwstr/>
      </vt:variant>
      <vt:variant>
        <vt:lpwstr>Top</vt:lpwstr>
      </vt:variant>
      <vt:variant>
        <vt:i4>7602284</vt:i4>
      </vt:variant>
      <vt:variant>
        <vt:i4>3261</vt:i4>
      </vt:variant>
      <vt:variant>
        <vt:i4>0</vt:i4>
      </vt:variant>
      <vt:variant>
        <vt:i4>5</vt:i4>
      </vt:variant>
      <vt:variant>
        <vt:lpwstr>https://www.itu.int/net4/itu-t/nnp</vt:lpwstr>
      </vt:variant>
      <vt:variant>
        <vt:lpwstr/>
      </vt:variant>
      <vt:variant>
        <vt:i4>7602284</vt:i4>
      </vt:variant>
      <vt:variant>
        <vt:i4>3258</vt:i4>
      </vt:variant>
      <vt:variant>
        <vt:i4>0</vt:i4>
      </vt:variant>
      <vt:variant>
        <vt:i4>5</vt:i4>
      </vt:variant>
      <vt:variant>
        <vt:lpwstr>https://www.itu.int/net4/ITU-T/nnp/</vt:lpwstr>
      </vt:variant>
      <vt:variant>
        <vt:lpwstr/>
      </vt:variant>
      <vt:variant>
        <vt:i4>7274612</vt:i4>
      </vt:variant>
      <vt:variant>
        <vt:i4>3255</vt:i4>
      </vt:variant>
      <vt:variant>
        <vt:i4>0</vt:i4>
      </vt:variant>
      <vt:variant>
        <vt:i4>5</vt:i4>
      </vt:variant>
      <vt:variant>
        <vt:lpwstr/>
      </vt:variant>
      <vt:variant>
        <vt:lpwstr>Top</vt:lpwstr>
      </vt:variant>
      <vt:variant>
        <vt:i4>7798884</vt:i4>
      </vt:variant>
      <vt:variant>
        <vt:i4>3252</vt:i4>
      </vt:variant>
      <vt:variant>
        <vt:i4>0</vt:i4>
      </vt:variant>
      <vt:variant>
        <vt:i4>5</vt:i4>
      </vt:variant>
      <vt:variant>
        <vt:lpwstr>http://www.itu.int/en/ITU-T/Workshops-and-Seminars/itu-ngmn/Pages/20170111.aspx</vt:lpwstr>
      </vt:variant>
      <vt:variant>
        <vt:lpwstr/>
      </vt:variant>
      <vt:variant>
        <vt:i4>262230</vt:i4>
      </vt:variant>
      <vt:variant>
        <vt:i4>3249</vt:i4>
      </vt:variant>
      <vt:variant>
        <vt:i4>0</vt:i4>
      </vt:variant>
      <vt:variant>
        <vt:i4>5</vt:i4>
      </vt:variant>
      <vt:variant>
        <vt:lpwstr>https://www.itu.int/md/T17-TSAG-180226-TD-GEN-0212/en</vt:lpwstr>
      </vt:variant>
      <vt:variant>
        <vt:lpwstr/>
      </vt:variant>
      <vt:variant>
        <vt:i4>262230</vt:i4>
      </vt:variant>
      <vt:variant>
        <vt:i4>3246</vt:i4>
      </vt:variant>
      <vt:variant>
        <vt:i4>0</vt:i4>
      </vt:variant>
      <vt:variant>
        <vt:i4>5</vt:i4>
      </vt:variant>
      <vt:variant>
        <vt:lpwstr>https://www.itu.int/md/T17-TSAG-180226-TD-GEN-0212/en</vt:lpwstr>
      </vt:variant>
      <vt:variant>
        <vt:lpwstr/>
      </vt:variant>
      <vt:variant>
        <vt:i4>6094865</vt:i4>
      </vt:variant>
      <vt:variant>
        <vt:i4>3243</vt:i4>
      </vt:variant>
      <vt:variant>
        <vt:i4>0</vt:i4>
      </vt:variant>
      <vt:variant>
        <vt:i4>5</vt:i4>
      </vt:variant>
      <vt:variant>
        <vt:lpwstr>https://www.itu.int/md/meetingdoc.asp?lang=en&amp;parent=T17-TSAG-180226-TD-GEN-0200</vt:lpwstr>
      </vt:variant>
      <vt:variant>
        <vt:lpwstr/>
      </vt:variant>
      <vt:variant>
        <vt:i4>5963800</vt:i4>
      </vt:variant>
      <vt:variant>
        <vt:i4>3240</vt:i4>
      </vt:variant>
      <vt:variant>
        <vt:i4>0</vt:i4>
      </vt:variant>
      <vt:variant>
        <vt:i4>5</vt:i4>
      </vt:variant>
      <vt:variant>
        <vt:lpwstr>https://www.itu.int/md/meetingdoc.asp?lang=en&amp;parent=T17-TSAG-180226-TD-GEN-0195</vt:lpwstr>
      </vt:variant>
      <vt:variant>
        <vt:lpwstr/>
      </vt:variant>
      <vt:variant>
        <vt:i4>262230</vt:i4>
      </vt:variant>
      <vt:variant>
        <vt:i4>3237</vt:i4>
      </vt:variant>
      <vt:variant>
        <vt:i4>0</vt:i4>
      </vt:variant>
      <vt:variant>
        <vt:i4>5</vt:i4>
      </vt:variant>
      <vt:variant>
        <vt:lpwstr>https://www.itu.int/md/T17-TSAG-180226-TD-GEN-0212/en</vt:lpwstr>
      </vt:variant>
      <vt:variant>
        <vt:lpwstr/>
      </vt:variant>
      <vt:variant>
        <vt:i4>5701657</vt:i4>
      </vt:variant>
      <vt:variant>
        <vt:i4>3234</vt:i4>
      </vt:variant>
      <vt:variant>
        <vt:i4>0</vt:i4>
      </vt:variant>
      <vt:variant>
        <vt:i4>5</vt:i4>
      </vt:variant>
      <vt:variant>
        <vt:lpwstr>https://www.itu.int/md/meetingdoc.asp?lang=en&amp;parent=T17-TSAG-180226-TD-GEN-0189</vt:lpwstr>
      </vt:variant>
      <vt:variant>
        <vt:lpwstr/>
      </vt:variant>
      <vt:variant>
        <vt:i4>458758</vt:i4>
      </vt:variant>
      <vt:variant>
        <vt:i4>3231</vt:i4>
      </vt:variant>
      <vt:variant>
        <vt:i4>0</vt:i4>
      </vt:variant>
      <vt:variant>
        <vt:i4>5</vt:i4>
      </vt:variant>
      <vt:variant>
        <vt:lpwstr>https://www.itu.int/md/meetingdoc.asp?lang=en&amp;parent=T17-TSAG-170501-TD-GEN-0055https://www.itu.int/md/meetingdoc.asp?lang=en&amp;parent=T17-TSAG-170501-TD-GEN-0032</vt:lpwstr>
      </vt:variant>
      <vt:variant>
        <vt:lpwstr/>
      </vt:variant>
      <vt:variant>
        <vt:i4>5767185</vt:i4>
      </vt:variant>
      <vt:variant>
        <vt:i4>3228</vt:i4>
      </vt:variant>
      <vt:variant>
        <vt:i4>0</vt:i4>
      </vt:variant>
      <vt:variant>
        <vt:i4>5</vt:i4>
      </vt:variant>
      <vt:variant>
        <vt:lpwstr>https://www.itu.int/md/meetingdoc.asp?lang=en&amp;parent=T17-TSAG-180226-TD-GEN-0205</vt:lpwstr>
      </vt:variant>
      <vt:variant>
        <vt:lpwstr/>
      </vt:variant>
      <vt:variant>
        <vt:i4>6225937</vt:i4>
      </vt:variant>
      <vt:variant>
        <vt:i4>3225</vt:i4>
      </vt:variant>
      <vt:variant>
        <vt:i4>0</vt:i4>
      </vt:variant>
      <vt:variant>
        <vt:i4>5</vt:i4>
      </vt:variant>
      <vt:variant>
        <vt:lpwstr>https://www.itu.int/md/meetingdoc.asp?lang=en&amp;parent=T17-TSAG-180226-TD-GEN-0202</vt:lpwstr>
      </vt:variant>
      <vt:variant>
        <vt:lpwstr/>
      </vt:variant>
      <vt:variant>
        <vt:i4>6094867</vt:i4>
      </vt:variant>
      <vt:variant>
        <vt:i4>3222</vt:i4>
      </vt:variant>
      <vt:variant>
        <vt:i4>0</vt:i4>
      </vt:variant>
      <vt:variant>
        <vt:i4>5</vt:i4>
      </vt:variant>
      <vt:variant>
        <vt:lpwstr>https://www.itu.int/md/meetingdoc.asp?lang=en&amp;parent=T17-TSAG-180226-TD-GEN-0220</vt:lpwstr>
      </vt:variant>
      <vt:variant>
        <vt:lpwstr/>
      </vt:variant>
      <vt:variant>
        <vt:i4>6160409</vt:i4>
      </vt:variant>
      <vt:variant>
        <vt:i4>3219</vt:i4>
      </vt:variant>
      <vt:variant>
        <vt:i4>0</vt:i4>
      </vt:variant>
      <vt:variant>
        <vt:i4>5</vt:i4>
      </vt:variant>
      <vt:variant>
        <vt:lpwstr>https://www.itu.int/md/meetingdoc.asp?lang=en&amp;parent=T17-TSAG-180226-TD-GEN-0180</vt:lpwstr>
      </vt:variant>
      <vt:variant>
        <vt:lpwstr/>
      </vt:variant>
      <vt:variant>
        <vt:i4>5963798</vt:i4>
      </vt:variant>
      <vt:variant>
        <vt:i4>3216</vt:i4>
      </vt:variant>
      <vt:variant>
        <vt:i4>0</vt:i4>
      </vt:variant>
      <vt:variant>
        <vt:i4>5</vt:i4>
      </vt:variant>
      <vt:variant>
        <vt:lpwstr>https://www.itu.int/md/meetingdoc.asp?lang=en&amp;parent=T17-TSAG-180226-TD-GEN-0175</vt:lpwstr>
      </vt:variant>
      <vt:variant>
        <vt:lpwstr/>
      </vt:variant>
      <vt:variant>
        <vt:i4>5505043</vt:i4>
      </vt:variant>
      <vt:variant>
        <vt:i4>3213</vt:i4>
      </vt:variant>
      <vt:variant>
        <vt:i4>0</vt:i4>
      </vt:variant>
      <vt:variant>
        <vt:i4>5</vt:i4>
      </vt:variant>
      <vt:variant>
        <vt:lpwstr>https://www.itu.int/md/meetingdoc.asp?lang=en&amp;parent=T17-TSAG-180226-TD-GEN-0229</vt:lpwstr>
      </vt:variant>
      <vt:variant>
        <vt:lpwstr/>
      </vt:variant>
      <vt:variant>
        <vt:i4>6881400</vt:i4>
      </vt:variant>
      <vt:variant>
        <vt:i4>3210</vt:i4>
      </vt:variant>
      <vt:variant>
        <vt:i4>0</vt:i4>
      </vt:variant>
      <vt:variant>
        <vt:i4>5</vt:i4>
      </vt:variant>
      <vt:variant>
        <vt:lpwstr>https://www.itu.int/md/T17-TSAG-190923-TD-GEN-0601</vt:lpwstr>
      </vt:variant>
      <vt:variant>
        <vt:lpwstr/>
      </vt:variant>
      <vt:variant>
        <vt:i4>3211302</vt:i4>
      </vt:variant>
      <vt:variant>
        <vt:i4>3207</vt:i4>
      </vt:variant>
      <vt:variant>
        <vt:i4>0</vt:i4>
      </vt:variant>
      <vt:variant>
        <vt:i4>5</vt:i4>
      </vt:variant>
      <vt:variant>
        <vt:lpwstr>https://www.itu.int/ifa/t/2017/ls/tsag/sp16-tsag-oLS-00004.docx</vt:lpwstr>
      </vt:variant>
      <vt:variant>
        <vt:lpwstr/>
      </vt:variant>
      <vt:variant>
        <vt:i4>7274612</vt:i4>
      </vt:variant>
      <vt:variant>
        <vt:i4>3204</vt:i4>
      </vt:variant>
      <vt:variant>
        <vt:i4>0</vt:i4>
      </vt:variant>
      <vt:variant>
        <vt:i4>5</vt:i4>
      </vt:variant>
      <vt:variant>
        <vt:lpwstr/>
      </vt:variant>
      <vt:variant>
        <vt:lpwstr>Top</vt:lpwstr>
      </vt:variant>
      <vt:variant>
        <vt:i4>1769473</vt:i4>
      </vt:variant>
      <vt:variant>
        <vt:i4>3201</vt:i4>
      </vt:variant>
      <vt:variant>
        <vt:i4>0</vt:i4>
      </vt:variant>
      <vt:variant>
        <vt:i4>5</vt:i4>
      </vt:variant>
      <vt:variant>
        <vt:lpwstr>https://www.itu.int/en/ITU-T/webinars/Pages/dfs.aspx</vt:lpwstr>
      </vt:variant>
      <vt:variant>
        <vt:lpwstr/>
      </vt:variant>
      <vt:variant>
        <vt:i4>4718687</vt:i4>
      </vt:variant>
      <vt:variant>
        <vt:i4>3198</vt:i4>
      </vt:variant>
      <vt:variant>
        <vt:i4>0</vt:i4>
      </vt:variant>
      <vt:variant>
        <vt:i4>5</vt:i4>
      </vt:variant>
      <vt:variant>
        <vt:lpwstr>https://www.itu.int/rec/T-REC-X.1277-201811-I</vt:lpwstr>
      </vt:variant>
      <vt:variant>
        <vt:lpwstr/>
      </vt:variant>
      <vt:variant>
        <vt:i4>5898258</vt:i4>
      </vt:variant>
      <vt:variant>
        <vt:i4>3195</vt:i4>
      </vt:variant>
      <vt:variant>
        <vt:i4>0</vt:i4>
      </vt:variant>
      <vt:variant>
        <vt:i4>5</vt:i4>
      </vt:variant>
      <vt:variant>
        <vt:lpwstr>https://www.itu.int/en/ITU-T/Workshops-and-Seminars/201912/Pages/default.aspx</vt:lpwstr>
      </vt:variant>
      <vt:variant>
        <vt:lpwstr/>
      </vt:variant>
      <vt:variant>
        <vt:i4>7667839</vt:i4>
      </vt:variant>
      <vt:variant>
        <vt:i4>3192</vt:i4>
      </vt:variant>
      <vt:variant>
        <vt:i4>0</vt:i4>
      </vt:variant>
      <vt:variant>
        <vt:i4>5</vt:i4>
      </vt:variant>
      <vt:variant>
        <vt:lpwstr>https://figi.itu.int/event/electronic-payments-acceptance/</vt:lpwstr>
      </vt:variant>
      <vt:variant>
        <vt:lpwstr/>
      </vt:variant>
      <vt:variant>
        <vt:i4>3735659</vt:i4>
      </vt:variant>
      <vt:variant>
        <vt:i4>3189</vt:i4>
      </vt:variant>
      <vt:variant>
        <vt:i4>0</vt:i4>
      </vt:variant>
      <vt:variant>
        <vt:i4>5</vt:i4>
      </vt:variant>
      <vt:variant>
        <vt:lpwstr>https://figi.itu.int/event/digital-id/</vt:lpwstr>
      </vt:variant>
      <vt:variant>
        <vt:lpwstr/>
      </vt:variant>
      <vt:variant>
        <vt:i4>4456532</vt:i4>
      </vt:variant>
      <vt:variant>
        <vt:i4>3186</vt:i4>
      </vt:variant>
      <vt:variant>
        <vt:i4>0</vt:i4>
      </vt:variant>
      <vt:variant>
        <vt:i4>5</vt:i4>
      </vt:variant>
      <vt:variant>
        <vt:lpwstr>https://figi.itu.int/event/gender-equity/</vt:lpwstr>
      </vt:variant>
      <vt:variant>
        <vt:lpwstr/>
      </vt:variant>
      <vt:variant>
        <vt:i4>6750246</vt:i4>
      </vt:variant>
      <vt:variant>
        <vt:i4>3183</vt:i4>
      </vt:variant>
      <vt:variant>
        <vt:i4>0</vt:i4>
      </vt:variant>
      <vt:variant>
        <vt:i4>5</vt:i4>
      </vt:variant>
      <vt:variant>
        <vt:lpwstr>https://figi.itu.int/event/cybersecurity-and-trust/</vt:lpwstr>
      </vt:variant>
      <vt:variant>
        <vt:lpwstr/>
      </vt:variant>
      <vt:variant>
        <vt:i4>327750</vt:i4>
      </vt:variant>
      <vt:variant>
        <vt:i4>3180</vt:i4>
      </vt:variant>
      <vt:variant>
        <vt:i4>0</vt:i4>
      </vt:variant>
      <vt:variant>
        <vt:i4>5</vt:i4>
      </vt:variant>
      <vt:variant>
        <vt:lpwstr>https://figi.itu.int/event/protecting-consumers/</vt:lpwstr>
      </vt:variant>
      <vt:variant>
        <vt:lpwstr/>
      </vt:variant>
      <vt:variant>
        <vt:i4>852044</vt:i4>
      </vt:variant>
      <vt:variant>
        <vt:i4>3177</vt:i4>
      </vt:variant>
      <vt:variant>
        <vt:i4>0</vt:i4>
      </vt:variant>
      <vt:variant>
        <vt:i4>5</vt:i4>
      </vt:variant>
      <vt:variant>
        <vt:lpwstr>https://figi.itu.int/event/fintech-for-inclusion/</vt:lpwstr>
      </vt:variant>
      <vt:variant>
        <vt:lpwstr/>
      </vt:variant>
      <vt:variant>
        <vt:i4>8060982</vt:i4>
      </vt:variant>
      <vt:variant>
        <vt:i4>3174</vt:i4>
      </vt:variant>
      <vt:variant>
        <vt:i4>0</vt:i4>
      </vt:variant>
      <vt:variant>
        <vt:i4>5</vt:i4>
      </vt:variant>
      <vt:variant>
        <vt:lpwstr>https://figi.itu.int/programme/</vt:lpwstr>
      </vt:variant>
      <vt:variant>
        <vt:lpwstr>list-view</vt:lpwstr>
      </vt:variant>
      <vt:variant>
        <vt:i4>1048667</vt:i4>
      </vt:variant>
      <vt:variant>
        <vt:i4>3171</vt:i4>
      </vt:variant>
      <vt:variant>
        <vt:i4>0</vt:i4>
      </vt:variant>
      <vt:variant>
        <vt:i4>5</vt:i4>
      </vt:variant>
      <vt:variant>
        <vt:lpwstr>https://figi.itu.int/</vt:lpwstr>
      </vt:variant>
      <vt:variant>
        <vt:lpwstr/>
      </vt:variant>
      <vt:variant>
        <vt:i4>2359338</vt:i4>
      </vt:variant>
      <vt:variant>
        <vt:i4>3168</vt:i4>
      </vt:variant>
      <vt:variant>
        <vt:i4>0</vt:i4>
      </vt:variant>
      <vt:variant>
        <vt:i4>5</vt:i4>
      </vt:variant>
      <vt:variant>
        <vt:lpwstr>https://trello.com/b/nkUZjYO4/figi-symposium-digital-media-kit</vt:lpwstr>
      </vt:variant>
      <vt:variant>
        <vt:lpwstr/>
      </vt:variant>
      <vt:variant>
        <vt:i4>1835030</vt:i4>
      </vt:variant>
      <vt:variant>
        <vt:i4>3165</vt:i4>
      </vt:variant>
      <vt:variant>
        <vt:i4>0</vt:i4>
      </vt:variant>
      <vt:variant>
        <vt:i4>5</vt:i4>
      </vt:variant>
      <vt:variant>
        <vt:lpwstr>https://www.itu.int/en/ITU-T/extcoop/figisymposium/2019/Pages/hackathon.aspx</vt:lpwstr>
      </vt:variant>
      <vt:variant>
        <vt:lpwstr/>
      </vt:variant>
      <vt:variant>
        <vt:i4>6619257</vt:i4>
      </vt:variant>
      <vt:variant>
        <vt:i4>3162</vt:i4>
      </vt:variant>
      <vt:variant>
        <vt:i4>0</vt:i4>
      </vt:variant>
      <vt:variant>
        <vt:i4>5</vt:i4>
      </vt:variant>
      <vt:variant>
        <vt:lpwstr>https://www.itu.int/en/ITU-T/extcoop/figisymposium/2019/Pages/default.aspx</vt:lpwstr>
      </vt:variant>
      <vt:variant>
        <vt:lpwstr/>
      </vt:variant>
      <vt:variant>
        <vt:i4>6619257</vt:i4>
      </vt:variant>
      <vt:variant>
        <vt:i4>3159</vt:i4>
      </vt:variant>
      <vt:variant>
        <vt:i4>0</vt:i4>
      </vt:variant>
      <vt:variant>
        <vt:i4>5</vt:i4>
      </vt:variant>
      <vt:variant>
        <vt:lpwstr>https://www.itu.int/en/ITU-T/extcoop/figisymposium/2019/Pages/default.aspx</vt:lpwstr>
      </vt:variant>
      <vt:variant>
        <vt:lpwstr/>
      </vt:variant>
      <vt:variant>
        <vt:i4>2031637</vt:i4>
      </vt:variant>
      <vt:variant>
        <vt:i4>3156</vt:i4>
      </vt:variant>
      <vt:variant>
        <vt:i4>0</vt:i4>
      </vt:variant>
      <vt:variant>
        <vt:i4>5</vt:i4>
      </vt:variant>
      <vt:variant>
        <vt:lpwstr>https://www.itu.int/en/ITU-T/Workshops-and-Seminars/dfc/201710/Pages/default.aspx</vt:lpwstr>
      </vt:variant>
      <vt:variant>
        <vt:lpwstr/>
      </vt:variant>
      <vt:variant>
        <vt:i4>6619255</vt:i4>
      </vt:variant>
      <vt:variant>
        <vt:i4>3153</vt:i4>
      </vt:variant>
      <vt:variant>
        <vt:i4>0</vt:i4>
      </vt:variant>
      <vt:variant>
        <vt:i4>5</vt:i4>
      </vt:variant>
      <vt:variant>
        <vt:lpwstr>https://www.itu.int/en/ITU-T/extcoop/figisymposium/2017/Pages/default.aspx</vt:lpwstr>
      </vt:variant>
      <vt:variant>
        <vt:lpwstr/>
      </vt:variant>
      <vt:variant>
        <vt:i4>1114202</vt:i4>
      </vt:variant>
      <vt:variant>
        <vt:i4>3150</vt:i4>
      </vt:variant>
      <vt:variant>
        <vt:i4>0</vt:i4>
      </vt:variant>
      <vt:variant>
        <vt:i4>5</vt:i4>
      </vt:variant>
      <vt:variant>
        <vt:lpwstr>https://www.itu.int/en/ITU-T/extcoop/dcgi/Pages/default.aspx</vt:lpwstr>
      </vt:variant>
      <vt:variant>
        <vt:lpwstr/>
      </vt:variant>
      <vt:variant>
        <vt:i4>2490471</vt:i4>
      </vt:variant>
      <vt:variant>
        <vt:i4>3144</vt:i4>
      </vt:variant>
      <vt:variant>
        <vt:i4>0</vt:i4>
      </vt:variant>
      <vt:variant>
        <vt:i4>5</vt:i4>
      </vt:variant>
      <vt:variant>
        <vt:lpwstr>https://www.itu.int/en/ITU-T/focusgroups/dfc/Pages/default.aspx</vt:lpwstr>
      </vt:variant>
      <vt:variant>
        <vt:lpwstr/>
      </vt:variant>
      <vt:variant>
        <vt:i4>7733311</vt:i4>
      </vt:variant>
      <vt:variant>
        <vt:i4>3141</vt:i4>
      </vt:variant>
      <vt:variant>
        <vt:i4>0</vt:i4>
      </vt:variant>
      <vt:variant>
        <vt:i4>5</vt:i4>
      </vt:variant>
      <vt:variant>
        <vt:lpwstr>https://www.iso.org/committee/6266604.html</vt:lpwstr>
      </vt:variant>
      <vt:variant>
        <vt:lpwstr/>
      </vt:variant>
      <vt:variant>
        <vt:i4>7995449</vt:i4>
      </vt:variant>
      <vt:variant>
        <vt:i4>3138</vt:i4>
      </vt:variant>
      <vt:variant>
        <vt:i4>0</vt:i4>
      </vt:variant>
      <vt:variant>
        <vt:i4>5</vt:i4>
      </vt:variant>
      <vt:variant>
        <vt:lpwstr>https://www.iso.org/committee/6534796.html</vt:lpwstr>
      </vt:variant>
      <vt:variant>
        <vt:lpwstr/>
      </vt:variant>
      <vt:variant>
        <vt:i4>4980751</vt:i4>
      </vt:variant>
      <vt:variant>
        <vt:i4>3135</vt:i4>
      </vt:variant>
      <vt:variant>
        <vt:i4>0</vt:i4>
      </vt:variant>
      <vt:variant>
        <vt:i4>5</vt:i4>
      </vt:variant>
      <vt:variant>
        <vt:lpwstr>https://www.iso.org/committee/49670.html</vt:lpwstr>
      </vt:variant>
      <vt:variant>
        <vt:lpwstr/>
      </vt:variant>
      <vt:variant>
        <vt:i4>2490471</vt:i4>
      </vt:variant>
      <vt:variant>
        <vt:i4>3132</vt:i4>
      </vt:variant>
      <vt:variant>
        <vt:i4>0</vt:i4>
      </vt:variant>
      <vt:variant>
        <vt:i4>5</vt:i4>
      </vt:variant>
      <vt:variant>
        <vt:lpwstr>https://www.itu.int/en/ITU-T/focusgroups/dfc/Pages/default.aspx</vt:lpwstr>
      </vt:variant>
      <vt:variant>
        <vt:lpwstr/>
      </vt:variant>
      <vt:variant>
        <vt:i4>7536702</vt:i4>
      </vt:variant>
      <vt:variant>
        <vt:i4>3117</vt:i4>
      </vt:variant>
      <vt:variant>
        <vt:i4>0</vt:i4>
      </vt:variant>
      <vt:variant>
        <vt:i4>5</vt:i4>
      </vt:variant>
      <vt:variant>
        <vt:lpwstr>https://figi.itu.int/wp-content/uploads/2021/05/Security-audit-of-various-DFS-applications.pdf</vt:lpwstr>
      </vt:variant>
      <vt:variant>
        <vt:lpwstr/>
      </vt:variant>
      <vt:variant>
        <vt:i4>4915293</vt:i4>
      </vt:variant>
      <vt:variant>
        <vt:i4>3114</vt:i4>
      </vt:variant>
      <vt:variant>
        <vt:i4>0</vt:i4>
      </vt:variant>
      <vt:variant>
        <vt:i4>5</vt:i4>
      </vt:variant>
      <vt:variant>
        <vt:lpwstr>https://figi.itu.int/figi-resources/dfs-security-lab/</vt:lpwstr>
      </vt:variant>
      <vt:variant>
        <vt:lpwstr/>
      </vt:variant>
      <vt:variant>
        <vt:i4>196637</vt:i4>
      </vt:variant>
      <vt:variant>
        <vt:i4>3111</vt:i4>
      </vt:variant>
      <vt:variant>
        <vt:i4>0</vt:i4>
      </vt:variant>
      <vt:variant>
        <vt:i4>5</vt:i4>
      </vt:variant>
      <vt:variant>
        <vt:lpwstr>https://www.itu.int/pub/T-TUT-DFS-2021-5</vt:lpwstr>
      </vt:variant>
      <vt:variant>
        <vt:lpwstr/>
      </vt:variant>
      <vt:variant>
        <vt:i4>7536702</vt:i4>
      </vt:variant>
      <vt:variant>
        <vt:i4>3108</vt:i4>
      </vt:variant>
      <vt:variant>
        <vt:i4>0</vt:i4>
      </vt:variant>
      <vt:variant>
        <vt:i4>5</vt:i4>
      </vt:variant>
      <vt:variant>
        <vt:lpwstr>https://figi.itu.int/wp-content/uploads/2021/05/Security-audit-of-various-DFS-applications.pdf</vt:lpwstr>
      </vt:variant>
      <vt:variant>
        <vt:lpwstr/>
      </vt:variant>
      <vt:variant>
        <vt:i4>917620</vt:i4>
      </vt:variant>
      <vt:variant>
        <vt:i4>3105</vt:i4>
      </vt:variant>
      <vt:variant>
        <vt:i4>0</vt:i4>
      </vt:variant>
      <vt:variant>
        <vt:i4>5</vt:i4>
      </vt:variant>
      <vt:variant>
        <vt:lpwstr>https://www.itu.int/en/ITU-T/extcoop/figisymposium/Documents/20-00382_Consumer Competency Framework.pdf</vt:lpwstr>
      </vt:variant>
      <vt:variant>
        <vt:lpwstr/>
      </vt:variant>
      <vt:variant>
        <vt:i4>983128</vt:i4>
      </vt:variant>
      <vt:variant>
        <vt:i4>3102</vt:i4>
      </vt:variant>
      <vt:variant>
        <vt:i4>0</vt:i4>
      </vt:variant>
      <vt:variant>
        <vt:i4>5</vt:i4>
      </vt:variant>
      <vt:variant>
        <vt:lpwstr>https://www.itu.int/en/ITU-T/extcoop/figisymposium/Documents/Methodology for inter-operator and cross-border P2P money transfers.pdf</vt:lpwstr>
      </vt:variant>
      <vt:variant>
        <vt:lpwstr/>
      </vt:variant>
      <vt:variant>
        <vt:i4>5636169</vt:i4>
      </vt:variant>
      <vt:variant>
        <vt:i4>3099</vt:i4>
      </vt:variant>
      <vt:variant>
        <vt:i4>0</vt:i4>
      </vt:variant>
      <vt:variant>
        <vt:i4>5</vt:i4>
      </vt:variant>
      <vt:variant>
        <vt:lpwstr>https://www.itu.int/en/ITU-T/extcoop/figisymposium/Documents/20-00383 Security testing for USSD and STK based Digital Financial Services applications.pdf</vt:lpwstr>
      </vt:variant>
      <vt:variant>
        <vt:lpwstr/>
      </vt:variant>
      <vt:variant>
        <vt:i4>3997795</vt:i4>
      </vt:variant>
      <vt:variant>
        <vt:i4>3093</vt:i4>
      </vt:variant>
      <vt:variant>
        <vt:i4>0</vt:i4>
      </vt:variant>
      <vt:variant>
        <vt:i4>5</vt:i4>
      </vt:variant>
      <vt:variant>
        <vt:lpwstr>https://figi.itu.int/figi-resources/working-groups/</vt:lpwstr>
      </vt:variant>
      <vt:variant>
        <vt:lpwstr/>
      </vt:variant>
      <vt:variant>
        <vt:i4>5373974</vt:i4>
      </vt:variant>
      <vt:variant>
        <vt:i4>3090</vt:i4>
      </vt:variant>
      <vt:variant>
        <vt:i4>0</vt:i4>
      </vt:variant>
      <vt:variant>
        <vt:i4>5</vt:i4>
      </vt:variant>
      <vt:variant>
        <vt:lpwstr>https://www.itu.int/md/meetingdoc.asp?lang=en&amp;parent=T17-TSAG-190923-TD-GEN-0476</vt:lpwstr>
      </vt:variant>
      <vt:variant>
        <vt:lpwstr/>
      </vt:variant>
      <vt:variant>
        <vt:i4>983112</vt:i4>
      </vt:variant>
      <vt:variant>
        <vt:i4>3087</vt:i4>
      </vt:variant>
      <vt:variant>
        <vt:i4>0</vt:i4>
      </vt:variant>
      <vt:variant>
        <vt:i4>5</vt:i4>
      </vt:variant>
      <vt:variant>
        <vt:lpwstr>https://www.itu.int/rec/T-REC-G.1033-201910-I/en</vt:lpwstr>
      </vt:variant>
      <vt:variant>
        <vt:lpwstr/>
      </vt:variant>
      <vt:variant>
        <vt:i4>5636112</vt:i4>
      </vt:variant>
      <vt:variant>
        <vt:i4>3084</vt:i4>
      </vt:variant>
      <vt:variant>
        <vt:i4>0</vt:i4>
      </vt:variant>
      <vt:variant>
        <vt:i4>5</vt:i4>
      </vt:variant>
      <vt:variant>
        <vt:lpwstr>https://www.itu.int/md/meetingdoc.asp?lang=en&amp;parent=T17-TSAG-170501-TD-GEN-0036</vt:lpwstr>
      </vt:variant>
      <vt:variant>
        <vt:lpwstr/>
      </vt:variant>
      <vt:variant>
        <vt:i4>1114202</vt:i4>
      </vt:variant>
      <vt:variant>
        <vt:i4>3081</vt:i4>
      </vt:variant>
      <vt:variant>
        <vt:i4>0</vt:i4>
      </vt:variant>
      <vt:variant>
        <vt:i4>5</vt:i4>
      </vt:variant>
      <vt:variant>
        <vt:lpwstr>https://www.itu.int/en/ITU-T/extcoop/dcgi/Pages/default.aspx</vt:lpwstr>
      </vt:variant>
      <vt:variant>
        <vt:lpwstr/>
      </vt:variant>
      <vt:variant>
        <vt:i4>6291559</vt:i4>
      </vt:variant>
      <vt:variant>
        <vt:i4>3078</vt:i4>
      </vt:variant>
      <vt:variant>
        <vt:i4>0</vt:i4>
      </vt:variant>
      <vt:variant>
        <vt:i4>5</vt:i4>
      </vt:variant>
      <vt:variant>
        <vt:lpwstr>https://figi.itu.int/working-group-reports/</vt:lpwstr>
      </vt:variant>
      <vt:variant>
        <vt:lpwstr/>
      </vt:variant>
      <vt:variant>
        <vt:i4>458801</vt:i4>
      </vt:variant>
      <vt:variant>
        <vt:i4>3075</vt:i4>
      </vt:variant>
      <vt:variant>
        <vt:i4>0</vt:i4>
      </vt:variant>
      <vt:variant>
        <vt:i4>5</vt:i4>
      </vt:variant>
      <vt:variant>
        <vt:lpwstr>https://www.itu.int/dms_pub/itu-t/opb/res/T-RES-T.89-2016-PDF-E.pdf</vt:lpwstr>
      </vt:variant>
      <vt:variant>
        <vt:lpwstr/>
      </vt:variant>
      <vt:variant>
        <vt:i4>2883705</vt:i4>
      </vt:variant>
      <vt:variant>
        <vt:i4>3072</vt:i4>
      </vt:variant>
      <vt:variant>
        <vt:i4>0</vt:i4>
      </vt:variant>
      <vt:variant>
        <vt:i4>5</vt:i4>
      </vt:variant>
      <vt:variant>
        <vt:lpwstr>https://www.itu.int/md/meetingdoc.asp?lang=en&amp;parent=S20-CL-C-0035</vt:lpwstr>
      </vt:variant>
      <vt:variant>
        <vt:lpwstr/>
      </vt:variant>
      <vt:variant>
        <vt:i4>2490495</vt:i4>
      </vt:variant>
      <vt:variant>
        <vt:i4>3069</vt:i4>
      </vt:variant>
      <vt:variant>
        <vt:i4>0</vt:i4>
      </vt:variant>
      <vt:variant>
        <vt:i4>5</vt:i4>
      </vt:variant>
      <vt:variant>
        <vt:lpwstr>https://www.itu.int/md/meetingdoc.asp?lang=en&amp;parent=S17-CL-C-0068</vt:lpwstr>
      </vt:variant>
      <vt:variant>
        <vt:lpwstr/>
      </vt:variant>
      <vt:variant>
        <vt:i4>7012355</vt:i4>
      </vt:variant>
      <vt:variant>
        <vt:i4>3066</vt:i4>
      </vt:variant>
      <vt:variant>
        <vt:i4>0</vt:i4>
      </vt:variant>
      <vt:variant>
        <vt:i4>5</vt:i4>
      </vt:variant>
      <vt:variant>
        <vt:lpwstr>https://itu.int/ITU-T/workprog/wp_search.aspx?sg=16&amp;q=22</vt:lpwstr>
      </vt:variant>
      <vt:variant>
        <vt:lpwstr/>
      </vt:variant>
      <vt:variant>
        <vt:i4>1441918</vt:i4>
      </vt:variant>
      <vt:variant>
        <vt:i4>3063</vt:i4>
      </vt:variant>
      <vt:variant>
        <vt:i4>0</vt:i4>
      </vt:variant>
      <vt:variant>
        <vt:i4>5</vt:i4>
      </vt:variant>
      <vt:variant>
        <vt:lpwstr>http://www.itu.int/itu-t/workprog/wp_item.aspx?isn=16658</vt:lpwstr>
      </vt:variant>
      <vt:variant>
        <vt:lpwstr/>
      </vt:variant>
      <vt:variant>
        <vt:i4>1900669</vt:i4>
      </vt:variant>
      <vt:variant>
        <vt:i4>3060</vt:i4>
      </vt:variant>
      <vt:variant>
        <vt:i4>0</vt:i4>
      </vt:variant>
      <vt:variant>
        <vt:i4>5</vt:i4>
      </vt:variant>
      <vt:variant>
        <vt:lpwstr>http://www.itu.int/itu-t/workprog/wp_item.aspx?isn=16366</vt:lpwstr>
      </vt:variant>
      <vt:variant>
        <vt:lpwstr/>
      </vt:variant>
      <vt:variant>
        <vt:i4>1245309</vt:i4>
      </vt:variant>
      <vt:variant>
        <vt:i4>3057</vt:i4>
      </vt:variant>
      <vt:variant>
        <vt:i4>0</vt:i4>
      </vt:variant>
      <vt:variant>
        <vt:i4>5</vt:i4>
      </vt:variant>
      <vt:variant>
        <vt:lpwstr>http://www.itu.int/itu-t/workprog/wp_item.aspx?isn=16368</vt:lpwstr>
      </vt:variant>
      <vt:variant>
        <vt:lpwstr/>
      </vt:variant>
      <vt:variant>
        <vt:i4>1835133</vt:i4>
      </vt:variant>
      <vt:variant>
        <vt:i4>3054</vt:i4>
      </vt:variant>
      <vt:variant>
        <vt:i4>0</vt:i4>
      </vt:variant>
      <vt:variant>
        <vt:i4>5</vt:i4>
      </vt:variant>
      <vt:variant>
        <vt:lpwstr>http://www.itu.int/itu-t/workprog/wp_item.aspx?isn=16367</vt:lpwstr>
      </vt:variant>
      <vt:variant>
        <vt:lpwstr/>
      </vt:variant>
      <vt:variant>
        <vt:i4>1900670</vt:i4>
      </vt:variant>
      <vt:variant>
        <vt:i4>3051</vt:i4>
      </vt:variant>
      <vt:variant>
        <vt:i4>0</vt:i4>
      </vt:variant>
      <vt:variant>
        <vt:i4>5</vt:i4>
      </vt:variant>
      <vt:variant>
        <vt:lpwstr>http://www.itu.int/itu-t/workprog/wp_item.aspx?isn=16653</vt:lpwstr>
      </vt:variant>
      <vt:variant>
        <vt:lpwstr/>
      </vt:variant>
      <vt:variant>
        <vt:i4>1638527</vt:i4>
      </vt:variant>
      <vt:variant>
        <vt:i4>3048</vt:i4>
      </vt:variant>
      <vt:variant>
        <vt:i4>0</vt:i4>
      </vt:variant>
      <vt:variant>
        <vt:i4>5</vt:i4>
      </vt:variant>
      <vt:variant>
        <vt:lpwstr>http://www.itu.int/itu-t/workprog/wp_item.aspx?isn=15071</vt:lpwstr>
      </vt:variant>
      <vt:variant>
        <vt:lpwstr/>
      </vt:variant>
      <vt:variant>
        <vt:i4>1572990</vt:i4>
      </vt:variant>
      <vt:variant>
        <vt:i4>3045</vt:i4>
      </vt:variant>
      <vt:variant>
        <vt:i4>0</vt:i4>
      </vt:variant>
      <vt:variant>
        <vt:i4>5</vt:i4>
      </vt:variant>
      <vt:variant>
        <vt:lpwstr>http://www.itu.int/itu-t/workprog/wp_item.aspx?isn=16656</vt:lpwstr>
      </vt:variant>
      <vt:variant>
        <vt:lpwstr/>
      </vt:variant>
      <vt:variant>
        <vt:i4>1638521</vt:i4>
      </vt:variant>
      <vt:variant>
        <vt:i4>3042</vt:i4>
      </vt:variant>
      <vt:variant>
        <vt:i4>0</vt:i4>
      </vt:variant>
      <vt:variant>
        <vt:i4>5</vt:i4>
      </vt:variant>
      <vt:variant>
        <vt:lpwstr>http://www.itu.int/itu-t/workprog/wp_item.aspx?isn=14706</vt:lpwstr>
      </vt:variant>
      <vt:variant>
        <vt:lpwstr/>
      </vt:variant>
      <vt:variant>
        <vt:i4>1704057</vt:i4>
      </vt:variant>
      <vt:variant>
        <vt:i4>3039</vt:i4>
      </vt:variant>
      <vt:variant>
        <vt:i4>0</vt:i4>
      </vt:variant>
      <vt:variant>
        <vt:i4>5</vt:i4>
      </vt:variant>
      <vt:variant>
        <vt:lpwstr>http://www.itu.int/itu-t/workprog/wp_item.aspx?isn=14705</vt:lpwstr>
      </vt:variant>
      <vt:variant>
        <vt:lpwstr/>
      </vt:variant>
      <vt:variant>
        <vt:i4>1638526</vt:i4>
      </vt:variant>
      <vt:variant>
        <vt:i4>3036</vt:i4>
      </vt:variant>
      <vt:variant>
        <vt:i4>0</vt:i4>
      </vt:variant>
      <vt:variant>
        <vt:i4>5</vt:i4>
      </vt:variant>
      <vt:variant>
        <vt:lpwstr>http://www.itu.int/itu-t/workprog/wp_item.aspx?isn=14071</vt:lpwstr>
      </vt:variant>
      <vt:variant>
        <vt:lpwstr/>
      </vt:variant>
      <vt:variant>
        <vt:i4>1572990</vt:i4>
      </vt:variant>
      <vt:variant>
        <vt:i4>3033</vt:i4>
      </vt:variant>
      <vt:variant>
        <vt:i4>0</vt:i4>
      </vt:variant>
      <vt:variant>
        <vt:i4>5</vt:i4>
      </vt:variant>
      <vt:variant>
        <vt:lpwstr>http://www.itu.int/itu-t/workprog/wp_item.aspx?isn=16353</vt:lpwstr>
      </vt:variant>
      <vt:variant>
        <vt:lpwstr/>
      </vt:variant>
      <vt:variant>
        <vt:i4>2031742</vt:i4>
      </vt:variant>
      <vt:variant>
        <vt:i4>3030</vt:i4>
      </vt:variant>
      <vt:variant>
        <vt:i4>0</vt:i4>
      </vt:variant>
      <vt:variant>
        <vt:i4>5</vt:i4>
      </vt:variant>
      <vt:variant>
        <vt:lpwstr>http://www.itu.int/itu-t/workprog/wp_item.aspx?isn=16354</vt:lpwstr>
      </vt:variant>
      <vt:variant>
        <vt:lpwstr/>
      </vt:variant>
      <vt:variant>
        <vt:i4>3211373</vt:i4>
      </vt:variant>
      <vt:variant>
        <vt:i4>3027</vt:i4>
      </vt:variant>
      <vt:variant>
        <vt:i4>0</vt:i4>
      </vt:variant>
      <vt:variant>
        <vt:i4>5</vt:i4>
      </vt:variant>
      <vt:variant>
        <vt:lpwstr>https://www.itu.int/en/ITU-T/focusgroups/dlt/Pages/default.aspx</vt:lpwstr>
      </vt:variant>
      <vt:variant>
        <vt:lpwstr/>
      </vt:variant>
      <vt:variant>
        <vt:i4>7929963</vt:i4>
      </vt:variant>
      <vt:variant>
        <vt:i4>3024</vt:i4>
      </vt:variant>
      <vt:variant>
        <vt:i4>0</vt:i4>
      </vt:variant>
      <vt:variant>
        <vt:i4>5</vt:i4>
      </vt:variant>
      <vt:variant>
        <vt:lpwstr>http://itu.int/en/ITU-T/studygroups/2017-2020/16/Pages/q22.aspx</vt:lpwstr>
      </vt:variant>
      <vt:variant>
        <vt:lpwstr/>
      </vt:variant>
      <vt:variant>
        <vt:i4>6684740</vt:i4>
      </vt:variant>
      <vt:variant>
        <vt:i4>3021</vt:i4>
      </vt:variant>
      <vt:variant>
        <vt:i4>0</vt:i4>
      </vt:variant>
      <vt:variant>
        <vt:i4>5</vt:i4>
      </vt:variant>
      <vt:variant>
        <vt:lpwstr>https://www.itu.int/ITU-T/workprog/wp_item.aspx?isn=14770</vt:lpwstr>
      </vt:variant>
      <vt:variant>
        <vt:lpwstr/>
      </vt:variant>
      <vt:variant>
        <vt:i4>5373978</vt:i4>
      </vt:variant>
      <vt:variant>
        <vt:i4>3018</vt:i4>
      </vt:variant>
      <vt:variant>
        <vt:i4>0</vt:i4>
      </vt:variant>
      <vt:variant>
        <vt:i4>5</vt:i4>
      </vt:variant>
      <vt:variant>
        <vt:lpwstr>https://www.itu.int/rec/T-REC-Y.Sup40/en</vt:lpwstr>
      </vt:variant>
      <vt:variant>
        <vt:lpwstr/>
      </vt:variant>
      <vt:variant>
        <vt:i4>7274612</vt:i4>
      </vt:variant>
      <vt:variant>
        <vt:i4>3015</vt:i4>
      </vt:variant>
      <vt:variant>
        <vt:i4>0</vt:i4>
      </vt:variant>
      <vt:variant>
        <vt:i4>5</vt:i4>
      </vt:variant>
      <vt:variant>
        <vt:lpwstr/>
      </vt:variant>
      <vt:variant>
        <vt:lpwstr>Top</vt:lpwstr>
      </vt:variant>
      <vt:variant>
        <vt:i4>1835011</vt:i4>
      </vt:variant>
      <vt:variant>
        <vt:i4>3012</vt:i4>
      </vt:variant>
      <vt:variant>
        <vt:i4>0</vt:i4>
      </vt:variant>
      <vt:variant>
        <vt:i4>5</vt:i4>
      </vt:variant>
      <vt:variant>
        <vt:lpwstr>https://www.itu.int/net4/roamingtool</vt:lpwstr>
      </vt:variant>
      <vt:variant>
        <vt:lpwstr/>
      </vt:variant>
      <vt:variant>
        <vt:i4>7274612</vt:i4>
      </vt:variant>
      <vt:variant>
        <vt:i4>3009</vt:i4>
      </vt:variant>
      <vt:variant>
        <vt:i4>0</vt:i4>
      </vt:variant>
      <vt:variant>
        <vt:i4>5</vt:i4>
      </vt:variant>
      <vt:variant>
        <vt:lpwstr/>
      </vt:variant>
      <vt:variant>
        <vt:lpwstr>Top</vt:lpwstr>
      </vt:variant>
      <vt:variant>
        <vt:i4>3997734</vt:i4>
      </vt:variant>
      <vt:variant>
        <vt:i4>3006</vt:i4>
      </vt:variant>
      <vt:variant>
        <vt:i4>0</vt:i4>
      </vt:variant>
      <vt:variant>
        <vt:i4>5</vt:i4>
      </vt:variant>
      <vt:variant>
        <vt:lpwstr>https://www.itu.int/ifa/t/2017/ls/tsag/sp16-tsag-oLS-00008.docx</vt:lpwstr>
      </vt:variant>
      <vt:variant>
        <vt:lpwstr/>
      </vt:variant>
      <vt:variant>
        <vt:i4>6553653</vt:i4>
      </vt:variant>
      <vt:variant>
        <vt:i4>3003</vt:i4>
      </vt:variant>
      <vt:variant>
        <vt:i4>0</vt:i4>
      </vt:variant>
      <vt:variant>
        <vt:i4>5</vt:i4>
      </vt:variant>
      <vt:variant>
        <vt:lpwstr>https://www.itu.int/md/S21-EGITR5-INF-0001</vt:lpwstr>
      </vt:variant>
      <vt:variant>
        <vt:lpwstr/>
      </vt:variant>
      <vt:variant>
        <vt:i4>65567</vt:i4>
      </vt:variant>
      <vt:variant>
        <vt:i4>3000</vt:i4>
      </vt:variant>
      <vt:variant>
        <vt:i4>0</vt:i4>
      </vt:variant>
      <vt:variant>
        <vt:i4>5</vt:i4>
      </vt:variant>
      <vt:variant>
        <vt:lpwstr>https://www.itu.int/md/S18-CLEGITR3-C-0005/en</vt:lpwstr>
      </vt:variant>
      <vt:variant>
        <vt:lpwstr/>
      </vt:variant>
      <vt:variant>
        <vt:i4>2621563</vt:i4>
      </vt:variant>
      <vt:variant>
        <vt:i4>2997</vt:i4>
      </vt:variant>
      <vt:variant>
        <vt:i4>0</vt:i4>
      </vt:variant>
      <vt:variant>
        <vt:i4>5</vt:i4>
      </vt:variant>
      <vt:variant>
        <vt:lpwstr>https://www.itu.int/md/meetingdoc.asp?lang=en&amp;parent=S17-CL-C-0026</vt:lpwstr>
      </vt:variant>
      <vt:variant>
        <vt:lpwstr/>
      </vt:variant>
      <vt:variant>
        <vt:i4>6553653</vt:i4>
      </vt:variant>
      <vt:variant>
        <vt:i4>2994</vt:i4>
      </vt:variant>
      <vt:variant>
        <vt:i4>0</vt:i4>
      </vt:variant>
      <vt:variant>
        <vt:i4>5</vt:i4>
      </vt:variant>
      <vt:variant>
        <vt:lpwstr>https://www.itu.int/md/S21-EGITR5-INF-0001</vt:lpwstr>
      </vt:variant>
      <vt:variant>
        <vt:lpwstr/>
      </vt:variant>
      <vt:variant>
        <vt:i4>7274612</vt:i4>
      </vt:variant>
      <vt:variant>
        <vt:i4>2991</vt:i4>
      </vt:variant>
      <vt:variant>
        <vt:i4>0</vt:i4>
      </vt:variant>
      <vt:variant>
        <vt:i4>5</vt:i4>
      </vt:variant>
      <vt:variant>
        <vt:lpwstr/>
      </vt:variant>
      <vt:variant>
        <vt:lpwstr>Top</vt:lpwstr>
      </vt:variant>
      <vt:variant>
        <vt:i4>7078009</vt:i4>
      </vt:variant>
      <vt:variant>
        <vt:i4>2988</vt:i4>
      </vt:variant>
      <vt:variant>
        <vt:i4>0</vt:i4>
      </vt:variant>
      <vt:variant>
        <vt:i4>5</vt:i4>
      </vt:variant>
      <vt:variant>
        <vt:lpwstr>https://www.itu.int/en/ITU-T/Workshops-and-Seminars/sg05rg/sdtd/Pages/default.aspx</vt:lpwstr>
      </vt:variant>
      <vt:variant>
        <vt:lpwstr/>
      </vt:variant>
      <vt:variant>
        <vt:i4>8126524</vt:i4>
      </vt:variant>
      <vt:variant>
        <vt:i4>2985</vt:i4>
      </vt:variant>
      <vt:variant>
        <vt:i4>0</vt:i4>
      </vt:variant>
      <vt:variant>
        <vt:i4>5</vt:i4>
      </vt:variant>
      <vt:variant>
        <vt:lpwstr>https://www.itu.int/en/ITU-T/Workshops-and-Seminars/sg05rg/sdtd/20210928/Pages/default.aspx</vt:lpwstr>
      </vt:variant>
      <vt:variant>
        <vt:lpwstr/>
      </vt:variant>
      <vt:variant>
        <vt:i4>7471220</vt:i4>
      </vt:variant>
      <vt:variant>
        <vt:i4>2982</vt:i4>
      </vt:variant>
      <vt:variant>
        <vt:i4>0</vt:i4>
      </vt:variant>
      <vt:variant>
        <vt:i4>5</vt:i4>
      </vt:variant>
      <vt:variant>
        <vt:lpwstr>https://www.itu.int/en/ITU-T/studygroups/2017-2020/20/sg20rgafr/Pages/default.aspx</vt:lpwstr>
      </vt:variant>
      <vt:variant>
        <vt:lpwstr/>
      </vt:variant>
      <vt:variant>
        <vt:i4>2031697</vt:i4>
      </vt:variant>
      <vt:variant>
        <vt:i4>2979</vt:i4>
      </vt:variant>
      <vt:variant>
        <vt:i4>0</vt:i4>
      </vt:variant>
      <vt:variant>
        <vt:i4>5</vt:i4>
      </vt:variant>
      <vt:variant>
        <vt:lpwstr>https://www.itu.int/en/ITU-T/studygroups/2017-2020/05/sg5rgafr/Pages/default.aspx</vt:lpwstr>
      </vt:variant>
      <vt:variant>
        <vt:lpwstr/>
      </vt:variant>
      <vt:variant>
        <vt:i4>2818087</vt:i4>
      </vt:variant>
      <vt:variant>
        <vt:i4>2976</vt:i4>
      </vt:variant>
      <vt:variant>
        <vt:i4>0</vt:i4>
      </vt:variant>
      <vt:variant>
        <vt:i4>5</vt:i4>
      </vt:variant>
      <vt:variant>
        <vt:lpwstr>https://www.itu.int/en/ITU-T/climatechange/Pages/1st-Digital-African-Week.aspx</vt:lpwstr>
      </vt:variant>
      <vt:variant>
        <vt:lpwstr/>
      </vt:variant>
      <vt:variant>
        <vt:i4>7929981</vt:i4>
      </vt:variant>
      <vt:variant>
        <vt:i4>2973</vt:i4>
      </vt:variant>
      <vt:variant>
        <vt:i4>0</vt:i4>
      </vt:variant>
      <vt:variant>
        <vt:i4>5</vt:i4>
      </vt:variant>
      <vt:variant>
        <vt:lpwstr>https://www.itu.int/en/ITU-T/climatechange/Pages/20210602.aspx</vt:lpwstr>
      </vt:variant>
      <vt:variant>
        <vt:lpwstr/>
      </vt:variant>
      <vt:variant>
        <vt:i4>5636103</vt:i4>
      </vt:variant>
      <vt:variant>
        <vt:i4>2970</vt:i4>
      </vt:variant>
      <vt:variant>
        <vt:i4>0</vt:i4>
      </vt:variant>
      <vt:variant>
        <vt:i4>5</vt:i4>
      </vt:variant>
      <vt:variant>
        <vt:lpwstr>https://itu.int/go/fgai4a</vt:lpwstr>
      </vt:variant>
      <vt:variant>
        <vt:lpwstr/>
      </vt:variant>
      <vt:variant>
        <vt:i4>6881347</vt:i4>
      </vt:variant>
      <vt:variant>
        <vt:i4>2967</vt:i4>
      </vt:variant>
      <vt:variant>
        <vt:i4>0</vt:i4>
      </vt:variant>
      <vt:variant>
        <vt:i4>5</vt:i4>
      </vt:variant>
      <vt:variant>
        <vt:lpwstr>https://www.itu.int/ITU-T/workprog/wp_item.aspx?isn=14081</vt:lpwstr>
      </vt:variant>
      <vt:variant>
        <vt:lpwstr/>
      </vt:variant>
      <vt:variant>
        <vt:i4>2687103</vt:i4>
      </vt:variant>
      <vt:variant>
        <vt:i4>2964</vt:i4>
      </vt:variant>
      <vt:variant>
        <vt:i4>0</vt:i4>
      </vt:variant>
      <vt:variant>
        <vt:i4>5</vt:i4>
      </vt:variant>
      <vt:variant>
        <vt:lpwstr>https://www.itu.int/net4/wsis/forum/2020/Agenda/Session/267</vt:lpwstr>
      </vt:variant>
      <vt:variant>
        <vt:lpwstr/>
      </vt:variant>
      <vt:variant>
        <vt:i4>5898285</vt:i4>
      </vt:variant>
      <vt:variant>
        <vt:i4>2961</vt:i4>
      </vt:variant>
      <vt:variant>
        <vt:i4>0</vt:i4>
      </vt:variant>
      <vt:variant>
        <vt:i4>5</vt:i4>
      </vt:variant>
      <vt:variant>
        <vt:lpwstr>https://www.itu.int/ITU-T/workprog/wp_search.aspx?isn_sp=3925&amp;isn_sg=3929&amp;isn_qu=4134&amp;isn_status=-1,1,3,7,2&amp;details=0&amp;field=acdefghijo</vt:lpwstr>
      </vt:variant>
      <vt:variant>
        <vt:lpwstr/>
      </vt:variant>
      <vt:variant>
        <vt:i4>6881346</vt:i4>
      </vt:variant>
      <vt:variant>
        <vt:i4>2958</vt:i4>
      </vt:variant>
      <vt:variant>
        <vt:i4>0</vt:i4>
      </vt:variant>
      <vt:variant>
        <vt:i4>5</vt:i4>
      </vt:variant>
      <vt:variant>
        <vt:lpwstr>https://www.itu.int/ITU-T/workprog/wp_item.aspx?isn=14182</vt:lpwstr>
      </vt:variant>
      <vt:variant>
        <vt:lpwstr/>
      </vt:variant>
      <vt:variant>
        <vt:i4>3080236</vt:i4>
      </vt:variant>
      <vt:variant>
        <vt:i4>2955</vt:i4>
      </vt:variant>
      <vt:variant>
        <vt:i4>0</vt:i4>
      </vt:variant>
      <vt:variant>
        <vt:i4>5</vt:i4>
      </vt:variant>
      <vt:variant>
        <vt:lpwstr>https://www.itu.int/en/ITU-T/focusgroups/ai4ndm/Pages/default.aspx</vt:lpwstr>
      </vt:variant>
      <vt:variant>
        <vt:lpwstr/>
      </vt:variant>
      <vt:variant>
        <vt:i4>7274612</vt:i4>
      </vt:variant>
      <vt:variant>
        <vt:i4>2952</vt:i4>
      </vt:variant>
      <vt:variant>
        <vt:i4>0</vt:i4>
      </vt:variant>
      <vt:variant>
        <vt:i4>5</vt:i4>
      </vt:variant>
      <vt:variant>
        <vt:lpwstr/>
      </vt:variant>
      <vt:variant>
        <vt:lpwstr>Top</vt:lpwstr>
      </vt:variant>
      <vt:variant>
        <vt:i4>3080318</vt:i4>
      </vt:variant>
      <vt:variant>
        <vt:i4>2949</vt:i4>
      </vt:variant>
      <vt:variant>
        <vt:i4>0</vt:i4>
      </vt:variant>
      <vt:variant>
        <vt:i4>5</vt:i4>
      </vt:variant>
      <vt:variant>
        <vt:lpwstr>https://www.itu.int/md/meetingdoc.asp?lang=en&amp;parent=S21-CL-C-0047</vt:lpwstr>
      </vt:variant>
      <vt:variant>
        <vt:lpwstr/>
      </vt:variant>
      <vt:variant>
        <vt:i4>3014782</vt:i4>
      </vt:variant>
      <vt:variant>
        <vt:i4>2946</vt:i4>
      </vt:variant>
      <vt:variant>
        <vt:i4>0</vt:i4>
      </vt:variant>
      <vt:variant>
        <vt:i4>5</vt:i4>
      </vt:variant>
      <vt:variant>
        <vt:lpwstr>https://www.itu.int/md/meetingdoc.asp?lang=en&amp;parent=S20-CL-C-0047</vt:lpwstr>
      </vt:variant>
      <vt:variant>
        <vt:lpwstr/>
      </vt:variant>
      <vt:variant>
        <vt:i4>2556029</vt:i4>
      </vt:variant>
      <vt:variant>
        <vt:i4>2943</vt:i4>
      </vt:variant>
      <vt:variant>
        <vt:i4>0</vt:i4>
      </vt:variant>
      <vt:variant>
        <vt:i4>5</vt:i4>
      </vt:variant>
      <vt:variant>
        <vt:lpwstr>https://www.itu.int/md/meetingdoc.asp?lang=en&amp;parent=S19-CL-C-0047</vt:lpwstr>
      </vt:variant>
      <vt:variant>
        <vt:lpwstr/>
      </vt:variant>
      <vt:variant>
        <vt:i4>1441866</vt:i4>
      </vt:variant>
      <vt:variant>
        <vt:i4>2940</vt:i4>
      </vt:variant>
      <vt:variant>
        <vt:i4>0</vt:i4>
      </vt:variant>
      <vt:variant>
        <vt:i4>5</vt:i4>
      </vt:variant>
      <vt:variant>
        <vt:lpwstr>https://www.itu.int/md/S18-CLCWGFHRM8-C-0018</vt:lpwstr>
      </vt:variant>
      <vt:variant>
        <vt:lpwstr/>
      </vt:variant>
      <vt:variant>
        <vt:i4>2949245</vt:i4>
      </vt:variant>
      <vt:variant>
        <vt:i4>2937</vt:i4>
      </vt:variant>
      <vt:variant>
        <vt:i4>0</vt:i4>
      </vt:variant>
      <vt:variant>
        <vt:i4>5</vt:i4>
      </vt:variant>
      <vt:variant>
        <vt:lpwstr>https://www.itu.int/md/meetingdoc.asp?lang=en&amp;parent=S17-CL-C-0043</vt:lpwstr>
      </vt:variant>
      <vt:variant>
        <vt:lpwstr/>
      </vt:variant>
      <vt:variant>
        <vt:i4>7274612</vt:i4>
      </vt:variant>
      <vt:variant>
        <vt:i4>2934</vt:i4>
      </vt:variant>
      <vt:variant>
        <vt:i4>0</vt:i4>
      </vt:variant>
      <vt:variant>
        <vt:i4>5</vt:i4>
      </vt:variant>
      <vt:variant>
        <vt:lpwstr/>
      </vt:variant>
      <vt:variant>
        <vt:lpwstr>Top</vt:lpwstr>
      </vt:variant>
      <vt:variant>
        <vt:i4>7274612</vt:i4>
      </vt:variant>
      <vt:variant>
        <vt:i4>2931</vt:i4>
      </vt:variant>
      <vt:variant>
        <vt:i4>0</vt:i4>
      </vt:variant>
      <vt:variant>
        <vt:i4>5</vt:i4>
      </vt:variant>
      <vt:variant>
        <vt:lpwstr/>
      </vt:variant>
      <vt:variant>
        <vt:lpwstr>Top</vt:lpwstr>
      </vt:variant>
      <vt:variant>
        <vt:i4>5701656</vt:i4>
      </vt:variant>
      <vt:variant>
        <vt:i4>2928</vt:i4>
      </vt:variant>
      <vt:variant>
        <vt:i4>0</vt:i4>
      </vt:variant>
      <vt:variant>
        <vt:i4>5</vt:i4>
      </vt:variant>
      <vt:variant>
        <vt:lpwstr>https://www.itu.int/md/meetingdoc.asp?lang=en&amp;parent=T17-TSAG-220110-TD-GEN-1186</vt:lpwstr>
      </vt:variant>
      <vt:variant>
        <vt:lpwstr/>
      </vt:variant>
      <vt:variant>
        <vt:i4>6815864</vt:i4>
      </vt:variant>
      <vt:variant>
        <vt:i4>2925</vt:i4>
      </vt:variant>
      <vt:variant>
        <vt:i4>0</vt:i4>
      </vt:variant>
      <vt:variant>
        <vt:i4>5</vt:i4>
      </vt:variant>
      <vt:variant>
        <vt:lpwstr>https://www.itu.int/md/T17-TSAG-211025-TD-GEN-1031</vt:lpwstr>
      </vt:variant>
      <vt:variant>
        <vt:lpwstr/>
      </vt:variant>
      <vt:variant>
        <vt:i4>6750331</vt:i4>
      </vt:variant>
      <vt:variant>
        <vt:i4>2922</vt:i4>
      </vt:variant>
      <vt:variant>
        <vt:i4>0</vt:i4>
      </vt:variant>
      <vt:variant>
        <vt:i4>5</vt:i4>
      </vt:variant>
      <vt:variant>
        <vt:lpwstr>https://www.itu.int/md/T17-TSAG-210111-TD-GEN-0932</vt:lpwstr>
      </vt:variant>
      <vt:variant>
        <vt:lpwstr/>
      </vt:variant>
      <vt:variant>
        <vt:i4>7012467</vt:i4>
      </vt:variant>
      <vt:variant>
        <vt:i4>2919</vt:i4>
      </vt:variant>
      <vt:variant>
        <vt:i4>0</vt:i4>
      </vt:variant>
      <vt:variant>
        <vt:i4>5</vt:i4>
      </vt:variant>
      <vt:variant>
        <vt:lpwstr>https://www.itu.int/md/T17-TSAG-200921-TD-GEN-0789</vt:lpwstr>
      </vt:variant>
      <vt:variant>
        <vt:lpwstr/>
      </vt:variant>
      <vt:variant>
        <vt:i4>7209085</vt:i4>
      </vt:variant>
      <vt:variant>
        <vt:i4>2916</vt:i4>
      </vt:variant>
      <vt:variant>
        <vt:i4>0</vt:i4>
      </vt:variant>
      <vt:variant>
        <vt:i4>5</vt:i4>
      </vt:variant>
      <vt:variant>
        <vt:lpwstr>https://www.itu.int/md/T17-TSAG-200210-TD-GEN-0657</vt:lpwstr>
      </vt:variant>
      <vt:variant>
        <vt:lpwstr/>
      </vt:variant>
      <vt:variant>
        <vt:i4>7143550</vt:i4>
      </vt:variant>
      <vt:variant>
        <vt:i4>2913</vt:i4>
      </vt:variant>
      <vt:variant>
        <vt:i4>0</vt:i4>
      </vt:variant>
      <vt:variant>
        <vt:i4>5</vt:i4>
      </vt:variant>
      <vt:variant>
        <vt:lpwstr>https://www.itu.int/md/T17-TSAG-190923-TD-GEN-0467</vt:lpwstr>
      </vt:variant>
      <vt:variant>
        <vt:lpwstr/>
      </vt:variant>
      <vt:variant>
        <vt:i4>5832730</vt:i4>
      </vt:variant>
      <vt:variant>
        <vt:i4>2910</vt:i4>
      </vt:variant>
      <vt:variant>
        <vt:i4>0</vt:i4>
      </vt:variant>
      <vt:variant>
        <vt:i4>5</vt:i4>
      </vt:variant>
      <vt:variant>
        <vt:lpwstr>https://www.itu.int/md/meetingdoc.asp?lang=en&amp;parent=T17-TSAG-181210-TD-GEN-0292</vt:lpwstr>
      </vt:variant>
      <vt:variant>
        <vt:lpwstr/>
      </vt:variant>
      <vt:variant>
        <vt:i4>5701650</vt:i4>
      </vt:variant>
      <vt:variant>
        <vt:i4>2907</vt:i4>
      </vt:variant>
      <vt:variant>
        <vt:i4>0</vt:i4>
      </vt:variant>
      <vt:variant>
        <vt:i4>5</vt:i4>
      </vt:variant>
      <vt:variant>
        <vt:lpwstr>https://www.itu.int/md/meetingdoc.asp?lang=en&amp;parent=T17-TSAG-180226-TD-GEN-0139</vt:lpwstr>
      </vt:variant>
      <vt:variant>
        <vt:lpwstr/>
      </vt:variant>
      <vt:variant>
        <vt:i4>5570577</vt:i4>
      </vt:variant>
      <vt:variant>
        <vt:i4>2904</vt:i4>
      </vt:variant>
      <vt:variant>
        <vt:i4>0</vt:i4>
      </vt:variant>
      <vt:variant>
        <vt:i4>5</vt:i4>
      </vt:variant>
      <vt:variant>
        <vt:lpwstr>https://www.itu.int/md/meetingdoc.asp?lang=en&amp;parent=T17-TSAG-170501-TD-GEN-0025</vt:lpwstr>
      </vt:variant>
      <vt:variant>
        <vt:lpwstr/>
      </vt:variant>
      <vt:variant>
        <vt:i4>7274612</vt:i4>
      </vt:variant>
      <vt:variant>
        <vt:i4>2901</vt:i4>
      </vt:variant>
      <vt:variant>
        <vt:i4>0</vt:i4>
      </vt:variant>
      <vt:variant>
        <vt:i4>5</vt:i4>
      </vt:variant>
      <vt:variant>
        <vt:lpwstr/>
      </vt:variant>
      <vt:variant>
        <vt:lpwstr>Top</vt:lpwstr>
      </vt:variant>
      <vt:variant>
        <vt:i4>3014689</vt:i4>
      </vt:variant>
      <vt:variant>
        <vt:i4>2898</vt:i4>
      </vt:variant>
      <vt:variant>
        <vt:i4>0</vt:i4>
      </vt:variant>
      <vt:variant>
        <vt:i4>5</vt:i4>
      </vt:variant>
      <vt:variant>
        <vt:lpwstr>https://www.itu.int/en/journal/j-fet/Pages/default.aspx</vt:lpwstr>
      </vt:variant>
      <vt:variant>
        <vt:lpwstr/>
      </vt:variant>
      <vt:variant>
        <vt:i4>1638485</vt:i4>
      </vt:variant>
      <vt:variant>
        <vt:i4>2895</vt:i4>
      </vt:variant>
      <vt:variant>
        <vt:i4>0</vt:i4>
      </vt:variant>
      <vt:variant>
        <vt:i4>5</vt:i4>
      </vt:variant>
      <vt:variant>
        <vt:lpwstr>https://www.itu.int/en/ITU-T/academia/kaleidoscope/Pages/default.aspx</vt:lpwstr>
      </vt:variant>
      <vt:variant>
        <vt:lpwstr/>
      </vt:variant>
      <vt:variant>
        <vt:i4>4915287</vt:i4>
      </vt:variant>
      <vt:variant>
        <vt:i4>2892</vt:i4>
      </vt:variant>
      <vt:variant>
        <vt:i4>0</vt:i4>
      </vt:variant>
      <vt:variant>
        <vt:i4>5</vt:i4>
      </vt:variant>
      <vt:variant>
        <vt:lpwstr>https://www.itu.int/md/T13-WTSA.16-C-0059/en</vt:lpwstr>
      </vt:variant>
      <vt:variant>
        <vt:lpwstr/>
      </vt:variant>
      <vt:variant>
        <vt:i4>1114181</vt:i4>
      </vt:variant>
      <vt:variant>
        <vt:i4>2889</vt:i4>
      </vt:variant>
      <vt:variant>
        <vt:i4>0</vt:i4>
      </vt:variant>
      <vt:variant>
        <vt:i4>5</vt:i4>
      </vt:variant>
      <vt:variant>
        <vt:lpwstr>http://www.itu.int/md/T13-SG09-160121-TD-GEN-0899/en</vt:lpwstr>
      </vt:variant>
      <vt:variant>
        <vt:lpwstr/>
      </vt:variant>
      <vt:variant>
        <vt:i4>7274612</vt:i4>
      </vt:variant>
      <vt:variant>
        <vt:i4>2886</vt:i4>
      </vt:variant>
      <vt:variant>
        <vt:i4>0</vt:i4>
      </vt:variant>
      <vt:variant>
        <vt:i4>5</vt:i4>
      </vt:variant>
      <vt:variant>
        <vt:lpwstr/>
      </vt:variant>
      <vt:variant>
        <vt:lpwstr>Top</vt:lpwstr>
      </vt:variant>
      <vt:variant>
        <vt:i4>7798810</vt:i4>
      </vt:variant>
      <vt:variant>
        <vt:i4>2883</vt:i4>
      </vt:variant>
      <vt:variant>
        <vt:i4>0</vt:i4>
      </vt:variant>
      <vt:variant>
        <vt:i4>5</vt:i4>
      </vt:variant>
      <vt:variant>
        <vt:lpwstr>https://www.itu.int/itu-t/workprog/wp_search.aspx?isn_sp=3925&amp;isn_sg=3928&amp;isn_qu=4120&amp;isn_status=-1,1,3,7&amp;details=0&amp;field=acdefghijo</vt:lpwstr>
      </vt:variant>
      <vt:variant>
        <vt:lpwstr/>
      </vt:variant>
      <vt:variant>
        <vt:i4>1310810</vt:i4>
      </vt:variant>
      <vt:variant>
        <vt:i4>2880</vt:i4>
      </vt:variant>
      <vt:variant>
        <vt:i4>0</vt:i4>
      </vt:variant>
      <vt:variant>
        <vt:i4>5</vt:i4>
      </vt:variant>
      <vt:variant>
        <vt:lpwstr>https://www.itu.int/en/ITU-T/Workshops-and-Seminars/gsw/202112/Pages/day-03.aspx</vt:lpwstr>
      </vt:variant>
      <vt:variant>
        <vt:lpwstr/>
      </vt:variant>
      <vt:variant>
        <vt:i4>1310811</vt:i4>
      </vt:variant>
      <vt:variant>
        <vt:i4>2877</vt:i4>
      </vt:variant>
      <vt:variant>
        <vt:i4>0</vt:i4>
      </vt:variant>
      <vt:variant>
        <vt:i4>5</vt:i4>
      </vt:variant>
      <vt:variant>
        <vt:lpwstr>https://www.itu.int/en/ITU-T/Workshops-and-Seminars/gsw/202112/Pages/day-02.aspx</vt:lpwstr>
      </vt:variant>
      <vt:variant>
        <vt:lpwstr/>
      </vt:variant>
      <vt:variant>
        <vt:i4>1310808</vt:i4>
      </vt:variant>
      <vt:variant>
        <vt:i4>2874</vt:i4>
      </vt:variant>
      <vt:variant>
        <vt:i4>0</vt:i4>
      </vt:variant>
      <vt:variant>
        <vt:i4>5</vt:i4>
      </vt:variant>
      <vt:variant>
        <vt:lpwstr>https://www.itu.int/en/ITU-T/Workshops-and-Seminars/gsw/202112/Pages/day-01.aspx</vt:lpwstr>
      </vt:variant>
      <vt:variant>
        <vt:lpwstr/>
      </vt:variant>
      <vt:variant>
        <vt:i4>7929981</vt:i4>
      </vt:variant>
      <vt:variant>
        <vt:i4>2871</vt:i4>
      </vt:variant>
      <vt:variant>
        <vt:i4>0</vt:i4>
      </vt:variant>
      <vt:variant>
        <vt:i4>5</vt:i4>
      </vt:variant>
      <vt:variant>
        <vt:lpwstr>https://www.itu.int/en/ITU-T/climatechange/Pages/20201015.aspx</vt:lpwstr>
      </vt:variant>
      <vt:variant>
        <vt:lpwstr/>
      </vt:variant>
      <vt:variant>
        <vt:i4>6684710</vt:i4>
      </vt:variant>
      <vt:variant>
        <vt:i4>2868</vt:i4>
      </vt:variant>
      <vt:variant>
        <vt:i4>0</vt:i4>
      </vt:variant>
      <vt:variant>
        <vt:i4>5</vt:i4>
      </vt:variant>
      <vt:variant>
        <vt:lpwstr>https://www.itu.int/en/ITU-T/Workshops-and-Seminars/gsw/201910/Pages/programme-04.aspx</vt:lpwstr>
      </vt:variant>
      <vt:variant>
        <vt:lpwstr/>
      </vt:variant>
      <vt:variant>
        <vt:i4>3932271</vt:i4>
      </vt:variant>
      <vt:variant>
        <vt:i4>2865</vt:i4>
      </vt:variant>
      <vt:variant>
        <vt:i4>0</vt:i4>
      </vt:variant>
      <vt:variant>
        <vt:i4>5</vt:i4>
      </vt:variant>
      <vt:variant>
        <vt:lpwstr>https://www.itu.int/net4/wsis/forum/2019/Agenda/ViewSession/240</vt:lpwstr>
      </vt:variant>
      <vt:variant>
        <vt:lpwstr/>
      </vt:variant>
      <vt:variant>
        <vt:i4>5111900</vt:i4>
      </vt:variant>
      <vt:variant>
        <vt:i4>2862</vt:i4>
      </vt:variant>
      <vt:variant>
        <vt:i4>0</vt:i4>
      </vt:variant>
      <vt:variant>
        <vt:i4>5</vt:i4>
      </vt:variant>
      <vt:variant>
        <vt:lpwstr>https://www.itu.int/en/ITU-T/climatechange/Pages/default.aspx</vt:lpwstr>
      </vt:variant>
      <vt:variant>
        <vt:lpwstr/>
      </vt:variant>
      <vt:variant>
        <vt:i4>7274612</vt:i4>
      </vt:variant>
      <vt:variant>
        <vt:i4>2859</vt:i4>
      </vt:variant>
      <vt:variant>
        <vt:i4>0</vt:i4>
      </vt:variant>
      <vt:variant>
        <vt:i4>5</vt:i4>
      </vt:variant>
      <vt:variant>
        <vt:lpwstr/>
      </vt:variant>
      <vt:variant>
        <vt:lpwstr>Top</vt:lpwstr>
      </vt:variant>
      <vt:variant>
        <vt:i4>2031705</vt:i4>
      </vt:variant>
      <vt:variant>
        <vt:i4>2856</vt:i4>
      </vt:variant>
      <vt:variant>
        <vt:i4>0</vt:i4>
      </vt:variant>
      <vt:variant>
        <vt:i4>5</vt:i4>
      </vt:variant>
      <vt:variant>
        <vt:lpwstr>https://www.itu.int/en/ITU-T/jca/mmes/Pages/default.aspx</vt:lpwstr>
      </vt:variant>
      <vt:variant>
        <vt:lpwstr/>
      </vt:variant>
      <vt:variant>
        <vt:i4>3211327</vt:i4>
      </vt:variant>
      <vt:variant>
        <vt:i4>2853</vt:i4>
      </vt:variant>
      <vt:variant>
        <vt:i4>0</vt:i4>
      </vt:variant>
      <vt:variant>
        <vt:i4>5</vt:i4>
      </vt:variant>
      <vt:variant>
        <vt:lpwstr>https://www.itu.int/itu-t/workprog/wp_search.aspx?isn_sp=3925&amp;isn_sg=3934&amp;isn_qu=4208&amp;isn_status=-1,1,3,7&amp;pg_size=100&amp;details=0&amp;field=acdefghijo</vt:lpwstr>
      </vt:variant>
      <vt:variant>
        <vt:lpwstr/>
      </vt:variant>
      <vt:variant>
        <vt:i4>2621499</vt:i4>
      </vt:variant>
      <vt:variant>
        <vt:i4>2850</vt:i4>
      </vt:variant>
      <vt:variant>
        <vt:i4>0</vt:i4>
      </vt:variant>
      <vt:variant>
        <vt:i4>5</vt:i4>
      </vt:variant>
      <vt:variant>
        <vt:lpwstr>https://www.itu.int/dms_pub/itu-d/opb/phcb/D-PHCB-SAFE_LIS.01-2019-PDF-E.pdf</vt:lpwstr>
      </vt:variant>
      <vt:variant>
        <vt:lpwstr/>
      </vt:variant>
      <vt:variant>
        <vt:i4>6357061</vt:i4>
      </vt:variant>
      <vt:variant>
        <vt:i4>2847</vt:i4>
      </vt:variant>
      <vt:variant>
        <vt:i4>0</vt:i4>
      </vt:variant>
      <vt:variant>
        <vt:i4>5</vt:i4>
      </vt:variant>
      <vt:variant>
        <vt:lpwstr>https://www.itu.int/ITU-T/workprog/wp_item.aspx?isn=13679</vt:lpwstr>
      </vt:variant>
      <vt:variant>
        <vt:lpwstr/>
      </vt:variant>
      <vt:variant>
        <vt:i4>4456532</vt:i4>
      </vt:variant>
      <vt:variant>
        <vt:i4>2844</vt:i4>
      </vt:variant>
      <vt:variant>
        <vt:i4>0</vt:i4>
      </vt:variant>
      <vt:variant>
        <vt:i4>5</vt:i4>
      </vt:variant>
      <vt:variant>
        <vt:lpwstr>https://www.itu.int/rec/T-REC-F.780.1</vt:lpwstr>
      </vt:variant>
      <vt:variant>
        <vt:lpwstr/>
      </vt:variant>
      <vt:variant>
        <vt:i4>7602276</vt:i4>
      </vt:variant>
      <vt:variant>
        <vt:i4>2841</vt:i4>
      </vt:variant>
      <vt:variant>
        <vt:i4>0</vt:i4>
      </vt:variant>
      <vt:variant>
        <vt:i4>5</vt:i4>
      </vt:variant>
      <vt:variant>
        <vt:lpwstr>https://www.itu.int/rec/T-REC-H.870-201808-I/en</vt:lpwstr>
      </vt:variant>
      <vt:variant>
        <vt:lpwstr/>
      </vt:variant>
      <vt:variant>
        <vt:i4>6946853</vt:i4>
      </vt:variant>
      <vt:variant>
        <vt:i4>2838</vt:i4>
      </vt:variant>
      <vt:variant>
        <vt:i4>0</vt:i4>
      </vt:variant>
      <vt:variant>
        <vt:i4>5</vt:i4>
      </vt:variant>
      <vt:variant>
        <vt:lpwstr>https://www.itu.int/en/ITU-T/webinars/Pages/dt4cc.aspx</vt:lpwstr>
      </vt:variant>
      <vt:variant>
        <vt:lpwstr/>
      </vt:variant>
      <vt:variant>
        <vt:i4>65619</vt:i4>
      </vt:variant>
      <vt:variant>
        <vt:i4>2835</vt:i4>
      </vt:variant>
      <vt:variant>
        <vt:i4>0</vt:i4>
      </vt:variant>
      <vt:variant>
        <vt:i4>5</vt:i4>
      </vt:variant>
      <vt:variant>
        <vt:lpwstr>https://www.itu.int/en/ITU-T/webinars/20211207/Pages/default.aspx</vt:lpwstr>
      </vt:variant>
      <vt:variant>
        <vt:lpwstr/>
      </vt:variant>
      <vt:variant>
        <vt:i4>85</vt:i4>
      </vt:variant>
      <vt:variant>
        <vt:i4>2832</vt:i4>
      </vt:variant>
      <vt:variant>
        <vt:i4>0</vt:i4>
      </vt:variant>
      <vt:variant>
        <vt:i4>5</vt:i4>
      </vt:variant>
      <vt:variant>
        <vt:lpwstr>https://itu.int/go/safelistening/toolkit</vt:lpwstr>
      </vt:variant>
      <vt:variant>
        <vt:lpwstr/>
      </vt:variant>
      <vt:variant>
        <vt:i4>2359344</vt:i4>
      </vt:variant>
      <vt:variant>
        <vt:i4>2829</vt:i4>
      </vt:variant>
      <vt:variant>
        <vt:i4>0</vt:i4>
      </vt:variant>
      <vt:variant>
        <vt:i4>5</vt:i4>
      </vt:variant>
      <vt:variant>
        <vt:lpwstr>https://www.itu.int/rec/T-REC-H.870/en</vt:lpwstr>
      </vt:variant>
      <vt:variant>
        <vt:lpwstr/>
      </vt:variant>
      <vt:variant>
        <vt:i4>1441822</vt:i4>
      </vt:variant>
      <vt:variant>
        <vt:i4>2826</vt:i4>
      </vt:variant>
      <vt:variant>
        <vt:i4>0</vt:i4>
      </vt:variant>
      <vt:variant>
        <vt:i4>5</vt:i4>
      </vt:variant>
      <vt:variant>
        <vt:lpwstr>https://www.itu.int/net4/wsis/forum/2018/Pages/Agenda</vt:lpwstr>
      </vt:variant>
      <vt:variant>
        <vt:lpwstr>intro</vt:lpwstr>
      </vt:variant>
      <vt:variant>
        <vt:i4>5963850</vt:i4>
      </vt:variant>
      <vt:variant>
        <vt:i4>2823</vt:i4>
      </vt:variant>
      <vt:variant>
        <vt:i4>0</vt:i4>
      </vt:variant>
      <vt:variant>
        <vt:i4>5</vt:i4>
      </vt:variant>
      <vt:variant>
        <vt:lpwstr>https://www.itu.int/net4/wsis/forum/2018/Pages/Agenda/Session/243</vt:lpwstr>
      </vt:variant>
      <vt:variant>
        <vt:lpwstr>intro</vt:lpwstr>
      </vt:variant>
      <vt:variant>
        <vt:i4>4915271</vt:i4>
      </vt:variant>
      <vt:variant>
        <vt:i4>2820</vt:i4>
      </vt:variant>
      <vt:variant>
        <vt:i4>0</vt:i4>
      </vt:variant>
      <vt:variant>
        <vt:i4>5</vt:i4>
      </vt:variant>
      <vt:variant>
        <vt:lpwstr>https://www.itu.int/en/ITU-T/focusgroups/ai4h/Pages/default.aspx</vt:lpwstr>
      </vt:variant>
      <vt:variant>
        <vt:lpwstr/>
      </vt:variant>
      <vt:variant>
        <vt:i4>8126523</vt:i4>
      </vt:variant>
      <vt:variant>
        <vt:i4>2817</vt:i4>
      </vt:variant>
      <vt:variant>
        <vt:i4>0</vt:i4>
      </vt:variant>
      <vt:variant>
        <vt:i4>5</vt:i4>
      </vt:variant>
      <vt:variant>
        <vt:lpwstr>https://www.itu.int/en/ITU-T/studygroups/2017-2020/16/Pages/workshops.aspx</vt:lpwstr>
      </vt:variant>
      <vt:variant>
        <vt:lpwstr/>
      </vt:variant>
      <vt:variant>
        <vt:i4>3145851</vt:i4>
      </vt:variant>
      <vt:variant>
        <vt:i4>2814</vt:i4>
      </vt:variant>
      <vt:variant>
        <vt:i4>0</vt:i4>
      </vt:variant>
      <vt:variant>
        <vt:i4>5</vt:i4>
      </vt:variant>
      <vt:variant>
        <vt:lpwstr>https://www.itu.int/en/ITU-T/gsi/iptv/Pages/201609WSbrain.aspx</vt:lpwstr>
      </vt:variant>
      <vt:variant>
        <vt:lpwstr/>
      </vt:variant>
      <vt:variant>
        <vt:i4>7274612</vt:i4>
      </vt:variant>
      <vt:variant>
        <vt:i4>2811</vt:i4>
      </vt:variant>
      <vt:variant>
        <vt:i4>0</vt:i4>
      </vt:variant>
      <vt:variant>
        <vt:i4>5</vt:i4>
      </vt:variant>
      <vt:variant>
        <vt:lpwstr/>
      </vt:variant>
      <vt:variant>
        <vt:lpwstr>Top</vt:lpwstr>
      </vt:variant>
      <vt:variant>
        <vt:i4>2031717</vt:i4>
      </vt:variant>
      <vt:variant>
        <vt:i4>2808</vt:i4>
      </vt:variant>
      <vt:variant>
        <vt:i4>0</vt:i4>
      </vt:variant>
      <vt:variant>
        <vt:i4>5</vt:i4>
      </vt:variant>
      <vt:variant>
        <vt:lpwstr>https://www.itu.int/dms_pub/itu-t/opb/tut/T-TUT-IMT-2017-PDF-E.pdf</vt:lpwstr>
      </vt:variant>
      <vt:variant>
        <vt:lpwstr/>
      </vt:variant>
      <vt:variant>
        <vt:i4>458758</vt:i4>
      </vt:variant>
      <vt:variant>
        <vt:i4>2805</vt:i4>
      </vt:variant>
      <vt:variant>
        <vt:i4>0</vt:i4>
      </vt:variant>
      <vt:variant>
        <vt:i4>5</vt:i4>
      </vt:variant>
      <vt:variant>
        <vt:lpwstr>https://www.itu.int/md/meetingdoc.asp?lang=en&amp;parent=T17-TSAG-170501-TD-GEN-0055https://www.itu.int/md/meetingdoc.asp?lang=en&amp;parent=T17-TSAG-170501-TD-GEN-0032</vt:lpwstr>
      </vt:variant>
      <vt:variant>
        <vt:lpwstr/>
      </vt:variant>
      <vt:variant>
        <vt:i4>3997738</vt:i4>
      </vt:variant>
      <vt:variant>
        <vt:i4>2802</vt:i4>
      </vt:variant>
      <vt:variant>
        <vt:i4>0</vt:i4>
      </vt:variant>
      <vt:variant>
        <vt:i4>5</vt:i4>
      </vt:variant>
      <vt:variant>
        <vt:lpwstr>https://www.itu.int/en/ITU-T/Workshops-and-Seminars/standardization/20180326/Pages/default.aspx</vt:lpwstr>
      </vt:variant>
      <vt:variant>
        <vt:lpwstr/>
      </vt:variant>
      <vt:variant>
        <vt:i4>3670114</vt:i4>
      </vt:variant>
      <vt:variant>
        <vt:i4>2799</vt:i4>
      </vt:variant>
      <vt:variant>
        <vt:i4>0</vt:i4>
      </vt:variant>
      <vt:variant>
        <vt:i4>5</vt:i4>
      </vt:variant>
      <vt:variant>
        <vt:lpwstr>https://www.itu.int/en/ITU-T/Workshops-and-Seminars/201807/Pages/Programme.aspx</vt:lpwstr>
      </vt:variant>
      <vt:variant>
        <vt:lpwstr/>
      </vt:variant>
      <vt:variant>
        <vt:i4>1507418</vt:i4>
      </vt:variant>
      <vt:variant>
        <vt:i4>2796</vt:i4>
      </vt:variant>
      <vt:variant>
        <vt:i4>0</vt:i4>
      </vt:variant>
      <vt:variant>
        <vt:i4>5</vt:i4>
      </vt:variant>
      <vt:variant>
        <vt:lpwstr>https://www.itu.int/net4/ITU-T/landscape</vt:lpwstr>
      </vt:variant>
      <vt:variant>
        <vt:lpwstr>?topic=0.130.1&amp;workgroup=1&amp;searchValue=&amp;page=1&amp;sort=Revelance</vt:lpwstr>
      </vt:variant>
      <vt:variant>
        <vt:i4>2490484</vt:i4>
      </vt:variant>
      <vt:variant>
        <vt:i4>2793</vt:i4>
      </vt:variant>
      <vt:variant>
        <vt:i4>0</vt:i4>
      </vt:variant>
      <vt:variant>
        <vt:i4>5</vt:i4>
      </vt:variant>
      <vt:variant>
        <vt:lpwstr>https://www.itu.int/net4/ITU-T/landscape</vt:lpwstr>
      </vt:variant>
      <vt:variant>
        <vt:lpwstr>?topic=0.130&amp;workgroup=1&amp;searchValue=&amp;page=1&amp;sort=Revelance</vt:lpwstr>
      </vt:variant>
      <vt:variant>
        <vt:i4>3473517</vt:i4>
      </vt:variant>
      <vt:variant>
        <vt:i4>2790</vt:i4>
      </vt:variant>
      <vt:variant>
        <vt:i4>0</vt:i4>
      </vt:variant>
      <vt:variant>
        <vt:i4>5</vt:i4>
      </vt:variant>
      <vt:variant>
        <vt:lpwstr>https://www.itu.int/en/ITU-T/jca/imt2020/Pages/default.aspx</vt:lpwstr>
      </vt:variant>
      <vt:variant>
        <vt:lpwstr/>
      </vt:variant>
      <vt:variant>
        <vt:i4>3473508</vt:i4>
      </vt:variant>
      <vt:variant>
        <vt:i4>2787</vt:i4>
      </vt:variant>
      <vt:variant>
        <vt:i4>0</vt:i4>
      </vt:variant>
      <vt:variant>
        <vt:i4>5</vt:i4>
      </vt:variant>
      <vt:variant>
        <vt:lpwstr>https://www.itu.int/en/ITU-T/jca/sdn/Pages/default.aspx</vt:lpwstr>
      </vt:variant>
      <vt:variant>
        <vt:lpwstr/>
      </vt:variant>
      <vt:variant>
        <vt:i4>7274612</vt:i4>
      </vt:variant>
      <vt:variant>
        <vt:i4>2781</vt:i4>
      </vt:variant>
      <vt:variant>
        <vt:i4>0</vt:i4>
      </vt:variant>
      <vt:variant>
        <vt:i4>5</vt:i4>
      </vt:variant>
      <vt:variant>
        <vt:lpwstr/>
      </vt:variant>
      <vt:variant>
        <vt:lpwstr>Top</vt:lpwstr>
      </vt:variant>
      <vt:variant>
        <vt:i4>6750262</vt:i4>
      </vt:variant>
      <vt:variant>
        <vt:i4>2778</vt:i4>
      </vt:variant>
      <vt:variant>
        <vt:i4>0</vt:i4>
      </vt:variant>
      <vt:variant>
        <vt:i4>5</vt:i4>
      </vt:variant>
      <vt:variant>
        <vt:lpwstr>http://www.itu.int/go/fgtbf</vt:lpwstr>
      </vt:variant>
      <vt:variant>
        <vt:lpwstr/>
      </vt:variant>
      <vt:variant>
        <vt:i4>5242893</vt:i4>
      </vt:variant>
      <vt:variant>
        <vt:i4>2775</vt:i4>
      </vt:variant>
      <vt:variant>
        <vt:i4>0</vt:i4>
      </vt:variant>
      <vt:variant>
        <vt:i4>5</vt:i4>
      </vt:variant>
      <vt:variant>
        <vt:lpwstr>https://www.itu.int/en/ITU-T/studygroups/2013-2016/11/Pages/CASC.aspx</vt:lpwstr>
      </vt:variant>
      <vt:variant>
        <vt:lpwstr/>
      </vt:variant>
      <vt:variant>
        <vt:i4>1704000</vt:i4>
      </vt:variant>
      <vt:variant>
        <vt:i4>2772</vt:i4>
      </vt:variant>
      <vt:variant>
        <vt:i4>0</vt:i4>
      </vt:variant>
      <vt:variant>
        <vt:i4>5</vt:i4>
      </vt:variant>
      <vt:variant>
        <vt:lpwstr>http://www.itu.int/go/citest</vt:lpwstr>
      </vt:variant>
      <vt:variant>
        <vt:lpwstr/>
      </vt:variant>
      <vt:variant>
        <vt:i4>2687084</vt:i4>
      </vt:variant>
      <vt:variant>
        <vt:i4>2769</vt:i4>
      </vt:variant>
      <vt:variant>
        <vt:i4>0</vt:i4>
      </vt:variant>
      <vt:variant>
        <vt:i4>5</vt:i4>
      </vt:variant>
      <vt:variant>
        <vt:lpwstr>https://www.itu.int/net/itu-t/cdb/secured/reg-tldb.aspx</vt:lpwstr>
      </vt:variant>
      <vt:variant>
        <vt:lpwstr/>
      </vt:variant>
      <vt:variant>
        <vt:i4>5832724</vt:i4>
      </vt:variant>
      <vt:variant>
        <vt:i4>2766</vt:i4>
      </vt:variant>
      <vt:variant>
        <vt:i4>0</vt:i4>
      </vt:variant>
      <vt:variant>
        <vt:i4>5</vt:i4>
      </vt:variant>
      <vt:variant>
        <vt:lpwstr>https://www.itu.int/md/T13-SG11-160627-TD-GEN-1306/en</vt:lpwstr>
      </vt:variant>
      <vt:variant>
        <vt:lpwstr/>
      </vt:variant>
      <vt:variant>
        <vt:i4>4980741</vt:i4>
      </vt:variant>
      <vt:variant>
        <vt:i4>2763</vt:i4>
      </vt:variant>
      <vt:variant>
        <vt:i4>0</vt:i4>
      </vt:variant>
      <vt:variant>
        <vt:i4>5</vt:i4>
      </vt:variant>
      <vt:variant>
        <vt:lpwstr>https://www.itu.int/en/ITU-D/Regional-Presence/CIS/Pages/Events/2021/SPB-Oct.aspx</vt:lpwstr>
      </vt:variant>
      <vt:variant>
        <vt:lpwstr/>
      </vt:variant>
      <vt:variant>
        <vt:i4>1704000</vt:i4>
      </vt:variant>
      <vt:variant>
        <vt:i4>2760</vt:i4>
      </vt:variant>
      <vt:variant>
        <vt:i4>0</vt:i4>
      </vt:variant>
      <vt:variant>
        <vt:i4>5</vt:i4>
      </vt:variant>
      <vt:variant>
        <vt:lpwstr>http://www.itu.int/go/citest</vt:lpwstr>
      </vt:variant>
      <vt:variant>
        <vt:lpwstr/>
      </vt:variant>
      <vt:variant>
        <vt:i4>2687084</vt:i4>
      </vt:variant>
      <vt:variant>
        <vt:i4>2757</vt:i4>
      </vt:variant>
      <vt:variant>
        <vt:i4>0</vt:i4>
      </vt:variant>
      <vt:variant>
        <vt:i4>5</vt:i4>
      </vt:variant>
      <vt:variant>
        <vt:lpwstr>https://www.itu.int/net/itu-t/cdb/secured/reg-tldb.aspx</vt:lpwstr>
      </vt:variant>
      <vt:variant>
        <vt:lpwstr/>
      </vt:variant>
      <vt:variant>
        <vt:i4>1704000</vt:i4>
      </vt:variant>
      <vt:variant>
        <vt:i4>2754</vt:i4>
      </vt:variant>
      <vt:variant>
        <vt:i4>0</vt:i4>
      </vt:variant>
      <vt:variant>
        <vt:i4>5</vt:i4>
      </vt:variant>
      <vt:variant>
        <vt:lpwstr>http://www.itu.int/go/citest</vt:lpwstr>
      </vt:variant>
      <vt:variant>
        <vt:lpwstr/>
      </vt:variant>
      <vt:variant>
        <vt:i4>5439579</vt:i4>
      </vt:variant>
      <vt:variant>
        <vt:i4>2751</vt:i4>
      </vt:variant>
      <vt:variant>
        <vt:i4>0</vt:i4>
      </vt:variant>
      <vt:variant>
        <vt:i4>5</vt:i4>
      </vt:variant>
      <vt:variant>
        <vt:lpwstr>https://www.itu.int/net/itu-t/cdb/secured/Register16.aspx</vt:lpwstr>
      </vt:variant>
      <vt:variant>
        <vt:lpwstr/>
      </vt:variant>
      <vt:variant>
        <vt:i4>3932272</vt:i4>
      </vt:variant>
      <vt:variant>
        <vt:i4>2748</vt:i4>
      </vt:variant>
      <vt:variant>
        <vt:i4>0</vt:i4>
      </vt:variant>
      <vt:variant>
        <vt:i4>5</vt:i4>
      </vt:variant>
      <vt:variant>
        <vt:lpwstr>https://www.itu.int/net/itu-t/cdb/ConformityDB.aspx</vt:lpwstr>
      </vt:variant>
      <vt:variant>
        <vt:lpwstr/>
      </vt:variant>
      <vt:variant>
        <vt:i4>3407884</vt:i4>
      </vt:variant>
      <vt:variant>
        <vt:i4>2745</vt:i4>
      </vt:variant>
      <vt:variant>
        <vt:i4>0</vt:i4>
      </vt:variant>
      <vt:variant>
        <vt:i4>5</vt:i4>
      </vt:variant>
      <vt:variant>
        <vt:lpwstr>https://www.itu.int/en/ITU-T/C-I/Pages/HFT-mobile-tests/HFT_testing.aspx</vt:lpwstr>
      </vt:variant>
      <vt:variant>
        <vt:lpwstr/>
      </vt:variant>
      <vt:variant>
        <vt:i4>6488100</vt:i4>
      </vt:variant>
      <vt:variant>
        <vt:i4>2742</vt:i4>
      </vt:variant>
      <vt:variant>
        <vt:i4>0</vt:i4>
      </vt:variant>
      <vt:variant>
        <vt:i4>5</vt:i4>
      </vt:variant>
      <vt:variant>
        <vt:lpwstr>http://www.itu.int/net/itu-t/cdb/ConformityDB.aspx</vt:lpwstr>
      </vt:variant>
      <vt:variant>
        <vt:lpwstr/>
      </vt:variant>
      <vt:variant>
        <vt:i4>2949241</vt:i4>
      </vt:variant>
      <vt:variant>
        <vt:i4>2739</vt:i4>
      </vt:variant>
      <vt:variant>
        <vt:i4>0</vt:i4>
      </vt:variant>
      <vt:variant>
        <vt:i4>5</vt:i4>
      </vt:variant>
      <vt:variant>
        <vt:lpwstr>https://www.itu.int/md/meetingdoc.asp?lang=en&amp;parent=S21-CL-C-0035</vt:lpwstr>
      </vt:variant>
      <vt:variant>
        <vt:lpwstr/>
      </vt:variant>
      <vt:variant>
        <vt:i4>2883705</vt:i4>
      </vt:variant>
      <vt:variant>
        <vt:i4>2736</vt:i4>
      </vt:variant>
      <vt:variant>
        <vt:i4>0</vt:i4>
      </vt:variant>
      <vt:variant>
        <vt:i4>5</vt:i4>
      </vt:variant>
      <vt:variant>
        <vt:lpwstr>https://www.itu.int/md/meetingdoc.asp?lang=en&amp;parent=S20-CL-C-0035</vt:lpwstr>
      </vt:variant>
      <vt:variant>
        <vt:lpwstr/>
      </vt:variant>
      <vt:variant>
        <vt:i4>8257596</vt:i4>
      </vt:variant>
      <vt:variant>
        <vt:i4>2733</vt:i4>
      </vt:variant>
      <vt:variant>
        <vt:i4>0</vt:i4>
      </vt:variant>
      <vt:variant>
        <vt:i4>5</vt:i4>
      </vt:variant>
      <vt:variant>
        <vt:lpwstr>https://www.itu.int/md/S19-CL-C-0035/en</vt:lpwstr>
      </vt:variant>
      <vt:variant>
        <vt:lpwstr/>
      </vt:variant>
      <vt:variant>
        <vt:i4>3604480</vt:i4>
      </vt:variant>
      <vt:variant>
        <vt:i4>2730</vt:i4>
      </vt:variant>
      <vt:variant>
        <vt:i4>0</vt:i4>
      </vt:variant>
      <vt:variant>
        <vt:i4>5</vt:i4>
      </vt:variant>
      <vt:variant>
        <vt:lpwstr>https://www.itu.int/dms_pub/itu-s/md/18/cl/c/S18-CL-C-0035!!PDF-E.pdf</vt:lpwstr>
      </vt:variant>
      <vt:variant>
        <vt:lpwstr/>
      </vt:variant>
      <vt:variant>
        <vt:i4>2752635</vt:i4>
      </vt:variant>
      <vt:variant>
        <vt:i4>2727</vt:i4>
      </vt:variant>
      <vt:variant>
        <vt:i4>0</vt:i4>
      </vt:variant>
      <vt:variant>
        <vt:i4>5</vt:i4>
      </vt:variant>
      <vt:variant>
        <vt:lpwstr>https://www.itu.int/md/meetingdoc.asp?lang=en&amp;parent=S17-CL-C-0024</vt:lpwstr>
      </vt:variant>
      <vt:variant>
        <vt:lpwstr/>
      </vt:variant>
      <vt:variant>
        <vt:i4>2818152</vt:i4>
      </vt:variant>
      <vt:variant>
        <vt:i4>2724</vt:i4>
      </vt:variant>
      <vt:variant>
        <vt:i4>0</vt:i4>
      </vt:variant>
      <vt:variant>
        <vt:i4>5</vt:i4>
      </vt:variant>
      <vt:variant>
        <vt:lpwstr>https://ilac.org/signatory-search/</vt:lpwstr>
      </vt:variant>
      <vt:variant>
        <vt:lpwstr/>
      </vt:variant>
      <vt:variant>
        <vt:i4>1704000</vt:i4>
      </vt:variant>
      <vt:variant>
        <vt:i4>2721</vt:i4>
      </vt:variant>
      <vt:variant>
        <vt:i4>0</vt:i4>
      </vt:variant>
      <vt:variant>
        <vt:i4>5</vt:i4>
      </vt:variant>
      <vt:variant>
        <vt:lpwstr>http://www.itu.int/go/citest</vt:lpwstr>
      </vt:variant>
      <vt:variant>
        <vt:lpwstr/>
      </vt:variant>
      <vt:variant>
        <vt:i4>5505047</vt:i4>
      </vt:variant>
      <vt:variant>
        <vt:i4>2718</vt:i4>
      </vt:variant>
      <vt:variant>
        <vt:i4>0</vt:i4>
      </vt:variant>
      <vt:variant>
        <vt:i4>5</vt:i4>
      </vt:variant>
      <vt:variant>
        <vt:lpwstr>https://www.itu.int/md/T13-SG11-151202-TD-GEN-0913/en</vt:lpwstr>
      </vt:variant>
      <vt:variant>
        <vt:lpwstr/>
      </vt:variant>
      <vt:variant>
        <vt:i4>6488100</vt:i4>
      </vt:variant>
      <vt:variant>
        <vt:i4>2715</vt:i4>
      </vt:variant>
      <vt:variant>
        <vt:i4>0</vt:i4>
      </vt:variant>
      <vt:variant>
        <vt:i4>5</vt:i4>
      </vt:variant>
      <vt:variant>
        <vt:lpwstr>http://www.itu.int/net/itu-t/cdb/ConformityDB.aspx</vt:lpwstr>
      </vt:variant>
      <vt:variant>
        <vt:lpwstr/>
      </vt:variant>
      <vt:variant>
        <vt:i4>2949241</vt:i4>
      </vt:variant>
      <vt:variant>
        <vt:i4>2712</vt:i4>
      </vt:variant>
      <vt:variant>
        <vt:i4>0</vt:i4>
      </vt:variant>
      <vt:variant>
        <vt:i4>5</vt:i4>
      </vt:variant>
      <vt:variant>
        <vt:lpwstr>https://www.itu.int/md/meetingdoc.asp?lang=en&amp;parent=S21-CL-C-0035</vt:lpwstr>
      </vt:variant>
      <vt:variant>
        <vt:lpwstr/>
      </vt:variant>
      <vt:variant>
        <vt:i4>2883705</vt:i4>
      </vt:variant>
      <vt:variant>
        <vt:i4>2709</vt:i4>
      </vt:variant>
      <vt:variant>
        <vt:i4>0</vt:i4>
      </vt:variant>
      <vt:variant>
        <vt:i4>5</vt:i4>
      </vt:variant>
      <vt:variant>
        <vt:lpwstr>https://www.itu.int/md/meetingdoc.asp?lang=en&amp;parent=S20-CL-C-0035</vt:lpwstr>
      </vt:variant>
      <vt:variant>
        <vt:lpwstr/>
      </vt:variant>
      <vt:variant>
        <vt:i4>8257596</vt:i4>
      </vt:variant>
      <vt:variant>
        <vt:i4>2706</vt:i4>
      </vt:variant>
      <vt:variant>
        <vt:i4>0</vt:i4>
      </vt:variant>
      <vt:variant>
        <vt:i4>5</vt:i4>
      </vt:variant>
      <vt:variant>
        <vt:lpwstr>https://www.itu.int/md/S19-CL-C-0035/en</vt:lpwstr>
      </vt:variant>
      <vt:variant>
        <vt:lpwstr/>
      </vt:variant>
      <vt:variant>
        <vt:i4>3604480</vt:i4>
      </vt:variant>
      <vt:variant>
        <vt:i4>2703</vt:i4>
      </vt:variant>
      <vt:variant>
        <vt:i4>0</vt:i4>
      </vt:variant>
      <vt:variant>
        <vt:i4>5</vt:i4>
      </vt:variant>
      <vt:variant>
        <vt:lpwstr>https://www.itu.int/dms_pub/itu-s/md/18/cl/c/S18-CL-C-0035!!PDF-E.pdf</vt:lpwstr>
      </vt:variant>
      <vt:variant>
        <vt:lpwstr/>
      </vt:variant>
      <vt:variant>
        <vt:i4>2752635</vt:i4>
      </vt:variant>
      <vt:variant>
        <vt:i4>2700</vt:i4>
      </vt:variant>
      <vt:variant>
        <vt:i4>0</vt:i4>
      </vt:variant>
      <vt:variant>
        <vt:i4>5</vt:i4>
      </vt:variant>
      <vt:variant>
        <vt:lpwstr>https://www.itu.int/md/meetingdoc.asp?lang=en&amp;parent=S17-CL-C-0024</vt:lpwstr>
      </vt:variant>
      <vt:variant>
        <vt:lpwstr/>
      </vt:variant>
      <vt:variant>
        <vt:i4>2031716</vt:i4>
      </vt:variant>
      <vt:variant>
        <vt:i4>2697</vt:i4>
      </vt:variant>
      <vt:variant>
        <vt:i4>0</vt:i4>
      </vt:variant>
      <vt:variant>
        <vt:i4>5</vt:i4>
      </vt:variant>
      <vt:variant>
        <vt:lpwstr/>
      </vt:variant>
      <vt:variant>
        <vt:lpwstr>Item76_01</vt:lpwstr>
      </vt:variant>
      <vt:variant>
        <vt:i4>5308488</vt:i4>
      </vt:variant>
      <vt:variant>
        <vt:i4>2694</vt:i4>
      </vt:variant>
      <vt:variant>
        <vt:i4>0</vt:i4>
      </vt:variant>
      <vt:variant>
        <vt:i4>5</vt:i4>
      </vt:variant>
      <vt:variant>
        <vt:lpwstr>https://www.itu.int/pub/T-TUT-IPTV-2017-H702</vt:lpwstr>
      </vt:variant>
      <vt:variant>
        <vt:lpwstr/>
      </vt:variant>
      <vt:variant>
        <vt:i4>786442</vt:i4>
      </vt:variant>
      <vt:variant>
        <vt:i4>2691</vt:i4>
      </vt:variant>
      <vt:variant>
        <vt:i4>0</vt:i4>
      </vt:variant>
      <vt:variant>
        <vt:i4>5</vt:i4>
      </vt:variant>
      <vt:variant>
        <vt:lpwstr>https://www.itu.int/pub/T-TUT-FSTP-2018-CONF.F921</vt:lpwstr>
      </vt:variant>
      <vt:variant>
        <vt:lpwstr/>
      </vt:variant>
      <vt:variant>
        <vt:i4>2293883</vt:i4>
      </vt:variant>
      <vt:variant>
        <vt:i4>2688</vt:i4>
      </vt:variant>
      <vt:variant>
        <vt:i4>0</vt:i4>
      </vt:variant>
      <vt:variant>
        <vt:i4>5</vt:i4>
      </vt:variant>
      <vt:variant>
        <vt:lpwstr>http://www.itu.int/pub/T-TUT-IPTV-2015-H721</vt:lpwstr>
      </vt:variant>
      <vt:variant>
        <vt:lpwstr/>
      </vt:variant>
      <vt:variant>
        <vt:i4>4259906</vt:i4>
      </vt:variant>
      <vt:variant>
        <vt:i4>2685</vt:i4>
      </vt:variant>
      <vt:variant>
        <vt:i4>0</vt:i4>
      </vt:variant>
      <vt:variant>
        <vt:i4>5</vt:i4>
      </vt:variant>
      <vt:variant>
        <vt:lpwstr>http://www.itu.int/go/pilot-projects</vt:lpwstr>
      </vt:variant>
      <vt:variant>
        <vt:lpwstr/>
      </vt:variant>
      <vt:variant>
        <vt:i4>7274612</vt:i4>
      </vt:variant>
      <vt:variant>
        <vt:i4>2682</vt:i4>
      </vt:variant>
      <vt:variant>
        <vt:i4>0</vt:i4>
      </vt:variant>
      <vt:variant>
        <vt:i4>5</vt:i4>
      </vt:variant>
      <vt:variant>
        <vt:lpwstr/>
      </vt:variant>
      <vt:variant>
        <vt:lpwstr>Top</vt:lpwstr>
      </vt:variant>
      <vt:variant>
        <vt:i4>3670114</vt:i4>
      </vt:variant>
      <vt:variant>
        <vt:i4>2679</vt:i4>
      </vt:variant>
      <vt:variant>
        <vt:i4>0</vt:i4>
      </vt:variant>
      <vt:variant>
        <vt:i4>5</vt:i4>
      </vt:variant>
      <vt:variant>
        <vt:lpwstr>https://www.itu.int/en/ITU-T/Workshops-and-Seminars</vt:lpwstr>
      </vt:variant>
      <vt:variant>
        <vt:lpwstr/>
      </vt:variant>
      <vt:variant>
        <vt:i4>6422637</vt:i4>
      </vt:variant>
      <vt:variant>
        <vt:i4>2676</vt:i4>
      </vt:variant>
      <vt:variant>
        <vt:i4>0</vt:i4>
      </vt:variant>
      <vt:variant>
        <vt:i4>5</vt:i4>
      </vt:variant>
      <vt:variant>
        <vt:lpwstr>https://itu.int/go/SDTD</vt:lpwstr>
      </vt:variant>
      <vt:variant>
        <vt:lpwstr/>
      </vt:variant>
      <vt:variant>
        <vt:i4>5308512</vt:i4>
      </vt:variant>
      <vt:variant>
        <vt:i4>2673</vt:i4>
      </vt:variant>
      <vt:variant>
        <vt:i4>0</vt:i4>
      </vt:variant>
      <vt:variant>
        <vt:i4>5</vt:i4>
      </vt:variant>
      <vt:variant>
        <vt:lpwstr>https://extranet.itu.int/sites/itu-t/studygroups/2017-2020/tsag/strategy/_layouts/15/WopiFrame.aspx?sourcedoc=%7B59852BF8-2C3C-4E31-928F-0C9EC71C7A11%7D&amp;file=TD070%20Assignments%20of%20the%20ITU-T%20study%20group%20Questions%20to%20the%20WSIS%20Action%20Lines,%20and%20to%20the%20UN%20Sustainable%20Development%20Goals.docx&amp;action=default</vt:lpwstr>
      </vt:variant>
      <vt:variant>
        <vt:lpwstr/>
      </vt:variant>
      <vt:variant>
        <vt:i4>7274622</vt:i4>
      </vt:variant>
      <vt:variant>
        <vt:i4>2670</vt:i4>
      </vt:variant>
      <vt:variant>
        <vt:i4>0</vt:i4>
      </vt:variant>
      <vt:variant>
        <vt:i4>5</vt:i4>
      </vt:variant>
      <vt:variant>
        <vt:lpwstr>https://www.itu.int/md/T17-TSAG-170501-TD-GEN-0041</vt:lpwstr>
      </vt:variant>
      <vt:variant>
        <vt:lpwstr/>
      </vt:variant>
      <vt:variant>
        <vt:i4>6946853</vt:i4>
      </vt:variant>
      <vt:variant>
        <vt:i4>2667</vt:i4>
      </vt:variant>
      <vt:variant>
        <vt:i4>0</vt:i4>
      </vt:variant>
      <vt:variant>
        <vt:i4>5</vt:i4>
      </vt:variant>
      <vt:variant>
        <vt:lpwstr>https://www.itu.int/en/ITU-T/webinars/Pages/dt4cc.aspx</vt:lpwstr>
      </vt:variant>
      <vt:variant>
        <vt:lpwstr/>
      </vt:variant>
      <vt:variant>
        <vt:i4>2752621</vt:i4>
      </vt:variant>
      <vt:variant>
        <vt:i4>2664</vt:i4>
      </vt:variant>
      <vt:variant>
        <vt:i4>0</vt:i4>
      </vt:variant>
      <vt:variant>
        <vt:i4>5</vt:i4>
      </vt:variant>
      <vt:variant>
        <vt:lpwstr>https://www.itu.int/en/itu-wsis/Pages/Contribution.aspx</vt:lpwstr>
      </vt:variant>
      <vt:variant>
        <vt:lpwstr/>
      </vt:variant>
      <vt:variant>
        <vt:i4>1769503</vt:i4>
      </vt:variant>
      <vt:variant>
        <vt:i4>2661</vt:i4>
      </vt:variant>
      <vt:variant>
        <vt:i4>0</vt:i4>
      </vt:variant>
      <vt:variant>
        <vt:i4>5</vt:i4>
      </vt:variant>
      <vt:variant>
        <vt:lpwstr>https://www.itu.int/md/meetingdoc.asp?lang=en&amp;parent=S21-CWGWSIS37-C-0007</vt:lpwstr>
      </vt:variant>
      <vt:variant>
        <vt:lpwstr/>
      </vt:variant>
      <vt:variant>
        <vt:i4>1048604</vt:i4>
      </vt:variant>
      <vt:variant>
        <vt:i4>2658</vt:i4>
      </vt:variant>
      <vt:variant>
        <vt:i4>0</vt:i4>
      </vt:variant>
      <vt:variant>
        <vt:i4>5</vt:i4>
      </vt:variant>
      <vt:variant>
        <vt:lpwstr>https://www.itu.int/md/meetingdoc.asp?lang=en&amp;parent=S19-CWGWSIS34-C-0002</vt:lpwstr>
      </vt:variant>
      <vt:variant>
        <vt:lpwstr/>
      </vt:variant>
      <vt:variant>
        <vt:i4>1507356</vt:i4>
      </vt:variant>
      <vt:variant>
        <vt:i4>2655</vt:i4>
      </vt:variant>
      <vt:variant>
        <vt:i4>0</vt:i4>
      </vt:variant>
      <vt:variant>
        <vt:i4>5</vt:i4>
      </vt:variant>
      <vt:variant>
        <vt:lpwstr>https://www.itu.int/md/meetingdoc.asp?lang=en&amp;parent=S19-CWGWSIS33-C-0007</vt:lpwstr>
      </vt:variant>
      <vt:variant>
        <vt:lpwstr/>
      </vt:variant>
      <vt:variant>
        <vt:i4>1835125</vt:i4>
      </vt:variant>
      <vt:variant>
        <vt:i4>2652</vt:i4>
      </vt:variant>
      <vt:variant>
        <vt:i4>0</vt:i4>
      </vt:variant>
      <vt:variant>
        <vt:i4>5</vt:i4>
      </vt:variant>
      <vt:variant>
        <vt:lpwstr>https://intranet.itu.int/sites/itu-t/Collaborative documents/WTSA-16_ActionPlan/WG-WSIS-32-03</vt:lpwstr>
      </vt:variant>
      <vt:variant>
        <vt:lpwstr/>
      </vt:variant>
      <vt:variant>
        <vt:i4>5832781</vt:i4>
      </vt:variant>
      <vt:variant>
        <vt:i4>2649</vt:i4>
      </vt:variant>
      <vt:variant>
        <vt:i4>0</vt:i4>
      </vt:variant>
      <vt:variant>
        <vt:i4>5</vt:i4>
      </vt:variant>
      <vt:variant>
        <vt:lpwstr>https://www.itu.int/md/S17-WSIS31-C-0007</vt:lpwstr>
      </vt:variant>
      <vt:variant>
        <vt:lpwstr/>
      </vt:variant>
      <vt:variant>
        <vt:i4>6029388</vt:i4>
      </vt:variant>
      <vt:variant>
        <vt:i4>2646</vt:i4>
      </vt:variant>
      <vt:variant>
        <vt:i4>0</vt:i4>
      </vt:variant>
      <vt:variant>
        <vt:i4>5</vt:i4>
      </vt:variant>
      <vt:variant>
        <vt:lpwstr>https://www.itu.int/md/S17-WSIS30-C-0002</vt:lpwstr>
      </vt:variant>
      <vt:variant>
        <vt:lpwstr/>
      </vt:variant>
      <vt:variant>
        <vt:i4>2293884</vt:i4>
      </vt:variant>
      <vt:variant>
        <vt:i4>2643</vt:i4>
      </vt:variant>
      <vt:variant>
        <vt:i4>0</vt:i4>
      </vt:variant>
      <vt:variant>
        <vt:i4>5</vt:i4>
      </vt:variant>
      <vt:variant>
        <vt:lpwstr>https://www.itu.int/md/meetingdoc.asp?lang=en&amp;parent=S19-CL-C-0053</vt:lpwstr>
      </vt:variant>
      <vt:variant>
        <vt:lpwstr/>
      </vt:variant>
      <vt:variant>
        <vt:i4>2687097</vt:i4>
      </vt:variant>
      <vt:variant>
        <vt:i4>2640</vt:i4>
      </vt:variant>
      <vt:variant>
        <vt:i4>0</vt:i4>
      </vt:variant>
      <vt:variant>
        <vt:i4>5</vt:i4>
      </vt:variant>
      <vt:variant>
        <vt:lpwstr>https://www.itu.int/md/meetingdoc.asp?lang=en&amp;parent=S18-CL-C-0008</vt:lpwstr>
      </vt:variant>
      <vt:variant>
        <vt:lpwstr/>
      </vt:variant>
      <vt:variant>
        <vt:i4>2687101</vt:i4>
      </vt:variant>
      <vt:variant>
        <vt:i4>2637</vt:i4>
      </vt:variant>
      <vt:variant>
        <vt:i4>0</vt:i4>
      </vt:variant>
      <vt:variant>
        <vt:i4>5</vt:i4>
      </vt:variant>
      <vt:variant>
        <vt:lpwstr>https://www.itu.int/md/meetingdoc.asp?lang=en&amp;parent=S17-CL-C-0047</vt:lpwstr>
      </vt:variant>
      <vt:variant>
        <vt:lpwstr/>
      </vt:variant>
      <vt:variant>
        <vt:i4>5308512</vt:i4>
      </vt:variant>
      <vt:variant>
        <vt:i4>2634</vt:i4>
      </vt:variant>
      <vt:variant>
        <vt:i4>0</vt:i4>
      </vt:variant>
      <vt:variant>
        <vt:i4>5</vt:i4>
      </vt:variant>
      <vt:variant>
        <vt:lpwstr>https://extranet.itu.int/sites/itu-t/studygroups/2017-2020/tsag/strategy/_layouts/15/WopiFrame.aspx?sourcedoc=%7B59852BF8-2C3C-4E31-928F-0C9EC71C7A11%7D&amp;file=TD070%20Assignments%20of%20the%20ITU-T%20study%20group%20Questions%20to%20the%20WSIS%20Action%20Lines,%20and%20to%20the%20UN%20Sustainable%20Development%20Goals.docx&amp;action=default</vt:lpwstr>
      </vt:variant>
      <vt:variant>
        <vt:lpwstr/>
      </vt:variant>
      <vt:variant>
        <vt:i4>1572941</vt:i4>
      </vt:variant>
      <vt:variant>
        <vt:i4>2631</vt:i4>
      </vt:variant>
      <vt:variant>
        <vt:i4>0</vt:i4>
      </vt:variant>
      <vt:variant>
        <vt:i4>5</vt:i4>
      </vt:variant>
      <vt:variant>
        <vt:lpwstr>https://www.itu.int/net4/CRM/SDG</vt:lpwstr>
      </vt:variant>
      <vt:variant>
        <vt:lpwstr/>
      </vt:variant>
      <vt:variant>
        <vt:i4>2949244</vt:i4>
      </vt:variant>
      <vt:variant>
        <vt:i4>2628</vt:i4>
      </vt:variant>
      <vt:variant>
        <vt:i4>0</vt:i4>
      </vt:variant>
      <vt:variant>
        <vt:i4>5</vt:i4>
      </vt:variant>
      <vt:variant>
        <vt:lpwstr>https://www.itu.int/net4/wsis/forum/2022/Agenda/Session/109</vt:lpwstr>
      </vt:variant>
      <vt:variant>
        <vt:lpwstr/>
      </vt:variant>
      <vt:variant>
        <vt:i4>1441870</vt:i4>
      </vt:variant>
      <vt:variant>
        <vt:i4>2625</vt:i4>
      </vt:variant>
      <vt:variant>
        <vt:i4>0</vt:i4>
      </vt:variant>
      <vt:variant>
        <vt:i4>5</vt:i4>
      </vt:variant>
      <vt:variant>
        <vt:lpwstr>https://www.itu.int/en/publications/Documents/tsb/2021-A-U4SSC-deliverable-Guidelines-on-tools-and-mechanisms-to-finance-SSC-projects/index.html</vt:lpwstr>
      </vt:variant>
      <vt:variant>
        <vt:lpwstr/>
      </vt:variant>
      <vt:variant>
        <vt:i4>7602209</vt:i4>
      </vt:variant>
      <vt:variant>
        <vt:i4>2622</vt:i4>
      </vt:variant>
      <vt:variant>
        <vt:i4>0</vt:i4>
      </vt:variant>
      <vt:variant>
        <vt:i4>5</vt:i4>
      </vt:variant>
      <vt:variant>
        <vt:lpwstr>https://www.itu.int/en/publications/Documents/tsb/2021-U4SSC-Simple-ways-to-be-smart/index.html</vt:lpwstr>
      </vt:variant>
      <vt:variant>
        <vt:lpwstr/>
      </vt:variant>
      <vt:variant>
        <vt:i4>6488106</vt:i4>
      </vt:variant>
      <vt:variant>
        <vt:i4>2619</vt:i4>
      </vt:variant>
      <vt:variant>
        <vt:i4>0</vt:i4>
      </vt:variant>
      <vt:variant>
        <vt:i4>5</vt:i4>
      </vt:variant>
      <vt:variant>
        <vt:lpwstr>https://www.itu.int/en/publications/Documents/tsb/2020-U4SSC-Blockchain-for-smart-sustainable-cities/index.html</vt:lpwstr>
      </vt:variant>
      <vt:variant>
        <vt:lpwstr/>
      </vt:variant>
      <vt:variant>
        <vt:i4>2752639</vt:i4>
      </vt:variant>
      <vt:variant>
        <vt:i4>2616</vt:i4>
      </vt:variant>
      <vt:variant>
        <vt:i4>0</vt:i4>
      </vt:variant>
      <vt:variant>
        <vt:i4>5</vt:i4>
      </vt:variant>
      <vt:variant>
        <vt:lpwstr>https://www.itu.int/net4/wsis/forum/2021/Agenda/Session/249</vt:lpwstr>
      </vt:variant>
      <vt:variant>
        <vt:lpwstr/>
      </vt:variant>
      <vt:variant>
        <vt:i4>1441822</vt:i4>
      </vt:variant>
      <vt:variant>
        <vt:i4>2613</vt:i4>
      </vt:variant>
      <vt:variant>
        <vt:i4>0</vt:i4>
      </vt:variant>
      <vt:variant>
        <vt:i4>5</vt:i4>
      </vt:variant>
      <vt:variant>
        <vt:lpwstr>https://www.itu.int/net4/wsis/forum/2018/Pages/Agenda</vt:lpwstr>
      </vt:variant>
      <vt:variant>
        <vt:lpwstr>intro</vt:lpwstr>
      </vt:variant>
      <vt:variant>
        <vt:i4>5701706</vt:i4>
      </vt:variant>
      <vt:variant>
        <vt:i4>2610</vt:i4>
      </vt:variant>
      <vt:variant>
        <vt:i4>0</vt:i4>
      </vt:variant>
      <vt:variant>
        <vt:i4>5</vt:i4>
      </vt:variant>
      <vt:variant>
        <vt:lpwstr>https://www.itu.int/net4/wsis/forum/2018/Pages/Agenda/Session/283</vt:lpwstr>
      </vt:variant>
      <vt:variant>
        <vt:lpwstr>intro</vt:lpwstr>
      </vt:variant>
      <vt:variant>
        <vt:i4>2424914</vt:i4>
      </vt:variant>
      <vt:variant>
        <vt:i4>2607</vt:i4>
      </vt:variant>
      <vt:variant>
        <vt:i4>0</vt:i4>
      </vt:variant>
      <vt:variant>
        <vt:i4>5</vt:i4>
      </vt:variant>
      <vt:variant>
        <vt:lpwstr>https://www.itu.int/en/ITU-T/focusgroups/net2030/Documents/White_Paper.pdf</vt:lpwstr>
      </vt:variant>
      <vt:variant>
        <vt:lpwstr/>
      </vt:variant>
      <vt:variant>
        <vt:i4>2359343</vt:i4>
      </vt:variant>
      <vt:variant>
        <vt:i4>2604</vt:i4>
      </vt:variant>
      <vt:variant>
        <vt:i4>0</vt:i4>
      </vt:variant>
      <vt:variant>
        <vt:i4>5</vt:i4>
      </vt:variant>
      <vt:variant>
        <vt:lpwstr>https://www.itu.int/en/ITU-T/Workshops-and-Seminars/iot/201703/Documents/Presentations/S5-1-Gyu Myoung Lee-Trust-in-IoT.pdf</vt:lpwstr>
      </vt:variant>
      <vt:variant>
        <vt:lpwstr/>
      </vt:variant>
      <vt:variant>
        <vt:i4>327706</vt:i4>
      </vt:variant>
      <vt:variant>
        <vt:i4>2601</vt:i4>
      </vt:variant>
      <vt:variant>
        <vt:i4>0</vt:i4>
      </vt:variant>
      <vt:variant>
        <vt:i4>5</vt:i4>
      </vt:variant>
      <vt:variant>
        <vt:lpwstr>http://www.itu.int/ITU-T/aap/aapid/7857/show.aspx</vt:lpwstr>
      </vt:variant>
      <vt:variant>
        <vt:lpwstr/>
      </vt:variant>
      <vt:variant>
        <vt:i4>2752621</vt:i4>
      </vt:variant>
      <vt:variant>
        <vt:i4>2598</vt:i4>
      </vt:variant>
      <vt:variant>
        <vt:i4>0</vt:i4>
      </vt:variant>
      <vt:variant>
        <vt:i4>5</vt:i4>
      </vt:variant>
      <vt:variant>
        <vt:lpwstr>https://www.itu.int/en/itu-wsis/Pages/Contribution.aspx</vt:lpwstr>
      </vt:variant>
      <vt:variant>
        <vt:lpwstr/>
      </vt:variant>
      <vt:variant>
        <vt:i4>7602209</vt:i4>
      </vt:variant>
      <vt:variant>
        <vt:i4>2535</vt:i4>
      </vt:variant>
      <vt:variant>
        <vt:i4>0</vt:i4>
      </vt:variant>
      <vt:variant>
        <vt:i4>5</vt:i4>
      </vt:variant>
      <vt:variant>
        <vt:lpwstr>https://www.itu.int/en/publications/Documents/tsb/2021-U4SSC-Simple-ways-to-be-smart/index.html</vt:lpwstr>
      </vt:variant>
      <vt:variant>
        <vt:lpwstr/>
      </vt:variant>
      <vt:variant>
        <vt:i4>7274612</vt:i4>
      </vt:variant>
      <vt:variant>
        <vt:i4>2508</vt:i4>
      </vt:variant>
      <vt:variant>
        <vt:i4>0</vt:i4>
      </vt:variant>
      <vt:variant>
        <vt:i4>5</vt:i4>
      </vt:variant>
      <vt:variant>
        <vt:lpwstr/>
      </vt:variant>
      <vt:variant>
        <vt:lpwstr>Top</vt:lpwstr>
      </vt:variant>
      <vt:variant>
        <vt:i4>7274612</vt:i4>
      </vt:variant>
      <vt:variant>
        <vt:i4>2505</vt:i4>
      </vt:variant>
      <vt:variant>
        <vt:i4>0</vt:i4>
      </vt:variant>
      <vt:variant>
        <vt:i4>5</vt:i4>
      </vt:variant>
      <vt:variant>
        <vt:lpwstr/>
      </vt:variant>
      <vt:variant>
        <vt:lpwstr>Top</vt:lpwstr>
      </vt:variant>
      <vt:variant>
        <vt:i4>3080309</vt:i4>
      </vt:variant>
      <vt:variant>
        <vt:i4>2502</vt:i4>
      </vt:variant>
      <vt:variant>
        <vt:i4>0</vt:i4>
      </vt:variant>
      <vt:variant>
        <vt:i4>5</vt:i4>
      </vt:variant>
      <vt:variant>
        <vt:lpwstr>https://www.itu.int/en/ITU-T/climatechange/resources/Pages/env-and-ssc.aspx</vt:lpwstr>
      </vt:variant>
      <vt:variant>
        <vt:lpwstr/>
      </vt:variant>
      <vt:variant>
        <vt:i4>3080309</vt:i4>
      </vt:variant>
      <vt:variant>
        <vt:i4>2499</vt:i4>
      </vt:variant>
      <vt:variant>
        <vt:i4>0</vt:i4>
      </vt:variant>
      <vt:variant>
        <vt:i4>5</vt:i4>
      </vt:variant>
      <vt:variant>
        <vt:lpwstr>https://www.itu.int/en/ITU-T/climatechange/resources/Pages/env-and-ssc.aspx</vt:lpwstr>
      </vt:variant>
      <vt:variant>
        <vt:lpwstr/>
      </vt:variant>
      <vt:variant>
        <vt:i4>6160450</vt:i4>
      </vt:variant>
      <vt:variant>
        <vt:i4>2496</vt:i4>
      </vt:variant>
      <vt:variant>
        <vt:i4>0</vt:i4>
      </vt:variant>
      <vt:variant>
        <vt:i4>5</vt:i4>
      </vt:variant>
      <vt:variant>
        <vt:lpwstr>https://www.itu.int/en/ITU-T/Workshops-and-Seminars/gsw/201804/Pages/Programme09.aspx</vt:lpwstr>
      </vt:variant>
      <vt:variant>
        <vt:lpwstr/>
      </vt:variant>
      <vt:variant>
        <vt:i4>65539</vt:i4>
      </vt:variant>
      <vt:variant>
        <vt:i4>2493</vt:i4>
      </vt:variant>
      <vt:variant>
        <vt:i4>0</vt:i4>
      </vt:variant>
      <vt:variant>
        <vt:i4>5</vt:i4>
      </vt:variant>
      <vt:variant>
        <vt:lpwstr>https://www.itu.int/en/ITU-T/Workshops-and-Seminars/gsw/201804/Pages/default.aspx</vt:lpwstr>
      </vt:variant>
      <vt:variant>
        <vt:lpwstr/>
      </vt:variant>
      <vt:variant>
        <vt:i4>1966162</vt:i4>
      </vt:variant>
      <vt:variant>
        <vt:i4>2490</vt:i4>
      </vt:variant>
      <vt:variant>
        <vt:i4>0</vt:i4>
      </vt:variant>
      <vt:variant>
        <vt:i4>5</vt:i4>
      </vt:variant>
      <vt:variant>
        <vt:lpwstr>http://newslog.itu.int/archives/1493</vt:lpwstr>
      </vt:variant>
      <vt:variant>
        <vt:lpwstr/>
      </vt:variant>
      <vt:variant>
        <vt:i4>2818087</vt:i4>
      </vt:variant>
      <vt:variant>
        <vt:i4>2487</vt:i4>
      </vt:variant>
      <vt:variant>
        <vt:i4>0</vt:i4>
      </vt:variant>
      <vt:variant>
        <vt:i4>5</vt:i4>
      </vt:variant>
      <vt:variant>
        <vt:lpwstr>https://www.itu.int/en/ITU-T/climatechange/Pages/1st-Digital-African-Week.aspx</vt:lpwstr>
      </vt:variant>
      <vt:variant>
        <vt:lpwstr/>
      </vt:variant>
      <vt:variant>
        <vt:i4>3735671</vt:i4>
      </vt:variant>
      <vt:variant>
        <vt:i4>2484</vt:i4>
      </vt:variant>
      <vt:variant>
        <vt:i4>0</vt:i4>
      </vt:variant>
      <vt:variant>
        <vt:i4>5</vt:i4>
      </vt:variant>
      <vt:variant>
        <vt:lpwstr>mailto:http://www.basel.int/Implementation/TechnicalAssistance/MOOC/tabid/4966/Default.aspx</vt:lpwstr>
      </vt:variant>
      <vt:variant>
        <vt:lpwstr/>
      </vt:variant>
      <vt:variant>
        <vt:i4>7078009</vt:i4>
      </vt:variant>
      <vt:variant>
        <vt:i4>2481</vt:i4>
      </vt:variant>
      <vt:variant>
        <vt:i4>0</vt:i4>
      </vt:variant>
      <vt:variant>
        <vt:i4>5</vt:i4>
      </vt:variant>
      <vt:variant>
        <vt:lpwstr>https://www.itu.int/en/ITU-T/Workshops-and-Seminars/sg05rg/sdtd/Pages/default.aspx</vt:lpwstr>
      </vt:variant>
      <vt:variant>
        <vt:lpwstr/>
      </vt:variant>
      <vt:variant>
        <vt:i4>6815806</vt:i4>
      </vt:variant>
      <vt:variant>
        <vt:i4>2478</vt:i4>
      </vt:variant>
      <vt:variant>
        <vt:i4>0</vt:i4>
      </vt:variant>
      <vt:variant>
        <vt:i4>5</vt:i4>
      </vt:variant>
      <vt:variant>
        <vt:lpwstr>http://www.itu.int/en/ITU-T/climatechange/task-force-sc/Pages/default.aspx</vt:lpwstr>
      </vt:variant>
      <vt:variant>
        <vt:lpwstr/>
      </vt:variant>
      <vt:variant>
        <vt:i4>2359418</vt:i4>
      </vt:variant>
      <vt:variant>
        <vt:i4>2475</vt:i4>
      </vt:variant>
      <vt:variant>
        <vt:i4>0</vt:i4>
      </vt:variant>
      <vt:variant>
        <vt:i4>5</vt:i4>
      </vt:variant>
      <vt:variant>
        <vt:lpwstr>https://www.itu.int/md/meetingdoc.asp?lang=en&amp;parent=S18-CL-C-0035</vt:lpwstr>
      </vt:variant>
      <vt:variant>
        <vt:lpwstr/>
      </vt:variant>
      <vt:variant>
        <vt:i4>1769572</vt:i4>
      </vt:variant>
      <vt:variant>
        <vt:i4>2472</vt:i4>
      </vt:variant>
      <vt:variant>
        <vt:i4>0</vt:i4>
      </vt:variant>
      <vt:variant>
        <vt:i4>5</vt:i4>
      </vt:variant>
      <vt:variant>
        <vt:lpwstr/>
      </vt:variant>
      <vt:variant>
        <vt:lpwstr>Item73_10</vt:lpwstr>
      </vt:variant>
      <vt:variant>
        <vt:i4>6815806</vt:i4>
      </vt:variant>
      <vt:variant>
        <vt:i4>2469</vt:i4>
      </vt:variant>
      <vt:variant>
        <vt:i4>0</vt:i4>
      </vt:variant>
      <vt:variant>
        <vt:i4>5</vt:i4>
      </vt:variant>
      <vt:variant>
        <vt:lpwstr>http://www.itu.int/en/ITU-T/climatechange/task-force-sc/Pages/default.aspx</vt:lpwstr>
      </vt:variant>
      <vt:variant>
        <vt:lpwstr/>
      </vt:variant>
      <vt:variant>
        <vt:i4>6815806</vt:i4>
      </vt:variant>
      <vt:variant>
        <vt:i4>2466</vt:i4>
      </vt:variant>
      <vt:variant>
        <vt:i4>0</vt:i4>
      </vt:variant>
      <vt:variant>
        <vt:i4>5</vt:i4>
      </vt:variant>
      <vt:variant>
        <vt:lpwstr>http://www.itu.int/en/ITU-T/climatechange/task-force-sc/Pages/default.aspx</vt:lpwstr>
      </vt:variant>
      <vt:variant>
        <vt:lpwstr/>
      </vt:variant>
      <vt:variant>
        <vt:i4>1310810</vt:i4>
      </vt:variant>
      <vt:variant>
        <vt:i4>2463</vt:i4>
      </vt:variant>
      <vt:variant>
        <vt:i4>0</vt:i4>
      </vt:variant>
      <vt:variant>
        <vt:i4>5</vt:i4>
      </vt:variant>
      <vt:variant>
        <vt:lpwstr>https://www.itu.int/en/ITU-T/Workshops-and-Seminars/gsw/202112/Pages/day-03.aspx</vt:lpwstr>
      </vt:variant>
      <vt:variant>
        <vt:lpwstr/>
      </vt:variant>
      <vt:variant>
        <vt:i4>1310811</vt:i4>
      </vt:variant>
      <vt:variant>
        <vt:i4>2460</vt:i4>
      </vt:variant>
      <vt:variant>
        <vt:i4>0</vt:i4>
      </vt:variant>
      <vt:variant>
        <vt:i4>5</vt:i4>
      </vt:variant>
      <vt:variant>
        <vt:lpwstr>https://www.itu.int/en/ITU-T/Workshops-and-Seminars/gsw/202112/Pages/day-02.aspx</vt:lpwstr>
      </vt:variant>
      <vt:variant>
        <vt:lpwstr/>
      </vt:variant>
      <vt:variant>
        <vt:i4>1310808</vt:i4>
      </vt:variant>
      <vt:variant>
        <vt:i4>2457</vt:i4>
      </vt:variant>
      <vt:variant>
        <vt:i4>0</vt:i4>
      </vt:variant>
      <vt:variant>
        <vt:i4>5</vt:i4>
      </vt:variant>
      <vt:variant>
        <vt:lpwstr>https://www.itu.int/en/ITU-T/Workshops-and-Seminars/gsw/202112/Pages/day-01.aspx</vt:lpwstr>
      </vt:variant>
      <vt:variant>
        <vt:lpwstr/>
      </vt:variant>
      <vt:variant>
        <vt:i4>7602237</vt:i4>
      </vt:variant>
      <vt:variant>
        <vt:i4>2454</vt:i4>
      </vt:variant>
      <vt:variant>
        <vt:i4>0</vt:i4>
      </vt:variant>
      <vt:variant>
        <vt:i4>5</vt:i4>
      </vt:variant>
      <vt:variant>
        <vt:lpwstr>https://www.itu.int/en/ITU-T/Workshops-and-Seminars/sg05rg/sdtd/20210930/Pages/default.aspx</vt:lpwstr>
      </vt:variant>
      <vt:variant>
        <vt:lpwstr/>
      </vt:variant>
      <vt:variant>
        <vt:i4>8192060</vt:i4>
      </vt:variant>
      <vt:variant>
        <vt:i4>2451</vt:i4>
      </vt:variant>
      <vt:variant>
        <vt:i4>0</vt:i4>
      </vt:variant>
      <vt:variant>
        <vt:i4>5</vt:i4>
      </vt:variant>
      <vt:variant>
        <vt:lpwstr>https://www.itu.int/en/ITU-T/Workshops-and-Seminars/sg05rg/sdtd/20210929/Pages/default.aspx</vt:lpwstr>
      </vt:variant>
      <vt:variant>
        <vt:lpwstr/>
      </vt:variant>
      <vt:variant>
        <vt:i4>8126524</vt:i4>
      </vt:variant>
      <vt:variant>
        <vt:i4>2448</vt:i4>
      </vt:variant>
      <vt:variant>
        <vt:i4>0</vt:i4>
      </vt:variant>
      <vt:variant>
        <vt:i4>5</vt:i4>
      </vt:variant>
      <vt:variant>
        <vt:lpwstr>https://www.itu.int/en/ITU-T/Workshops-and-Seminars/sg05rg/sdtd/20210928/Pages/default.aspx</vt:lpwstr>
      </vt:variant>
      <vt:variant>
        <vt:lpwstr/>
      </vt:variant>
      <vt:variant>
        <vt:i4>196630</vt:i4>
      </vt:variant>
      <vt:variant>
        <vt:i4>2445</vt:i4>
      </vt:variant>
      <vt:variant>
        <vt:i4>0</vt:i4>
      </vt:variant>
      <vt:variant>
        <vt:i4>5</vt:i4>
      </vt:variant>
      <vt:variant>
        <vt:lpwstr>https://www.itu.int/en/ITU-D/Conferences/ET/2021/Pages/Programme.aspx</vt:lpwstr>
      </vt:variant>
      <vt:variant>
        <vt:lpwstr/>
      </vt:variant>
      <vt:variant>
        <vt:i4>5439569</vt:i4>
      </vt:variant>
      <vt:variant>
        <vt:i4>2442</vt:i4>
      </vt:variant>
      <vt:variant>
        <vt:i4>0</vt:i4>
      </vt:variant>
      <vt:variant>
        <vt:i4>5</vt:i4>
      </vt:variant>
      <vt:variant>
        <vt:lpwstr>https://www.itu.int/en/ITU-T/studygroups/2017-2020/05/Pages/ITU-T-SG5-side-event-on-Vienna-Energy-Forum.aspx</vt:lpwstr>
      </vt:variant>
      <vt:variant>
        <vt:lpwstr/>
      </vt:variant>
      <vt:variant>
        <vt:i4>7929981</vt:i4>
      </vt:variant>
      <vt:variant>
        <vt:i4>2439</vt:i4>
      </vt:variant>
      <vt:variant>
        <vt:i4>0</vt:i4>
      </vt:variant>
      <vt:variant>
        <vt:i4>5</vt:i4>
      </vt:variant>
      <vt:variant>
        <vt:lpwstr>https://www.itu.int/en/ITU-T/climatechange/Pages/20201015.aspx</vt:lpwstr>
      </vt:variant>
      <vt:variant>
        <vt:lpwstr/>
      </vt:variant>
      <vt:variant>
        <vt:i4>6815796</vt:i4>
      </vt:variant>
      <vt:variant>
        <vt:i4>2436</vt:i4>
      </vt:variant>
      <vt:variant>
        <vt:i4>0</vt:i4>
      </vt:variant>
      <vt:variant>
        <vt:i4>5</vt:i4>
      </vt:variant>
      <vt:variant>
        <vt:lpwstr>https://www.itu.int/en/ITU-T/climatechange/Documents/Events/Webinar_ using_ international_ standards_to_tackle_the_e-waste_challenge.pdf</vt:lpwstr>
      </vt:variant>
      <vt:variant>
        <vt:lpwstr/>
      </vt:variant>
      <vt:variant>
        <vt:i4>6094922</vt:i4>
      </vt:variant>
      <vt:variant>
        <vt:i4>2433</vt:i4>
      </vt:variant>
      <vt:variant>
        <vt:i4>0</vt:i4>
      </vt:variant>
      <vt:variant>
        <vt:i4>5</vt:i4>
      </vt:variant>
      <vt:variant>
        <vt:lpwstr>https://www.itu.int/en/ITU-T/Workshops-and-Seminars/gsw/201910/Documents/9thGSW2019-Valencia-CalltoAction-CH.pdf</vt:lpwstr>
      </vt:variant>
      <vt:variant>
        <vt:lpwstr/>
      </vt:variant>
      <vt:variant>
        <vt:i4>4653135</vt:i4>
      </vt:variant>
      <vt:variant>
        <vt:i4>2430</vt:i4>
      </vt:variant>
      <vt:variant>
        <vt:i4>0</vt:i4>
      </vt:variant>
      <vt:variant>
        <vt:i4>5</vt:i4>
      </vt:variant>
      <vt:variant>
        <vt:lpwstr>https://www.itu.int/en/ITU-T/Workshops-and-Seminars/gsw/201910/Documents/9thGSW2019-Valencia-CalltoAction-FR.pdf</vt:lpwstr>
      </vt:variant>
      <vt:variant>
        <vt:lpwstr/>
      </vt:variant>
      <vt:variant>
        <vt:i4>4653128</vt:i4>
      </vt:variant>
      <vt:variant>
        <vt:i4>2427</vt:i4>
      </vt:variant>
      <vt:variant>
        <vt:i4>0</vt:i4>
      </vt:variant>
      <vt:variant>
        <vt:i4>5</vt:i4>
      </vt:variant>
      <vt:variant>
        <vt:lpwstr>https://www.itu.int/en/ITU-T/Workshops-and-Seminars/gsw/201910/Documents/9thGSW2019-Valencia-CalltoAction-AR.pdf</vt:lpwstr>
      </vt:variant>
      <vt:variant>
        <vt:lpwstr/>
      </vt:variant>
      <vt:variant>
        <vt:i4>4194395</vt:i4>
      </vt:variant>
      <vt:variant>
        <vt:i4>2424</vt:i4>
      </vt:variant>
      <vt:variant>
        <vt:i4>0</vt:i4>
      </vt:variant>
      <vt:variant>
        <vt:i4>5</vt:i4>
      </vt:variant>
      <vt:variant>
        <vt:lpwstr>https://www.itu.int/en/ITU-T/Workshops-and-Seminars/gsw/201910/Documents/9thGSW2019-Valencia-CalltoAction-RU.pdf</vt:lpwstr>
      </vt:variant>
      <vt:variant>
        <vt:lpwstr/>
      </vt:variant>
      <vt:variant>
        <vt:i4>4587596</vt:i4>
      </vt:variant>
      <vt:variant>
        <vt:i4>2421</vt:i4>
      </vt:variant>
      <vt:variant>
        <vt:i4>0</vt:i4>
      </vt:variant>
      <vt:variant>
        <vt:i4>5</vt:i4>
      </vt:variant>
      <vt:variant>
        <vt:lpwstr>https://www.itu.int/en/ITU-T/Workshops-and-Seminars/gsw/201910/Documents/9thGSW2019-Valencia-CalltoAction-ES.pdf</vt:lpwstr>
      </vt:variant>
      <vt:variant>
        <vt:lpwstr/>
      </vt:variant>
      <vt:variant>
        <vt:i4>5963852</vt:i4>
      </vt:variant>
      <vt:variant>
        <vt:i4>2418</vt:i4>
      </vt:variant>
      <vt:variant>
        <vt:i4>0</vt:i4>
      </vt:variant>
      <vt:variant>
        <vt:i4>5</vt:i4>
      </vt:variant>
      <vt:variant>
        <vt:lpwstr>https://www.itu.int/en/ITU-T/Workshops-and-Seminars/gsw/201910/Documents/9thGSW2019-Valencia-CalltoAction-EN.pdf</vt:lpwstr>
      </vt:variant>
      <vt:variant>
        <vt:lpwstr/>
      </vt:variant>
      <vt:variant>
        <vt:i4>6684714</vt:i4>
      </vt:variant>
      <vt:variant>
        <vt:i4>2415</vt:i4>
      </vt:variant>
      <vt:variant>
        <vt:i4>0</vt:i4>
      </vt:variant>
      <vt:variant>
        <vt:i4>5</vt:i4>
      </vt:variant>
      <vt:variant>
        <vt:lpwstr>https://www.itu.int/en/ITU-T/Workshops-and-Seminars/gsw/201910/Pages/programme-08.aspx</vt:lpwstr>
      </vt:variant>
      <vt:variant>
        <vt:lpwstr/>
      </vt:variant>
      <vt:variant>
        <vt:i4>6684711</vt:i4>
      </vt:variant>
      <vt:variant>
        <vt:i4>2412</vt:i4>
      </vt:variant>
      <vt:variant>
        <vt:i4>0</vt:i4>
      </vt:variant>
      <vt:variant>
        <vt:i4>5</vt:i4>
      </vt:variant>
      <vt:variant>
        <vt:lpwstr>https://www.itu.int/en/ITU-T/Workshops-and-Seminars/gsw/201910/Pages/programme-05.aspx</vt:lpwstr>
      </vt:variant>
      <vt:variant>
        <vt:lpwstr/>
      </vt:variant>
      <vt:variant>
        <vt:i4>6684709</vt:i4>
      </vt:variant>
      <vt:variant>
        <vt:i4>2409</vt:i4>
      </vt:variant>
      <vt:variant>
        <vt:i4>0</vt:i4>
      </vt:variant>
      <vt:variant>
        <vt:i4>5</vt:i4>
      </vt:variant>
      <vt:variant>
        <vt:lpwstr>https://www.itu.int/en/ITU-T/Workshops-and-Seminars/gsw/201910/Pages/programme-07.aspx</vt:lpwstr>
      </vt:variant>
      <vt:variant>
        <vt:lpwstr/>
      </vt:variant>
      <vt:variant>
        <vt:i4>6684708</vt:i4>
      </vt:variant>
      <vt:variant>
        <vt:i4>2406</vt:i4>
      </vt:variant>
      <vt:variant>
        <vt:i4>0</vt:i4>
      </vt:variant>
      <vt:variant>
        <vt:i4>5</vt:i4>
      </vt:variant>
      <vt:variant>
        <vt:lpwstr>https://www.itu.int/en/ITU-T/Workshops-and-Seminars/gsw/201910/Pages/programme-06.aspx</vt:lpwstr>
      </vt:variant>
      <vt:variant>
        <vt:lpwstr/>
      </vt:variant>
      <vt:variant>
        <vt:i4>6684710</vt:i4>
      </vt:variant>
      <vt:variant>
        <vt:i4>2403</vt:i4>
      </vt:variant>
      <vt:variant>
        <vt:i4>0</vt:i4>
      </vt:variant>
      <vt:variant>
        <vt:i4>5</vt:i4>
      </vt:variant>
      <vt:variant>
        <vt:lpwstr>https://www.itu.int/en/ITU-T/Workshops-and-Seminars/gsw/201910/Pages/programme-04.aspx</vt:lpwstr>
      </vt:variant>
      <vt:variant>
        <vt:lpwstr/>
      </vt:variant>
      <vt:variant>
        <vt:i4>6684705</vt:i4>
      </vt:variant>
      <vt:variant>
        <vt:i4>2400</vt:i4>
      </vt:variant>
      <vt:variant>
        <vt:i4>0</vt:i4>
      </vt:variant>
      <vt:variant>
        <vt:i4>5</vt:i4>
      </vt:variant>
      <vt:variant>
        <vt:lpwstr>https://www.itu.int/en/ITU-T/Workshops-and-Seminars/gsw/201910/Pages/programme-03.aspx</vt:lpwstr>
      </vt:variant>
      <vt:variant>
        <vt:lpwstr/>
      </vt:variant>
      <vt:variant>
        <vt:i4>6684704</vt:i4>
      </vt:variant>
      <vt:variant>
        <vt:i4>2397</vt:i4>
      </vt:variant>
      <vt:variant>
        <vt:i4>0</vt:i4>
      </vt:variant>
      <vt:variant>
        <vt:i4>5</vt:i4>
      </vt:variant>
      <vt:variant>
        <vt:lpwstr>https://www.itu.int/en/ITU-T/Workshops-and-Seminars/gsw/201910/Pages/programme-02.aspx</vt:lpwstr>
      </vt:variant>
      <vt:variant>
        <vt:lpwstr/>
      </vt:variant>
      <vt:variant>
        <vt:i4>2818087</vt:i4>
      </vt:variant>
      <vt:variant>
        <vt:i4>2394</vt:i4>
      </vt:variant>
      <vt:variant>
        <vt:i4>0</vt:i4>
      </vt:variant>
      <vt:variant>
        <vt:i4>5</vt:i4>
      </vt:variant>
      <vt:variant>
        <vt:lpwstr>https://www.itu.int/en/ITU-T/climatechange/Pages/1st-Digital-African-Week.aspx</vt:lpwstr>
      </vt:variant>
      <vt:variant>
        <vt:lpwstr/>
      </vt:variant>
      <vt:variant>
        <vt:i4>7995519</vt:i4>
      </vt:variant>
      <vt:variant>
        <vt:i4>2391</vt:i4>
      </vt:variant>
      <vt:variant>
        <vt:i4>0</vt:i4>
      </vt:variant>
      <vt:variant>
        <vt:i4>5</vt:i4>
      </vt:variant>
      <vt:variant>
        <vt:lpwstr>https://www.itu.int/en/ITU-T/climatechange/Pages/20190709.aspx</vt:lpwstr>
      </vt:variant>
      <vt:variant>
        <vt:lpwstr/>
      </vt:variant>
      <vt:variant>
        <vt:i4>6881384</vt:i4>
      </vt:variant>
      <vt:variant>
        <vt:i4>2388</vt:i4>
      </vt:variant>
      <vt:variant>
        <vt:i4>0</vt:i4>
      </vt:variant>
      <vt:variant>
        <vt:i4>5</vt:i4>
      </vt:variant>
      <vt:variant>
        <vt:lpwstr>https://www.itu.int/en/ITU-T/studygroups/2017-2020/05/Pages/event-20190515.aspx</vt:lpwstr>
      </vt:variant>
      <vt:variant>
        <vt:lpwstr/>
      </vt:variant>
      <vt:variant>
        <vt:i4>6815848</vt:i4>
      </vt:variant>
      <vt:variant>
        <vt:i4>2385</vt:i4>
      </vt:variant>
      <vt:variant>
        <vt:i4>0</vt:i4>
      </vt:variant>
      <vt:variant>
        <vt:i4>5</vt:i4>
      </vt:variant>
      <vt:variant>
        <vt:lpwstr>https://www.itu.int/en/ITU-T/studygroups/2017-2020/05/Pages/event-20190514.aspx</vt:lpwstr>
      </vt:variant>
      <vt:variant>
        <vt:lpwstr/>
      </vt:variant>
      <vt:variant>
        <vt:i4>4456551</vt:i4>
      </vt:variant>
      <vt:variant>
        <vt:i4>2382</vt:i4>
      </vt:variant>
      <vt:variant>
        <vt:i4>0</vt:i4>
      </vt:variant>
      <vt:variant>
        <vt:i4>5</vt:i4>
      </vt:variant>
      <vt:variant>
        <vt:lpwstr>https://www.itu.int/en/ITU-T/climatechange/symposia/201905/Documents/Call_for_Action_SPA.pdf</vt:lpwstr>
      </vt:variant>
      <vt:variant>
        <vt:lpwstr/>
      </vt:variant>
      <vt:variant>
        <vt:i4>7864408</vt:i4>
      </vt:variant>
      <vt:variant>
        <vt:i4>2379</vt:i4>
      </vt:variant>
      <vt:variant>
        <vt:i4>0</vt:i4>
      </vt:variant>
      <vt:variant>
        <vt:i4>5</vt:i4>
      </vt:variant>
      <vt:variant>
        <vt:lpwstr>https://www.itu.int/en/ITU-T/climatechange/symposia/201905/Documents/Call_for_Action_RU.pdf</vt:lpwstr>
      </vt:variant>
      <vt:variant>
        <vt:lpwstr/>
      </vt:variant>
      <vt:variant>
        <vt:i4>6881349</vt:i4>
      </vt:variant>
      <vt:variant>
        <vt:i4>2376</vt:i4>
      </vt:variant>
      <vt:variant>
        <vt:i4>0</vt:i4>
      </vt:variant>
      <vt:variant>
        <vt:i4>5</vt:i4>
      </vt:variant>
      <vt:variant>
        <vt:lpwstr>https://www.itu.int/en/ITU-T/climatechange/symposia/201905/Documents/Call_for_Action_CH.pdf</vt:lpwstr>
      </vt:variant>
      <vt:variant>
        <vt:lpwstr/>
      </vt:variant>
      <vt:variant>
        <vt:i4>7077983</vt:i4>
      </vt:variant>
      <vt:variant>
        <vt:i4>2373</vt:i4>
      </vt:variant>
      <vt:variant>
        <vt:i4>0</vt:i4>
      </vt:variant>
      <vt:variant>
        <vt:i4>5</vt:i4>
      </vt:variant>
      <vt:variant>
        <vt:lpwstr>https://www.itu.int/en/ITU-T/climatechange/symposia/201905/Documents/Call_for_Action_FR.pdf</vt:lpwstr>
      </vt:variant>
      <vt:variant>
        <vt:lpwstr/>
      </vt:variant>
      <vt:variant>
        <vt:i4>7012447</vt:i4>
      </vt:variant>
      <vt:variant>
        <vt:i4>2370</vt:i4>
      </vt:variant>
      <vt:variant>
        <vt:i4>0</vt:i4>
      </vt:variant>
      <vt:variant>
        <vt:i4>5</vt:i4>
      </vt:variant>
      <vt:variant>
        <vt:lpwstr>https://www.itu.int/en/ITU-T/climatechange/symposia/201905/Documents/Call_for_Action_AR.pdf</vt:lpwstr>
      </vt:variant>
      <vt:variant>
        <vt:lpwstr/>
      </vt:variant>
      <vt:variant>
        <vt:i4>5636168</vt:i4>
      </vt:variant>
      <vt:variant>
        <vt:i4>2367</vt:i4>
      </vt:variant>
      <vt:variant>
        <vt:i4>0</vt:i4>
      </vt:variant>
      <vt:variant>
        <vt:i4>5</vt:i4>
      </vt:variant>
      <vt:variant>
        <vt:lpwstr>https://www.itu.int/en/ITU-T/climatechange/symposia/201905/Documents/Call_for_Action.pdf</vt:lpwstr>
      </vt:variant>
      <vt:variant>
        <vt:lpwstr/>
      </vt:variant>
      <vt:variant>
        <vt:i4>4522075</vt:i4>
      </vt:variant>
      <vt:variant>
        <vt:i4>2364</vt:i4>
      </vt:variant>
      <vt:variant>
        <vt:i4>0</vt:i4>
      </vt:variant>
      <vt:variant>
        <vt:i4>5</vt:i4>
      </vt:variant>
      <vt:variant>
        <vt:lpwstr>https://www.itu.int/en/ITU-T/climatechange/symposia/201905/Pages/default.aspx</vt:lpwstr>
      </vt:variant>
      <vt:variant>
        <vt:lpwstr/>
      </vt:variant>
      <vt:variant>
        <vt:i4>3932271</vt:i4>
      </vt:variant>
      <vt:variant>
        <vt:i4>2361</vt:i4>
      </vt:variant>
      <vt:variant>
        <vt:i4>0</vt:i4>
      </vt:variant>
      <vt:variant>
        <vt:i4>5</vt:i4>
      </vt:variant>
      <vt:variant>
        <vt:lpwstr>https://www.itu.int/net4/wsis/forum/2019/Agenda/ViewSession/240</vt:lpwstr>
      </vt:variant>
      <vt:variant>
        <vt:lpwstr/>
      </vt:variant>
      <vt:variant>
        <vt:i4>6160450</vt:i4>
      </vt:variant>
      <vt:variant>
        <vt:i4>2358</vt:i4>
      </vt:variant>
      <vt:variant>
        <vt:i4>0</vt:i4>
      </vt:variant>
      <vt:variant>
        <vt:i4>5</vt:i4>
      </vt:variant>
      <vt:variant>
        <vt:lpwstr>https://www.itu.int/en/ITU-T/Workshops-and-Seminars/gsw/201804/Pages/Programme09.aspx</vt:lpwstr>
      </vt:variant>
      <vt:variant>
        <vt:lpwstr/>
      </vt:variant>
      <vt:variant>
        <vt:i4>65539</vt:i4>
      </vt:variant>
      <vt:variant>
        <vt:i4>2355</vt:i4>
      </vt:variant>
      <vt:variant>
        <vt:i4>0</vt:i4>
      </vt:variant>
      <vt:variant>
        <vt:i4>5</vt:i4>
      </vt:variant>
      <vt:variant>
        <vt:lpwstr>https://www.itu.int/en/ITU-T/Workshops-and-Seminars/gsw/201804/Pages/default.aspx</vt:lpwstr>
      </vt:variant>
      <vt:variant>
        <vt:lpwstr/>
      </vt:variant>
      <vt:variant>
        <vt:i4>4456524</vt:i4>
      </vt:variant>
      <vt:variant>
        <vt:i4>2352</vt:i4>
      </vt:variant>
      <vt:variant>
        <vt:i4>0</vt:i4>
      </vt:variant>
      <vt:variant>
        <vt:i4>5</vt:i4>
      </vt:variant>
      <vt:variant>
        <vt:lpwstr>http://www.etsi.org/news-events/events/1217-towards-setting-environmental-requirements-for-5g</vt:lpwstr>
      </vt:variant>
      <vt:variant>
        <vt:lpwstr/>
      </vt:variant>
      <vt:variant>
        <vt:i4>1048651</vt:i4>
      </vt:variant>
      <vt:variant>
        <vt:i4>2349</vt:i4>
      </vt:variant>
      <vt:variant>
        <vt:i4>0</vt:i4>
      </vt:variant>
      <vt:variant>
        <vt:i4>5</vt:i4>
      </vt:variant>
      <vt:variant>
        <vt:lpwstr>https://www.itu.int/en/ITU-T/about/groups/Pages/sg05.aspx</vt:lpwstr>
      </vt:variant>
      <vt:variant>
        <vt:lpwstr/>
      </vt:variant>
      <vt:variant>
        <vt:i4>6422586</vt:i4>
      </vt:variant>
      <vt:variant>
        <vt:i4>2346</vt:i4>
      </vt:variant>
      <vt:variant>
        <vt:i4>0</vt:i4>
      </vt:variant>
      <vt:variant>
        <vt:i4>5</vt:i4>
      </vt:variant>
      <vt:variant>
        <vt:lpwstr>http://www.itu.int/en/sustainable-world/Pages/default.aspx</vt:lpwstr>
      </vt:variant>
      <vt:variant>
        <vt:lpwstr/>
      </vt:variant>
      <vt:variant>
        <vt:i4>1638400</vt:i4>
      </vt:variant>
      <vt:variant>
        <vt:i4>2343</vt:i4>
      </vt:variant>
      <vt:variant>
        <vt:i4>0</vt:i4>
      </vt:variant>
      <vt:variant>
        <vt:i4>5</vt:i4>
      </vt:variant>
      <vt:variant>
        <vt:lpwstr>http://www.un.org/sustainabledevelopment/blog/2016/10/newurbanagenda/</vt:lpwstr>
      </vt:variant>
      <vt:variant>
        <vt:lpwstr/>
      </vt:variant>
      <vt:variant>
        <vt:i4>1572878</vt:i4>
      </vt:variant>
      <vt:variant>
        <vt:i4>2340</vt:i4>
      </vt:variant>
      <vt:variant>
        <vt:i4>0</vt:i4>
      </vt:variant>
      <vt:variant>
        <vt:i4>5</vt:i4>
      </vt:variant>
      <vt:variant>
        <vt:lpwstr>http://www.itu.int/en/ITU-T/Workshops-and-Seminars/gsw/201704/Documents/Manifesto-Manizales-05-04-2017-Eng-Final.pdf</vt:lpwstr>
      </vt:variant>
      <vt:variant>
        <vt:lpwstr/>
      </vt:variant>
      <vt:variant>
        <vt:i4>1966162</vt:i4>
      </vt:variant>
      <vt:variant>
        <vt:i4>2337</vt:i4>
      </vt:variant>
      <vt:variant>
        <vt:i4>0</vt:i4>
      </vt:variant>
      <vt:variant>
        <vt:i4>5</vt:i4>
      </vt:variant>
      <vt:variant>
        <vt:lpwstr>http://newslog.itu.int/archives/1493</vt:lpwstr>
      </vt:variant>
      <vt:variant>
        <vt:lpwstr/>
      </vt:variant>
      <vt:variant>
        <vt:i4>6553706</vt:i4>
      </vt:variant>
      <vt:variant>
        <vt:i4>2334</vt:i4>
      </vt:variant>
      <vt:variant>
        <vt:i4>0</vt:i4>
      </vt:variant>
      <vt:variant>
        <vt:i4>5</vt:i4>
      </vt:variant>
      <vt:variant>
        <vt:lpwstr>https://www.itu.int/en/ITU-T/climatechange/Pages/publications.aspx</vt:lpwstr>
      </vt:variant>
      <vt:variant>
        <vt:lpwstr/>
      </vt:variant>
      <vt:variant>
        <vt:i4>2687098</vt:i4>
      </vt:variant>
      <vt:variant>
        <vt:i4>2331</vt:i4>
      </vt:variant>
      <vt:variant>
        <vt:i4>0</vt:i4>
      </vt:variant>
      <vt:variant>
        <vt:i4>5</vt:i4>
      </vt:variant>
      <vt:variant>
        <vt:lpwstr>https://www.itu.int/en/publications/Documents/tsb/2019-Turning-digital-technology-innovation-into-climate-action/index.html</vt:lpwstr>
      </vt:variant>
      <vt:variant>
        <vt:lpwstr/>
      </vt:variant>
      <vt:variant>
        <vt:i4>1114125</vt:i4>
      </vt:variant>
      <vt:variant>
        <vt:i4>2328</vt:i4>
      </vt:variant>
      <vt:variant>
        <vt:i4>0</vt:i4>
      </vt:variant>
      <vt:variant>
        <vt:i4>5</vt:i4>
      </vt:variant>
      <vt:variant>
        <vt:lpwstr>https://www.itu.int/en/ITU-T/focusgroups/ai4ee/Pages/default.aspx</vt:lpwstr>
      </vt:variant>
      <vt:variant>
        <vt:lpwstr/>
      </vt:variant>
      <vt:variant>
        <vt:i4>3080309</vt:i4>
      </vt:variant>
      <vt:variant>
        <vt:i4>2325</vt:i4>
      </vt:variant>
      <vt:variant>
        <vt:i4>0</vt:i4>
      </vt:variant>
      <vt:variant>
        <vt:i4>5</vt:i4>
      </vt:variant>
      <vt:variant>
        <vt:lpwstr>https://www.itu.int/en/ITU-T/climatechange/resources/Pages/env-and-ssc.aspx</vt:lpwstr>
      </vt:variant>
      <vt:variant>
        <vt:lpwstr/>
      </vt:variant>
      <vt:variant>
        <vt:i4>393310</vt:i4>
      </vt:variant>
      <vt:variant>
        <vt:i4>2322</vt:i4>
      </vt:variant>
      <vt:variant>
        <vt:i4>0</vt:i4>
      </vt:variant>
      <vt:variant>
        <vt:i4>5</vt:i4>
      </vt:variant>
      <vt:variant>
        <vt:lpwstr>https://staging.itu.int/en/publications/Documents/tsb/2021-Economia-Circular-Costa-Rica/index.html</vt:lpwstr>
      </vt:variant>
      <vt:variant>
        <vt:lpwstr>p=1</vt:lpwstr>
      </vt:variant>
      <vt:variant>
        <vt:i4>589909</vt:i4>
      </vt:variant>
      <vt:variant>
        <vt:i4>2319</vt:i4>
      </vt:variant>
      <vt:variant>
        <vt:i4>0</vt:i4>
      </vt:variant>
      <vt:variant>
        <vt:i4>5</vt:i4>
      </vt:variant>
      <vt:variant>
        <vt:lpwstr>mailto:https://www.itu.int/en/action/environment-and-climate-change/Pages/ewaste.aspx</vt:lpwstr>
      </vt:variant>
      <vt:variant>
        <vt:lpwstr/>
      </vt:variant>
      <vt:variant>
        <vt:i4>3735671</vt:i4>
      </vt:variant>
      <vt:variant>
        <vt:i4>2316</vt:i4>
      </vt:variant>
      <vt:variant>
        <vt:i4>0</vt:i4>
      </vt:variant>
      <vt:variant>
        <vt:i4>5</vt:i4>
      </vt:variant>
      <vt:variant>
        <vt:lpwstr>mailto:http://www.basel.int/Implementation/TechnicalAssistance/MOOC/tabid/4966/Default.aspx</vt:lpwstr>
      </vt:variant>
      <vt:variant>
        <vt:lpwstr/>
      </vt:variant>
      <vt:variant>
        <vt:i4>7471220</vt:i4>
      </vt:variant>
      <vt:variant>
        <vt:i4>2313</vt:i4>
      </vt:variant>
      <vt:variant>
        <vt:i4>0</vt:i4>
      </vt:variant>
      <vt:variant>
        <vt:i4>5</vt:i4>
      </vt:variant>
      <vt:variant>
        <vt:lpwstr>https://www.itu.int/en/ITU-T/studygroups/2017-2020/20/sg20rgafr/Pages/default.aspx</vt:lpwstr>
      </vt:variant>
      <vt:variant>
        <vt:lpwstr/>
      </vt:variant>
      <vt:variant>
        <vt:i4>2031697</vt:i4>
      </vt:variant>
      <vt:variant>
        <vt:i4>2310</vt:i4>
      </vt:variant>
      <vt:variant>
        <vt:i4>0</vt:i4>
      </vt:variant>
      <vt:variant>
        <vt:i4>5</vt:i4>
      </vt:variant>
      <vt:variant>
        <vt:lpwstr>https://www.itu.int/en/ITU-T/studygroups/2017-2020/05/sg5rgafr/Pages/default.aspx</vt:lpwstr>
      </vt:variant>
      <vt:variant>
        <vt:lpwstr/>
      </vt:variant>
      <vt:variant>
        <vt:i4>2818087</vt:i4>
      </vt:variant>
      <vt:variant>
        <vt:i4>2307</vt:i4>
      </vt:variant>
      <vt:variant>
        <vt:i4>0</vt:i4>
      </vt:variant>
      <vt:variant>
        <vt:i4>5</vt:i4>
      </vt:variant>
      <vt:variant>
        <vt:lpwstr>https://www.itu.int/en/ITU-T/climatechange/Pages/1st-Digital-African-Week.aspx</vt:lpwstr>
      </vt:variant>
      <vt:variant>
        <vt:lpwstr/>
      </vt:variant>
      <vt:variant>
        <vt:i4>3604591</vt:i4>
      </vt:variant>
      <vt:variant>
        <vt:i4>2304</vt:i4>
      </vt:variant>
      <vt:variant>
        <vt:i4>0</vt:i4>
      </vt:variant>
      <vt:variant>
        <vt:i4>5</vt:i4>
      </vt:variant>
      <vt:variant>
        <vt:lpwstr>mailto:https://www.itu.int/en/publications/Documents/tsb/2020-U4SSC-The-9th-Green-Standards-Week/index.html</vt:lpwstr>
      </vt:variant>
      <vt:variant>
        <vt:lpwstr/>
      </vt:variant>
      <vt:variant>
        <vt:i4>262146</vt:i4>
      </vt:variant>
      <vt:variant>
        <vt:i4>2301</vt:i4>
      </vt:variant>
      <vt:variant>
        <vt:i4>0</vt:i4>
      </vt:variant>
      <vt:variant>
        <vt:i4>5</vt:i4>
      </vt:variant>
      <vt:variant>
        <vt:lpwstr>https://www.itu.int/en/ITU-T/Workshops-and-Seminars/gsw/201910/Pages/default.aspx</vt:lpwstr>
      </vt:variant>
      <vt:variant>
        <vt:lpwstr/>
      </vt:variant>
      <vt:variant>
        <vt:i4>7602237</vt:i4>
      </vt:variant>
      <vt:variant>
        <vt:i4>2298</vt:i4>
      </vt:variant>
      <vt:variant>
        <vt:i4>0</vt:i4>
      </vt:variant>
      <vt:variant>
        <vt:i4>5</vt:i4>
      </vt:variant>
      <vt:variant>
        <vt:lpwstr>https://www.itu.int/en/ITU-T/Workshops-and-Seminars/sg05rg/sdtd/20210930/Pages/default.aspx</vt:lpwstr>
      </vt:variant>
      <vt:variant>
        <vt:lpwstr/>
      </vt:variant>
      <vt:variant>
        <vt:i4>8192060</vt:i4>
      </vt:variant>
      <vt:variant>
        <vt:i4>2295</vt:i4>
      </vt:variant>
      <vt:variant>
        <vt:i4>0</vt:i4>
      </vt:variant>
      <vt:variant>
        <vt:i4>5</vt:i4>
      </vt:variant>
      <vt:variant>
        <vt:lpwstr>https://www.itu.int/en/ITU-T/Workshops-and-Seminars/sg05rg/sdtd/20210929/Pages/default.aspx</vt:lpwstr>
      </vt:variant>
      <vt:variant>
        <vt:lpwstr/>
      </vt:variant>
      <vt:variant>
        <vt:i4>8126524</vt:i4>
      </vt:variant>
      <vt:variant>
        <vt:i4>2292</vt:i4>
      </vt:variant>
      <vt:variant>
        <vt:i4>0</vt:i4>
      </vt:variant>
      <vt:variant>
        <vt:i4>5</vt:i4>
      </vt:variant>
      <vt:variant>
        <vt:lpwstr>https://www.itu.int/en/ITU-T/Workshops-and-Seminars/sg05rg/sdtd/20210928/Pages/default.aspx</vt:lpwstr>
      </vt:variant>
      <vt:variant>
        <vt:lpwstr/>
      </vt:variant>
      <vt:variant>
        <vt:i4>7078009</vt:i4>
      </vt:variant>
      <vt:variant>
        <vt:i4>2289</vt:i4>
      </vt:variant>
      <vt:variant>
        <vt:i4>0</vt:i4>
      </vt:variant>
      <vt:variant>
        <vt:i4>5</vt:i4>
      </vt:variant>
      <vt:variant>
        <vt:lpwstr>https://www.itu.int/en/ITU-T/Workshops-and-Seminars/sg05rg/sdtd/Pages/default.aspx</vt:lpwstr>
      </vt:variant>
      <vt:variant>
        <vt:lpwstr/>
      </vt:variant>
      <vt:variant>
        <vt:i4>1179678</vt:i4>
      </vt:variant>
      <vt:variant>
        <vt:i4>2286</vt:i4>
      </vt:variant>
      <vt:variant>
        <vt:i4>0</vt:i4>
      </vt:variant>
      <vt:variant>
        <vt:i4>5</vt:i4>
      </vt:variant>
      <vt:variant>
        <vt:lpwstr>https://www.itu.int/en/publications/Documents/tsb/2020-Frontier-Technologies-to-Protect-the-Environment-and-Tackle-Climate-Change/index.html</vt:lpwstr>
      </vt:variant>
      <vt:variant>
        <vt:lpwstr/>
      </vt:variant>
      <vt:variant>
        <vt:i4>3080309</vt:i4>
      </vt:variant>
      <vt:variant>
        <vt:i4>2283</vt:i4>
      </vt:variant>
      <vt:variant>
        <vt:i4>0</vt:i4>
      </vt:variant>
      <vt:variant>
        <vt:i4>5</vt:i4>
      </vt:variant>
      <vt:variant>
        <vt:lpwstr>https://www.itu.int/en/ITU-T/climatechange/resources/Pages/env-and-ssc.aspx</vt:lpwstr>
      </vt:variant>
      <vt:variant>
        <vt:lpwstr/>
      </vt:variant>
      <vt:variant>
        <vt:i4>3080309</vt:i4>
      </vt:variant>
      <vt:variant>
        <vt:i4>2280</vt:i4>
      </vt:variant>
      <vt:variant>
        <vt:i4>0</vt:i4>
      </vt:variant>
      <vt:variant>
        <vt:i4>5</vt:i4>
      </vt:variant>
      <vt:variant>
        <vt:lpwstr>https://www.itu.int/en/ITU-T/climatechange/resources/Pages/env-and-ssc.aspx</vt:lpwstr>
      </vt:variant>
      <vt:variant>
        <vt:lpwstr/>
      </vt:variant>
      <vt:variant>
        <vt:i4>3080309</vt:i4>
      </vt:variant>
      <vt:variant>
        <vt:i4>2277</vt:i4>
      </vt:variant>
      <vt:variant>
        <vt:i4>0</vt:i4>
      </vt:variant>
      <vt:variant>
        <vt:i4>5</vt:i4>
      </vt:variant>
      <vt:variant>
        <vt:lpwstr>https://www.itu.int/en/ITU-T/climatechange/resources/Pages/env-and-ssc.aspx</vt:lpwstr>
      </vt:variant>
      <vt:variant>
        <vt:lpwstr/>
      </vt:variant>
      <vt:variant>
        <vt:i4>7274612</vt:i4>
      </vt:variant>
      <vt:variant>
        <vt:i4>2274</vt:i4>
      </vt:variant>
      <vt:variant>
        <vt:i4>0</vt:i4>
      </vt:variant>
      <vt:variant>
        <vt:i4>5</vt:i4>
      </vt:variant>
      <vt:variant>
        <vt:lpwstr/>
      </vt:variant>
      <vt:variant>
        <vt:lpwstr>Top</vt:lpwstr>
      </vt:variant>
      <vt:variant>
        <vt:i4>6619260</vt:i4>
      </vt:variant>
      <vt:variant>
        <vt:i4>2271</vt:i4>
      </vt:variant>
      <vt:variant>
        <vt:i4>0</vt:i4>
      </vt:variant>
      <vt:variant>
        <vt:i4>5</vt:i4>
      </vt:variant>
      <vt:variant>
        <vt:lpwstr>https://www.itu.int/en/ITU-T/emf/Pages/activities.aspx</vt:lpwstr>
      </vt:variant>
      <vt:variant>
        <vt:lpwstr/>
      </vt:variant>
      <vt:variant>
        <vt:i4>2097185</vt:i4>
      </vt:variant>
      <vt:variant>
        <vt:i4>2268</vt:i4>
      </vt:variant>
      <vt:variant>
        <vt:i4>0</vt:i4>
      </vt:variant>
      <vt:variant>
        <vt:i4>5</vt:i4>
      </vt:variant>
      <vt:variant>
        <vt:lpwstr>https://www.itu.int/en/ITU-T/emf/Pages/default.aspx</vt:lpwstr>
      </vt:variant>
      <vt:variant>
        <vt:lpwstr/>
      </vt:variant>
      <vt:variant>
        <vt:i4>6357026</vt:i4>
      </vt:variant>
      <vt:variant>
        <vt:i4>2265</vt:i4>
      </vt:variant>
      <vt:variant>
        <vt:i4>0</vt:i4>
      </vt:variant>
      <vt:variant>
        <vt:i4>5</vt:i4>
      </vt:variant>
      <vt:variant>
        <vt:lpwstr>https://www.itu.int/en/ITU-T/Workshops-and-Seminars/20171205/Pages/default.aspx</vt:lpwstr>
      </vt:variant>
      <vt:variant>
        <vt:lpwstr/>
      </vt:variant>
      <vt:variant>
        <vt:i4>5701699</vt:i4>
      </vt:variant>
      <vt:variant>
        <vt:i4>2262</vt:i4>
      </vt:variant>
      <vt:variant>
        <vt:i4>0</vt:i4>
      </vt:variant>
      <vt:variant>
        <vt:i4>5</vt:i4>
      </vt:variant>
      <vt:variant>
        <vt:lpwstr>https://www.itu.int/en/ITU-T/Workshops-and-Seminars/gsw/201804/Pages/programme10.aspx</vt:lpwstr>
      </vt:variant>
      <vt:variant>
        <vt:lpwstr/>
      </vt:variant>
      <vt:variant>
        <vt:i4>2162737</vt:i4>
      </vt:variant>
      <vt:variant>
        <vt:i4>2259</vt:i4>
      </vt:variant>
      <vt:variant>
        <vt:i4>0</vt:i4>
      </vt:variant>
      <vt:variant>
        <vt:i4>5</vt:i4>
      </vt:variant>
      <vt:variant>
        <vt:lpwstr>https://www.itu.int/en/ITU-T/studygroups/2017-2020/05/sg5rgafr/20190829/Pages/default.aspx</vt:lpwstr>
      </vt:variant>
      <vt:variant>
        <vt:lpwstr/>
      </vt:variant>
      <vt:variant>
        <vt:i4>6422647</vt:i4>
      </vt:variant>
      <vt:variant>
        <vt:i4>2256</vt:i4>
      </vt:variant>
      <vt:variant>
        <vt:i4>0</vt:i4>
      </vt:variant>
      <vt:variant>
        <vt:i4>5</vt:i4>
      </vt:variant>
      <vt:variant>
        <vt:lpwstr>https://www.itu.int/rec/T-REC-K.Sup14-201909-I</vt:lpwstr>
      </vt:variant>
      <vt:variant>
        <vt:lpwstr/>
      </vt:variant>
      <vt:variant>
        <vt:i4>3276879</vt:i4>
      </vt:variant>
      <vt:variant>
        <vt:i4>2253</vt:i4>
      </vt:variant>
      <vt:variant>
        <vt:i4>0</vt:i4>
      </vt:variant>
      <vt:variant>
        <vt:i4>5</vt:i4>
      </vt:variant>
      <vt:variant>
        <vt:lpwstr/>
      </vt:variant>
      <vt:variant>
        <vt:lpwstr>_Resolution_76_-</vt:lpwstr>
      </vt:variant>
      <vt:variant>
        <vt:i4>6553706</vt:i4>
      </vt:variant>
      <vt:variant>
        <vt:i4>2250</vt:i4>
      </vt:variant>
      <vt:variant>
        <vt:i4>0</vt:i4>
      </vt:variant>
      <vt:variant>
        <vt:i4>5</vt:i4>
      </vt:variant>
      <vt:variant>
        <vt:lpwstr>https://www.itu.int/en/ITU-T/climatechange/Pages/publications.aspx</vt:lpwstr>
      </vt:variant>
      <vt:variant>
        <vt:lpwstr/>
      </vt:variant>
      <vt:variant>
        <vt:i4>6160461</vt:i4>
      </vt:variant>
      <vt:variant>
        <vt:i4>2247</vt:i4>
      </vt:variant>
      <vt:variant>
        <vt:i4>0</vt:i4>
      </vt:variant>
      <vt:variant>
        <vt:i4>5</vt:i4>
      </vt:variant>
      <vt:variant>
        <vt:lpwstr>https://www.itu.int/en/ITU-T/Workshops-and-Seminars/2021/0510/Pages/default.aspx</vt:lpwstr>
      </vt:variant>
      <vt:variant>
        <vt:lpwstr/>
      </vt:variant>
      <vt:variant>
        <vt:i4>2818087</vt:i4>
      </vt:variant>
      <vt:variant>
        <vt:i4>2244</vt:i4>
      </vt:variant>
      <vt:variant>
        <vt:i4>0</vt:i4>
      </vt:variant>
      <vt:variant>
        <vt:i4>5</vt:i4>
      </vt:variant>
      <vt:variant>
        <vt:lpwstr>https://www.itu.int/en/ITU-T/climatechange/Pages/1st-Digital-African-Week.aspx</vt:lpwstr>
      </vt:variant>
      <vt:variant>
        <vt:lpwstr/>
      </vt:variant>
      <vt:variant>
        <vt:i4>2162737</vt:i4>
      </vt:variant>
      <vt:variant>
        <vt:i4>2241</vt:i4>
      </vt:variant>
      <vt:variant>
        <vt:i4>0</vt:i4>
      </vt:variant>
      <vt:variant>
        <vt:i4>5</vt:i4>
      </vt:variant>
      <vt:variant>
        <vt:lpwstr>https://www.itu.int/en/ITU-T/studygroups/2017-2020/05/sg5rgafr/20190829/Pages/default.aspx</vt:lpwstr>
      </vt:variant>
      <vt:variant>
        <vt:lpwstr/>
      </vt:variant>
      <vt:variant>
        <vt:i4>6357026</vt:i4>
      </vt:variant>
      <vt:variant>
        <vt:i4>2238</vt:i4>
      </vt:variant>
      <vt:variant>
        <vt:i4>0</vt:i4>
      </vt:variant>
      <vt:variant>
        <vt:i4>5</vt:i4>
      </vt:variant>
      <vt:variant>
        <vt:lpwstr>https://www.itu.int/en/ITU-T/Workshops-and-Seminars/20171205/Pages/default.aspx</vt:lpwstr>
      </vt:variant>
      <vt:variant>
        <vt:lpwstr/>
      </vt:variant>
      <vt:variant>
        <vt:i4>7274612</vt:i4>
      </vt:variant>
      <vt:variant>
        <vt:i4>2235</vt:i4>
      </vt:variant>
      <vt:variant>
        <vt:i4>0</vt:i4>
      </vt:variant>
      <vt:variant>
        <vt:i4>5</vt:i4>
      </vt:variant>
      <vt:variant>
        <vt:lpwstr/>
      </vt:variant>
      <vt:variant>
        <vt:lpwstr>Top</vt:lpwstr>
      </vt:variant>
      <vt:variant>
        <vt:i4>458840</vt:i4>
      </vt:variant>
      <vt:variant>
        <vt:i4>2232</vt:i4>
      </vt:variant>
      <vt:variant>
        <vt:i4>0</vt:i4>
      </vt:variant>
      <vt:variant>
        <vt:i4>5</vt:i4>
      </vt:variant>
      <vt:variant>
        <vt:lpwstr>https://www.itu.int/itu-t/recommendations/rec.aspx?rec=14577</vt:lpwstr>
      </vt:variant>
      <vt:variant>
        <vt:lpwstr/>
      </vt:variant>
      <vt:variant>
        <vt:i4>720978</vt:i4>
      </vt:variant>
      <vt:variant>
        <vt:i4>2229</vt:i4>
      </vt:variant>
      <vt:variant>
        <vt:i4>0</vt:i4>
      </vt:variant>
      <vt:variant>
        <vt:i4>5</vt:i4>
      </vt:variant>
      <vt:variant>
        <vt:lpwstr>https://www.itu.int/rec/T-REC-Y.4204-201902-I/en</vt:lpwstr>
      </vt:variant>
      <vt:variant>
        <vt:lpwstr/>
      </vt:variant>
      <vt:variant>
        <vt:i4>6684740</vt:i4>
      </vt:variant>
      <vt:variant>
        <vt:i4>2226</vt:i4>
      </vt:variant>
      <vt:variant>
        <vt:i4>0</vt:i4>
      </vt:variant>
      <vt:variant>
        <vt:i4>5</vt:i4>
      </vt:variant>
      <vt:variant>
        <vt:lpwstr>https://www.itu.int/ITU-T/workprog/wp_item.aspx?isn=14774</vt:lpwstr>
      </vt:variant>
      <vt:variant>
        <vt:lpwstr/>
      </vt:variant>
      <vt:variant>
        <vt:i4>6684740</vt:i4>
      </vt:variant>
      <vt:variant>
        <vt:i4>2223</vt:i4>
      </vt:variant>
      <vt:variant>
        <vt:i4>0</vt:i4>
      </vt:variant>
      <vt:variant>
        <vt:i4>5</vt:i4>
      </vt:variant>
      <vt:variant>
        <vt:lpwstr>https://www.itu.int/ITU-T/workprog/wp_item.aspx?isn=14773</vt:lpwstr>
      </vt:variant>
      <vt:variant>
        <vt:lpwstr/>
      </vt:variant>
      <vt:variant>
        <vt:i4>3801201</vt:i4>
      </vt:variant>
      <vt:variant>
        <vt:i4>2220</vt:i4>
      </vt:variant>
      <vt:variant>
        <vt:i4>0</vt:i4>
      </vt:variant>
      <vt:variant>
        <vt:i4>5</vt:i4>
      </vt:variant>
      <vt:variant>
        <vt:lpwstr>https://www.itu.int/en/ITU-T/ebusiness</vt:lpwstr>
      </vt:variant>
      <vt:variant>
        <vt:lpwstr/>
      </vt:variant>
      <vt:variant>
        <vt:i4>2031624</vt:i4>
      </vt:variant>
      <vt:variant>
        <vt:i4>2217</vt:i4>
      </vt:variant>
      <vt:variant>
        <vt:i4>0</vt:i4>
      </vt:variant>
      <vt:variant>
        <vt:i4>5</vt:i4>
      </vt:variant>
      <vt:variant>
        <vt:lpwstr>https://www.itu.int/en/general-secretariat/Pages/intersectoral-coordination.aspx</vt:lpwstr>
      </vt:variant>
      <vt:variant>
        <vt:lpwstr/>
      </vt:variant>
      <vt:variant>
        <vt:i4>4522001</vt:i4>
      </vt:variant>
      <vt:variant>
        <vt:i4>2214</vt:i4>
      </vt:variant>
      <vt:variant>
        <vt:i4>0</vt:i4>
      </vt:variant>
      <vt:variant>
        <vt:i4>5</vt:i4>
      </vt:variant>
      <vt:variant>
        <vt:lpwstr>https://www.itu.int/en/irg/ava/Pages/default.aspx</vt:lpwstr>
      </vt:variant>
      <vt:variant>
        <vt:lpwstr/>
      </vt:variant>
      <vt:variant>
        <vt:i4>8060983</vt:i4>
      </vt:variant>
      <vt:variant>
        <vt:i4>2211</vt:i4>
      </vt:variant>
      <vt:variant>
        <vt:i4>0</vt:i4>
      </vt:variant>
      <vt:variant>
        <vt:i4>5</vt:i4>
      </vt:variant>
      <vt:variant>
        <vt:lpwstr>http://www.itu.int/en/ITU-T/jca/ahf/Pages/default.aspx</vt:lpwstr>
      </vt:variant>
      <vt:variant>
        <vt:lpwstr/>
      </vt:variant>
      <vt:variant>
        <vt:i4>8060983</vt:i4>
      </vt:variant>
      <vt:variant>
        <vt:i4>2208</vt:i4>
      </vt:variant>
      <vt:variant>
        <vt:i4>0</vt:i4>
      </vt:variant>
      <vt:variant>
        <vt:i4>5</vt:i4>
      </vt:variant>
      <vt:variant>
        <vt:lpwstr>http://www.itu.int/en/ITU-T/jca/ahf/Pages/default.aspx</vt:lpwstr>
      </vt:variant>
      <vt:variant>
        <vt:lpwstr/>
      </vt:variant>
      <vt:variant>
        <vt:i4>2424956</vt:i4>
      </vt:variant>
      <vt:variant>
        <vt:i4>2205</vt:i4>
      </vt:variant>
      <vt:variant>
        <vt:i4>0</vt:i4>
      </vt:variant>
      <vt:variant>
        <vt:i4>5</vt:i4>
      </vt:variant>
      <vt:variant>
        <vt:lpwstr>https://www.itu.int/md/meetingdoc.asp?lang=en&amp;parent=S18-CL-C-0054</vt:lpwstr>
      </vt:variant>
      <vt:variant>
        <vt:lpwstr/>
      </vt:variant>
      <vt:variant>
        <vt:i4>3080313</vt:i4>
      </vt:variant>
      <vt:variant>
        <vt:i4>2202</vt:i4>
      </vt:variant>
      <vt:variant>
        <vt:i4>0</vt:i4>
      </vt:variant>
      <vt:variant>
        <vt:i4>5</vt:i4>
      </vt:variant>
      <vt:variant>
        <vt:lpwstr>https://www.itu.int/net4/wsis/forum/2021/Agenda/Session/414</vt:lpwstr>
      </vt:variant>
      <vt:variant>
        <vt:lpwstr/>
      </vt:variant>
      <vt:variant>
        <vt:i4>2883710</vt:i4>
      </vt:variant>
      <vt:variant>
        <vt:i4>2199</vt:i4>
      </vt:variant>
      <vt:variant>
        <vt:i4>0</vt:i4>
      </vt:variant>
      <vt:variant>
        <vt:i4>5</vt:i4>
      </vt:variant>
      <vt:variant>
        <vt:lpwstr>https://www.itu.int/net4/wsis/forum/2021/Agenda/Session/322</vt:lpwstr>
      </vt:variant>
      <vt:variant>
        <vt:lpwstr/>
      </vt:variant>
      <vt:variant>
        <vt:i4>2818172</vt:i4>
      </vt:variant>
      <vt:variant>
        <vt:i4>2196</vt:i4>
      </vt:variant>
      <vt:variant>
        <vt:i4>0</vt:i4>
      </vt:variant>
      <vt:variant>
        <vt:i4>5</vt:i4>
      </vt:variant>
      <vt:variant>
        <vt:lpwstr>https://www.itu.int/net4/wsis/forum/2020/Agenda/Session/141</vt:lpwstr>
      </vt:variant>
      <vt:variant>
        <vt:lpwstr/>
      </vt:variant>
      <vt:variant>
        <vt:i4>2883708</vt:i4>
      </vt:variant>
      <vt:variant>
        <vt:i4>2193</vt:i4>
      </vt:variant>
      <vt:variant>
        <vt:i4>0</vt:i4>
      </vt:variant>
      <vt:variant>
        <vt:i4>5</vt:i4>
      </vt:variant>
      <vt:variant>
        <vt:lpwstr>https://www.itu.int/net4/wsis/forum/2020/Agenda/Session/132</vt:lpwstr>
      </vt:variant>
      <vt:variant>
        <vt:lpwstr/>
      </vt:variant>
      <vt:variant>
        <vt:i4>2949244</vt:i4>
      </vt:variant>
      <vt:variant>
        <vt:i4>2190</vt:i4>
      </vt:variant>
      <vt:variant>
        <vt:i4>0</vt:i4>
      </vt:variant>
      <vt:variant>
        <vt:i4>5</vt:i4>
      </vt:variant>
      <vt:variant>
        <vt:lpwstr>https://www.itu.int/net4/wsis/forum/2020/Agenda/Session/124</vt:lpwstr>
      </vt:variant>
      <vt:variant>
        <vt:lpwstr/>
      </vt:variant>
      <vt:variant>
        <vt:i4>917588</vt:i4>
      </vt:variant>
      <vt:variant>
        <vt:i4>2187</vt:i4>
      </vt:variant>
      <vt:variant>
        <vt:i4>0</vt:i4>
      </vt:variant>
      <vt:variant>
        <vt:i4>5</vt:i4>
      </vt:variant>
      <vt:variant>
        <vt:lpwstr>https://www.itu.int/en/ITU-D/Regional-Presence/Europe/Pages/Events/2019/AE/AccessibleEurope.aspx</vt:lpwstr>
      </vt:variant>
      <vt:variant>
        <vt:lpwstr/>
      </vt:variant>
      <vt:variant>
        <vt:i4>1310812</vt:i4>
      </vt:variant>
      <vt:variant>
        <vt:i4>2184</vt:i4>
      </vt:variant>
      <vt:variant>
        <vt:i4>0</vt:i4>
      </vt:variant>
      <vt:variant>
        <vt:i4>5</vt:i4>
      </vt:variant>
      <vt:variant>
        <vt:lpwstr>https://www.itu.int/en/ITU-D/Regional-Presence/Americas/Pages/EVENTS/2019/23940.aspx</vt:lpwstr>
      </vt:variant>
      <vt:variant>
        <vt:lpwstr/>
      </vt:variant>
      <vt:variant>
        <vt:i4>2293873</vt:i4>
      </vt:variant>
      <vt:variant>
        <vt:i4>2181</vt:i4>
      </vt:variant>
      <vt:variant>
        <vt:i4>0</vt:i4>
      </vt:variant>
      <vt:variant>
        <vt:i4>5</vt:i4>
      </vt:variant>
      <vt:variant>
        <vt:lpwstr>https://www.itu.int/net4/wsis/forum/2019/Agenda/ViewSession/171</vt:lpwstr>
      </vt:variant>
      <vt:variant>
        <vt:lpwstr>intro</vt:lpwstr>
      </vt:variant>
      <vt:variant>
        <vt:i4>2097265</vt:i4>
      </vt:variant>
      <vt:variant>
        <vt:i4>2178</vt:i4>
      </vt:variant>
      <vt:variant>
        <vt:i4>0</vt:i4>
      </vt:variant>
      <vt:variant>
        <vt:i4>5</vt:i4>
      </vt:variant>
      <vt:variant>
        <vt:lpwstr>https://www.itu.int/net4/wsis/forum/2019/Agenda/ViewSession/147</vt:lpwstr>
      </vt:variant>
      <vt:variant>
        <vt:lpwstr>intro</vt:lpwstr>
      </vt:variant>
      <vt:variant>
        <vt:i4>5439566</vt:i4>
      </vt:variant>
      <vt:variant>
        <vt:i4>2175</vt:i4>
      </vt:variant>
      <vt:variant>
        <vt:i4>0</vt:i4>
      </vt:variant>
      <vt:variant>
        <vt:i4>5</vt:i4>
      </vt:variant>
      <vt:variant>
        <vt:lpwstr>https://www.itu.int/en/ITU-D/Regional-Presence/Europe/Pages/Events/2019/eServices/Enhancing-Human-Life-Using-e-Services.aspx</vt:lpwstr>
      </vt:variant>
      <vt:variant>
        <vt:lpwstr/>
      </vt:variant>
      <vt:variant>
        <vt:i4>917589</vt:i4>
      </vt:variant>
      <vt:variant>
        <vt:i4>2172</vt:i4>
      </vt:variant>
      <vt:variant>
        <vt:i4>0</vt:i4>
      </vt:variant>
      <vt:variant>
        <vt:i4>5</vt:i4>
      </vt:variant>
      <vt:variant>
        <vt:lpwstr>https://www.itu.int/en/ITU-D/Regional-Presence/Europe/Pages/Events/2018/AE/AccessibleEurope.aspx</vt:lpwstr>
      </vt:variant>
      <vt:variant>
        <vt:lpwstr/>
      </vt:variant>
      <vt:variant>
        <vt:i4>6422634</vt:i4>
      </vt:variant>
      <vt:variant>
        <vt:i4>2169</vt:i4>
      </vt:variant>
      <vt:variant>
        <vt:i4>0</vt:i4>
      </vt:variant>
      <vt:variant>
        <vt:i4>5</vt:i4>
      </vt:variant>
      <vt:variant>
        <vt:lpwstr>https://www.itu.int/rec/T-REC-H.702</vt:lpwstr>
      </vt:variant>
      <vt:variant>
        <vt:lpwstr/>
      </vt:variant>
      <vt:variant>
        <vt:i4>6357098</vt:i4>
      </vt:variant>
      <vt:variant>
        <vt:i4>2166</vt:i4>
      </vt:variant>
      <vt:variant>
        <vt:i4>0</vt:i4>
      </vt:variant>
      <vt:variant>
        <vt:i4>5</vt:i4>
      </vt:variant>
      <vt:variant>
        <vt:lpwstr>https://www.itu.int/rec/T-REC-F.930</vt:lpwstr>
      </vt:variant>
      <vt:variant>
        <vt:lpwstr/>
      </vt:variant>
      <vt:variant>
        <vt:i4>6291562</vt:i4>
      </vt:variant>
      <vt:variant>
        <vt:i4>2163</vt:i4>
      </vt:variant>
      <vt:variant>
        <vt:i4>0</vt:i4>
      </vt:variant>
      <vt:variant>
        <vt:i4>5</vt:i4>
      </vt:variant>
      <vt:variant>
        <vt:lpwstr>https://www.itu.int/rec/T-REC-F.921</vt:lpwstr>
      </vt:variant>
      <vt:variant>
        <vt:lpwstr/>
      </vt:variant>
      <vt:variant>
        <vt:i4>1441822</vt:i4>
      </vt:variant>
      <vt:variant>
        <vt:i4>2160</vt:i4>
      </vt:variant>
      <vt:variant>
        <vt:i4>0</vt:i4>
      </vt:variant>
      <vt:variant>
        <vt:i4>5</vt:i4>
      </vt:variant>
      <vt:variant>
        <vt:lpwstr>https://www.itu.int/net4/wsis/forum/2018/Pages/Agenda</vt:lpwstr>
      </vt:variant>
      <vt:variant>
        <vt:lpwstr>intro</vt:lpwstr>
      </vt:variant>
      <vt:variant>
        <vt:i4>5701706</vt:i4>
      </vt:variant>
      <vt:variant>
        <vt:i4>2157</vt:i4>
      </vt:variant>
      <vt:variant>
        <vt:i4>0</vt:i4>
      </vt:variant>
      <vt:variant>
        <vt:i4>5</vt:i4>
      </vt:variant>
      <vt:variant>
        <vt:lpwstr>https://www.itu.int/net4/wsis/forum/2018/Pages/Agenda/Session/283</vt:lpwstr>
      </vt:variant>
      <vt:variant>
        <vt:lpwstr>intro</vt:lpwstr>
      </vt:variant>
      <vt:variant>
        <vt:i4>3276847</vt:i4>
      </vt:variant>
      <vt:variant>
        <vt:i4>2154</vt:i4>
      </vt:variant>
      <vt:variant>
        <vt:i4>0</vt:i4>
      </vt:variant>
      <vt:variant>
        <vt:i4>5</vt:i4>
      </vt:variant>
      <vt:variant>
        <vt:lpwstr>http://www.itu.int/net4/wsis/forum/2017/Agenda/Session/229</vt:lpwstr>
      </vt:variant>
      <vt:variant>
        <vt:lpwstr>intro</vt:lpwstr>
      </vt:variant>
      <vt:variant>
        <vt:i4>6422599</vt:i4>
      </vt:variant>
      <vt:variant>
        <vt:i4>2151</vt:i4>
      </vt:variant>
      <vt:variant>
        <vt:i4>0</vt:i4>
      </vt:variant>
      <vt:variant>
        <vt:i4>5</vt:i4>
      </vt:variant>
      <vt:variant>
        <vt:lpwstr>https://www.itu.int/ITU-T/workprog/wp_item.aspx?isn=14439</vt:lpwstr>
      </vt:variant>
      <vt:variant>
        <vt:lpwstr/>
      </vt:variant>
      <vt:variant>
        <vt:i4>6619207</vt:i4>
      </vt:variant>
      <vt:variant>
        <vt:i4>2148</vt:i4>
      </vt:variant>
      <vt:variant>
        <vt:i4>0</vt:i4>
      </vt:variant>
      <vt:variant>
        <vt:i4>5</vt:i4>
      </vt:variant>
      <vt:variant>
        <vt:lpwstr>https://www.itu.int/ITU-T/workprog/wp_item.aspx?isn=14440</vt:lpwstr>
      </vt:variant>
      <vt:variant>
        <vt:lpwstr/>
      </vt:variant>
      <vt:variant>
        <vt:i4>6422599</vt:i4>
      </vt:variant>
      <vt:variant>
        <vt:i4>2145</vt:i4>
      </vt:variant>
      <vt:variant>
        <vt:i4>0</vt:i4>
      </vt:variant>
      <vt:variant>
        <vt:i4>5</vt:i4>
      </vt:variant>
      <vt:variant>
        <vt:lpwstr>https://www.itu.int/ITU-T/workprog/wp_item.aspx?isn=14438</vt:lpwstr>
      </vt:variant>
      <vt:variant>
        <vt:lpwstr/>
      </vt:variant>
      <vt:variant>
        <vt:i4>2490421</vt:i4>
      </vt:variant>
      <vt:variant>
        <vt:i4>2142</vt:i4>
      </vt:variant>
      <vt:variant>
        <vt:i4>0</vt:i4>
      </vt:variant>
      <vt:variant>
        <vt:i4>5</vt:i4>
      </vt:variant>
      <vt:variant>
        <vt:lpwstr>https://itu.int/pub/T-TUT-FSTP</vt:lpwstr>
      </vt:variant>
      <vt:variant>
        <vt:lpwstr/>
      </vt:variant>
      <vt:variant>
        <vt:i4>393290</vt:i4>
      </vt:variant>
      <vt:variant>
        <vt:i4>2139</vt:i4>
      </vt:variant>
      <vt:variant>
        <vt:i4>0</vt:i4>
      </vt:variant>
      <vt:variant>
        <vt:i4>5</vt:i4>
      </vt:variant>
      <vt:variant>
        <vt:lpwstr>https://www.itu.int/rec/T-REC-H.871-201907-P</vt:lpwstr>
      </vt:variant>
      <vt:variant>
        <vt:lpwstr/>
      </vt:variant>
      <vt:variant>
        <vt:i4>6291562</vt:i4>
      </vt:variant>
      <vt:variant>
        <vt:i4>2136</vt:i4>
      </vt:variant>
      <vt:variant>
        <vt:i4>0</vt:i4>
      </vt:variant>
      <vt:variant>
        <vt:i4>5</vt:i4>
      </vt:variant>
      <vt:variant>
        <vt:lpwstr>https://www.itu.int/rec/T-REC-F.921</vt:lpwstr>
      </vt:variant>
      <vt:variant>
        <vt:lpwstr/>
      </vt:variant>
      <vt:variant>
        <vt:i4>7012452</vt:i4>
      </vt:variant>
      <vt:variant>
        <vt:i4>2133</vt:i4>
      </vt:variant>
      <vt:variant>
        <vt:i4>0</vt:i4>
      </vt:variant>
      <vt:variant>
        <vt:i4>5</vt:i4>
      </vt:variant>
      <vt:variant>
        <vt:lpwstr>https://www.itu.int/rec/T-REC-F.791</vt:lpwstr>
      </vt:variant>
      <vt:variant>
        <vt:lpwstr/>
      </vt:variant>
      <vt:variant>
        <vt:i4>1966148</vt:i4>
      </vt:variant>
      <vt:variant>
        <vt:i4>2130</vt:i4>
      </vt:variant>
      <vt:variant>
        <vt:i4>0</vt:i4>
      </vt:variant>
      <vt:variant>
        <vt:i4>5</vt:i4>
      </vt:variant>
      <vt:variant>
        <vt:lpwstr>https://www.itu.int/rec/T-REC-F.930-201803-I</vt:lpwstr>
      </vt:variant>
      <vt:variant>
        <vt:lpwstr/>
      </vt:variant>
      <vt:variant>
        <vt:i4>5373974</vt:i4>
      </vt:variant>
      <vt:variant>
        <vt:i4>2127</vt:i4>
      </vt:variant>
      <vt:variant>
        <vt:i4>0</vt:i4>
      </vt:variant>
      <vt:variant>
        <vt:i4>5</vt:i4>
      </vt:variant>
      <vt:variant>
        <vt:lpwstr>https://www.itu.int/en/ITU-T/studygroups/2017-2020/16/Pages/q26.aspx</vt:lpwstr>
      </vt:variant>
      <vt:variant>
        <vt:lpwstr/>
      </vt:variant>
      <vt:variant>
        <vt:i4>5373972</vt:i4>
      </vt:variant>
      <vt:variant>
        <vt:i4>2124</vt:i4>
      </vt:variant>
      <vt:variant>
        <vt:i4>0</vt:i4>
      </vt:variant>
      <vt:variant>
        <vt:i4>5</vt:i4>
      </vt:variant>
      <vt:variant>
        <vt:lpwstr>https://www.itu.int/en/ITU-T/studygroups/2017-2020/16/Pages/q24.aspx</vt:lpwstr>
      </vt:variant>
      <vt:variant>
        <vt:lpwstr/>
      </vt:variant>
      <vt:variant>
        <vt:i4>7274612</vt:i4>
      </vt:variant>
      <vt:variant>
        <vt:i4>2121</vt:i4>
      </vt:variant>
      <vt:variant>
        <vt:i4>0</vt:i4>
      </vt:variant>
      <vt:variant>
        <vt:i4>5</vt:i4>
      </vt:variant>
      <vt:variant>
        <vt:lpwstr/>
      </vt:variant>
      <vt:variant>
        <vt:lpwstr>Top</vt:lpwstr>
      </vt:variant>
      <vt:variant>
        <vt:i4>6619243</vt:i4>
      </vt:variant>
      <vt:variant>
        <vt:i4>2118</vt:i4>
      </vt:variant>
      <vt:variant>
        <vt:i4>0</vt:i4>
      </vt:variant>
      <vt:variant>
        <vt:i4>5</vt:i4>
      </vt:variant>
      <vt:variant>
        <vt:lpwstr>https://www.itu.int/net/ITU-T/res69/secured/notifications.aspx</vt:lpwstr>
      </vt:variant>
      <vt:variant>
        <vt:lpwstr/>
      </vt:variant>
      <vt:variant>
        <vt:i4>6619243</vt:i4>
      </vt:variant>
      <vt:variant>
        <vt:i4>2115</vt:i4>
      </vt:variant>
      <vt:variant>
        <vt:i4>0</vt:i4>
      </vt:variant>
      <vt:variant>
        <vt:i4>5</vt:i4>
      </vt:variant>
      <vt:variant>
        <vt:lpwstr>https://www.itu.int/net/ITU-T/res69/secured/notifications.aspx</vt:lpwstr>
      </vt:variant>
      <vt:variant>
        <vt:lpwstr/>
      </vt:variant>
      <vt:variant>
        <vt:i4>7274612</vt:i4>
      </vt:variant>
      <vt:variant>
        <vt:i4>2112</vt:i4>
      </vt:variant>
      <vt:variant>
        <vt:i4>0</vt:i4>
      </vt:variant>
      <vt:variant>
        <vt:i4>5</vt:i4>
      </vt:variant>
      <vt:variant>
        <vt:lpwstr/>
      </vt:variant>
      <vt:variant>
        <vt:lpwstr>Top</vt:lpwstr>
      </vt:variant>
      <vt:variant>
        <vt:i4>3670114</vt:i4>
      </vt:variant>
      <vt:variant>
        <vt:i4>2109</vt:i4>
      </vt:variant>
      <vt:variant>
        <vt:i4>0</vt:i4>
      </vt:variant>
      <vt:variant>
        <vt:i4>5</vt:i4>
      </vt:variant>
      <vt:variant>
        <vt:lpwstr>https://www.itu.int/en/ITU-T/tsbdir/cto/Pages/default.aspx</vt:lpwstr>
      </vt:variant>
      <vt:variant>
        <vt:lpwstr/>
      </vt:variant>
      <vt:variant>
        <vt:i4>2818152</vt:i4>
      </vt:variant>
      <vt:variant>
        <vt:i4>2106</vt:i4>
      </vt:variant>
      <vt:variant>
        <vt:i4>0</vt:i4>
      </vt:variant>
      <vt:variant>
        <vt:i4>5</vt:i4>
      </vt:variant>
      <vt:variant>
        <vt:lpwstr>https://www.itu.int/en/ITU-T/tsbdir/cto/Documents/Communique_ITU_CxO_07.12.2021_f.pdf</vt:lpwstr>
      </vt:variant>
      <vt:variant>
        <vt:lpwstr/>
      </vt:variant>
      <vt:variant>
        <vt:i4>4456448</vt:i4>
      </vt:variant>
      <vt:variant>
        <vt:i4>2103</vt:i4>
      </vt:variant>
      <vt:variant>
        <vt:i4>0</vt:i4>
      </vt:variant>
      <vt:variant>
        <vt:i4>5</vt:i4>
      </vt:variant>
      <vt:variant>
        <vt:lpwstr>https://www.itu.int/en/ITU-T/tsbdir/cto/Documents/Communique_CTO_.pdf</vt:lpwstr>
      </vt:variant>
      <vt:variant>
        <vt:lpwstr/>
      </vt:variant>
      <vt:variant>
        <vt:i4>3211296</vt:i4>
      </vt:variant>
      <vt:variant>
        <vt:i4>2100</vt:i4>
      </vt:variant>
      <vt:variant>
        <vt:i4>0</vt:i4>
      </vt:variant>
      <vt:variant>
        <vt:i4>5</vt:i4>
      </vt:variant>
      <vt:variant>
        <vt:lpwstr>https://www.itu.int/en/ITU-T/tsbdir/CxO/Documents/CxO_Communique_7Dec.pdf</vt:lpwstr>
      </vt:variant>
      <vt:variant>
        <vt:lpwstr/>
      </vt:variant>
      <vt:variant>
        <vt:i4>4259901</vt:i4>
      </vt:variant>
      <vt:variant>
        <vt:i4>2097</vt:i4>
      </vt:variant>
      <vt:variant>
        <vt:i4>0</vt:i4>
      </vt:variant>
      <vt:variant>
        <vt:i4>5</vt:i4>
      </vt:variant>
      <vt:variant>
        <vt:lpwstr>http://www.itu.int/en/ITU-T/tsbdir/cto/Documents/final_communique.pdf</vt:lpwstr>
      </vt:variant>
      <vt:variant>
        <vt:lpwstr/>
      </vt:variant>
      <vt:variant>
        <vt:i4>1835097</vt:i4>
      </vt:variant>
      <vt:variant>
        <vt:i4>2094</vt:i4>
      </vt:variant>
      <vt:variant>
        <vt:i4>0</vt:i4>
      </vt:variant>
      <vt:variant>
        <vt:i4>5</vt:i4>
      </vt:variant>
      <vt:variant>
        <vt:lpwstr>http://newslog.itu.int/archives/1520</vt:lpwstr>
      </vt:variant>
      <vt:variant>
        <vt:lpwstr/>
      </vt:variant>
      <vt:variant>
        <vt:i4>2818155</vt:i4>
      </vt:variant>
      <vt:variant>
        <vt:i4>2091</vt:i4>
      </vt:variant>
      <vt:variant>
        <vt:i4>0</vt:i4>
      </vt:variant>
      <vt:variant>
        <vt:i4>5</vt:i4>
      </vt:variant>
      <vt:variant>
        <vt:lpwstr>http://www.itu.int/pub/T-RES-T.92-2016</vt:lpwstr>
      </vt:variant>
      <vt:variant>
        <vt:lpwstr/>
      </vt:variant>
      <vt:variant>
        <vt:i4>4390985</vt:i4>
      </vt:variant>
      <vt:variant>
        <vt:i4>2088</vt:i4>
      </vt:variant>
      <vt:variant>
        <vt:i4>0</vt:i4>
      </vt:variant>
      <vt:variant>
        <vt:i4>5</vt:i4>
      </vt:variant>
      <vt:variant>
        <vt:lpwstr>http://www.itu.int/en/ITU-T/wtsa16/Pages/default.aspx</vt:lpwstr>
      </vt:variant>
      <vt:variant>
        <vt:lpwstr/>
      </vt:variant>
      <vt:variant>
        <vt:i4>3342398</vt:i4>
      </vt:variant>
      <vt:variant>
        <vt:i4>2085</vt:i4>
      </vt:variant>
      <vt:variant>
        <vt:i4>0</vt:i4>
      </vt:variant>
      <vt:variant>
        <vt:i4>5</vt:i4>
      </vt:variant>
      <vt:variant>
        <vt:lpwstr>C:\_Euchner\_ITU-T\ITU-T A.series\2017_05_TSAG\TSBDir report\v</vt:lpwstr>
      </vt:variant>
      <vt:variant>
        <vt:lpwstr/>
      </vt:variant>
      <vt:variant>
        <vt:i4>1376344</vt:i4>
      </vt:variant>
      <vt:variant>
        <vt:i4>2082</vt:i4>
      </vt:variant>
      <vt:variant>
        <vt:i4>0</vt:i4>
      </vt:variant>
      <vt:variant>
        <vt:i4>5</vt:i4>
      </vt:variant>
      <vt:variant>
        <vt:lpwstr>http://www.itu.int/en/ITU-T/tsbdir/cto/Documents/170330/communique-170330.pdf</vt:lpwstr>
      </vt:variant>
      <vt:variant>
        <vt:lpwstr/>
      </vt:variant>
      <vt:variant>
        <vt:i4>5374036</vt:i4>
      </vt:variant>
      <vt:variant>
        <vt:i4>2079</vt:i4>
      </vt:variant>
      <vt:variant>
        <vt:i4>0</vt:i4>
      </vt:variant>
      <vt:variant>
        <vt:i4>5</vt:i4>
      </vt:variant>
      <vt:variant>
        <vt:lpwstr>http://www.itu.int/md/T13-WTSA.16-INF-0009/en</vt:lpwstr>
      </vt:variant>
      <vt:variant>
        <vt:lpwstr/>
      </vt:variant>
      <vt:variant>
        <vt:i4>7274612</vt:i4>
      </vt:variant>
      <vt:variant>
        <vt:i4>2076</vt:i4>
      </vt:variant>
      <vt:variant>
        <vt:i4>0</vt:i4>
      </vt:variant>
      <vt:variant>
        <vt:i4>5</vt:i4>
      </vt:variant>
      <vt:variant>
        <vt:lpwstr/>
      </vt:variant>
      <vt:variant>
        <vt:lpwstr>Top</vt:lpwstr>
      </vt:variant>
      <vt:variant>
        <vt:i4>6553726</vt:i4>
      </vt:variant>
      <vt:variant>
        <vt:i4>2073</vt:i4>
      </vt:variant>
      <vt:variant>
        <vt:i4>0</vt:i4>
      </vt:variant>
      <vt:variant>
        <vt:i4>5</vt:i4>
      </vt:variant>
      <vt:variant>
        <vt:lpwstr>https://www.itu.int/md/T17-TSAG-210111-TD-GEN-0961</vt:lpwstr>
      </vt:variant>
      <vt:variant>
        <vt:lpwstr/>
      </vt:variant>
      <vt:variant>
        <vt:i4>6619258</vt:i4>
      </vt:variant>
      <vt:variant>
        <vt:i4>2070</vt:i4>
      </vt:variant>
      <vt:variant>
        <vt:i4>0</vt:i4>
      </vt:variant>
      <vt:variant>
        <vt:i4>5</vt:i4>
      </vt:variant>
      <vt:variant>
        <vt:lpwstr>https://www.itu.int/md/T17-TSAG-200921-TD-GEN-0818</vt:lpwstr>
      </vt:variant>
      <vt:variant>
        <vt:lpwstr/>
      </vt:variant>
      <vt:variant>
        <vt:i4>7078001</vt:i4>
      </vt:variant>
      <vt:variant>
        <vt:i4>2066</vt:i4>
      </vt:variant>
      <vt:variant>
        <vt:i4>0</vt:i4>
      </vt:variant>
      <vt:variant>
        <vt:i4>5</vt:i4>
      </vt:variant>
      <vt:variant>
        <vt:lpwstr>https://www.itu.int/md/T17-TSAG-190923-TD-GEN-0496</vt:lpwstr>
      </vt:variant>
      <vt:variant>
        <vt:lpwstr/>
      </vt:variant>
      <vt:variant>
        <vt:i4>3801102</vt:i4>
      </vt:variant>
      <vt:variant>
        <vt:i4>2064</vt:i4>
      </vt:variant>
      <vt:variant>
        <vt:i4>0</vt:i4>
      </vt:variant>
      <vt:variant>
        <vt:i4>5</vt:i4>
      </vt:variant>
      <vt:variant>
        <vt:lpwstr>https://www.itu.int/dms_pub/itu-t/md/17/tsag/td/181210/GEN/T17-TSAG-181210-TD-GEN-0360!!PDF-E.pdf</vt:lpwstr>
      </vt:variant>
      <vt:variant>
        <vt:lpwstr/>
      </vt:variant>
      <vt:variant>
        <vt:i4>7274612</vt:i4>
      </vt:variant>
      <vt:variant>
        <vt:i4>2061</vt:i4>
      </vt:variant>
      <vt:variant>
        <vt:i4>0</vt:i4>
      </vt:variant>
      <vt:variant>
        <vt:i4>5</vt:i4>
      </vt:variant>
      <vt:variant>
        <vt:lpwstr/>
      </vt:variant>
      <vt:variant>
        <vt:lpwstr>Top</vt:lpwstr>
      </vt:variant>
      <vt:variant>
        <vt:i4>7274612</vt:i4>
      </vt:variant>
      <vt:variant>
        <vt:i4>2058</vt:i4>
      </vt:variant>
      <vt:variant>
        <vt:i4>0</vt:i4>
      </vt:variant>
      <vt:variant>
        <vt:i4>5</vt:i4>
      </vt:variant>
      <vt:variant>
        <vt:lpwstr/>
      </vt:variant>
      <vt:variant>
        <vt:lpwstr>Top</vt:lpwstr>
      </vt:variant>
      <vt:variant>
        <vt:i4>5308435</vt:i4>
      </vt:variant>
      <vt:variant>
        <vt:i4>2055</vt:i4>
      </vt:variant>
      <vt:variant>
        <vt:i4>0</vt:i4>
      </vt:variant>
      <vt:variant>
        <vt:i4>5</vt:i4>
      </vt:variant>
      <vt:variant>
        <vt:lpwstr>https://www.itu.int/md/T17-SG11-211201-TD-GEN-1874/en</vt:lpwstr>
      </vt:variant>
      <vt:variant>
        <vt:lpwstr/>
      </vt:variant>
      <vt:variant>
        <vt:i4>7274612</vt:i4>
      </vt:variant>
      <vt:variant>
        <vt:i4>2052</vt:i4>
      </vt:variant>
      <vt:variant>
        <vt:i4>0</vt:i4>
      </vt:variant>
      <vt:variant>
        <vt:i4>5</vt:i4>
      </vt:variant>
      <vt:variant>
        <vt:lpwstr/>
      </vt:variant>
      <vt:variant>
        <vt:lpwstr>Top</vt:lpwstr>
      </vt:variant>
      <vt:variant>
        <vt:i4>7012472</vt:i4>
      </vt:variant>
      <vt:variant>
        <vt:i4>2049</vt:i4>
      </vt:variant>
      <vt:variant>
        <vt:i4>0</vt:i4>
      </vt:variant>
      <vt:variant>
        <vt:i4>5</vt:i4>
      </vt:variant>
      <vt:variant>
        <vt:lpwstr>https://www.itu.int/md/T17-TSAG-211025-TD-GEN-1032</vt:lpwstr>
      </vt:variant>
      <vt:variant>
        <vt:lpwstr/>
      </vt:variant>
      <vt:variant>
        <vt:i4>2818169</vt:i4>
      </vt:variant>
      <vt:variant>
        <vt:i4>2046</vt:i4>
      </vt:variant>
      <vt:variant>
        <vt:i4>0</vt:i4>
      </vt:variant>
      <vt:variant>
        <vt:i4>5</vt:i4>
      </vt:variant>
      <vt:variant>
        <vt:lpwstr>https://www.itu.int/md/meetingdoc.asp?lang=en&amp;parent=S21-CL-C-0033</vt:lpwstr>
      </vt:variant>
      <vt:variant>
        <vt:lpwstr/>
      </vt:variant>
      <vt:variant>
        <vt:i4>2752633</vt:i4>
      </vt:variant>
      <vt:variant>
        <vt:i4>2043</vt:i4>
      </vt:variant>
      <vt:variant>
        <vt:i4>0</vt:i4>
      </vt:variant>
      <vt:variant>
        <vt:i4>5</vt:i4>
      </vt:variant>
      <vt:variant>
        <vt:lpwstr>https://www.itu.int/md/meetingdoc.asp?lang=en&amp;parent=S20-CL-C-0033</vt:lpwstr>
      </vt:variant>
      <vt:variant>
        <vt:lpwstr/>
      </vt:variant>
      <vt:variant>
        <vt:i4>2293882</vt:i4>
      </vt:variant>
      <vt:variant>
        <vt:i4>2040</vt:i4>
      </vt:variant>
      <vt:variant>
        <vt:i4>0</vt:i4>
      </vt:variant>
      <vt:variant>
        <vt:i4>5</vt:i4>
      </vt:variant>
      <vt:variant>
        <vt:lpwstr>https://www.itu.int/md/meetingdoc.asp?lang=en&amp;parent=S19-CL-C-0033</vt:lpwstr>
      </vt:variant>
      <vt:variant>
        <vt:lpwstr/>
      </vt:variant>
      <vt:variant>
        <vt:i4>7929916</vt:i4>
      </vt:variant>
      <vt:variant>
        <vt:i4>2037</vt:i4>
      </vt:variant>
      <vt:variant>
        <vt:i4>0</vt:i4>
      </vt:variant>
      <vt:variant>
        <vt:i4>5</vt:i4>
      </vt:variant>
      <vt:variant>
        <vt:lpwstr>https://www.itu.int/md/S18-CL-C-0033/en</vt:lpwstr>
      </vt:variant>
      <vt:variant>
        <vt:lpwstr/>
      </vt:variant>
      <vt:variant>
        <vt:i4>2949242</vt:i4>
      </vt:variant>
      <vt:variant>
        <vt:i4>2034</vt:i4>
      </vt:variant>
      <vt:variant>
        <vt:i4>0</vt:i4>
      </vt:variant>
      <vt:variant>
        <vt:i4>5</vt:i4>
      </vt:variant>
      <vt:variant>
        <vt:lpwstr>https://www.itu.int/md/meetingdoc.asp?lang=en&amp;parent=S17-CL-C-0033</vt:lpwstr>
      </vt:variant>
      <vt:variant>
        <vt:lpwstr/>
      </vt:variant>
      <vt:variant>
        <vt:i4>983134</vt:i4>
      </vt:variant>
      <vt:variant>
        <vt:i4>2031</vt:i4>
      </vt:variant>
      <vt:variant>
        <vt:i4>0</vt:i4>
      </vt:variant>
      <vt:variant>
        <vt:i4>5</vt:i4>
      </vt:variant>
      <vt:variant>
        <vt:lpwstr>https://www.itu.int/en/ITU-D/Regional-Presence/AsiaPacific/Pages/Events/2018/ssceg2018/home.aspx</vt:lpwstr>
      </vt:variant>
      <vt:variant>
        <vt:lpwstr/>
      </vt:variant>
      <vt:variant>
        <vt:i4>5111831</vt:i4>
      </vt:variant>
      <vt:variant>
        <vt:i4>2028</vt:i4>
      </vt:variant>
      <vt:variant>
        <vt:i4>0</vt:i4>
      </vt:variant>
      <vt:variant>
        <vt:i4>5</vt:i4>
      </vt:variant>
      <vt:variant>
        <vt:lpwstr>https://www.itu.int/en/ITU-D/Regional-Presence/CIS/Pages/EVENTS/2019/02_Minsk/02_Minsk.aspx</vt:lpwstr>
      </vt:variant>
      <vt:variant>
        <vt:lpwstr/>
      </vt:variant>
      <vt:variant>
        <vt:i4>196685</vt:i4>
      </vt:variant>
      <vt:variant>
        <vt:i4>2025</vt:i4>
      </vt:variant>
      <vt:variant>
        <vt:i4>0</vt:i4>
      </vt:variant>
      <vt:variant>
        <vt:i4>5</vt:i4>
      </vt:variant>
      <vt:variant>
        <vt:lpwstr>https://www.itu.int/en/ITU-T/ipv6/Pages/default.aspx</vt:lpwstr>
      </vt:variant>
      <vt:variant>
        <vt:lpwstr/>
      </vt:variant>
      <vt:variant>
        <vt:i4>2818169</vt:i4>
      </vt:variant>
      <vt:variant>
        <vt:i4>2022</vt:i4>
      </vt:variant>
      <vt:variant>
        <vt:i4>0</vt:i4>
      </vt:variant>
      <vt:variant>
        <vt:i4>5</vt:i4>
      </vt:variant>
      <vt:variant>
        <vt:lpwstr>https://www.itu.int/md/meetingdoc.asp?lang=en&amp;parent=S21-CL-C-0033</vt:lpwstr>
      </vt:variant>
      <vt:variant>
        <vt:lpwstr/>
      </vt:variant>
      <vt:variant>
        <vt:i4>2752633</vt:i4>
      </vt:variant>
      <vt:variant>
        <vt:i4>2019</vt:i4>
      </vt:variant>
      <vt:variant>
        <vt:i4>0</vt:i4>
      </vt:variant>
      <vt:variant>
        <vt:i4>5</vt:i4>
      </vt:variant>
      <vt:variant>
        <vt:lpwstr>https://www.itu.int/md/meetingdoc.asp?lang=en&amp;parent=S20-CL-C-0033</vt:lpwstr>
      </vt:variant>
      <vt:variant>
        <vt:lpwstr/>
      </vt:variant>
      <vt:variant>
        <vt:i4>2293882</vt:i4>
      </vt:variant>
      <vt:variant>
        <vt:i4>2016</vt:i4>
      </vt:variant>
      <vt:variant>
        <vt:i4>0</vt:i4>
      </vt:variant>
      <vt:variant>
        <vt:i4>5</vt:i4>
      </vt:variant>
      <vt:variant>
        <vt:lpwstr>https://www.itu.int/md/meetingdoc.asp?lang=en&amp;parent=S19-CL-C-0033</vt:lpwstr>
      </vt:variant>
      <vt:variant>
        <vt:lpwstr/>
      </vt:variant>
      <vt:variant>
        <vt:i4>2228346</vt:i4>
      </vt:variant>
      <vt:variant>
        <vt:i4>2013</vt:i4>
      </vt:variant>
      <vt:variant>
        <vt:i4>0</vt:i4>
      </vt:variant>
      <vt:variant>
        <vt:i4>5</vt:i4>
      </vt:variant>
      <vt:variant>
        <vt:lpwstr>https://www.itu.int/md/meetingdoc.asp?lang=en&amp;parent=S18-CL-C-0033</vt:lpwstr>
      </vt:variant>
      <vt:variant>
        <vt:lpwstr/>
      </vt:variant>
      <vt:variant>
        <vt:i4>2949242</vt:i4>
      </vt:variant>
      <vt:variant>
        <vt:i4>2010</vt:i4>
      </vt:variant>
      <vt:variant>
        <vt:i4>0</vt:i4>
      </vt:variant>
      <vt:variant>
        <vt:i4>5</vt:i4>
      </vt:variant>
      <vt:variant>
        <vt:lpwstr>https://www.itu.int/md/meetingdoc.asp?lang=en&amp;parent=S17-CL-C-0033</vt:lpwstr>
      </vt:variant>
      <vt:variant>
        <vt:lpwstr/>
      </vt:variant>
      <vt:variant>
        <vt:i4>7471205</vt:i4>
      </vt:variant>
      <vt:variant>
        <vt:i4>2007</vt:i4>
      </vt:variant>
      <vt:variant>
        <vt:i4>0</vt:i4>
      </vt:variant>
      <vt:variant>
        <vt:i4>5</vt:i4>
      </vt:variant>
      <vt:variant>
        <vt:lpwstr>https://www.itu.int/md/meetingdoc.asp?lang=en&amp;parent=S21-RCLINTPOL16-C-0002</vt:lpwstr>
      </vt:variant>
      <vt:variant>
        <vt:lpwstr/>
      </vt:variant>
      <vt:variant>
        <vt:i4>7405669</vt:i4>
      </vt:variant>
      <vt:variant>
        <vt:i4>2004</vt:i4>
      </vt:variant>
      <vt:variant>
        <vt:i4>0</vt:i4>
      </vt:variant>
      <vt:variant>
        <vt:i4>5</vt:i4>
      </vt:variant>
      <vt:variant>
        <vt:lpwstr>https://www.itu.int/md/meetingdoc.asp?lang=en&amp;parent=S21-RCLINTPOL15-C-0002</vt:lpwstr>
      </vt:variant>
      <vt:variant>
        <vt:lpwstr/>
      </vt:variant>
      <vt:variant>
        <vt:i4>5177356</vt:i4>
      </vt:variant>
      <vt:variant>
        <vt:i4>2001</vt:i4>
      </vt:variant>
      <vt:variant>
        <vt:i4>0</vt:i4>
      </vt:variant>
      <vt:variant>
        <vt:i4>5</vt:i4>
      </vt:variant>
      <vt:variant>
        <vt:lpwstr>https://www.itu.int/md/S20-RCLINTPOL14-C-0002</vt:lpwstr>
      </vt:variant>
      <vt:variant>
        <vt:lpwstr/>
      </vt:variant>
      <vt:variant>
        <vt:i4>8323174</vt:i4>
      </vt:variant>
      <vt:variant>
        <vt:i4>1998</vt:i4>
      </vt:variant>
      <vt:variant>
        <vt:i4>0</vt:i4>
      </vt:variant>
      <vt:variant>
        <vt:i4>5</vt:i4>
      </vt:variant>
      <vt:variant>
        <vt:lpwstr>https://www.itu.int/md/meetingdoc.asp?lang=en&amp;parent=S19-RCLINTPOL13-C-0003</vt:lpwstr>
      </vt:variant>
      <vt:variant>
        <vt:lpwstr/>
      </vt:variant>
      <vt:variant>
        <vt:i4>8257638</vt:i4>
      </vt:variant>
      <vt:variant>
        <vt:i4>1995</vt:i4>
      </vt:variant>
      <vt:variant>
        <vt:i4>0</vt:i4>
      </vt:variant>
      <vt:variant>
        <vt:i4>5</vt:i4>
      </vt:variant>
      <vt:variant>
        <vt:lpwstr>https://www.itu.int/md/meetingdoc.asp?lang=en&amp;parent=S19-RCLINTPOL12-C-0002</vt:lpwstr>
      </vt:variant>
      <vt:variant>
        <vt:lpwstr/>
      </vt:variant>
      <vt:variant>
        <vt:i4>4325391</vt:i4>
      </vt:variant>
      <vt:variant>
        <vt:i4>1992</vt:i4>
      </vt:variant>
      <vt:variant>
        <vt:i4>0</vt:i4>
      </vt:variant>
      <vt:variant>
        <vt:i4>5</vt:i4>
      </vt:variant>
      <vt:variant>
        <vt:lpwstr>https://www.itu.int/md/S18-RCLINTPOL11-C-0002</vt:lpwstr>
      </vt:variant>
      <vt:variant>
        <vt:lpwstr/>
      </vt:variant>
      <vt:variant>
        <vt:i4>7471206</vt:i4>
      </vt:variant>
      <vt:variant>
        <vt:i4>1989</vt:i4>
      </vt:variant>
      <vt:variant>
        <vt:i4>0</vt:i4>
      </vt:variant>
      <vt:variant>
        <vt:i4>5</vt:i4>
      </vt:variant>
      <vt:variant>
        <vt:lpwstr>https://www.itu.int/md/meetingdoc.asp?lang=en&amp;parent=S17-RCLINTPOL10-C-0002</vt:lpwstr>
      </vt:variant>
      <vt:variant>
        <vt:lpwstr/>
      </vt:variant>
      <vt:variant>
        <vt:i4>2293821</vt:i4>
      </vt:variant>
      <vt:variant>
        <vt:i4>1986</vt:i4>
      </vt:variant>
      <vt:variant>
        <vt:i4>0</vt:i4>
      </vt:variant>
      <vt:variant>
        <vt:i4>5</vt:i4>
      </vt:variant>
      <vt:variant>
        <vt:lpwstr>https://www.itu.int/md/meetingdoc.asp?lang=en&amp;parent=S17-RCLINTPOL9-C-0002</vt:lpwstr>
      </vt:variant>
      <vt:variant>
        <vt:lpwstr/>
      </vt:variant>
      <vt:variant>
        <vt:i4>5636118</vt:i4>
      </vt:variant>
      <vt:variant>
        <vt:i4>1983</vt:i4>
      </vt:variant>
      <vt:variant>
        <vt:i4>0</vt:i4>
      </vt:variant>
      <vt:variant>
        <vt:i4>5</vt:i4>
      </vt:variant>
      <vt:variant>
        <vt:lpwstr>https://www.itu.int/md/T17-SG02-180704-TD-GEN-0427/en</vt:lpwstr>
      </vt:variant>
      <vt:variant>
        <vt:lpwstr/>
      </vt:variant>
      <vt:variant>
        <vt:i4>5767188</vt:i4>
      </vt:variant>
      <vt:variant>
        <vt:i4>1980</vt:i4>
      </vt:variant>
      <vt:variant>
        <vt:i4>0</vt:i4>
      </vt:variant>
      <vt:variant>
        <vt:i4>5</vt:i4>
      </vt:variant>
      <vt:variant>
        <vt:lpwstr>https://www.itu.int/md/T17-SG02-190219-TD-GEN-0612/en</vt:lpwstr>
      </vt:variant>
      <vt:variant>
        <vt:lpwstr/>
      </vt:variant>
      <vt:variant>
        <vt:i4>5832725</vt:i4>
      </vt:variant>
      <vt:variant>
        <vt:i4>1977</vt:i4>
      </vt:variant>
      <vt:variant>
        <vt:i4>0</vt:i4>
      </vt:variant>
      <vt:variant>
        <vt:i4>5</vt:i4>
      </vt:variant>
      <vt:variant>
        <vt:lpwstr>https://www.itu.int/md/T17-SG02-180704-TD-GEN-0519/en</vt:lpwstr>
      </vt:variant>
      <vt:variant>
        <vt:lpwstr/>
      </vt:variant>
      <vt:variant>
        <vt:i4>5832721</vt:i4>
      </vt:variant>
      <vt:variant>
        <vt:i4>1974</vt:i4>
      </vt:variant>
      <vt:variant>
        <vt:i4>0</vt:i4>
      </vt:variant>
      <vt:variant>
        <vt:i4>5</vt:i4>
      </vt:variant>
      <vt:variant>
        <vt:lpwstr>https://www.itu.int/md/T17-SG02-180704-TD-GEN-0458/en</vt:lpwstr>
      </vt:variant>
      <vt:variant>
        <vt:lpwstr/>
      </vt:variant>
      <vt:variant>
        <vt:i4>6160413</vt:i4>
      </vt:variant>
      <vt:variant>
        <vt:i4>1971</vt:i4>
      </vt:variant>
      <vt:variant>
        <vt:i4>0</vt:i4>
      </vt:variant>
      <vt:variant>
        <vt:i4>5</vt:i4>
      </vt:variant>
      <vt:variant>
        <vt:lpwstr>https://www.itu.int/md/T17-SG02-180704-TD-GEN-0398/en</vt:lpwstr>
      </vt:variant>
      <vt:variant>
        <vt:lpwstr/>
      </vt:variant>
      <vt:variant>
        <vt:i4>7274612</vt:i4>
      </vt:variant>
      <vt:variant>
        <vt:i4>1968</vt:i4>
      </vt:variant>
      <vt:variant>
        <vt:i4>0</vt:i4>
      </vt:variant>
      <vt:variant>
        <vt:i4>5</vt:i4>
      </vt:variant>
      <vt:variant>
        <vt:lpwstr/>
      </vt:variant>
      <vt:variant>
        <vt:lpwstr>Top</vt:lpwstr>
      </vt:variant>
      <vt:variant>
        <vt:i4>7274612</vt:i4>
      </vt:variant>
      <vt:variant>
        <vt:i4>1965</vt:i4>
      </vt:variant>
      <vt:variant>
        <vt:i4>0</vt:i4>
      </vt:variant>
      <vt:variant>
        <vt:i4>5</vt:i4>
      </vt:variant>
      <vt:variant>
        <vt:lpwstr/>
      </vt:variant>
      <vt:variant>
        <vt:lpwstr>Top</vt:lpwstr>
      </vt:variant>
      <vt:variant>
        <vt:i4>7274612</vt:i4>
      </vt:variant>
      <vt:variant>
        <vt:i4>1962</vt:i4>
      </vt:variant>
      <vt:variant>
        <vt:i4>0</vt:i4>
      </vt:variant>
      <vt:variant>
        <vt:i4>5</vt:i4>
      </vt:variant>
      <vt:variant>
        <vt:lpwstr/>
      </vt:variant>
      <vt:variant>
        <vt:lpwstr>Top</vt:lpwstr>
      </vt:variant>
      <vt:variant>
        <vt:i4>7274612</vt:i4>
      </vt:variant>
      <vt:variant>
        <vt:i4>1959</vt:i4>
      </vt:variant>
      <vt:variant>
        <vt:i4>0</vt:i4>
      </vt:variant>
      <vt:variant>
        <vt:i4>5</vt:i4>
      </vt:variant>
      <vt:variant>
        <vt:lpwstr/>
      </vt:variant>
      <vt:variant>
        <vt:lpwstr>Top</vt:lpwstr>
      </vt:variant>
      <vt:variant>
        <vt:i4>7274612</vt:i4>
      </vt:variant>
      <vt:variant>
        <vt:i4>1956</vt:i4>
      </vt:variant>
      <vt:variant>
        <vt:i4>0</vt:i4>
      </vt:variant>
      <vt:variant>
        <vt:i4>5</vt:i4>
      </vt:variant>
      <vt:variant>
        <vt:lpwstr/>
      </vt:variant>
      <vt:variant>
        <vt:lpwstr>Top</vt:lpwstr>
      </vt:variant>
      <vt:variant>
        <vt:i4>6488180</vt:i4>
      </vt:variant>
      <vt:variant>
        <vt:i4>1953</vt:i4>
      </vt:variant>
      <vt:variant>
        <vt:i4>0</vt:i4>
      </vt:variant>
      <vt:variant>
        <vt:i4>5</vt:i4>
      </vt:variant>
      <vt:variant>
        <vt:lpwstr>https://www.research.net/r/ITUTSG17CDCX1060</vt:lpwstr>
      </vt:variant>
      <vt:variant>
        <vt:lpwstr/>
      </vt:variant>
      <vt:variant>
        <vt:i4>7995506</vt:i4>
      </vt:variant>
      <vt:variant>
        <vt:i4>1950</vt:i4>
      </vt:variant>
      <vt:variant>
        <vt:i4>0</vt:i4>
      </vt:variant>
      <vt:variant>
        <vt:i4>5</vt:i4>
      </vt:variant>
      <vt:variant>
        <vt:lpwstr>http://www.itu.int/ITU-T/studygroups/com17/nfvo/index.html</vt:lpwstr>
      </vt:variant>
      <vt:variant>
        <vt:lpwstr/>
      </vt:variant>
      <vt:variant>
        <vt:i4>7274612</vt:i4>
      </vt:variant>
      <vt:variant>
        <vt:i4>1947</vt:i4>
      </vt:variant>
      <vt:variant>
        <vt:i4>0</vt:i4>
      </vt:variant>
      <vt:variant>
        <vt:i4>5</vt:i4>
      </vt:variant>
      <vt:variant>
        <vt:lpwstr/>
      </vt:variant>
      <vt:variant>
        <vt:lpwstr>Top</vt:lpwstr>
      </vt:variant>
      <vt:variant>
        <vt:i4>7078008</vt:i4>
      </vt:variant>
      <vt:variant>
        <vt:i4>1944</vt:i4>
      </vt:variant>
      <vt:variant>
        <vt:i4>0</vt:i4>
      </vt:variant>
      <vt:variant>
        <vt:i4>5</vt:i4>
      </vt:variant>
      <vt:variant>
        <vt:lpwstr>http://www.itu.int/en/ITU-T/wise/Pages/default.aspx</vt:lpwstr>
      </vt:variant>
      <vt:variant>
        <vt:lpwstr/>
      </vt:variant>
      <vt:variant>
        <vt:i4>7274612</vt:i4>
      </vt:variant>
      <vt:variant>
        <vt:i4>1941</vt:i4>
      </vt:variant>
      <vt:variant>
        <vt:i4>0</vt:i4>
      </vt:variant>
      <vt:variant>
        <vt:i4>5</vt:i4>
      </vt:variant>
      <vt:variant>
        <vt:lpwstr/>
      </vt:variant>
      <vt:variant>
        <vt:lpwstr>Top</vt:lpwstr>
      </vt:variant>
      <vt:variant>
        <vt:i4>6160401</vt:i4>
      </vt:variant>
      <vt:variant>
        <vt:i4>1938</vt:i4>
      </vt:variant>
      <vt:variant>
        <vt:i4>0</vt:i4>
      </vt:variant>
      <vt:variant>
        <vt:i4>5</vt:i4>
      </vt:variant>
      <vt:variant>
        <vt:lpwstr>https://www.itu.int/md/meetingdoc.asp?lang=en&amp;parent=T17-TSAG-181210-TD-GEN-0324</vt:lpwstr>
      </vt:variant>
      <vt:variant>
        <vt:lpwstr/>
      </vt:variant>
      <vt:variant>
        <vt:i4>6422563</vt:i4>
      </vt:variant>
      <vt:variant>
        <vt:i4>1935</vt:i4>
      </vt:variant>
      <vt:variant>
        <vt:i4>0</vt:i4>
      </vt:variant>
      <vt:variant>
        <vt:i4>5</vt:i4>
      </vt:variant>
      <vt:variant>
        <vt:lpwstr>https://www.itu.int/en/ITU-T/Workshops-and-Seminars/20190903/Pages/default.aspx</vt:lpwstr>
      </vt:variant>
      <vt:variant>
        <vt:lpwstr/>
      </vt:variant>
      <vt:variant>
        <vt:i4>7077931</vt:i4>
      </vt:variant>
      <vt:variant>
        <vt:i4>1932</vt:i4>
      </vt:variant>
      <vt:variant>
        <vt:i4>0</vt:i4>
      </vt:variant>
      <vt:variant>
        <vt:i4>5</vt:i4>
      </vt:variant>
      <vt:variant>
        <vt:lpwstr>https://www.itu.int/en/ITU-T/studygroups/2017-2020/09/Wuhan-WSP/Pages/default.aspx</vt:lpwstr>
      </vt:variant>
      <vt:variant>
        <vt:lpwstr/>
      </vt:variant>
      <vt:variant>
        <vt:i4>5767186</vt:i4>
      </vt:variant>
      <vt:variant>
        <vt:i4>1929</vt:i4>
      </vt:variant>
      <vt:variant>
        <vt:i4>0</vt:i4>
      </vt:variant>
      <vt:variant>
        <vt:i4>5</vt:i4>
      </vt:variant>
      <vt:variant>
        <vt:lpwstr>https://www.itu.int/en/ITU-T/Workshops-and-Seminars/201811/Pages/default.aspx</vt:lpwstr>
      </vt:variant>
      <vt:variant>
        <vt:lpwstr/>
      </vt:variant>
      <vt:variant>
        <vt:i4>5439507</vt:i4>
      </vt:variant>
      <vt:variant>
        <vt:i4>1926</vt:i4>
      </vt:variant>
      <vt:variant>
        <vt:i4>0</vt:i4>
      </vt:variant>
      <vt:variant>
        <vt:i4>5</vt:i4>
      </vt:variant>
      <vt:variant>
        <vt:lpwstr>https://www.itu.int/en/ITU-T/Workshops-and-Seminars/201705/Pages/default.aspx</vt:lpwstr>
      </vt:variant>
      <vt:variant>
        <vt:lpwstr/>
      </vt:variant>
      <vt:variant>
        <vt:i4>6750243</vt:i4>
      </vt:variant>
      <vt:variant>
        <vt:i4>1923</vt:i4>
      </vt:variant>
      <vt:variant>
        <vt:i4>0</vt:i4>
      </vt:variant>
      <vt:variant>
        <vt:i4>5</vt:i4>
      </vt:variant>
      <vt:variant>
        <vt:lpwstr>https://www.itu.int/en/ITU-T/Workshops-and-Seminars/20170405/Pages/default.aspx</vt:lpwstr>
      </vt:variant>
      <vt:variant>
        <vt:lpwstr/>
      </vt:variant>
      <vt:variant>
        <vt:i4>7208993</vt:i4>
      </vt:variant>
      <vt:variant>
        <vt:i4>1920</vt:i4>
      </vt:variant>
      <vt:variant>
        <vt:i4>0</vt:i4>
      </vt:variant>
      <vt:variant>
        <vt:i4>5</vt:i4>
      </vt:variant>
      <vt:variant>
        <vt:lpwstr>https://www.itu.int/en/ITU-T/Workshops-and-Seminars/20180423/Pages/default.aspx</vt:lpwstr>
      </vt:variant>
      <vt:variant>
        <vt:lpwstr/>
      </vt:variant>
      <vt:variant>
        <vt:i4>5308435</vt:i4>
      </vt:variant>
      <vt:variant>
        <vt:i4>1917</vt:i4>
      </vt:variant>
      <vt:variant>
        <vt:i4>0</vt:i4>
      </vt:variant>
      <vt:variant>
        <vt:i4>5</vt:i4>
      </vt:variant>
      <vt:variant>
        <vt:lpwstr>https://www.itu.int/en/ITU-T/Workshops-and-Seminars/201909/Pages/default.aspx</vt:lpwstr>
      </vt:variant>
      <vt:variant>
        <vt:lpwstr/>
      </vt:variant>
      <vt:variant>
        <vt:i4>4194327</vt:i4>
      </vt:variant>
      <vt:variant>
        <vt:i4>1914</vt:i4>
      </vt:variant>
      <vt:variant>
        <vt:i4>0</vt:i4>
      </vt:variant>
      <vt:variant>
        <vt:i4>5</vt:i4>
      </vt:variant>
      <vt:variant>
        <vt:lpwstr>https://www.itu.int/en/ITU-D/Regional-Presence/CIS/Pages/Events/2017/06_Saint_Petersburg/06_Saint_Petersburg.aspx</vt:lpwstr>
      </vt:variant>
      <vt:variant>
        <vt:lpwstr/>
      </vt:variant>
      <vt:variant>
        <vt:i4>7012387</vt:i4>
      </vt:variant>
      <vt:variant>
        <vt:i4>1911</vt:i4>
      </vt:variant>
      <vt:variant>
        <vt:i4>0</vt:i4>
      </vt:variant>
      <vt:variant>
        <vt:i4>5</vt:i4>
      </vt:variant>
      <vt:variant>
        <vt:lpwstr>https://www.itu.int/en/ITU-T/Workshops-and-Seminars/20180604/Pages/default.aspx</vt:lpwstr>
      </vt:variant>
      <vt:variant>
        <vt:lpwstr/>
      </vt:variant>
      <vt:variant>
        <vt:i4>5111831</vt:i4>
      </vt:variant>
      <vt:variant>
        <vt:i4>1908</vt:i4>
      </vt:variant>
      <vt:variant>
        <vt:i4>0</vt:i4>
      </vt:variant>
      <vt:variant>
        <vt:i4>5</vt:i4>
      </vt:variant>
      <vt:variant>
        <vt:lpwstr>https://www.itu.int/en/ITU-D/Regional-Presence/CIS/Pages/EVENTS/2019/02_Minsk/02_Minsk.aspx</vt:lpwstr>
      </vt:variant>
      <vt:variant>
        <vt:lpwstr/>
      </vt:variant>
      <vt:variant>
        <vt:i4>3276838</vt:i4>
      </vt:variant>
      <vt:variant>
        <vt:i4>1905</vt:i4>
      </vt:variant>
      <vt:variant>
        <vt:i4>0</vt:i4>
      </vt:variant>
      <vt:variant>
        <vt:i4>5</vt:i4>
      </vt:variant>
      <vt:variant>
        <vt:lpwstr>https://www.itu.int/en/ITU-T/Workshops-and-Seminars/bsg/20180205/Pages/default.aspx</vt:lpwstr>
      </vt:variant>
      <vt:variant>
        <vt:lpwstr/>
      </vt:variant>
      <vt:variant>
        <vt:i4>196630</vt:i4>
      </vt:variant>
      <vt:variant>
        <vt:i4>1902</vt:i4>
      </vt:variant>
      <vt:variant>
        <vt:i4>0</vt:i4>
      </vt:variant>
      <vt:variant>
        <vt:i4>5</vt:i4>
      </vt:variant>
      <vt:variant>
        <vt:lpwstr>https://www.itu.int/en/ITU-T/Workshops-and-Seminars/bsg/201806/Pages/default.aspx</vt:lpwstr>
      </vt:variant>
      <vt:variant>
        <vt:lpwstr/>
      </vt:variant>
      <vt:variant>
        <vt:i4>5373962</vt:i4>
      </vt:variant>
      <vt:variant>
        <vt:i4>1899</vt:i4>
      </vt:variant>
      <vt:variant>
        <vt:i4>0</vt:i4>
      </vt:variant>
      <vt:variant>
        <vt:i4>5</vt:i4>
      </vt:variant>
      <vt:variant>
        <vt:lpwstr>https://www.itu.int/en/ITU-D/Regional-Presence/CIS/Pages/Events/2018/10_Samarkand/10_Samarkand.aspx</vt:lpwstr>
      </vt:variant>
      <vt:variant>
        <vt:lpwstr/>
      </vt:variant>
      <vt:variant>
        <vt:i4>524311</vt:i4>
      </vt:variant>
      <vt:variant>
        <vt:i4>1896</vt:i4>
      </vt:variant>
      <vt:variant>
        <vt:i4>0</vt:i4>
      </vt:variant>
      <vt:variant>
        <vt:i4>5</vt:i4>
      </vt:variant>
      <vt:variant>
        <vt:lpwstr>https://www.itu.int/en/ITU-T/Workshops-and-Seminars/bsg/201712/Pages/default.aspx</vt:lpwstr>
      </vt:variant>
      <vt:variant>
        <vt:lpwstr/>
      </vt:variant>
      <vt:variant>
        <vt:i4>524311</vt:i4>
      </vt:variant>
      <vt:variant>
        <vt:i4>1893</vt:i4>
      </vt:variant>
      <vt:variant>
        <vt:i4>0</vt:i4>
      </vt:variant>
      <vt:variant>
        <vt:i4>5</vt:i4>
      </vt:variant>
      <vt:variant>
        <vt:lpwstr>https://www.itu.int/en/ITU-T/Workshops-and-Seminars/bsg/201712/Pages/default.aspx</vt:lpwstr>
      </vt:variant>
      <vt:variant>
        <vt:lpwstr/>
      </vt:variant>
      <vt:variant>
        <vt:i4>524311</vt:i4>
      </vt:variant>
      <vt:variant>
        <vt:i4>1890</vt:i4>
      </vt:variant>
      <vt:variant>
        <vt:i4>0</vt:i4>
      </vt:variant>
      <vt:variant>
        <vt:i4>5</vt:i4>
      </vt:variant>
      <vt:variant>
        <vt:lpwstr>https://www.itu.int/en/ITU-T/Workshops-and-Seminars/bsg/201712/Pages/default.aspx</vt:lpwstr>
      </vt:variant>
      <vt:variant>
        <vt:lpwstr/>
      </vt:variant>
      <vt:variant>
        <vt:i4>524311</vt:i4>
      </vt:variant>
      <vt:variant>
        <vt:i4>1887</vt:i4>
      </vt:variant>
      <vt:variant>
        <vt:i4>0</vt:i4>
      </vt:variant>
      <vt:variant>
        <vt:i4>5</vt:i4>
      </vt:variant>
      <vt:variant>
        <vt:lpwstr>https://www.itu.int/en/ITU-T/Workshops-and-Seminars/bsg/201712/Pages/default.aspx</vt:lpwstr>
      </vt:variant>
      <vt:variant>
        <vt:lpwstr/>
      </vt:variant>
      <vt:variant>
        <vt:i4>524311</vt:i4>
      </vt:variant>
      <vt:variant>
        <vt:i4>1884</vt:i4>
      </vt:variant>
      <vt:variant>
        <vt:i4>0</vt:i4>
      </vt:variant>
      <vt:variant>
        <vt:i4>5</vt:i4>
      </vt:variant>
      <vt:variant>
        <vt:lpwstr>https://www.itu.int/en/ITU-T/Workshops-and-Seminars/bsg/201712/Pages/default.aspx</vt:lpwstr>
      </vt:variant>
      <vt:variant>
        <vt:lpwstr/>
      </vt:variant>
      <vt:variant>
        <vt:i4>524311</vt:i4>
      </vt:variant>
      <vt:variant>
        <vt:i4>1881</vt:i4>
      </vt:variant>
      <vt:variant>
        <vt:i4>0</vt:i4>
      </vt:variant>
      <vt:variant>
        <vt:i4>5</vt:i4>
      </vt:variant>
      <vt:variant>
        <vt:lpwstr>https://www.itu.int/en/ITU-T/Workshops-and-Seminars/bsg/201712/Pages/default.aspx</vt:lpwstr>
      </vt:variant>
      <vt:variant>
        <vt:lpwstr/>
      </vt:variant>
      <vt:variant>
        <vt:i4>720919</vt:i4>
      </vt:variant>
      <vt:variant>
        <vt:i4>1878</vt:i4>
      </vt:variant>
      <vt:variant>
        <vt:i4>0</vt:i4>
      </vt:variant>
      <vt:variant>
        <vt:i4>5</vt:i4>
      </vt:variant>
      <vt:variant>
        <vt:lpwstr>https://www.itu.int/en/ITU-T/Workshops-and-Seminars/bsg/112017/Pages/default.aspx</vt:lpwstr>
      </vt:variant>
      <vt:variant>
        <vt:lpwstr/>
      </vt:variant>
      <vt:variant>
        <vt:i4>720919</vt:i4>
      </vt:variant>
      <vt:variant>
        <vt:i4>1875</vt:i4>
      </vt:variant>
      <vt:variant>
        <vt:i4>0</vt:i4>
      </vt:variant>
      <vt:variant>
        <vt:i4>5</vt:i4>
      </vt:variant>
      <vt:variant>
        <vt:lpwstr>https://www.itu.int/en/ITU-T/Workshops-and-Seminars/bsg/112017/Pages/default.aspx</vt:lpwstr>
      </vt:variant>
      <vt:variant>
        <vt:lpwstr/>
      </vt:variant>
      <vt:variant>
        <vt:i4>720919</vt:i4>
      </vt:variant>
      <vt:variant>
        <vt:i4>1872</vt:i4>
      </vt:variant>
      <vt:variant>
        <vt:i4>0</vt:i4>
      </vt:variant>
      <vt:variant>
        <vt:i4>5</vt:i4>
      </vt:variant>
      <vt:variant>
        <vt:lpwstr>https://www.itu.int/en/ITU-T/Workshops-and-Seminars/bsg/112017/Pages/default.aspx</vt:lpwstr>
      </vt:variant>
      <vt:variant>
        <vt:lpwstr/>
      </vt:variant>
      <vt:variant>
        <vt:i4>655383</vt:i4>
      </vt:variant>
      <vt:variant>
        <vt:i4>1869</vt:i4>
      </vt:variant>
      <vt:variant>
        <vt:i4>0</vt:i4>
      </vt:variant>
      <vt:variant>
        <vt:i4>5</vt:i4>
      </vt:variant>
      <vt:variant>
        <vt:lpwstr>https://www.itu.int/en/ITU-T/Workshops-and-Seminars/bsg/201710/Pages/default.aspx</vt:lpwstr>
      </vt:variant>
      <vt:variant>
        <vt:lpwstr/>
      </vt:variant>
      <vt:variant>
        <vt:i4>655383</vt:i4>
      </vt:variant>
      <vt:variant>
        <vt:i4>1866</vt:i4>
      </vt:variant>
      <vt:variant>
        <vt:i4>0</vt:i4>
      </vt:variant>
      <vt:variant>
        <vt:i4>5</vt:i4>
      </vt:variant>
      <vt:variant>
        <vt:lpwstr>https://www.itu.int/en/ITU-T/Workshops-and-Seminars/bsg/201710/Pages/default.aspx</vt:lpwstr>
      </vt:variant>
      <vt:variant>
        <vt:lpwstr/>
      </vt:variant>
      <vt:variant>
        <vt:i4>655383</vt:i4>
      </vt:variant>
      <vt:variant>
        <vt:i4>1863</vt:i4>
      </vt:variant>
      <vt:variant>
        <vt:i4>0</vt:i4>
      </vt:variant>
      <vt:variant>
        <vt:i4>5</vt:i4>
      </vt:variant>
      <vt:variant>
        <vt:lpwstr>https://www.itu.int/en/ITU-T/Workshops-and-Seminars/bsg/201710/Pages/default.aspx</vt:lpwstr>
      </vt:variant>
      <vt:variant>
        <vt:lpwstr/>
      </vt:variant>
      <vt:variant>
        <vt:i4>655383</vt:i4>
      </vt:variant>
      <vt:variant>
        <vt:i4>1860</vt:i4>
      </vt:variant>
      <vt:variant>
        <vt:i4>0</vt:i4>
      </vt:variant>
      <vt:variant>
        <vt:i4>5</vt:i4>
      </vt:variant>
      <vt:variant>
        <vt:lpwstr>https://www.itu.int/en/ITU-T/Workshops-and-Seminars/bsg/201710/Pages/default.aspx</vt:lpwstr>
      </vt:variant>
      <vt:variant>
        <vt:lpwstr/>
      </vt:variant>
      <vt:variant>
        <vt:i4>655383</vt:i4>
      </vt:variant>
      <vt:variant>
        <vt:i4>1857</vt:i4>
      </vt:variant>
      <vt:variant>
        <vt:i4>0</vt:i4>
      </vt:variant>
      <vt:variant>
        <vt:i4>5</vt:i4>
      </vt:variant>
      <vt:variant>
        <vt:lpwstr>https://www.itu.int/en/ITU-T/Workshops-and-Seminars/bsg/201710/Pages/default.aspx</vt:lpwstr>
      </vt:variant>
      <vt:variant>
        <vt:lpwstr/>
      </vt:variant>
      <vt:variant>
        <vt:i4>589846</vt:i4>
      </vt:variant>
      <vt:variant>
        <vt:i4>1854</vt:i4>
      </vt:variant>
      <vt:variant>
        <vt:i4>0</vt:i4>
      </vt:variant>
      <vt:variant>
        <vt:i4>5</vt:i4>
      </vt:variant>
      <vt:variant>
        <vt:lpwstr>https://www.itu.int/en/ITU-T/Workshops-and-Seminars/bsg/201703/Pages/default.aspx</vt:lpwstr>
      </vt:variant>
      <vt:variant>
        <vt:lpwstr/>
      </vt:variant>
      <vt:variant>
        <vt:i4>589846</vt:i4>
      </vt:variant>
      <vt:variant>
        <vt:i4>1851</vt:i4>
      </vt:variant>
      <vt:variant>
        <vt:i4>0</vt:i4>
      </vt:variant>
      <vt:variant>
        <vt:i4>5</vt:i4>
      </vt:variant>
      <vt:variant>
        <vt:lpwstr>https://www.itu.int/en/ITU-T/Workshops-and-Seminars/bsg/201703/Pages/default.aspx</vt:lpwstr>
      </vt:variant>
      <vt:variant>
        <vt:lpwstr/>
      </vt:variant>
      <vt:variant>
        <vt:i4>589846</vt:i4>
      </vt:variant>
      <vt:variant>
        <vt:i4>1848</vt:i4>
      </vt:variant>
      <vt:variant>
        <vt:i4>0</vt:i4>
      </vt:variant>
      <vt:variant>
        <vt:i4>5</vt:i4>
      </vt:variant>
      <vt:variant>
        <vt:lpwstr>https://www.itu.int/en/ITU-T/Workshops-and-Seminars/bsg/201703/Pages/default.aspx</vt:lpwstr>
      </vt:variant>
      <vt:variant>
        <vt:lpwstr/>
      </vt:variant>
      <vt:variant>
        <vt:i4>589846</vt:i4>
      </vt:variant>
      <vt:variant>
        <vt:i4>1845</vt:i4>
      </vt:variant>
      <vt:variant>
        <vt:i4>0</vt:i4>
      </vt:variant>
      <vt:variant>
        <vt:i4>5</vt:i4>
      </vt:variant>
      <vt:variant>
        <vt:lpwstr>https://www.itu.int/en/ITU-T/Workshops-and-Seminars/bsg/201703/Pages/default.aspx</vt:lpwstr>
      </vt:variant>
      <vt:variant>
        <vt:lpwstr/>
      </vt:variant>
      <vt:variant>
        <vt:i4>65558</vt:i4>
      </vt:variant>
      <vt:variant>
        <vt:i4>1842</vt:i4>
      </vt:variant>
      <vt:variant>
        <vt:i4>0</vt:i4>
      </vt:variant>
      <vt:variant>
        <vt:i4>5</vt:i4>
      </vt:variant>
      <vt:variant>
        <vt:lpwstr>https://www.itu.int/en/ITU-T/Workshops-and-Seminars/bsg/2019040405/Pages/default.aspx</vt:lpwstr>
      </vt:variant>
      <vt:variant>
        <vt:lpwstr/>
      </vt:variant>
      <vt:variant>
        <vt:i4>3538981</vt:i4>
      </vt:variant>
      <vt:variant>
        <vt:i4>1839</vt:i4>
      </vt:variant>
      <vt:variant>
        <vt:i4>0</vt:i4>
      </vt:variant>
      <vt:variant>
        <vt:i4>5</vt:i4>
      </vt:variant>
      <vt:variant>
        <vt:lpwstr>https://www.itu.int/en/ITU-T/Workshops-and-Seminars/bsg/20191022/Pages/default.aspx</vt:lpwstr>
      </vt:variant>
      <vt:variant>
        <vt:lpwstr/>
      </vt:variant>
      <vt:variant>
        <vt:i4>262167</vt:i4>
      </vt:variant>
      <vt:variant>
        <vt:i4>1836</vt:i4>
      </vt:variant>
      <vt:variant>
        <vt:i4>0</vt:i4>
      </vt:variant>
      <vt:variant>
        <vt:i4>5</vt:i4>
      </vt:variant>
      <vt:variant>
        <vt:lpwstr>https://www.itu.int/en/ITU-T/Workshops-and-Seminars/bsg/201910/Pages/default.aspx</vt:lpwstr>
      </vt:variant>
      <vt:variant>
        <vt:lpwstr/>
      </vt:variant>
      <vt:variant>
        <vt:i4>7471220</vt:i4>
      </vt:variant>
      <vt:variant>
        <vt:i4>1833</vt:i4>
      </vt:variant>
      <vt:variant>
        <vt:i4>0</vt:i4>
      </vt:variant>
      <vt:variant>
        <vt:i4>5</vt:i4>
      </vt:variant>
      <vt:variant>
        <vt:lpwstr>https://www.itu.int/en/ITU-T/studygroups/2017-2020/13/sg13rgafr/Pages/default.aspx</vt:lpwstr>
      </vt:variant>
      <vt:variant>
        <vt:lpwstr/>
      </vt:variant>
      <vt:variant>
        <vt:i4>4587541</vt:i4>
      </vt:variant>
      <vt:variant>
        <vt:i4>1830</vt:i4>
      </vt:variant>
      <vt:variant>
        <vt:i4>0</vt:i4>
      </vt:variant>
      <vt:variant>
        <vt:i4>5</vt:i4>
      </vt:variant>
      <vt:variant>
        <vt:lpwstr>https://www.itu.int/en/ITU-D/Regional-Presence/CIS/Pages/EVENTS/2020/03_Minsk/03_Minsk.aspx</vt:lpwstr>
      </vt:variant>
      <vt:variant>
        <vt:lpwstr/>
      </vt:variant>
      <vt:variant>
        <vt:i4>6553715</vt:i4>
      </vt:variant>
      <vt:variant>
        <vt:i4>1827</vt:i4>
      </vt:variant>
      <vt:variant>
        <vt:i4>0</vt:i4>
      </vt:variant>
      <vt:variant>
        <vt:i4>5</vt:i4>
      </vt:variant>
      <vt:variant>
        <vt:lpwstr>https://www.itu.int/en/ITU-T/Workshops-and-Seminars/bsg</vt:lpwstr>
      </vt:variant>
      <vt:variant>
        <vt:lpwstr/>
      </vt:variant>
      <vt:variant>
        <vt:i4>7929981</vt:i4>
      </vt:variant>
      <vt:variant>
        <vt:i4>1824</vt:i4>
      </vt:variant>
      <vt:variant>
        <vt:i4>0</vt:i4>
      </vt:variant>
      <vt:variant>
        <vt:i4>5</vt:i4>
      </vt:variant>
      <vt:variant>
        <vt:lpwstr>https://www.itu.int/en/ITU-T/climatechange/Pages/20210602.aspx</vt:lpwstr>
      </vt:variant>
      <vt:variant>
        <vt:lpwstr/>
      </vt:variant>
      <vt:variant>
        <vt:i4>6946853</vt:i4>
      </vt:variant>
      <vt:variant>
        <vt:i4>1821</vt:i4>
      </vt:variant>
      <vt:variant>
        <vt:i4>0</vt:i4>
      </vt:variant>
      <vt:variant>
        <vt:i4>5</vt:i4>
      </vt:variant>
      <vt:variant>
        <vt:lpwstr>https://www.itu.int/en/ITU-T/webinars/Pages/dt4cc.aspx</vt:lpwstr>
      </vt:variant>
      <vt:variant>
        <vt:lpwstr/>
      </vt:variant>
      <vt:variant>
        <vt:i4>852048</vt:i4>
      </vt:variant>
      <vt:variant>
        <vt:i4>1818</vt:i4>
      </vt:variant>
      <vt:variant>
        <vt:i4>0</vt:i4>
      </vt:variant>
      <vt:variant>
        <vt:i4>5</vt:i4>
      </vt:variant>
      <vt:variant>
        <vt:lpwstr>https://www.itu.int/en/ITU-T/webinars/20210920/Pages/default.aspx</vt:lpwstr>
      </vt:variant>
      <vt:variant>
        <vt:lpwstr/>
      </vt:variant>
      <vt:variant>
        <vt:i4>4980741</vt:i4>
      </vt:variant>
      <vt:variant>
        <vt:i4>1815</vt:i4>
      </vt:variant>
      <vt:variant>
        <vt:i4>0</vt:i4>
      </vt:variant>
      <vt:variant>
        <vt:i4>5</vt:i4>
      </vt:variant>
      <vt:variant>
        <vt:lpwstr>https://www.itu.int/en/ITU-D/Regional-Presence/CIS/Pages/Events/2021/SPB-Oct.aspx</vt:lpwstr>
      </vt:variant>
      <vt:variant>
        <vt:lpwstr/>
      </vt:variant>
      <vt:variant>
        <vt:i4>4980777</vt:i4>
      </vt:variant>
      <vt:variant>
        <vt:i4>1812</vt:i4>
      </vt:variant>
      <vt:variant>
        <vt:i4>0</vt:i4>
      </vt:variant>
      <vt:variant>
        <vt:i4>5</vt:i4>
      </vt:variant>
      <vt:variant>
        <vt:lpwstr/>
      </vt:variant>
      <vt:variant>
        <vt:lpwstr>Resolution_44</vt:lpwstr>
      </vt:variant>
      <vt:variant>
        <vt:i4>4980777</vt:i4>
      </vt:variant>
      <vt:variant>
        <vt:i4>1809</vt:i4>
      </vt:variant>
      <vt:variant>
        <vt:i4>0</vt:i4>
      </vt:variant>
      <vt:variant>
        <vt:i4>5</vt:i4>
      </vt:variant>
      <vt:variant>
        <vt:lpwstr/>
      </vt:variant>
      <vt:variant>
        <vt:lpwstr>Resolution_44</vt:lpwstr>
      </vt:variant>
      <vt:variant>
        <vt:i4>4587541</vt:i4>
      </vt:variant>
      <vt:variant>
        <vt:i4>1806</vt:i4>
      </vt:variant>
      <vt:variant>
        <vt:i4>0</vt:i4>
      </vt:variant>
      <vt:variant>
        <vt:i4>5</vt:i4>
      </vt:variant>
      <vt:variant>
        <vt:lpwstr>https://www.itu.int/en/ITU-D/Regional-Presence/CIS/Pages/EVENTS/2020/03_Minsk/03_Minsk.aspx</vt:lpwstr>
      </vt:variant>
      <vt:variant>
        <vt:lpwstr/>
      </vt:variant>
      <vt:variant>
        <vt:i4>1835111</vt:i4>
      </vt:variant>
      <vt:variant>
        <vt:i4>1803</vt:i4>
      </vt:variant>
      <vt:variant>
        <vt:i4>0</vt:i4>
      </vt:variant>
      <vt:variant>
        <vt:i4>5</vt:i4>
      </vt:variant>
      <vt:variant>
        <vt:lpwstr/>
      </vt:variant>
      <vt:variant>
        <vt:lpwstr>Item44_14</vt:lpwstr>
      </vt:variant>
      <vt:variant>
        <vt:i4>4980777</vt:i4>
      </vt:variant>
      <vt:variant>
        <vt:i4>1800</vt:i4>
      </vt:variant>
      <vt:variant>
        <vt:i4>0</vt:i4>
      </vt:variant>
      <vt:variant>
        <vt:i4>5</vt:i4>
      </vt:variant>
      <vt:variant>
        <vt:lpwstr/>
      </vt:variant>
      <vt:variant>
        <vt:lpwstr>Resolution_44</vt:lpwstr>
      </vt:variant>
      <vt:variant>
        <vt:i4>5111831</vt:i4>
      </vt:variant>
      <vt:variant>
        <vt:i4>1797</vt:i4>
      </vt:variant>
      <vt:variant>
        <vt:i4>0</vt:i4>
      </vt:variant>
      <vt:variant>
        <vt:i4>5</vt:i4>
      </vt:variant>
      <vt:variant>
        <vt:lpwstr>https://www.itu.int/en/ITU-D/Regional-Presence/CIS/Pages/EVENTS/2019/02_Minsk/02_Minsk.aspx</vt:lpwstr>
      </vt:variant>
      <vt:variant>
        <vt:lpwstr/>
      </vt:variant>
      <vt:variant>
        <vt:i4>6488180</vt:i4>
      </vt:variant>
      <vt:variant>
        <vt:i4>1794</vt:i4>
      </vt:variant>
      <vt:variant>
        <vt:i4>0</vt:i4>
      </vt:variant>
      <vt:variant>
        <vt:i4>5</vt:i4>
      </vt:variant>
      <vt:variant>
        <vt:lpwstr>https://www.research.net/r/ITUTSG17CDCX1060</vt:lpwstr>
      </vt:variant>
      <vt:variant>
        <vt:lpwstr/>
      </vt:variant>
      <vt:variant>
        <vt:i4>7274612</vt:i4>
      </vt:variant>
      <vt:variant>
        <vt:i4>1791</vt:i4>
      </vt:variant>
      <vt:variant>
        <vt:i4>0</vt:i4>
      </vt:variant>
      <vt:variant>
        <vt:i4>5</vt:i4>
      </vt:variant>
      <vt:variant>
        <vt:lpwstr/>
      </vt:variant>
      <vt:variant>
        <vt:lpwstr>Top</vt:lpwstr>
      </vt:variant>
      <vt:variant>
        <vt:i4>589920</vt:i4>
      </vt:variant>
      <vt:variant>
        <vt:i4>1788</vt:i4>
      </vt:variant>
      <vt:variant>
        <vt:i4>0</vt:i4>
      </vt:variant>
      <vt:variant>
        <vt:i4>5</vt:i4>
      </vt:variant>
      <vt:variant>
        <vt:lpwstr>https://www.etis.org/page/Anti_Abuse</vt:lpwstr>
      </vt:variant>
      <vt:variant>
        <vt:lpwstr/>
      </vt:variant>
      <vt:variant>
        <vt:i4>2097275</vt:i4>
      </vt:variant>
      <vt:variant>
        <vt:i4>1785</vt:i4>
      </vt:variant>
      <vt:variant>
        <vt:i4>0</vt:i4>
      </vt:variant>
      <vt:variant>
        <vt:i4>5</vt:i4>
      </vt:variant>
      <vt:variant>
        <vt:lpwstr>https://www.itu.int/md/meetingdoc.asp?lang=en&amp;parent=S21-CL-C-0018</vt:lpwstr>
      </vt:variant>
      <vt:variant>
        <vt:lpwstr/>
      </vt:variant>
      <vt:variant>
        <vt:i4>2162811</vt:i4>
      </vt:variant>
      <vt:variant>
        <vt:i4>1782</vt:i4>
      </vt:variant>
      <vt:variant>
        <vt:i4>0</vt:i4>
      </vt:variant>
      <vt:variant>
        <vt:i4>5</vt:i4>
      </vt:variant>
      <vt:variant>
        <vt:lpwstr>https://www.itu.int/md/meetingdoc.asp?lang=en&amp;parent=S20-CL-C-0018</vt:lpwstr>
      </vt:variant>
      <vt:variant>
        <vt:lpwstr/>
      </vt:variant>
      <vt:variant>
        <vt:i4>2293882</vt:i4>
      </vt:variant>
      <vt:variant>
        <vt:i4>1779</vt:i4>
      </vt:variant>
      <vt:variant>
        <vt:i4>0</vt:i4>
      </vt:variant>
      <vt:variant>
        <vt:i4>5</vt:i4>
      </vt:variant>
      <vt:variant>
        <vt:lpwstr>https://www.itu.int/md/meetingdoc.asp?lang=en&amp;parent=S19-CL-C-0033</vt:lpwstr>
      </vt:variant>
      <vt:variant>
        <vt:lpwstr/>
      </vt:variant>
      <vt:variant>
        <vt:i4>2621560</vt:i4>
      </vt:variant>
      <vt:variant>
        <vt:i4>1776</vt:i4>
      </vt:variant>
      <vt:variant>
        <vt:i4>0</vt:i4>
      </vt:variant>
      <vt:variant>
        <vt:i4>5</vt:i4>
      </vt:variant>
      <vt:variant>
        <vt:lpwstr>https://www.itu.int/md/meetingdoc.asp?lang=en&amp;parent=S19-CL-C-0018</vt:lpwstr>
      </vt:variant>
      <vt:variant>
        <vt:lpwstr/>
      </vt:variant>
      <vt:variant>
        <vt:i4>2687096</vt:i4>
      </vt:variant>
      <vt:variant>
        <vt:i4>1773</vt:i4>
      </vt:variant>
      <vt:variant>
        <vt:i4>0</vt:i4>
      </vt:variant>
      <vt:variant>
        <vt:i4>5</vt:i4>
      </vt:variant>
      <vt:variant>
        <vt:lpwstr>https://www.itu.int/md/meetingdoc.asp?lang=en&amp;parent=S18-CL-C-0018</vt:lpwstr>
      </vt:variant>
      <vt:variant>
        <vt:lpwstr/>
      </vt:variant>
      <vt:variant>
        <vt:i4>2490488</vt:i4>
      </vt:variant>
      <vt:variant>
        <vt:i4>1770</vt:i4>
      </vt:variant>
      <vt:variant>
        <vt:i4>0</vt:i4>
      </vt:variant>
      <vt:variant>
        <vt:i4>5</vt:i4>
      </vt:variant>
      <vt:variant>
        <vt:lpwstr>https://www.itu.int/md/meetingdoc.asp?lang=en&amp;parent=S17-CL-C-0018</vt:lpwstr>
      </vt:variant>
      <vt:variant>
        <vt:lpwstr/>
      </vt:variant>
      <vt:variant>
        <vt:i4>6357119</vt:i4>
      </vt:variant>
      <vt:variant>
        <vt:i4>1767</vt:i4>
      </vt:variant>
      <vt:variant>
        <vt:i4>0</vt:i4>
      </vt:variant>
      <vt:variant>
        <vt:i4>5</vt:i4>
      </vt:variant>
      <vt:variant>
        <vt:lpwstr>https://www.itu.int/md/T17-TSAG-211025-TD-GEN-1048</vt:lpwstr>
      </vt:variant>
      <vt:variant>
        <vt:lpwstr/>
      </vt:variant>
      <vt:variant>
        <vt:i4>6422652</vt:i4>
      </vt:variant>
      <vt:variant>
        <vt:i4>1764</vt:i4>
      </vt:variant>
      <vt:variant>
        <vt:i4>0</vt:i4>
      </vt:variant>
      <vt:variant>
        <vt:i4>5</vt:i4>
      </vt:variant>
      <vt:variant>
        <vt:lpwstr>https://www.itu.int/md/T17-TSAG-210111-TD-GEN-0947</vt:lpwstr>
      </vt:variant>
      <vt:variant>
        <vt:lpwstr/>
      </vt:variant>
      <vt:variant>
        <vt:i4>5570578</vt:i4>
      </vt:variant>
      <vt:variant>
        <vt:i4>1761</vt:i4>
      </vt:variant>
      <vt:variant>
        <vt:i4>0</vt:i4>
      </vt:variant>
      <vt:variant>
        <vt:i4>5</vt:i4>
      </vt:variant>
      <vt:variant>
        <vt:lpwstr>https://www.itu.int/md/meetingdoc.asp?lang=en&amp;parent=T17-TSAG-200921-TD-GEN-0806</vt:lpwstr>
      </vt:variant>
      <vt:variant>
        <vt:lpwstr/>
      </vt:variant>
      <vt:variant>
        <vt:i4>7143546</vt:i4>
      </vt:variant>
      <vt:variant>
        <vt:i4>1758</vt:i4>
      </vt:variant>
      <vt:variant>
        <vt:i4>0</vt:i4>
      </vt:variant>
      <vt:variant>
        <vt:i4>5</vt:i4>
      </vt:variant>
      <vt:variant>
        <vt:lpwstr>https://www.itu.int/md/T17-TSAG-181210-TD-GEN-0309</vt:lpwstr>
      </vt:variant>
      <vt:variant>
        <vt:lpwstr/>
      </vt:variant>
      <vt:variant>
        <vt:i4>7143546</vt:i4>
      </vt:variant>
      <vt:variant>
        <vt:i4>1755</vt:i4>
      </vt:variant>
      <vt:variant>
        <vt:i4>0</vt:i4>
      </vt:variant>
      <vt:variant>
        <vt:i4>5</vt:i4>
      </vt:variant>
      <vt:variant>
        <vt:lpwstr>https://www.itu.int/md/T17-TSAG-181210-TD-GEN-0309</vt:lpwstr>
      </vt:variant>
      <vt:variant>
        <vt:lpwstr/>
      </vt:variant>
      <vt:variant>
        <vt:i4>5439514</vt:i4>
      </vt:variant>
      <vt:variant>
        <vt:i4>1752</vt:i4>
      </vt:variant>
      <vt:variant>
        <vt:i4>0</vt:i4>
      </vt:variant>
      <vt:variant>
        <vt:i4>5</vt:i4>
      </vt:variant>
      <vt:variant>
        <vt:lpwstr>https://www.itu.int/md/meetingdoc.asp?lang=en&amp;parent=T17-TSAG-170501-TD-GEN-0093</vt:lpwstr>
      </vt:variant>
      <vt:variant>
        <vt:lpwstr/>
      </vt:variant>
      <vt:variant>
        <vt:i4>5832742</vt:i4>
      </vt:variant>
      <vt:variant>
        <vt:i4>1749</vt:i4>
      </vt:variant>
      <vt:variant>
        <vt:i4>0</vt:i4>
      </vt:variant>
      <vt:variant>
        <vt:i4>5</vt:i4>
      </vt:variant>
      <vt:variant>
        <vt:lpwstr>https://www.itu.int/itu-t/workprog/wp_search.aspx?isn_sp=3925&amp;isn_sg=3935&amp;isn_qu=4215&amp;isn_status=-1,1,3&amp;details=0&amp;field=acdefghijo</vt:lpwstr>
      </vt:variant>
      <vt:variant>
        <vt:lpwstr/>
      </vt:variant>
      <vt:variant>
        <vt:i4>7667734</vt:i4>
      </vt:variant>
      <vt:variant>
        <vt:i4>1746</vt:i4>
      </vt:variant>
      <vt:variant>
        <vt:i4>0</vt:i4>
      </vt:variant>
      <vt:variant>
        <vt:i4>5</vt:i4>
      </vt:variant>
      <vt:variant>
        <vt:lpwstr>https://www.itu.int/itu-t/workprog/wp_search.aspx?isn_sp=3925&amp;isn_sg=3935&amp;isn_qu=4215&amp;isn_status=-1,2&amp;details=0&amp;field=acdefghijo</vt:lpwstr>
      </vt:variant>
      <vt:variant>
        <vt:lpwstr/>
      </vt:variant>
      <vt:variant>
        <vt:i4>7274612</vt:i4>
      </vt:variant>
      <vt:variant>
        <vt:i4>1743</vt:i4>
      </vt:variant>
      <vt:variant>
        <vt:i4>0</vt:i4>
      </vt:variant>
      <vt:variant>
        <vt:i4>5</vt:i4>
      </vt:variant>
      <vt:variant>
        <vt:lpwstr/>
      </vt:variant>
      <vt:variant>
        <vt:lpwstr>Top</vt:lpwstr>
      </vt:variant>
      <vt:variant>
        <vt:i4>786457</vt:i4>
      </vt:variant>
      <vt:variant>
        <vt:i4>1740</vt:i4>
      </vt:variant>
      <vt:variant>
        <vt:i4>0</vt:i4>
      </vt:variant>
      <vt:variant>
        <vt:i4>5</vt:i4>
      </vt:variant>
      <vt:variant>
        <vt:lpwstr>https://www.itu.int/en/ITU-T/studygroups/com17/ict/Pages/default.aspx</vt:lpwstr>
      </vt:variant>
      <vt:variant>
        <vt:lpwstr/>
      </vt:variant>
      <vt:variant>
        <vt:i4>6357119</vt:i4>
      </vt:variant>
      <vt:variant>
        <vt:i4>1737</vt:i4>
      </vt:variant>
      <vt:variant>
        <vt:i4>0</vt:i4>
      </vt:variant>
      <vt:variant>
        <vt:i4>5</vt:i4>
      </vt:variant>
      <vt:variant>
        <vt:lpwstr>https://www.itu.int/md/T17-TSAG-211025-TD-GEN-1048</vt:lpwstr>
      </vt:variant>
      <vt:variant>
        <vt:lpwstr/>
      </vt:variant>
      <vt:variant>
        <vt:i4>6422652</vt:i4>
      </vt:variant>
      <vt:variant>
        <vt:i4>1734</vt:i4>
      </vt:variant>
      <vt:variant>
        <vt:i4>0</vt:i4>
      </vt:variant>
      <vt:variant>
        <vt:i4>5</vt:i4>
      </vt:variant>
      <vt:variant>
        <vt:lpwstr>https://www.itu.int/md/T17-TSAG-210111-TD-GEN-0947</vt:lpwstr>
      </vt:variant>
      <vt:variant>
        <vt:lpwstr/>
      </vt:variant>
      <vt:variant>
        <vt:i4>7012475</vt:i4>
      </vt:variant>
      <vt:variant>
        <vt:i4>1731</vt:i4>
      </vt:variant>
      <vt:variant>
        <vt:i4>0</vt:i4>
      </vt:variant>
      <vt:variant>
        <vt:i4>5</vt:i4>
      </vt:variant>
      <vt:variant>
        <vt:lpwstr>https://www.itu.int/md/T17-TSAG-200921-TD-GEN-0806</vt:lpwstr>
      </vt:variant>
      <vt:variant>
        <vt:lpwstr/>
      </vt:variant>
      <vt:variant>
        <vt:i4>7274608</vt:i4>
      </vt:variant>
      <vt:variant>
        <vt:i4>1728</vt:i4>
      </vt:variant>
      <vt:variant>
        <vt:i4>0</vt:i4>
      </vt:variant>
      <vt:variant>
        <vt:i4>5</vt:i4>
      </vt:variant>
      <vt:variant>
        <vt:lpwstr>https://www.itu.int/md/T17-TSAG-190923-TD-GEN-0485</vt:lpwstr>
      </vt:variant>
      <vt:variant>
        <vt:lpwstr/>
      </vt:variant>
      <vt:variant>
        <vt:i4>5439507</vt:i4>
      </vt:variant>
      <vt:variant>
        <vt:i4>1725</vt:i4>
      </vt:variant>
      <vt:variant>
        <vt:i4>0</vt:i4>
      </vt:variant>
      <vt:variant>
        <vt:i4>5</vt:i4>
      </vt:variant>
      <vt:variant>
        <vt:lpwstr>https://www.itu.int/md/meetingdoc.asp?lang=en&amp;parent=T17-TSAG-181210-TD-GEN-0309</vt:lpwstr>
      </vt:variant>
      <vt:variant>
        <vt:lpwstr/>
      </vt:variant>
      <vt:variant>
        <vt:i4>5963794</vt:i4>
      </vt:variant>
      <vt:variant>
        <vt:i4>1722</vt:i4>
      </vt:variant>
      <vt:variant>
        <vt:i4>0</vt:i4>
      </vt:variant>
      <vt:variant>
        <vt:i4>5</vt:i4>
      </vt:variant>
      <vt:variant>
        <vt:lpwstr>https://www.itu.int/md/meetingdoc.asp?lang=en&amp;parent=T17-TSAG-180226-TD-GEN-0236</vt:lpwstr>
      </vt:variant>
      <vt:variant>
        <vt:lpwstr/>
      </vt:variant>
      <vt:variant>
        <vt:i4>5439514</vt:i4>
      </vt:variant>
      <vt:variant>
        <vt:i4>1719</vt:i4>
      </vt:variant>
      <vt:variant>
        <vt:i4>0</vt:i4>
      </vt:variant>
      <vt:variant>
        <vt:i4>5</vt:i4>
      </vt:variant>
      <vt:variant>
        <vt:lpwstr>https://www.itu.int/md/meetingdoc.asp?lang=en&amp;parent=T17-TSAG-170501-TD-GEN-0093</vt:lpwstr>
      </vt:variant>
      <vt:variant>
        <vt:lpwstr/>
      </vt:variant>
      <vt:variant>
        <vt:i4>786457</vt:i4>
      </vt:variant>
      <vt:variant>
        <vt:i4>1716</vt:i4>
      </vt:variant>
      <vt:variant>
        <vt:i4>0</vt:i4>
      </vt:variant>
      <vt:variant>
        <vt:i4>5</vt:i4>
      </vt:variant>
      <vt:variant>
        <vt:lpwstr>https://www.itu.int/en/ITU-T/studygroups/com17/ict/Pages/default.aspx</vt:lpwstr>
      </vt:variant>
      <vt:variant>
        <vt:lpwstr/>
      </vt:variant>
      <vt:variant>
        <vt:i4>5963823</vt:i4>
      </vt:variant>
      <vt:variant>
        <vt:i4>1713</vt:i4>
      </vt:variant>
      <vt:variant>
        <vt:i4>0</vt:i4>
      </vt:variant>
      <vt:variant>
        <vt:i4>5</vt:i4>
      </vt:variant>
      <vt:variant>
        <vt:lpwstr>https://www.itu.int/ITU-T/workprog/wp_search.aspx?isn_sp=3925&amp;isn_sg=3929&amp;isn_qu=4126&amp;isn_status=-1,1,3,7,2&amp;details=0&amp;field=acdefghijo</vt:lpwstr>
      </vt:variant>
      <vt:variant>
        <vt:lpwstr/>
      </vt:variant>
      <vt:variant>
        <vt:i4>2097275</vt:i4>
      </vt:variant>
      <vt:variant>
        <vt:i4>1710</vt:i4>
      </vt:variant>
      <vt:variant>
        <vt:i4>0</vt:i4>
      </vt:variant>
      <vt:variant>
        <vt:i4>5</vt:i4>
      </vt:variant>
      <vt:variant>
        <vt:lpwstr>https://www.itu.int/md/meetingdoc.asp?lang=en&amp;parent=S21-CL-C-0018</vt:lpwstr>
      </vt:variant>
      <vt:variant>
        <vt:lpwstr/>
      </vt:variant>
      <vt:variant>
        <vt:i4>2162811</vt:i4>
      </vt:variant>
      <vt:variant>
        <vt:i4>1707</vt:i4>
      </vt:variant>
      <vt:variant>
        <vt:i4>0</vt:i4>
      </vt:variant>
      <vt:variant>
        <vt:i4>5</vt:i4>
      </vt:variant>
      <vt:variant>
        <vt:lpwstr>https://www.itu.int/md/meetingdoc.asp?lang=en&amp;parent=S20-CL-C-0018</vt:lpwstr>
      </vt:variant>
      <vt:variant>
        <vt:lpwstr/>
      </vt:variant>
      <vt:variant>
        <vt:i4>2621560</vt:i4>
      </vt:variant>
      <vt:variant>
        <vt:i4>1704</vt:i4>
      </vt:variant>
      <vt:variant>
        <vt:i4>0</vt:i4>
      </vt:variant>
      <vt:variant>
        <vt:i4>5</vt:i4>
      </vt:variant>
      <vt:variant>
        <vt:lpwstr>https://www.itu.int/md/meetingdoc.asp?lang=en&amp;parent=S19-CL-C-0018</vt:lpwstr>
      </vt:variant>
      <vt:variant>
        <vt:lpwstr/>
      </vt:variant>
      <vt:variant>
        <vt:i4>2687096</vt:i4>
      </vt:variant>
      <vt:variant>
        <vt:i4>1701</vt:i4>
      </vt:variant>
      <vt:variant>
        <vt:i4>0</vt:i4>
      </vt:variant>
      <vt:variant>
        <vt:i4>5</vt:i4>
      </vt:variant>
      <vt:variant>
        <vt:lpwstr>https://www.itu.int/md/meetingdoc.asp?lang=en&amp;parent=S18-CL-C-0018</vt:lpwstr>
      </vt:variant>
      <vt:variant>
        <vt:lpwstr/>
      </vt:variant>
      <vt:variant>
        <vt:i4>2490488</vt:i4>
      </vt:variant>
      <vt:variant>
        <vt:i4>1698</vt:i4>
      </vt:variant>
      <vt:variant>
        <vt:i4>0</vt:i4>
      </vt:variant>
      <vt:variant>
        <vt:i4>5</vt:i4>
      </vt:variant>
      <vt:variant>
        <vt:lpwstr>https://www.itu.int/md/meetingdoc.asp?lang=en&amp;parent=S17-CL-C-0018</vt:lpwstr>
      </vt:variant>
      <vt:variant>
        <vt:lpwstr/>
      </vt:variant>
      <vt:variant>
        <vt:i4>1507397</vt:i4>
      </vt:variant>
      <vt:variant>
        <vt:i4>1695</vt:i4>
      </vt:variant>
      <vt:variant>
        <vt:i4>0</vt:i4>
      </vt:variant>
      <vt:variant>
        <vt:i4>5</vt:i4>
      </vt:variant>
      <vt:variant>
        <vt:lpwstr>http://www.itu.int/en/ITU-T/studygroups/2017-2020/17/Pages/nfvo.aspx</vt:lpwstr>
      </vt:variant>
      <vt:variant>
        <vt:lpwstr/>
      </vt:variant>
      <vt:variant>
        <vt:i4>83</vt:i4>
      </vt:variant>
      <vt:variant>
        <vt:i4>1692</vt:i4>
      </vt:variant>
      <vt:variant>
        <vt:i4>0</vt:i4>
      </vt:variant>
      <vt:variant>
        <vt:i4>5</vt:i4>
      </vt:variant>
      <vt:variant>
        <vt:lpwstr>https://www.itu.int/en/ITU-T/webinars/20211206/Pages/default.aspx</vt:lpwstr>
      </vt:variant>
      <vt:variant>
        <vt:lpwstr/>
      </vt:variant>
      <vt:variant>
        <vt:i4>6946853</vt:i4>
      </vt:variant>
      <vt:variant>
        <vt:i4>1689</vt:i4>
      </vt:variant>
      <vt:variant>
        <vt:i4>0</vt:i4>
      </vt:variant>
      <vt:variant>
        <vt:i4>5</vt:i4>
      </vt:variant>
      <vt:variant>
        <vt:lpwstr>https://www.itu.int/en/ITU-T/webinars/Pages/dt4cc.aspx</vt:lpwstr>
      </vt:variant>
      <vt:variant>
        <vt:lpwstr/>
      </vt:variant>
      <vt:variant>
        <vt:i4>6160403</vt:i4>
      </vt:variant>
      <vt:variant>
        <vt:i4>1686</vt:i4>
      </vt:variant>
      <vt:variant>
        <vt:i4>0</vt:i4>
      </vt:variant>
      <vt:variant>
        <vt:i4>5</vt:i4>
      </vt:variant>
      <vt:variant>
        <vt:lpwstr>https://www.itu.int/en/ITU-T/Workshops-and-Seminars/201708/Pages/default.aspx</vt:lpwstr>
      </vt:variant>
      <vt:variant>
        <vt:lpwstr/>
      </vt:variant>
      <vt:variant>
        <vt:i4>77</vt:i4>
      </vt:variant>
      <vt:variant>
        <vt:i4>1683</vt:i4>
      </vt:variant>
      <vt:variant>
        <vt:i4>0</vt:i4>
      </vt:variant>
      <vt:variant>
        <vt:i4>5</vt:i4>
      </vt:variant>
      <vt:variant>
        <vt:lpwstr>http://www.itu.int/en/ITU-T/Workshops-and-Seminars/201703/Pages/default.aspx</vt:lpwstr>
      </vt:variant>
      <vt:variant>
        <vt:lpwstr/>
      </vt:variant>
      <vt:variant>
        <vt:i4>7274612</vt:i4>
      </vt:variant>
      <vt:variant>
        <vt:i4>1680</vt:i4>
      </vt:variant>
      <vt:variant>
        <vt:i4>0</vt:i4>
      </vt:variant>
      <vt:variant>
        <vt:i4>5</vt:i4>
      </vt:variant>
      <vt:variant>
        <vt:lpwstr/>
      </vt:variant>
      <vt:variant>
        <vt:lpwstr>Top</vt:lpwstr>
      </vt:variant>
      <vt:variant>
        <vt:i4>7274612</vt:i4>
      </vt:variant>
      <vt:variant>
        <vt:i4>1677</vt:i4>
      </vt:variant>
      <vt:variant>
        <vt:i4>0</vt:i4>
      </vt:variant>
      <vt:variant>
        <vt:i4>5</vt:i4>
      </vt:variant>
      <vt:variant>
        <vt:lpwstr/>
      </vt:variant>
      <vt:variant>
        <vt:lpwstr>Top</vt:lpwstr>
      </vt:variant>
      <vt:variant>
        <vt:i4>7929916</vt:i4>
      </vt:variant>
      <vt:variant>
        <vt:i4>1674</vt:i4>
      </vt:variant>
      <vt:variant>
        <vt:i4>0</vt:i4>
      </vt:variant>
      <vt:variant>
        <vt:i4>5</vt:i4>
      </vt:variant>
      <vt:variant>
        <vt:lpwstr>https://www.itu.int/md/S18-CL-C-0033/en</vt:lpwstr>
      </vt:variant>
      <vt:variant>
        <vt:lpwstr/>
      </vt:variant>
      <vt:variant>
        <vt:i4>7733308</vt:i4>
      </vt:variant>
      <vt:variant>
        <vt:i4>1671</vt:i4>
      </vt:variant>
      <vt:variant>
        <vt:i4>0</vt:i4>
      </vt:variant>
      <vt:variant>
        <vt:i4>5</vt:i4>
      </vt:variant>
      <vt:variant>
        <vt:lpwstr>https://www.itu.int/md/S17-CL-C-0033/en</vt:lpwstr>
      </vt:variant>
      <vt:variant>
        <vt:lpwstr/>
      </vt:variant>
      <vt:variant>
        <vt:i4>7274612</vt:i4>
      </vt:variant>
      <vt:variant>
        <vt:i4>1668</vt:i4>
      </vt:variant>
      <vt:variant>
        <vt:i4>0</vt:i4>
      </vt:variant>
      <vt:variant>
        <vt:i4>5</vt:i4>
      </vt:variant>
      <vt:variant>
        <vt:lpwstr/>
      </vt:variant>
      <vt:variant>
        <vt:lpwstr>Top</vt:lpwstr>
      </vt:variant>
      <vt:variant>
        <vt:i4>7274612</vt:i4>
      </vt:variant>
      <vt:variant>
        <vt:i4>1665</vt:i4>
      </vt:variant>
      <vt:variant>
        <vt:i4>0</vt:i4>
      </vt:variant>
      <vt:variant>
        <vt:i4>5</vt:i4>
      </vt:variant>
      <vt:variant>
        <vt:lpwstr/>
      </vt:variant>
      <vt:variant>
        <vt:lpwstr>Top</vt:lpwstr>
      </vt:variant>
      <vt:variant>
        <vt:i4>3735587</vt:i4>
      </vt:variant>
      <vt:variant>
        <vt:i4>1662</vt:i4>
      </vt:variant>
      <vt:variant>
        <vt:i4>0</vt:i4>
      </vt:variant>
      <vt:variant>
        <vt:i4>5</vt:i4>
      </vt:variant>
      <vt:variant>
        <vt:lpwstr>https://www.itu.int/ifa/t/2017/ls/tsag/sp16-tsag-oLS-00031.zip</vt:lpwstr>
      </vt:variant>
      <vt:variant>
        <vt:lpwstr/>
      </vt:variant>
      <vt:variant>
        <vt:i4>3801122</vt:i4>
      </vt:variant>
      <vt:variant>
        <vt:i4>1659</vt:i4>
      </vt:variant>
      <vt:variant>
        <vt:i4>0</vt:i4>
      </vt:variant>
      <vt:variant>
        <vt:i4>5</vt:i4>
      </vt:variant>
      <vt:variant>
        <vt:lpwstr>https://www.itu.int/ifa/t/2017/ls/tsag/sp16-tsag-oLS-00022.zip</vt:lpwstr>
      </vt:variant>
      <vt:variant>
        <vt:lpwstr/>
      </vt:variant>
      <vt:variant>
        <vt:i4>6488164</vt:i4>
      </vt:variant>
      <vt:variant>
        <vt:i4>1656</vt:i4>
      </vt:variant>
      <vt:variant>
        <vt:i4>0</vt:i4>
      </vt:variant>
      <vt:variant>
        <vt:i4>5</vt:i4>
      </vt:variant>
      <vt:variant>
        <vt:lpwstr>https://www.itu.int/net/itu-t/ls/ls.aspx?isn=21665</vt:lpwstr>
      </vt:variant>
      <vt:variant>
        <vt:lpwstr/>
      </vt:variant>
      <vt:variant>
        <vt:i4>3735585</vt:i4>
      </vt:variant>
      <vt:variant>
        <vt:i4>1653</vt:i4>
      </vt:variant>
      <vt:variant>
        <vt:i4>0</vt:i4>
      </vt:variant>
      <vt:variant>
        <vt:i4>5</vt:i4>
      </vt:variant>
      <vt:variant>
        <vt:lpwstr>https://www.itu.int/ifa/t/2017/ls/tsag/sp16-tsag-oLS-00011.zip</vt:lpwstr>
      </vt:variant>
      <vt:variant>
        <vt:lpwstr/>
      </vt:variant>
      <vt:variant>
        <vt:i4>3735584</vt:i4>
      </vt:variant>
      <vt:variant>
        <vt:i4>1650</vt:i4>
      </vt:variant>
      <vt:variant>
        <vt:i4>0</vt:i4>
      </vt:variant>
      <vt:variant>
        <vt:i4>5</vt:i4>
      </vt:variant>
      <vt:variant>
        <vt:lpwstr>https://www.itu.int/ifa/t/2017/ls/tsag/sp16-tsag-oLS-00001.zip</vt:lpwstr>
      </vt:variant>
      <vt:variant>
        <vt:lpwstr/>
      </vt:variant>
      <vt:variant>
        <vt:i4>7274612</vt:i4>
      </vt:variant>
      <vt:variant>
        <vt:i4>1647</vt:i4>
      </vt:variant>
      <vt:variant>
        <vt:i4>0</vt:i4>
      </vt:variant>
      <vt:variant>
        <vt:i4>5</vt:i4>
      </vt:variant>
      <vt:variant>
        <vt:lpwstr/>
      </vt:variant>
      <vt:variant>
        <vt:lpwstr>Top</vt:lpwstr>
      </vt:variant>
      <vt:variant>
        <vt:i4>2359418</vt:i4>
      </vt:variant>
      <vt:variant>
        <vt:i4>1644</vt:i4>
      </vt:variant>
      <vt:variant>
        <vt:i4>0</vt:i4>
      </vt:variant>
      <vt:variant>
        <vt:i4>5</vt:i4>
      </vt:variant>
      <vt:variant>
        <vt:lpwstr>https://www.itu.int/md/meetingdoc.asp?lang=en&amp;parent=S18-CL-C-0035</vt:lpwstr>
      </vt:variant>
      <vt:variant>
        <vt:lpwstr/>
      </vt:variant>
      <vt:variant>
        <vt:i4>852048</vt:i4>
      </vt:variant>
      <vt:variant>
        <vt:i4>1638</vt:i4>
      </vt:variant>
      <vt:variant>
        <vt:i4>0</vt:i4>
      </vt:variant>
      <vt:variant>
        <vt:i4>5</vt:i4>
      </vt:variant>
      <vt:variant>
        <vt:lpwstr>https://www.itu.int/en/ITU-T/webinars/20210920/Pages/default.aspx</vt:lpwstr>
      </vt:variant>
      <vt:variant>
        <vt:lpwstr/>
      </vt:variant>
      <vt:variant>
        <vt:i4>7929981</vt:i4>
      </vt:variant>
      <vt:variant>
        <vt:i4>1635</vt:i4>
      </vt:variant>
      <vt:variant>
        <vt:i4>0</vt:i4>
      </vt:variant>
      <vt:variant>
        <vt:i4>5</vt:i4>
      </vt:variant>
      <vt:variant>
        <vt:lpwstr>https://www.itu.int/en/ITU-T/climatechange/Pages/20210602.aspx</vt:lpwstr>
      </vt:variant>
      <vt:variant>
        <vt:lpwstr/>
      </vt:variant>
      <vt:variant>
        <vt:i4>4587596</vt:i4>
      </vt:variant>
      <vt:variant>
        <vt:i4>1632</vt:i4>
      </vt:variant>
      <vt:variant>
        <vt:i4>0</vt:i4>
      </vt:variant>
      <vt:variant>
        <vt:i4>5</vt:i4>
      </vt:variant>
      <vt:variant>
        <vt:lpwstr>https://www.itu.int/en/ITU-T/Workshops-and-Seminars/gsw/201910/Documents/9thGSW2019-Valencia-CalltoAction-ES.pdf</vt:lpwstr>
      </vt:variant>
      <vt:variant>
        <vt:lpwstr/>
      </vt:variant>
      <vt:variant>
        <vt:i4>4194395</vt:i4>
      </vt:variant>
      <vt:variant>
        <vt:i4>1629</vt:i4>
      </vt:variant>
      <vt:variant>
        <vt:i4>0</vt:i4>
      </vt:variant>
      <vt:variant>
        <vt:i4>5</vt:i4>
      </vt:variant>
      <vt:variant>
        <vt:lpwstr>https://www.itu.int/en/ITU-T/Workshops-and-Seminars/gsw/201910/Documents/9thGSW2019-Valencia-CalltoAction-RU.pdf</vt:lpwstr>
      </vt:variant>
      <vt:variant>
        <vt:lpwstr/>
      </vt:variant>
      <vt:variant>
        <vt:i4>6094922</vt:i4>
      </vt:variant>
      <vt:variant>
        <vt:i4>1626</vt:i4>
      </vt:variant>
      <vt:variant>
        <vt:i4>0</vt:i4>
      </vt:variant>
      <vt:variant>
        <vt:i4>5</vt:i4>
      </vt:variant>
      <vt:variant>
        <vt:lpwstr>https://www.itu.int/en/ITU-T/Workshops-and-Seminars/gsw/201910/Documents/9thGSW2019-Valencia-CalltoAction-CH.pdf</vt:lpwstr>
      </vt:variant>
      <vt:variant>
        <vt:lpwstr/>
      </vt:variant>
      <vt:variant>
        <vt:i4>4653135</vt:i4>
      </vt:variant>
      <vt:variant>
        <vt:i4>1623</vt:i4>
      </vt:variant>
      <vt:variant>
        <vt:i4>0</vt:i4>
      </vt:variant>
      <vt:variant>
        <vt:i4>5</vt:i4>
      </vt:variant>
      <vt:variant>
        <vt:lpwstr>https://www.itu.int/en/ITU-T/Workshops-and-Seminars/gsw/201910/Documents/9thGSW2019-Valencia-CalltoAction-FR.pdf</vt:lpwstr>
      </vt:variant>
      <vt:variant>
        <vt:lpwstr/>
      </vt:variant>
      <vt:variant>
        <vt:i4>4653128</vt:i4>
      </vt:variant>
      <vt:variant>
        <vt:i4>1620</vt:i4>
      </vt:variant>
      <vt:variant>
        <vt:i4>0</vt:i4>
      </vt:variant>
      <vt:variant>
        <vt:i4>5</vt:i4>
      </vt:variant>
      <vt:variant>
        <vt:lpwstr>https://www.itu.int/en/ITU-T/Workshops-and-Seminars/gsw/201910/Documents/9thGSW2019-Valencia-CalltoAction-AR.pdf</vt:lpwstr>
      </vt:variant>
      <vt:variant>
        <vt:lpwstr/>
      </vt:variant>
      <vt:variant>
        <vt:i4>5963852</vt:i4>
      </vt:variant>
      <vt:variant>
        <vt:i4>1617</vt:i4>
      </vt:variant>
      <vt:variant>
        <vt:i4>0</vt:i4>
      </vt:variant>
      <vt:variant>
        <vt:i4>5</vt:i4>
      </vt:variant>
      <vt:variant>
        <vt:lpwstr>https://www.itu.int/en/ITU-T/Workshops-and-Seminars/gsw/201910/Documents/9thGSW2019-Valencia-CalltoAction-EN.pdf</vt:lpwstr>
      </vt:variant>
      <vt:variant>
        <vt:lpwstr/>
      </vt:variant>
      <vt:variant>
        <vt:i4>262146</vt:i4>
      </vt:variant>
      <vt:variant>
        <vt:i4>1614</vt:i4>
      </vt:variant>
      <vt:variant>
        <vt:i4>0</vt:i4>
      </vt:variant>
      <vt:variant>
        <vt:i4>5</vt:i4>
      </vt:variant>
      <vt:variant>
        <vt:lpwstr>https://www.itu.int/en/ITU-T/Workshops-and-Seminars/gsw/201910/Pages/default.aspx</vt:lpwstr>
      </vt:variant>
      <vt:variant>
        <vt:lpwstr/>
      </vt:variant>
      <vt:variant>
        <vt:i4>2818087</vt:i4>
      </vt:variant>
      <vt:variant>
        <vt:i4>1611</vt:i4>
      </vt:variant>
      <vt:variant>
        <vt:i4>0</vt:i4>
      </vt:variant>
      <vt:variant>
        <vt:i4>5</vt:i4>
      </vt:variant>
      <vt:variant>
        <vt:lpwstr>https://www.itu.int/en/ITU-T/climatechange/Pages/1st-Digital-African-Week.aspx</vt:lpwstr>
      </vt:variant>
      <vt:variant>
        <vt:lpwstr/>
      </vt:variant>
      <vt:variant>
        <vt:i4>1441813</vt:i4>
      </vt:variant>
      <vt:variant>
        <vt:i4>1608</vt:i4>
      </vt:variant>
      <vt:variant>
        <vt:i4>0</vt:i4>
      </vt:variant>
      <vt:variant>
        <vt:i4>5</vt:i4>
      </vt:variant>
      <vt:variant>
        <vt:lpwstr>https://www.itu.int/en/ITU-T/Workshops-and-Seminars/gsw/201704/Documents/Manifesto-Manizales-05-04-2017-Eng-Final.pdf</vt:lpwstr>
      </vt:variant>
      <vt:variant>
        <vt:lpwstr/>
      </vt:variant>
      <vt:variant>
        <vt:i4>917507</vt:i4>
      </vt:variant>
      <vt:variant>
        <vt:i4>1605</vt:i4>
      </vt:variant>
      <vt:variant>
        <vt:i4>0</vt:i4>
      </vt:variant>
      <vt:variant>
        <vt:i4>5</vt:i4>
      </vt:variant>
      <vt:variant>
        <vt:lpwstr>https://www.itu.int/en/ITU-T/Workshops-and-Seminars/gsw/201704/Pages/default.aspx</vt:lpwstr>
      </vt:variant>
      <vt:variant>
        <vt:lpwstr/>
      </vt:variant>
      <vt:variant>
        <vt:i4>6881338</vt:i4>
      </vt:variant>
      <vt:variant>
        <vt:i4>1602</vt:i4>
      </vt:variant>
      <vt:variant>
        <vt:i4>0</vt:i4>
      </vt:variant>
      <vt:variant>
        <vt:i4>5</vt:i4>
      </vt:variant>
      <vt:variant>
        <vt:lpwstr>https://www.itu.int/en/ITU-T/Workshops-and-Seminars/20210601/Documents/Workshop Outcomes.pdf?csf=1&amp;e=QbeOMC</vt:lpwstr>
      </vt:variant>
      <vt:variant>
        <vt:lpwstr/>
      </vt:variant>
      <vt:variant>
        <vt:i4>5767186</vt:i4>
      </vt:variant>
      <vt:variant>
        <vt:i4>1599</vt:i4>
      </vt:variant>
      <vt:variant>
        <vt:i4>0</vt:i4>
      </vt:variant>
      <vt:variant>
        <vt:i4>5</vt:i4>
      </vt:variant>
      <vt:variant>
        <vt:lpwstr>https://www.itu.int/en/ITU-T/Workshops-and-Seminars/201811/Pages/default.aspx</vt:lpwstr>
      </vt:variant>
      <vt:variant>
        <vt:lpwstr/>
      </vt:variant>
      <vt:variant>
        <vt:i4>75</vt:i4>
      </vt:variant>
      <vt:variant>
        <vt:i4>1596</vt:i4>
      </vt:variant>
      <vt:variant>
        <vt:i4>0</vt:i4>
      </vt:variant>
      <vt:variant>
        <vt:i4>5</vt:i4>
      </vt:variant>
      <vt:variant>
        <vt:lpwstr>http://www.itu.int/en/ITU-T/Workshops-and-Seminars/201705/Pages/default.aspx</vt:lpwstr>
      </vt:variant>
      <vt:variant>
        <vt:lpwstr/>
      </vt:variant>
      <vt:variant>
        <vt:i4>5898266</vt:i4>
      </vt:variant>
      <vt:variant>
        <vt:i4>1593</vt:i4>
      </vt:variant>
      <vt:variant>
        <vt:i4>0</vt:i4>
      </vt:variant>
      <vt:variant>
        <vt:i4>5</vt:i4>
      </vt:variant>
      <vt:variant>
        <vt:lpwstr>https://www.itu.int/md/meetingdoc.asp?lang=en&amp;parent=T17-TSAG-181210-TD-GEN-0291</vt:lpwstr>
      </vt:variant>
      <vt:variant>
        <vt:lpwstr/>
      </vt:variant>
      <vt:variant>
        <vt:i4>6094867</vt:i4>
      </vt:variant>
      <vt:variant>
        <vt:i4>1590</vt:i4>
      </vt:variant>
      <vt:variant>
        <vt:i4>0</vt:i4>
      </vt:variant>
      <vt:variant>
        <vt:i4>5</vt:i4>
      </vt:variant>
      <vt:variant>
        <vt:lpwstr>https://www.itu.int/md/meetingdoc.asp?lang=en&amp;parent=T17-TSAG-180226-TD-GEN-0123</vt:lpwstr>
      </vt:variant>
      <vt:variant>
        <vt:lpwstr/>
      </vt:variant>
      <vt:variant>
        <vt:i4>5505041</vt:i4>
      </vt:variant>
      <vt:variant>
        <vt:i4>1587</vt:i4>
      </vt:variant>
      <vt:variant>
        <vt:i4>0</vt:i4>
      </vt:variant>
      <vt:variant>
        <vt:i4>5</vt:i4>
      </vt:variant>
      <vt:variant>
        <vt:lpwstr>https://www.itu.int/md/meetingdoc.asp?lang=en&amp;parent=T17-TSAG-170501-TD-GEN-0024</vt:lpwstr>
      </vt:variant>
      <vt:variant>
        <vt:lpwstr/>
      </vt:variant>
      <vt:variant>
        <vt:i4>5111831</vt:i4>
      </vt:variant>
      <vt:variant>
        <vt:i4>1584</vt:i4>
      </vt:variant>
      <vt:variant>
        <vt:i4>0</vt:i4>
      </vt:variant>
      <vt:variant>
        <vt:i4>5</vt:i4>
      </vt:variant>
      <vt:variant>
        <vt:lpwstr>https://www.itu.int/en/ITU-D/Regional-Presence/CIS/Pages/EVENTS/2019/02_Minsk/02_Minsk.aspx</vt:lpwstr>
      </vt:variant>
      <vt:variant>
        <vt:lpwstr/>
      </vt:variant>
      <vt:variant>
        <vt:i4>5111831</vt:i4>
      </vt:variant>
      <vt:variant>
        <vt:i4>1581</vt:i4>
      </vt:variant>
      <vt:variant>
        <vt:i4>0</vt:i4>
      </vt:variant>
      <vt:variant>
        <vt:i4>5</vt:i4>
      </vt:variant>
      <vt:variant>
        <vt:lpwstr>https://www.itu.int/en/ITU-D/Regional-Presence/CIS/Pages/EVENTS/2019/02_Minsk/02_Minsk.aspx</vt:lpwstr>
      </vt:variant>
      <vt:variant>
        <vt:lpwstr/>
      </vt:variant>
      <vt:variant>
        <vt:i4>2031719</vt:i4>
      </vt:variant>
      <vt:variant>
        <vt:i4>1578</vt:i4>
      </vt:variant>
      <vt:variant>
        <vt:i4>0</vt:i4>
      </vt:variant>
      <vt:variant>
        <vt:i4>5</vt:i4>
      </vt:variant>
      <vt:variant>
        <vt:lpwstr/>
      </vt:variant>
      <vt:variant>
        <vt:lpwstr>Item44_28</vt:lpwstr>
      </vt:variant>
      <vt:variant>
        <vt:i4>3538982</vt:i4>
      </vt:variant>
      <vt:variant>
        <vt:i4>1575</vt:i4>
      </vt:variant>
      <vt:variant>
        <vt:i4>0</vt:i4>
      </vt:variant>
      <vt:variant>
        <vt:i4>5</vt:i4>
      </vt:variant>
      <vt:variant>
        <vt:lpwstr>https://www.itu.int/en/ITU-T/Workshops-and-Seminars/bsg/20180506/Pages/default.aspx</vt:lpwstr>
      </vt:variant>
      <vt:variant>
        <vt:lpwstr/>
      </vt:variant>
      <vt:variant>
        <vt:i4>3538982</vt:i4>
      </vt:variant>
      <vt:variant>
        <vt:i4>1572</vt:i4>
      </vt:variant>
      <vt:variant>
        <vt:i4>0</vt:i4>
      </vt:variant>
      <vt:variant>
        <vt:i4>5</vt:i4>
      </vt:variant>
      <vt:variant>
        <vt:lpwstr>https://www.itu.int/en/ITU-T/Workshops-and-Seminars/bsg/20180506/Pages/default.aspx</vt:lpwstr>
      </vt:variant>
      <vt:variant>
        <vt:lpwstr/>
      </vt:variant>
      <vt:variant>
        <vt:i4>7929917</vt:i4>
      </vt:variant>
      <vt:variant>
        <vt:i4>1569</vt:i4>
      </vt:variant>
      <vt:variant>
        <vt:i4>0</vt:i4>
      </vt:variant>
      <vt:variant>
        <vt:i4>5</vt:i4>
      </vt:variant>
      <vt:variant>
        <vt:lpwstr>https://www.itu.int/en/ITU-D/Regulatory-Market/Pages/Events2017/Zimbabwe/home.aspx</vt:lpwstr>
      </vt:variant>
      <vt:variant>
        <vt:lpwstr/>
      </vt:variant>
      <vt:variant>
        <vt:i4>524311</vt:i4>
      </vt:variant>
      <vt:variant>
        <vt:i4>1560</vt:i4>
      </vt:variant>
      <vt:variant>
        <vt:i4>0</vt:i4>
      </vt:variant>
      <vt:variant>
        <vt:i4>5</vt:i4>
      </vt:variant>
      <vt:variant>
        <vt:lpwstr>https://www.itu.int/en/ITU-T/Workshops-and-Seminars/bsg/201712/Pages/default.aspx</vt:lpwstr>
      </vt:variant>
      <vt:variant>
        <vt:lpwstr/>
      </vt:variant>
      <vt:variant>
        <vt:i4>524311</vt:i4>
      </vt:variant>
      <vt:variant>
        <vt:i4>1557</vt:i4>
      </vt:variant>
      <vt:variant>
        <vt:i4>0</vt:i4>
      </vt:variant>
      <vt:variant>
        <vt:i4>5</vt:i4>
      </vt:variant>
      <vt:variant>
        <vt:lpwstr>https://www.itu.int/en/ITU-T/Workshops-and-Seminars/bsg/201712/Pages/default.aspx</vt:lpwstr>
      </vt:variant>
      <vt:variant>
        <vt:lpwstr/>
      </vt:variant>
      <vt:variant>
        <vt:i4>524311</vt:i4>
      </vt:variant>
      <vt:variant>
        <vt:i4>1554</vt:i4>
      </vt:variant>
      <vt:variant>
        <vt:i4>0</vt:i4>
      </vt:variant>
      <vt:variant>
        <vt:i4>5</vt:i4>
      </vt:variant>
      <vt:variant>
        <vt:lpwstr>https://www.itu.int/en/ITU-T/Workshops-and-Seminars/bsg/201712/Pages/default.aspx</vt:lpwstr>
      </vt:variant>
      <vt:variant>
        <vt:lpwstr/>
      </vt:variant>
      <vt:variant>
        <vt:i4>524311</vt:i4>
      </vt:variant>
      <vt:variant>
        <vt:i4>1551</vt:i4>
      </vt:variant>
      <vt:variant>
        <vt:i4>0</vt:i4>
      </vt:variant>
      <vt:variant>
        <vt:i4>5</vt:i4>
      </vt:variant>
      <vt:variant>
        <vt:lpwstr>https://www.itu.int/en/ITU-T/Workshops-and-Seminars/bsg/201712/Pages/default.aspx</vt:lpwstr>
      </vt:variant>
      <vt:variant>
        <vt:lpwstr/>
      </vt:variant>
      <vt:variant>
        <vt:i4>524311</vt:i4>
      </vt:variant>
      <vt:variant>
        <vt:i4>1548</vt:i4>
      </vt:variant>
      <vt:variant>
        <vt:i4>0</vt:i4>
      </vt:variant>
      <vt:variant>
        <vt:i4>5</vt:i4>
      </vt:variant>
      <vt:variant>
        <vt:lpwstr>https://www.itu.int/en/ITU-T/Workshops-and-Seminars/bsg/201712/Pages/default.aspx</vt:lpwstr>
      </vt:variant>
      <vt:variant>
        <vt:lpwstr/>
      </vt:variant>
      <vt:variant>
        <vt:i4>720919</vt:i4>
      </vt:variant>
      <vt:variant>
        <vt:i4>1545</vt:i4>
      </vt:variant>
      <vt:variant>
        <vt:i4>0</vt:i4>
      </vt:variant>
      <vt:variant>
        <vt:i4>5</vt:i4>
      </vt:variant>
      <vt:variant>
        <vt:lpwstr>https://www.itu.int/en/ITU-T/Workshops-and-Seminars/bsg/112017/Pages/default.aspx</vt:lpwstr>
      </vt:variant>
      <vt:variant>
        <vt:lpwstr/>
      </vt:variant>
      <vt:variant>
        <vt:i4>720919</vt:i4>
      </vt:variant>
      <vt:variant>
        <vt:i4>1542</vt:i4>
      </vt:variant>
      <vt:variant>
        <vt:i4>0</vt:i4>
      </vt:variant>
      <vt:variant>
        <vt:i4>5</vt:i4>
      </vt:variant>
      <vt:variant>
        <vt:lpwstr>https://www.itu.int/en/ITU-T/Workshops-and-Seminars/bsg/112017/Pages/default.aspx</vt:lpwstr>
      </vt:variant>
      <vt:variant>
        <vt:lpwstr/>
      </vt:variant>
      <vt:variant>
        <vt:i4>720919</vt:i4>
      </vt:variant>
      <vt:variant>
        <vt:i4>1539</vt:i4>
      </vt:variant>
      <vt:variant>
        <vt:i4>0</vt:i4>
      </vt:variant>
      <vt:variant>
        <vt:i4>5</vt:i4>
      </vt:variant>
      <vt:variant>
        <vt:lpwstr>https://www.itu.int/en/ITU-T/Workshops-and-Seminars/bsg/112017/Pages/default.aspx</vt:lpwstr>
      </vt:variant>
      <vt:variant>
        <vt:lpwstr/>
      </vt:variant>
      <vt:variant>
        <vt:i4>655383</vt:i4>
      </vt:variant>
      <vt:variant>
        <vt:i4>1536</vt:i4>
      </vt:variant>
      <vt:variant>
        <vt:i4>0</vt:i4>
      </vt:variant>
      <vt:variant>
        <vt:i4>5</vt:i4>
      </vt:variant>
      <vt:variant>
        <vt:lpwstr>https://www.itu.int/en/ITU-T/Workshops-and-Seminars/bsg/201710/Pages/default.aspx</vt:lpwstr>
      </vt:variant>
      <vt:variant>
        <vt:lpwstr/>
      </vt:variant>
      <vt:variant>
        <vt:i4>655383</vt:i4>
      </vt:variant>
      <vt:variant>
        <vt:i4>1533</vt:i4>
      </vt:variant>
      <vt:variant>
        <vt:i4>0</vt:i4>
      </vt:variant>
      <vt:variant>
        <vt:i4>5</vt:i4>
      </vt:variant>
      <vt:variant>
        <vt:lpwstr>https://www.itu.int/en/ITU-T/Workshops-and-Seminars/bsg/201710/Pages/default.aspx</vt:lpwstr>
      </vt:variant>
      <vt:variant>
        <vt:lpwstr/>
      </vt:variant>
      <vt:variant>
        <vt:i4>655383</vt:i4>
      </vt:variant>
      <vt:variant>
        <vt:i4>1530</vt:i4>
      </vt:variant>
      <vt:variant>
        <vt:i4>0</vt:i4>
      </vt:variant>
      <vt:variant>
        <vt:i4>5</vt:i4>
      </vt:variant>
      <vt:variant>
        <vt:lpwstr>https://www.itu.int/en/ITU-T/Workshops-and-Seminars/bsg/201710/Pages/default.aspx</vt:lpwstr>
      </vt:variant>
      <vt:variant>
        <vt:lpwstr/>
      </vt:variant>
      <vt:variant>
        <vt:i4>655383</vt:i4>
      </vt:variant>
      <vt:variant>
        <vt:i4>1527</vt:i4>
      </vt:variant>
      <vt:variant>
        <vt:i4>0</vt:i4>
      </vt:variant>
      <vt:variant>
        <vt:i4>5</vt:i4>
      </vt:variant>
      <vt:variant>
        <vt:lpwstr>https://www.itu.int/en/ITU-T/Workshops-and-Seminars/bsg/201710/Pages/default.aspx</vt:lpwstr>
      </vt:variant>
      <vt:variant>
        <vt:lpwstr/>
      </vt:variant>
      <vt:variant>
        <vt:i4>589846</vt:i4>
      </vt:variant>
      <vt:variant>
        <vt:i4>1524</vt:i4>
      </vt:variant>
      <vt:variant>
        <vt:i4>0</vt:i4>
      </vt:variant>
      <vt:variant>
        <vt:i4>5</vt:i4>
      </vt:variant>
      <vt:variant>
        <vt:lpwstr>https://www.itu.int/en/ITU-T/Workshops-and-Seminars/bsg/201703/Pages/default.aspx</vt:lpwstr>
      </vt:variant>
      <vt:variant>
        <vt:lpwstr/>
      </vt:variant>
      <vt:variant>
        <vt:i4>589846</vt:i4>
      </vt:variant>
      <vt:variant>
        <vt:i4>1521</vt:i4>
      </vt:variant>
      <vt:variant>
        <vt:i4>0</vt:i4>
      </vt:variant>
      <vt:variant>
        <vt:i4>5</vt:i4>
      </vt:variant>
      <vt:variant>
        <vt:lpwstr>https://www.itu.int/en/ITU-T/Workshops-and-Seminars/bsg/201703/Pages/default.aspx</vt:lpwstr>
      </vt:variant>
      <vt:variant>
        <vt:lpwstr/>
      </vt:variant>
      <vt:variant>
        <vt:i4>589846</vt:i4>
      </vt:variant>
      <vt:variant>
        <vt:i4>1518</vt:i4>
      </vt:variant>
      <vt:variant>
        <vt:i4>0</vt:i4>
      </vt:variant>
      <vt:variant>
        <vt:i4>5</vt:i4>
      </vt:variant>
      <vt:variant>
        <vt:lpwstr>https://www.itu.int/en/ITU-T/Workshops-and-Seminars/bsg/201703/Pages/default.aspx</vt:lpwstr>
      </vt:variant>
      <vt:variant>
        <vt:lpwstr/>
      </vt:variant>
      <vt:variant>
        <vt:i4>589846</vt:i4>
      </vt:variant>
      <vt:variant>
        <vt:i4>1515</vt:i4>
      </vt:variant>
      <vt:variant>
        <vt:i4>0</vt:i4>
      </vt:variant>
      <vt:variant>
        <vt:i4>5</vt:i4>
      </vt:variant>
      <vt:variant>
        <vt:lpwstr>https://www.itu.int/en/ITU-T/Workshops-and-Seminars/bsg/201703/Pages/default.aspx</vt:lpwstr>
      </vt:variant>
      <vt:variant>
        <vt:lpwstr/>
      </vt:variant>
      <vt:variant>
        <vt:i4>3276838</vt:i4>
      </vt:variant>
      <vt:variant>
        <vt:i4>1512</vt:i4>
      </vt:variant>
      <vt:variant>
        <vt:i4>0</vt:i4>
      </vt:variant>
      <vt:variant>
        <vt:i4>5</vt:i4>
      </vt:variant>
      <vt:variant>
        <vt:lpwstr>https://www.itu.int/en/ITU-T/Workshops-and-Seminars/bsg/20180205/Pages/default.aspx</vt:lpwstr>
      </vt:variant>
      <vt:variant>
        <vt:lpwstr/>
      </vt:variant>
      <vt:variant>
        <vt:i4>196630</vt:i4>
      </vt:variant>
      <vt:variant>
        <vt:i4>1509</vt:i4>
      </vt:variant>
      <vt:variant>
        <vt:i4>0</vt:i4>
      </vt:variant>
      <vt:variant>
        <vt:i4>5</vt:i4>
      </vt:variant>
      <vt:variant>
        <vt:lpwstr>https://www.itu.int/en/ITU-T/Workshops-and-Seminars/bsg/201806/Pages/default.aspx</vt:lpwstr>
      </vt:variant>
      <vt:variant>
        <vt:lpwstr/>
      </vt:variant>
      <vt:variant>
        <vt:i4>3145766</vt:i4>
      </vt:variant>
      <vt:variant>
        <vt:i4>1506</vt:i4>
      </vt:variant>
      <vt:variant>
        <vt:i4>0</vt:i4>
      </vt:variant>
      <vt:variant>
        <vt:i4>5</vt:i4>
      </vt:variant>
      <vt:variant>
        <vt:lpwstr>https://www.itu.int/en/ITU-T/Workshops-and-Seminars/bsg/20181217/Pages/default.aspx</vt:lpwstr>
      </vt:variant>
      <vt:variant>
        <vt:lpwstr/>
      </vt:variant>
      <vt:variant>
        <vt:i4>3538981</vt:i4>
      </vt:variant>
      <vt:variant>
        <vt:i4>1503</vt:i4>
      </vt:variant>
      <vt:variant>
        <vt:i4>0</vt:i4>
      </vt:variant>
      <vt:variant>
        <vt:i4>5</vt:i4>
      </vt:variant>
      <vt:variant>
        <vt:lpwstr>https://www.itu.int/en/ITU-T/Workshops-and-Seminars/bsg/20191022/Pages/default.aspx</vt:lpwstr>
      </vt:variant>
      <vt:variant>
        <vt:lpwstr/>
      </vt:variant>
      <vt:variant>
        <vt:i4>4063271</vt:i4>
      </vt:variant>
      <vt:variant>
        <vt:i4>1500</vt:i4>
      </vt:variant>
      <vt:variant>
        <vt:i4>0</vt:i4>
      </vt:variant>
      <vt:variant>
        <vt:i4>5</vt:i4>
      </vt:variant>
      <vt:variant>
        <vt:lpwstr>https://www.itu.int/en/ITU-T/Workshops-and-Seminars/bsg/20190218/Pages/default.aspx</vt:lpwstr>
      </vt:variant>
      <vt:variant>
        <vt:lpwstr/>
      </vt:variant>
      <vt:variant>
        <vt:i4>262167</vt:i4>
      </vt:variant>
      <vt:variant>
        <vt:i4>1497</vt:i4>
      </vt:variant>
      <vt:variant>
        <vt:i4>0</vt:i4>
      </vt:variant>
      <vt:variant>
        <vt:i4>5</vt:i4>
      </vt:variant>
      <vt:variant>
        <vt:lpwstr>https://www.itu.int/en/ITU-T/Workshops-and-Seminars/bsg/201910/Pages/default.aspx</vt:lpwstr>
      </vt:variant>
      <vt:variant>
        <vt:lpwstr/>
      </vt:variant>
      <vt:variant>
        <vt:i4>7471220</vt:i4>
      </vt:variant>
      <vt:variant>
        <vt:i4>1494</vt:i4>
      </vt:variant>
      <vt:variant>
        <vt:i4>0</vt:i4>
      </vt:variant>
      <vt:variant>
        <vt:i4>5</vt:i4>
      </vt:variant>
      <vt:variant>
        <vt:lpwstr>https://www.itu.int/en/ITU-T/studygroups/2017-2020/13/sg13rgafr/Pages/default.aspx</vt:lpwstr>
      </vt:variant>
      <vt:variant>
        <vt:lpwstr/>
      </vt:variant>
      <vt:variant>
        <vt:i4>4587541</vt:i4>
      </vt:variant>
      <vt:variant>
        <vt:i4>1491</vt:i4>
      </vt:variant>
      <vt:variant>
        <vt:i4>0</vt:i4>
      </vt:variant>
      <vt:variant>
        <vt:i4>5</vt:i4>
      </vt:variant>
      <vt:variant>
        <vt:lpwstr>https://www.itu.int/en/ITU-D/Regional-Presence/CIS/Pages/EVENTS/2020/03_Minsk/03_Minsk.aspx</vt:lpwstr>
      </vt:variant>
      <vt:variant>
        <vt:lpwstr/>
      </vt:variant>
      <vt:variant>
        <vt:i4>6553715</vt:i4>
      </vt:variant>
      <vt:variant>
        <vt:i4>1488</vt:i4>
      </vt:variant>
      <vt:variant>
        <vt:i4>0</vt:i4>
      </vt:variant>
      <vt:variant>
        <vt:i4>5</vt:i4>
      </vt:variant>
      <vt:variant>
        <vt:lpwstr>https://www.itu.int/en/ITU-T/Workshops-and-Seminars/bsg</vt:lpwstr>
      </vt:variant>
      <vt:variant>
        <vt:lpwstr/>
      </vt:variant>
      <vt:variant>
        <vt:i4>2818171</vt:i4>
      </vt:variant>
      <vt:variant>
        <vt:i4>1485</vt:i4>
      </vt:variant>
      <vt:variant>
        <vt:i4>0</vt:i4>
      </vt:variant>
      <vt:variant>
        <vt:i4>5</vt:i4>
      </vt:variant>
      <vt:variant>
        <vt:lpwstr>https://www.itu.int/md/meetingdoc.asp?lang=en&amp;parent=S17-CL-C-0025</vt:lpwstr>
      </vt:variant>
      <vt:variant>
        <vt:lpwstr/>
      </vt:variant>
      <vt:variant>
        <vt:i4>2031719</vt:i4>
      </vt:variant>
      <vt:variant>
        <vt:i4>1482</vt:i4>
      </vt:variant>
      <vt:variant>
        <vt:i4>0</vt:i4>
      </vt:variant>
      <vt:variant>
        <vt:i4>5</vt:i4>
      </vt:variant>
      <vt:variant>
        <vt:lpwstr/>
      </vt:variant>
      <vt:variant>
        <vt:lpwstr>Item44_24</vt:lpwstr>
      </vt:variant>
      <vt:variant>
        <vt:i4>3539065</vt:i4>
      </vt:variant>
      <vt:variant>
        <vt:i4>1473</vt:i4>
      </vt:variant>
      <vt:variant>
        <vt:i4>0</vt:i4>
      </vt:variant>
      <vt:variant>
        <vt:i4>5</vt:i4>
      </vt:variant>
      <vt:variant>
        <vt:lpwstr>http://academy.itu.int/</vt:lpwstr>
      </vt:variant>
      <vt:variant>
        <vt:lpwstr/>
      </vt:variant>
      <vt:variant>
        <vt:i4>7995430</vt:i4>
      </vt:variant>
      <vt:variant>
        <vt:i4>1470</vt:i4>
      </vt:variant>
      <vt:variant>
        <vt:i4>0</vt:i4>
      </vt:variant>
      <vt:variant>
        <vt:i4>5</vt:i4>
      </vt:variant>
      <vt:variant>
        <vt:lpwstr>http://www.itu.int/go/bridging</vt:lpwstr>
      </vt:variant>
      <vt:variant>
        <vt:lpwstr/>
      </vt:variant>
      <vt:variant>
        <vt:i4>1376360</vt:i4>
      </vt:variant>
      <vt:variant>
        <vt:i4>1467</vt:i4>
      </vt:variant>
      <vt:variant>
        <vt:i4>0</vt:i4>
      </vt:variant>
      <vt:variant>
        <vt:i4>5</vt:i4>
      </vt:variant>
      <vt:variant>
        <vt:lpwstr>https://www.itu.int/dms_pub/itu-t/opb/tut/T-TUT-SEC-2015-PDF-E.pdf</vt:lpwstr>
      </vt:variant>
      <vt:variant>
        <vt:lpwstr/>
      </vt:variant>
      <vt:variant>
        <vt:i4>3866751</vt:i4>
      </vt:variant>
      <vt:variant>
        <vt:i4>1464</vt:i4>
      </vt:variant>
      <vt:variant>
        <vt:i4>0</vt:i4>
      </vt:variant>
      <vt:variant>
        <vt:i4>5</vt:i4>
      </vt:variant>
      <vt:variant>
        <vt:lpwstr>http://www.itu.int/pub/publications.aspx?lang=en&amp;parent=T-TUT-SEC-2016</vt:lpwstr>
      </vt:variant>
      <vt:variant>
        <vt:lpwstr/>
      </vt:variant>
      <vt:variant>
        <vt:i4>7012475</vt:i4>
      </vt:variant>
      <vt:variant>
        <vt:i4>1461</vt:i4>
      </vt:variant>
      <vt:variant>
        <vt:i4>0</vt:i4>
      </vt:variant>
      <vt:variant>
        <vt:i4>5</vt:i4>
      </vt:variant>
      <vt:variant>
        <vt:lpwstr>https://www.itu.int/pub/T-TUT-IPTV-2017-GUIDE.1</vt:lpwstr>
      </vt:variant>
      <vt:variant>
        <vt:lpwstr/>
      </vt:variant>
      <vt:variant>
        <vt:i4>6488135</vt:i4>
      </vt:variant>
      <vt:variant>
        <vt:i4>1458</vt:i4>
      </vt:variant>
      <vt:variant>
        <vt:i4>0</vt:i4>
      </vt:variant>
      <vt:variant>
        <vt:i4>5</vt:i4>
      </vt:variant>
      <vt:variant>
        <vt:lpwstr>https://www.itu.int/ITU-T/workprog/wp_item.aspx?isn=14423</vt:lpwstr>
      </vt:variant>
      <vt:variant>
        <vt:lpwstr/>
      </vt:variant>
      <vt:variant>
        <vt:i4>4784208</vt:i4>
      </vt:variant>
      <vt:variant>
        <vt:i4>1455</vt:i4>
      </vt:variant>
      <vt:variant>
        <vt:i4>0</vt:i4>
      </vt:variant>
      <vt:variant>
        <vt:i4>5</vt:i4>
      </vt:variant>
      <vt:variant>
        <vt:lpwstr>https://www.itu.int/md/meetingdoc.asp?lang=en&amp;parent=T17-SG13-200720-TD-PLEN-0306</vt:lpwstr>
      </vt:variant>
      <vt:variant>
        <vt:lpwstr/>
      </vt:variant>
      <vt:variant>
        <vt:i4>2687063</vt:i4>
      </vt:variant>
      <vt:variant>
        <vt:i4>1452</vt:i4>
      </vt:variant>
      <vt:variant>
        <vt:i4>0</vt:i4>
      </vt:variant>
      <vt:variant>
        <vt:i4>5</vt:i4>
      </vt:variant>
      <vt:variant>
        <vt:lpwstr>https://www.itu.int/ITU-T/recommendations/index_sg.aspx?sg=9</vt:lpwstr>
      </vt:variant>
      <vt:variant>
        <vt:lpwstr>:~:text=J%20Suppl.%2011%3A%20Guidelines%20for%20installing%20a%20digital%20television%20service%20for%20cable%20networks%20based%20on%20ITU%2DT%20Recommendations</vt:lpwstr>
      </vt:variant>
      <vt:variant>
        <vt:i4>7929981</vt:i4>
      </vt:variant>
      <vt:variant>
        <vt:i4>1449</vt:i4>
      </vt:variant>
      <vt:variant>
        <vt:i4>0</vt:i4>
      </vt:variant>
      <vt:variant>
        <vt:i4>5</vt:i4>
      </vt:variant>
      <vt:variant>
        <vt:lpwstr>https://www.itu.int/en/ITU-T/climatechange/Pages/20210602.aspx</vt:lpwstr>
      </vt:variant>
      <vt:variant>
        <vt:lpwstr/>
      </vt:variant>
      <vt:variant>
        <vt:i4>7471220</vt:i4>
      </vt:variant>
      <vt:variant>
        <vt:i4>1446</vt:i4>
      </vt:variant>
      <vt:variant>
        <vt:i4>0</vt:i4>
      </vt:variant>
      <vt:variant>
        <vt:i4>5</vt:i4>
      </vt:variant>
      <vt:variant>
        <vt:lpwstr>https://www.itu.int/en/ITU-T/studygroups/2017-2020/20/sg20rgafr/Pages/default.aspx</vt:lpwstr>
      </vt:variant>
      <vt:variant>
        <vt:lpwstr/>
      </vt:variant>
      <vt:variant>
        <vt:i4>2818087</vt:i4>
      </vt:variant>
      <vt:variant>
        <vt:i4>1443</vt:i4>
      </vt:variant>
      <vt:variant>
        <vt:i4>0</vt:i4>
      </vt:variant>
      <vt:variant>
        <vt:i4>5</vt:i4>
      </vt:variant>
      <vt:variant>
        <vt:lpwstr>https://www.itu.int/en/ITU-T/climatechange/Pages/1st-Digital-African-Week.aspx</vt:lpwstr>
      </vt:variant>
      <vt:variant>
        <vt:lpwstr/>
      </vt:variant>
      <vt:variant>
        <vt:i4>2687103</vt:i4>
      </vt:variant>
      <vt:variant>
        <vt:i4>1440</vt:i4>
      </vt:variant>
      <vt:variant>
        <vt:i4>0</vt:i4>
      </vt:variant>
      <vt:variant>
        <vt:i4>5</vt:i4>
      </vt:variant>
      <vt:variant>
        <vt:lpwstr>https://www.itu.int/net4/wsis/forum/2020/Agenda/Session/267</vt:lpwstr>
      </vt:variant>
      <vt:variant>
        <vt:lpwstr/>
      </vt:variant>
      <vt:variant>
        <vt:i4>65625</vt:i4>
      </vt:variant>
      <vt:variant>
        <vt:i4>1437</vt:i4>
      </vt:variant>
      <vt:variant>
        <vt:i4>0</vt:i4>
      </vt:variant>
      <vt:variant>
        <vt:i4>5</vt:i4>
      </vt:variant>
      <vt:variant>
        <vt:lpwstr>https://www.itu.int/ITU-T/recommendations/rec.aspx?rec=14367</vt:lpwstr>
      </vt:variant>
      <vt:variant>
        <vt:lpwstr/>
      </vt:variant>
      <vt:variant>
        <vt:i4>3276905</vt:i4>
      </vt:variant>
      <vt:variant>
        <vt:i4>1434</vt:i4>
      </vt:variant>
      <vt:variant>
        <vt:i4>0</vt:i4>
      </vt:variant>
      <vt:variant>
        <vt:i4>5</vt:i4>
      </vt:variant>
      <vt:variant>
        <vt:lpwstr>https://www.itu.int/ITU-T/recommendations/rec.aspx?rec=325</vt:lpwstr>
      </vt:variant>
      <vt:variant>
        <vt:lpwstr/>
      </vt:variant>
      <vt:variant>
        <vt:i4>4915241</vt:i4>
      </vt:variant>
      <vt:variant>
        <vt:i4>1431</vt:i4>
      </vt:variant>
      <vt:variant>
        <vt:i4>0</vt:i4>
      </vt:variant>
      <vt:variant>
        <vt:i4>5</vt:i4>
      </vt:variant>
      <vt:variant>
        <vt:lpwstr/>
      </vt:variant>
      <vt:variant>
        <vt:lpwstr>Resolution_34</vt:lpwstr>
      </vt:variant>
      <vt:variant>
        <vt:i4>2621482</vt:i4>
      </vt:variant>
      <vt:variant>
        <vt:i4>1428</vt:i4>
      </vt:variant>
      <vt:variant>
        <vt:i4>0</vt:i4>
      </vt:variant>
      <vt:variant>
        <vt:i4>5</vt:i4>
      </vt:variant>
      <vt:variant>
        <vt:lpwstr>https://www.itu.int/en/ITU-T/gap/Documents/nss-rep-may.pdf</vt:lpwstr>
      </vt:variant>
      <vt:variant>
        <vt:lpwstr/>
      </vt:variant>
      <vt:variant>
        <vt:i4>7274618</vt:i4>
      </vt:variant>
      <vt:variant>
        <vt:i4>1425</vt:i4>
      </vt:variant>
      <vt:variant>
        <vt:i4>0</vt:i4>
      </vt:variant>
      <vt:variant>
        <vt:i4>5</vt:i4>
      </vt:variant>
      <vt:variant>
        <vt:lpwstr>https://www.itu.int/md/T17-TSAG-200210-TD-GEN-0727</vt:lpwstr>
      </vt:variant>
      <vt:variant>
        <vt:lpwstr/>
      </vt:variant>
      <vt:variant>
        <vt:i4>6815865</vt:i4>
      </vt:variant>
      <vt:variant>
        <vt:i4>1422</vt:i4>
      </vt:variant>
      <vt:variant>
        <vt:i4>0</vt:i4>
      </vt:variant>
      <vt:variant>
        <vt:i4>5</vt:i4>
      </vt:variant>
      <vt:variant>
        <vt:lpwstr>https://www.itu.int/md/T17-TSAG-190923-TD-GEN-0610</vt:lpwstr>
      </vt:variant>
      <vt:variant>
        <vt:lpwstr/>
      </vt:variant>
      <vt:variant>
        <vt:i4>7274612</vt:i4>
      </vt:variant>
      <vt:variant>
        <vt:i4>1419</vt:i4>
      </vt:variant>
      <vt:variant>
        <vt:i4>0</vt:i4>
      </vt:variant>
      <vt:variant>
        <vt:i4>5</vt:i4>
      </vt:variant>
      <vt:variant>
        <vt:lpwstr/>
      </vt:variant>
      <vt:variant>
        <vt:lpwstr>Top</vt:lpwstr>
      </vt:variant>
      <vt:variant>
        <vt:i4>7798820</vt:i4>
      </vt:variant>
      <vt:variant>
        <vt:i4>1416</vt:i4>
      </vt:variant>
      <vt:variant>
        <vt:i4>0</vt:i4>
      </vt:variant>
      <vt:variant>
        <vt:i4>5</vt:i4>
      </vt:variant>
      <vt:variant>
        <vt:lpwstr>https://www.itu.int/en/ITU-T/wtsa20/irc/Pages/default.aspx</vt:lpwstr>
      </vt:variant>
      <vt:variant>
        <vt:lpwstr/>
      </vt:variant>
      <vt:variant>
        <vt:i4>2687092</vt:i4>
      </vt:variant>
      <vt:variant>
        <vt:i4>1413</vt:i4>
      </vt:variant>
      <vt:variant>
        <vt:i4>0</vt:i4>
      </vt:variant>
      <vt:variant>
        <vt:i4>5</vt:i4>
      </vt:variant>
      <vt:variant>
        <vt:lpwstr>https://www.itu.int/en/ITU-T/wtsa20/prepmeet/Pages/default.aspx</vt:lpwstr>
      </vt:variant>
      <vt:variant>
        <vt:lpwstr/>
      </vt:variant>
      <vt:variant>
        <vt:i4>7274612</vt:i4>
      </vt:variant>
      <vt:variant>
        <vt:i4>1410</vt:i4>
      </vt:variant>
      <vt:variant>
        <vt:i4>0</vt:i4>
      </vt:variant>
      <vt:variant>
        <vt:i4>5</vt:i4>
      </vt:variant>
      <vt:variant>
        <vt:lpwstr/>
      </vt:variant>
      <vt:variant>
        <vt:lpwstr>Top</vt:lpwstr>
      </vt:variant>
      <vt:variant>
        <vt:i4>7274612</vt:i4>
      </vt:variant>
      <vt:variant>
        <vt:i4>1407</vt:i4>
      </vt:variant>
      <vt:variant>
        <vt:i4>0</vt:i4>
      </vt:variant>
      <vt:variant>
        <vt:i4>5</vt:i4>
      </vt:variant>
      <vt:variant>
        <vt:lpwstr/>
      </vt:variant>
      <vt:variant>
        <vt:lpwstr>Top</vt:lpwstr>
      </vt:variant>
      <vt:variant>
        <vt:i4>7209067</vt:i4>
      </vt:variant>
      <vt:variant>
        <vt:i4>1404</vt:i4>
      </vt:variant>
      <vt:variant>
        <vt:i4>0</vt:i4>
      </vt:variant>
      <vt:variant>
        <vt:i4>5</vt:i4>
      </vt:variant>
      <vt:variant>
        <vt:lpwstr>http://www.itu.int/md/T17-TSB-CIR-0202</vt:lpwstr>
      </vt:variant>
      <vt:variant>
        <vt:lpwstr/>
      </vt:variant>
      <vt:variant>
        <vt:i4>1835110</vt:i4>
      </vt:variant>
      <vt:variant>
        <vt:i4>1401</vt:i4>
      </vt:variant>
      <vt:variant>
        <vt:i4>0</vt:i4>
      </vt:variant>
      <vt:variant>
        <vt:i4>5</vt:i4>
      </vt:variant>
      <vt:variant>
        <vt:lpwstr/>
      </vt:variant>
      <vt:variant>
        <vt:lpwstr>Item55_01</vt:lpwstr>
      </vt:variant>
      <vt:variant>
        <vt:i4>1900647</vt:i4>
      </vt:variant>
      <vt:variant>
        <vt:i4>1398</vt:i4>
      </vt:variant>
      <vt:variant>
        <vt:i4>0</vt:i4>
      </vt:variant>
      <vt:variant>
        <vt:i4>5</vt:i4>
      </vt:variant>
      <vt:variant>
        <vt:lpwstr/>
      </vt:variant>
      <vt:variant>
        <vt:lpwstr>Item44_01</vt:lpwstr>
      </vt:variant>
      <vt:variant>
        <vt:i4>7274612</vt:i4>
      </vt:variant>
      <vt:variant>
        <vt:i4>1395</vt:i4>
      </vt:variant>
      <vt:variant>
        <vt:i4>0</vt:i4>
      </vt:variant>
      <vt:variant>
        <vt:i4>5</vt:i4>
      </vt:variant>
      <vt:variant>
        <vt:lpwstr/>
      </vt:variant>
      <vt:variant>
        <vt:lpwstr>Top</vt:lpwstr>
      </vt:variant>
      <vt:variant>
        <vt:i4>1900647</vt:i4>
      </vt:variant>
      <vt:variant>
        <vt:i4>1392</vt:i4>
      </vt:variant>
      <vt:variant>
        <vt:i4>0</vt:i4>
      </vt:variant>
      <vt:variant>
        <vt:i4>5</vt:i4>
      </vt:variant>
      <vt:variant>
        <vt:lpwstr/>
      </vt:variant>
      <vt:variant>
        <vt:lpwstr>Item44_01</vt:lpwstr>
      </vt:variant>
      <vt:variant>
        <vt:i4>7274612</vt:i4>
      </vt:variant>
      <vt:variant>
        <vt:i4>1389</vt:i4>
      </vt:variant>
      <vt:variant>
        <vt:i4>0</vt:i4>
      </vt:variant>
      <vt:variant>
        <vt:i4>5</vt:i4>
      </vt:variant>
      <vt:variant>
        <vt:lpwstr/>
      </vt:variant>
      <vt:variant>
        <vt:lpwstr>Top</vt:lpwstr>
      </vt:variant>
      <vt:variant>
        <vt:i4>1507330</vt:i4>
      </vt:variant>
      <vt:variant>
        <vt:i4>1386</vt:i4>
      </vt:variant>
      <vt:variant>
        <vt:i4>0</vt:i4>
      </vt:variant>
      <vt:variant>
        <vt:i4>5</vt:i4>
      </vt:variant>
      <vt:variant>
        <vt:lpwstr>https://www.itu.int/ifa/t/2017/tsag/exchange/AHG-GME/</vt:lpwstr>
      </vt:variant>
      <vt:variant>
        <vt:lpwstr/>
      </vt:variant>
      <vt:variant>
        <vt:i4>524371</vt:i4>
      </vt:variant>
      <vt:variant>
        <vt:i4>1383</vt:i4>
      </vt:variant>
      <vt:variant>
        <vt:i4>0</vt:i4>
      </vt:variant>
      <vt:variant>
        <vt:i4>5</vt:i4>
      </vt:variant>
      <vt:variant>
        <vt:lpwstr>https://www.itu.int/en/ITU-T/studygroups/2017-2020/17/Pages/default.aspx</vt:lpwstr>
      </vt:variant>
      <vt:variant>
        <vt:lpwstr/>
      </vt:variant>
      <vt:variant>
        <vt:i4>1114199</vt:i4>
      </vt:variant>
      <vt:variant>
        <vt:i4>1380</vt:i4>
      </vt:variant>
      <vt:variant>
        <vt:i4>0</vt:i4>
      </vt:variant>
      <vt:variant>
        <vt:i4>5</vt:i4>
      </vt:variant>
      <vt:variant>
        <vt:lpwstr>https://www.itu.int/en/ITU-T/studygroups/2017-2020/17/Pages/mandate.aspx</vt:lpwstr>
      </vt:variant>
      <vt:variant>
        <vt:lpwstr/>
      </vt:variant>
      <vt:variant>
        <vt:i4>5636113</vt:i4>
      </vt:variant>
      <vt:variant>
        <vt:i4>1377</vt:i4>
      </vt:variant>
      <vt:variant>
        <vt:i4>0</vt:i4>
      </vt:variant>
      <vt:variant>
        <vt:i4>5</vt:i4>
      </vt:variant>
      <vt:variant>
        <vt:lpwstr>https://www.itu.int/en/ITU-T/studygroups/2017-2020/13/Pages/Tutorial-on-QKD.aspx</vt:lpwstr>
      </vt:variant>
      <vt:variant>
        <vt:lpwstr/>
      </vt:variant>
      <vt:variant>
        <vt:i4>6815789</vt:i4>
      </vt:variant>
      <vt:variant>
        <vt:i4>1374</vt:i4>
      </vt:variant>
      <vt:variant>
        <vt:i4>0</vt:i4>
      </vt:variant>
      <vt:variant>
        <vt:i4>5</vt:i4>
      </vt:variant>
      <vt:variant>
        <vt:lpwstr>https://www.itu.int/en/ITU-T/studygroups/2017-2020/13/Pages/CB-Future-Networks.aspx</vt:lpwstr>
      </vt:variant>
      <vt:variant>
        <vt:lpwstr/>
      </vt:variant>
      <vt:variant>
        <vt:i4>1638486</vt:i4>
      </vt:variant>
      <vt:variant>
        <vt:i4>1371</vt:i4>
      </vt:variant>
      <vt:variant>
        <vt:i4>0</vt:i4>
      </vt:variant>
      <vt:variant>
        <vt:i4>5</vt:i4>
      </vt:variant>
      <vt:variant>
        <vt:lpwstr>https://www.itu.int/en/ITU-T/studygroups/2017-2020/12/Pages/resolution95.aspx</vt:lpwstr>
      </vt:variant>
      <vt:variant>
        <vt:lpwstr/>
      </vt:variant>
      <vt:variant>
        <vt:i4>720983</vt:i4>
      </vt:variant>
      <vt:variant>
        <vt:i4>1368</vt:i4>
      </vt:variant>
      <vt:variant>
        <vt:i4>0</vt:i4>
      </vt:variant>
      <vt:variant>
        <vt:i4>5</vt:i4>
      </vt:variant>
      <vt:variant>
        <vt:lpwstr>https://www.itu.int/en/ITU-T/studygroups/2017-2020/11/Pages/counterfeit.aspx</vt:lpwstr>
      </vt:variant>
      <vt:variant>
        <vt:lpwstr/>
      </vt:variant>
      <vt:variant>
        <vt:i4>4522056</vt:i4>
      </vt:variant>
      <vt:variant>
        <vt:i4>1365</vt:i4>
      </vt:variant>
      <vt:variant>
        <vt:i4>0</vt:i4>
      </vt:variant>
      <vt:variant>
        <vt:i4>5</vt:i4>
      </vt:variant>
      <vt:variant>
        <vt:lpwstr>https://www.itu.int/en/irg/Pages/default.aspx</vt:lpwstr>
      </vt:variant>
      <vt:variant>
        <vt:lpwstr/>
      </vt:variant>
      <vt:variant>
        <vt:i4>8192052</vt:i4>
      </vt:variant>
      <vt:variant>
        <vt:i4>1362</vt:i4>
      </vt:variant>
      <vt:variant>
        <vt:i4>0</vt:i4>
      </vt:variant>
      <vt:variant>
        <vt:i4>5</vt:i4>
      </vt:variant>
      <vt:variant>
        <vt:lpwstr>https://www.itu.int/en/ITU-T/studygroups/2017-2020/09/Pages/workshops.aspx</vt:lpwstr>
      </vt:variant>
      <vt:variant>
        <vt:lpwstr/>
      </vt:variant>
      <vt:variant>
        <vt:i4>65565</vt:i4>
      </vt:variant>
      <vt:variant>
        <vt:i4>1359</vt:i4>
      </vt:variant>
      <vt:variant>
        <vt:i4>0</vt:i4>
      </vt:variant>
      <vt:variant>
        <vt:i4>5</vt:i4>
      </vt:variant>
      <vt:variant>
        <vt:lpwstr>https://extranet.itu.int/sites/itu-t/studygroups/2017-2020/sg2/SitePages/Numbering Applications Monitor.aspx</vt:lpwstr>
      </vt:variant>
      <vt:variant>
        <vt:lpwstr/>
      </vt:variant>
      <vt:variant>
        <vt:i4>3670050</vt:i4>
      </vt:variant>
      <vt:variant>
        <vt:i4>1356</vt:i4>
      </vt:variant>
      <vt:variant>
        <vt:i4>0</vt:i4>
      </vt:variant>
      <vt:variant>
        <vt:i4>5</vt:i4>
      </vt:variant>
      <vt:variant>
        <vt:lpwstr>https://www.itu.int/en/ITU-T/inr/Pages/default.aspx</vt:lpwstr>
      </vt:variant>
      <vt:variant>
        <vt:lpwstr/>
      </vt:variant>
      <vt:variant>
        <vt:i4>1704000</vt:i4>
      </vt:variant>
      <vt:variant>
        <vt:i4>1353</vt:i4>
      </vt:variant>
      <vt:variant>
        <vt:i4>0</vt:i4>
      </vt:variant>
      <vt:variant>
        <vt:i4>5</vt:i4>
      </vt:variant>
      <vt:variant>
        <vt:lpwstr>http://www.itu.int/go/citest</vt:lpwstr>
      </vt:variant>
      <vt:variant>
        <vt:lpwstr/>
      </vt:variant>
      <vt:variant>
        <vt:i4>786460</vt:i4>
      </vt:variant>
      <vt:variant>
        <vt:i4>1350</vt:i4>
      </vt:variant>
      <vt:variant>
        <vt:i4>0</vt:i4>
      </vt:variant>
      <vt:variant>
        <vt:i4>5</vt:i4>
      </vt:variant>
      <vt:variant>
        <vt:lpwstr>https://www.itu.int/en/ITU-T/ssc/united/Pages/publication-U4SSC-KPIs.aspx</vt:lpwstr>
      </vt:variant>
      <vt:variant>
        <vt:lpwstr/>
      </vt:variant>
      <vt:variant>
        <vt:i4>6160401</vt:i4>
      </vt:variant>
      <vt:variant>
        <vt:i4>1347</vt:i4>
      </vt:variant>
      <vt:variant>
        <vt:i4>0</vt:i4>
      </vt:variant>
      <vt:variant>
        <vt:i4>5</vt:i4>
      </vt:variant>
      <vt:variant>
        <vt:lpwstr>https://www.itu.int/en/ITU-T/ssc/united/Pages/publications-U4SSC.aspx</vt:lpwstr>
      </vt:variant>
      <vt:variant>
        <vt:lpwstr/>
      </vt:variant>
      <vt:variant>
        <vt:i4>1245279</vt:i4>
      </vt:variant>
      <vt:variant>
        <vt:i4>1344</vt:i4>
      </vt:variant>
      <vt:variant>
        <vt:i4>0</vt:i4>
      </vt:variant>
      <vt:variant>
        <vt:i4>5</vt:i4>
      </vt:variant>
      <vt:variant>
        <vt:lpwstr>https://www.itu.int/en/ITU-T/ssc/united/</vt:lpwstr>
      </vt:variant>
      <vt:variant>
        <vt:lpwstr/>
      </vt:variant>
      <vt:variant>
        <vt:i4>2097185</vt:i4>
      </vt:variant>
      <vt:variant>
        <vt:i4>1341</vt:i4>
      </vt:variant>
      <vt:variant>
        <vt:i4>0</vt:i4>
      </vt:variant>
      <vt:variant>
        <vt:i4>5</vt:i4>
      </vt:variant>
      <vt:variant>
        <vt:lpwstr>https://www.itu.int/en/ITU-T/emf/Pages/default.aspx</vt:lpwstr>
      </vt:variant>
      <vt:variant>
        <vt:lpwstr/>
      </vt:variant>
      <vt:variant>
        <vt:i4>3670125</vt:i4>
      </vt:variant>
      <vt:variant>
        <vt:i4>1338</vt:i4>
      </vt:variant>
      <vt:variant>
        <vt:i4>0</vt:i4>
      </vt:variant>
      <vt:variant>
        <vt:i4>5</vt:i4>
      </vt:variant>
      <vt:variant>
        <vt:lpwstr>https://www.itu.int/en/ITU-T/climatechange</vt:lpwstr>
      </vt:variant>
      <vt:variant>
        <vt:lpwstr/>
      </vt:variant>
      <vt:variant>
        <vt:i4>3997753</vt:i4>
      </vt:variant>
      <vt:variant>
        <vt:i4>1335</vt:i4>
      </vt:variant>
      <vt:variant>
        <vt:i4>0</vt:i4>
      </vt:variant>
      <vt:variant>
        <vt:i4>5</vt:i4>
      </vt:variant>
      <vt:variant>
        <vt:lpwstr>https://www.itu.int/en/ITU-T/ssc/united/Pages/reports-SSC.aspx</vt:lpwstr>
      </vt:variant>
      <vt:variant>
        <vt:lpwstr/>
      </vt:variant>
      <vt:variant>
        <vt:i4>4521998</vt:i4>
      </vt:variant>
      <vt:variant>
        <vt:i4>1332</vt:i4>
      </vt:variant>
      <vt:variant>
        <vt:i4>0</vt:i4>
      </vt:variant>
      <vt:variant>
        <vt:i4>5</vt:i4>
      </vt:variant>
      <vt:variant>
        <vt:lpwstr>https://www.itu.int/en/ITU-T/ssc</vt:lpwstr>
      </vt:variant>
      <vt:variant>
        <vt:lpwstr/>
      </vt:variant>
      <vt:variant>
        <vt:i4>3473445</vt:i4>
      </vt:variant>
      <vt:variant>
        <vt:i4>1329</vt:i4>
      </vt:variant>
      <vt:variant>
        <vt:i4>0</vt:i4>
      </vt:variant>
      <vt:variant>
        <vt:i4>5</vt:i4>
      </vt:variant>
      <vt:variant>
        <vt:lpwstr>http://www.itu.int/myworkspace/</vt:lpwstr>
      </vt:variant>
      <vt:variant>
        <vt:lpwstr/>
      </vt:variant>
      <vt:variant>
        <vt:i4>6619179</vt:i4>
      </vt:variant>
      <vt:variant>
        <vt:i4>1326</vt:i4>
      </vt:variant>
      <vt:variant>
        <vt:i4>0</vt:i4>
      </vt:variant>
      <vt:variant>
        <vt:i4>5</vt:i4>
      </vt:variant>
      <vt:variant>
        <vt:lpwstr>https://bigbluebutton.org/</vt:lpwstr>
      </vt:variant>
      <vt:variant>
        <vt:lpwstr/>
      </vt:variant>
      <vt:variant>
        <vt:i4>7602284</vt:i4>
      </vt:variant>
      <vt:variant>
        <vt:i4>1323</vt:i4>
      </vt:variant>
      <vt:variant>
        <vt:i4>0</vt:i4>
      </vt:variant>
      <vt:variant>
        <vt:i4>5</vt:i4>
      </vt:variant>
      <vt:variant>
        <vt:lpwstr>https://www.itu.int/net4/ITU-T/nnp</vt:lpwstr>
      </vt:variant>
      <vt:variant>
        <vt:lpwstr/>
      </vt:variant>
      <vt:variant>
        <vt:i4>2031636</vt:i4>
      </vt:variant>
      <vt:variant>
        <vt:i4>1320</vt:i4>
      </vt:variant>
      <vt:variant>
        <vt:i4>0</vt:i4>
      </vt:variant>
      <vt:variant>
        <vt:i4>5</vt:i4>
      </vt:variant>
      <vt:variant>
        <vt:lpwstr>https://www.itu.int/net4/ITU-T/landscape</vt:lpwstr>
      </vt:variant>
      <vt:variant>
        <vt:lpwstr/>
      </vt:variant>
      <vt:variant>
        <vt:i4>1179742</vt:i4>
      </vt:variant>
      <vt:variant>
        <vt:i4>1317</vt:i4>
      </vt:variant>
      <vt:variant>
        <vt:i4>0</vt:i4>
      </vt:variant>
      <vt:variant>
        <vt:i4>5</vt:i4>
      </vt:variant>
      <vt:variant>
        <vt:lpwstr>https://www.itu.int/myworkspace/</vt:lpwstr>
      </vt:variant>
      <vt:variant>
        <vt:lpwstr/>
      </vt:variant>
      <vt:variant>
        <vt:i4>2883632</vt:i4>
      </vt:variant>
      <vt:variant>
        <vt:i4>1314</vt:i4>
      </vt:variant>
      <vt:variant>
        <vt:i4>0</vt:i4>
      </vt:variant>
      <vt:variant>
        <vt:i4>5</vt:i4>
      </vt:variant>
      <vt:variant>
        <vt:lpwstr>https://www.itu.int/search</vt:lpwstr>
      </vt:variant>
      <vt:variant>
        <vt:lpwstr/>
      </vt:variant>
      <vt:variant>
        <vt:i4>7012402</vt:i4>
      </vt:variant>
      <vt:variant>
        <vt:i4>1311</vt:i4>
      </vt:variant>
      <vt:variant>
        <vt:i4>0</vt:i4>
      </vt:variant>
      <vt:variant>
        <vt:i4>5</vt:i4>
      </vt:variant>
      <vt:variant>
        <vt:lpwstr>https://www.itu.int/search</vt:lpwstr>
      </vt:variant>
      <vt:variant>
        <vt:lpwstr>?target=Base%20text&amp;ex=false&amp;q=Resolution%2032&amp;fl=0&amp;sector=t&amp;group=all&amp;collection=General</vt:lpwstr>
      </vt:variant>
      <vt:variant>
        <vt:i4>4325397</vt:i4>
      </vt:variant>
      <vt:variant>
        <vt:i4>1308</vt:i4>
      </vt:variant>
      <vt:variant>
        <vt:i4>0</vt:i4>
      </vt:variant>
      <vt:variant>
        <vt:i4>5</vt:i4>
      </vt:variant>
      <vt:variant>
        <vt:lpwstr>https://www.itu.int/search</vt:lpwstr>
      </vt:variant>
      <vt:variant>
        <vt:lpwstr>?target=Social%20media</vt:lpwstr>
      </vt:variant>
      <vt:variant>
        <vt:i4>5308427</vt:i4>
      </vt:variant>
      <vt:variant>
        <vt:i4>1305</vt:i4>
      </vt:variant>
      <vt:variant>
        <vt:i4>0</vt:i4>
      </vt:variant>
      <vt:variant>
        <vt:i4>5</vt:i4>
      </vt:variant>
      <vt:variant>
        <vt:lpwstr>https://www.itu.int/search</vt:lpwstr>
      </vt:variant>
      <vt:variant>
        <vt:lpwstr>?target=Media&amp;ex=false&amp;q=TSAG&amp;fl=0</vt:lpwstr>
      </vt:variant>
      <vt:variant>
        <vt:i4>3211374</vt:i4>
      </vt:variant>
      <vt:variant>
        <vt:i4>1302</vt:i4>
      </vt:variant>
      <vt:variant>
        <vt:i4>0</vt:i4>
      </vt:variant>
      <vt:variant>
        <vt:i4>5</vt:i4>
      </vt:variant>
      <vt:variant>
        <vt:lpwstr>https://www.itu.int/search</vt:lpwstr>
      </vt:variant>
      <vt:variant>
        <vt:lpwstr>?target=All&amp;ex=false&amp;q=TSAG&amp;fl=0</vt:lpwstr>
      </vt:variant>
      <vt:variant>
        <vt:i4>2883632</vt:i4>
      </vt:variant>
      <vt:variant>
        <vt:i4>1299</vt:i4>
      </vt:variant>
      <vt:variant>
        <vt:i4>0</vt:i4>
      </vt:variant>
      <vt:variant>
        <vt:i4>5</vt:i4>
      </vt:variant>
      <vt:variant>
        <vt:lpwstr>https://www.itu.int/search</vt:lpwstr>
      </vt:variant>
      <vt:variant>
        <vt:lpwstr/>
      </vt:variant>
      <vt:variant>
        <vt:i4>6094858</vt:i4>
      </vt:variant>
      <vt:variant>
        <vt:i4>1296</vt:i4>
      </vt:variant>
      <vt:variant>
        <vt:i4>0</vt:i4>
      </vt:variant>
      <vt:variant>
        <vt:i4>5</vt:i4>
      </vt:variant>
      <vt:variant>
        <vt:lpwstr>https://www.itu.int/en/ITU-T/ewm</vt:lpwstr>
      </vt:variant>
      <vt:variant>
        <vt:lpwstr/>
      </vt:variant>
      <vt:variant>
        <vt:i4>5177348</vt:i4>
      </vt:variant>
      <vt:variant>
        <vt:i4>1293</vt:i4>
      </vt:variant>
      <vt:variant>
        <vt:i4>0</vt:i4>
      </vt:variant>
      <vt:variant>
        <vt:i4>5</vt:i4>
      </vt:variant>
      <vt:variant>
        <vt:lpwstr>http://itu.int/go/itu-t/rgm-guide</vt:lpwstr>
      </vt:variant>
      <vt:variant>
        <vt:lpwstr/>
      </vt:variant>
      <vt:variant>
        <vt:i4>7340129</vt:i4>
      </vt:variant>
      <vt:variant>
        <vt:i4>1287</vt:i4>
      </vt:variant>
      <vt:variant>
        <vt:i4>0</vt:i4>
      </vt:variant>
      <vt:variant>
        <vt:i4>5</vt:i4>
      </vt:variant>
      <vt:variant>
        <vt:lpwstr>https://extranet.itu.int/ITU-T/support/</vt:lpwstr>
      </vt:variant>
      <vt:variant>
        <vt:lpwstr/>
      </vt:variant>
      <vt:variant>
        <vt:i4>5439510</vt:i4>
      </vt:variant>
      <vt:variant>
        <vt:i4>1284</vt:i4>
      </vt:variant>
      <vt:variant>
        <vt:i4>0</vt:i4>
      </vt:variant>
      <vt:variant>
        <vt:i4>5</vt:i4>
      </vt:variant>
      <vt:variant>
        <vt:lpwstr>https://www.itu.int/md/meetingdoc.asp?lang=en&amp;parent=T17-TSAG-170501-TD-GEN-0053</vt:lpwstr>
      </vt:variant>
      <vt:variant>
        <vt:lpwstr/>
      </vt:variant>
      <vt:variant>
        <vt:i4>2556027</vt:i4>
      </vt:variant>
      <vt:variant>
        <vt:i4>1281</vt:i4>
      </vt:variant>
      <vt:variant>
        <vt:i4>0</vt:i4>
      </vt:variant>
      <vt:variant>
        <vt:i4>5</vt:i4>
      </vt:variant>
      <vt:variant>
        <vt:lpwstr>https://www.itu.int/md/meetingdoc.asp?lang=en&amp;parent=S17-CL-C-0029</vt:lpwstr>
      </vt:variant>
      <vt:variant>
        <vt:lpwstr/>
      </vt:variant>
      <vt:variant>
        <vt:i4>4325464</vt:i4>
      </vt:variant>
      <vt:variant>
        <vt:i4>1278</vt:i4>
      </vt:variant>
      <vt:variant>
        <vt:i4>0</vt:i4>
      </vt:variant>
      <vt:variant>
        <vt:i4>5</vt:i4>
      </vt:variant>
      <vt:variant>
        <vt:lpwstr>https://www.itu.int/br_tsb_terms</vt:lpwstr>
      </vt:variant>
      <vt:variant>
        <vt:lpwstr/>
      </vt:variant>
      <vt:variant>
        <vt:i4>786436</vt:i4>
      </vt:variant>
      <vt:variant>
        <vt:i4>1275</vt:i4>
      </vt:variant>
      <vt:variant>
        <vt:i4>0</vt:i4>
      </vt:variant>
      <vt:variant>
        <vt:i4>5</vt:i4>
      </vt:variant>
      <vt:variant>
        <vt:lpwstr>https://www.itu.int/net4/ipr/search.aspx?sector=ITU&amp;class=PS</vt:lpwstr>
      </vt:variant>
      <vt:variant>
        <vt:lpwstr/>
      </vt:variant>
      <vt:variant>
        <vt:i4>65545</vt:i4>
      </vt:variant>
      <vt:variant>
        <vt:i4>1272</vt:i4>
      </vt:variant>
      <vt:variant>
        <vt:i4>0</vt:i4>
      </vt:variant>
      <vt:variant>
        <vt:i4>5</vt:i4>
      </vt:variant>
      <vt:variant>
        <vt:lpwstr>https://www.itu.int/myworkspace/</vt:lpwstr>
      </vt:variant>
      <vt:variant>
        <vt:lpwstr>/profile</vt:lpwstr>
      </vt:variant>
      <vt:variant>
        <vt:i4>7536759</vt:i4>
      </vt:variant>
      <vt:variant>
        <vt:i4>1269</vt:i4>
      </vt:variant>
      <vt:variant>
        <vt:i4>0</vt:i4>
      </vt:variant>
      <vt:variant>
        <vt:i4>5</vt:i4>
      </vt:variant>
      <vt:variant>
        <vt:lpwstr>https://www.itu.int/myworkspace/</vt:lpwstr>
      </vt:variant>
      <vt:variant>
        <vt:lpwstr>/Documents/Suggested-Documents</vt:lpwstr>
      </vt:variant>
      <vt:variant>
        <vt:i4>8323111</vt:i4>
      </vt:variant>
      <vt:variant>
        <vt:i4>1266</vt:i4>
      </vt:variant>
      <vt:variant>
        <vt:i4>0</vt:i4>
      </vt:variant>
      <vt:variant>
        <vt:i4>5</vt:i4>
      </vt:variant>
      <vt:variant>
        <vt:lpwstr>https://www.itu.int/myworkspace/</vt:lpwstr>
      </vt:variant>
      <vt:variant>
        <vt:lpwstr>/Documents/MyDocuments</vt:lpwstr>
      </vt:variant>
      <vt:variant>
        <vt:i4>7929961</vt:i4>
      </vt:variant>
      <vt:variant>
        <vt:i4>1263</vt:i4>
      </vt:variant>
      <vt:variant>
        <vt:i4>0</vt:i4>
      </vt:variant>
      <vt:variant>
        <vt:i4>5</vt:i4>
      </vt:variant>
      <vt:variant>
        <vt:lpwstr>https://www.itu.int/myworkspace/</vt:lpwstr>
      </vt:variant>
      <vt:variant>
        <vt:lpwstr>/Community</vt:lpwstr>
      </vt:variant>
      <vt:variant>
        <vt:i4>1572882</vt:i4>
      </vt:variant>
      <vt:variant>
        <vt:i4>1260</vt:i4>
      </vt:variant>
      <vt:variant>
        <vt:i4>0</vt:i4>
      </vt:variant>
      <vt:variant>
        <vt:i4>5</vt:i4>
      </vt:variant>
      <vt:variant>
        <vt:lpwstr>https://www.itu.int/myworkspace/</vt:lpwstr>
      </vt:variant>
      <vt:variant>
        <vt:lpwstr>/Mailing</vt:lpwstr>
      </vt:variant>
      <vt:variant>
        <vt:i4>720981</vt:i4>
      </vt:variant>
      <vt:variant>
        <vt:i4>1257</vt:i4>
      </vt:variant>
      <vt:variant>
        <vt:i4>0</vt:i4>
      </vt:variant>
      <vt:variant>
        <vt:i4>5</vt:i4>
      </vt:variant>
      <vt:variant>
        <vt:lpwstr>https://tsbcloud.itu.int/</vt:lpwstr>
      </vt:variant>
      <vt:variant>
        <vt:lpwstr/>
      </vt:variant>
      <vt:variant>
        <vt:i4>7340149</vt:i4>
      </vt:variant>
      <vt:variant>
        <vt:i4>1254</vt:i4>
      </vt:variant>
      <vt:variant>
        <vt:i4>0</vt:i4>
      </vt:variant>
      <vt:variant>
        <vt:i4>5</vt:i4>
      </vt:variant>
      <vt:variant>
        <vt:lpwstr>https://www.itu.int/myworkspace/</vt:lpwstr>
      </vt:variant>
      <vt:variant>
        <vt:lpwstr>/Translate</vt:lpwstr>
      </vt:variant>
      <vt:variant>
        <vt:i4>1179665</vt:i4>
      </vt:variant>
      <vt:variant>
        <vt:i4>1251</vt:i4>
      </vt:variant>
      <vt:variant>
        <vt:i4>0</vt:i4>
      </vt:variant>
      <vt:variant>
        <vt:i4>5</vt:i4>
      </vt:variant>
      <vt:variant>
        <vt:lpwstr>https://www.itu.int/myworkspace/</vt:lpwstr>
      </vt:variant>
      <vt:variant>
        <vt:lpwstr>/Calendar</vt:lpwstr>
      </vt:variant>
      <vt:variant>
        <vt:i4>720912</vt:i4>
      </vt:variant>
      <vt:variant>
        <vt:i4>1248</vt:i4>
      </vt:variant>
      <vt:variant>
        <vt:i4>0</vt:i4>
      </vt:variant>
      <vt:variant>
        <vt:i4>5</vt:i4>
      </vt:variant>
      <vt:variant>
        <vt:lpwstr>https://www.itu.int/myworkspace/</vt:lpwstr>
      </vt:variant>
      <vt:variant>
        <vt:lpwstr>/Myevents</vt:lpwstr>
      </vt:variant>
      <vt:variant>
        <vt:i4>7929975</vt:i4>
      </vt:variant>
      <vt:variant>
        <vt:i4>1245</vt:i4>
      </vt:variant>
      <vt:variant>
        <vt:i4>0</vt:i4>
      </vt:variant>
      <vt:variant>
        <vt:i4>5</vt:i4>
      </vt:variant>
      <vt:variant>
        <vt:lpwstr>https://www.itu.int/myworkspace/</vt:lpwstr>
      </vt:variant>
      <vt:variant>
        <vt:lpwstr>/MyMeetings</vt:lpwstr>
      </vt:variant>
      <vt:variant>
        <vt:i4>3997755</vt:i4>
      </vt:variant>
      <vt:variant>
        <vt:i4>1242</vt:i4>
      </vt:variant>
      <vt:variant>
        <vt:i4>0</vt:i4>
      </vt:variant>
      <vt:variant>
        <vt:i4>5</vt:i4>
      </vt:variant>
      <vt:variant>
        <vt:lpwstr>https://www.itu.int/myworkspace</vt:lpwstr>
      </vt:variant>
      <vt:variant>
        <vt:lpwstr/>
      </vt:variant>
      <vt:variant>
        <vt:i4>1835034</vt:i4>
      </vt:variant>
      <vt:variant>
        <vt:i4>1239</vt:i4>
      </vt:variant>
      <vt:variant>
        <vt:i4>0</vt:i4>
      </vt:variant>
      <vt:variant>
        <vt:i4>5</vt:i4>
      </vt:variant>
      <vt:variant>
        <vt:lpwstr>https://extranet.itu.int/sites/ITU-T</vt:lpwstr>
      </vt:variant>
      <vt:variant>
        <vt:lpwstr/>
      </vt:variant>
      <vt:variant>
        <vt:i4>7536743</vt:i4>
      </vt:variant>
      <vt:variant>
        <vt:i4>1236</vt:i4>
      </vt:variant>
      <vt:variant>
        <vt:i4>0</vt:i4>
      </vt:variant>
      <vt:variant>
        <vt:i4>5</vt:i4>
      </vt:variant>
      <vt:variant>
        <vt:lpwstr>http://itu.int/go/itu-t/rgm</vt:lpwstr>
      </vt:variant>
      <vt:variant>
        <vt:lpwstr/>
      </vt:variant>
      <vt:variant>
        <vt:i4>5242905</vt:i4>
      </vt:variant>
      <vt:variant>
        <vt:i4>1230</vt:i4>
      </vt:variant>
      <vt:variant>
        <vt:i4>0</vt:i4>
      </vt:variant>
      <vt:variant>
        <vt:i4>5</vt:i4>
      </vt:variant>
      <vt:variant>
        <vt:lpwstr>https://www.itu.int/md/meetingdoc.asp?lang=en&amp;parent=T17-TSAG-220110-TD-GEN-1191</vt:lpwstr>
      </vt:variant>
      <vt:variant>
        <vt:lpwstr/>
      </vt:variant>
      <vt:variant>
        <vt:i4>7274612</vt:i4>
      </vt:variant>
      <vt:variant>
        <vt:i4>1227</vt:i4>
      </vt:variant>
      <vt:variant>
        <vt:i4>0</vt:i4>
      </vt:variant>
      <vt:variant>
        <vt:i4>5</vt:i4>
      </vt:variant>
      <vt:variant>
        <vt:lpwstr/>
      </vt:variant>
      <vt:variant>
        <vt:lpwstr>Top</vt:lpwstr>
      </vt:variant>
      <vt:variant>
        <vt:i4>7602294</vt:i4>
      </vt:variant>
      <vt:variant>
        <vt:i4>1218</vt:i4>
      </vt:variant>
      <vt:variant>
        <vt:i4>0</vt:i4>
      </vt:variant>
      <vt:variant>
        <vt:i4>5</vt:i4>
      </vt:variant>
      <vt:variant>
        <vt:lpwstr>https://www.itu.int/en/myitu/Membership/ITU-Members/SMEs/Associates</vt:lpwstr>
      </vt:variant>
      <vt:variant>
        <vt:lpwstr/>
      </vt:variant>
      <vt:variant>
        <vt:i4>7274612</vt:i4>
      </vt:variant>
      <vt:variant>
        <vt:i4>1215</vt:i4>
      </vt:variant>
      <vt:variant>
        <vt:i4>0</vt:i4>
      </vt:variant>
      <vt:variant>
        <vt:i4>5</vt:i4>
      </vt:variant>
      <vt:variant>
        <vt:lpwstr/>
      </vt:variant>
      <vt:variant>
        <vt:lpwstr>Top</vt:lpwstr>
      </vt:variant>
      <vt:variant>
        <vt:i4>7274612</vt:i4>
      </vt:variant>
      <vt:variant>
        <vt:i4>1212</vt:i4>
      </vt:variant>
      <vt:variant>
        <vt:i4>0</vt:i4>
      </vt:variant>
      <vt:variant>
        <vt:i4>5</vt:i4>
      </vt:variant>
      <vt:variant>
        <vt:lpwstr/>
      </vt:variant>
      <vt:variant>
        <vt:lpwstr>Top</vt:lpwstr>
      </vt:variant>
      <vt:variant>
        <vt:i4>5832728</vt:i4>
      </vt:variant>
      <vt:variant>
        <vt:i4>1209</vt:i4>
      </vt:variant>
      <vt:variant>
        <vt:i4>0</vt:i4>
      </vt:variant>
      <vt:variant>
        <vt:i4>5</vt:i4>
      </vt:variant>
      <vt:variant>
        <vt:lpwstr>https://www.itu.int/md/meetingdoc.asp?lang=en&amp;parent=T17-TSAG-220110-TD-GEN-1188</vt:lpwstr>
      </vt:variant>
      <vt:variant>
        <vt:lpwstr/>
      </vt:variant>
      <vt:variant>
        <vt:i4>7143544</vt:i4>
      </vt:variant>
      <vt:variant>
        <vt:i4>1206</vt:i4>
      </vt:variant>
      <vt:variant>
        <vt:i4>0</vt:i4>
      </vt:variant>
      <vt:variant>
        <vt:i4>5</vt:i4>
      </vt:variant>
      <vt:variant>
        <vt:lpwstr>https://www.itu.int/md/T17-TSAG-211025-TD-GEN-1034</vt:lpwstr>
      </vt:variant>
      <vt:variant>
        <vt:lpwstr/>
      </vt:variant>
      <vt:variant>
        <vt:i4>6291579</vt:i4>
      </vt:variant>
      <vt:variant>
        <vt:i4>1203</vt:i4>
      </vt:variant>
      <vt:variant>
        <vt:i4>0</vt:i4>
      </vt:variant>
      <vt:variant>
        <vt:i4>5</vt:i4>
      </vt:variant>
      <vt:variant>
        <vt:lpwstr>https://www.itu.int/md/T17-TSAG-210111-TD-GEN-0935</vt:lpwstr>
      </vt:variant>
      <vt:variant>
        <vt:lpwstr/>
      </vt:variant>
      <vt:variant>
        <vt:i4>6291570</vt:i4>
      </vt:variant>
      <vt:variant>
        <vt:i4>1200</vt:i4>
      </vt:variant>
      <vt:variant>
        <vt:i4>0</vt:i4>
      </vt:variant>
      <vt:variant>
        <vt:i4>5</vt:i4>
      </vt:variant>
      <vt:variant>
        <vt:lpwstr>https://www.itu.int/md/T17-TSAG-200921-TD-GEN-0792</vt:lpwstr>
      </vt:variant>
      <vt:variant>
        <vt:lpwstr/>
      </vt:variant>
      <vt:variant>
        <vt:i4>6291570</vt:i4>
      </vt:variant>
      <vt:variant>
        <vt:i4>1197</vt:i4>
      </vt:variant>
      <vt:variant>
        <vt:i4>0</vt:i4>
      </vt:variant>
      <vt:variant>
        <vt:i4>5</vt:i4>
      </vt:variant>
      <vt:variant>
        <vt:lpwstr>https://www.itu.int/md/T17-TSAG-200921-TD-GEN-0792</vt:lpwstr>
      </vt:variant>
      <vt:variant>
        <vt:lpwstr/>
      </vt:variant>
      <vt:variant>
        <vt:i4>6029333</vt:i4>
      </vt:variant>
      <vt:variant>
        <vt:i4>1194</vt:i4>
      </vt:variant>
      <vt:variant>
        <vt:i4>0</vt:i4>
      </vt:variant>
      <vt:variant>
        <vt:i4>5</vt:i4>
      </vt:variant>
      <vt:variant>
        <vt:lpwstr>https://www.itu.int/md/meetingdoc.asp?lang=en&amp;parent=T17-TSAG-180226-TD-GEN-0142</vt:lpwstr>
      </vt:variant>
      <vt:variant>
        <vt:lpwstr/>
      </vt:variant>
      <vt:variant>
        <vt:i4>5242898</vt:i4>
      </vt:variant>
      <vt:variant>
        <vt:i4>1191</vt:i4>
      </vt:variant>
      <vt:variant>
        <vt:i4>0</vt:i4>
      </vt:variant>
      <vt:variant>
        <vt:i4>5</vt:i4>
      </vt:variant>
      <vt:variant>
        <vt:lpwstr>https://www.itu.int/md/meetingdoc.asp?lang=en&amp;parent=T17-TSAG-170501-TD-GEN-0111</vt:lpwstr>
      </vt:variant>
      <vt:variant>
        <vt:lpwstr/>
      </vt:variant>
      <vt:variant>
        <vt:i4>4063264</vt:i4>
      </vt:variant>
      <vt:variant>
        <vt:i4>1188</vt:i4>
      </vt:variant>
      <vt:variant>
        <vt:i4>0</vt:i4>
      </vt:variant>
      <vt:variant>
        <vt:i4>5</vt:i4>
      </vt:variant>
      <vt:variant>
        <vt:lpwstr>https://www.itu.int/ifa/t/2017/ls/tsag/sp16-tsag-oLS-00006.zip</vt:lpwstr>
      </vt:variant>
      <vt:variant>
        <vt:lpwstr/>
      </vt:variant>
      <vt:variant>
        <vt:i4>5701656</vt:i4>
      </vt:variant>
      <vt:variant>
        <vt:i4>1185</vt:i4>
      </vt:variant>
      <vt:variant>
        <vt:i4>0</vt:i4>
      </vt:variant>
      <vt:variant>
        <vt:i4>5</vt:i4>
      </vt:variant>
      <vt:variant>
        <vt:lpwstr>https://www.itu.int/md/meetingdoc.asp?lang=en&amp;parent=T17-TSAG-220110-TD-GEN-1186</vt:lpwstr>
      </vt:variant>
      <vt:variant>
        <vt:lpwstr/>
      </vt:variant>
      <vt:variant>
        <vt:i4>6815864</vt:i4>
      </vt:variant>
      <vt:variant>
        <vt:i4>1182</vt:i4>
      </vt:variant>
      <vt:variant>
        <vt:i4>0</vt:i4>
      </vt:variant>
      <vt:variant>
        <vt:i4>5</vt:i4>
      </vt:variant>
      <vt:variant>
        <vt:lpwstr>https://www.itu.int/md/T17-TSAG-211025-TD-GEN-1031</vt:lpwstr>
      </vt:variant>
      <vt:variant>
        <vt:lpwstr/>
      </vt:variant>
      <vt:variant>
        <vt:i4>7012467</vt:i4>
      </vt:variant>
      <vt:variant>
        <vt:i4>1179</vt:i4>
      </vt:variant>
      <vt:variant>
        <vt:i4>0</vt:i4>
      </vt:variant>
      <vt:variant>
        <vt:i4>5</vt:i4>
      </vt:variant>
      <vt:variant>
        <vt:lpwstr>https://www.itu.int/md/T17-TSAG-200921-TD-GEN-0789</vt:lpwstr>
      </vt:variant>
      <vt:variant>
        <vt:lpwstr/>
      </vt:variant>
      <vt:variant>
        <vt:i4>7209085</vt:i4>
      </vt:variant>
      <vt:variant>
        <vt:i4>1176</vt:i4>
      </vt:variant>
      <vt:variant>
        <vt:i4>0</vt:i4>
      </vt:variant>
      <vt:variant>
        <vt:i4>5</vt:i4>
      </vt:variant>
      <vt:variant>
        <vt:lpwstr>https://www.itu.int/md/T17-TSAG-200210-TD-GEN-0657</vt:lpwstr>
      </vt:variant>
      <vt:variant>
        <vt:lpwstr/>
      </vt:variant>
      <vt:variant>
        <vt:i4>7143550</vt:i4>
      </vt:variant>
      <vt:variant>
        <vt:i4>1173</vt:i4>
      </vt:variant>
      <vt:variant>
        <vt:i4>0</vt:i4>
      </vt:variant>
      <vt:variant>
        <vt:i4>5</vt:i4>
      </vt:variant>
      <vt:variant>
        <vt:lpwstr>https://www.itu.int/md/T17-TSAG-190923-TD-GEN-0467</vt:lpwstr>
      </vt:variant>
      <vt:variant>
        <vt:lpwstr/>
      </vt:variant>
      <vt:variant>
        <vt:i4>5832730</vt:i4>
      </vt:variant>
      <vt:variant>
        <vt:i4>1170</vt:i4>
      </vt:variant>
      <vt:variant>
        <vt:i4>0</vt:i4>
      </vt:variant>
      <vt:variant>
        <vt:i4>5</vt:i4>
      </vt:variant>
      <vt:variant>
        <vt:lpwstr>https://www.itu.int/md/meetingdoc.asp?lang=en&amp;parent=T17-TSAG-181210-TD-GEN-0292</vt:lpwstr>
      </vt:variant>
      <vt:variant>
        <vt:lpwstr/>
      </vt:variant>
      <vt:variant>
        <vt:i4>5701650</vt:i4>
      </vt:variant>
      <vt:variant>
        <vt:i4>1167</vt:i4>
      </vt:variant>
      <vt:variant>
        <vt:i4>0</vt:i4>
      </vt:variant>
      <vt:variant>
        <vt:i4>5</vt:i4>
      </vt:variant>
      <vt:variant>
        <vt:lpwstr>https://www.itu.int/md/meetingdoc.asp?lang=en&amp;parent=T17-TSAG-180226-TD-GEN-0139</vt:lpwstr>
      </vt:variant>
      <vt:variant>
        <vt:lpwstr/>
      </vt:variant>
      <vt:variant>
        <vt:i4>5570577</vt:i4>
      </vt:variant>
      <vt:variant>
        <vt:i4>1164</vt:i4>
      </vt:variant>
      <vt:variant>
        <vt:i4>0</vt:i4>
      </vt:variant>
      <vt:variant>
        <vt:i4>5</vt:i4>
      </vt:variant>
      <vt:variant>
        <vt:lpwstr>https://www.itu.int/md/meetingdoc.asp?lang=en&amp;parent=T17-TSAG-170501-TD-GEN-0025</vt:lpwstr>
      </vt:variant>
      <vt:variant>
        <vt:lpwstr/>
      </vt:variant>
      <vt:variant>
        <vt:i4>3801123</vt:i4>
      </vt:variant>
      <vt:variant>
        <vt:i4>1161</vt:i4>
      </vt:variant>
      <vt:variant>
        <vt:i4>0</vt:i4>
      </vt:variant>
      <vt:variant>
        <vt:i4>5</vt:i4>
      </vt:variant>
      <vt:variant>
        <vt:lpwstr>https://www.itu.int/ifa/t/2017/ls/tsag/sp16-tsag-oLS-00032.zip</vt:lpwstr>
      </vt:variant>
      <vt:variant>
        <vt:lpwstr/>
      </vt:variant>
      <vt:variant>
        <vt:i4>3866658</vt:i4>
      </vt:variant>
      <vt:variant>
        <vt:i4>1158</vt:i4>
      </vt:variant>
      <vt:variant>
        <vt:i4>0</vt:i4>
      </vt:variant>
      <vt:variant>
        <vt:i4>5</vt:i4>
      </vt:variant>
      <vt:variant>
        <vt:lpwstr>https://www.itu.int/ifa/t/2017/ls/tsag/sp16-tsag-oLS-00023.zip</vt:lpwstr>
      </vt:variant>
      <vt:variant>
        <vt:lpwstr/>
      </vt:variant>
      <vt:variant>
        <vt:i4>3342375</vt:i4>
      </vt:variant>
      <vt:variant>
        <vt:i4>1155</vt:i4>
      </vt:variant>
      <vt:variant>
        <vt:i4>0</vt:i4>
      </vt:variant>
      <vt:variant>
        <vt:i4>5</vt:i4>
      </vt:variant>
      <vt:variant>
        <vt:lpwstr>https://www.itu.int/ifa/t/2017/ls/tsag/sp16-tsag-oLS-00016.doc</vt:lpwstr>
      </vt:variant>
      <vt:variant>
        <vt:lpwstr/>
      </vt:variant>
      <vt:variant>
        <vt:i4>3473447</vt:i4>
      </vt:variant>
      <vt:variant>
        <vt:i4>1152</vt:i4>
      </vt:variant>
      <vt:variant>
        <vt:i4>0</vt:i4>
      </vt:variant>
      <vt:variant>
        <vt:i4>5</vt:i4>
      </vt:variant>
      <vt:variant>
        <vt:lpwstr>https://www.itu.int/ifa/t/2017/ls/tsag/sp16-tsag-oLS-00010.doc</vt:lpwstr>
      </vt:variant>
      <vt:variant>
        <vt:lpwstr/>
      </vt:variant>
      <vt:variant>
        <vt:i4>5570583</vt:i4>
      </vt:variant>
      <vt:variant>
        <vt:i4>1149</vt:i4>
      </vt:variant>
      <vt:variant>
        <vt:i4>0</vt:i4>
      </vt:variant>
      <vt:variant>
        <vt:i4>5</vt:i4>
      </vt:variant>
      <vt:variant>
        <vt:lpwstr>https://www.itu.int/md/meetingdoc.asp?lang=en&amp;parent=T17-TSAG-211025-TD-GEN-1052</vt:lpwstr>
      </vt:variant>
      <vt:variant>
        <vt:lpwstr/>
      </vt:variant>
      <vt:variant>
        <vt:i4>5898260</vt:i4>
      </vt:variant>
      <vt:variant>
        <vt:i4>1146</vt:i4>
      </vt:variant>
      <vt:variant>
        <vt:i4>0</vt:i4>
      </vt:variant>
      <vt:variant>
        <vt:i4>5</vt:i4>
      </vt:variant>
      <vt:variant>
        <vt:lpwstr>https://www.itu.int/md/meetingdoc.asp?lang=en&amp;parent=T17-TSAG-210111-TD-GEN-0951</vt:lpwstr>
      </vt:variant>
      <vt:variant>
        <vt:lpwstr/>
      </vt:variant>
      <vt:variant>
        <vt:i4>5439507</vt:i4>
      </vt:variant>
      <vt:variant>
        <vt:i4>1143</vt:i4>
      </vt:variant>
      <vt:variant>
        <vt:i4>0</vt:i4>
      </vt:variant>
      <vt:variant>
        <vt:i4>5</vt:i4>
      </vt:variant>
      <vt:variant>
        <vt:lpwstr>https://www.itu.int/md/meetingdoc.asp?lang=en&amp;parent=T17-TSAG-200921-TD-GEN-0810</vt:lpwstr>
      </vt:variant>
      <vt:variant>
        <vt:lpwstr/>
      </vt:variant>
      <vt:variant>
        <vt:i4>7078015</vt:i4>
      </vt:variant>
      <vt:variant>
        <vt:i4>1140</vt:i4>
      </vt:variant>
      <vt:variant>
        <vt:i4>0</vt:i4>
      </vt:variant>
      <vt:variant>
        <vt:i4>5</vt:i4>
      </vt:variant>
      <vt:variant>
        <vt:lpwstr>https://www.itu.int/md/T17-TSAG-200210-TD-GEN-0675</vt:lpwstr>
      </vt:variant>
      <vt:variant>
        <vt:lpwstr/>
      </vt:variant>
      <vt:variant>
        <vt:i4>6488176</vt:i4>
      </vt:variant>
      <vt:variant>
        <vt:i4>1137</vt:i4>
      </vt:variant>
      <vt:variant>
        <vt:i4>0</vt:i4>
      </vt:variant>
      <vt:variant>
        <vt:i4>5</vt:i4>
      </vt:variant>
      <vt:variant>
        <vt:lpwstr>https://www.itu.int/md/T17-TSAG-190923-TD-GEN-0489</vt:lpwstr>
      </vt:variant>
      <vt:variant>
        <vt:lpwstr/>
      </vt:variant>
      <vt:variant>
        <vt:i4>6225938</vt:i4>
      </vt:variant>
      <vt:variant>
        <vt:i4>1134</vt:i4>
      </vt:variant>
      <vt:variant>
        <vt:i4>0</vt:i4>
      </vt:variant>
      <vt:variant>
        <vt:i4>5</vt:i4>
      </vt:variant>
      <vt:variant>
        <vt:lpwstr>https://www.itu.int/md/meetingdoc.asp?lang=en&amp;parent=T17-TSAG-181210-TD-GEN-0315</vt:lpwstr>
      </vt:variant>
      <vt:variant>
        <vt:lpwstr/>
      </vt:variant>
      <vt:variant>
        <vt:i4>6094866</vt:i4>
      </vt:variant>
      <vt:variant>
        <vt:i4>1131</vt:i4>
      </vt:variant>
      <vt:variant>
        <vt:i4>0</vt:i4>
      </vt:variant>
      <vt:variant>
        <vt:i4>5</vt:i4>
      </vt:variant>
      <vt:variant>
        <vt:lpwstr>https://www.itu.int/md/meetingdoc.asp?lang=en&amp;parent=T17-TSAG-180226-TD-GEN-0133</vt:lpwstr>
      </vt:variant>
      <vt:variant>
        <vt:lpwstr/>
      </vt:variant>
      <vt:variant>
        <vt:i4>5767184</vt:i4>
      </vt:variant>
      <vt:variant>
        <vt:i4>1128</vt:i4>
      </vt:variant>
      <vt:variant>
        <vt:i4>0</vt:i4>
      </vt:variant>
      <vt:variant>
        <vt:i4>5</vt:i4>
      </vt:variant>
      <vt:variant>
        <vt:lpwstr>https://www.itu.int/md/meetingdoc.asp?lang=en&amp;parent=T17-TSAG-180226-TD-GEN-0215</vt:lpwstr>
      </vt:variant>
      <vt:variant>
        <vt:lpwstr/>
      </vt:variant>
      <vt:variant>
        <vt:i4>6488178</vt:i4>
      </vt:variant>
      <vt:variant>
        <vt:i4>1125</vt:i4>
      </vt:variant>
      <vt:variant>
        <vt:i4>0</vt:i4>
      </vt:variant>
      <vt:variant>
        <vt:i4>5</vt:i4>
      </vt:variant>
      <vt:variant>
        <vt:lpwstr>https://www.itu.int/md/T17-TSAG-200921-TD-GEN-0791</vt:lpwstr>
      </vt:variant>
      <vt:variant>
        <vt:lpwstr/>
      </vt:variant>
      <vt:variant>
        <vt:i4>5701656</vt:i4>
      </vt:variant>
      <vt:variant>
        <vt:i4>1122</vt:i4>
      </vt:variant>
      <vt:variant>
        <vt:i4>0</vt:i4>
      </vt:variant>
      <vt:variant>
        <vt:i4>5</vt:i4>
      </vt:variant>
      <vt:variant>
        <vt:lpwstr>https://www.itu.int/md/meetingdoc.asp?lang=en&amp;parent=T17-TSAG-220110-TD-GEN-1186</vt:lpwstr>
      </vt:variant>
      <vt:variant>
        <vt:lpwstr/>
      </vt:variant>
      <vt:variant>
        <vt:i4>7209085</vt:i4>
      </vt:variant>
      <vt:variant>
        <vt:i4>1119</vt:i4>
      </vt:variant>
      <vt:variant>
        <vt:i4>0</vt:i4>
      </vt:variant>
      <vt:variant>
        <vt:i4>5</vt:i4>
      </vt:variant>
      <vt:variant>
        <vt:lpwstr>https://www.itu.int/md/T17-TSAG-200210-TD-GEN-0657</vt:lpwstr>
      </vt:variant>
      <vt:variant>
        <vt:lpwstr/>
      </vt:variant>
      <vt:variant>
        <vt:i4>7143550</vt:i4>
      </vt:variant>
      <vt:variant>
        <vt:i4>1116</vt:i4>
      </vt:variant>
      <vt:variant>
        <vt:i4>0</vt:i4>
      </vt:variant>
      <vt:variant>
        <vt:i4>5</vt:i4>
      </vt:variant>
      <vt:variant>
        <vt:lpwstr>https://www.itu.int/md/T17-TSAG-190923-TD-GEN-0467</vt:lpwstr>
      </vt:variant>
      <vt:variant>
        <vt:lpwstr/>
      </vt:variant>
      <vt:variant>
        <vt:i4>5832730</vt:i4>
      </vt:variant>
      <vt:variant>
        <vt:i4>1113</vt:i4>
      </vt:variant>
      <vt:variant>
        <vt:i4>0</vt:i4>
      </vt:variant>
      <vt:variant>
        <vt:i4>5</vt:i4>
      </vt:variant>
      <vt:variant>
        <vt:lpwstr>https://www.itu.int/md/meetingdoc.asp?lang=en&amp;parent=T17-TSAG-181210-TD-GEN-0292</vt:lpwstr>
      </vt:variant>
      <vt:variant>
        <vt:lpwstr/>
      </vt:variant>
      <vt:variant>
        <vt:i4>5701650</vt:i4>
      </vt:variant>
      <vt:variant>
        <vt:i4>1110</vt:i4>
      </vt:variant>
      <vt:variant>
        <vt:i4>0</vt:i4>
      </vt:variant>
      <vt:variant>
        <vt:i4>5</vt:i4>
      </vt:variant>
      <vt:variant>
        <vt:lpwstr>https://www.itu.int/md/meetingdoc.asp?lang=en&amp;parent=T17-TSAG-180226-TD-GEN-0139</vt:lpwstr>
      </vt:variant>
      <vt:variant>
        <vt:lpwstr/>
      </vt:variant>
      <vt:variant>
        <vt:i4>5570577</vt:i4>
      </vt:variant>
      <vt:variant>
        <vt:i4>1107</vt:i4>
      </vt:variant>
      <vt:variant>
        <vt:i4>0</vt:i4>
      </vt:variant>
      <vt:variant>
        <vt:i4>5</vt:i4>
      </vt:variant>
      <vt:variant>
        <vt:lpwstr>https://www.itu.int/md/meetingdoc.asp?lang=en&amp;parent=T17-TSAG-170501-TD-GEN-0025</vt:lpwstr>
      </vt:variant>
      <vt:variant>
        <vt:lpwstr/>
      </vt:variant>
      <vt:variant>
        <vt:i4>5636120</vt:i4>
      </vt:variant>
      <vt:variant>
        <vt:i4>1104</vt:i4>
      </vt:variant>
      <vt:variant>
        <vt:i4>0</vt:i4>
      </vt:variant>
      <vt:variant>
        <vt:i4>5</vt:i4>
      </vt:variant>
      <vt:variant>
        <vt:lpwstr>https://www.itu.int/md/meetingdoc.asp?lang=en&amp;parent=T17-TSAG-220110-TD-GEN-1187</vt:lpwstr>
      </vt:variant>
      <vt:variant>
        <vt:lpwstr/>
      </vt:variant>
      <vt:variant>
        <vt:i4>6291581</vt:i4>
      </vt:variant>
      <vt:variant>
        <vt:i4>1101</vt:i4>
      </vt:variant>
      <vt:variant>
        <vt:i4>0</vt:i4>
      </vt:variant>
      <vt:variant>
        <vt:i4>5</vt:i4>
      </vt:variant>
      <vt:variant>
        <vt:lpwstr>https://www.itu.int/md/T17-TSAG-200210-TD-GEN-0659</vt:lpwstr>
      </vt:variant>
      <vt:variant>
        <vt:lpwstr/>
      </vt:variant>
      <vt:variant>
        <vt:i4>6488190</vt:i4>
      </vt:variant>
      <vt:variant>
        <vt:i4>1098</vt:i4>
      </vt:variant>
      <vt:variant>
        <vt:i4>0</vt:i4>
      </vt:variant>
      <vt:variant>
        <vt:i4>5</vt:i4>
      </vt:variant>
      <vt:variant>
        <vt:lpwstr>https://www.itu.int/md/T17-TSAG-190923-TD-GEN-0469</vt:lpwstr>
      </vt:variant>
      <vt:variant>
        <vt:lpwstr/>
      </vt:variant>
      <vt:variant>
        <vt:i4>5767194</vt:i4>
      </vt:variant>
      <vt:variant>
        <vt:i4>1095</vt:i4>
      </vt:variant>
      <vt:variant>
        <vt:i4>0</vt:i4>
      </vt:variant>
      <vt:variant>
        <vt:i4>5</vt:i4>
      </vt:variant>
      <vt:variant>
        <vt:lpwstr>https://www.itu.int/md/meetingdoc.asp?lang=en&amp;parent=T17-TSAG-181210-TD-GEN-0293</vt:lpwstr>
      </vt:variant>
      <vt:variant>
        <vt:lpwstr/>
      </vt:variant>
      <vt:variant>
        <vt:i4>6225941</vt:i4>
      </vt:variant>
      <vt:variant>
        <vt:i4>1092</vt:i4>
      </vt:variant>
      <vt:variant>
        <vt:i4>0</vt:i4>
      </vt:variant>
      <vt:variant>
        <vt:i4>5</vt:i4>
      </vt:variant>
      <vt:variant>
        <vt:lpwstr>https://www.itu.int/md/meetingdoc.asp?lang=en&amp;parent=T17-TSAG-180226-TD-GEN-0141</vt:lpwstr>
      </vt:variant>
      <vt:variant>
        <vt:lpwstr/>
      </vt:variant>
      <vt:variant>
        <vt:i4>5439510</vt:i4>
      </vt:variant>
      <vt:variant>
        <vt:i4>1089</vt:i4>
      </vt:variant>
      <vt:variant>
        <vt:i4>0</vt:i4>
      </vt:variant>
      <vt:variant>
        <vt:i4>5</vt:i4>
      </vt:variant>
      <vt:variant>
        <vt:lpwstr>https://www.itu.int/md/meetingdoc.asp?lang=en&amp;parent=T17-TSAG-170501-TD-GEN-0053</vt:lpwstr>
      </vt:variant>
      <vt:variant>
        <vt:lpwstr/>
      </vt:variant>
      <vt:variant>
        <vt:i4>3211361</vt:i4>
      </vt:variant>
      <vt:variant>
        <vt:i4>1086</vt:i4>
      </vt:variant>
      <vt:variant>
        <vt:i4>0</vt:i4>
      </vt:variant>
      <vt:variant>
        <vt:i4>5</vt:i4>
      </vt:variant>
      <vt:variant>
        <vt:lpwstr>https://www.itu.int/md/meetingdoc.asp?lang=en&amp;parent=T17-WTSA.20-C-0026</vt:lpwstr>
      </vt:variant>
      <vt:variant>
        <vt:lpwstr/>
      </vt:variant>
      <vt:variant>
        <vt:i4>3211361</vt:i4>
      </vt:variant>
      <vt:variant>
        <vt:i4>1083</vt:i4>
      </vt:variant>
      <vt:variant>
        <vt:i4>0</vt:i4>
      </vt:variant>
      <vt:variant>
        <vt:i4>5</vt:i4>
      </vt:variant>
      <vt:variant>
        <vt:lpwstr>https://www.itu.int/md/meetingdoc.asp?lang=en&amp;parent=T17-WTSA.20-C-0023</vt:lpwstr>
      </vt:variant>
      <vt:variant>
        <vt:lpwstr/>
      </vt:variant>
      <vt:variant>
        <vt:i4>5898256</vt:i4>
      </vt:variant>
      <vt:variant>
        <vt:i4>1080</vt:i4>
      </vt:variant>
      <vt:variant>
        <vt:i4>0</vt:i4>
      </vt:variant>
      <vt:variant>
        <vt:i4>5</vt:i4>
      </vt:variant>
      <vt:variant>
        <vt:lpwstr>https://www.itu.int/md/meetingdoc.asp?lang=en&amp;parent=T17-TSAG-220110-TD-GEN-1208</vt:lpwstr>
      </vt:variant>
      <vt:variant>
        <vt:lpwstr/>
      </vt:variant>
      <vt:variant>
        <vt:i4>7143537</vt:i4>
      </vt:variant>
      <vt:variant>
        <vt:i4>1077</vt:i4>
      </vt:variant>
      <vt:variant>
        <vt:i4>0</vt:i4>
      </vt:variant>
      <vt:variant>
        <vt:i4>5</vt:i4>
      </vt:variant>
      <vt:variant>
        <vt:lpwstr>https://www.itu.int/md/T17-TSAG-200210-TD-GEN-0694</vt:lpwstr>
      </vt:variant>
      <vt:variant>
        <vt:lpwstr/>
      </vt:variant>
      <vt:variant>
        <vt:i4>4063267</vt:i4>
      </vt:variant>
      <vt:variant>
        <vt:i4>1074</vt:i4>
      </vt:variant>
      <vt:variant>
        <vt:i4>0</vt:i4>
      </vt:variant>
      <vt:variant>
        <vt:i4>5</vt:i4>
      </vt:variant>
      <vt:variant>
        <vt:lpwstr>https://www.itu.int/ifa/t/2017/ls/tsag/sp16-tsag-oLS-00036.zip</vt:lpwstr>
      </vt:variant>
      <vt:variant>
        <vt:lpwstr/>
      </vt:variant>
      <vt:variant>
        <vt:i4>3866658</vt:i4>
      </vt:variant>
      <vt:variant>
        <vt:i4>1071</vt:i4>
      </vt:variant>
      <vt:variant>
        <vt:i4>0</vt:i4>
      </vt:variant>
      <vt:variant>
        <vt:i4>5</vt:i4>
      </vt:variant>
      <vt:variant>
        <vt:lpwstr>https://www.itu.int/ifa/t/2017/ls/tsag/sp16-tsag-oLS-00023.zip</vt:lpwstr>
      </vt:variant>
      <vt:variant>
        <vt:lpwstr/>
      </vt:variant>
      <vt:variant>
        <vt:i4>3801123</vt:i4>
      </vt:variant>
      <vt:variant>
        <vt:i4>1068</vt:i4>
      </vt:variant>
      <vt:variant>
        <vt:i4>0</vt:i4>
      </vt:variant>
      <vt:variant>
        <vt:i4>5</vt:i4>
      </vt:variant>
      <vt:variant>
        <vt:lpwstr>https://www.itu.int/ifa/t/2017/ls/tsag/sp16-tsag-oLS-00032.zip</vt:lpwstr>
      </vt:variant>
      <vt:variant>
        <vt:lpwstr/>
      </vt:variant>
      <vt:variant>
        <vt:i4>3342375</vt:i4>
      </vt:variant>
      <vt:variant>
        <vt:i4>1065</vt:i4>
      </vt:variant>
      <vt:variant>
        <vt:i4>0</vt:i4>
      </vt:variant>
      <vt:variant>
        <vt:i4>5</vt:i4>
      </vt:variant>
      <vt:variant>
        <vt:lpwstr>https://www.itu.int/ifa/t/2017/ls/tsag/sp16-tsag-oLS-00016.doc</vt:lpwstr>
      </vt:variant>
      <vt:variant>
        <vt:lpwstr/>
      </vt:variant>
      <vt:variant>
        <vt:i4>3473447</vt:i4>
      </vt:variant>
      <vt:variant>
        <vt:i4>1062</vt:i4>
      </vt:variant>
      <vt:variant>
        <vt:i4>0</vt:i4>
      </vt:variant>
      <vt:variant>
        <vt:i4>5</vt:i4>
      </vt:variant>
      <vt:variant>
        <vt:lpwstr>https://www.itu.int/ifa/t/2017/ls/tsag/sp16-tsag-oLS-00010.doc</vt:lpwstr>
      </vt:variant>
      <vt:variant>
        <vt:lpwstr/>
      </vt:variant>
      <vt:variant>
        <vt:i4>5767190</vt:i4>
      </vt:variant>
      <vt:variant>
        <vt:i4>1059</vt:i4>
      </vt:variant>
      <vt:variant>
        <vt:i4>0</vt:i4>
      </vt:variant>
      <vt:variant>
        <vt:i4>5</vt:i4>
      </vt:variant>
      <vt:variant>
        <vt:lpwstr>https://www.itu.int/md/meetingdoc.asp?lang=en&amp;parent=T17-TSAG-170501-TD-GEN-0058</vt:lpwstr>
      </vt:variant>
      <vt:variant>
        <vt:lpwstr/>
      </vt:variant>
      <vt:variant>
        <vt:i4>7274612</vt:i4>
      </vt:variant>
      <vt:variant>
        <vt:i4>1056</vt:i4>
      </vt:variant>
      <vt:variant>
        <vt:i4>0</vt:i4>
      </vt:variant>
      <vt:variant>
        <vt:i4>5</vt:i4>
      </vt:variant>
      <vt:variant>
        <vt:lpwstr/>
      </vt:variant>
      <vt:variant>
        <vt:lpwstr>Top</vt:lpwstr>
      </vt:variant>
      <vt:variant>
        <vt:i4>7602209</vt:i4>
      </vt:variant>
      <vt:variant>
        <vt:i4>1053</vt:i4>
      </vt:variant>
      <vt:variant>
        <vt:i4>0</vt:i4>
      </vt:variant>
      <vt:variant>
        <vt:i4>5</vt:i4>
      </vt:variant>
      <vt:variant>
        <vt:lpwstr>https://www.itu.int/net/ITU-T/misuse/table.aspx</vt:lpwstr>
      </vt:variant>
      <vt:variant>
        <vt:lpwstr/>
      </vt:variant>
      <vt:variant>
        <vt:i4>7274612</vt:i4>
      </vt:variant>
      <vt:variant>
        <vt:i4>1050</vt:i4>
      </vt:variant>
      <vt:variant>
        <vt:i4>0</vt:i4>
      </vt:variant>
      <vt:variant>
        <vt:i4>5</vt:i4>
      </vt:variant>
      <vt:variant>
        <vt:lpwstr/>
      </vt:variant>
      <vt:variant>
        <vt:lpwstr>Top</vt:lpwstr>
      </vt:variant>
      <vt:variant>
        <vt:i4>5111831</vt:i4>
      </vt:variant>
      <vt:variant>
        <vt:i4>1047</vt:i4>
      </vt:variant>
      <vt:variant>
        <vt:i4>0</vt:i4>
      </vt:variant>
      <vt:variant>
        <vt:i4>5</vt:i4>
      </vt:variant>
      <vt:variant>
        <vt:lpwstr>https://www.itu.int/en/ITU-D/Regional-Presence/CIS/Pages/EVENTS/2019/02_Minsk/02_Minsk.aspx</vt:lpwstr>
      </vt:variant>
      <vt:variant>
        <vt:lpwstr/>
      </vt:variant>
      <vt:variant>
        <vt:i4>5111813</vt:i4>
      </vt:variant>
      <vt:variant>
        <vt:i4>1044</vt:i4>
      </vt:variant>
      <vt:variant>
        <vt:i4>0</vt:i4>
      </vt:variant>
      <vt:variant>
        <vt:i4>5</vt:i4>
      </vt:variant>
      <vt:variant>
        <vt:lpwstr>https://www.itu.int/en/irg/ibb/Pages/default.aspx</vt:lpwstr>
      </vt:variant>
      <vt:variant>
        <vt:lpwstr/>
      </vt:variant>
      <vt:variant>
        <vt:i4>6029322</vt:i4>
      </vt:variant>
      <vt:variant>
        <vt:i4>1041</vt:i4>
      </vt:variant>
      <vt:variant>
        <vt:i4>0</vt:i4>
      </vt:variant>
      <vt:variant>
        <vt:i4>5</vt:i4>
      </vt:variant>
      <vt:variant>
        <vt:lpwstr>http://www.itu.int/en/irg/avqa/Pages/default.aspx</vt:lpwstr>
      </vt:variant>
      <vt:variant>
        <vt:lpwstr/>
      </vt:variant>
      <vt:variant>
        <vt:i4>4522001</vt:i4>
      </vt:variant>
      <vt:variant>
        <vt:i4>1038</vt:i4>
      </vt:variant>
      <vt:variant>
        <vt:i4>0</vt:i4>
      </vt:variant>
      <vt:variant>
        <vt:i4>5</vt:i4>
      </vt:variant>
      <vt:variant>
        <vt:lpwstr>https://www.itu.int/en/irg/ava/Pages/default.aspx</vt:lpwstr>
      </vt:variant>
      <vt:variant>
        <vt:lpwstr/>
      </vt:variant>
      <vt:variant>
        <vt:i4>6291556</vt:i4>
      </vt:variant>
      <vt:variant>
        <vt:i4>1035</vt:i4>
      </vt:variant>
      <vt:variant>
        <vt:i4>0</vt:i4>
      </vt:variant>
      <vt:variant>
        <vt:i4>5</vt:i4>
      </vt:variant>
      <vt:variant>
        <vt:lpwstr>https://www.itu.int/net/itu-t/ls/ls.aspx?isn=21666</vt:lpwstr>
      </vt:variant>
      <vt:variant>
        <vt:lpwstr/>
      </vt:variant>
      <vt:variant>
        <vt:i4>3735587</vt:i4>
      </vt:variant>
      <vt:variant>
        <vt:i4>1032</vt:i4>
      </vt:variant>
      <vt:variant>
        <vt:i4>0</vt:i4>
      </vt:variant>
      <vt:variant>
        <vt:i4>5</vt:i4>
      </vt:variant>
      <vt:variant>
        <vt:lpwstr>https://www.itu.int/ifa/t/2017/ls/tsag/sp16-tsag-oLS-00031.zip</vt:lpwstr>
      </vt:variant>
      <vt:variant>
        <vt:lpwstr/>
      </vt:variant>
      <vt:variant>
        <vt:i4>3801122</vt:i4>
      </vt:variant>
      <vt:variant>
        <vt:i4>1029</vt:i4>
      </vt:variant>
      <vt:variant>
        <vt:i4>0</vt:i4>
      </vt:variant>
      <vt:variant>
        <vt:i4>5</vt:i4>
      </vt:variant>
      <vt:variant>
        <vt:lpwstr>https://www.itu.int/ifa/t/2017/ls/tsag/sp16-tsag-oLS-00022.zip</vt:lpwstr>
      </vt:variant>
      <vt:variant>
        <vt:lpwstr/>
      </vt:variant>
      <vt:variant>
        <vt:i4>6488164</vt:i4>
      </vt:variant>
      <vt:variant>
        <vt:i4>1026</vt:i4>
      </vt:variant>
      <vt:variant>
        <vt:i4>0</vt:i4>
      </vt:variant>
      <vt:variant>
        <vt:i4>5</vt:i4>
      </vt:variant>
      <vt:variant>
        <vt:lpwstr>https://www.itu.int/net/itu-t/ls/ls.aspx?isn=21665</vt:lpwstr>
      </vt:variant>
      <vt:variant>
        <vt:lpwstr/>
      </vt:variant>
      <vt:variant>
        <vt:i4>3735585</vt:i4>
      </vt:variant>
      <vt:variant>
        <vt:i4>1023</vt:i4>
      </vt:variant>
      <vt:variant>
        <vt:i4>0</vt:i4>
      </vt:variant>
      <vt:variant>
        <vt:i4>5</vt:i4>
      </vt:variant>
      <vt:variant>
        <vt:lpwstr>https://www.itu.int/ifa/t/2017/ls/tsag/sp16-tsag-oLS-00011.zip</vt:lpwstr>
      </vt:variant>
      <vt:variant>
        <vt:lpwstr/>
      </vt:variant>
      <vt:variant>
        <vt:i4>3735584</vt:i4>
      </vt:variant>
      <vt:variant>
        <vt:i4>1020</vt:i4>
      </vt:variant>
      <vt:variant>
        <vt:i4>0</vt:i4>
      </vt:variant>
      <vt:variant>
        <vt:i4>5</vt:i4>
      </vt:variant>
      <vt:variant>
        <vt:lpwstr>https://www.itu.int/ifa/t/2017/ls/tsag/sp16-tsag-oLS-00001.zip</vt:lpwstr>
      </vt:variant>
      <vt:variant>
        <vt:lpwstr/>
      </vt:variant>
      <vt:variant>
        <vt:i4>7274612</vt:i4>
      </vt:variant>
      <vt:variant>
        <vt:i4>1017</vt:i4>
      </vt:variant>
      <vt:variant>
        <vt:i4>0</vt:i4>
      </vt:variant>
      <vt:variant>
        <vt:i4>5</vt:i4>
      </vt:variant>
      <vt:variant>
        <vt:lpwstr/>
      </vt:variant>
      <vt:variant>
        <vt:lpwstr>Top</vt:lpwstr>
      </vt:variant>
      <vt:variant>
        <vt:i4>7274612</vt:i4>
      </vt:variant>
      <vt:variant>
        <vt:i4>1014</vt:i4>
      </vt:variant>
      <vt:variant>
        <vt:i4>0</vt:i4>
      </vt:variant>
      <vt:variant>
        <vt:i4>5</vt:i4>
      </vt:variant>
      <vt:variant>
        <vt:lpwstr/>
      </vt:variant>
      <vt:variant>
        <vt:lpwstr>Top</vt:lpwstr>
      </vt:variant>
      <vt:variant>
        <vt:i4>1638524</vt:i4>
      </vt:variant>
      <vt:variant>
        <vt:i4>1011</vt:i4>
      </vt:variant>
      <vt:variant>
        <vt:i4>0</vt:i4>
      </vt:variant>
      <vt:variant>
        <vt:i4>5</vt:i4>
      </vt:variant>
      <vt:variant>
        <vt:lpwstr>http://www.itu.int/itu-t/workprog/wp_item.aspx?isn=16372</vt:lpwstr>
      </vt:variant>
      <vt:variant>
        <vt:lpwstr/>
      </vt:variant>
      <vt:variant>
        <vt:i4>1966204</vt:i4>
      </vt:variant>
      <vt:variant>
        <vt:i4>1008</vt:i4>
      </vt:variant>
      <vt:variant>
        <vt:i4>0</vt:i4>
      </vt:variant>
      <vt:variant>
        <vt:i4>5</vt:i4>
      </vt:variant>
      <vt:variant>
        <vt:lpwstr>http://www.itu.int/itu-t/workprog/wp_item.aspx?isn=16375</vt:lpwstr>
      </vt:variant>
      <vt:variant>
        <vt:lpwstr/>
      </vt:variant>
      <vt:variant>
        <vt:i4>2031740</vt:i4>
      </vt:variant>
      <vt:variant>
        <vt:i4>1005</vt:i4>
      </vt:variant>
      <vt:variant>
        <vt:i4>0</vt:i4>
      </vt:variant>
      <vt:variant>
        <vt:i4>5</vt:i4>
      </vt:variant>
      <vt:variant>
        <vt:lpwstr>http://www.itu.int/itu-t/workprog/wp_item.aspx?isn=16374</vt:lpwstr>
      </vt:variant>
      <vt:variant>
        <vt:lpwstr/>
      </vt:variant>
      <vt:variant>
        <vt:i4>1572988</vt:i4>
      </vt:variant>
      <vt:variant>
        <vt:i4>1002</vt:i4>
      </vt:variant>
      <vt:variant>
        <vt:i4>0</vt:i4>
      </vt:variant>
      <vt:variant>
        <vt:i4>5</vt:i4>
      </vt:variant>
      <vt:variant>
        <vt:lpwstr>http://www.itu.int/itu-t/workprog/wp_item.aspx?isn=16373</vt:lpwstr>
      </vt:variant>
      <vt:variant>
        <vt:lpwstr/>
      </vt:variant>
      <vt:variant>
        <vt:i4>1704060</vt:i4>
      </vt:variant>
      <vt:variant>
        <vt:i4>999</vt:i4>
      </vt:variant>
      <vt:variant>
        <vt:i4>0</vt:i4>
      </vt:variant>
      <vt:variant>
        <vt:i4>5</vt:i4>
      </vt:variant>
      <vt:variant>
        <vt:lpwstr>http://www.itu.int/itu-t/workprog/wp_item.aspx?isn=16371</vt:lpwstr>
      </vt:variant>
      <vt:variant>
        <vt:lpwstr/>
      </vt:variant>
      <vt:variant>
        <vt:i4>6422599</vt:i4>
      </vt:variant>
      <vt:variant>
        <vt:i4>996</vt:i4>
      </vt:variant>
      <vt:variant>
        <vt:i4>0</vt:i4>
      </vt:variant>
      <vt:variant>
        <vt:i4>5</vt:i4>
      </vt:variant>
      <vt:variant>
        <vt:lpwstr>https://www.itu.int/ITU-T/workprog/wp_item.aspx?isn=14439</vt:lpwstr>
      </vt:variant>
      <vt:variant>
        <vt:lpwstr/>
      </vt:variant>
      <vt:variant>
        <vt:i4>6619207</vt:i4>
      </vt:variant>
      <vt:variant>
        <vt:i4>993</vt:i4>
      </vt:variant>
      <vt:variant>
        <vt:i4>0</vt:i4>
      </vt:variant>
      <vt:variant>
        <vt:i4>5</vt:i4>
      </vt:variant>
      <vt:variant>
        <vt:lpwstr>https://www.itu.int/ITU-T/workprog/wp_item.aspx?isn=14440</vt:lpwstr>
      </vt:variant>
      <vt:variant>
        <vt:lpwstr/>
      </vt:variant>
      <vt:variant>
        <vt:i4>6422599</vt:i4>
      </vt:variant>
      <vt:variant>
        <vt:i4>990</vt:i4>
      </vt:variant>
      <vt:variant>
        <vt:i4>0</vt:i4>
      </vt:variant>
      <vt:variant>
        <vt:i4>5</vt:i4>
      </vt:variant>
      <vt:variant>
        <vt:lpwstr>https://www.itu.int/ITU-T/workprog/wp_item.aspx?isn=14438</vt:lpwstr>
      </vt:variant>
      <vt:variant>
        <vt:lpwstr/>
      </vt:variant>
      <vt:variant>
        <vt:i4>131160</vt:i4>
      </vt:variant>
      <vt:variant>
        <vt:i4>987</vt:i4>
      </vt:variant>
      <vt:variant>
        <vt:i4>0</vt:i4>
      </vt:variant>
      <vt:variant>
        <vt:i4>5</vt:i4>
      </vt:variant>
      <vt:variant>
        <vt:lpwstr>https://www.itu.int/ITU-T/recommendations/rec.aspx?rec=14176</vt:lpwstr>
      </vt:variant>
      <vt:variant>
        <vt:lpwstr/>
      </vt:variant>
      <vt:variant>
        <vt:i4>6488169</vt:i4>
      </vt:variant>
      <vt:variant>
        <vt:i4>984</vt:i4>
      </vt:variant>
      <vt:variant>
        <vt:i4>0</vt:i4>
      </vt:variant>
      <vt:variant>
        <vt:i4>5</vt:i4>
      </vt:variant>
      <vt:variant>
        <vt:lpwstr>https://www.itu.int/net4/itu-t/landscape</vt:lpwstr>
      </vt:variant>
      <vt:variant>
        <vt:lpwstr>?topic=0.78&amp;workgroup=1&amp;searchValue=&amp;page=1&amp;sort=Revelance</vt:lpwstr>
      </vt:variant>
      <vt:variant>
        <vt:i4>2555957</vt:i4>
      </vt:variant>
      <vt:variant>
        <vt:i4>981</vt:i4>
      </vt:variant>
      <vt:variant>
        <vt:i4>0</vt:i4>
      </vt:variant>
      <vt:variant>
        <vt:i4>5</vt:i4>
      </vt:variant>
      <vt:variant>
        <vt:lpwstr>http://www.itu.int/en/ITU-T/extcoop/Pages/wsc-academia-16.aspx</vt:lpwstr>
      </vt:variant>
      <vt:variant>
        <vt:lpwstr/>
      </vt:variant>
      <vt:variant>
        <vt:i4>4390936</vt:i4>
      </vt:variant>
      <vt:variant>
        <vt:i4>978</vt:i4>
      </vt:variant>
      <vt:variant>
        <vt:i4>0</vt:i4>
      </vt:variant>
      <vt:variant>
        <vt:i4>5</vt:i4>
      </vt:variant>
      <vt:variant>
        <vt:lpwstr>mailto:http://www.worldstandardscooperation.org/</vt:lpwstr>
      </vt:variant>
      <vt:variant>
        <vt:lpwstr/>
      </vt:variant>
      <vt:variant>
        <vt:i4>7274612</vt:i4>
      </vt:variant>
      <vt:variant>
        <vt:i4>975</vt:i4>
      </vt:variant>
      <vt:variant>
        <vt:i4>0</vt:i4>
      </vt:variant>
      <vt:variant>
        <vt:i4>5</vt:i4>
      </vt:variant>
      <vt:variant>
        <vt:lpwstr/>
      </vt:variant>
      <vt:variant>
        <vt:lpwstr>Top</vt:lpwstr>
      </vt:variant>
      <vt:variant>
        <vt:i4>8061055</vt:i4>
      </vt:variant>
      <vt:variant>
        <vt:i4>972</vt:i4>
      </vt:variant>
      <vt:variant>
        <vt:i4>0</vt:i4>
      </vt:variant>
      <vt:variant>
        <vt:i4>5</vt:i4>
      </vt:variant>
      <vt:variant>
        <vt:lpwstr>https://www.itu.int/en/ITU-T/climatechange/Pages/20210422.aspx</vt:lpwstr>
      </vt:variant>
      <vt:variant>
        <vt:lpwstr/>
      </vt:variant>
      <vt:variant>
        <vt:i4>4784206</vt:i4>
      </vt:variant>
      <vt:variant>
        <vt:i4>969</vt:i4>
      </vt:variant>
      <vt:variant>
        <vt:i4>0</vt:i4>
      </vt:variant>
      <vt:variant>
        <vt:i4>5</vt:i4>
      </vt:variant>
      <vt:variant>
        <vt:lpwstr>https://www.itu.int/en/ITU-T/climatechange/Pages/202006.aspx</vt:lpwstr>
      </vt:variant>
      <vt:variant>
        <vt:lpwstr/>
      </vt:variant>
      <vt:variant>
        <vt:i4>4718686</vt:i4>
      </vt:variant>
      <vt:variant>
        <vt:i4>966</vt:i4>
      </vt:variant>
      <vt:variant>
        <vt:i4>0</vt:i4>
      </vt:variant>
      <vt:variant>
        <vt:i4>5</vt:i4>
      </vt:variant>
      <vt:variant>
        <vt:lpwstr>https://www.itu.int/en/ITU-T/climatechange/dpm/05/Pages/default.aspx</vt:lpwstr>
      </vt:variant>
      <vt:variant>
        <vt:lpwstr/>
      </vt:variant>
      <vt:variant>
        <vt:i4>5963794</vt:i4>
      </vt:variant>
      <vt:variant>
        <vt:i4>963</vt:i4>
      </vt:variant>
      <vt:variant>
        <vt:i4>0</vt:i4>
      </vt:variant>
      <vt:variant>
        <vt:i4>5</vt:i4>
      </vt:variant>
      <vt:variant>
        <vt:lpwstr>https://www.itu.int/en/ITU-T/Workshops-and-Seminars/201812/Pages/default.aspx</vt:lpwstr>
      </vt:variant>
      <vt:variant>
        <vt:lpwstr/>
      </vt:variant>
      <vt:variant>
        <vt:i4>6946851</vt:i4>
      </vt:variant>
      <vt:variant>
        <vt:i4>960</vt:i4>
      </vt:variant>
      <vt:variant>
        <vt:i4>0</vt:i4>
      </vt:variant>
      <vt:variant>
        <vt:i4>5</vt:i4>
      </vt:variant>
      <vt:variant>
        <vt:lpwstr>https://www.itu.int/en/ITU-T/Workshops-and-Seminars/20180506/Pages/default.aspx</vt:lpwstr>
      </vt:variant>
      <vt:variant>
        <vt:lpwstr/>
      </vt:variant>
      <vt:variant>
        <vt:i4>589920</vt:i4>
      </vt:variant>
      <vt:variant>
        <vt:i4>957</vt:i4>
      </vt:variant>
      <vt:variant>
        <vt:i4>0</vt:i4>
      </vt:variant>
      <vt:variant>
        <vt:i4>5</vt:i4>
      </vt:variant>
      <vt:variant>
        <vt:lpwstr>https://www.etis.org/page/Anti_Abuse</vt:lpwstr>
      </vt:variant>
      <vt:variant>
        <vt:lpwstr/>
      </vt:variant>
      <vt:variant>
        <vt:i4>5636177</vt:i4>
      </vt:variant>
      <vt:variant>
        <vt:i4>954</vt:i4>
      </vt:variant>
      <vt:variant>
        <vt:i4>0</vt:i4>
      </vt:variant>
      <vt:variant>
        <vt:i4>5</vt:i4>
      </vt:variant>
      <vt:variant>
        <vt:lpwstr>https://www.itu.int/en/ITU-T/studygroups/2017-2020/16/Pages/video/jctvc.aspx</vt:lpwstr>
      </vt:variant>
      <vt:variant>
        <vt:lpwstr/>
      </vt:variant>
      <vt:variant>
        <vt:i4>7667823</vt:i4>
      </vt:variant>
      <vt:variant>
        <vt:i4>951</vt:i4>
      </vt:variant>
      <vt:variant>
        <vt:i4>0</vt:i4>
      </vt:variant>
      <vt:variant>
        <vt:i4>5</vt:i4>
      </vt:variant>
      <vt:variant>
        <vt:lpwstr>https://www.itu.int/en/ITU-T/studygroups/2017-2020/16/Pages/video/jvet.aspx</vt:lpwstr>
      </vt:variant>
      <vt:variant>
        <vt:lpwstr/>
      </vt:variant>
      <vt:variant>
        <vt:i4>7077995</vt:i4>
      </vt:variant>
      <vt:variant>
        <vt:i4>948</vt:i4>
      </vt:variant>
      <vt:variant>
        <vt:i4>0</vt:i4>
      </vt:variant>
      <vt:variant>
        <vt:i4>5</vt:i4>
      </vt:variant>
      <vt:variant>
        <vt:lpwstr>https://www.itu.int/en/ITU-T/studygroups/2017-2020/05/Pages/event-20190520.aspx</vt:lpwstr>
      </vt:variant>
      <vt:variant>
        <vt:lpwstr/>
      </vt:variant>
      <vt:variant>
        <vt:i4>6881384</vt:i4>
      </vt:variant>
      <vt:variant>
        <vt:i4>945</vt:i4>
      </vt:variant>
      <vt:variant>
        <vt:i4>0</vt:i4>
      </vt:variant>
      <vt:variant>
        <vt:i4>5</vt:i4>
      </vt:variant>
      <vt:variant>
        <vt:lpwstr>https://www.itu.int/en/ITU-T/studygroups/2017-2020/05/Pages/event-20190515.aspx</vt:lpwstr>
      </vt:variant>
      <vt:variant>
        <vt:lpwstr/>
      </vt:variant>
      <vt:variant>
        <vt:i4>5636168</vt:i4>
      </vt:variant>
      <vt:variant>
        <vt:i4>942</vt:i4>
      </vt:variant>
      <vt:variant>
        <vt:i4>0</vt:i4>
      </vt:variant>
      <vt:variant>
        <vt:i4>5</vt:i4>
      </vt:variant>
      <vt:variant>
        <vt:lpwstr>https://www.itu.int/en/ITU-T/climatechange/symposia/201905/Documents/Call_for_Action.pdf</vt:lpwstr>
      </vt:variant>
      <vt:variant>
        <vt:lpwstr/>
      </vt:variant>
      <vt:variant>
        <vt:i4>7274612</vt:i4>
      </vt:variant>
      <vt:variant>
        <vt:i4>939</vt:i4>
      </vt:variant>
      <vt:variant>
        <vt:i4>0</vt:i4>
      </vt:variant>
      <vt:variant>
        <vt:i4>5</vt:i4>
      </vt:variant>
      <vt:variant>
        <vt:lpwstr/>
      </vt:variant>
      <vt:variant>
        <vt:lpwstr>Top</vt:lpwstr>
      </vt:variant>
      <vt:variant>
        <vt:i4>3211361</vt:i4>
      </vt:variant>
      <vt:variant>
        <vt:i4>936</vt:i4>
      </vt:variant>
      <vt:variant>
        <vt:i4>0</vt:i4>
      </vt:variant>
      <vt:variant>
        <vt:i4>5</vt:i4>
      </vt:variant>
      <vt:variant>
        <vt:lpwstr>https://www.itu.int/md/meetingdoc.asp?lang=en&amp;parent=T17-WTSA.20-C-0027</vt:lpwstr>
      </vt:variant>
      <vt:variant>
        <vt:lpwstr/>
      </vt:variant>
      <vt:variant>
        <vt:i4>3145825</vt:i4>
      </vt:variant>
      <vt:variant>
        <vt:i4>933</vt:i4>
      </vt:variant>
      <vt:variant>
        <vt:i4>0</vt:i4>
      </vt:variant>
      <vt:variant>
        <vt:i4>5</vt:i4>
      </vt:variant>
      <vt:variant>
        <vt:lpwstr>https://www.itu.int/md/meetingdoc.asp?lang=en&amp;parent=T17-WTSA.20-C-0032</vt:lpwstr>
      </vt:variant>
      <vt:variant>
        <vt:lpwstr/>
      </vt:variant>
      <vt:variant>
        <vt:i4>3145825</vt:i4>
      </vt:variant>
      <vt:variant>
        <vt:i4>930</vt:i4>
      </vt:variant>
      <vt:variant>
        <vt:i4>0</vt:i4>
      </vt:variant>
      <vt:variant>
        <vt:i4>5</vt:i4>
      </vt:variant>
      <vt:variant>
        <vt:lpwstr>https://www.itu.int/md/meetingdoc.asp?lang=en&amp;parent=T17-WTSA.20-C-0031</vt:lpwstr>
      </vt:variant>
      <vt:variant>
        <vt:lpwstr/>
      </vt:variant>
      <vt:variant>
        <vt:i4>3211361</vt:i4>
      </vt:variant>
      <vt:variant>
        <vt:i4>927</vt:i4>
      </vt:variant>
      <vt:variant>
        <vt:i4>0</vt:i4>
      </vt:variant>
      <vt:variant>
        <vt:i4>5</vt:i4>
      </vt:variant>
      <vt:variant>
        <vt:lpwstr>https://www.itu.int/md/meetingdoc.asp?lang=en&amp;parent=T17-WTSA.20-C-0029</vt:lpwstr>
      </vt:variant>
      <vt:variant>
        <vt:lpwstr/>
      </vt:variant>
      <vt:variant>
        <vt:i4>5439506</vt:i4>
      </vt:variant>
      <vt:variant>
        <vt:i4>924</vt:i4>
      </vt:variant>
      <vt:variant>
        <vt:i4>0</vt:i4>
      </vt:variant>
      <vt:variant>
        <vt:i4>5</vt:i4>
      </vt:variant>
      <vt:variant>
        <vt:lpwstr>https://www.itu.int/md/meetingdoc.asp?lang=en&amp;parent=T17-TSAG-211025-TD-GEN-1105</vt:lpwstr>
      </vt:variant>
      <vt:variant>
        <vt:lpwstr/>
      </vt:variant>
      <vt:variant>
        <vt:i4>5308442</vt:i4>
      </vt:variant>
      <vt:variant>
        <vt:i4>921</vt:i4>
      </vt:variant>
      <vt:variant>
        <vt:i4>0</vt:i4>
      </vt:variant>
      <vt:variant>
        <vt:i4>5</vt:i4>
      </vt:variant>
      <vt:variant>
        <vt:lpwstr>https://www.itu.int/md/meetingdoc.asp?lang=en&amp;parent=T17-TSAG-200921-TD-GEN-0882</vt:lpwstr>
      </vt:variant>
      <vt:variant>
        <vt:lpwstr/>
      </vt:variant>
      <vt:variant>
        <vt:i4>6029333</vt:i4>
      </vt:variant>
      <vt:variant>
        <vt:i4>918</vt:i4>
      </vt:variant>
      <vt:variant>
        <vt:i4>0</vt:i4>
      </vt:variant>
      <vt:variant>
        <vt:i4>5</vt:i4>
      </vt:variant>
      <vt:variant>
        <vt:lpwstr>https://www.itu.int/md/meetingdoc.asp?lang=en&amp;parent=T17-TSAG-190923-TD-GEN-0549</vt:lpwstr>
      </vt:variant>
      <vt:variant>
        <vt:lpwstr/>
      </vt:variant>
      <vt:variant>
        <vt:i4>7012479</vt:i4>
      </vt:variant>
      <vt:variant>
        <vt:i4>915</vt:i4>
      </vt:variant>
      <vt:variant>
        <vt:i4>0</vt:i4>
      </vt:variant>
      <vt:variant>
        <vt:i4>5</vt:i4>
      </vt:variant>
      <vt:variant>
        <vt:lpwstr>https://www.itu.int/md/T17-TSAG-200210-TD-GEN-0672</vt:lpwstr>
      </vt:variant>
      <vt:variant>
        <vt:lpwstr/>
      </vt:variant>
      <vt:variant>
        <vt:i4>7012479</vt:i4>
      </vt:variant>
      <vt:variant>
        <vt:i4>912</vt:i4>
      </vt:variant>
      <vt:variant>
        <vt:i4>0</vt:i4>
      </vt:variant>
      <vt:variant>
        <vt:i4>5</vt:i4>
      </vt:variant>
      <vt:variant>
        <vt:lpwstr>https://www.itu.int/md/T17-TSAG-200210-TD-GEN-0672</vt:lpwstr>
      </vt:variant>
      <vt:variant>
        <vt:lpwstr/>
      </vt:variant>
      <vt:variant>
        <vt:i4>5767186</vt:i4>
      </vt:variant>
      <vt:variant>
        <vt:i4>909</vt:i4>
      </vt:variant>
      <vt:variant>
        <vt:i4>0</vt:i4>
      </vt:variant>
      <vt:variant>
        <vt:i4>5</vt:i4>
      </vt:variant>
      <vt:variant>
        <vt:lpwstr>https://www.itu.int/md/meetingdoc.asp?lang=en&amp;parent=T17-TSAG-181210-TD-GEN-0312</vt:lpwstr>
      </vt:variant>
      <vt:variant>
        <vt:lpwstr/>
      </vt:variant>
      <vt:variant>
        <vt:i4>5505042</vt:i4>
      </vt:variant>
      <vt:variant>
        <vt:i4>906</vt:i4>
      </vt:variant>
      <vt:variant>
        <vt:i4>0</vt:i4>
      </vt:variant>
      <vt:variant>
        <vt:i4>5</vt:i4>
      </vt:variant>
      <vt:variant>
        <vt:lpwstr>https://www.itu.int/md/meetingdoc.asp?lang=en&amp;parent=T17-TSAG-180226-TD-GEN-0239</vt:lpwstr>
      </vt:variant>
      <vt:variant>
        <vt:lpwstr/>
      </vt:variant>
      <vt:variant>
        <vt:i4>5570587</vt:i4>
      </vt:variant>
      <vt:variant>
        <vt:i4>903</vt:i4>
      </vt:variant>
      <vt:variant>
        <vt:i4>0</vt:i4>
      </vt:variant>
      <vt:variant>
        <vt:i4>5</vt:i4>
      </vt:variant>
      <vt:variant>
        <vt:lpwstr>https://www.itu.int/md/meetingdoc.asp?lang=en&amp;parent=T17-TSAG-200921-TD-GEN-0799</vt:lpwstr>
      </vt:variant>
      <vt:variant>
        <vt:lpwstr/>
      </vt:variant>
      <vt:variant>
        <vt:i4>7274622</vt:i4>
      </vt:variant>
      <vt:variant>
        <vt:i4>900</vt:i4>
      </vt:variant>
      <vt:variant>
        <vt:i4>0</vt:i4>
      </vt:variant>
      <vt:variant>
        <vt:i4>5</vt:i4>
      </vt:variant>
      <vt:variant>
        <vt:lpwstr>https://www.itu.int/md/T17-TSAG-200210-TD-GEN-0666</vt:lpwstr>
      </vt:variant>
      <vt:variant>
        <vt:lpwstr/>
      </vt:variant>
      <vt:variant>
        <vt:i4>5767187</vt:i4>
      </vt:variant>
      <vt:variant>
        <vt:i4>897</vt:i4>
      </vt:variant>
      <vt:variant>
        <vt:i4>0</vt:i4>
      </vt:variant>
      <vt:variant>
        <vt:i4>5</vt:i4>
      </vt:variant>
      <vt:variant>
        <vt:lpwstr>https://www.itu.int/md/meetingdoc.asp?lang=en&amp;parent=T17-TSAG-181210-TD-GEN-0302</vt:lpwstr>
      </vt:variant>
      <vt:variant>
        <vt:lpwstr/>
      </vt:variant>
      <vt:variant>
        <vt:i4>5373968</vt:i4>
      </vt:variant>
      <vt:variant>
        <vt:i4>894</vt:i4>
      </vt:variant>
      <vt:variant>
        <vt:i4>0</vt:i4>
      </vt:variant>
      <vt:variant>
        <vt:i4>5</vt:i4>
      </vt:variant>
      <vt:variant>
        <vt:lpwstr>https://www.itu.int/md/meetingdoc.asp?lang=en&amp;parent=T17-TSAG-220110-TD-GEN-1200</vt:lpwstr>
      </vt:variant>
      <vt:variant>
        <vt:lpwstr/>
      </vt:variant>
      <vt:variant>
        <vt:i4>6291583</vt:i4>
      </vt:variant>
      <vt:variant>
        <vt:i4>891</vt:i4>
      </vt:variant>
      <vt:variant>
        <vt:i4>0</vt:i4>
      </vt:variant>
      <vt:variant>
        <vt:i4>5</vt:i4>
      </vt:variant>
      <vt:variant>
        <vt:lpwstr>https://www.itu.int/md/T17-TSAG-211025-TD-GEN-1049</vt:lpwstr>
      </vt:variant>
      <vt:variant>
        <vt:lpwstr/>
      </vt:variant>
      <vt:variant>
        <vt:i4>7143548</vt:i4>
      </vt:variant>
      <vt:variant>
        <vt:i4>888</vt:i4>
      </vt:variant>
      <vt:variant>
        <vt:i4>0</vt:i4>
      </vt:variant>
      <vt:variant>
        <vt:i4>5</vt:i4>
      </vt:variant>
      <vt:variant>
        <vt:lpwstr>https://www.itu.int/md/T17-TSAG-210111-TD-GEN-0948</vt:lpwstr>
      </vt:variant>
      <vt:variant>
        <vt:lpwstr/>
      </vt:variant>
      <vt:variant>
        <vt:i4>6946939</vt:i4>
      </vt:variant>
      <vt:variant>
        <vt:i4>885</vt:i4>
      </vt:variant>
      <vt:variant>
        <vt:i4>0</vt:i4>
      </vt:variant>
      <vt:variant>
        <vt:i4>5</vt:i4>
      </vt:variant>
      <vt:variant>
        <vt:lpwstr>https://www.itu.int/md/T17-TSAG-200921-TD-GEN-0807</vt:lpwstr>
      </vt:variant>
      <vt:variant>
        <vt:lpwstr/>
      </vt:variant>
      <vt:variant>
        <vt:i4>7012479</vt:i4>
      </vt:variant>
      <vt:variant>
        <vt:i4>882</vt:i4>
      </vt:variant>
      <vt:variant>
        <vt:i4>0</vt:i4>
      </vt:variant>
      <vt:variant>
        <vt:i4>5</vt:i4>
      </vt:variant>
      <vt:variant>
        <vt:lpwstr>https://www.itu.int/md/T17-TSAG-200210-TD-GEN-0672</vt:lpwstr>
      </vt:variant>
      <vt:variant>
        <vt:lpwstr/>
      </vt:variant>
      <vt:variant>
        <vt:i4>7143536</vt:i4>
      </vt:variant>
      <vt:variant>
        <vt:i4>879</vt:i4>
      </vt:variant>
      <vt:variant>
        <vt:i4>0</vt:i4>
      </vt:variant>
      <vt:variant>
        <vt:i4>5</vt:i4>
      </vt:variant>
      <vt:variant>
        <vt:lpwstr>https://www.itu.int/md/T17-TSAG-190923-TD-GEN-0487</vt:lpwstr>
      </vt:variant>
      <vt:variant>
        <vt:lpwstr/>
      </vt:variant>
      <vt:variant>
        <vt:i4>5767186</vt:i4>
      </vt:variant>
      <vt:variant>
        <vt:i4>876</vt:i4>
      </vt:variant>
      <vt:variant>
        <vt:i4>0</vt:i4>
      </vt:variant>
      <vt:variant>
        <vt:i4>5</vt:i4>
      </vt:variant>
      <vt:variant>
        <vt:lpwstr>https://www.itu.int/md/meetingdoc.asp?lang=en&amp;parent=T17-TSAG-181210-TD-GEN-0312</vt:lpwstr>
      </vt:variant>
      <vt:variant>
        <vt:lpwstr/>
      </vt:variant>
      <vt:variant>
        <vt:i4>131154</vt:i4>
      </vt:variant>
      <vt:variant>
        <vt:i4>873</vt:i4>
      </vt:variant>
      <vt:variant>
        <vt:i4>0</vt:i4>
      </vt:variant>
      <vt:variant>
        <vt:i4>5</vt:i4>
      </vt:variant>
      <vt:variant>
        <vt:lpwstr>https://www.itu.int/md/T17-TSAG-180226-TD-GEN-0157/en</vt:lpwstr>
      </vt:variant>
      <vt:variant>
        <vt:lpwstr/>
      </vt:variant>
      <vt:variant>
        <vt:i4>6357119</vt:i4>
      </vt:variant>
      <vt:variant>
        <vt:i4>870</vt:i4>
      </vt:variant>
      <vt:variant>
        <vt:i4>0</vt:i4>
      </vt:variant>
      <vt:variant>
        <vt:i4>5</vt:i4>
      </vt:variant>
      <vt:variant>
        <vt:lpwstr>https://www.itu.int/md/T17-TSAG-211025-TD-GEN-1048</vt:lpwstr>
      </vt:variant>
      <vt:variant>
        <vt:lpwstr/>
      </vt:variant>
      <vt:variant>
        <vt:i4>6422652</vt:i4>
      </vt:variant>
      <vt:variant>
        <vt:i4>867</vt:i4>
      </vt:variant>
      <vt:variant>
        <vt:i4>0</vt:i4>
      </vt:variant>
      <vt:variant>
        <vt:i4>5</vt:i4>
      </vt:variant>
      <vt:variant>
        <vt:lpwstr>https://www.itu.int/md/T17-TSAG-210111-TD-GEN-0947</vt:lpwstr>
      </vt:variant>
      <vt:variant>
        <vt:lpwstr/>
      </vt:variant>
      <vt:variant>
        <vt:i4>7012475</vt:i4>
      </vt:variant>
      <vt:variant>
        <vt:i4>864</vt:i4>
      </vt:variant>
      <vt:variant>
        <vt:i4>0</vt:i4>
      </vt:variant>
      <vt:variant>
        <vt:i4>5</vt:i4>
      </vt:variant>
      <vt:variant>
        <vt:lpwstr>https://www.itu.int/md/T17-TSAG-200921-TD-GEN-0806</vt:lpwstr>
      </vt:variant>
      <vt:variant>
        <vt:lpwstr/>
      </vt:variant>
      <vt:variant>
        <vt:i4>7143546</vt:i4>
      </vt:variant>
      <vt:variant>
        <vt:i4>861</vt:i4>
      </vt:variant>
      <vt:variant>
        <vt:i4>0</vt:i4>
      </vt:variant>
      <vt:variant>
        <vt:i4>5</vt:i4>
      </vt:variant>
      <vt:variant>
        <vt:lpwstr>https://www.itu.int/md/T17-TSAG-181210-TD-GEN-0309</vt:lpwstr>
      </vt:variant>
      <vt:variant>
        <vt:lpwstr/>
      </vt:variant>
      <vt:variant>
        <vt:i4>7143546</vt:i4>
      </vt:variant>
      <vt:variant>
        <vt:i4>858</vt:i4>
      </vt:variant>
      <vt:variant>
        <vt:i4>0</vt:i4>
      </vt:variant>
      <vt:variant>
        <vt:i4>5</vt:i4>
      </vt:variant>
      <vt:variant>
        <vt:lpwstr>https://www.itu.int/md/T17-TSAG-181210-TD-GEN-0309</vt:lpwstr>
      </vt:variant>
      <vt:variant>
        <vt:lpwstr/>
      </vt:variant>
      <vt:variant>
        <vt:i4>7012475</vt:i4>
      </vt:variant>
      <vt:variant>
        <vt:i4>855</vt:i4>
      </vt:variant>
      <vt:variant>
        <vt:i4>0</vt:i4>
      </vt:variant>
      <vt:variant>
        <vt:i4>5</vt:i4>
      </vt:variant>
      <vt:variant>
        <vt:lpwstr>https://www.itu.int/md/T17-TSAG-180226-TD-GEN-0238</vt:lpwstr>
      </vt:variant>
      <vt:variant>
        <vt:lpwstr/>
      </vt:variant>
      <vt:variant>
        <vt:i4>6553723</vt:i4>
      </vt:variant>
      <vt:variant>
        <vt:i4>852</vt:i4>
      </vt:variant>
      <vt:variant>
        <vt:i4>0</vt:i4>
      </vt:variant>
      <vt:variant>
        <vt:i4>5</vt:i4>
      </vt:variant>
      <vt:variant>
        <vt:lpwstr>https://www.itu.int/md/T17-TSAG-180226-TD-GEN-0237</vt:lpwstr>
      </vt:variant>
      <vt:variant>
        <vt:lpwstr/>
      </vt:variant>
      <vt:variant>
        <vt:i4>6619259</vt:i4>
      </vt:variant>
      <vt:variant>
        <vt:i4>849</vt:i4>
      </vt:variant>
      <vt:variant>
        <vt:i4>0</vt:i4>
      </vt:variant>
      <vt:variant>
        <vt:i4>5</vt:i4>
      </vt:variant>
      <vt:variant>
        <vt:lpwstr>https://www.itu.int/md/T17-TSAG-180226-TD-GEN-0236</vt:lpwstr>
      </vt:variant>
      <vt:variant>
        <vt:lpwstr/>
      </vt:variant>
      <vt:variant>
        <vt:i4>5570586</vt:i4>
      </vt:variant>
      <vt:variant>
        <vt:i4>846</vt:i4>
      </vt:variant>
      <vt:variant>
        <vt:i4>0</vt:i4>
      </vt:variant>
      <vt:variant>
        <vt:i4>5</vt:i4>
      </vt:variant>
      <vt:variant>
        <vt:lpwstr>https://www.itu.int/md/meetingdoc.asp?lang=en&amp;parent=T17-TSAG-170501-TD-GEN-0095</vt:lpwstr>
      </vt:variant>
      <vt:variant>
        <vt:lpwstr/>
      </vt:variant>
      <vt:variant>
        <vt:i4>5505050</vt:i4>
      </vt:variant>
      <vt:variant>
        <vt:i4>843</vt:i4>
      </vt:variant>
      <vt:variant>
        <vt:i4>0</vt:i4>
      </vt:variant>
      <vt:variant>
        <vt:i4>5</vt:i4>
      </vt:variant>
      <vt:variant>
        <vt:lpwstr>https://www.itu.int/md/meetingdoc.asp?lang=en&amp;parent=T17-TSAG-170501-TD-GEN-0094</vt:lpwstr>
      </vt:variant>
      <vt:variant>
        <vt:lpwstr/>
      </vt:variant>
      <vt:variant>
        <vt:i4>5439514</vt:i4>
      </vt:variant>
      <vt:variant>
        <vt:i4>840</vt:i4>
      </vt:variant>
      <vt:variant>
        <vt:i4>0</vt:i4>
      </vt:variant>
      <vt:variant>
        <vt:i4>5</vt:i4>
      </vt:variant>
      <vt:variant>
        <vt:lpwstr>https://www.itu.int/md/meetingdoc.asp?lang=en&amp;parent=T17-TSAG-170501-TD-GEN-0093</vt:lpwstr>
      </vt:variant>
      <vt:variant>
        <vt:lpwstr/>
      </vt:variant>
      <vt:variant>
        <vt:i4>7209087</vt:i4>
      </vt:variant>
      <vt:variant>
        <vt:i4>837</vt:i4>
      </vt:variant>
      <vt:variant>
        <vt:i4>0</vt:i4>
      </vt:variant>
      <vt:variant>
        <vt:i4>5</vt:i4>
      </vt:variant>
      <vt:variant>
        <vt:lpwstr>https://www.itu.int/md/T17-TSAG-211025-TD-GEN-1047</vt:lpwstr>
      </vt:variant>
      <vt:variant>
        <vt:lpwstr/>
      </vt:variant>
      <vt:variant>
        <vt:i4>6815867</vt:i4>
      </vt:variant>
      <vt:variant>
        <vt:i4>834</vt:i4>
      </vt:variant>
      <vt:variant>
        <vt:i4>0</vt:i4>
      </vt:variant>
      <vt:variant>
        <vt:i4>5</vt:i4>
      </vt:variant>
      <vt:variant>
        <vt:lpwstr>https://www.itu.int/md/T17-TSAG-200921-TD-GEN-0805</vt:lpwstr>
      </vt:variant>
      <vt:variant>
        <vt:lpwstr/>
      </vt:variant>
      <vt:variant>
        <vt:i4>6815871</vt:i4>
      </vt:variant>
      <vt:variant>
        <vt:i4>831</vt:i4>
      </vt:variant>
      <vt:variant>
        <vt:i4>0</vt:i4>
      </vt:variant>
      <vt:variant>
        <vt:i4>5</vt:i4>
      </vt:variant>
      <vt:variant>
        <vt:lpwstr>https://www.itu.int/md/T17-TSAG-200210-TD-GEN-0671</vt:lpwstr>
      </vt:variant>
      <vt:variant>
        <vt:lpwstr/>
      </vt:variant>
      <vt:variant>
        <vt:i4>7209072</vt:i4>
      </vt:variant>
      <vt:variant>
        <vt:i4>828</vt:i4>
      </vt:variant>
      <vt:variant>
        <vt:i4>0</vt:i4>
      </vt:variant>
      <vt:variant>
        <vt:i4>5</vt:i4>
      </vt:variant>
      <vt:variant>
        <vt:lpwstr>https://www.itu.int/md/T17-TSAG-190923-TD-GEN-0484</vt:lpwstr>
      </vt:variant>
      <vt:variant>
        <vt:lpwstr/>
      </vt:variant>
      <vt:variant>
        <vt:i4>7078010</vt:i4>
      </vt:variant>
      <vt:variant>
        <vt:i4>825</vt:i4>
      </vt:variant>
      <vt:variant>
        <vt:i4>0</vt:i4>
      </vt:variant>
      <vt:variant>
        <vt:i4>5</vt:i4>
      </vt:variant>
      <vt:variant>
        <vt:lpwstr>https://www.itu.int/md/T17-TSAG-181210-TD-GEN-0308</vt:lpwstr>
      </vt:variant>
      <vt:variant>
        <vt:lpwstr/>
      </vt:variant>
      <vt:variant>
        <vt:i4>5767193</vt:i4>
      </vt:variant>
      <vt:variant>
        <vt:i4>822</vt:i4>
      </vt:variant>
      <vt:variant>
        <vt:i4>0</vt:i4>
      </vt:variant>
      <vt:variant>
        <vt:i4>5</vt:i4>
      </vt:variant>
      <vt:variant>
        <vt:lpwstr>https://www.itu.int/md/meetingdoc.asp?lang=en&amp;parent=T17-TSAG-220110-TD-GEN-1199</vt:lpwstr>
      </vt:variant>
      <vt:variant>
        <vt:lpwstr/>
      </vt:variant>
      <vt:variant>
        <vt:i4>7274623</vt:i4>
      </vt:variant>
      <vt:variant>
        <vt:i4>819</vt:i4>
      </vt:variant>
      <vt:variant>
        <vt:i4>0</vt:i4>
      </vt:variant>
      <vt:variant>
        <vt:i4>5</vt:i4>
      </vt:variant>
      <vt:variant>
        <vt:lpwstr>https://www.itu.int/md/T17-TSAG-211025-TD-GEN-1046</vt:lpwstr>
      </vt:variant>
      <vt:variant>
        <vt:lpwstr/>
      </vt:variant>
      <vt:variant>
        <vt:i4>6881403</vt:i4>
      </vt:variant>
      <vt:variant>
        <vt:i4>816</vt:i4>
      </vt:variant>
      <vt:variant>
        <vt:i4>0</vt:i4>
      </vt:variant>
      <vt:variant>
        <vt:i4>5</vt:i4>
      </vt:variant>
      <vt:variant>
        <vt:lpwstr>https://www.itu.int/md/T17-TSAG-200921-TD-GEN-0804</vt:lpwstr>
      </vt:variant>
      <vt:variant>
        <vt:lpwstr/>
      </vt:variant>
      <vt:variant>
        <vt:i4>6881407</vt:i4>
      </vt:variant>
      <vt:variant>
        <vt:i4>813</vt:i4>
      </vt:variant>
      <vt:variant>
        <vt:i4>0</vt:i4>
      </vt:variant>
      <vt:variant>
        <vt:i4>5</vt:i4>
      </vt:variant>
      <vt:variant>
        <vt:lpwstr>https://www.itu.int/md/T17-TSAG-200210-TD-GEN-0670</vt:lpwstr>
      </vt:variant>
      <vt:variant>
        <vt:lpwstr/>
      </vt:variant>
      <vt:variant>
        <vt:i4>6029335</vt:i4>
      </vt:variant>
      <vt:variant>
        <vt:i4>810</vt:i4>
      </vt:variant>
      <vt:variant>
        <vt:i4>0</vt:i4>
      </vt:variant>
      <vt:variant>
        <vt:i4>5</vt:i4>
      </vt:variant>
      <vt:variant>
        <vt:lpwstr>https://www.itu.int/md/meetingdoc.asp?lang=en&amp;parent=T17-TSAG-190923-TD-GEN-0569</vt:lpwstr>
      </vt:variant>
      <vt:variant>
        <vt:lpwstr/>
      </vt:variant>
      <vt:variant>
        <vt:i4>6094871</vt:i4>
      </vt:variant>
      <vt:variant>
        <vt:i4>807</vt:i4>
      </vt:variant>
      <vt:variant>
        <vt:i4>0</vt:i4>
      </vt:variant>
      <vt:variant>
        <vt:i4>5</vt:i4>
      </vt:variant>
      <vt:variant>
        <vt:lpwstr>https://www.itu.int/md/meetingdoc.asp?lang=en&amp;parent=T17-TSAG-190923-TD-GEN-0568</vt:lpwstr>
      </vt:variant>
      <vt:variant>
        <vt:lpwstr/>
      </vt:variant>
      <vt:variant>
        <vt:i4>6881392</vt:i4>
      </vt:variant>
      <vt:variant>
        <vt:i4>804</vt:i4>
      </vt:variant>
      <vt:variant>
        <vt:i4>0</vt:i4>
      </vt:variant>
      <vt:variant>
        <vt:i4>5</vt:i4>
      </vt:variant>
      <vt:variant>
        <vt:lpwstr>https://www.itu.int/md/T17-TSAG-190923-TD-GEN-0483</vt:lpwstr>
      </vt:variant>
      <vt:variant>
        <vt:lpwstr/>
      </vt:variant>
      <vt:variant>
        <vt:i4>5898258</vt:i4>
      </vt:variant>
      <vt:variant>
        <vt:i4>801</vt:i4>
      </vt:variant>
      <vt:variant>
        <vt:i4>0</vt:i4>
      </vt:variant>
      <vt:variant>
        <vt:i4>5</vt:i4>
      </vt:variant>
      <vt:variant>
        <vt:lpwstr>https://www.itu.int/md/meetingdoc.asp?lang=en&amp;parent=T17-TSAG-181210-TD-GEN-0417</vt:lpwstr>
      </vt:variant>
      <vt:variant>
        <vt:lpwstr/>
      </vt:variant>
      <vt:variant>
        <vt:i4>7209083</vt:i4>
      </vt:variant>
      <vt:variant>
        <vt:i4>798</vt:i4>
      </vt:variant>
      <vt:variant>
        <vt:i4>0</vt:i4>
      </vt:variant>
      <vt:variant>
        <vt:i4>5</vt:i4>
      </vt:variant>
      <vt:variant>
        <vt:lpwstr>https://www.itu.int/md/T17-TSAG-170501-TD-GEN-0010</vt:lpwstr>
      </vt:variant>
      <vt:variant>
        <vt:lpwstr/>
      </vt:variant>
      <vt:variant>
        <vt:i4>6750330</vt:i4>
      </vt:variant>
      <vt:variant>
        <vt:i4>795</vt:i4>
      </vt:variant>
      <vt:variant>
        <vt:i4>0</vt:i4>
      </vt:variant>
      <vt:variant>
        <vt:i4>5</vt:i4>
      </vt:variant>
      <vt:variant>
        <vt:lpwstr>https://www.itu.int/md/T17-TSAG-170501-TD-GEN-0009</vt:lpwstr>
      </vt:variant>
      <vt:variant>
        <vt:lpwstr/>
      </vt:variant>
      <vt:variant>
        <vt:i4>6684794</vt:i4>
      </vt:variant>
      <vt:variant>
        <vt:i4>792</vt:i4>
      </vt:variant>
      <vt:variant>
        <vt:i4>0</vt:i4>
      </vt:variant>
      <vt:variant>
        <vt:i4>5</vt:i4>
      </vt:variant>
      <vt:variant>
        <vt:lpwstr>https://www.itu.int/md/T17-TSAG-170501-TD-GEN-0008</vt:lpwstr>
      </vt:variant>
      <vt:variant>
        <vt:lpwstr/>
      </vt:variant>
      <vt:variant>
        <vt:i4>5832722</vt:i4>
      </vt:variant>
      <vt:variant>
        <vt:i4>789</vt:i4>
      </vt:variant>
      <vt:variant>
        <vt:i4>0</vt:i4>
      </vt:variant>
      <vt:variant>
        <vt:i4>5</vt:i4>
      </vt:variant>
      <vt:variant>
        <vt:lpwstr>https://www.itu.int/md/meetingdoc.asp?lang=en&amp;parent=T17-TSAG-180226-TD-GEN-0234</vt:lpwstr>
      </vt:variant>
      <vt:variant>
        <vt:lpwstr/>
      </vt:variant>
      <vt:variant>
        <vt:i4>5373968</vt:i4>
      </vt:variant>
      <vt:variant>
        <vt:i4>786</vt:i4>
      </vt:variant>
      <vt:variant>
        <vt:i4>0</vt:i4>
      </vt:variant>
      <vt:variant>
        <vt:i4>5</vt:i4>
      </vt:variant>
      <vt:variant>
        <vt:lpwstr>https://www.itu.int/md/meetingdoc.asp?lang=en&amp;parent=T17-TSAG-170501-TD-GEN-0032</vt:lpwstr>
      </vt:variant>
      <vt:variant>
        <vt:lpwstr/>
      </vt:variant>
      <vt:variant>
        <vt:i4>5832729</vt:i4>
      </vt:variant>
      <vt:variant>
        <vt:i4>783</vt:i4>
      </vt:variant>
      <vt:variant>
        <vt:i4>0</vt:i4>
      </vt:variant>
      <vt:variant>
        <vt:i4>5</vt:i4>
      </vt:variant>
      <vt:variant>
        <vt:lpwstr>https://www.itu.int/md/meetingdoc.asp?lang=en&amp;parent=T17-TSAG-220110-TD-GEN-1198</vt:lpwstr>
      </vt:variant>
      <vt:variant>
        <vt:lpwstr/>
      </vt:variant>
      <vt:variant>
        <vt:i4>7078015</vt:i4>
      </vt:variant>
      <vt:variant>
        <vt:i4>780</vt:i4>
      </vt:variant>
      <vt:variant>
        <vt:i4>0</vt:i4>
      </vt:variant>
      <vt:variant>
        <vt:i4>5</vt:i4>
      </vt:variant>
      <vt:variant>
        <vt:lpwstr>https://www.itu.int/md/T17-TSAG-211025-TD-GEN-1045</vt:lpwstr>
      </vt:variant>
      <vt:variant>
        <vt:lpwstr/>
      </vt:variant>
      <vt:variant>
        <vt:i4>6488188</vt:i4>
      </vt:variant>
      <vt:variant>
        <vt:i4>777</vt:i4>
      </vt:variant>
      <vt:variant>
        <vt:i4>0</vt:i4>
      </vt:variant>
      <vt:variant>
        <vt:i4>5</vt:i4>
      </vt:variant>
      <vt:variant>
        <vt:lpwstr>https://www.itu.int/md/T17-TSAG-210111-TD-GEN-0946</vt:lpwstr>
      </vt:variant>
      <vt:variant>
        <vt:lpwstr/>
      </vt:variant>
      <vt:variant>
        <vt:i4>7209083</vt:i4>
      </vt:variant>
      <vt:variant>
        <vt:i4>774</vt:i4>
      </vt:variant>
      <vt:variant>
        <vt:i4>0</vt:i4>
      </vt:variant>
      <vt:variant>
        <vt:i4>5</vt:i4>
      </vt:variant>
      <vt:variant>
        <vt:lpwstr>https://www.itu.int/md/T17-TSAG-200921-TD-GEN-0803</vt:lpwstr>
      </vt:variant>
      <vt:variant>
        <vt:lpwstr/>
      </vt:variant>
      <vt:variant>
        <vt:i4>6291582</vt:i4>
      </vt:variant>
      <vt:variant>
        <vt:i4>771</vt:i4>
      </vt:variant>
      <vt:variant>
        <vt:i4>0</vt:i4>
      </vt:variant>
      <vt:variant>
        <vt:i4>5</vt:i4>
      </vt:variant>
      <vt:variant>
        <vt:lpwstr>https://www.itu.int/md/T17-TSAG-200210-TD-GEN-0669</vt:lpwstr>
      </vt:variant>
      <vt:variant>
        <vt:lpwstr/>
      </vt:variant>
      <vt:variant>
        <vt:i4>6488184</vt:i4>
      </vt:variant>
      <vt:variant>
        <vt:i4>768</vt:i4>
      </vt:variant>
      <vt:variant>
        <vt:i4>0</vt:i4>
      </vt:variant>
      <vt:variant>
        <vt:i4>5</vt:i4>
      </vt:variant>
      <vt:variant>
        <vt:lpwstr>https://www.itu.int/md/T17-TSAG-190923-TD-GEN-0508</vt:lpwstr>
      </vt:variant>
      <vt:variant>
        <vt:lpwstr/>
      </vt:variant>
      <vt:variant>
        <vt:i4>6422650</vt:i4>
      </vt:variant>
      <vt:variant>
        <vt:i4>765</vt:i4>
      </vt:variant>
      <vt:variant>
        <vt:i4>0</vt:i4>
      </vt:variant>
      <vt:variant>
        <vt:i4>5</vt:i4>
      </vt:variant>
      <vt:variant>
        <vt:lpwstr>https://www.itu.int/md/T17-TSAG-181210-TD-GEN-0306</vt:lpwstr>
      </vt:variant>
      <vt:variant>
        <vt:lpwstr/>
      </vt:variant>
      <vt:variant>
        <vt:i4>5963796</vt:i4>
      </vt:variant>
      <vt:variant>
        <vt:i4>762</vt:i4>
      </vt:variant>
      <vt:variant>
        <vt:i4>0</vt:i4>
      </vt:variant>
      <vt:variant>
        <vt:i4>5</vt:i4>
      </vt:variant>
      <vt:variant>
        <vt:lpwstr>https://www.itu.int/md/meetingdoc.asp?lang=en&amp;parent=T17-TSAG-180226-TD-GEN-0155</vt:lpwstr>
      </vt:variant>
      <vt:variant>
        <vt:lpwstr/>
      </vt:variant>
      <vt:variant>
        <vt:i4>7078015</vt:i4>
      </vt:variant>
      <vt:variant>
        <vt:i4>759</vt:i4>
      </vt:variant>
      <vt:variant>
        <vt:i4>0</vt:i4>
      </vt:variant>
      <vt:variant>
        <vt:i4>5</vt:i4>
      </vt:variant>
      <vt:variant>
        <vt:lpwstr>https://www.itu.int/md/T17-TSAG-170501-TD-GEN-0052</vt:lpwstr>
      </vt:variant>
      <vt:variant>
        <vt:lpwstr/>
      </vt:variant>
      <vt:variant>
        <vt:i4>7143551</vt:i4>
      </vt:variant>
      <vt:variant>
        <vt:i4>756</vt:i4>
      </vt:variant>
      <vt:variant>
        <vt:i4>0</vt:i4>
      </vt:variant>
      <vt:variant>
        <vt:i4>5</vt:i4>
      </vt:variant>
      <vt:variant>
        <vt:lpwstr>https://www.itu.int/md/T17-TSAG-211025-TD-GEN-1044</vt:lpwstr>
      </vt:variant>
      <vt:variant>
        <vt:lpwstr/>
      </vt:variant>
      <vt:variant>
        <vt:i4>6291580</vt:i4>
      </vt:variant>
      <vt:variant>
        <vt:i4>753</vt:i4>
      </vt:variant>
      <vt:variant>
        <vt:i4>0</vt:i4>
      </vt:variant>
      <vt:variant>
        <vt:i4>5</vt:i4>
      </vt:variant>
      <vt:variant>
        <vt:lpwstr>https://www.itu.int/md/T17-TSAG-210111-TD-GEN-0945</vt:lpwstr>
      </vt:variant>
      <vt:variant>
        <vt:lpwstr/>
      </vt:variant>
      <vt:variant>
        <vt:i4>7274619</vt:i4>
      </vt:variant>
      <vt:variant>
        <vt:i4>750</vt:i4>
      </vt:variant>
      <vt:variant>
        <vt:i4>0</vt:i4>
      </vt:variant>
      <vt:variant>
        <vt:i4>5</vt:i4>
      </vt:variant>
      <vt:variant>
        <vt:lpwstr>https://www.itu.int/md/T17-TSAG-200921-TD-GEN-0802</vt:lpwstr>
      </vt:variant>
      <vt:variant>
        <vt:lpwstr/>
      </vt:variant>
      <vt:variant>
        <vt:i4>6357118</vt:i4>
      </vt:variant>
      <vt:variant>
        <vt:i4>747</vt:i4>
      </vt:variant>
      <vt:variant>
        <vt:i4>0</vt:i4>
      </vt:variant>
      <vt:variant>
        <vt:i4>5</vt:i4>
      </vt:variant>
      <vt:variant>
        <vt:lpwstr>https://www.itu.int/md/T17-TSAG-200210-TD-GEN-0668</vt:lpwstr>
      </vt:variant>
      <vt:variant>
        <vt:lpwstr/>
      </vt:variant>
      <vt:variant>
        <vt:i4>6815856</vt:i4>
      </vt:variant>
      <vt:variant>
        <vt:i4>744</vt:i4>
      </vt:variant>
      <vt:variant>
        <vt:i4>0</vt:i4>
      </vt:variant>
      <vt:variant>
        <vt:i4>5</vt:i4>
      </vt:variant>
      <vt:variant>
        <vt:lpwstr>https://www.itu.int/md/T17-TSAG-190923-TD-GEN-0482</vt:lpwstr>
      </vt:variant>
      <vt:variant>
        <vt:lpwstr/>
      </vt:variant>
      <vt:variant>
        <vt:i4>6357114</vt:i4>
      </vt:variant>
      <vt:variant>
        <vt:i4>741</vt:i4>
      </vt:variant>
      <vt:variant>
        <vt:i4>0</vt:i4>
      </vt:variant>
      <vt:variant>
        <vt:i4>5</vt:i4>
      </vt:variant>
      <vt:variant>
        <vt:lpwstr>https://www.itu.int/md/T17-TSAG-181210-TD-GEN-0305</vt:lpwstr>
      </vt:variant>
      <vt:variant>
        <vt:lpwstr/>
      </vt:variant>
      <vt:variant>
        <vt:i4>7012473</vt:i4>
      </vt:variant>
      <vt:variant>
        <vt:i4>738</vt:i4>
      </vt:variant>
      <vt:variant>
        <vt:i4>0</vt:i4>
      </vt:variant>
      <vt:variant>
        <vt:i4>5</vt:i4>
      </vt:variant>
      <vt:variant>
        <vt:lpwstr>https://www.itu.int/md/T17-TSAG-170501-TD-GEN-0035</vt:lpwstr>
      </vt:variant>
      <vt:variant>
        <vt:lpwstr/>
      </vt:variant>
      <vt:variant>
        <vt:i4>5636121</vt:i4>
      </vt:variant>
      <vt:variant>
        <vt:i4>735</vt:i4>
      </vt:variant>
      <vt:variant>
        <vt:i4>0</vt:i4>
      </vt:variant>
      <vt:variant>
        <vt:i4>5</vt:i4>
      </vt:variant>
      <vt:variant>
        <vt:lpwstr>https://www.itu.int/md/meetingdoc.asp?lang=en&amp;parent=T17-TSAG-220110-TD-GEN-1197</vt:lpwstr>
      </vt:variant>
      <vt:variant>
        <vt:lpwstr/>
      </vt:variant>
      <vt:variant>
        <vt:i4>6946943</vt:i4>
      </vt:variant>
      <vt:variant>
        <vt:i4>732</vt:i4>
      </vt:variant>
      <vt:variant>
        <vt:i4>0</vt:i4>
      </vt:variant>
      <vt:variant>
        <vt:i4>5</vt:i4>
      </vt:variant>
      <vt:variant>
        <vt:lpwstr>https://www.itu.int/md/T17-TSAG-211025-TD-GEN-1043</vt:lpwstr>
      </vt:variant>
      <vt:variant>
        <vt:lpwstr/>
      </vt:variant>
      <vt:variant>
        <vt:i4>6357116</vt:i4>
      </vt:variant>
      <vt:variant>
        <vt:i4>729</vt:i4>
      </vt:variant>
      <vt:variant>
        <vt:i4>0</vt:i4>
      </vt:variant>
      <vt:variant>
        <vt:i4>5</vt:i4>
      </vt:variant>
      <vt:variant>
        <vt:lpwstr>https://www.itu.int/md/T17-TSAG-210111-TD-GEN-0944</vt:lpwstr>
      </vt:variant>
      <vt:variant>
        <vt:lpwstr/>
      </vt:variant>
      <vt:variant>
        <vt:i4>7078011</vt:i4>
      </vt:variant>
      <vt:variant>
        <vt:i4>726</vt:i4>
      </vt:variant>
      <vt:variant>
        <vt:i4>0</vt:i4>
      </vt:variant>
      <vt:variant>
        <vt:i4>5</vt:i4>
      </vt:variant>
      <vt:variant>
        <vt:lpwstr>https://www.itu.int/md/T17-TSAG-200921-TD-GEN-0801</vt:lpwstr>
      </vt:variant>
      <vt:variant>
        <vt:lpwstr/>
      </vt:variant>
      <vt:variant>
        <vt:i4>7209086</vt:i4>
      </vt:variant>
      <vt:variant>
        <vt:i4>723</vt:i4>
      </vt:variant>
      <vt:variant>
        <vt:i4>0</vt:i4>
      </vt:variant>
      <vt:variant>
        <vt:i4>5</vt:i4>
      </vt:variant>
      <vt:variant>
        <vt:lpwstr>https://www.itu.int/md/T17-TSAG-200210-TD-GEN-0667</vt:lpwstr>
      </vt:variant>
      <vt:variant>
        <vt:lpwstr/>
      </vt:variant>
      <vt:variant>
        <vt:i4>7012464</vt:i4>
      </vt:variant>
      <vt:variant>
        <vt:i4>720</vt:i4>
      </vt:variant>
      <vt:variant>
        <vt:i4>0</vt:i4>
      </vt:variant>
      <vt:variant>
        <vt:i4>5</vt:i4>
      </vt:variant>
      <vt:variant>
        <vt:lpwstr>https://www.itu.int/md/T17-TSAG-190923-TD-GEN-0481</vt:lpwstr>
      </vt:variant>
      <vt:variant>
        <vt:lpwstr/>
      </vt:variant>
      <vt:variant>
        <vt:i4>6291578</vt:i4>
      </vt:variant>
      <vt:variant>
        <vt:i4>717</vt:i4>
      </vt:variant>
      <vt:variant>
        <vt:i4>0</vt:i4>
      </vt:variant>
      <vt:variant>
        <vt:i4>5</vt:i4>
      </vt:variant>
      <vt:variant>
        <vt:lpwstr>https://www.itu.int/md/T17-TSAG-181210-TD-GEN-0304</vt:lpwstr>
      </vt:variant>
      <vt:variant>
        <vt:lpwstr/>
      </vt:variant>
      <vt:variant>
        <vt:i4>6225940</vt:i4>
      </vt:variant>
      <vt:variant>
        <vt:i4>714</vt:i4>
      </vt:variant>
      <vt:variant>
        <vt:i4>0</vt:i4>
      </vt:variant>
      <vt:variant>
        <vt:i4>5</vt:i4>
      </vt:variant>
      <vt:variant>
        <vt:lpwstr>https://www.itu.int/md/meetingdoc.asp?lang=en&amp;parent=T17-TSAG-180226-TD-GEN-0151</vt:lpwstr>
      </vt:variant>
      <vt:variant>
        <vt:lpwstr/>
      </vt:variant>
      <vt:variant>
        <vt:i4>6029331</vt:i4>
      </vt:variant>
      <vt:variant>
        <vt:i4>711</vt:i4>
      </vt:variant>
      <vt:variant>
        <vt:i4>0</vt:i4>
      </vt:variant>
      <vt:variant>
        <vt:i4>5</vt:i4>
      </vt:variant>
      <vt:variant>
        <vt:lpwstr>https://www.itu.int/md/meetingdoc.asp?lang=en&amp;parent=T17-TSAG-180226-TD-GEN-0221</vt:lpwstr>
      </vt:variant>
      <vt:variant>
        <vt:lpwstr/>
      </vt:variant>
      <vt:variant>
        <vt:i4>7209084</vt:i4>
      </vt:variant>
      <vt:variant>
        <vt:i4>708</vt:i4>
      </vt:variant>
      <vt:variant>
        <vt:i4>0</vt:i4>
      </vt:variant>
      <vt:variant>
        <vt:i4>5</vt:i4>
      </vt:variant>
      <vt:variant>
        <vt:lpwstr>https://www.itu.int/md/T17-TSAG-170501-TD-GEN-0060</vt:lpwstr>
      </vt:variant>
      <vt:variant>
        <vt:lpwstr/>
      </vt:variant>
      <vt:variant>
        <vt:i4>5701657</vt:i4>
      </vt:variant>
      <vt:variant>
        <vt:i4>705</vt:i4>
      </vt:variant>
      <vt:variant>
        <vt:i4>0</vt:i4>
      </vt:variant>
      <vt:variant>
        <vt:i4>5</vt:i4>
      </vt:variant>
      <vt:variant>
        <vt:lpwstr>https://www.itu.int/md/meetingdoc.asp?lang=en&amp;parent=T17-TSAG-220110-TD-GEN-1196</vt:lpwstr>
      </vt:variant>
      <vt:variant>
        <vt:lpwstr/>
      </vt:variant>
      <vt:variant>
        <vt:i4>7012479</vt:i4>
      </vt:variant>
      <vt:variant>
        <vt:i4>702</vt:i4>
      </vt:variant>
      <vt:variant>
        <vt:i4>0</vt:i4>
      </vt:variant>
      <vt:variant>
        <vt:i4>5</vt:i4>
      </vt:variant>
      <vt:variant>
        <vt:lpwstr>https://www.itu.int/md/T17-TSAG-211025-TD-GEN-1042</vt:lpwstr>
      </vt:variant>
      <vt:variant>
        <vt:lpwstr/>
      </vt:variant>
      <vt:variant>
        <vt:i4>6684794</vt:i4>
      </vt:variant>
      <vt:variant>
        <vt:i4>699</vt:i4>
      </vt:variant>
      <vt:variant>
        <vt:i4>0</vt:i4>
      </vt:variant>
      <vt:variant>
        <vt:i4>5</vt:i4>
      </vt:variant>
      <vt:variant>
        <vt:lpwstr>https://www.itu.int/md/T17-TSAG-210111-TD-GEN-0923</vt:lpwstr>
      </vt:variant>
      <vt:variant>
        <vt:lpwstr/>
      </vt:variant>
      <vt:variant>
        <vt:i4>7143547</vt:i4>
      </vt:variant>
      <vt:variant>
        <vt:i4>696</vt:i4>
      </vt:variant>
      <vt:variant>
        <vt:i4>0</vt:i4>
      </vt:variant>
      <vt:variant>
        <vt:i4>5</vt:i4>
      </vt:variant>
      <vt:variant>
        <vt:lpwstr>https://www.itu.int/md/T17-TSAG-200921-TD-GEN-0800</vt:lpwstr>
      </vt:variant>
      <vt:variant>
        <vt:lpwstr/>
      </vt:variant>
      <vt:variant>
        <vt:i4>6357113</vt:i4>
      </vt:variant>
      <vt:variant>
        <vt:i4>693</vt:i4>
      </vt:variant>
      <vt:variant>
        <vt:i4>0</vt:i4>
      </vt:variant>
      <vt:variant>
        <vt:i4>5</vt:i4>
      </vt:variant>
      <vt:variant>
        <vt:lpwstr>https://www.itu.int/md/T17-TSAG-200210-TD-GEN-0719</vt:lpwstr>
      </vt:variant>
      <vt:variant>
        <vt:lpwstr/>
      </vt:variant>
      <vt:variant>
        <vt:i4>6946928</vt:i4>
      </vt:variant>
      <vt:variant>
        <vt:i4>690</vt:i4>
      </vt:variant>
      <vt:variant>
        <vt:i4>0</vt:i4>
      </vt:variant>
      <vt:variant>
        <vt:i4>5</vt:i4>
      </vt:variant>
      <vt:variant>
        <vt:lpwstr>https://www.itu.int/md/T17-TSAG-190923-TD-GEN-0480</vt:lpwstr>
      </vt:variant>
      <vt:variant>
        <vt:lpwstr/>
      </vt:variant>
      <vt:variant>
        <vt:i4>6750330</vt:i4>
      </vt:variant>
      <vt:variant>
        <vt:i4>687</vt:i4>
      </vt:variant>
      <vt:variant>
        <vt:i4>0</vt:i4>
      </vt:variant>
      <vt:variant>
        <vt:i4>5</vt:i4>
      </vt:variant>
      <vt:variant>
        <vt:lpwstr>https://www.itu.int/md/T17-TSAG-181210-TD-GEN-0303</vt:lpwstr>
      </vt:variant>
      <vt:variant>
        <vt:lpwstr/>
      </vt:variant>
      <vt:variant>
        <vt:i4>6160404</vt:i4>
      </vt:variant>
      <vt:variant>
        <vt:i4>684</vt:i4>
      </vt:variant>
      <vt:variant>
        <vt:i4>0</vt:i4>
      </vt:variant>
      <vt:variant>
        <vt:i4>5</vt:i4>
      </vt:variant>
      <vt:variant>
        <vt:lpwstr>https://www.itu.int/md/meetingdoc.asp?lang=en&amp;parent=T17-TSAG-180226-TD-GEN-0150</vt:lpwstr>
      </vt:variant>
      <vt:variant>
        <vt:lpwstr/>
      </vt:variant>
      <vt:variant>
        <vt:i4>5505049</vt:i4>
      </vt:variant>
      <vt:variant>
        <vt:i4>681</vt:i4>
      </vt:variant>
      <vt:variant>
        <vt:i4>0</vt:i4>
      </vt:variant>
      <vt:variant>
        <vt:i4>5</vt:i4>
      </vt:variant>
      <vt:variant>
        <vt:lpwstr>https://www.itu.int/md/meetingdoc.asp?lang=en&amp;parent=T17-TSAG-220110-TD-GEN-1195</vt:lpwstr>
      </vt:variant>
      <vt:variant>
        <vt:lpwstr/>
      </vt:variant>
      <vt:variant>
        <vt:i4>6815871</vt:i4>
      </vt:variant>
      <vt:variant>
        <vt:i4>678</vt:i4>
      </vt:variant>
      <vt:variant>
        <vt:i4>0</vt:i4>
      </vt:variant>
      <vt:variant>
        <vt:i4>5</vt:i4>
      </vt:variant>
      <vt:variant>
        <vt:lpwstr>https://www.itu.int/md/T17-TSAG-211025-TD-GEN-1041</vt:lpwstr>
      </vt:variant>
      <vt:variant>
        <vt:lpwstr/>
      </vt:variant>
      <vt:variant>
        <vt:i4>6684796</vt:i4>
      </vt:variant>
      <vt:variant>
        <vt:i4>675</vt:i4>
      </vt:variant>
      <vt:variant>
        <vt:i4>0</vt:i4>
      </vt:variant>
      <vt:variant>
        <vt:i4>5</vt:i4>
      </vt:variant>
      <vt:variant>
        <vt:lpwstr>https://www.itu.int/md/T17-TSAG-210111-TD-GEN-0943</vt:lpwstr>
      </vt:variant>
      <vt:variant>
        <vt:lpwstr/>
      </vt:variant>
      <vt:variant>
        <vt:i4>7012466</vt:i4>
      </vt:variant>
      <vt:variant>
        <vt:i4>672</vt:i4>
      </vt:variant>
      <vt:variant>
        <vt:i4>0</vt:i4>
      </vt:variant>
      <vt:variant>
        <vt:i4>5</vt:i4>
      </vt:variant>
      <vt:variant>
        <vt:lpwstr>https://www.itu.int/md/T17-TSAG-200921-TD-GEN-0799</vt:lpwstr>
      </vt:variant>
      <vt:variant>
        <vt:lpwstr/>
      </vt:variant>
      <vt:variant>
        <vt:i4>7274622</vt:i4>
      </vt:variant>
      <vt:variant>
        <vt:i4>669</vt:i4>
      </vt:variant>
      <vt:variant>
        <vt:i4>0</vt:i4>
      </vt:variant>
      <vt:variant>
        <vt:i4>5</vt:i4>
      </vt:variant>
      <vt:variant>
        <vt:lpwstr>https://www.itu.int/md/T17-TSAG-200210-TD-GEN-0666</vt:lpwstr>
      </vt:variant>
      <vt:variant>
        <vt:lpwstr/>
      </vt:variant>
      <vt:variant>
        <vt:i4>6488191</vt:i4>
      </vt:variant>
      <vt:variant>
        <vt:i4>666</vt:i4>
      </vt:variant>
      <vt:variant>
        <vt:i4>0</vt:i4>
      </vt:variant>
      <vt:variant>
        <vt:i4>5</vt:i4>
      </vt:variant>
      <vt:variant>
        <vt:lpwstr>https://www.itu.int/md/T17-TSAG-190923-TD-GEN-0479</vt:lpwstr>
      </vt:variant>
      <vt:variant>
        <vt:lpwstr/>
      </vt:variant>
      <vt:variant>
        <vt:i4>5767187</vt:i4>
      </vt:variant>
      <vt:variant>
        <vt:i4>663</vt:i4>
      </vt:variant>
      <vt:variant>
        <vt:i4>0</vt:i4>
      </vt:variant>
      <vt:variant>
        <vt:i4>5</vt:i4>
      </vt:variant>
      <vt:variant>
        <vt:lpwstr>https://www.itu.int/md/meetingdoc.asp?lang=en&amp;parent=T17-TSAG-181210-TD-GEN-0302</vt:lpwstr>
      </vt:variant>
      <vt:variant>
        <vt:lpwstr/>
      </vt:variant>
      <vt:variant>
        <vt:i4>5701653</vt:i4>
      </vt:variant>
      <vt:variant>
        <vt:i4>660</vt:i4>
      </vt:variant>
      <vt:variant>
        <vt:i4>0</vt:i4>
      </vt:variant>
      <vt:variant>
        <vt:i4>5</vt:i4>
      </vt:variant>
      <vt:variant>
        <vt:lpwstr>https://www.itu.int/md/meetingdoc.asp?lang=en&amp;parent=T17-TSAG-180226-TD-GEN-0149</vt:lpwstr>
      </vt:variant>
      <vt:variant>
        <vt:lpwstr/>
      </vt:variant>
      <vt:variant>
        <vt:i4>5570585</vt:i4>
      </vt:variant>
      <vt:variant>
        <vt:i4>657</vt:i4>
      </vt:variant>
      <vt:variant>
        <vt:i4>0</vt:i4>
      </vt:variant>
      <vt:variant>
        <vt:i4>5</vt:i4>
      </vt:variant>
      <vt:variant>
        <vt:lpwstr>https://www.itu.int/md/meetingdoc.asp?lang=en&amp;parent=T17-TSAG-220110-TD-GEN-1194</vt:lpwstr>
      </vt:variant>
      <vt:variant>
        <vt:lpwstr/>
      </vt:variant>
      <vt:variant>
        <vt:i4>6881407</vt:i4>
      </vt:variant>
      <vt:variant>
        <vt:i4>654</vt:i4>
      </vt:variant>
      <vt:variant>
        <vt:i4>0</vt:i4>
      </vt:variant>
      <vt:variant>
        <vt:i4>5</vt:i4>
      </vt:variant>
      <vt:variant>
        <vt:lpwstr>https://www.itu.int/md/T17-TSAG-211025-TD-GEN-1040</vt:lpwstr>
      </vt:variant>
      <vt:variant>
        <vt:lpwstr/>
      </vt:variant>
      <vt:variant>
        <vt:i4>6946930</vt:i4>
      </vt:variant>
      <vt:variant>
        <vt:i4>651</vt:i4>
      </vt:variant>
      <vt:variant>
        <vt:i4>0</vt:i4>
      </vt:variant>
      <vt:variant>
        <vt:i4>5</vt:i4>
      </vt:variant>
      <vt:variant>
        <vt:lpwstr>https://www.itu.int/md/T17-TSAG-200921-TD-GEN-0798</vt:lpwstr>
      </vt:variant>
      <vt:variant>
        <vt:lpwstr/>
      </vt:variant>
      <vt:variant>
        <vt:i4>6422655</vt:i4>
      </vt:variant>
      <vt:variant>
        <vt:i4>648</vt:i4>
      </vt:variant>
      <vt:variant>
        <vt:i4>0</vt:i4>
      </vt:variant>
      <vt:variant>
        <vt:i4>5</vt:i4>
      </vt:variant>
      <vt:variant>
        <vt:lpwstr>https://www.itu.int/md/T17-TSAG-190923-TD-GEN-0478</vt:lpwstr>
      </vt:variant>
      <vt:variant>
        <vt:lpwstr/>
      </vt:variant>
      <vt:variant>
        <vt:i4>6619258</vt:i4>
      </vt:variant>
      <vt:variant>
        <vt:i4>645</vt:i4>
      </vt:variant>
      <vt:variant>
        <vt:i4>0</vt:i4>
      </vt:variant>
      <vt:variant>
        <vt:i4>5</vt:i4>
      </vt:variant>
      <vt:variant>
        <vt:lpwstr>https://www.itu.int/md/T17-TSAG-181210-TD-GEN-0301</vt:lpwstr>
      </vt:variant>
      <vt:variant>
        <vt:lpwstr/>
      </vt:variant>
      <vt:variant>
        <vt:i4>5636117</vt:i4>
      </vt:variant>
      <vt:variant>
        <vt:i4>642</vt:i4>
      </vt:variant>
      <vt:variant>
        <vt:i4>0</vt:i4>
      </vt:variant>
      <vt:variant>
        <vt:i4>5</vt:i4>
      </vt:variant>
      <vt:variant>
        <vt:lpwstr>https://www.itu.int/md/meetingdoc.asp?lang=en&amp;parent=T17-TSAG-180226-TD-GEN-0148</vt:lpwstr>
      </vt:variant>
      <vt:variant>
        <vt:lpwstr/>
      </vt:variant>
      <vt:variant>
        <vt:i4>5373977</vt:i4>
      </vt:variant>
      <vt:variant>
        <vt:i4>639</vt:i4>
      </vt:variant>
      <vt:variant>
        <vt:i4>0</vt:i4>
      </vt:variant>
      <vt:variant>
        <vt:i4>5</vt:i4>
      </vt:variant>
      <vt:variant>
        <vt:lpwstr>https://www.itu.int/md/meetingdoc.asp?lang=en&amp;parent=T17-TSAG-220110-TD-GEN-1193</vt:lpwstr>
      </vt:variant>
      <vt:variant>
        <vt:lpwstr/>
      </vt:variant>
      <vt:variant>
        <vt:i4>6291576</vt:i4>
      </vt:variant>
      <vt:variant>
        <vt:i4>636</vt:i4>
      </vt:variant>
      <vt:variant>
        <vt:i4>0</vt:i4>
      </vt:variant>
      <vt:variant>
        <vt:i4>5</vt:i4>
      </vt:variant>
      <vt:variant>
        <vt:lpwstr>https://www.itu.int/md/T17-TSAG-211025-TD-GEN-1039</vt:lpwstr>
      </vt:variant>
      <vt:variant>
        <vt:lpwstr/>
      </vt:variant>
      <vt:variant>
        <vt:i4>6750332</vt:i4>
      </vt:variant>
      <vt:variant>
        <vt:i4>633</vt:i4>
      </vt:variant>
      <vt:variant>
        <vt:i4>0</vt:i4>
      </vt:variant>
      <vt:variant>
        <vt:i4>5</vt:i4>
      </vt:variant>
      <vt:variant>
        <vt:lpwstr>https://www.itu.int/md/T17-TSAG-210111-TD-GEN-0942</vt:lpwstr>
      </vt:variant>
      <vt:variant>
        <vt:lpwstr/>
      </vt:variant>
      <vt:variant>
        <vt:i4>6619250</vt:i4>
      </vt:variant>
      <vt:variant>
        <vt:i4>630</vt:i4>
      </vt:variant>
      <vt:variant>
        <vt:i4>0</vt:i4>
      </vt:variant>
      <vt:variant>
        <vt:i4>5</vt:i4>
      </vt:variant>
      <vt:variant>
        <vt:lpwstr>https://www.itu.int/md/T17-TSAG-200921-TD-GEN-0797</vt:lpwstr>
      </vt:variant>
      <vt:variant>
        <vt:lpwstr/>
      </vt:variant>
      <vt:variant>
        <vt:i4>7078014</vt:i4>
      </vt:variant>
      <vt:variant>
        <vt:i4>627</vt:i4>
      </vt:variant>
      <vt:variant>
        <vt:i4>0</vt:i4>
      </vt:variant>
      <vt:variant>
        <vt:i4>5</vt:i4>
      </vt:variant>
      <vt:variant>
        <vt:lpwstr>https://www.itu.int/md/T17-TSAG-200210-TD-GEN-0665</vt:lpwstr>
      </vt:variant>
      <vt:variant>
        <vt:lpwstr/>
      </vt:variant>
      <vt:variant>
        <vt:i4>7143551</vt:i4>
      </vt:variant>
      <vt:variant>
        <vt:i4>624</vt:i4>
      </vt:variant>
      <vt:variant>
        <vt:i4>0</vt:i4>
      </vt:variant>
      <vt:variant>
        <vt:i4>5</vt:i4>
      </vt:variant>
      <vt:variant>
        <vt:lpwstr>https://www.itu.int/md/T17-TSAG-190923-TD-GEN-0477</vt:lpwstr>
      </vt:variant>
      <vt:variant>
        <vt:lpwstr/>
      </vt:variant>
      <vt:variant>
        <vt:i4>6357116</vt:i4>
      </vt:variant>
      <vt:variant>
        <vt:i4>621</vt:i4>
      </vt:variant>
      <vt:variant>
        <vt:i4>0</vt:i4>
      </vt:variant>
      <vt:variant>
        <vt:i4>5</vt:i4>
      </vt:variant>
      <vt:variant>
        <vt:lpwstr>https://www.itu.int/md/T17-TSAG-181210-TD-GEN-0365</vt:lpwstr>
      </vt:variant>
      <vt:variant>
        <vt:lpwstr/>
      </vt:variant>
      <vt:variant>
        <vt:i4>5832727</vt:i4>
      </vt:variant>
      <vt:variant>
        <vt:i4>618</vt:i4>
      </vt:variant>
      <vt:variant>
        <vt:i4>0</vt:i4>
      </vt:variant>
      <vt:variant>
        <vt:i4>5</vt:i4>
      </vt:variant>
      <vt:variant>
        <vt:lpwstr>https://www.itu.int/md/meetingdoc.asp?lang=en&amp;parent=T17-TSAG-180226-TD-GEN-0264</vt:lpwstr>
      </vt:variant>
      <vt:variant>
        <vt:lpwstr/>
      </vt:variant>
      <vt:variant>
        <vt:i4>5963795</vt:i4>
      </vt:variant>
      <vt:variant>
        <vt:i4>615</vt:i4>
      </vt:variant>
      <vt:variant>
        <vt:i4>0</vt:i4>
      </vt:variant>
      <vt:variant>
        <vt:i4>5</vt:i4>
      </vt:variant>
      <vt:variant>
        <vt:lpwstr>https://www.itu.int/md/meetingdoc.asp?lang=en&amp;parent=T17-TSAG-180226-TD-GEN-0226</vt:lpwstr>
      </vt:variant>
      <vt:variant>
        <vt:lpwstr/>
      </vt:variant>
      <vt:variant>
        <vt:i4>5701653</vt:i4>
      </vt:variant>
      <vt:variant>
        <vt:i4>612</vt:i4>
      </vt:variant>
      <vt:variant>
        <vt:i4>0</vt:i4>
      </vt:variant>
      <vt:variant>
        <vt:i4>5</vt:i4>
      </vt:variant>
      <vt:variant>
        <vt:lpwstr>https://www.itu.int/md/meetingdoc.asp?lang=en&amp;parent=T17-TSAG-170501-TD-GEN-0067</vt:lpwstr>
      </vt:variant>
      <vt:variant>
        <vt:lpwstr/>
      </vt:variant>
      <vt:variant>
        <vt:i4>5505045</vt:i4>
      </vt:variant>
      <vt:variant>
        <vt:i4>609</vt:i4>
      </vt:variant>
      <vt:variant>
        <vt:i4>0</vt:i4>
      </vt:variant>
      <vt:variant>
        <vt:i4>5</vt:i4>
      </vt:variant>
      <vt:variant>
        <vt:lpwstr>https://www.itu.int/md/meetingdoc.asp?lang=en&amp;parent=T17-TSAG-170501-TD-GEN-0064</vt:lpwstr>
      </vt:variant>
      <vt:variant>
        <vt:lpwstr/>
      </vt:variant>
      <vt:variant>
        <vt:i4>6881402</vt:i4>
      </vt:variant>
      <vt:variant>
        <vt:i4>606</vt:i4>
      </vt:variant>
      <vt:variant>
        <vt:i4>0</vt:i4>
      </vt:variant>
      <vt:variant>
        <vt:i4>5</vt:i4>
      </vt:variant>
      <vt:variant>
        <vt:lpwstr>https://www.itu.int/md/T17-TSAG-170501-TD-GEN-0007</vt:lpwstr>
      </vt:variant>
      <vt:variant>
        <vt:lpwstr/>
      </vt:variant>
      <vt:variant>
        <vt:i4>3211361</vt:i4>
      </vt:variant>
      <vt:variant>
        <vt:i4>603</vt:i4>
      </vt:variant>
      <vt:variant>
        <vt:i4>0</vt:i4>
      </vt:variant>
      <vt:variant>
        <vt:i4>5</vt:i4>
      </vt:variant>
      <vt:variant>
        <vt:lpwstr>https://www.itu.int/md/meetingdoc.asp?lang=en&amp;parent=T17-WTSA.20-C-0023</vt:lpwstr>
      </vt:variant>
      <vt:variant>
        <vt:lpwstr/>
      </vt:variant>
      <vt:variant>
        <vt:i4>3211361</vt:i4>
      </vt:variant>
      <vt:variant>
        <vt:i4>600</vt:i4>
      </vt:variant>
      <vt:variant>
        <vt:i4>0</vt:i4>
      </vt:variant>
      <vt:variant>
        <vt:i4>5</vt:i4>
      </vt:variant>
      <vt:variant>
        <vt:lpwstr>https://www.itu.int/md/meetingdoc.asp?lang=en&amp;parent=T17-WTSA.20-C-0028</vt:lpwstr>
      </vt:variant>
      <vt:variant>
        <vt:lpwstr/>
      </vt:variant>
      <vt:variant>
        <vt:i4>8061024</vt:i4>
      </vt:variant>
      <vt:variant>
        <vt:i4>597</vt:i4>
      </vt:variant>
      <vt:variant>
        <vt:i4>0</vt:i4>
      </vt:variant>
      <vt:variant>
        <vt:i4>5</vt:i4>
      </vt:variant>
      <vt:variant>
        <vt:lpwstr>https://www.itu.int/md/S21-DM-CIR-01020</vt:lpwstr>
      </vt:variant>
      <vt:variant>
        <vt:lpwstr/>
      </vt:variant>
      <vt:variant>
        <vt:i4>7864416</vt:i4>
      </vt:variant>
      <vt:variant>
        <vt:i4>594</vt:i4>
      </vt:variant>
      <vt:variant>
        <vt:i4>0</vt:i4>
      </vt:variant>
      <vt:variant>
        <vt:i4>5</vt:i4>
      </vt:variant>
      <vt:variant>
        <vt:lpwstr>https://www.itu.int/md/S21-DM-CIR-01019</vt:lpwstr>
      </vt:variant>
      <vt:variant>
        <vt:lpwstr/>
      </vt:variant>
      <vt:variant>
        <vt:i4>7864416</vt:i4>
      </vt:variant>
      <vt:variant>
        <vt:i4>591</vt:i4>
      </vt:variant>
      <vt:variant>
        <vt:i4>0</vt:i4>
      </vt:variant>
      <vt:variant>
        <vt:i4>5</vt:i4>
      </vt:variant>
      <vt:variant>
        <vt:lpwstr>https://www.itu.int/md/S21-DM-CIR-01018</vt:lpwstr>
      </vt:variant>
      <vt:variant>
        <vt:lpwstr/>
      </vt:variant>
      <vt:variant>
        <vt:i4>3211274</vt:i4>
      </vt:variant>
      <vt:variant>
        <vt:i4>588</vt:i4>
      </vt:variant>
      <vt:variant>
        <vt:i4>0</vt:i4>
      </vt:variant>
      <vt:variant>
        <vt:i4>5</vt:i4>
      </vt:variant>
      <vt:variant>
        <vt:lpwstr>https://www.itu.int/dms_pub/itu-s/md/21/sg/cir/S21-SG-CIR-0039!!PDF-E.pdf</vt:lpwstr>
      </vt:variant>
      <vt:variant>
        <vt:lpwstr/>
      </vt:variant>
      <vt:variant>
        <vt:i4>589893</vt:i4>
      </vt:variant>
      <vt:variant>
        <vt:i4>585</vt:i4>
      </vt:variant>
      <vt:variant>
        <vt:i4>0</vt:i4>
      </vt:variant>
      <vt:variant>
        <vt:i4>5</vt:i4>
      </vt:variant>
      <vt:variant>
        <vt:lpwstr>https://www.itu.int/md/S21-SG-CIR-0003/en</vt:lpwstr>
      </vt:variant>
      <vt:variant>
        <vt:lpwstr/>
      </vt:variant>
      <vt:variant>
        <vt:i4>3670029</vt:i4>
      </vt:variant>
      <vt:variant>
        <vt:i4>582</vt:i4>
      </vt:variant>
      <vt:variant>
        <vt:i4>0</vt:i4>
      </vt:variant>
      <vt:variant>
        <vt:i4>5</vt:i4>
      </vt:variant>
      <vt:variant>
        <vt:lpwstr>https://www.itu.int/dms_pub/itu-s/md/20/sg/cir/S20-SG-CIR-0051!!PDF-E.pdf</vt:lpwstr>
      </vt:variant>
      <vt:variant>
        <vt:lpwstr/>
      </vt:variant>
      <vt:variant>
        <vt:i4>3538950</vt:i4>
      </vt:variant>
      <vt:variant>
        <vt:i4>579</vt:i4>
      </vt:variant>
      <vt:variant>
        <vt:i4>0</vt:i4>
      </vt:variant>
      <vt:variant>
        <vt:i4>5</vt:i4>
      </vt:variant>
      <vt:variant>
        <vt:lpwstr>https://www.itu.int/dms_pub/itu-s/md/19/sg/cir/S19-SG-CIR-0045!!PDF-E.pdf</vt:lpwstr>
      </vt:variant>
      <vt:variant>
        <vt:lpwstr/>
      </vt:variant>
      <vt:variant>
        <vt:i4>7274612</vt:i4>
      </vt:variant>
      <vt:variant>
        <vt:i4>576</vt:i4>
      </vt:variant>
      <vt:variant>
        <vt:i4>0</vt:i4>
      </vt:variant>
      <vt:variant>
        <vt:i4>5</vt:i4>
      </vt:variant>
      <vt:variant>
        <vt:lpwstr/>
      </vt:variant>
      <vt:variant>
        <vt:lpwstr>Top</vt:lpwstr>
      </vt:variant>
      <vt:variant>
        <vt:i4>1900590</vt:i4>
      </vt:variant>
      <vt:variant>
        <vt:i4>573</vt:i4>
      </vt:variant>
      <vt:variant>
        <vt:i4>0</vt:i4>
      </vt:variant>
      <vt:variant>
        <vt:i4>5</vt:i4>
      </vt:variant>
      <vt:variant>
        <vt:lpwstr/>
      </vt:variant>
      <vt:variant>
        <vt:lpwstr>_Opinion_1_-</vt:lpwstr>
      </vt:variant>
      <vt:variant>
        <vt:i4>3932225</vt:i4>
      </vt:variant>
      <vt:variant>
        <vt:i4>570</vt:i4>
      </vt:variant>
      <vt:variant>
        <vt:i4>0</vt:i4>
      </vt:variant>
      <vt:variant>
        <vt:i4>5</vt:i4>
      </vt:variant>
      <vt:variant>
        <vt:lpwstr/>
      </vt:variant>
      <vt:variant>
        <vt:lpwstr>_Resolution_98_-</vt:lpwstr>
      </vt:variant>
      <vt:variant>
        <vt:i4>3342401</vt:i4>
      </vt:variant>
      <vt:variant>
        <vt:i4>567</vt:i4>
      </vt:variant>
      <vt:variant>
        <vt:i4>0</vt:i4>
      </vt:variant>
      <vt:variant>
        <vt:i4>5</vt:i4>
      </vt:variant>
      <vt:variant>
        <vt:lpwstr/>
      </vt:variant>
      <vt:variant>
        <vt:lpwstr>_Resolution_97_-</vt:lpwstr>
      </vt:variant>
      <vt:variant>
        <vt:i4>3276865</vt:i4>
      </vt:variant>
      <vt:variant>
        <vt:i4>564</vt:i4>
      </vt:variant>
      <vt:variant>
        <vt:i4>0</vt:i4>
      </vt:variant>
      <vt:variant>
        <vt:i4>5</vt:i4>
      </vt:variant>
      <vt:variant>
        <vt:lpwstr/>
      </vt:variant>
      <vt:variant>
        <vt:lpwstr>_Resolution_96_-</vt:lpwstr>
      </vt:variant>
      <vt:variant>
        <vt:i4>3211329</vt:i4>
      </vt:variant>
      <vt:variant>
        <vt:i4>561</vt:i4>
      </vt:variant>
      <vt:variant>
        <vt:i4>0</vt:i4>
      </vt:variant>
      <vt:variant>
        <vt:i4>5</vt:i4>
      </vt:variant>
      <vt:variant>
        <vt:lpwstr/>
      </vt:variant>
      <vt:variant>
        <vt:lpwstr>_Resolution_95_-</vt:lpwstr>
      </vt:variant>
      <vt:variant>
        <vt:i4>3145793</vt:i4>
      </vt:variant>
      <vt:variant>
        <vt:i4>558</vt:i4>
      </vt:variant>
      <vt:variant>
        <vt:i4>0</vt:i4>
      </vt:variant>
      <vt:variant>
        <vt:i4>5</vt:i4>
      </vt:variant>
      <vt:variant>
        <vt:lpwstr/>
      </vt:variant>
      <vt:variant>
        <vt:lpwstr>_Resolution_94_-</vt:lpwstr>
      </vt:variant>
      <vt:variant>
        <vt:i4>3604545</vt:i4>
      </vt:variant>
      <vt:variant>
        <vt:i4>555</vt:i4>
      </vt:variant>
      <vt:variant>
        <vt:i4>0</vt:i4>
      </vt:variant>
      <vt:variant>
        <vt:i4>5</vt:i4>
      </vt:variant>
      <vt:variant>
        <vt:lpwstr/>
      </vt:variant>
      <vt:variant>
        <vt:lpwstr>_Resolution_93_-</vt:lpwstr>
      </vt:variant>
      <vt:variant>
        <vt:i4>3539009</vt:i4>
      </vt:variant>
      <vt:variant>
        <vt:i4>552</vt:i4>
      </vt:variant>
      <vt:variant>
        <vt:i4>0</vt:i4>
      </vt:variant>
      <vt:variant>
        <vt:i4>5</vt:i4>
      </vt:variant>
      <vt:variant>
        <vt:lpwstr/>
      </vt:variant>
      <vt:variant>
        <vt:lpwstr>_Resolution_92_-</vt:lpwstr>
      </vt:variant>
      <vt:variant>
        <vt:i4>3473473</vt:i4>
      </vt:variant>
      <vt:variant>
        <vt:i4>549</vt:i4>
      </vt:variant>
      <vt:variant>
        <vt:i4>0</vt:i4>
      </vt:variant>
      <vt:variant>
        <vt:i4>5</vt:i4>
      </vt:variant>
      <vt:variant>
        <vt:lpwstr/>
      </vt:variant>
      <vt:variant>
        <vt:lpwstr>_Resolution_91_-</vt:lpwstr>
      </vt:variant>
      <vt:variant>
        <vt:i4>3407937</vt:i4>
      </vt:variant>
      <vt:variant>
        <vt:i4>546</vt:i4>
      </vt:variant>
      <vt:variant>
        <vt:i4>0</vt:i4>
      </vt:variant>
      <vt:variant>
        <vt:i4>5</vt:i4>
      </vt:variant>
      <vt:variant>
        <vt:lpwstr/>
      </vt:variant>
      <vt:variant>
        <vt:lpwstr>_Resolution_90_-</vt:lpwstr>
      </vt:variant>
      <vt:variant>
        <vt:i4>3997760</vt:i4>
      </vt:variant>
      <vt:variant>
        <vt:i4>543</vt:i4>
      </vt:variant>
      <vt:variant>
        <vt:i4>0</vt:i4>
      </vt:variant>
      <vt:variant>
        <vt:i4>5</vt:i4>
      </vt:variant>
      <vt:variant>
        <vt:lpwstr/>
      </vt:variant>
      <vt:variant>
        <vt:lpwstr>_Resolution_89_-</vt:lpwstr>
      </vt:variant>
      <vt:variant>
        <vt:i4>3932224</vt:i4>
      </vt:variant>
      <vt:variant>
        <vt:i4>540</vt:i4>
      </vt:variant>
      <vt:variant>
        <vt:i4>0</vt:i4>
      </vt:variant>
      <vt:variant>
        <vt:i4>5</vt:i4>
      </vt:variant>
      <vt:variant>
        <vt:lpwstr/>
      </vt:variant>
      <vt:variant>
        <vt:lpwstr>_Resolution_88_-</vt:lpwstr>
      </vt:variant>
      <vt:variant>
        <vt:i4>3342400</vt:i4>
      </vt:variant>
      <vt:variant>
        <vt:i4>537</vt:i4>
      </vt:variant>
      <vt:variant>
        <vt:i4>0</vt:i4>
      </vt:variant>
      <vt:variant>
        <vt:i4>5</vt:i4>
      </vt:variant>
      <vt:variant>
        <vt:lpwstr/>
      </vt:variant>
      <vt:variant>
        <vt:lpwstr>_Resolution_87_-</vt:lpwstr>
      </vt:variant>
      <vt:variant>
        <vt:i4>3276864</vt:i4>
      </vt:variant>
      <vt:variant>
        <vt:i4>534</vt:i4>
      </vt:variant>
      <vt:variant>
        <vt:i4>0</vt:i4>
      </vt:variant>
      <vt:variant>
        <vt:i4>5</vt:i4>
      </vt:variant>
      <vt:variant>
        <vt:lpwstr/>
      </vt:variant>
      <vt:variant>
        <vt:lpwstr>_Resolution_86_-</vt:lpwstr>
      </vt:variant>
      <vt:variant>
        <vt:i4>3211328</vt:i4>
      </vt:variant>
      <vt:variant>
        <vt:i4>531</vt:i4>
      </vt:variant>
      <vt:variant>
        <vt:i4>0</vt:i4>
      </vt:variant>
      <vt:variant>
        <vt:i4>5</vt:i4>
      </vt:variant>
      <vt:variant>
        <vt:lpwstr/>
      </vt:variant>
      <vt:variant>
        <vt:lpwstr>_Resolution_85_-</vt:lpwstr>
      </vt:variant>
      <vt:variant>
        <vt:i4>3145792</vt:i4>
      </vt:variant>
      <vt:variant>
        <vt:i4>528</vt:i4>
      </vt:variant>
      <vt:variant>
        <vt:i4>0</vt:i4>
      </vt:variant>
      <vt:variant>
        <vt:i4>5</vt:i4>
      </vt:variant>
      <vt:variant>
        <vt:lpwstr/>
      </vt:variant>
      <vt:variant>
        <vt:lpwstr>_Resolution_84_-</vt:lpwstr>
      </vt:variant>
      <vt:variant>
        <vt:i4>3604544</vt:i4>
      </vt:variant>
      <vt:variant>
        <vt:i4>525</vt:i4>
      </vt:variant>
      <vt:variant>
        <vt:i4>0</vt:i4>
      </vt:variant>
      <vt:variant>
        <vt:i4>5</vt:i4>
      </vt:variant>
      <vt:variant>
        <vt:lpwstr/>
      </vt:variant>
      <vt:variant>
        <vt:lpwstr>_Resolution_83_-</vt:lpwstr>
      </vt:variant>
      <vt:variant>
        <vt:i4>5177385</vt:i4>
      </vt:variant>
      <vt:variant>
        <vt:i4>522</vt:i4>
      </vt:variant>
      <vt:variant>
        <vt:i4>0</vt:i4>
      </vt:variant>
      <vt:variant>
        <vt:i4>5</vt:i4>
      </vt:variant>
      <vt:variant>
        <vt:lpwstr/>
      </vt:variant>
      <vt:variant>
        <vt:lpwstr>Resolution_76</vt:lpwstr>
      </vt:variant>
      <vt:variant>
        <vt:i4>5177385</vt:i4>
      </vt:variant>
      <vt:variant>
        <vt:i4>519</vt:i4>
      </vt:variant>
      <vt:variant>
        <vt:i4>0</vt:i4>
      </vt:variant>
      <vt:variant>
        <vt:i4>5</vt:i4>
      </vt:variant>
      <vt:variant>
        <vt:lpwstr/>
      </vt:variant>
      <vt:variant>
        <vt:lpwstr>Resolution_76</vt:lpwstr>
      </vt:variant>
      <vt:variant>
        <vt:i4>5177385</vt:i4>
      </vt:variant>
      <vt:variant>
        <vt:i4>516</vt:i4>
      </vt:variant>
      <vt:variant>
        <vt:i4>0</vt:i4>
      </vt:variant>
      <vt:variant>
        <vt:i4>5</vt:i4>
      </vt:variant>
      <vt:variant>
        <vt:lpwstr/>
      </vt:variant>
      <vt:variant>
        <vt:lpwstr>Resolution_76</vt:lpwstr>
      </vt:variant>
      <vt:variant>
        <vt:i4>5177385</vt:i4>
      </vt:variant>
      <vt:variant>
        <vt:i4>513</vt:i4>
      </vt:variant>
      <vt:variant>
        <vt:i4>0</vt:i4>
      </vt:variant>
      <vt:variant>
        <vt:i4>5</vt:i4>
      </vt:variant>
      <vt:variant>
        <vt:lpwstr/>
      </vt:variant>
      <vt:variant>
        <vt:lpwstr>Resolution_76</vt:lpwstr>
      </vt:variant>
      <vt:variant>
        <vt:i4>5177385</vt:i4>
      </vt:variant>
      <vt:variant>
        <vt:i4>510</vt:i4>
      </vt:variant>
      <vt:variant>
        <vt:i4>0</vt:i4>
      </vt:variant>
      <vt:variant>
        <vt:i4>5</vt:i4>
      </vt:variant>
      <vt:variant>
        <vt:lpwstr/>
      </vt:variant>
      <vt:variant>
        <vt:lpwstr>Resolution_76</vt:lpwstr>
      </vt:variant>
      <vt:variant>
        <vt:i4>5177385</vt:i4>
      </vt:variant>
      <vt:variant>
        <vt:i4>507</vt:i4>
      </vt:variant>
      <vt:variant>
        <vt:i4>0</vt:i4>
      </vt:variant>
      <vt:variant>
        <vt:i4>5</vt:i4>
      </vt:variant>
      <vt:variant>
        <vt:lpwstr/>
      </vt:variant>
      <vt:variant>
        <vt:lpwstr>Resolution_75</vt:lpwstr>
      </vt:variant>
      <vt:variant>
        <vt:i4>5177385</vt:i4>
      </vt:variant>
      <vt:variant>
        <vt:i4>504</vt:i4>
      </vt:variant>
      <vt:variant>
        <vt:i4>0</vt:i4>
      </vt:variant>
      <vt:variant>
        <vt:i4>5</vt:i4>
      </vt:variant>
      <vt:variant>
        <vt:lpwstr/>
      </vt:variant>
      <vt:variant>
        <vt:lpwstr>Resolution_74</vt:lpwstr>
      </vt:variant>
      <vt:variant>
        <vt:i4>5177385</vt:i4>
      </vt:variant>
      <vt:variant>
        <vt:i4>501</vt:i4>
      </vt:variant>
      <vt:variant>
        <vt:i4>0</vt:i4>
      </vt:variant>
      <vt:variant>
        <vt:i4>5</vt:i4>
      </vt:variant>
      <vt:variant>
        <vt:lpwstr/>
      </vt:variant>
      <vt:variant>
        <vt:lpwstr>Resolution_73</vt:lpwstr>
      </vt:variant>
      <vt:variant>
        <vt:i4>5177385</vt:i4>
      </vt:variant>
      <vt:variant>
        <vt:i4>498</vt:i4>
      </vt:variant>
      <vt:variant>
        <vt:i4>0</vt:i4>
      </vt:variant>
      <vt:variant>
        <vt:i4>5</vt:i4>
      </vt:variant>
      <vt:variant>
        <vt:lpwstr/>
      </vt:variant>
      <vt:variant>
        <vt:lpwstr>Resolution_72</vt:lpwstr>
      </vt:variant>
      <vt:variant>
        <vt:i4>5177385</vt:i4>
      </vt:variant>
      <vt:variant>
        <vt:i4>495</vt:i4>
      </vt:variant>
      <vt:variant>
        <vt:i4>0</vt:i4>
      </vt:variant>
      <vt:variant>
        <vt:i4>5</vt:i4>
      </vt:variant>
      <vt:variant>
        <vt:lpwstr/>
      </vt:variant>
      <vt:variant>
        <vt:lpwstr>Resolution_70</vt:lpwstr>
      </vt:variant>
      <vt:variant>
        <vt:i4>3997774</vt:i4>
      </vt:variant>
      <vt:variant>
        <vt:i4>492</vt:i4>
      </vt:variant>
      <vt:variant>
        <vt:i4>0</vt:i4>
      </vt:variant>
      <vt:variant>
        <vt:i4>5</vt:i4>
      </vt:variant>
      <vt:variant>
        <vt:lpwstr/>
      </vt:variant>
      <vt:variant>
        <vt:lpwstr>_Resolution_69_-</vt:lpwstr>
      </vt:variant>
      <vt:variant>
        <vt:i4>5111849</vt:i4>
      </vt:variant>
      <vt:variant>
        <vt:i4>489</vt:i4>
      </vt:variant>
      <vt:variant>
        <vt:i4>0</vt:i4>
      </vt:variant>
      <vt:variant>
        <vt:i4>5</vt:i4>
      </vt:variant>
      <vt:variant>
        <vt:lpwstr/>
      </vt:variant>
      <vt:variant>
        <vt:lpwstr>Resolution_68</vt:lpwstr>
      </vt:variant>
      <vt:variant>
        <vt:i4>5111849</vt:i4>
      </vt:variant>
      <vt:variant>
        <vt:i4>486</vt:i4>
      </vt:variant>
      <vt:variant>
        <vt:i4>0</vt:i4>
      </vt:variant>
      <vt:variant>
        <vt:i4>5</vt:i4>
      </vt:variant>
      <vt:variant>
        <vt:lpwstr/>
      </vt:variant>
      <vt:variant>
        <vt:lpwstr>Resolution_67</vt:lpwstr>
      </vt:variant>
      <vt:variant>
        <vt:i4>5111849</vt:i4>
      </vt:variant>
      <vt:variant>
        <vt:i4>483</vt:i4>
      </vt:variant>
      <vt:variant>
        <vt:i4>0</vt:i4>
      </vt:variant>
      <vt:variant>
        <vt:i4>5</vt:i4>
      </vt:variant>
      <vt:variant>
        <vt:lpwstr/>
      </vt:variant>
      <vt:variant>
        <vt:lpwstr>Resolution_66</vt:lpwstr>
      </vt:variant>
      <vt:variant>
        <vt:i4>5111849</vt:i4>
      </vt:variant>
      <vt:variant>
        <vt:i4>480</vt:i4>
      </vt:variant>
      <vt:variant>
        <vt:i4>0</vt:i4>
      </vt:variant>
      <vt:variant>
        <vt:i4>5</vt:i4>
      </vt:variant>
      <vt:variant>
        <vt:lpwstr/>
      </vt:variant>
      <vt:variant>
        <vt:lpwstr>Resolution_65</vt:lpwstr>
      </vt:variant>
      <vt:variant>
        <vt:i4>3145806</vt:i4>
      </vt:variant>
      <vt:variant>
        <vt:i4>477</vt:i4>
      </vt:variant>
      <vt:variant>
        <vt:i4>0</vt:i4>
      </vt:variant>
      <vt:variant>
        <vt:i4>5</vt:i4>
      </vt:variant>
      <vt:variant>
        <vt:lpwstr/>
      </vt:variant>
      <vt:variant>
        <vt:lpwstr>_Resolution_64_-</vt:lpwstr>
      </vt:variant>
      <vt:variant>
        <vt:i4>5111849</vt:i4>
      </vt:variant>
      <vt:variant>
        <vt:i4>474</vt:i4>
      </vt:variant>
      <vt:variant>
        <vt:i4>0</vt:i4>
      </vt:variant>
      <vt:variant>
        <vt:i4>5</vt:i4>
      </vt:variant>
      <vt:variant>
        <vt:lpwstr/>
      </vt:variant>
      <vt:variant>
        <vt:lpwstr>Resolution_62</vt:lpwstr>
      </vt:variant>
      <vt:variant>
        <vt:i4>5111849</vt:i4>
      </vt:variant>
      <vt:variant>
        <vt:i4>471</vt:i4>
      </vt:variant>
      <vt:variant>
        <vt:i4>0</vt:i4>
      </vt:variant>
      <vt:variant>
        <vt:i4>5</vt:i4>
      </vt:variant>
      <vt:variant>
        <vt:lpwstr/>
      </vt:variant>
      <vt:variant>
        <vt:lpwstr>Resolution_61</vt:lpwstr>
      </vt:variant>
      <vt:variant>
        <vt:i4>5111849</vt:i4>
      </vt:variant>
      <vt:variant>
        <vt:i4>468</vt:i4>
      </vt:variant>
      <vt:variant>
        <vt:i4>0</vt:i4>
      </vt:variant>
      <vt:variant>
        <vt:i4>5</vt:i4>
      </vt:variant>
      <vt:variant>
        <vt:lpwstr/>
      </vt:variant>
      <vt:variant>
        <vt:lpwstr>Resolution_60</vt:lpwstr>
      </vt:variant>
      <vt:variant>
        <vt:i4>5046313</vt:i4>
      </vt:variant>
      <vt:variant>
        <vt:i4>465</vt:i4>
      </vt:variant>
      <vt:variant>
        <vt:i4>0</vt:i4>
      </vt:variant>
      <vt:variant>
        <vt:i4>5</vt:i4>
      </vt:variant>
      <vt:variant>
        <vt:lpwstr/>
      </vt:variant>
      <vt:variant>
        <vt:lpwstr>Resolution_59</vt:lpwstr>
      </vt:variant>
      <vt:variant>
        <vt:i4>5046313</vt:i4>
      </vt:variant>
      <vt:variant>
        <vt:i4>462</vt:i4>
      </vt:variant>
      <vt:variant>
        <vt:i4>0</vt:i4>
      </vt:variant>
      <vt:variant>
        <vt:i4>5</vt:i4>
      </vt:variant>
      <vt:variant>
        <vt:lpwstr/>
      </vt:variant>
      <vt:variant>
        <vt:lpwstr>Resolution_58</vt:lpwstr>
      </vt:variant>
      <vt:variant>
        <vt:i4>5046313</vt:i4>
      </vt:variant>
      <vt:variant>
        <vt:i4>459</vt:i4>
      </vt:variant>
      <vt:variant>
        <vt:i4>0</vt:i4>
      </vt:variant>
      <vt:variant>
        <vt:i4>5</vt:i4>
      </vt:variant>
      <vt:variant>
        <vt:lpwstr/>
      </vt:variant>
      <vt:variant>
        <vt:lpwstr>Resolution_55</vt:lpwstr>
      </vt:variant>
      <vt:variant>
        <vt:i4>5046313</vt:i4>
      </vt:variant>
      <vt:variant>
        <vt:i4>456</vt:i4>
      </vt:variant>
      <vt:variant>
        <vt:i4>0</vt:i4>
      </vt:variant>
      <vt:variant>
        <vt:i4>5</vt:i4>
      </vt:variant>
      <vt:variant>
        <vt:lpwstr/>
      </vt:variant>
      <vt:variant>
        <vt:lpwstr>Resolution_54</vt:lpwstr>
      </vt:variant>
      <vt:variant>
        <vt:i4>5046313</vt:i4>
      </vt:variant>
      <vt:variant>
        <vt:i4>453</vt:i4>
      </vt:variant>
      <vt:variant>
        <vt:i4>0</vt:i4>
      </vt:variant>
      <vt:variant>
        <vt:i4>5</vt:i4>
      </vt:variant>
      <vt:variant>
        <vt:lpwstr/>
      </vt:variant>
      <vt:variant>
        <vt:lpwstr>Resolution_52</vt:lpwstr>
      </vt:variant>
      <vt:variant>
        <vt:i4>5046313</vt:i4>
      </vt:variant>
      <vt:variant>
        <vt:i4>450</vt:i4>
      </vt:variant>
      <vt:variant>
        <vt:i4>0</vt:i4>
      </vt:variant>
      <vt:variant>
        <vt:i4>5</vt:i4>
      </vt:variant>
      <vt:variant>
        <vt:lpwstr/>
      </vt:variant>
      <vt:variant>
        <vt:lpwstr>Resolution_50</vt:lpwstr>
      </vt:variant>
      <vt:variant>
        <vt:i4>4980777</vt:i4>
      </vt:variant>
      <vt:variant>
        <vt:i4>447</vt:i4>
      </vt:variant>
      <vt:variant>
        <vt:i4>0</vt:i4>
      </vt:variant>
      <vt:variant>
        <vt:i4>5</vt:i4>
      </vt:variant>
      <vt:variant>
        <vt:lpwstr/>
      </vt:variant>
      <vt:variant>
        <vt:lpwstr>Resolution_49</vt:lpwstr>
      </vt:variant>
      <vt:variant>
        <vt:i4>4980777</vt:i4>
      </vt:variant>
      <vt:variant>
        <vt:i4>444</vt:i4>
      </vt:variant>
      <vt:variant>
        <vt:i4>0</vt:i4>
      </vt:variant>
      <vt:variant>
        <vt:i4>5</vt:i4>
      </vt:variant>
      <vt:variant>
        <vt:lpwstr/>
      </vt:variant>
      <vt:variant>
        <vt:lpwstr>Resolution_48</vt:lpwstr>
      </vt:variant>
      <vt:variant>
        <vt:i4>4980777</vt:i4>
      </vt:variant>
      <vt:variant>
        <vt:i4>441</vt:i4>
      </vt:variant>
      <vt:variant>
        <vt:i4>0</vt:i4>
      </vt:variant>
      <vt:variant>
        <vt:i4>5</vt:i4>
      </vt:variant>
      <vt:variant>
        <vt:lpwstr/>
      </vt:variant>
      <vt:variant>
        <vt:lpwstr>Resolution_47</vt:lpwstr>
      </vt:variant>
      <vt:variant>
        <vt:i4>4980777</vt:i4>
      </vt:variant>
      <vt:variant>
        <vt:i4>438</vt:i4>
      </vt:variant>
      <vt:variant>
        <vt:i4>0</vt:i4>
      </vt:variant>
      <vt:variant>
        <vt:i4>5</vt:i4>
      </vt:variant>
      <vt:variant>
        <vt:lpwstr/>
      </vt:variant>
      <vt:variant>
        <vt:lpwstr>Resolution_45</vt:lpwstr>
      </vt:variant>
      <vt:variant>
        <vt:i4>4980777</vt:i4>
      </vt:variant>
      <vt:variant>
        <vt:i4>435</vt:i4>
      </vt:variant>
      <vt:variant>
        <vt:i4>0</vt:i4>
      </vt:variant>
      <vt:variant>
        <vt:i4>5</vt:i4>
      </vt:variant>
      <vt:variant>
        <vt:lpwstr/>
      </vt:variant>
      <vt:variant>
        <vt:lpwstr>Resolution_44</vt:lpwstr>
      </vt:variant>
      <vt:variant>
        <vt:i4>4980777</vt:i4>
      </vt:variant>
      <vt:variant>
        <vt:i4>432</vt:i4>
      </vt:variant>
      <vt:variant>
        <vt:i4>0</vt:i4>
      </vt:variant>
      <vt:variant>
        <vt:i4>5</vt:i4>
      </vt:variant>
      <vt:variant>
        <vt:lpwstr/>
      </vt:variant>
      <vt:variant>
        <vt:lpwstr>Resolution_43</vt:lpwstr>
      </vt:variant>
      <vt:variant>
        <vt:i4>4980777</vt:i4>
      </vt:variant>
      <vt:variant>
        <vt:i4>429</vt:i4>
      </vt:variant>
      <vt:variant>
        <vt:i4>0</vt:i4>
      </vt:variant>
      <vt:variant>
        <vt:i4>5</vt:i4>
      </vt:variant>
      <vt:variant>
        <vt:lpwstr/>
      </vt:variant>
      <vt:variant>
        <vt:lpwstr>Resolution_40</vt:lpwstr>
      </vt:variant>
      <vt:variant>
        <vt:i4>4915241</vt:i4>
      </vt:variant>
      <vt:variant>
        <vt:i4>426</vt:i4>
      </vt:variant>
      <vt:variant>
        <vt:i4>0</vt:i4>
      </vt:variant>
      <vt:variant>
        <vt:i4>5</vt:i4>
      </vt:variant>
      <vt:variant>
        <vt:lpwstr/>
      </vt:variant>
      <vt:variant>
        <vt:lpwstr>Resolution_35</vt:lpwstr>
      </vt:variant>
      <vt:variant>
        <vt:i4>4915241</vt:i4>
      </vt:variant>
      <vt:variant>
        <vt:i4>423</vt:i4>
      </vt:variant>
      <vt:variant>
        <vt:i4>0</vt:i4>
      </vt:variant>
      <vt:variant>
        <vt:i4>5</vt:i4>
      </vt:variant>
      <vt:variant>
        <vt:lpwstr/>
      </vt:variant>
      <vt:variant>
        <vt:lpwstr>Resolution_34</vt:lpwstr>
      </vt:variant>
      <vt:variant>
        <vt:i4>4915241</vt:i4>
      </vt:variant>
      <vt:variant>
        <vt:i4>420</vt:i4>
      </vt:variant>
      <vt:variant>
        <vt:i4>0</vt:i4>
      </vt:variant>
      <vt:variant>
        <vt:i4>5</vt:i4>
      </vt:variant>
      <vt:variant>
        <vt:lpwstr/>
      </vt:variant>
      <vt:variant>
        <vt:lpwstr>Resolution_32</vt:lpwstr>
      </vt:variant>
      <vt:variant>
        <vt:i4>4915241</vt:i4>
      </vt:variant>
      <vt:variant>
        <vt:i4>417</vt:i4>
      </vt:variant>
      <vt:variant>
        <vt:i4>0</vt:i4>
      </vt:variant>
      <vt:variant>
        <vt:i4>5</vt:i4>
      </vt:variant>
      <vt:variant>
        <vt:lpwstr/>
      </vt:variant>
      <vt:variant>
        <vt:lpwstr>Resolution_31</vt:lpwstr>
      </vt:variant>
      <vt:variant>
        <vt:i4>4849705</vt:i4>
      </vt:variant>
      <vt:variant>
        <vt:i4>414</vt:i4>
      </vt:variant>
      <vt:variant>
        <vt:i4>0</vt:i4>
      </vt:variant>
      <vt:variant>
        <vt:i4>5</vt:i4>
      </vt:variant>
      <vt:variant>
        <vt:lpwstr/>
      </vt:variant>
      <vt:variant>
        <vt:lpwstr>Resolution_29</vt:lpwstr>
      </vt:variant>
      <vt:variant>
        <vt:i4>4849705</vt:i4>
      </vt:variant>
      <vt:variant>
        <vt:i4>411</vt:i4>
      </vt:variant>
      <vt:variant>
        <vt:i4>0</vt:i4>
      </vt:variant>
      <vt:variant>
        <vt:i4>5</vt:i4>
      </vt:variant>
      <vt:variant>
        <vt:lpwstr/>
      </vt:variant>
      <vt:variant>
        <vt:lpwstr>Resolution_22</vt:lpwstr>
      </vt:variant>
      <vt:variant>
        <vt:i4>4849705</vt:i4>
      </vt:variant>
      <vt:variant>
        <vt:i4>408</vt:i4>
      </vt:variant>
      <vt:variant>
        <vt:i4>0</vt:i4>
      </vt:variant>
      <vt:variant>
        <vt:i4>5</vt:i4>
      </vt:variant>
      <vt:variant>
        <vt:lpwstr/>
      </vt:variant>
      <vt:variant>
        <vt:lpwstr>Resolution_20</vt:lpwstr>
      </vt:variant>
      <vt:variant>
        <vt:i4>4784169</vt:i4>
      </vt:variant>
      <vt:variant>
        <vt:i4>405</vt:i4>
      </vt:variant>
      <vt:variant>
        <vt:i4>0</vt:i4>
      </vt:variant>
      <vt:variant>
        <vt:i4>5</vt:i4>
      </vt:variant>
      <vt:variant>
        <vt:lpwstr/>
      </vt:variant>
      <vt:variant>
        <vt:lpwstr>Resolution_18</vt:lpwstr>
      </vt:variant>
      <vt:variant>
        <vt:i4>4784169</vt:i4>
      </vt:variant>
      <vt:variant>
        <vt:i4>402</vt:i4>
      </vt:variant>
      <vt:variant>
        <vt:i4>0</vt:i4>
      </vt:variant>
      <vt:variant>
        <vt:i4>5</vt:i4>
      </vt:variant>
      <vt:variant>
        <vt:lpwstr/>
      </vt:variant>
      <vt:variant>
        <vt:lpwstr>Resolution_11</vt:lpwstr>
      </vt:variant>
      <vt:variant>
        <vt:i4>4718633</vt:i4>
      </vt:variant>
      <vt:variant>
        <vt:i4>399</vt:i4>
      </vt:variant>
      <vt:variant>
        <vt:i4>0</vt:i4>
      </vt:variant>
      <vt:variant>
        <vt:i4>5</vt:i4>
      </vt:variant>
      <vt:variant>
        <vt:lpwstr/>
      </vt:variant>
      <vt:variant>
        <vt:lpwstr>Resolution_07</vt:lpwstr>
      </vt:variant>
      <vt:variant>
        <vt:i4>4718633</vt:i4>
      </vt:variant>
      <vt:variant>
        <vt:i4>396</vt:i4>
      </vt:variant>
      <vt:variant>
        <vt:i4>0</vt:i4>
      </vt:variant>
      <vt:variant>
        <vt:i4>5</vt:i4>
      </vt:variant>
      <vt:variant>
        <vt:lpwstr/>
      </vt:variant>
      <vt:variant>
        <vt:lpwstr>Resolution_02</vt:lpwstr>
      </vt:variant>
      <vt:variant>
        <vt:i4>4718633</vt:i4>
      </vt:variant>
      <vt:variant>
        <vt:i4>393</vt:i4>
      </vt:variant>
      <vt:variant>
        <vt:i4>0</vt:i4>
      </vt:variant>
      <vt:variant>
        <vt:i4>5</vt:i4>
      </vt:variant>
      <vt:variant>
        <vt:lpwstr/>
      </vt:variant>
      <vt:variant>
        <vt:lpwstr>Resolution_01</vt:lpwstr>
      </vt:variant>
      <vt:variant>
        <vt:i4>1835061</vt:i4>
      </vt:variant>
      <vt:variant>
        <vt:i4>386</vt:i4>
      </vt:variant>
      <vt:variant>
        <vt:i4>0</vt:i4>
      </vt:variant>
      <vt:variant>
        <vt:i4>5</vt:i4>
      </vt:variant>
      <vt:variant>
        <vt:lpwstr/>
      </vt:variant>
      <vt:variant>
        <vt:lpwstr>_Toc88135292</vt:lpwstr>
      </vt:variant>
      <vt:variant>
        <vt:i4>2031669</vt:i4>
      </vt:variant>
      <vt:variant>
        <vt:i4>380</vt:i4>
      </vt:variant>
      <vt:variant>
        <vt:i4>0</vt:i4>
      </vt:variant>
      <vt:variant>
        <vt:i4>5</vt:i4>
      </vt:variant>
      <vt:variant>
        <vt:lpwstr/>
      </vt:variant>
      <vt:variant>
        <vt:lpwstr>_Toc88135291</vt:lpwstr>
      </vt:variant>
      <vt:variant>
        <vt:i4>1966133</vt:i4>
      </vt:variant>
      <vt:variant>
        <vt:i4>374</vt:i4>
      </vt:variant>
      <vt:variant>
        <vt:i4>0</vt:i4>
      </vt:variant>
      <vt:variant>
        <vt:i4>5</vt:i4>
      </vt:variant>
      <vt:variant>
        <vt:lpwstr/>
      </vt:variant>
      <vt:variant>
        <vt:lpwstr>_Toc88135290</vt:lpwstr>
      </vt:variant>
      <vt:variant>
        <vt:i4>1507380</vt:i4>
      </vt:variant>
      <vt:variant>
        <vt:i4>368</vt:i4>
      </vt:variant>
      <vt:variant>
        <vt:i4>0</vt:i4>
      </vt:variant>
      <vt:variant>
        <vt:i4>5</vt:i4>
      </vt:variant>
      <vt:variant>
        <vt:lpwstr/>
      </vt:variant>
      <vt:variant>
        <vt:lpwstr>_Toc88135289</vt:lpwstr>
      </vt:variant>
      <vt:variant>
        <vt:i4>1441844</vt:i4>
      </vt:variant>
      <vt:variant>
        <vt:i4>362</vt:i4>
      </vt:variant>
      <vt:variant>
        <vt:i4>0</vt:i4>
      </vt:variant>
      <vt:variant>
        <vt:i4>5</vt:i4>
      </vt:variant>
      <vt:variant>
        <vt:lpwstr/>
      </vt:variant>
      <vt:variant>
        <vt:lpwstr>_Toc88135288</vt:lpwstr>
      </vt:variant>
      <vt:variant>
        <vt:i4>1638452</vt:i4>
      </vt:variant>
      <vt:variant>
        <vt:i4>356</vt:i4>
      </vt:variant>
      <vt:variant>
        <vt:i4>0</vt:i4>
      </vt:variant>
      <vt:variant>
        <vt:i4>5</vt:i4>
      </vt:variant>
      <vt:variant>
        <vt:lpwstr/>
      </vt:variant>
      <vt:variant>
        <vt:lpwstr>_Toc88135287</vt:lpwstr>
      </vt:variant>
      <vt:variant>
        <vt:i4>1572916</vt:i4>
      </vt:variant>
      <vt:variant>
        <vt:i4>350</vt:i4>
      </vt:variant>
      <vt:variant>
        <vt:i4>0</vt:i4>
      </vt:variant>
      <vt:variant>
        <vt:i4>5</vt:i4>
      </vt:variant>
      <vt:variant>
        <vt:lpwstr/>
      </vt:variant>
      <vt:variant>
        <vt:lpwstr>_Toc88135286</vt:lpwstr>
      </vt:variant>
      <vt:variant>
        <vt:i4>1769524</vt:i4>
      </vt:variant>
      <vt:variant>
        <vt:i4>344</vt:i4>
      </vt:variant>
      <vt:variant>
        <vt:i4>0</vt:i4>
      </vt:variant>
      <vt:variant>
        <vt:i4>5</vt:i4>
      </vt:variant>
      <vt:variant>
        <vt:lpwstr/>
      </vt:variant>
      <vt:variant>
        <vt:lpwstr>_Toc88135285</vt:lpwstr>
      </vt:variant>
      <vt:variant>
        <vt:i4>1703988</vt:i4>
      </vt:variant>
      <vt:variant>
        <vt:i4>338</vt:i4>
      </vt:variant>
      <vt:variant>
        <vt:i4>0</vt:i4>
      </vt:variant>
      <vt:variant>
        <vt:i4>5</vt:i4>
      </vt:variant>
      <vt:variant>
        <vt:lpwstr/>
      </vt:variant>
      <vt:variant>
        <vt:lpwstr>_Toc88135284</vt:lpwstr>
      </vt:variant>
      <vt:variant>
        <vt:i4>1900596</vt:i4>
      </vt:variant>
      <vt:variant>
        <vt:i4>332</vt:i4>
      </vt:variant>
      <vt:variant>
        <vt:i4>0</vt:i4>
      </vt:variant>
      <vt:variant>
        <vt:i4>5</vt:i4>
      </vt:variant>
      <vt:variant>
        <vt:lpwstr/>
      </vt:variant>
      <vt:variant>
        <vt:lpwstr>_Toc88135283</vt:lpwstr>
      </vt:variant>
      <vt:variant>
        <vt:i4>1835060</vt:i4>
      </vt:variant>
      <vt:variant>
        <vt:i4>326</vt:i4>
      </vt:variant>
      <vt:variant>
        <vt:i4>0</vt:i4>
      </vt:variant>
      <vt:variant>
        <vt:i4>5</vt:i4>
      </vt:variant>
      <vt:variant>
        <vt:lpwstr/>
      </vt:variant>
      <vt:variant>
        <vt:lpwstr>_Toc88135282</vt:lpwstr>
      </vt:variant>
      <vt:variant>
        <vt:i4>2031668</vt:i4>
      </vt:variant>
      <vt:variant>
        <vt:i4>320</vt:i4>
      </vt:variant>
      <vt:variant>
        <vt:i4>0</vt:i4>
      </vt:variant>
      <vt:variant>
        <vt:i4>5</vt:i4>
      </vt:variant>
      <vt:variant>
        <vt:lpwstr/>
      </vt:variant>
      <vt:variant>
        <vt:lpwstr>_Toc88135281</vt:lpwstr>
      </vt:variant>
      <vt:variant>
        <vt:i4>1966132</vt:i4>
      </vt:variant>
      <vt:variant>
        <vt:i4>314</vt:i4>
      </vt:variant>
      <vt:variant>
        <vt:i4>0</vt:i4>
      </vt:variant>
      <vt:variant>
        <vt:i4>5</vt:i4>
      </vt:variant>
      <vt:variant>
        <vt:lpwstr/>
      </vt:variant>
      <vt:variant>
        <vt:lpwstr>_Toc88135280</vt:lpwstr>
      </vt:variant>
      <vt:variant>
        <vt:i4>1507387</vt:i4>
      </vt:variant>
      <vt:variant>
        <vt:i4>308</vt:i4>
      </vt:variant>
      <vt:variant>
        <vt:i4>0</vt:i4>
      </vt:variant>
      <vt:variant>
        <vt:i4>5</vt:i4>
      </vt:variant>
      <vt:variant>
        <vt:lpwstr/>
      </vt:variant>
      <vt:variant>
        <vt:lpwstr>_Toc88135279</vt:lpwstr>
      </vt:variant>
      <vt:variant>
        <vt:i4>1441851</vt:i4>
      </vt:variant>
      <vt:variant>
        <vt:i4>302</vt:i4>
      </vt:variant>
      <vt:variant>
        <vt:i4>0</vt:i4>
      </vt:variant>
      <vt:variant>
        <vt:i4>5</vt:i4>
      </vt:variant>
      <vt:variant>
        <vt:lpwstr/>
      </vt:variant>
      <vt:variant>
        <vt:lpwstr>_Toc88135278</vt:lpwstr>
      </vt:variant>
      <vt:variant>
        <vt:i4>1638459</vt:i4>
      </vt:variant>
      <vt:variant>
        <vt:i4>296</vt:i4>
      </vt:variant>
      <vt:variant>
        <vt:i4>0</vt:i4>
      </vt:variant>
      <vt:variant>
        <vt:i4>5</vt:i4>
      </vt:variant>
      <vt:variant>
        <vt:lpwstr/>
      </vt:variant>
      <vt:variant>
        <vt:lpwstr>_Toc88135277</vt:lpwstr>
      </vt:variant>
      <vt:variant>
        <vt:i4>1572923</vt:i4>
      </vt:variant>
      <vt:variant>
        <vt:i4>290</vt:i4>
      </vt:variant>
      <vt:variant>
        <vt:i4>0</vt:i4>
      </vt:variant>
      <vt:variant>
        <vt:i4>5</vt:i4>
      </vt:variant>
      <vt:variant>
        <vt:lpwstr/>
      </vt:variant>
      <vt:variant>
        <vt:lpwstr>_Toc88135276</vt:lpwstr>
      </vt:variant>
      <vt:variant>
        <vt:i4>1769531</vt:i4>
      </vt:variant>
      <vt:variant>
        <vt:i4>284</vt:i4>
      </vt:variant>
      <vt:variant>
        <vt:i4>0</vt:i4>
      </vt:variant>
      <vt:variant>
        <vt:i4>5</vt:i4>
      </vt:variant>
      <vt:variant>
        <vt:lpwstr/>
      </vt:variant>
      <vt:variant>
        <vt:lpwstr>_Toc88135275</vt:lpwstr>
      </vt:variant>
      <vt:variant>
        <vt:i4>1703995</vt:i4>
      </vt:variant>
      <vt:variant>
        <vt:i4>278</vt:i4>
      </vt:variant>
      <vt:variant>
        <vt:i4>0</vt:i4>
      </vt:variant>
      <vt:variant>
        <vt:i4>5</vt:i4>
      </vt:variant>
      <vt:variant>
        <vt:lpwstr/>
      </vt:variant>
      <vt:variant>
        <vt:lpwstr>_Toc88135274</vt:lpwstr>
      </vt:variant>
      <vt:variant>
        <vt:i4>1900603</vt:i4>
      </vt:variant>
      <vt:variant>
        <vt:i4>272</vt:i4>
      </vt:variant>
      <vt:variant>
        <vt:i4>0</vt:i4>
      </vt:variant>
      <vt:variant>
        <vt:i4>5</vt:i4>
      </vt:variant>
      <vt:variant>
        <vt:lpwstr/>
      </vt:variant>
      <vt:variant>
        <vt:lpwstr>_Toc88135273</vt:lpwstr>
      </vt:variant>
      <vt:variant>
        <vt:i4>1835067</vt:i4>
      </vt:variant>
      <vt:variant>
        <vt:i4>266</vt:i4>
      </vt:variant>
      <vt:variant>
        <vt:i4>0</vt:i4>
      </vt:variant>
      <vt:variant>
        <vt:i4>5</vt:i4>
      </vt:variant>
      <vt:variant>
        <vt:lpwstr/>
      </vt:variant>
      <vt:variant>
        <vt:lpwstr>_Toc88135272</vt:lpwstr>
      </vt:variant>
      <vt:variant>
        <vt:i4>2031675</vt:i4>
      </vt:variant>
      <vt:variant>
        <vt:i4>260</vt:i4>
      </vt:variant>
      <vt:variant>
        <vt:i4>0</vt:i4>
      </vt:variant>
      <vt:variant>
        <vt:i4>5</vt:i4>
      </vt:variant>
      <vt:variant>
        <vt:lpwstr/>
      </vt:variant>
      <vt:variant>
        <vt:lpwstr>_Toc88135271</vt:lpwstr>
      </vt:variant>
      <vt:variant>
        <vt:i4>1966139</vt:i4>
      </vt:variant>
      <vt:variant>
        <vt:i4>254</vt:i4>
      </vt:variant>
      <vt:variant>
        <vt:i4>0</vt:i4>
      </vt:variant>
      <vt:variant>
        <vt:i4>5</vt:i4>
      </vt:variant>
      <vt:variant>
        <vt:lpwstr/>
      </vt:variant>
      <vt:variant>
        <vt:lpwstr>_Toc88135270</vt:lpwstr>
      </vt:variant>
      <vt:variant>
        <vt:i4>1507386</vt:i4>
      </vt:variant>
      <vt:variant>
        <vt:i4>248</vt:i4>
      </vt:variant>
      <vt:variant>
        <vt:i4>0</vt:i4>
      </vt:variant>
      <vt:variant>
        <vt:i4>5</vt:i4>
      </vt:variant>
      <vt:variant>
        <vt:lpwstr/>
      </vt:variant>
      <vt:variant>
        <vt:lpwstr>_Toc88135269</vt:lpwstr>
      </vt:variant>
      <vt:variant>
        <vt:i4>1441850</vt:i4>
      </vt:variant>
      <vt:variant>
        <vt:i4>242</vt:i4>
      </vt:variant>
      <vt:variant>
        <vt:i4>0</vt:i4>
      </vt:variant>
      <vt:variant>
        <vt:i4>5</vt:i4>
      </vt:variant>
      <vt:variant>
        <vt:lpwstr/>
      </vt:variant>
      <vt:variant>
        <vt:lpwstr>_Toc88135268</vt:lpwstr>
      </vt:variant>
      <vt:variant>
        <vt:i4>1638458</vt:i4>
      </vt:variant>
      <vt:variant>
        <vt:i4>236</vt:i4>
      </vt:variant>
      <vt:variant>
        <vt:i4>0</vt:i4>
      </vt:variant>
      <vt:variant>
        <vt:i4>5</vt:i4>
      </vt:variant>
      <vt:variant>
        <vt:lpwstr/>
      </vt:variant>
      <vt:variant>
        <vt:lpwstr>_Toc88135267</vt:lpwstr>
      </vt:variant>
      <vt:variant>
        <vt:i4>1572922</vt:i4>
      </vt:variant>
      <vt:variant>
        <vt:i4>230</vt:i4>
      </vt:variant>
      <vt:variant>
        <vt:i4>0</vt:i4>
      </vt:variant>
      <vt:variant>
        <vt:i4>5</vt:i4>
      </vt:variant>
      <vt:variant>
        <vt:lpwstr/>
      </vt:variant>
      <vt:variant>
        <vt:lpwstr>_Toc88135266</vt:lpwstr>
      </vt:variant>
      <vt:variant>
        <vt:i4>1769530</vt:i4>
      </vt:variant>
      <vt:variant>
        <vt:i4>224</vt:i4>
      </vt:variant>
      <vt:variant>
        <vt:i4>0</vt:i4>
      </vt:variant>
      <vt:variant>
        <vt:i4>5</vt:i4>
      </vt:variant>
      <vt:variant>
        <vt:lpwstr/>
      </vt:variant>
      <vt:variant>
        <vt:lpwstr>_Toc88135265</vt:lpwstr>
      </vt:variant>
      <vt:variant>
        <vt:i4>1703994</vt:i4>
      </vt:variant>
      <vt:variant>
        <vt:i4>218</vt:i4>
      </vt:variant>
      <vt:variant>
        <vt:i4>0</vt:i4>
      </vt:variant>
      <vt:variant>
        <vt:i4>5</vt:i4>
      </vt:variant>
      <vt:variant>
        <vt:lpwstr/>
      </vt:variant>
      <vt:variant>
        <vt:lpwstr>_Toc88135264</vt:lpwstr>
      </vt:variant>
      <vt:variant>
        <vt:i4>1900602</vt:i4>
      </vt:variant>
      <vt:variant>
        <vt:i4>212</vt:i4>
      </vt:variant>
      <vt:variant>
        <vt:i4>0</vt:i4>
      </vt:variant>
      <vt:variant>
        <vt:i4>5</vt:i4>
      </vt:variant>
      <vt:variant>
        <vt:lpwstr/>
      </vt:variant>
      <vt:variant>
        <vt:lpwstr>_Toc88135263</vt:lpwstr>
      </vt:variant>
      <vt:variant>
        <vt:i4>1835066</vt:i4>
      </vt:variant>
      <vt:variant>
        <vt:i4>206</vt:i4>
      </vt:variant>
      <vt:variant>
        <vt:i4>0</vt:i4>
      </vt:variant>
      <vt:variant>
        <vt:i4>5</vt:i4>
      </vt:variant>
      <vt:variant>
        <vt:lpwstr/>
      </vt:variant>
      <vt:variant>
        <vt:lpwstr>_Toc88135262</vt:lpwstr>
      </vt:variant>
      <vt:variant>
        <vt:i4>2031674</vt:i4>
      </vt:variant>
      <vt:variant>
        <vt:i4>200</vt:i4>
      </vt:variant>
      <vt:variant>
        <vt:i4>0</vt:i4>
      </vt:variant>
      <vt:variant>
        <vt:i4>5</vt:i4>
      </vt:variant>
      <vt:variant>
        <vt:lpwstr/>
      </vt:variant>
      <vt:variant>
        <vt:lpwstr>_Toc88135261</vt:lpwstr>
      </vt:variant>
      <vt:variant>
        <vt:i4>1966138</vt:i4>
      </vt:variant>
      <vt:variant>
        <vt:i4>194</vt:i4>
      </vt:variant>
      <vt:variant>
        <vt:i4>0</vt:i4>
      </vt:variant>
      <vt:variant>
        <vt:i4>5</vt:i4>
      </vt:variant>
      <vt:variant>
        <vt:lpwstr/>
      </vt:variant>
      <vt:variant>
        <vt:lpwstr>_Toc88135260</vt:lpwstr>
      </vt:variant>
      <vt:variant>
        <vt:i4>1507385</vt:i4>
      </vt:variant>
      <vt:variant>
        <vt:i4>188</vt:i4>
      </vt:variant>
      <vt:variant>
        <vt:i4>0</vt:i4>
      </vt:variant>
      <vt:variant>
        <vt:i4>5</vt:i4>
      </vt:variant>
      <vt:variant>
        <vt:lpwstr/>
      </vt:variant>
      <vt:variant>
        <vt:lpwstr>_Toc88135259</vt:lpwstr>
      </vt:variant>
      <vt:variant>
        <vt:i4>1441849</vt:i4>
      </vt:variant>
      <vt:variant>
        <vt:i4>182</vt:i4>
      </vt:variant>
      <vt:variant>
        <vt:i4>0</vt:i4>
      </vt:variant>
      <vt:variant>
        <vt:i4>5</vt:i4>
      </vt:variant>
      <vt:variant>
        <vt:lpwstr/>
      </vt:variant>
      <vt:variant>
        <vt:lpwstr>_Toc88135258</vt:lpwstr>
      </vt:variant>
      <vt:variant>
        <vt:i4>1638457</vt:i4>
      </vt:variant>
      <vt:variant>
        <vt:i4>176</vt:i4>
      </vt:variant>
      <vt:variant>
        <vt:i4>0</vt:i4>
      </vt:variant>
      <vt:variant>
        <vt:i4>5</vt:i4>
      </vt:variant>
      <vt:variant>
        <vt:lpwstr/>
      </vt:variant>
      <vt:variant>
        <vt:lpwstr>_Toc88135257</vt:lpwstr>
      </vt:variant>
      <vt:variant>
        <vt:i4>1572921</vt:i4>
      </vt:variant>
      <vt:variant>
        <vt:i4>170</vt:i4>
      </vt:variant>
      <vt:variant>
        <vt:i4>0</vt:i4>
      </vt:variant>
      <vt:variant>
        <vt:i4>5</vt:i4>
      </vt:variant>
      <vt:variant>
        <vt:lpwstr/>
      </vt:variant>
      <vt:variant>
        <vt:lpwstr>_Toc88135256</vt:lpwstr>
      </vt:variant>
      <vt:variant>
        <vt:i4>1769529</vt:i4>
      </vt:variant>
      <vt:variant>
        <vt:i4>164</vt:i4>
      </vt:variant>
      <vt:variant>
        <vt:i4>0</vt:i4>
      </vt:variant>
      <vt:variant>
        <vt:i4>5</vt:i4>
      </vt:variant>
      <vt:variant>
        <vt:lpwstr/>
      </vt:variant>
      <vt:variant>
        <vt:lpwstr>_Toc88135255</vt:lpwstr>
      </vt:variant>
      <vt:variant>
        <vt:i4>1703993</vt:i4>
      </vt:variant>
      <vt:variant>
        <vt:i4>158</vt:i4>
      </vt:variant>
      <vt:variant>
        <vt:i4>0</vt:i4>
      </vt:variant>
      <vt:variant>
        <vt:i4>5</vt:i4>
      </vt:variant>
      <vt:variant>
        <vt:lpwstr/>
      </vt:variant>
      <vt:variant>
        <vt:lpwstr>_Toc88135254</vt:lpwstr>
      </vt:variant>
      <vt:variant>
        <vt:i4>1900601</vt:i4>
      </vt:variant>
      <vt:variant>
        <vt:i4>152</vt:i4>
      </vt:variant>
      <vt:variant>
        <vt:i4>0</vt:i4>
      </vt:variant>
      <vt:variant>
        <vt:i4>5</vt:i4>
      </vt:variant>
      <vt:variant>
        <vt:lpwstr/>
      </vt:variant>
      <vt:variant>
        <vt:lpwstr>_Toc88135253</vt:lpwstr>
      </vt:variant>
      <vt:variant>
        <vt:i4>1835065</vt:i4>
      </vt:variant>
      <vt:variant>
        <vt:i4>146</vt:i4>
      </vt:variant>
      <vt:variant>
        <vt:i4>0</vt:i4>
      </vt:variant>
      <vt:variant>
        <vt:i4>5</vt:i4>
      </vt:variant>
      <vt:variant>
        <vt:lpwstr/>
      </vt:variant>
      <vt:variant>
        <vt:lpwstr>_Toc88135252</vt:lpwstr>
      </vt:variant>
      <vt:variant>
        <vt:i4>2031673</vt:i4>
      </vt:variant>
      <vt:variant>
        <vt:i4>140</vt:i4>
      </vt:variant>
      <vt:variant>
        <vt:i4>0</vt:i4>
      </vt:variant>
      <vt:variant>
        <vt:i4>5</vt:i4>
      </vt:variant>
      <vt:variant>
        <vt:lpwstr/>
      </vt:variant>
      <vt:variant>
        <vt:lpwstr>_Toc88135251</vt:lpwstr>
      </vt:variant>
      <vt:variant>
        <vt:i4>1966137</vt:i4>
      </vt:variant>
      <vt:variant>
        <vt:i4>134</vt:i4>
      </vt:variant>
      <vt:variant>
        <vt:i4>0</vt:i4>
      </vt:variant>
      <vt:variant>
        <vt:i4>5</vt:i4>
      </vt:variant>
      <vt:variant>
        <vt:lpwstr/>
      </vt:variant>
      <vt:variant>
        <vt:lpwstr>_Toc88135250</vt:lpwstr>
      </vt:variant>
      <vt:variant>
        <vt:i4>1507384</vt:i4>
      </vt:variant>
      <vt:variant>
        <vt:i4>128</vt:i4>
      </vt:variant>
      <vt:variant>
        <vt:i4>0</vt:i4>
      </vt:variant>
      <vt:variant>
        <vt:i4>5</vt:i4>
      </vt:variant>
      <vt:variant>
        <vt:lpwstr/>
      </vt:variant>
      <vt:variant>
        <vt:lpwstr>_Toc88135249</vt:lpwstr>
      </vt:variant>
      <vt:variant>
        <vt:i4>1441848</vt:i4>
      </vt:variant>
      <vt:variant>
        <vt:i4>122</vt:i4>
      </vt:variant>
      <vt:variant>
        <vt:i4>0</vt:i4>
      </vt:variant>
      <vt:variant>
        <vt:i4>5</vt:i4>
      </vt:variant>
      <vt:variant>
        <vt:lpwstr/>
      </vt:variant>
      <vt:variant>
        <vt:lpwstr>_Toc88135248</vt:lpwstr>
      </vt:variant>
      <vt:variant>
        <vt:i4>1638456</vt:i4>
      </vt:variant>
      <vt:variant>
        <vt:i4>116</vt:i4>
      </vt:variant>
      <vt:variant>
        <vt:i4>0</vt:i4>
      </vt:variant>
      <vt:variant>
        <vt:i4>5</vt:i4>
      </vt:variant>
      <vt:variant>
        <vt:lpwstr/>
      </vt:variant>
      <vt:variant>
        <vt:lpwstr>_Toc88135247</vt:lpwstr>
      </vt:variant>
      <vt:variant>
        <vt:i4>1572920</vt:i4>
      </vt:variant>
      <vt:variant>
        <vt:i4>110</vt:i4>
      </vt:variant>
      <vt:variant>
        <vt:i4>0</vt:i4>
      </vt:variant>
      <vt:variant>
        <vt:i4>5</vt:i4>
      </vt:variant>
      <vt:variant>
        <vt:lpwstr/>
      </vt:variant>
      <vt:variant>
        <vt:lpwstr>_Toc88135246</vt:lpwstr>
      </vt:variant>
      <vt:variant>
        <vt:i4>1769528</vt:i4>
      </vt:variant>
      <vt:variant>
        <vt:i4>104</vt:i4>
      </vt:variant>
      <vt:variant>
        <vt:i4>0</vt:i4>
      </vt:variant>
      <vt:variant>
        <vt:i4>5</vt:i4>
      </vt:variant>
      <vt:variant>
        <vt:lpwstr/>
      </vt:variant>
      <vt:variant>
        <vt:lpwstr>_Toc88135245</vt:lpwstr>
      </vt:variant>
      <vt:variant>
        <vt:i4>1703992</vt:i4>
      </vt:variant>
      <vt:variant>
        <vt:i4>98</vt:i4>
      </vt:variant>
      <vt:variant>
        <vt:i4>0</vt:i4>
      </vt:variant>
      <vt:variant>
        <vt:i4>5</vt:i4>
      </vt:variant>
      <vt:variant>
        <vt:lpwstr/>
      </vt:variant>
      <vt:variant>
        <vt:lpwstr>_Toc88135244</vt:lpwstr>
      </vt:variant>
      <vt:variant>
        <vt:i4>1900600</vt:i4>
      </vt:variant>
      <vt:variant>
        <vt:i4>92</vt:i4>
      </vt:variant>
      <vt:variant>
        <vt:i4>0</vt:i4>
      </vt:variant>
      <vt:variant>
        <vt:i4>5</vt:i4>
      </vt:variant>
      <vt:variant>
        <vt:lpwstr/>
      </vt:variant>
      <vt:variant>
        <vt:lpwstr>_Toc88135243</vt:lpwstr>
      </vt:variant>
      <vt:variant>
        <vt:i4>1835064</vt:i4>
      </vt:variant>
      <vt:variant>
        <vt:i4>86</vt:i4>
      </vt:variant>
      <vt:variant>
        <vt:i4>0</vt:i4>
      </vt:variant>
      <vt:variant>
        <vt:i4>5</vt:i4>
      </vt:variant>
      <vt:variant>
        <vt:lpwstr/>
      </vt:variant>
      <vt:variant>
        <vt:lpwstr>_Toc88135242</vt:lpwstr>
      </vt:variant>
      <vt:variant>
        <vt:i4>2031672</vt:i4>
      </vt:variant>
      <vt:variant>
        <vt:i4>80</vt:i4>
      </vt:variant>
      <vt:variant>
        <vt:i4>0</vt:i4>
      </vt:variant>
      <vt:variant>
        <vt:i4>5</vt:i4>
      </vt:variant>
      <vt:variant>
        <vt:lpwstr/>
      </vt:variant>
      <vt:variant>
        <vt:lpwstr>_Toc88135241</vt:lpwstr>
      </vt:variant>
      <vt:variant>
        <vt:i4>1966136</vt:i4>
      </vt:variant>
      <vt:variant>
        <vt:i4>74</vt:i4>
      </vt:variant>
      <vt:variant>
        <vt:i4>0</vt:i4>
      </vt:variant>
      <vt:variant>
        <vt:i4>5</vt:i4>
      </vt:variant>
      <vt:variant>
        <vt:lpwstr/>
      </vt:variant>
      <vt:variant>
        <vt:lpwstr>_Toc88135240</vt:lpwstr>
      </vt:variant>
      <vt:variant>
        <vt:i4>1507391</vt:i4>
      </vt:variant>
      <vt:variant>
        <vt:i4>68</vt:i4>
      </vt:variant>
      <vt:variant>
        <vt:i4>0</vt:i4>
      </vt:variant>
      <vt:variant>
        <vt:i4>5</vt:i4>
      </vt:variant>
      <vt:variant>
        <vt:lpwstr/>
      </vt:variant>
      <vt:variant>
        <vt:lpwstr>_Toc88135239</vt:lpwstr>
      </vt:variant>
      <vt:variant>
        <vt:i4>1441855</vt:i4>
      </vt:variant>
      <vt:variant>
        <vt:i4>62</vt:i4>
      </vt:variant>
      <vt:variant>
        <vt:i4>0</vt:i4>
      </vt:variant>
      <vt:variant>
        <vt:i4>5</vt:i4>
      </vt:variant>
      <vt:variant>
        <vt:lpwstr/>
      </vt:variant>
      <vt:variant>
        <vt:lpwstr>_Toc88135238</vt:lpwstr>
      </vt:variant>
      <vt:variant>
        <vt:i4>1638463</vt:i4>
      </vt:variant>
      <vt:variant>
        <vt:i4>56</vt:i4>
      </vt:variant>
      <vt:variant>
        <vt:i4>0</vt:i4>
      </vt:variant>
      <vt:variant>
        <vt:i4>5</vt:i4>
      </vt:variant>
      <vt:variant>
        <vt:lpwstr/>
      </vt:variant>
      <vt:variant>
        <vt:lpwstr>_Toc88135237</vt:lpwstr>
      </vt:variant>
      <vt:variant>
        <vt:i4>1572927</vt:i4>
      </vt:variant>
      <vt:variant>
        <vt:i4>50</vt:i4>
      </vt:variant>
      <vt:variant>
        <vt:i4>0</vt:i4>
      </vt:variant>
      <vt:variant>
        <vt:i4>5</vt:i4>
      </vt:variant>
      <vt:variant>
        <vt:lpwstr/>
      </vt:variant>
      <vt:variant>
        <vt:lpwstr>_Toc88135236</vt:lpwstr>
      </vt:variant>
      <vt:variant>
        <vt:i4>1769535</vt:i4>
      </vt:variant>
      <vt:variant>
        <vt:i4>44</vt:i4>
      </vt:variant>
      <vt:variant>
        <vt:i4>0</vt:i4>
      </vt:variant>
      <vt:variant>
        <vt:i4>5</vt:i4>
      </vt:variant>
      <vt:variant>
        <vt:lpwstr/>
      </vt:variant>
      <vt:variant>
        <vt:lpwstr>_Toc88135235</vt:lpwstr>
      </vt:variant>
      <vt:variant>
        <vt:i4>1703999</vt:i4>
      </vt:variant>
      <vt:variant>
        <vt:i4>38</vt:i4>
      </vt:variant>
      <vt:variant>
        <vt:i4>0</vt:i4>
      </vt:variant>
      <vt:variant>
        <vt:i4>5</vt:i4>
      </vt:variant>
      <vt:variant>
        <vt:lpwstr/>
      </vt:variant>
      <vt:variant>
        <vt:lpwstr>_Toc88135234</vt:lpwstr>
      </vt:variant>
      <vt:variant>
        <vt:i4>1900607</vt:i4>
      </vt:variant>
      <vt:variant>
        <vt:i4>32</vt:i4>
      </vt:variant>
      <vt:variant>
        <vt:i4>0</vt:i4>
      </vt:variant>
      <vt:variant>
        <vt:i4>5</vt:i4>
      </vt:variant>
      <vt:variant>
        <vt:lpwstr/>
      </vt:variant>
      <vt:variant>
        <vt:lpwstr>_Toc88135233</vt:lpwstr>
      </vt:variant>
      <vt:variant>
        <vt:i4>1835071</vt:i4>
      </vt:variant>
      <vt:variant>
        <vt:i4>26</vt:i4>
      </vt:variant>
      <vt:variant>
        <vt:i4>0</vt:i4>
      </vt:variant>
      <vt:variant>
        <vt:i4>5</vt:i4>
      </vt:variant>
      <vt:variant>
        <vt:lpwstr/>
      </vt:variant>
      <vt:variant>
        <vt:lpwstr>_Toc88135232</vt:lpwstr>
      </vt:variant>
      <vt:variant>
        <vt:i4>2031679</vt:i4>
      </vt:variant>
      <vt:variant>
        <vt:i4>20</vt:i4>
      </vt:variant>
      <vt:variant>
        <vt:i4>0</vt:i4>
      </vt:variant>
      <vt:variant>
        <vt:i4>5</vt:i4>
      </vt:variant>
      <vt:variant>
        <vt:lpwstr/>
      </vt:variant>
      <vt:variant>
        <vt:lpwstr>_Toc88135231</vt:lpwstr>
      </vt:variant>
      <vt:variant>
        <vt:i4>1966143</vt:i4>
      </vt:variant>
      <vt:variant>
        <vt:i4>14</vt:i4>
      </vt:variant>
      <vt:variant>
        <vt:i4>0</vt:i4>
      </vt:variant>
      <vt:variant>
        <vt:i4>5</vt:i4>
      </vt:variant>
      <vt:variant>
        <vt:lpwstr/>
      </vt:variant>
      <vt:variant>
        <vt:lpwstr>_Toc88135230</vt:lpwstr>
      </vt:variant>
      <vt:variant>
        <vt:i4>1507390</vt:i4>
      </vt:variant>
      <vt:variant>
        <vt:i4>8</vt:i4>
      </vt:variant>
      <vt:variant>
        <vt:i4>0</vt:i4>
      </vt:variant>
      <vt:variant>
        <vt:i4>5</vt:i4>
      </vt:variant>
      <vt:variant>
        <vt:lpwstr/>
      </vt:variant>
      <vt:variant>
        <vt:lpwstr>_Toc88135229</vt:lpwstr>
      </vt:variant>
      <vt:variant>
        <vt:i4>1441854</vt:i4>
      </vt:variant>
      <vt:variant>
        <vt:i4>2</vt:i4>
      </vt:variant>
      <vt:variant>
        <vt:i4>0</vt:i4>
      </vt:variant>
      <vt:variant>
        <vt:i4>5</vt:i4>
      </vt:variant>
      <vt:variant>
        <vt:lpwstr/>
      </vt:variant>
      <vt:variant>
        <vt:lpwstr>_Toc88135228</vt:lpwstr>
      </vt:variant>
      <vt:variant>
        <vt:i4>1310722</vt:i4>
      </vt:variant>
      <vt:variant>
        <vt:i4>3</vt:i4>
      </vt:variant>
      <vt:variant>
        <vt:i4>0</vt:i4>
      </vt:variant>
      <vt:variant>
        <vt:i4>5</vt:i4>
      </vt:variant>
      <vt:variant>
        <vt:lpwstr>http://www.itu.int/ITU-T/worksem/climatechange/200907/index.html</vt:lpwstr>
      </vt:variant>
      <vt:variant>
        <vt:lpwstr/>
      </vt:variant>
      <vt:variant>
        <vt:i4>6684710</vt:i4>
      </vt:variant>
      <vt:variant>
        <vt:i4>0</vt:i4>
      </vt:variant>
      <vt:variant>
        <vt:i4>0</vt:i4>
      </vt:variant>
      <vt:variant>
        <vt:i4>5</vt:i4>
      </vt:variant>
      <vt:variant>
        <vt:lpwstr>http://itu.int/ITU-T/inr/enum/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WTSA-16 Action Plan (2019)</dc:title>
  <dc:subject/>
  <dc:creator>Euchner, Martin</dc:creator>
  <cp:keywords/>
  <dc:description>TD 048  For: Geneva, 4-7 June 2013_x000d_Document date: _x000d_Saved by ITU51009182 at 17:07:00 on 24/05/2013</dc:description>
  <cp:lastModifiedBy>Martin Euchner</cp:lastModifiedBy>
  <cp:revision>2397</cp:revision>
  <cp:lastPrinted>2016-12-23T20:35:00Z</cp:lastPrinted>
  <dcterms:created xsi:type="dcterms:W3CDTF">2020-01-24T20:37:00Z</dcterms:created>
  <dcterms:modified xsi:type="dcterms:W3CDTF">2022-01-18T18:07:00Z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048</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
  </property>
  <property fmtid="{D5CDD505-2E9C-101B-9397-08002B2CF9AE}" pid="6" name="Docdest">
    <vt:lpwstr>Geneva, 4-7 June 2013</vt:lpwstr>
  </property>
  <property fmtid="{D5CDD505-2E9C-101B-9397-08002B2CF9AE}" pid="7" name="Docauthor">
    <vt:lpwstr/>
  </property>
  <property fmtid="{D5CDD505-2E9C-101B-9397-08002B2CF9AE}" pid="8" name="ContentTypeId">
    <vt:lpwstr>0x010100714706B5C8C0E7438BEF2951889CCA4F</vt:lpwstr>
  </property>
</Properties>
</file>